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F44" w:rsidRPr="000251E3" w:rsidRDefault="00F92F44" w:rsidP="00F92F44">
      <w:pPr>
        <w:spacing w:after="0" w:line="360" w:lineRule="auto"/>
        <w:rPr>
          <w:rFonts w:ascii="Times New Roman" w:hAnsi="Times New Roman" w:cs="Times New Roman"/>
          <w:b/>
          <w:u w:val="single"/>
        </w:rPr>
      </w:pPr>
      <w:r w:rsidRPr="000251E3">
        <w:rPr>
          <w:rFonts w:ascii="Times New Roman" w:hAnsi="Times New Roman" w:cs="Times New Roman"/>
          <w:b/>
          <w:u w:val="single"/>
        </w:rPr>
        <w:t>Review Article</w:t>
      </w:r>
    </w:p>
    <w:p w:rsidR="00F92F44" w:rsidRPr="000251E3" w:rsidRDefault="00672392" w:rsidP="00304A3A">
      <w:pPr>
        <w:spacing w:after="0" w:line="360" w:lineRule="auto"/>
        <w:jc w:val="center"/>
        <w:rPr>
          <w:rFonts w:ascii="Times New Roman" w:hAnsi="Times New Roman" w:cs="Times New Roman"/>
          <w:b/>
        </w:rPr>
      </w:pPr>
      <w:r w:rsidRPr="000251E3">
        <w:rPr>
          <w:rFonts w:ascii="Times New Roman" w:hAnsi="Times New Roman" w:cs="Times New Roman"/>
          <w:b/>
        </w:rPr>
        <w:t>CHEMOTHERAPY-INDUCED PERIPHERAL NEUROPATHY: CLINICAL FEATURES</w:t>
      </w:r>
      <w:r w:rsidR="00C355F9">
        <w:rPr>
          <w:rFonts w:ascii="Times New Roman" w:hAnsi="Times New Roman" w:cs="Times New Roman"/>
          <w:b/>
        </w:rPr>
        <w:t xml:space="preserve">, DIFFERENTIAL DIAGNOSIS </w:t>
      </w:r>
      <w:r w:rsidRPr="000251E3">
        <w:rPr>
          <w:rFonts w:ascii="Times New Roman" w:hAnsi="Times New Roman" w:cs="Times New Roman"/>
          <w:b/>
        </w:rPr>
        <w:t>AND PREVENTION</w:t>
      </w:r>
    </w:p>
    <w:p w:rsidR="00FC3243" w:rsidRPr="000251E3" w:rsidRDefault="00672392" w:rsidP="003F38D2">
      <w:pPr>
        <w:spacing w:after="0" w:line="360" w:lineRule="auto"/>
        <w:jc w:val="both"/>
        <w:rPr>
          <w:rFonts w:ascii="Times New Roman" w:hAnsi="Times New Roman" w:cs="Times New Roman"/>
          <w:b/>
        </w:rPr>
      </w:pPr>
      <w:r w:rsidRPr="000251E3">
        <w:rPr>
          <w:rFonts w:ascii="Times New Roman" w:hAnsi="Times New Roman" w:cs="Times New Roman"/>
          <w:b/>
        </w:rPr>
        <w:t>ABSTRACT:</w:t>
      </w:r>
    </w:p>
    <w:p w:rsidR="00A86CE5" w:rsidRPr="000251E3" w:rsidRDefault="005310D6"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Chemotherapy-induced peripheral neuropathy (CIPN) is a frequent and clinically significant adverse effect associated with several commonly used chemotherapeutic agents, including platinum compounds, </w:t>
      </w:r>
      <w:proofErr w:type="spellStart"/>
      <w:r w:rsidRPr="000251E3">
        <w:rPr>
          <w:rFonts w:ascii="Times New Roman" w:hAnsi="Times New Roman" w:cs="Times New Roman"/>
        </w:rPr>
        <w:t>taxanes</w:t>
      </w:r>
      <w:proofErr w:type="spellEnd"/>
      <w:r w:rsidRPr="000251E3">
        <w:rPr>
          <w:rFonts w:ascii="Times New Roman" w:hAnsi="Times New Roman" w:cs="Times New Roman"/>
        </w:rPr>
        <w:t xml:space="preserve">, </w:t>
      </w:r>
      <w:proofErr w:type="spellStart"/>
      <w:r w:rsidRPr="000251E3">
        <w:rPr>
          <w:rFonts w:ascii="Times New Roman" w:hAnsi="Times New Roman" w:cs="Times New Roman"/>
        </w:rPr>
        <w:t>vinca</w:t>
      </w:r>
      <w:proofErr w:type="spellEnd"/>
      <w:r w:rsidRPr="000251E3">
        <w:rPr>
          <w:rFonts w:ascii="Times New Roman" w:hAnsi="Times New Roman" w:cs="Times New Roman"/>
        </w:rPr>
        <w:t xml:space="preserve"> alkaloids, and proteasome inhibitors [1–3]. </w:t>
      </w:r>
    </w:p>
    <w:p w:rsidR="00A43095" w:rsidRPr="000251E3" w:rsidRDefault="005310D6"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CIPN predominantly presents as a length-dependent sensory neuropathy affecting the distal extremities and may persist long after completion of chemotherapy, resulting in chronic pain, functional impairment, and diminished quality of life [4–6]. </w:t>
      </w:r>
    </w:p>
    <w:p w:rsidR="00FC3243" w:rsidRPr="000251E3" w:rsidRDefault="00E421A8" w:rsidP="003F38D2">
      <w:pPr>
        <w:spacing w:after="0" w:line="360" w:lineRule="auto"/>
        <w:jc w:val="both"/>
        <w:rPr>
          <w:rFonts w:ascii="Times New Roman" w:hAnsi="Times New Roman" w:cs="Times New Roman"/>
        </w:rPr>
      </w:pPr>
      <w:r w:rsidRPr="00E421A8">
        <w:rPr>
          <w:rFonts w:ascii="Times New Roman" w:hAnsi="Times New Roman" w:cs="Times New Roman"/>
        </w:rPr>
        <w:t>Despite i</w:t>
      </w:r>
      <w:r>
        <w:rPr>
          <w:rFonts w:ascii="Times New Roman" w:hAnsi="Times New Roman" w:cs="Times New Roman"/>
        </w:rPr>
        <w:t>ncreasing understanding of the underlying pathophysiological</w:t>
      </w:r>
      <w:r w:rsidRPr="00E421A8">
        <w:rPr>
          <w:rFonts w:ascii="Times New Roman" w:hAnsi="Times New Roman" w:cs="Times New Roman"/>
        </w:rPr>
        <w:t xml:space="preserve"> mechanisms, effective preventive strategies remain limited, and no pharmacologic agent has demonstrated consistent benefit for routine prophylaxis. Current management primarily focuses on early recognition, symptom control, and dose modification [10,11].</w:t>
      </w:r>
      <w:r>
        <w:rPr>
          <w:rFonts w:ascii="Times New Roman" w:hAnsi="Times New Roman" w:cs="Times New Roman"/>
        </w:rPr>
        <w:t xml:space="preserve"> </w:t>
      </w:r>
      <w:r w:rsidRPr="00E421A8">
        <w:rPr>
          <w:rFonts w:ascii="Times New Roman" w:hAnsi="Times New Roman" w:cs="Times New Roman"/>
        </w:rPr>
        <w:t>Accurate diagnosis requires careful clinical evaluation, supported by neurological exa</w:t>
      </w:r>
      <w:r>
        <w:rPr>
          <w:rFonts w:ascii="Times New Roman" w:hAnsi="Times New Roman" w:cs="Times New Roman"/>
        </w:rPr>
        <w:t>mination and nerve conduction studies</w:t>
      </w:r>
      <w:r w:rsidRPr="00E421A8">
        <w:rPr>
          <w:rFonts w:ascii="Times New Roman" w:hAnsi="Times New Roman" w:cs="Times New Roman"/>
        </w:rPr>
        <w:t>. Important differential diagnoses such as diabetic neuropathy, vitamin B12 deficiency, paraneoplastic neuropathy, and critical illness neuropathy should be excluded.</w:t>
      </w:r>
      <w:r w:rsidRPr="00E421A8">
        <w:t xml:space="preserve"> </w:t>
      </w:r>
      <w:r w:rsidRPr="00E421A8">
        <w:rPr>
          <w:rFonts w:ascii="Times New Roman" w:hAnsi="Times New Roman" w:cs="Times New Roman"/>
        </w:rPr>
        <w:t>This narrative review provides a comprehensive overview of the epidemiology, clinical features, diagnostic approaches, differential diagnosis, and prevention strategies for CIPN, with emphasis on current clinical evidence and future research directions.</w:t>
      </w:r>
    </w:p>
    <w:p w:rsidR="00FC3243" w:rsidRPr="000251E3" w:rsidRDefault="00306EC4" w:rsidP="003F38D2">
      <w:pPr>
        <w:spacing w:after="0" w:line="360" w:lineRule="auto"/>
        <w:jc w:val="both"/>
        <w:rPr>
          <w:rFonts w:ascii="Times New Roman" w:hAnsi="Times New Roman" w:cs="Times New Roman"/>
          <w:b/>
        </w:rPr>
      </w:pPr>
      <w:r w:rsidRPr="000251E3">
        <w:rPr>
          <w:rFonts w:ascii="Times New Roman" w:hAnsi="Times New Roman" w:cs="Times New Roman"/>
          <w:b/>
        </w:rPr>
        <w:t>Keywords</w:t>
      </w:r>
      <w:r w:rsidR="00903947" w:rsidRPr="000251E3">
        <w:rPr>
          <w:rFonts w:ascii="Times New Roman" w:hAnsi="Times New Roman" w:cs="Times New Roman"/>
          <w:b/>
        </w:rPr>
        <w:t xml:space="preserve">: </w:t>
      </w:r>
    </w:p>
    <w:p w:rsidR="0063451E" w:rsidRPr="000251E3" w:rsidRDefault="00791A3E" w:rsidP="003F38D2">
      <w:pPr>
        <w:spacing w:after="0" w:line="360" w:lineRule="auto"/>
        <w:jc w:val="both"/>
        <w:rPr>
          <w:rFonts w:ascii="Times New Roman" w:hAnsi="Times New Roman" w:cs="Times New Roman"/>
        </w:rPr>
      </w:pPr>
      <w:r>
        <w:rPr>
          <w:rFonts w:ascii="Times New Roman" w:hAnsi="Times New Roman" w:cs="Times New Roman"/>
        </w:rPr>
        <w:t>A</w:t>
      </w:r>
      <w:r w:rsidRPr="00791A3E">
        <w:rPr>
          <w:rFonts w:ascii="Times New Roman" w:hAnsi="Times New Roman" w:cs="Times New Roman"/>
        </w:rPr>
        <w:t>nticancer agents, cancer survivorship, chemotherapy-induced peripheral neuropathy, neurotoxicity, prevention strategies, sensory neuropathy</w:t>
      </w:r>
    </w:p>
    <w:p w:rsidR="00492073"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INTRODUCTION:</w:t>
      </w:r>
    </w:p>
    <w:p w:rsidR="00492073" w:rsidRPr="000251E3" w:rsidRDefault="00E939A3" w:rsidP="003F38D2">
      <w:pPr>
        <w:spacing w:after="0" w:line="360" w:lineRule="auto"/>
        <w:jc w:val="both"/>
        <w:rPr>
          <w:rFonts w:ascii="Times New Roman" w:hAnsi="Times New Roman" w:cs="Times New Roman"/>
        </w:rPr>
      </w:pPr>
      <w:r w:rsidRPr="000251E3">
        <w:rPr>
          <w:rFonts w:ascii="Times New Roman" w:hAnsi="Times New Roman" w:cs="Times New Roman"/>
        </w:rPr>
        <w:t>Chemotherapy-induced peripheral neuropathy is one of the most common dose-limiting toxicities encountered during cancer treatment and represents a major challenge in oncology practice [1,2].</w:t>
      </w:r>
      <w:r w:rsidR="00764A9A">
        <w:rPr>
          <w:rFonts w:ascii="Times New Roman" w:hAnsi="Times New Roman" w:cs="Times New Roman"/>
        </w:rPr>
        <w:t xml:space="preserve"> </w:t>
      </w:r>
      <w:r w:rsidR="00764A9A" w:rsidRPr="00764A9A">
        <w:rPr>
          <w:rFonts w:ascii="Times New Roman" w:hAnsi="Times New Roman" w:cs="Times New Roman"/>
        </w:rPr>
        <w:t>The reported incidence of CIPN varies depending on the chemotherapeutic agent, cumulative dose, and duration of therapy, with estimates ranging from 30% to 70% among patients receiving neurotoxic agents [3,13,29].</w:t>
      </w:r>
      <w:r w:rsidRPr="000251E3">
        <w:rPr>
          <w:rFonts w:ascii="Times New Roman" w:hAnsi="Times New Roman" w:cs="Times New Roman"/>
        </w:rPr>
        <w:t xml:space="preserve"> With advances in cancer therapy leading to improved survival, the number of patients living with long-term treatment-related adverse effects has increased substantially [3,4]. Among these, CIPN is particularly debilitating due to its persistent nature and its impact on physical functioning, psychological well-being, and overall quality of life [5,6].</w:t>
      </w:r>
      <w:r w:rsidR="00764A9A">
        <w:rPr>
          <w:rFonts w:ascii="Times New Roman" w:hAnsi="Times New Roman" w:cs="Times New Roman"/>
        </w:rPr>
        <w:t xml:space="preserve"> </w:t>
      </w:r>
      <w:r w:rsidR="00764A9A" w:rsidRPr="00764A9A">
        <w:rPr>
          <w:rFonts w:ascii="Times New Roman" w:hAnsi="Times New Roman" w:cs="Times New Roman"/>
        </w:rPr>
        <w:t xml:space="preserve">Persistent neuropathy in cancer survivors has </w:t>
      </w:r>
      <w:r w:rsidR="00764A9A" w:rsidRPr="00764A9A">
        <w:rPr>
          <w:rFonts w:ascii="Times New Roman" w:hAnsi="Times New Roman" w:cs="Times New Roman"/>
        </w:rPr>
        <w:lastRenderedPageBreak/>
        <w:t>emerged as an important survivorship issue, contributing to long-term disability and healthcare burden [43,46].</w:t>
      </w:r>
    </w:p>
    <w:p w:rsidR="00492073" w:rsidRPr="000251E3" w:rsidRDefault="00E939A3"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 Clinically, it most often manifests as a symmetric, distal sensory neuropathy in a characteristic “stocking-and-glove” distribution [7]. Common symptoms include numbness, tingling, </w:t>
      </w:r>
      <w:proofErr w:type="spellStart"/>
      <w:r w:rsidRPr="000251E3">
        <w:rPr>
          <w:rFonts w:ascii="Times New Roman" w:hAnsi="Times New Roman" w:cs="Times New Roman"/>
        </w:rPr>
        <w:t>paresthesia</w:t>
      </w:r>
      <w:proofErr w:type="spellEnd"/>
      <w:r w:rsidRPr="000251E3">
        <w:rPr>
          <w:rFonts w:ascii="Times New Roman" w:hAnsi="Times New Roman" w:cs="Times New Roman"/>
        </w:rPr>
        <w:t>, burning pain, and altered sensation, which can interfere with fine motor skills, balance, and activities of daily living [8,9]. In severe cases, neuropathy necessitates dose reduction or early discontinuation of chemotherapy, potentially compromising cancer treatment outcomes [10].</w:t>
      </w:r>
    </w:p>
    <w:p w:rsidR="00492073" w:rsidRDefault="00B96258" w:rsidP="003F38D2">
      <w:pPr>
        <w:spacing w:after="0" w:line="360" w:lineRule="auto"/>
        <w:jc w:val="both"/>
        <w:rPr>
          <w:rFonts w:ascii="Times New Roman" w:hAnsi="Times New Roman" w:cs="Times New Roman"/>
        </w:rPr>
      </w:pPr>
      <w:r w:rsidRPr="00B96258">
        <w:rPr>
          <w:rFonts w:ascii="Times New Roman" w:hAnsi="Times New Roman" w:cs="Times New Roman"/>
        </w:rPr>
        <w:t>Despite extensive research into the mechanisms of neurotoxicity, effective preventive and disease-modifying therapies remain limited. Current clinical guidelines primarily recommend dose modification and symptomatic management, with only modest benefit demonstrated for pharmacologic interventions [10,11,47]. The lack of standardized preventive strategies highlights the need for continued research and evidence synthesis.</w:t>
      </w:r>
      <w:r>
        <w:rPr>
          <w:rFonts w:ascii="Times New Roman" w:hAnsi="Times New Roman" w:cs="Times New Roman"/>
        </w:rPr>
        <w:t xml:space="preserve"> </w:t>
      </w:r>
      <w:r w:rsidRPr="00B96258">
        <w:rPr>
          <w:rFonts w:ascii="Times New Roman" w:hAnsi="Times New Roman" w:cs="Times New Roman"/>
        </w:rPr>
        <w:t>Therefore, this narrative review aims to synthesize current evidence regarding the epidemiology, pathophysiology, clinical manifestations, diagnostic approaches, and preventive strategies of CIPN, providing a comprehensive and clinically relevant overview for healthcare professionals.</w:t>
      </w:r>
    </w:p>
    <w:p w:rsidR="00304A3A" w:rsidRPr="000251E3" w:rsidRDefault="00304A3A" w:rsidP="003F38D2">
      <w:pPr>
        <w:spacing w:after="0" w:line="360" w:lineRule="auto"/>
        <w:jc w:val="both"/>
        <w:rPr>
          <w:rFonts w:ascii="Times New Roman" w:hAnsi="Times New Roman" w:cs="Times New Roman"/>
        </w:rPr>
      </w:pPr>
      <w:r w:rsidRPr="00304A3A">
        <w:rPr>
          <w:rFonts w:ascii="Times New Roman" w:hAnsi="Times New Roman" w:cs="Times New Roman"/>
        </w:rPr>
        <w:t>This narrative review was conducted through a comprehensive search of electronic databases including PubMed, Scopus, and Google Scholar. Relevant articles published in English were identified using keywords such as “chemotherapy-induced peripheral neuropathy,” “CIPN,” “clinical features,” “diagnosis,” and “prevention.” Emphasis was placed on recent reviews, clinical guidelines, and randomized controlled trials to ensure inclusion of current and clinically relevant evidence.</w:t>
      </w:r>
    </w:p>
    <w:p w:rsidR="00492073"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DEFINITION AND CLASSIFICATION OF CHEMOTHERAPY-INDUCED PERIPHERAL NEUROPATHY:</w:t>
      </w:r>
    </w:p>
    <w:p w:rsidR="002505EB" w:rsidRPr="000251E3" w:rsidRDefault="009D1B20"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Chemotherapy-induced peripheral neuropathy is defined as a disorder of the peripheral nervous system resulting directly from the neurotoxic effects of anticancer agents [12]. It is typically characterized by a symmetric, length-dependent neuropathy that initially affects the distal portions of the upper and lower extremities [13]. Sensory nerve </w:t>
      </w:r>
      <w:proofErr w:type="spellStart"/>
      <w:r w:rsidRPr="000251E3">
        <w:rPr>
          <w:rFonts w:ascii="Times New Roman" w:hAnsi="Times New Roman" w:cs="Times New Roman"/>
        </w:rPr>
        <w:t>fibers</w:t>
      </w:r>
      <w:proofErr w:type="spellEnd"/>
      <w:r w:rsidRPr="000251E3">
        <w:rPr>
          <w:rFonts w:ascii="Times New Roman" w:hAnsi="Times New Roman" w:cs="Times New Roman"/>
        </w:rPr>
        <w:t xml:space="preserve"> are most commonly involved, although motor and autonomic </w:t>
      </w:r>
      <w:r w:rsidR="00AB18BD" w:rsidRPr="000251E3">
        <w:rPr>
          <w:rFonts w:ascii="Times New Roman" w:hAnsi="Times New Roman" w:cs="Times New Roman"/>
        </w:rPr>
        <w:t>fibres</w:t>
      </w:r>
      <w:r w:rsidRPr="000251E3">
        <w:rPr>
          <w:rFonts w:ascii="Times New Roman" w:hAnsi="Times New Roman" w:cs="Times New Roman"/>
        </w:rPr>
        <w:t xml:space="preserve"> may also be affected depending on the specific agent and cumulative exposure [14].</w:t>
      </w:r>
      <w:r w:rsidR="008B3DFC">
        <w:rPr>
          <w:rFonts w:ascii="Times New Roman" w:hAnsi="Times New Roman" w:cs="Times New Roman"/>
        </w:rPr>
        <w:t xml:space="preserve"> </w:t>
      </w:r>
      <w:r w:rsidR="008B3DFC" w:rsidRPr="008B3DFC">
        <w:rPr>
          <w:rFonts w:ascii="Times New Roman" w:hAnsi="Times New Roman" w:cs="Times New Roman"/>
        </w:rPr>
        <w:t xml:space="preserve">The clinical phenotype varies according to the chemotherapeutic class, with platinum compounds and </w:t>
      </w:r>
      <w:proofErr w:type="spellStart"/>
      <w:r w:rsidR="008B3DFC" w:rsidRPr="008B3DFC">
        <w:rPr>
          <w:rFonts w:ascii="Times New Roman" w:hAnsi="Times New Roman" w:cs="Times New Roman"/>
        </w:rPr>
        <w:t>taxanes</w:t>
      </w:r>
      <w:proofErr w:type="spellEnd"/>
      <w:r w:rsidR="008B3DFC" w:rsidRPr="008B3DFC">
        <w:rPr>
          <w:rFonts w:ascii="Times New Roman" w:hAnsi="Times New Roman" w:cs="Times New Roman"/>
        </w:rPr>
        <w:t xml:space="preserve"> predominantly causing sensory axonal neuropathy, whereas </w:t>
      </w:r>
      <w:proofErr w:type="spellStart"/>
      <w:r w:rsidR="008B3DFC" w:rsidRPr="008B3DFC">
        <w:rPr>
          <w:rFonts w:ascii="Times New Roman" w:hAnsi="Times New Roman" w:cs="Times New Roman"/>
        </w:rPr>
        <w:t>vinca</w:t>
      </w:r>
      <w:proofErr w:type="spellEnd"/>
      <w:r w:rsidR="008B3DFC" w:rsidRPr="008B3DFC">
        <w:rPr>
          <w:rFonts w:ascii="Times New Roman" w:hAnsi="Times New Roman" w:cs="Times New Roman"/>
        </w:rPr>
        <w:t xml:space="preserve"> alkaloids may produce mixed sensorimotor involvement [13,14].</w:t>
      </w:r>
      <w:r w:rsidR="00CE6089" w:rsidRPr="000251E3">
        <w:rPr>
          <w:rFonts w:ascii="Times New Roman" w:hAnsi="Times New Roman" w:cs="Times New Roman"/>
        </w:rPr>
        <w:t xml:space="preserve"> </w:t>
      </w:r>
    </w:p>
    <w:p w:rsidR="00492073" w:rsidRPr="000251E3" w:rsidRDefault="00CE6089" w:rsidP="003F38D2">
      <w:pPr>
        <w:spacing w:after="0" w:line="360" w:lineRule="auto"/>
        <w:jc w:val="both"/>
        <w:rPr>
          <w:rFonts w:ascii="Times New Roman" w:hAnsi="Times New Roman" w:cs="Times New Roman"/>
        </w:rPr>
      </w:pPr>
      <w:r w:rsidRPr="000251E3">
        <w:rPr>
          <w:rFonts w:ascii="Times New Roman" w:hAnsi="Times New Roman" w:cs="Times New Roman"/>
        </w:rPr>
        <w:lastRenderedPageBreak/>
        <w:t xml:space="preserve"> Additionally, severity-based classification using standardized grading systems such as the NCI-CTCAE allows objective assessment of functional impairment and facilitates consistent reporting in clinical trials and routine practice [44,46].</w:t>
      </w:r>
    </w:p>
    <w:p w:rsidR="009D1B20" w:rsidRPr="000251E3" w:rsidRDefault="009D1B20" w:rsidP="003F38D2">
      <w:pPr>
        <w:pStyle w:val="ListParagraph"/>
        <w:numPr>
          <w:ilvl w:val="1"/>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 xml:space="preserve">Classification Based on Nerve </w:t>
      </w:r>
      <w:proofErr w:type="spellStart"/>
      <w:r w:rsidRPr="000251E3">
        <w:rPr>
          <w:rFonts w:ascii="Times New Roman" w:hAnsi="Times New Roman" w:cs="Times New Roman"/>
          <w:b/>
        </w:rPr>
        <w:t>Fiber</w:t>
      </w:r>
      <w:proofErr w:type="spellEnd"/>
      <w:r w:rsidRPr="000251E3">
        <w:rPr>
          <w:rFonts w:ascii="Times New Roman" w:hAnsi="Times New Roman" w:cs="Times New Roman"/>
          <w:b/>
        </w:rPr>
        <w:t xml:space="preserve"> Involvement</w:t>
      </w:r>
    </w:p>
    <w:p w:rsidR="002505EB" w:rsidRPr="000251E3" w:rsidRDefault="009D1B20" w:rsidP="005F4BAE">
      <w:pPr>
        <w:pStyle w:val="ListParagraph"/>
        <w:spacing w:after="0" w:line="360" w:lineRule="auto"/>
        <w:ind w:left="734"/>
        <w:contextualSpacing w:val="0"/>
        <w:jc w:val="both"/>
        <w:rPr>
          <w:rFonts w:ascii="Times New Roman" w:hAnsi="Times New Roman" w:cs="Times New Roman"/>
        </w:rPr>
      </w:pPr>
      <w:r w:rsidRPr="000251E3">
        <w:rPr>
          <w:rFonts w:ascii="Times New Roman" w:hAnsi="Times New Roman" w:cs="Times New Roman"/>
        </w:rPr>
        <w:t xml:space="preserve">CIPN can be classified according to the predominant nerve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involvement, which has important implications for clinical presentation and management [15].</w:t>
      </w:r>
    </w:p>
    <w:p w:rsidR="005F4BAE" w:rsidRPr="000251E3" w:rsidRDefault="009D1B20" w:rsidP="003F38D2">
      <w:pPr>
        <w:spacing w:after="0" w:line="360" w:lineRule="auto"/>
        <w:jc w:val="both"/>
        <w:rPr>
          <w:rFonts w:ascii="Times New Roman" w:hAnsi="Times New Roman" w:cs="Times New Roman"/>
        </w:rPr>
      </w:pPr>
      <w:r w:rsidRPr="000251E3">
        <w:rPr>
          <w:rFonts w:ascii="Times New Roman" w:hAnsi="Times New Roman" w:cs="Times New Roman"/>
          <w:b/>
        </w:rPr>
        <w:t>Table 1.</w:t>
      </w:r>
      <w:r w:rsidRPr="000251E3">
        <w:rPr>
          <w:rFonts w:ascii="Times New Roman" w:hAnsi="Times New Roman" w:cs="Times New Roman"/>
        </w:rPr>
        <w:t xml:space="preserve"> Classification of CIPN based on nerve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involvement</w:t>
      </w:r>
    </w:p>
    <w:tbl>
      <w:tblPr>
        <w:tblStyle w:val="TableGrid"/>
        <w:tblW w:w="10170" w:type="dxa"/>
        <w:tblInd w:w="-162" w:type="dxa"/>
        <w:tblLook w:val="04A0" w:firstRow="1" w:lastRow="0" w:firstColumn="1" w:lastColumn="0" w:noHBand="0" w:noVBand="1"/>
      </w:tblPr>
      <w:tblGrid>
        <w:gridCol w:w="2880"/>
        <w:gridCol w:w="3240"/>
        <w:gridCol w:w="4050"/>
      </w:tblGrid>
      <w:tr w:rsidR="00903947" w:rsidRPr="000251E3" w:rsidTr="008E35ED">
        <w:tc>
          <w:tcPr>
            <w:tcW w:w="288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TYPE OF NEUROPATHY</w:t>
            </w:r>
          </w:p>
        </w:tc>
        <w:tc>
          <w:tcPr>
            <w:tcW w:w="324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NERVE FIBERS INVOLVED</w:t>
            </w:r>
          </w:p>
        </w:tc>
        <w:tc>
          <w:tcPr>
            <w:tcW w:w="405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CLINICAL MANIFESTATIONS</w:t>
            </w:r>
          </w:p>
        </w:tc>
      </w:tr>
      <w:tr w:rsidR="00903947" w:rsidRPr="000251E3" w:rsidTr="008E35ED">
        <w:tc>
          <w:tcPr>
            <w:tcW w:w="288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Sensory Neuropathy</w:t>
            </w:r>
          </w:p>
        </w:tc>
        <w:tc>
          <w:tcPr>
            <w:tcW w:w="324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 xml:space="preserve">Large and small sensory </w:t>
            </w:r>
            <w:proofErr w:type="spellStart"/>
            <w:r w:rsidRPr="000251E3">
              <w:rPr>
                <w:rFonts w:ascii="Times New Roman" w:hAnsi="Times New Roman" w:cs="Times New Roman"/>
              </w:rPr>
              <w:t>fibers</w:t>
            </w:r>
            <w:proofErr w:type="spellEnd"/>
          </w:p>
        </w:tc>
        <w:tc>
          <w:tcPr>
            <w:tcW w:w="405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Numbness, tingling, neuropathic pain</w:t>
            </w:r>
          </w:p>
        </w:tc>
      </w:tr>
      <w:tr w:rsidR="00903947" w:rsidRPr="000251E3" w:rsidTr="008E35ED">
        <w:tc>
          <w:tcPr>
            <w:tcW w:w="288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Motor Neuropathy</w:t>
            </w:r>
          </w:p>
        </w:tc>
        <w:tc>
          <w:tcPr>
            <w:tcW w:w="324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 xml:space="preserve">Motor </w:t>
            </w:r>
            <w:proofErr w:type="spellStart"/>
            <w:r w:rsidRPr="000251E3">
              <w:rPr>
                <w:rFonts w:ascii="Times New Roman" w:hAnsi="Times New Roman" w:cs="Times New Roman"/>
              </w:rPr>
              <w:t>fibers</w:t>
            </w:r>
            <w:proofErr w:type="spellEnd"/>
          </w:p>
        </w:tc>
        <w:tc>
          <w:tcPr>
            <w:tcW w:w="405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Muscle weakness, reduced reflexes</w:t>
            </w:r>
          </w:p>
        </w:tc>
      </w:tr>
      <w:tr w:rsidR="00903947" w:rsidRPr="000251E3" w:rsidTr="008E35ED">
        <w:tc>
          <w:tcPr>
            <w:tcW w:w="288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Autonomic Neuropathy</w:t>
            </w:r>
          </w:p>
        </w:tc>
        <w:tc>
          <w:tcPr>
            <w:tcW w:w="324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 xml:space="preserve">Autonomic </w:t>
            </w:r>
            <w:proofErr w:type="spellStart"/>
            <w:r w:rsidRPr="000251E3">
              <w:rPr>
                <w:rFonts w:ascii="Times New Roman" w:hAnsi="Times New Roman" w:cs="Times New Roman"/>
              </w:rPr>
              <w:t>fibers</w:t>
            </w:r>
            <w:proofErr w:type="spellEnd"/>
          </w:p>
        </w:tc>
        <w:tc>
          <w:tcPr>
            <w:tcW w:w="4050" w:type="dxa"/>
          </w:tcPr>
          <w:p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Orthostatic hypot</w:t>
            </w:r>
            <w:r w:rsidR="008E35ED" w:rsidRPr="000251E3">
              <w:rPr>
                <w:rFonts w:ascii="Times New Roman" w:hAnsi="Times New Roman" w:cs="Times New Roman"/>
              </w:rPr>
              <w:t>ension, GI discomfort</w:t>
            </w:r>
          </w:p>
        </w:tc>
      </w:tr>
    </w:tbl>
    <w:p w:rsidR="00492073" w:rsidRPr="000251E3" w:rsidRDefault="00D3078F"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w:t>
      </w:r>
      <w:r w:rsidR="008B3DFC">
        <w:rPr>
          <w:rFonts w:ascii="Times New Roman" w:hAnsi="Times New Roman" w:cs="Times New Roman"/>
        </w:rPr>
        <w:t xml:space="preserve"> and modified </w:t>
      </w:r>
      <w:r w:rsidRPr="000251E3">
        <w:rPr>
          <w:rFonts w:ascii="Times New Roman" w:hAnsi="Times New Roman" w:cs="Times New Roman"/>
        </w:rPr>
        <w:t xml:space="preserve">from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et al. [15].</w:t>
      </w:r>
    </w:p>
    <w:p w:rsidR="009F7DCB" w:rsidRPr="000251E3" w:rsidRDefault="009F7DCB" w:rsidP="003F38D2">
      <w:pPr>
        <w:pStyle w:val="ListParagraph"/>
        <w:numPr>
          <w:ilvl w:val="1"/>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Classification Based on Temporal Presentation</w:t>
      </w:r>
    </w:p>
    <w:p w:rsidR="008311F7" w:rsidRPr="000251E3" w:rsidRDefault="009F7DCB" w:rsidP="003F38D2">
      <w:pPr>
        <w:pStyle w:val="ListParagraph"/>
        <w:spacing w:after="0" w:line="360" w:lineRule="auto"/>
        <w:ind w:left="734"/>
        <w:contextualSpacing w:val="0"/>
        <w:jc w:val="both"/>
        <w:rPr>
          <w:rFonts w:ascii="Times New Roman" w:hAnsi="Times New Roman" w:cs="Times New Roman"/>
        </w:rPr>
      </w:pPr>
      <w:r w:rsidRPr="000251E3">
        <w:rPr>
          <w:rFonts w:ascii="Times New Roman" w:hAnsi="Times New Roman" w:cs="Times New Roman"/>
        </w:rPr>
        <w:t>Based on the timing of symptom onset, CIPN may be classified as acute or chronic [16]. Acute neuropathy typically develops during or shortly after chemotherapy administration and is often transient and reversible. In contrast, chronic CIPN develops with cumulative drug exposure and may persist for months or years after treatment completion [17].</w:t>
      </w:r>
      <w:r w:rsidR="008B3DFC">
        <w:rPr>
          <w:rFonts w:ascii="Times New Roman" w:hAnsi="Times New Roman" w:cs="Times New Roman"/>
        </w:rPr>
        <w:t xml:space="preserve"> </w:t>
      </w:r>
      <w:r w:rsidR="008B3DFC" w:rsidRPr="008B3DFC">
        <w:rPr>
          <w:rFonts w:ascii="Times New Roman" w:hAnsi="Times New Roman" w:cs="Times New Roman"/>
        </w:rPr>
        <w:t>A delayed worsening of symptoms after cessation of chemotherapy, termed the “coasting phenomenon,” is particularly described with platinum-based agents and reflects ongoing axonal degeneration despite discontinuation of treatment [19,20].</w:t>
      </w:r>
    </w:p>
    <w:p w:rsidR="008311F7" w:rsidRPr="000251E3" w:rsidRDefault="008311F7" w:rsidP="003F38D2">
      <w:pPr>
        <w:pStyle w:val="ListParagraph"/>
        <w:spacing w:after="0" w:line="360" w:lineRule="auto"/>
        <w:ind w:left="734"/>
        <w:contextualSpacing w:val="0"/>
        <w:jc w:val="both"/>
        <w:rPr>
          <w:rFonts w:ascii="Times New Roman" w:hAnsi="Times New Roman" w:cs="Times New Roman"/>
        </w:rPr>
      </w:pPr>
      <w:r w:rsidRPr="000251E3">
        <w:rPr>
          <w:rFonts w:ascii="Times New Roman" w:hAnsi="Times New Roman" w:cs="Times New Roman"/>
          <w:noProof/>
          <w:lang w:val="en-US"/>
        </w:rPr>
        <w:lastRenderedPageBreak/>
        <w:drawing>
          <wp:inline distT="0" distB="0" distL="0" distR="0">
            <wp:extent cx="5514708" cy="3800475"/>
            <wp:effectExtent l="19050" t="0" r="0" b="0"/>
            <wp:docPr id="1" name="Picture 0" descr="IMAGE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jfif"/>
                    <pic:cNvPicPr/>
                  </pic:nvPicPr>
                  <pic:blipFill>
                    <a:blip r:embed="rId8"/>
                    <a:stretch>
                      <a:fillRect/>
                    </a:stretch>
                  </pic:blipFill>
                  <pic:spPr>
                    <a:xfrm>
                      <a:off x="0" y="0"/>
                      <a:ext cx="5514708" cy="3800475"/>
                    </a:xfrm>
                    <a:prstGeom prst="rect">
                      <a:avLst/>
                    </a:prstGeom>
                  </pic:spPr>
                </pic:pic>
              </a:graphicData>
            </a:graphic>
          </wp:inline>
        </w:drawing>
      </w:r>
    </w:p>
    <w:p w:rsidR="009F7DCB" w:rsidRPr="000251E3" w:rsidRDefault="009F7DCB" w:rsidP="003F38D2">
      <w:pPr>
        <w:spacing w:after="0" w:line="360" w:lineRule="auto"/>
        <w:jc w:val="both"/>
        <w:rPr>
          <w:rFonts w:ascii="Times New Roman" w:hAnsi="Times New Roman" w:cs="Times New Roman"/>
        </w:rPr>
      </w:pPr>
      <w:r w:rsidRPr="000251E3">
        <w:rPr>
          <w:rFonts w:ascii="Times New Roman" w:hAnsi="Times New Roman" w:cs="Times New Roman"/>
          <w:b/>
        </w:rPr>
        <w:t>Figure 1.</w:t>
      </w:r>
      <w:r w:rsidRPr="000251E3">
        <w:rPr>
          <w:rFonts w:ascii="Times New Roman" w:hAnsi="Times New Roman" w:cs="Times New Roman"/>
        </w:rPr>
        <w:t xml:space="preserve"> Schematic representation of acute and chronic CIP</w:t>
      </w:r>
      <w:r w:rsidR="008311F7" w:rsidRPr="000251E3">
        <w:rPr>
          <w:rFonts w:ascii="Times New Roman" w:hAnsi="Times New Roman" w:cs="Times New Roman"/>
        </w:rPr>
        <w:t>N</w:t>
      </w:r>
      <w:r w:rsidR="008B3DFC">
        <w:rPr>
          <w:rFonts w:ascii="Times New Roman" w:hAnsi="Times New Roman" w:cs="Times New Roman"/>
        </w:rPr>
        <w:t xml:space="preserve"> (Author-generated figure)</w:t>
      </w:r>
    </w:p>
    <w:p w:rsidR="00A86CE5" w:rsidRPr="000251E3" w:rsidRDefault="009F7DCB" w:rsidP="003F38D2">
      <w:pPr>
        <w:spacing w:after="0" w:line="360" w:lineRule="auto"/>
        <w:jc w:val="both"/>
        <w:rPr>
          <w:rFonts w:ascii="Times New Roman" w:hAnsi="Times New Roman" w:cs="Times New Roman"/>
        </w:rPr>
      </w:pPr>
      <w:r w:rsidRPr="000251E3">
        <w:rPr>
          <w:rFonts w:ascii="Times New Roman" w:hAnsi="Times New Roman" w:cs="Times New Roman"/>
        </w:rPr>
        <w:t>Schematic illustration demonstrating reversible acute neuropathy during chemotherapy and persistent chronic neuropathy associated with cumulative exposure.</w:t>
      </w:r>
    </w:p>
    <w:p w:rsidR="002505EB"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EPIDEMIOLOGY AND INCIDENCE:</w:t>
      </w:r>
    </w:p>
    <w:p w:rsidR="00A86CE5" w:rsidRPr="000251E3" w:rsidRDefault="00355832" w:rsidP="003F38D2">
      <w:pPr>
        <w:spacing w:after="0" w:line="360" w:lineRule="auto"/>
        <w:jc w:val="both"/>
        <w:rPr>
          <w:rFonts w:ascii="Times New Roman" w:hAnsi="Times New Roman" w:cs="Times New Roman"/>
        </w:rPr>
      </w:pPr>
      <w:r w:rsidRPr="000251E3">
        <w:rPr>
          <w:rFonts w:ascii="Times New Roman" w:hAnsi="Times New Roman" w:cs="Times New Roman"/>
        </w:rPr>
        <w:t>CIPN is among the most frequently reported neurological complications of cancer treatment</w:t>
      </w:r>
      <w:r w:rsidR="00BA05E7">
        <w:rPr>
          <w:rFonts w:ascii="Times New Roman" w:hAnsi="Times New Roman" w:cs="Times New Roman"/>
        </w:rPr>
        <w:t xml:space="preserve"> in studies published between 2010 and 2014</w:t>
      </w:r>
      <w:r w:rsidRPr="000251E3">
        <w:rPr>
          <w:rFonts w:ascii="Times New Roman" w:hAnsi="Times New Roman" w:cs="Times New Roman"/>
        </w:rPr>
        <w:t>, with incidence rates varying according to chemotherapeutic regimen, cumulative dose, and patient-relat</w:t>
      </w:r>
      <w:r w:rsidR="00BA05E7">
        <w:rPr>
          <w:rFonts w:ascii="Times New Roman" w:hAnsi="Times New Roman" w:cs="Times New Roman"/>
        </w:rPr>
        <w:t>ed factors [18]. Studies conducted between 2000 and 2012 show</w:t>
      </w:r>
      <w:r w:rsidRPr="000251E3">
        <w:rPr>
          <w:rFonts w:ascii="Times New Roman" w:hAnsi="Times New Roman" w:cs="Times New Roman"/>
        </w:rPr>
        <w:t xml:space="preserve"> that</w:t>
      </w:r>
      <w:r w:rsidR="00640CB9" w:rsidRPr="000251E3">
        <w:rPr>
          <w:rFonts w:ascii="Times New Roman" w:hAnsi="Times New Roman" w:cs="Times New Roman"/>
        </w:rPr>
        <w:t xml:space="preserve"> about 30 to </w:t>
      </w:r>
      <w:r w:rsidRPr="000251E3">
        <w:rPr>
          <w:rFonts w:ascii="Times New Roman" w:hAnsi="Times New Roman" w:cs="Times New Roman"/>
        </w:rPr>
        <w:t>40% of patients r</w:t>
      </w:r>
      <w:r w:rsidR="00640CB9" w:rsidRPr="000251E3">
        <w:rPr>
          <w:rFonts w:ascii="Times New Roman" w:hAnsi="Times New Roman" w:cs="Times New Roman"/>
        </w:rPr>
        <w:t>eceiving neurotoxic drugs</w:t>
      </w:r>
      <w:r w:rsidRPr="000251E3">
        <w:rPr>
          <w:rFonts w:ascii="Times New Roman" w:hAnsi="Times New Roman" w:cs="Times New Roman"/>
        </w:rPr>
        <w:t xml:space="preserve"> develop CIPN, </w:t>
      </w:r>
      <w:r w:rsidR="00640CB9" w:rsidRPr="000251E3">
        <w:rPr>
          <w:rFonts w:ascii="Times New Roman" w:hAnsi="Times New Roman" w:cs="Times New Roman"/>
        </w:rPr>
        <w:t xml:space="preserve">and this </w:t>
      </w:r>
      <w:r w:rsidR="00870DC3" w:rsidRPr="000251E3">
        <w:rPr>
          <w:rFonts w:ascii="Times New Roman" w:hAnsi="Times New Roman" w:cs="Times New Roman"/>
        </w:rPr>
        <w:t>rate</w:t>
      </w:r>
      <w:r w:rsidR="009E2DB2">
        <w:rPr>
          <w:rFonts w:ascii="Times New Roman" w:hAnsi="Times New Roman" w:cs="Times New Roman"/>
        </w:rPr>
        <w:t xml:space="preserve"> </w:t>
      </w:r>
      <w:r w:rsidR="00870DC3" w:rsidRPr="000251E3">
        <w:rPr>
          <w:rFonts w:ascii="Times New Roman" w:hAnsi="Times New Roman" w:cs="Times New Roman"/>
        </w:rPr>
        <w:t>may</w:t>
      </w:r>
      <w:r w:rsidR="00640CB9" w:rsidRPr="000251E3">
        <w:rPr>
          <w:rFonts w:ascii="Times New Roman" w:hAnsi="Times New Roman" w:cs="Times New Roman"/>
        </w:rPr>
        <w:t xml:space="preserve"> be higher</w:t>
      </w:r>
      <w:r w:rsidR="00A6140D" w:rsidRPr="000251E3">
        <w:rPr>
          <w:rFonts w:ascii="Times New Roman" w:hAnsi="Times New Roman" w:cs="Times New Roman"/>
        </w:rPr>
        <w:t xml:space="preserve">, reaching </w:t>
      </w:r>
      <w:r w:rsidR="00552688" w:rsidRPr="000251E3">
        <w:rPr>
          <w:rFonts w:ascii="Times New Roman" w:hAnsi="Times New Roman" w:cs="Times New Roman"/>
        </w:rPr>
        <w:t>up to</w:t>
      </w:r>
      <w:r w:rsidRPr="000251E3">
        <w:rPr>
          <w:rFonts w:ascii="Times New Roman" w:hAnsi="Times New Roman" w:cs="Times New Roman"/>
        </w:rPr>
        <w:t xml:space="preserve"> 60% in </w:t>
      </w:r>
      <w:r w:rsidR="00640CB9" w:rsidRPr="000251E3">
        <w:rPr>
          <w:rFonts w:ascii="Times New Roman" w:hAnsi="Times New Roman" w:cs="Times New Roman"/>
        </w:rPr>
        <w:t>those</w:t>
      </w:r>
      <w:r w:rsidRPr="000251E3">
        <w:rPr>
          <w:rFonts w:ascii="Times New Roman" w:hAnsi="Times New Roman" w:cs="Times New Roman"/>
        </w:rPr>
        <w:t xml:space="preserve"> receiving high-ris</w:t>
      </w:r>
      <w:r w:rsidR="00640CB9" w:rsidRPr="000251E3">
        <w:rPr>
          <w:rFonts w:ascii="Times New Roman" w:hAnsi="Times New Roman" w:cs="Times New Roman"/>
        </w:rPr>
        <w:t xml:space="preserve">k </w:t>
      </w:r>
      <w:r w:rsidR="00552688" w:rsidRPr="000251E3">
        <w:rPr>
          <w:rFonts w:ascii="Times New Roman" w:hAnsi="Times New Roman" w:cs="Times New Roman"/>
        </w:rPr>
        <w:t>drugs</w:t>
      </w:r>
      <w:r w:rsidR="00640CB9" w:rsidRPr="000251E3">
        <w:rPr>
          <w:rFonts w:ascii="Times New Roman" w:hAnsi="Times New Roman" w:cs="Times New Roman"/>
        </w:rPr>
        <w:t xml:space="preserve"> or combination</w:t>
      </w:r>
      <w:r w:rsidR="00552688" w:rsidRPr="000251E3">
        <w:rPr>
          <w:rFonts w:ascii="Times New Roman" w:hAnsi="Times New Roman" w:cs="Times New Roman"/>
        </w:rPr>
        <w:t>s of</w:t>
      </w:r>
      <w:r w:rsidR="00640CB9" w:rsidRPr="000251E3">
        <w:rPr>
          <w:rFonts w:ascii="Times New Roman" w:hAnsi="Times New Roman" w:cs="Times New Roman"/>
        </w:rPr>
        <w:t xml:space="preserve"> therapies</w:t>
      </w:r>
      <w:r w:rsidRPr="000251E3">
        <w:rPr>
          <w:rFonts w:ascii="Times New Roman" w:hAnsi="Times New Roman" w:cs="Times New Roman"/>
        </w:rPr>
        <w:t xml:space="preserve"> [19,20].</w:t>
      </w:r>
    </w:p>
    <w:p w:rsidR="00A86CE5" w:rsidRPr="000251E3" w:rsidRDefault="00D51102" w:rsidP="003F38D2">
      <w:pPr>
        <w:spacing w:after="0" w:line="360" w:lineRule="auto"/>
        <w:jc w:val="both"/>
        <w:rPr>
          <w:rFonts w:ascii="Times New Roman" w:hAnsi="Times New Roman" w:cs="Times New Roman"/>
        </w:rPr>
      </w:pPr>
      <w:r w:rsidRPr="00D51102">
        <w:rPr>
          <w:rFonts w:ascii="Times New Roman" w:hAnsi="Times New Roman" w:cs="Times New Roman"/>
        </w:rPr>
        <w:t>Long-term follow-up studies</w:t>
      </w:r>
      <w:r w:rsidR="00BA05E7">
        <w:rPr>
          <w:rFonts w:ascii="Times New Roman" w:hAnsi="Times New Roman" w:cs="Times New Roman"/>
        </w:rPr>
        <w:t xml:space="preserve"> published between 2008 and 2017</w:t>
      </w:r>
      <w:r w:rsidRPr="00D51102">
        <w:rPr>
          <w:rFonts w:ascii="Times New Roman" w:hAnsi="Times New Roman" w:cs="Times New Roman"/>
        </w:rPr>
        <w:t xml:space="preserve"> indicate that although some patients experience partial recovery after treatment cessation, a substantial proportion develop persistent neuropathy. Chronic CIPN has been reported in approximately 20–30% of cancer survivors months to years after chemotherapy, with ongoing sensory symptoms significantly impacting survivorship outcomes [5, 17, 21, 24, 42].</w:t>
      </w:r>
      <w:r>
        <w:rPr>
          <w:rFonts w:ascii="Times New Roman" w:hAnsi="Times New Roman" w:cs="Times New Roman"/>
        </w:rPr>
        <w:t xml:space="preserve"> </w:t>
      </w:r>
    </w:p>
    <w:p w:rsidR="00126855" w:rsidRPr="000251E3" w:rsidRDefault="00724E7E"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 The incidence of CIPN varies widely depending on the chemotherapeutic agent, cumulative dose, and treatm</w:t>
      </w:r>
      <w:r w:rsidR="00D51102">
        <w:rPr>
          <w:rFonts w:ascii="Times New Roman" w:hAnsi="Times New Roman" w:cs="Times New Roman"/>
        </w:rPr>
        <w:t xml:space="preserve">ent duration. </w:t>
      </w:r>
      <w:r w:rsidR="00D51102" w:rsidRPr="00D51102">
        <w:rPr>
          <w:rFonts w:ascii="Times New Roman" w:hAnsi="Times New Roman" w:cs="Times New Roman"/>
        </w:rPr>
        <w:t xml:space="preserve">Platinum compounds, </w:t>
      </w:r>
      <w:proofErr w:type="spellStart"/>
      <w:r w:rsidR="00D51102" w:rsidRPr="00D51102">
        <w:rPr>
          <w:rFonts w:ascii="Times New Roman" w:hAnsi="Times New Roman" w:cs="Times New Roman"/>
        </w:rPr>
        <w:t>taxanes</w:t>
      </w:r>
      <w:proofErr w:type="spellEnd"/>
      <w:r w:rsidR="00D51102" w:rsidRPr="00D51102">
        <w:rPr>
          <w:rFonts w:ascii="Times New Roman" w:hAnsi="Times New Roman" w:cs="Times New Roman"/>
        </w:rPr>
        <w:t xml:space="preserve">, and </w:t>
      </w:r>
      <w:proofErr w:type="spellStart"/>
      <w:r w:rsidR="00D51102" w:rsidRPr="00D51102">
        <w:rPr>
          <w:rFonts w:ascii="Times New Roman" w:hAnsi="Times New Roman" w:cs="Times New Roman"/>
        </w:rPr>
        <w:t>vinca</w:t>
      </w:r>
      <w:proofErr w:type="spellEnd"/>
      <w:r w:rsidR="00D51102" w:rsidRPr="00D51102">
        <w:rPr>
          <w:rFonts w:ascii="Times New Roman" w:hAnsi="Times New Roman" w:cs="Times New Roman"/>
        </w:rPr>
        <w:t xml:space="preserve"> alkaloids are among the most frequently implicated agents, with reported neuropathy rates ranging from 30% to 70% depending on cumulative dose and treatment duration</w:t>
      </w:r>
      <w:r w:rsidR="00BA05E7">
        <w:rPr>
          <w:rFonts w:ascii="Times New Roman" w:hAnsi="Times New Roman" w:cs="Times New Roman"/>
        </w:rPr>
        <w:t xml:space="preserve"> according to studies published </w:t>
      </w:r>
      <w:r w:rsidR="00917044">
        <w:rPr>
          <w:rFonts w:ascii="Times New Roman" w:hAnsi="Times New Roman" w:cs="Times New Roman"/>
        </w:rPr>
        <w:lastRenderedPageBreak/>
        <w:t>between 2010 and 2014</w:t>
      </w:r>
      <w:r w:rsidR="00D51102" w:rsidRPr="00D51102">
        <w:rPr>
          <w:rFonts w:ascii="Times New Roman" w:hAnsi="Times New Roman" w:cs="Times New Roman"/>
        </w:rPr>
        <w:t xml:space="preserve"> [3, 7, 12, 18]. </w:t>
      </w:r>
      <w:proofErr w:type="spellStart"/>
      <w:r w:rsidR="00D51102" w:rsidRPr="00D51102">
        <w:rPr>
          <w:rFonts w:ascii="Times New Roman" w:hAnsi="Times New Roman" w:cs="Times New Roman"/>
        </w:rPr>
        <w:t>Taxane</w:t>
      </w:r>
      <w:proofErr w:type="spellEnd"/>
      <w:r w:rsidR="00D51102" w:rsidRPr="00D51102">
        <w:rPr>
          <w:rFonts w:ascii="Times New Roman" w:hAnsi="Times New Roman" w:cs="Times New Roman"/>
        </w:rPr>
        <w:t>-associated neuropathy has been observed in up to 65% of patients with breast cancer, whereas oxaliplatin-induced neuropathy may affect more than 50% of individuals treated for colorectal cancer</w:t>
      </w:r>
      <w:r w:rsidR="00917044">
        <w:rPr>
          <w:rFonts w:ascii="Times New Roman" w:hAnsi="Times New Roman" w:cs="Times New Roman"/>
        </w:rPr>
        <w:t>, according to studies conducted between 2008 and 2012</w:t>
      </w:r>
      <w:r w:rsidR="00D51102" w:rsidRPr="00D51102">
        <w:rPr>
          <w:rFonts w:ascii="Times New Roman" w:hAnsi="Times New Roman" w:cs="Times New Roman"/>
        </w:rPr>
        <w:t xml:space="preserve"> [5, 9, 21].</w:t>
      </w:r>
      <w:r w:rsidRPr="000251E3">
        <w:rPr>
          <w:rFonts w:ascii="Times New Roman" w:hAnsi="Times New Roman" w:cs="Times New Roman"/>
        </w:rPr>
        <w:t xml:space="preserve"> </w:t>
      </w:r>
    </w:p>
    <w:p w:rsidR="00724E7E" w:rsidRPr="000251E3" w:rsidRDefault="00724E7E" w:rsidP="003F38D2">
      <w:pPr>
        <w:spacing w:after="0" w:line="360" w:lineRule="auto"/>
        <w:jc w:val="both"/>
        <w:rPr>
          <w:rFonts w:ascii="Times New Roman" w:hAnsi="Times New Roman" w:cs="Times New Roman"/>
        </w:rPr>
      </w:pPr>
      <w:r w:rsidRPr="000251E3">
        <w:rPr>
          <w:rFonts w:ascii="Times New Roman" w:hAnsi="Times New Roman" w:cs="Times New Roman"/>
        </w:rPr>
        <w:t>Overall, the burden of CIPN is substantial, necessitating early recognition, monitoring, and targeted preventive strategies in clinical oncology practice [11, 29, 38].</w:t>
      </w:r>
    </w:p>
    <w:p w:rsidR="00355832" w:rsidRPr="000251E3" w:rsidRDefault="00355832" w:rsidP="003F38D2">
      <w:pPr>
        <w:spacing w:after="0" w:line="360" w:lineRule="auto"/>
        <w:jc w:val="both"/>
        <w:rPr>
          <w:rFonts w:ascii="Times New Roman" w:hAnsi="Times New Roman" w:cs="Times New Roman"/>
        </w:rPr>
      </w:pPr>
      <w:r w:rsidRPr="000251E3">
        <w:rPr>
          <w:rFonts w:ascii="Times New Roman" w:hAnsi="Times New Roman" w:cs="Times New Roman"/>
          <w:b/>
        </w:rPr>
        <w:t>Table 2.</w:t>
      </w:r>
      <w:r w:rsidRPr="000251E3">
        <w:rPr>
          <w:rFonts w:ascii="Times New Roman" w:hAnsi="Times New Roman" w:cs="Times New Roman"/>
        </w:rPr>
        <w:t xml:space="preserve"> Incidence of CIPN according to chemotherapeutic agents</w:t>
      </w:r>
    </w:p>
    <w:tbl>
      <w:tblPr>
        <w:tblStyle w:val="TableGrid"/>
        <w:tblW w:w="9828" w:type="dxa"/>
        <w:tblLook w:val="04A0" w:firstRow="1" w:lastRow="0" w:firstColumn="1" w:lastColumn="0" w:noHBand="0" w:noVBand="1"/>
      </w:tblPr>
      <w:tblGrid>
        <w:gridCol w:w="2538"/>
        <w:gridCol w:w="3846"/>
        <w:gridCol w:w="3444"/>
      </w:tblGrid>
      <w:tr w:rsidR="008E35ED" w:rsidRPr="000251E3" w:rsidTr="008E35ED">
        <w:tc>
          <w:tcPr>
            <w:tcW w:w="2538"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DRUG CLASS</w:t>
            </w:r>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CHEMOTHERAPEUTIC AGENTS</w:t>
            </w:r>
          </w:p>
        </w:tc>
        <w:tc>
          <w:tcPr>
            <w:tcW w:w="3444"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ESTIMATED INCIDENCE (%)</w:t>
            </w:r>
          </w:p>
        </w:tc>
      </w:tr>
      <w:tr w:rsidR="008E35ED" w:rsidRPr="000251E3" w:rsidTr="008E35ED">
        <w:tc>
          <w:tcPr>
            <w:tcW w:w="2538"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Platinum compounds</w:t>
            </w:r>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Cisplatin, Oxaliplatin</w:t>
            </w:r>
          </w:p>
        </w:tc>
        <w:tc>
          <w:tcPr>
            <w:tcW w:w="3444"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40-70</w:t>
            </w:r>
          </w:p>
        </w:tc>
      </w:tr>
      <w:tr w:rsidR="008E35ED" w:rsidRPr="000251E3" w:rsidTr="008E35ED">
        <w:tc>
          <w:tcPr>
            <w:tcW w:w="2538" w:type="dxa"/>
          </w:tcPr>
          <w:p w:rsidR="008E35ED" w:rsidRPr="000251E3" w:rsidRDefault="008E35ED" w:rsidP="003F38D2">
            <w:pPr>
              <w:spacing w:line="360" w:lineRule="auto"/>
              <w:jc w:val="both"/>
              <w:rPr>
                <w:rFonts w:ascii="Times New Roman" w:hAnsi="Times New Roman" w:cs="Times New Roman"/>
              </w:rPr>
            </w:pPr>
            <w:proofErr w:type="spellStart"/>
            <w:r w:rsidRPr="000251E3">
              <w:rPr>
                <w:rFonts w:ascii="Times New Roman" w:hAnsi="Times New Roman" w:cs="Times New Roman"/>
              </w:rPr>
              <w:t>Taxanes</w:t>
            </w:r>
            <w:proofErr w:type="spellEnd"/>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Paclitaxel, Docetaxel</w:t>
            </w:r>
          </w:p>
        </w:tc>
        <w:tc>
          <w:tcPr>
            <w:tcW w:w="3444"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30-60</w:t>
            </w:r>
          </w:p>
        </w:tc>
      </w:tr>
      <w:tr w:rsidR="008E35ED" w:rsidRPr="000251E3" w:rsidTr="008E35ED">
        <w:tc>
          <w:tcPr>
            <w:tcW w:w="2538" w:type="dxa"/>
          </w:tcPr>
          <w:p w:rsidR="008E35ED" w:rsidRPr="000251E3" w:rsidRDefault="008E35ED" w:rsidP="003F38D2">
            <w:pPr>
              <w:spacing w:line="360" w:lineRule="auto"/>
              <w:jc w:val="both"/>
              <w:rPr>
                <w:rFonts w:ascii="Times New Roman" w:hAnsi="Times New Roman" w:cs="Times New Roman"/>
              </w:rPr>
            </w:pPr>
            <w:proofErr w:type="spellStart"/>
            <w:r w:rsidRPr="000251E3">
              <w:rPr>
                <w:rFonts w:ascii="Times New Roman" w:hAnsi="Times New Roman" w:cs="Times New Roman"/>
              </w:rPr>
              <w:t>Vinca</w:t>
            </w:r>
            <w:proofErr w:type="spellEnd"/>
            <w:r w:rsidRPr="000251E3">
              <w:rPr>
                <w:rFonts w:ascii="Times New Roman" w:hAnsi="Times New Roman" w:cs="Times New Roman"/>
              </w:rPr>
              <w:t xml:space="preserve"> alkaloids</w:t>
            </w:r>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Vincristine</w:t>
            </w:r>
          </w:p>
        </w:tc>
        <w:tc>
          <w:tcPr>
            <w:tcW w:w="3444"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30-50</w:t>
            </w:r>
          </w:p>
        </w:tc>
      </w:tr>
      <w:tr w:rsidR="008E35ED" w:rsidRPr="000251E3" w:rsidTr="008E35ED">
        <w:tc>
          <w:tcPr>
            <w:tcW w:w="2538"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Proteasome Inhibitors</w:t>
            </w:r>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Bortezomib</w:t>
            </w:r>
          </w:p>
        </w:tc>
        <w:tc>
          <w:tcPr>
            <w:tcW w:w="3444"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30-40</w:t>
            </w:r>
          </w:p>
        </w:tc>
      </w:tr>
    </w:tbl>
    <w:p w:rsidR="00A86CE5" w:rsidRPr="000251E3" w:rsidRDefault="005E60F9"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w:t>
      </w:r>
      <w:r w:rsidR="00123B17">
        <w:rPr>
          <w:rFonts w:ascii="Times New Roman" w:hAnsi="Times New Roman" w:cs="Times New Roman"/>
        </w:rPr>
        <w:t xml:space="preserve"> and modified </w:t>
      </w:r>
      <w:r w:rsidRPr="000251E3">
        <w:rPr>
          <w:rFonts w:ascii="Times New Roman" w:hAnsi="Times New Roman" w:cs="Times New Roman"/>
        </w:rPr>
        <w:t xml:space="preserve">from </w:t>
      </w:r>
      <w:proofErr w:type="spellStart"/>
      <w:r w:rsidRPr="000251E3">
        <w:rPr>
          <w:rFonts w:ascii="Times New Roman" w:hAnsi="Times New Roman" w:cs="Times New Roman"/>
        </w:rPr>
        <w:t>Seretny</w:t>
      </w:r>
      <w:proofErr w:type="spellEnd"/>
      <w:r w:rsidRPr="000251E3">
        <w:rPr>
          <w:rFonts w:ascii="Times New Roman" w:hAnsi="Times New Roman" w:cs="Times New Roman"/>
        </w:rPr>
        <w:t xml:space="preserve"> et al. [19], Park et al. [20].</w:t>
      </w:r>
    </w:p>
    <w:p w:rsidR="0012685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ETIOLOGY AND CAUSATIVE CHEMOTHERAPEUTIC AGENTS:</w:t>
      </w:r>
    </w:p>
    <w:p w:rsidR="00A86CE5" w:rsidRPr="000251E3" w:rsidRDefault="005F203C" w:rsidP="003F38D2">
      <w:pPr>
        <w:spacing w:after="0" w:line="360" w:lineRule="auto"/>
        <w:jc w:val="both"/>
        <w:rPr>
          <w:rFonts w:ascii="Times New Roman" w:hAnsi="Times New Roman" w:cs="Times New Roman"/>
        </w:rPr>
      </w:pPr>
      <w:r w:rsidRPr="000251E3">
        <w:rPr>
          <w:rFonts w:ascii="Times New Roman" w:hAnsi="Times New Roman" w:cs="Times New Roman"/>
        </w:rPr>
        <w:t>Chemotherapy-induced periphe</w:t>
      </w:r>
      <w:r w:rsidR="00E44EAB" w:rsidRPr="000251E3">
        <w:rPr>
          <w:rFonts w:ascii="Times New Roman" w:hAnsi="Times New Roman" w:cs="Times New Roman"/>
        </w:rPr>
        <w:t>ral neuropathy occurs because certain chemotherapy</w:t>
      </w:r>
      <w:r w:rsidR="00CE0802" w:rsidRPr="000251E3">
        <w:rPr>
          <w:rFonts w:ascii="Times New Roman" w:hAnsi="Times New Roman" w:cs="Times New Roman"/>
        </w:rPr>
        <w:t xml:space="preserve"> drugs harm nerve cells directly </w:t>
      </w:r>
      <w:r w:rsidRPr="000251E3">
        <w:rPr>
          <w:rFonts w:ascii="Times New Roman" w:hAnsi="Times New Roman" w:cs="Times New Roman"/>
        </w:rPr>
        <w:t>[23]. These agents damage peripheral nerves through diverse mechanisms, including disruption of microtubule dynamics, DNA injury, mitochondrial dysfunction, and induction of oxidative stress [24,25]. The likelihood of CIPN development is closely related to cumulative dose, dose intensity, and duration of exposure [26].</w:t>
      </w:r>
    </w:p>
    <w:p w:rsidR="00126855" w:rsidRPr="000251E3" w:rsidRDefault="004F0818" w:rsidP="003F38D2">
      <w:pPr>
        <w:spacing w:after="0" w:line="360" w:lineRule="auto"/>
        <w:jc w:val="both"/>
        <w:rPr>
          <w:rFonts w:ascii="Times New Roman" w:hAnsi="Times New Roman" w:cs="Times New Roman"/>
        </w:rPr>
      </w:pPr>
      <w:r w:rsidRPr="000251E3">
        <w:rPr>
          <w:rFonts w:ascii="Times New Roman" w:hAnsi="Times New Roman" w:cs="Times New Roman"/>
        </w:rPr>
        <w:t>Beyond direct neurotoxicity, individual susceptibility to CIPN is influenced by host-related and treatment-related modifiers that interact with chemotherapeutic exposure. Genetic variations affecting drug metabolism, axonal transport proteins, and neuronal repair pathways have been implicated in differential vulnerability to nerve damage, partially explaining interpatient variability in CIPN s</w:t>
      </w:r>
      <w:r w:rsidR="00C754A2">
        <w:rPr>
          <w:rFonts w:ascii="Times New Roman" w:hAnsi="Times New Roman" w:cs="Times New Roman"/>
        </w:rPr>
        <w:t>everity [27,28].</w:t>
      </w:r>
      <w:r w:rsidRPr="000251E3">
        <w:rPr>
          <w:rFonts w:ascii="Times New Roman" w:hAnsi="Times New Roman" w:cs="Times New Roman"/>
        </w:rPr>
        <w:t xml:space="preserve"> </w:t>
      </w:r>
    </w:p>
    <w:p w:rsidR="00A86CE5" w:rsidRPr="000251E3" w:rsidRDefault="004F0818" w:rsidP="003F38D2">
      <w:pPr>
        <w:spacing w:after="0" w:line="360" w:lineRule="auto"/>
        <w:jc w:val="both"/>
        <w:rPr>
          <w:rFonts w:ascii="Times New Roman" w:hAnsi="Times New Roman" w:cs="Times New Roman"/>
        </w:rPr>
      </w:pPr>
      <w:r w:rsidRPr="000251E3">
        <w:rPr>
          <w:rFonts w:ascii="Times New Roman" w:hAnsi="Times New Roman" w:cs="Times New Roman"/>
        </w:rPr>
        <w:t>Additionally, treatment scheduling and combination regimens may amplify neurotoxic burden through cumulative or synergistic effects, particularly when multiple neurotoxic agents are administered concurrently [31]. These contributory factors highlight that CIPN development reflects a complex interplay between drug-specific toxicity and patient-specific risk determinants rather than isolated pharmacologic effects alone [32].</w:t>
      </w:r>
    </w:p>
    <w:p w:rsidR="00ED24FD" w:rsidRPr="000251E3" w:rsidRDefault="005F203C"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Platinum-based agents such as cisplatin and oxaliplatin are well-recognized causes of CIPN, primarily inducing sensory neuron damage within the dorsal root ganglia [27]. Oxaliplatin uniquely causes acute cold-induced neuropathy in addition to cumulative chronic neuropathy </w:t>
      </w:r>
      <w:r w:rsidRPr="000251E3">
        <w:rPr>
          <w:rFonts w:ascii="Times New Roman" w:hAnsi="Times New Roman" w:cs="Times New Roman"/>
        </w:rPr>
        <w:lastRenderedPageBreak/>
        <w:t xml:space="preserve">[28]. </w:t>
      </w:r>
      <w:proofErr w:type="spellStart"/>
      <w:r w:rsidRPr="000251E3">
        <w:rPr>
          <w:rFonts w:ascii="Times New Roman" w:hAnsi="Times New Roman" w:cs="Times New Roman"/>
        </w:rPr>
        <w:t>Taxanes</w:t>
      </w:r>
      <w:proofErr w:type="spellEnd"/>
      <w:r w:rsidRPr="000251E3">
        <w:rPr>
          <w:rFonts w:ascii="Times New Roman" w:hAnsi="Times New Roman" w:cs="Times New Roman"/>
        </w:rPr>
        <w:t xml:space="preserve">, including paclitaxel and docetaxel, disrupt axonal transport by stabilizing microtubules, resulting in distal axonal degeneration and sensory neuropathy [29]. </w:t>
      </w:r>
    </w:p>
    <w:p w:rsidR="008311F7" w:rsidRPr="000251E3" w:rsidRDefault="005F203C" w:rsidP="003F38D2">
      <w:pPr>
        <w:spacing w:after="0" w:line="360" w:lineRule="auto"/>
        <w:jc w:val="both"/>
        <w:rPr>
          <w:rFonts w:ascii="Times New Roman" w:hAnsi="Times New Roman" w:cs="Times New Roman"/>
        </w:rPr>
      </w:pPr>
      <w:proofErr w:type="spellStart"/>
      <w:r w:rsidRPr="000251E3">
        <w:rPr>
          <w:rFonts w:ascii="Times New Roman" w:hAnsi="Times New Roman" w:cs="Times New Roman"/>
        </w:rPr>
        <w:t>Vinca</w:t>
      </w:r>
      <w:proofErr w:type="spellEnd"/>
      <w:r w:rsidRPr="000251E3">
        <w:rPr>
          <w:rFonts w:ascii="Times New Roman" w:hAnsi="Times New Roman" w:cs="Times New Roman"/>
        </w:rPr>
        <w:t xml:space="preserve"> alkaloids, particularly vincristine, impair microtubule assembly and frequently cause mixed sensory-motor neuropathy with prominent autonomic involvement [30]. Proteasome inhibitors such as bortezomib are increasingly recognized as major contributors to CIPN, particularly in patients with multiple myeloma [31].</w:t>
      </w:r>
    </w:p>
    <w:p w:rsidR="008E35ED" w:rsidRPr="000251E3" w:rsidRDefault="005F203C" w:rsidP="003F38D2">
      <w:pPr>
        <w:spacing w:after="0" w:line="360" w:lineRule="auto"/>
        <w:jc w:val="both"/>
        <w:rPr>
          <w:rFonts w:ascii="Times New Roman" w:hAnsi="Times New Roman" w:cs="Times New Roman"/>
        </w:rPr>
      </w:pPr>
      <w:r w:rsidRPr="000251E3">
        <w:rPr>
          <w:rFonts w:ascii="Times New Roman" w:hAnsi="Times New Roman" w:cs="Times New Roman"/>
          <w:b/>
        </w:rPr>
        <w:t>Table 3.</w:t>
      </w:r>
      <w:r w:rsidRPr="000251E3">
        <w:rPr>
          <w:rFonts w:ascii="Times New Roman" w:hAnsi="Times New Roman" w:cs="Times New Roman"/>
        </w:rPr>
        <w:t xml:space="preserve"> Chemotherapeutic agents associated with CIPN</w:t>
      </w:r>
    </w:p>
    <w:tbl>
      <w:tblPr>
        <w:tblStyle w:val="TableGrid"/>
        <w:tblW w:w="9828" w:type="dxa"/>
        <w:tblLook w:val="04A0" w:firstRow="1" w:lastRow="0" w:firstColumn="1" w:lastColumn="0" w:noHBand="0" w:noVBand="1"/>
      </w:tblPr>
      <w:tblGrid>
        <w:gridCol w:w="2538"/>
        <w:gridCol w:w="3846"/>
        <w:gridCol w:w="3444"/>
      </w:tblGrid>
      <w:tr w:rsidR="008E35ED" w:rsidRPr="000251E3" w:rsidTr="00F82E6D">
        <w:tc>
          <w:tcPr>
            <w:tcW w:w="2538"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DRUG CLASS</w:t>
            </w:r>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CHEMOTHERAPEUTIC AGENTS</w:t>
            </w:r>
          </w:p>
        </w:tc>
        <w:tc>
          <w:tcPr>
            <w:tcW w:w="3444"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 xml:space="preserve">MECHANISM OF </w:t>
            </w:r>
            <w:r w:rsidR="00637239" w:rsidRPr="000251E3">
              <w:rPr>
                <w:rFonts w:ascii="Times New Roman" w:hAnsi="Times New Roman" w:cs="Times New Roman"/>
              </w:rPr>
              <w:t>TOXICITY</w:t>
            </w:r>
          </w:p>
        </w:tc>
      </w:tr>
      <w:tr w:rsidR="008E35ED" w:rsidRPr="000251E3" w:rsidTr="00F82E6D">
        <w:tc>
          <w:tcPr>
            <w:tcW w:w="2538"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Platinum compounds</w:t>
            </w:r>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Cisplatin, Oxaliplatin</w:t>
            </w:r>
          </w:p>
        </w:tc>
        <w:tc>
          <w:tcPr>
            <w:tcW w:w="3444" w:type="dxa"/>
          </w:tcPr>
          <w:p w:rsidR="008E35ED"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DNA damage, mitochondrial dysfunction</w:t>
            </w:r>
          </w:p>
        </w:tc>
      </w:tr>
      <w:tr w:rsidR="008E35ED" w:rsidRPr="000251E3" w:rsidTr="00F82E6D">
        <w:tc>
          <w:tcPr>
            <w:tcW w:w="2538" w:type="dxa"/>
          </w:tcPr>
          <w:p w:rsidR="008E35ED" w:rsidRPr="000251E3" w:rsidRDefault="008E35ED" w:rsidP="003F38D2">
            <w:pPr>
              <w:spacing w:line="360" w:lineRule="auto"/>
              <w:jc w:val="both"/>
              <w:rPr>
                <w:rFonts w:ascii="Times New Roman" w:hAnsi="Times New Roman" w:cs="Times New Roman"/>
              </w:rPr>
            </w:pPr>
            <w:proofErr w:type="spellStart"/>
            <w:r w:rsidRPr="000251E3">
              <w:rPr>
                <w:rFonts w:ascii="Times New Roman" w:hAnsi="Times New Roman" w:cs="Times New Roman"/>
              </w:rPr>
              <w:t>Taxanes</w:t>
            </w:r>
            <w:proofErr w:type="spellEnd"/>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Paclitaxel, Docetaxel</w:t>
            </w:r>
          </w:p>
        </w:tc>
        <w:tc>
          <w:tcPr>
            <w:tcW w:w="3444" w:type="dxa"/>
          </w:tcPr>
          <w:p w:rsidR="008E35ED"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Impaired axonal transport</w:t>
            </w:r>
          </w:p>
        </w:tc>
      </w:tr>
      <w:tr w:rsidR="008E35ED" w:rsidRPr="000251E3" w:rsidTr="00F82E6D">
        <w:tc>
          <w:tcPr>
            <w:tcW w:w="2538" w:type="dxa"/>
          </w:tcPr>
          <w:p w:rsidR="008E35ED" w:rsidRPr="000251E3" w:rsidRDefault="008E35ED" w:rsidP="003F38D2">
            <w:pPr>
              <w:spacing w:line="360" w:lineRule="auto"/>
              <w:jc w:val="both"/>
              <w:rPr>
                <w:rFonts w:ascii="Times New Roman" w:hAnsi="Times New Roman" w:cs="Times New Roman"/>
              </w:rPr>
            </w:pPr>
            <w:proofErr w:type="spellStart"/>
            <w:r w:rsidRPr="000251E3">
              <w:rPr>
                <w:rFonts w:ascii="Times New Roman" w:hAnsi="Times New Roman" w:cs="Times New Roman"/>
              </w:rPr>
              <w:t>Vinca</w:t>
            </w:r>
            <w:proofErr w:type="spellEnd"/>
            <w:r w:rsidRPr="000251E3">
              <w:rPr>
                <w:rFonts w:ascii="Times New Roman" w:hAnsi="Times New Roman" w:cs="Times New Roman"/>
              </w:rPr>
              <w:t xml:space="preserve"> alkaloids</w:t>
            </w:r>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Vincristine</w:t>
            </w:r>
          </w:p>
        </w:tc>
        <w:tc>
          <w:tcPr>
            <w:tcW w:w="3444" w:type="dxa"/>
          </w:tcPr>
          <w:p w:rsidR="008E35ED"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Microtubule depolymerisation</w:t>
            </w:r>
          </w:p>
        </w:tc>
      </w:tr>
      <w:tr w:rsidR="008E35ED" w:rsidRPr="000251E3" w:rsidTr="00F82E6D">
        <w:tc>
          <w:tcPr>
            <w:tcW w:w="2538"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Proteasome Inhibitors</w:t>
            </w:r>
          </w:p>
        </w:tc>
        <w:tc>
          <w:tcPr>
            <w:tcW w:w="3846" w:type="dxa"/>
          </w:tcPr>
          <w:p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Bortezomib</w:t>
            </w:r>
          </w:p>
        </w:tc>
        <w:tc>
          <w:tcPr>
            <w:tcW w:w="3444" w:type="dxa"/>
          </w:tcPr>
          <w:p w:rsidR="008E35ED" w:rsidRPr="000251E3" w:rsidRDefault="00637239" w:rsidP="003F38D2">
            <w:pPr>
              <w:spacing w:line="360" w:lineRule="auto"/>
              <w:jc w:val="both"/>
              <w:rPr>
                <w:rFonts w:ascii="Times New Roman" w:hAnsi="Times New Roman" w:cs="Times New Roman"/>
              </w:rPr>
            </w:pPr>
            <w:proofErr w:type="spellStart"/>
            <w:r w:rsidRPr="000251E3">
              <w:rPr>
                <w:rFonts w:ascii="Times New Roman" w:hAnsi="Times New Roman" w:cs="Times New Roman"/>
              </w:rPr>
              <w:t>Proteosome</w:t>
            </w:r>
            <w:proofErr w:type="spellEnd"/>
            <w:r w:rsidRPr="000251E3">
              <w:rPr>
                <w:rFonts w:ascii="Times New Roman" w:hAnsi="Times New Roman" w:cs="Times New Roman"/>
              </w:rPr>
              <w:t xml:space="preserve"> inhibition</w:t>
            </w:r>
          </w:p>
        </w:tc>
      </w:tr>
    </w:tbl>
    <w:p w:rsidR="00A86CE5" w:rsidRPr="000251E3" w:rsidRDefault="00E175FE"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w:t>
      </w:r>
      <w:r w:rsidR="00731BF4">
        <w:rPr>
          <w:rFonts w:ascii="Times New Roman" w:hAnsi="Times New Roman" w:cs="Times New Roman"/>
        </w:rPr>
        <w:t xml:space="preserve"> and modified</w:t>
      </w:r>
      <w:r w:rsidRPr="000251E3">
        <w:rPr>
          <w:rFonts w:ascii="Times New Roman" w:hAnsi="Times New Roman" w:cs="Times New Roman"/>
        </w:rPr>
        <w:t xml:space="preserve"> from </w:t>
      </w:r>
      <w:proofErr w:type="spellStart"/>
      <w:r w:rsidRPr="000251E3">
        <w:rPr>
          <w:rFonts w:ascii="Times New Roman" w:hAnsi="Times New Roman" w:cs="Times New Roman"/>
        </w:rPr>
        <w:t>Argyriou</w:t>
      </w:r>
      <w:proofErr w:type="spellEnd"/>
      <w:r w:rsidRPr="000251E3">
        <w:rPr>
          <w:rFonts w:ascii="Times New Roman" w:hAnsi="Times New Roman" w:cs="Times New Roman"/>
        </w:rPr>
        <w:t xml:space="preserve"> et al. [23].</w:t>
      </w:r>
    </w:p>
    <w:p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RISK FACTORS FOR CHEMOTHERAPY-INDUCED PERIPHERAL NEUROPATHY:</w:t>
      </w:r>
    </w:p>
    <w:p w:rsidR="00ED24FD" w:rsidRPr="000251E3" w:rsidRDefault="003141D1" w:rsidP="003F38D2">
      <w:pPr>
        <w:spacing w:after="0" w:line="360" w:lineRule="auto"/>
        <w:jc w:val="both"/>
        <w:rPr>
          <w:rFonts w:ascii="Times New Roman" w:hAnsi="Times New Roman" w:cs="Times New Roman"/>
        </w:rPr>
      </w:pPr>
      <w:r w:rsidRPr="000251E3">
        <w:rPr>
          <w:rFonts w:ascii="Times New Roman" w:hAnsi="Times New Roman" w:cs="Times New Roman"/>
        </w:rPr>
        <w:t>The development of CIPN is influenced by both treatment-related and patient-related risk factors [32]. Treatment-related factors include the type of neurotoxic agent, cumulative dose, infusion schedule, and combination chemotherapy regimens [26]. Higher cumulative doses and prolonged treatment duration are consistently associated with increased risk and severity of neuropathy [33].</w:t>
      </w:r>
    </w:p>
    <w:p w:rsidR="00ED24FD" w:rsidRPr="000251E3" w:rsidRDefault="003141D1" w:rsidP="003F38D2">
      <w:pPr>
        <w:spacing w:after="0" w:line="360" w:lineRule="auto"/>
        <w:jc w:val="both"/>
        <w:rPr>
          <w:rFonts w:ascii="Times New Roman" w:hAnsi="Times New Roman" w:cs="Times New Roman"/>
        </w:rPr>
      </w:pPr>
      <w:r w:rsidRPr="000251E3">
        <w:rPr>
          <w:rFonts w:ascii="Times New Roman" w:hAnsi="Times New Roman" w:cs="Times New Roman"/>
        </w:rPr>
        <w:t>Patient-related risk factors include advanced age, pre-existing peripheral neuropathy, diabetes mellitus, renal impairment, alcohol abuse, and nutritional deficiencies such as vitamin B12 deficiency [34,35]. Emerging evidence suggests that genetic polymorphisms affecting drug metabolism, oxidative stress responses, and neuronal repair mechanisms may further predispose individuals to CIPN [36].</w:t>
      </w:r>
    </w:p>
    <w:p w:rsidR="00ED24FD" w:rsidRPr="000251E3" w:rsidRDefault="009870AF"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Recent clinical observations indicate that lifestyle and functional factors may further modify the risk and clinical expression of CIPN. Reduced physical activity levels, baseline frailty, and impaired balance have been associated with heightened symptom perception and delayed neurological recovery during and after chemotherapy [37]. In addition, inflammatory comorbidities and altered immune responses may amplify peripheral nerve vulnerability by sustaining low-grade neuroinflammation throughout treatment exposure [38]. </w:t>
      </w:r>
    </w:p>
    <w:p w:rsidR="004F0818" w:rsidRPr="000251E3" w:rsidRDefault="009870AF" w:rsidP="003F38D2">
      <w:pPr>
        <w:spacing w:after="0" w:line="360" w:lineRule="auto"/>
        <w:jc w:val="both"/>
        <w:rPr>
          <w:rFonts w:ascii="Times New Roman" w:hAnsi="Times New Roman" w:cs="Times New Roman"/>
        </w:rPr>
      </w:pPr>
      <w:r w:rsidRPr="000251E3">
        <w:rPr>
          <w:rFonts w:ascii="Times New Roman" w:hAnsi="Times New Roman" w:cs="Times New Roman"/>
        </w:rPr>
        <w:lastRenderedPageBreak/>
        <w:t>Psychological factors such as anxiety, depression, and heightened symptom awareness have also been shown to influence patient-reported neuropathic severity, suggesting that neurotoxicity risk is shaped by both biological and psychosocial dimensions [39]. Recognition of these modifiable contributors is increasingly important for individualized risk stratification and early supportive intervention planning in patients receiving neurotoxic chemotherapy [40].</w:t>
      </w:r>
    </w:p>
    <w:p w:rsidR="0063451E" w:rsidRPr="000251E3" w:rsidRDefault="0063451E" w:rsidP="003F38D2">
      <w:pPr>
        <w:spacing w:after="0" w:line="360" w:lineRule="auto"/>
        <w:jc w:val="both"/>
        <w:rPr>
          <w:rFonts w:ascii="Times New Roman" w:hAnsi="Times New Roman" w:cs="Times New Roman"/>
        </w:rPr>
      </w:pPr>
      <w:r w:rsidRPr="000251E3">
        <w:rPr>
          <w:rFonts w:ascii="Times New Roman" w:hAnsi="Times New Roman" w:cs="Times New Roman"/>
          <w:noProof/>
          <w:lang w:val="en-US"/>
        </w:rPr>
        <w:drawing>
          <wp:inline distT="0" distB="0" distL="0" distR="0">
            <wp:extent cx="5308975" cy="3551274"/>
            <wp:effectExtent l="19050" t="0" r="5975" b="0"/>
            <wp:docPr id="9" name="Picture 1" descr="IMAGE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jfif"/>
                    <pic:cNvPicPr/>
                  </pic:nvPicPr>
                  <pic:blipFill>
                    <a:blip r:embed="rId9"/>
                    <a:stretch>
                      <a:fillRect/>
                    </a:stretch>
                  </pic:blipFill>
                  <pic:spPr>
                    <a:xfrm>
                      <a:off x="0" y="0"/>
                      <a:ext cx="5310227" cy="3552111"/>
                    </a:xfrm>
                    <a:prstGeom prst="rect">
                      <a:avLst/>
                    </a:prstGeom>
                  </pic:spPr>
                </pic:pic>
              </a:graphicData>
            </a:graphic>
          </wp:inline>
        </w:drawing>
      </w:r>
    </w:p>
    <w:p w:rsidR="008311F7" w:rsidRPr="000251E3" w:rsidRDefault="003141D1" w:rsidP="003F38D2">
      <w:pPr>
        <w:spacing w:after="0" w:line="360" w:lineRule="auto"/>
        <w:jc w:val="both"/>
        <w:rPr>
          <w:rFonts w:ascii="Times New Roman" w:hAnsi="Times New Roman" w:cs="Times New Roman"/>
        </w:rPr>
      </w:pPr>
      <w:r w:rsidRPr="000251E3">
        <w:rPr>
          <w:rFonts w:ascii="Times New Roman" w:hAnsi="Times New Roman" w:cs="Times New Roman"/>
          <w:b/>
        </w:rPr>
        <w:t>Figure 2.</w:t>
      </w:r>
      <w:r w:rsidRPr="000251E3">
        <w:rPr>
          <w:rFonts w:ascii="Times New Roman" w:hAnsi="Times New Roman" w:cs="Times New Roman"/>
        </w:rPr>
        <w:t xml:space="preserve"> Risk factors contributing to CIPN</w:t>
      </w:r>
      <w:r w:rsidR="00731BF4">
        <w:rPr>
          <w:rFonts w:ascii="Times New Roman" w:hAnsi="Times New Roman" w:cs="Times New Roman"/>
        </w:rPr>
        <w:t xml:space="preserve"> (Author-generated figure)</w:t>
      </w:r>
    </w:p>
    <w:p w:rsidR="0063451E" w:rsidRPr="000251E3" w:rsidRDefault="003141D1" w:rsidP="003F38D2">
      <w:pPr>
        <w:spacing w:after="0" w:line="360" w:lineRule="auto"/>
        <w:jc w:val="both"/>
        <w:rPr>
          <w:rFonts w:ascii="Times New Roman" w:hAnsi="Times New Roman" w:cs="Times New Roman"/>
        </w:rPr>
      </w:pPr>
      <w:r w:rsidRPr="000251E3">
        <w:rPr>
          <w:rFonts w:ascii="Times New Roman" w:hAnsi="Times New Roman" w:cs="Times New Roman"/>
        </w:rPr>
        <w:t>Schematic illustration depicting treatment-related, patient-related, and genetic susceptibility factors involved in CIPN development.</w:t>
      </w:r>
    </w:p>
    <w:p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PATHOPHYSIOLOGY OF CHEMOTHERAPY-INDUCED PERIPHERAL NEUROPATHY:</w:t>
      </w:r>
    </w:p>
    <w:p w:rsidR="00ED24FD"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rPr>
        <w:t>The pathophysiology of CIPN is complex and multifactorial, involving structural and functional damage to peripheral nerves [7,24]. Although the mechanisms vary among chemotherapeutic agents, several shared pathways contribute to nerve injury and symptom development.</w:t>
      </w:r>
    </w:p>
    <w:p w:rsidR="00833B2B"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rPr>
        <w:t>Axonal degeneration is a central feature of CIPN, particularly affecting long sensory neurons due to their high metabolic demands [29]. Mitochondrial dysfunction and excessive production of reactive oxygen species result in energy failure and neuronal apoptosis [25,37]. Neuroinflammatory processes involving activation of glial cells and release of pro-</w:t>
      </w:r>
      <w:r w:rsidRPr="000251E3">
        <w:rPr>
          <w:rFonts w:ascii="Times New Roman" w:hAnsi="Times New Roman" w:cs="Times New Roman"/>
        </w:rPr>
        <w:lastRenderedPageBreak/>
        <w:t xml:space="preserve">inflammatory cytokines further exacerbate neuropathic pain and sensory hypersensitivity [38]. </w:t>
      </w:r>
    </w:p>
    <w:p w:rsidR="00833B2B"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rPr>
        <w:t>Additionally, alterations in ion channel expression and function contribute to neuronal hyperexcitability and chronic pain [39</w:t>
      </w:r>
      <w:proofErr w:type="gramStart"/>
      <w:r w:rsidRPr="000251E3">
        <w:rPr>
          <w:rFonts w:ascii="Times New Roman" w:hAnsi="Times New Roman" w:cs="Times New Roman"/>
        </w:rPr>
        <w:t>].</w:t>
      </w:r>
      <w:r w:rsidR="00F70B14" w:rsidRPr="000251E3">
        <w:rPr>
          <w:rFonts w:ascii="Times New Roman" w:hAnsi="Times New Roman" w:cs="Times New Roman"/>
        </w:rPr>
        <w:t>Emerging</w:t>
      </w:r>
      <w:proofErr w:type="gramEnd"/>
      <w:r w:rsidR="00F70B14" w:rsidRPr="000251E3">
        <w:rPr>
          <w:rFonts w:ascii="Times New Roman" w:hAnsi="Times New Roman" w:cs="Times New Roman"/>
        </w:rPr>
        <w:t xml:space="preserve"> evidence indicates that disruption of axonal transport and impaired neurotrophic </w:t>
      </w:r>
      <w:proofErr w:type="spellStart"/>
      <w:r w:rsidR="00F70B14" w:rsidRPr="000251E3">
        <w:rPr>
          <w:rFonts w:ascii="Times New Roman" w:hAnsi="Times New Roman" w:cs="Times New Roman"/>
        </w:rPr>
        <w:t>signaling</w:t>
      </w:r>
      <w:proofErr w:type="spellEnd"/>
      <w:r w:rsidR="00F70B14" w:rsidRPr="000251E3">
        <w:rPr>
          <w:rFonts w:ascii="Times New Roman" w:hAnsi="Times New Roman" w:cs="Times New Roman"/>
        </w:rPr>
        <w:t xml:space="preserve"> play a critical role in the progression of CIPN. Chemotherapeutic agents interfere with microtubule-dependent transport systems, leading to defective delivery of essential proteins, organelles, and growth factors to distal nerve terminals [31,34]. </w:t>
      </w:r>
    </w:p>
    <w:p w:rsidR="002148DA" w:rsidRPr="000251E3" w:rsidRDefault="00F70B14"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This transport failure preferentially affects long peripheral axons and contributes to distal nerve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loss and delayed recovery following treatment cessation [35]. In parallel, reduced expression of neurotrophic factors such as nerve growth factor and brain-derived neurotrophic factor has been implicated in impaired neuronal repair and regeneration, further perpetuating sensory dysfunction and chronic neuropathic symptoms [40,47</w:t>
      </w:r>
      <w:r w:rsidR="00007D0F">
        <w:rPr>
          <w:rFonts w:ascii="Times New Roman" w:hAnsi="Times New Roman" w:cs="Times New Roman"/>
        </w:rPr>
        <w:t>,54</w:t>
      </w:r>
      <w:r w:rsidRPr="000251E3">
        <w:rPr>
          <w:rFonts w:ascii="Times New Roman" w:hAnsi="Times New Roman" w:cs="Times New Roman"/>
        </w:rPr>
        <w:t>].</w:t>
      </w:r>
      <w:r w:rsidR="002148DA" w:rsidRPr="000251E3">
        <w:rPr>
          <w:rFonts w:ascii="Times New Roman" w:hAnsi="Times New Roman" w:cs="Times New Roman"/>
        </w:rPr>
        <w:t xml:space="preserve">  Beyond the classical mechanisms described above, emerging evidence suggests that vascular, metabolic, and immune-mediated alterations significantly contribute to the development and persistence of chemotherapy-induced peripheral neuropathy. Chemotherapeutic agents have been shown to induce microvascular injury within peripheral nerves, leading to </w:t>
      </w:r>
      <w:proofErr w:type="spellStart"/>
      <w:r w:rsidR="002148DA" w:rsidRPr="000251E3">
        <w:rPr>
          <w:rFonts w:ascii="Times New Roman" w:hAnsi="Times New Roman" w:cs="Times New Roman"/>
        </w:rPr>
        <w:t>endoneurial</w:t>
      </w:r>
      <w:proofErr w:type="spellEnd"/>
      <w:r w:rsidR="002148DA" w:rsidRPr="000251E3">
        <w:rPr>
          <w:rFonts w:ascii="Times New Roman" w:hAnsi="Times New Roman" w:cs="Times New Roman"/>
        </w:rPr>
        <w:t xml:space="preserve"> hypoxia and impaired nutrient delivery. Damage to the vasa </w:t>
      </w:r>
      <w:proofErr w:type="spellStart"/>
      <w:r w:rsidR="002148DA" w:rsidRPr="000251E3">
        <w:rPr>
          <w:rFonts w:ascii="Times New Roman" w:hAnsi="Times New Roman" w:cs="Times New Roman"/>
        </w:rPr>
        <w:t>nervorum</w:t>
      </w:r>
      <w:proofErr w:type="spellEnd"/>
      <w:r w:rsidR="002148DA" w:rsidRPr="000251E3">
        <w:rPr>
          <w:rFonts w:ascii="Times New Roman" w:hAnsi="Times New Roman" w:cs="Times New Roman"/>
        </w:rPr>
        <w:t xml:space="preserve"> disrupts normal nerve perfusion, thereby exacerbating axonal vulnerability and delaying regenerative processes, particularly in distal nerve segments [1,33].</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Recent studies also highlight the role of altered lipid and glucose metabolism in peripheral neurons following chemotherapy exposure. Metabolic stress can compromise membrane integrity and myelin maintenance, resulting in impaired nerve conduction and heightened sensory dysfunction. This metabolic imbalance may partly explain the increased susceptibility of patients with pre-existing metabolic disorders to severe and persistent CIPN [3,4].</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In addition, immune dysregulation has gained attention as a contributing factor in CIPN pathogenesis. Chemotherapy-induced activation of innate immune pathways can promote sustained release of chemokines and immune mediators within peripheral nerve tissues. These mediators not only amplify nociceptive </w:t>
      </w:r>
      <w:proofErr w:type="spellStart"/>
      <w:r w:rsidRPr="000251E3">
        <w:rPr>
          <w:rFonts w:ascii="Times New Roman" w:hAnsi="Times New Roman" w:cs="Times New Roman"/>
        </w:rPr>
        <w:t>signaling</w:t>
      </w:r>
      <w:proofErr w:type="spellEnd"/>
      <w:r w:rsidRPr="000251E3">
        <w:rPr>
          <w:rFonts w:ascii="Times New Roman" w:hAnsi="Times New Roman" w:cs="Times New Roman"/>
        </w:rPr>
        <w:t xml:space="preserve"> but also interfere with normal repair mechanisms, promoting chronic neuropathic symptoms even after cessation of treatment [7,38].</w:t>
      </w:r>
    </w:p>
    <w:p w:rsidR="00F70B14"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Another important but less explored mechanism involves alterations in Schwann cell function. Chemotherapeutic agents may impair Schwann cell survival and differentiation, </w:t>
      </w:r>
      <w:r w:rsidRPr="000251E3">
        <w:rPr>
          <w:rFonts w:ascii="Times New Roman" w:hAnsi="Times New Roman" w:cs="Times New Roman"/>
        </w:rPr>
        <w:lastRenderedPageBreak/>
        <w:t xml:space="preserve">leading to defective myelin </w:t>
      </w:r>
      <w:proofErr w:type="spellStart"/>
      <w:r w:rsidRPr="000251E3">
        <w:rPr>
          <w:rFonts w:ascii="Times New Roman" w:hAnsi="Times New Roman" w:cs="Times New Roman"/>
        </w:rPr>
        <w:t>remodeling</w:t>
      </w:r>
      <w:proofErr w:type="spellEnd"/>
      <w:r w:rsidRPr="000251E3">
        <w:rPr>
          <w:rFonts w:ascii="Times New Roman" w:hAnsi="Times New Roman" w:cs="Times New Roman"/>
        </w:rPr>
        <w:t xml:space="preserve"> and reduced support for axonal regeneration. Schwann cell dysfunction further compromises neuronal resilience and may contribute to the prolonged recovery observed in many patients with CIPN [29,47].</w:t>
      </w:r>
    </w:p>
    <w:p w:rsidR="0063451E" w:rsidRPr="000251E3" w:rsidRDefault="0063451E" w:rsidP="003F38D2">
      <w:pPr>
        <w:spacing w:after="0" w:line="360" w:lineRule="auto"/>
        <w:jc w:val="both"/>
        <w:rPr>
          <w:rFonts w:ascii="Times New Roman" w:hAnsi="Times New Roman" w:cs="Times New Roman"/>
        </w:rPr>
      </w:pPr>
      <w:r w:rsidRPr="000251E3">
        <w:rPr>
          <w:rFonts w:ascii="Times New Roman" w:hAnsi="Times New Roman" w:cs="Times New Roman"/>
          <w:noProof/>
          <w:lang w:val="en-US"/>
        </w:rPr>
        <w:drawing>
          <wp:inline distT="0" distB="0" distL="0" distR="0">
            <wp:extent cx="5600700" cy="3057525"/>
            <wp:effectExtent l="19050" t="0" r="0" b="0"/>
            <wp:docPr id="11" name="Picture 3" descr="IMAGE 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jfif"/>
                    <pic:cNvPicPr/>
                  </pic:nvPicPr>
                  <pic:blipFill>
                    <a:blip r:embed="rId10"/>
                    <a:stretch>
                      <a:fillRect/>
                    </a:stretch>
                  </pic:blipFill>
                  <pic:spPr>
                    <a:xfrm>
                      <a:off x="0" y="0"/>
                      <a:ext cx="5600700" cy="3057525"/>
                    </a:xfrm>
                    <a:prstGeom prst="rect">
                      <a:avLst/>
                    </a:prstGeom>
                  </pic:spPr>
                </pic:pic>
              </a:graphicData>
            </a:graphic>
          </wp:inline>
        </w:drawing>
      </w:r>
    </w:p>
    <w:p w:rsidR="008311F7"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b/>
        </w:rPr>
        <w:t>Figure 3.</w:t>
      </w:r>
      <w:r w:rsidRPr="000251E3">
        <w:rPr>
          <w:rFonts w:ascii="Times New Roman" w:hAnsi="Times New Roman" w:cs="Times New Roman"/>
        </w:rPr>
        <w:t xml:space="preserve"> Mechanisms involved in CIPN pathogenesis</w:t>
      </w:r>
      <w:r w:rsidR="00731BF4">
        <w:rPr>
          <w:rFonts w:ascii="Times New Roman" w:hAnsi="Times New Roman" w:cs="Times New Roman"/>
        </w:rPr>
        <w:t xml:space="preserve"> (Author-generated figure)</w:t>
      </w:r>
    </w:p>
    <w:p w:rsidR="00A86CE5"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rPr>
        <w:t>Diagrammatic overview illustrating axonal degeneration, mitochondrial dysfunction, oxidative stress, and neuroinflammatory pathways leading to peripheral nerve damage.</w:t>
      </w:r>
    </w:p>
    <w:p w:rsidR="00A86CE5" w:rsidRPr="000251E3" w:rsidRDefault="00106FFA" w:rsidP="005F4BAE">
      <w:pPr>
        <w:pStyle w:val="ListParagraph"/>
        <w:numPr>
          <w:ilvl w:val="0"/>
          <w:numId w:val="1"/>
        </w:numPr>
        <w:spacing w:after="0" w:line="360" w:lineRule="auto"/>
        <w:contextualSpacing w:val="0"/>
        <w:jc w:val="both"/>
        <w:rPr>
          <w:rFonts w:ascii="Times New Roman" w:hAnsi="Times New Roman" w:cs="Times New Roman"/>
          <w:b/>
        </w:rPr>
      </w:pPr>
      <w:r>
        <w:rPr>
          <w:rFonts w:ascii="Times New Roman" w:hAnsi="Times New Roman" w:cs="Times New Roman"/>
          <w:b/>
        </w:rPr>
        <w:t xml:space="preserve">CLINICAL FEATURES OF CHEMOTHERAPY-INDUCED PERIPHERAL </w:t>
      </w:r>
      <w:proofErr w:type="gramStart"/>
      <w:r>
        <w:rPr>
          <w:rFonts w:ascii="Times New Roman" w:hAnsi="Times New Roman" w:cs="Times New Roman"/>
          <w:b/>
        </w:rPr>
        <w:t>NEUROPATHY :</w:t>
      </w:r>
      <w:proofErr w:type="gramEnd"/>
    </w:p>
    <w:p w:rsidR="00833B2B" w:rsidRPr="000251E3" w:rsidRDefault="00C45D6E"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Clinically, CIPN most commonly presents as a symmetric, distal sensory neuropathy affecting the hands and feet [8]. Sensory symptoms include numbness, tingling, </w:t>
      </w:r>
      <w:proofErr w:type="spellStart"/>
      <w:r w:rsidRPr="000251E3">
        <w:rPr>
          <w:rFonts w:ascii="Times New Roman" w:hAnsi="Times New Roman" w:cs="Times New Roman"/>
        </w:rPr>
        <w:t>paresthesia</w:t>
      </w:r>
      <w:proofErr w:type="spellEnd"/>
      <w:r w:rsidRPr="000251E3">
        <w:rPr>
          <w:rFonts w:ascii="Times New Roman" w:hAnsi="Times New Roman" w:cs="Times New Roman"/>
        </w:rPr>
        <w:t>, burning pain, and altered perception of vibration and temperature [40]. These symptoms often progress proximally with continued chemotherapy exposure and may persist long after treatment cessation [21].</w:t>
      </w:r>
    </w:p>
    <w:p w:rsidR="00A86CE5" w:rsidRPr="000251E3" w:rsidRDefault="00C45D6E"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Motor involvement is less frequent but may manifest as muscle weakness, impaired coordination, and reduced reflexes, particularly with </w:t>
      </w:r>
      <w:proofErr w:type="spellStart"/>
      <w:r w:rsidRPr="000251E3">
        <w:rPr>
          <w:rFonts w:ascii="Times New Roman" w:hAnsi="Times New Roman" w:cs="Times New Roman"/>
        </w:rPr>
        <w:t>vinca</w:t>
      </w:r>
      <w:proofErr w:type="spellEnd"/>
      <w:r w:rsidRPr="000251E3">
        <w:rPr>
          <w:rFonts w:ascii="Times New Roman" w:hAnsi="Times New Roman" w:cs="Times New Roman"/>
        </w:rPr>
        <w:t xml:space="preserve"> alkaloids and </w:t>
      </w:r>
      <w:proofErr w:type="spellStart"/>
      <w:r w:rsidRPr="000251E3">
        <w:rPr>
          <w:rFonts w:ascii="Times New Roman" w:hAnsi="Times New Roman" w:cs="Times New Roman"/>
        </w:rPr>
        <w:t>taxanes</w:t>
      </w:r>
      <w:proofErr w:type="spellEnd"/>
      <w:r w:rsidRPr="000251E3">
        <w:rPr>
          <w:rFonts w:ascii="Times New Roman" w:hAnsi="Times New Roman" w:cs="Times New Roman"/>
        </w:rPr>
        <w:t xml:space="preserve"> [30,41]. Autonomic neuropathy may occur in a subset of patients and includes symptoms such as orthostatic hypotension, constipation, urinary dysfunction, and sexual dysfunction [14,42]. Collectively, these manifestations significantly impair functional independence and quality of life [5].</w:t>
      </w:r>
    </w:p>
    <w:p w:rsidR="00C66060" w:rsidRPr="000251E3" w:rsidRDefault="00D764E9"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In addition to classical symptom domains, the clinical course of CIPN demonstrates considerable interindividual variability influenced by cumulative dose, treatment schedule, and patient-specific vulnerability. Acute neuropathic symptoms may occur during or shortly </w:t>
      </w:r>
      <w:r w:rsidRPr="000251E3">
        <w:rPr>
          <w:rFonts w:ascii="Times New Roman" w:hAnsi="Times New Roman" w:cs="Times New Roman"/>
        </w:rPr>
        <w:lastRenderedPageBreak/>
        <w:t xml:space="preserve">after infusion with certain agents, while chronic forms often evolve insidiously and worsen across treatment cycles [18,27]. </w:t>
      </w:r>
    </w:p>
    <w:p w:rsidR="009870AF" w:rsidRDefault="00D764E9" w:rsidP="003F38D2">
      <w:pPr>
        <w:spacing w:after="0" w:line="360" w:lineRule="auto"/>
        <w:jc w:val="both"/>
        <w:rPr>
          <w:rFonts w:ascii="Times New Roman" w:hAnsi="Times New Roman" w:cs="Times New Roman"/>
        </w:rPr>
      </w:pPr>
      <w:r w:rsidRPr="000251E3">
        <w:rPr>
          <w:rFonts w:ascii="Times New Roman" w:hAnsi="Times New Roman" w:cs="Times New Roman"/>
        </w:rPr>
        <w:t>A characteristic “coasting phenomenon,” in which neuropathic symptoms continue to progress even after discontinuation of chemotherapy, has been reported particularly with platinum-based regimens, complicating clinical recognition and follow-up [21,36]. The temporal heterogeneity and fluctuating severity of symptoms pose challenges for early identification and timely intervention, underscoring the need for vigilant longitudinal clinical monitoring [43,50].</w:t>
      </w:r>
    </w:p>
    <w:p w:rsidR="00760743" w:rsidRPr="00760743" w:rsidRDefault="00760743" w:rsidP="00760743">
      <w:pPr>
        <w:spacing w:after="0" w:line="360" w:lineRule="auto"/>
        <w:jc w:val="both"/>
        <w:rPr>
          <w:rFonts w:ascii="Times New Roman" w:hAnsi="Times New Roman" w:cs="Times New Roman"/>
        </w:rPr>
      </w:pPr>
      <w:r w:rsidRPr="00760743">
        <w:rPr>
          <w:rFonts w:ascii="Times New Roman" w:hAnsi="Times New Roman" w:cs="Times New Roman"/>
          <w:b/>
        </w:rPr>
        <w:t>Table 4.</w:t>
      </w:r>
      <w:r w:rsidRPr="00760743">
        <w:rPr>
          <w:rFonts w:ascii="Times New Roman" w:hAnsi="Times New Roman" w:cs="Times New Roman"/>
        </w:rPr>
        <w:t xml:space="preserve"> Clinical manifestations of CIPN</w:t>
      </w:r>
    </w:p>
    <w:tbl>
      <w:tblPr>
        <w:tblStyle w:val="TableGrid"/>
        <w:tblW w:w="0" w:type="auto"/>
        <w:tblLook w:val="04A0" w:firstRow="1" w:lastRow="0" w:firstColumn="1" w:lastColumn="0" w:noHBand="0" w:noVBand="1"/>
      </w:tblPr>
      <w:tblGrid>
        <w:gridCol w:w="2578"/>
        <w:gridCol w:w="6665"/>
      </w:tblGrid>
      <w:tr w:rsidR="00760743" w:rsidRPr="00760743" w:rsidTr="007A08BB">
        <w:tc>
          <w:tcPr>
            <w:tcW w:w="2628" w:type="dxa"/>
          </w:tcPr>
          <w:p w:rsidR="00760743" w:rsidRPr="00760743" w:rsidRDefault="00760743" w:rsidP="00760743">
            <w:pPr>
              <w:spacing w:line="360" w:lineRule="auto"/>
              <w:jc w:val="both"/>
              <w:rPr>
                <w:rFonts w:ascii="Times New Roman" w:hAnsi="Times New Roman" w:cs="Times New Roman"/>
              </w:rPr>
            </w:pPr>
            <w:r w:rsidRPr="00760743">
              <w:rPr>
                <w:rFonts w:ascii="Times New Roman" w:hAnsi="Times New Roman" w:cs="Times New Roman"/>
              </w:rPr>
              <w:t>DOMAIN</w:t>
            </w:r>
          </w:p>
        </w:tc>
        <w:tc>
          <w:tcPr>
            <w:tcW w:w="6948" w:type="dxa"/>
          </w:tcPr>
          <w:p w:rsidR="00760743" w:rsidRPr="00760743" w:rsidRDefault="00760743" w:rsidP="00760743">
            <w:pPr>
              <w:spacing w:line="360" w:lineRule="auto"/>
              <w:jc w:val="both"/>
              <w:rPr>
                <w:rFonts w:ascii="Times New Roman" w:hAnsi="Times New Roman" w:cs="Times New Roman"/>
              </w:rPr>
            </w:pPr>
            <w:r w:rsidRPr="00760743">
              <w:rPr>
                <w:rFonts w:ascii="Times New Roman" w:hAnsi="Times New Roman" w:cs="Times New Roman"/>
              </w:rPr>
              <w:t>COMMON SYMPTOMS</w:t>
            </w:r>
          </w:p>
        </w:tc>
      </w:tr>
      <w:tr w:rsidR="00760743" w:rsidRPr="00760743" w:rsidTr="007A08BB">
        <w:tc>
          <w:tcPr>
            <w:tcW w:w="2628" w:type="dxa"/>
          </w:tcPr>
          <w:p w:rsidR="00760743" w:rsidRPr="00760743" w:rsidRDefault="00760743" w:rsidP="00760743">
            <w:pPr>
              <w:spacing w:line="360" w:lineRule="auto"/>
              <w:jc w:val="both"/>
              <w:rPr>
                <w:rFonts w:ascii="Times New Roman" w:hAnsi="Times New Roman" w:cs="Times New Roman"/>
              </w:rPr>
            </w:pPr>
            <w:r w:rsidRPr="00760743">
              <w:rPr>
                <w:rFonts w:ascii="Times New Roman" w:hAnsi="Times New Roman" w:cs="Times New Roman"/>
              </w:rPr>
              <w:t>SENSORY</w:t>
            </w:r>
          </w:p>
        </w:tc>
        <w:tc>
          <w:tcPr>
            <w:tcW w:w="6948" w:type="dxa"/>
          </w:tcPr>
          <w:p w:rsidR="00760743" w:rsidRPr="00760743" w:rsidRDefault="00760743" w:rsidP="00760743">
            <w:pPr>
              <w:spacing w:line="360" w:lineRule="auto"/>
              <w:jc w:val="both"/>
              <w:rPr>
                <w:rFonts w:ascii="Times New Roman" w:hAnsi="Times New Roman" w:cs="Times New Roman"/>
              </w:rPr>
            </w:pPr>
            <w:r w:rsidRPr="00760743">
              <w:rPr>
                <w:rFonts w:ascii="Times New Roman" w:hAnsi="Times New Roman" w:cs="Times New Roman"/>
              </w:rPr>
              <w:t xml:space="preserve">Numbness, </w:t>
            </w:r>
            <w:proofErr w:type="spellStart"/>
            <w:r w:rsidRPr="00760743">
              <w:rPr>
                <w:rFonts w:ascii="Times New Roman" w:hAnsi="Times New Roman" w:cs="Times New Roman"/>
              </w:rPr>
              <w:t>paresthesia</w:t>
            </w:r>
            <w:proofErr w:type="spellEnd"/>
            <w:r w:rsidRPr="00760743">
              <w:rPr>
                <w:rFonts w:ascii="Times New Roman" w:hAnsi="Times New Roman" w:cs="Times New Roman"/>
              </w:rPr>
              <w:t>, neuropathic p</w:t>
            </w:r>
            <w:bookmarkStart w:id="0" w:name="_GoBack"/>
            <w:bookmarkEnd w:id="0"/>
            <w:r w:rsidRPr="00760743">
              <w:rPr>
                <w:rFonts w:ascii="Times New Roman" w:hAnsi="Times New Roman" w:cs="Times New Roman"/>
              </w:rPr>
              <w:t>ain</w:t>
            </w:r>
          </w:p>
        </w:tc>
      </w:tr>
      <w:tr w:rsidR="00760743" w:rsidRPr="00760743" w:rsidTr="007A08BB">
        <w:tc>
          <w:tcPr>
            <w:tcW w:w="2628" w:type="dxa"/>
          </w:tcPr>
          <w:p w:rsidR="00760743" w:rsidRPr="00760743" w:rsidRDefault="00760743" w:rsidP="00760743">
            <w:pPr>
              <w:spacing w:line="360" w:lineRule="auto"/>
              <w:jc w:val="both"/>
              <w:rPr>
                <w:rFonts w:ascii="Times New Roman" w:hAnsi="Times New Roman" w:cs="Times New Roman"/>
              </w:rPr>
            </w:pPr>
            <w:r w:rsidRPr="00760743">
              <w:rPr>
                <w:rFonts w:ascii="Times New Roman" w:hAnsi="Times New Roman" w:cs="Times New Roman"/>
              </w:rPr>
              <w:t>MOTOR</w:t>
            </w:r>
          </w:p>
        </w:tc>
        <w:tc>
          <w:tcPr>
            <w:tcW w:w="6948" w:type="dxa"/>
          </w:tcPr>
          <w:p w:rsidR="00760743" w:rsidRPr="00760743" w:rsidRDefault="00760743" w:rsidP="00760743">
            <w:pPr>
              <w:spacing w:line="360" w:lineRule="auto"/>
              <w:jc w:val="both"/>
              <w:rPr>
                <w:rFonts w:ascii="Times New Roman" w:hAnsi="Times New Roman" w:cs="Times New Roman"/>
              </w:rPr>
            </w:pPr>
            <w:r w:rsidRPr="00760743">
              <w:rPr>
                <w:rFonts w:ascii="Times New Roman" w:hAnsi="Times New Roman" w:cs="Times New Roman"/>
              </w:rPr>
              <w:t>Muscle weakness, gait instability</w:t>
            </w:r>
          </w:p>
        </w:tc>
      </w:tr>
      <w:tr w:rsidR="00760743" w:rsidRPr="00760743" w:rsidTr="007A08BB">
        <w:tc>
          <w:tcPr>
            <w:tcW w:w="2628" w:type="dxa"/>
          </w:tcPr>
          <w:p w:rsidR="00760743" w:rsidRPr="00760743" w:rsidRDefault="00760743" w:rsidP="00760743">
            <w:pPr>
              <w:spacing w:line="360" w:lineRule="auto"/>
              <w:jc w:val="both"/>
              <w:rPr>
                <w:rFonts w:ascii="Times New Roman" w:hAnsi="Times New Roman" w:cs="Times New Roman"/>
              </w:rPr>
            </w:pPr>
            <w:r w:rsidRPr="00760743">
              <w:rPr>
                <w:rFonts w:ascii="Times New Roman" w:hAnsi="Times New Roman" w:cs="Times New Roman"/>
              </w:rPr>
              <w:t>AUTONOMIC</w:t>
            </w:r>
          </w:p>
        </w:tc>
        <w:tc>
          <w:tcPr>
            <w:tcW w:w="6948" w:type="dxa"/>
          </w:tcPr>
          <w:p w:rsidR="00760743" w:rsidRPr="00760743" w:rsidRDefault="00760743" w:rsidP="00760743">
            <w:pPr>
              <w:spacing w:line="360" w:lineRule="auto"/>
              <w:jc w:val="both"/>
              <w:rPr>
                <w:rFonts w:ascii="Times New Roman" w:hAnsi="Times New Roman" w:cs="Times New Roman"/>
              </w:rPr>
            </w:pPr>
            <w:r w:rsidRPr="00760743">
              <w:rPr>
                <w:rFonts w:ascii="Times New Roman" w:hAnsi="Times New Roman" w:cs="Times New Roman"/>
              </w:rPr>
              <w:t>Orthostatic hypotension, GI dysfunction</w:t>
            </w:r>
          </w:p>
        </w:tc>
      </w:tr>
    </w:tbl>
    <w:p w:rsidR="00760743" w:rsidRPr="00760743" w:rsidRDefault="00760743" w:rsidP="00760743">
      <w:pPr>
        <w:spacing w:after="0" w:line="360" w:lineRule="auto"/>
        <w:jc w:val="both"/>
        <w:rPr>
          <w:rFonts w:ascii="Times New Roman" w:hAnsi="Times New Roman" w:cs="Times New Roman"/>
        </w:rPr>
      </w:pPr>
      <w:r w:rsidRPr="00760743">
        <w:rPr>
          <w:rFonts w:ascii="Times New Roman" w:hAnsi="Times New Roman" w:cs="Times New Roman"/>
          <w:b/>
        </w:rPr>
        <w:t>Source:</w:t>
      </w:r>
      <w:r w:rsidRPr="00760743">
        <w:rPr>
          <w:rFonts w:ascii="Times New Roman" w:hAnsi="Times New Roman" w:cs="Times New Roman"/>
        </w:rPr>
        <w:t xml:space="preserve"> Adapted from Staff et al. [40].</w:t>
      </w:r>
    </w:p>
    <w:p w:rsidR="00760743" w:rsidRPr="000251E3" w:rsidRDefault="00760743" w:rsidP="003F38D2">
      <w:pPr>
        <w:spacing w:after="0" w:line="360" w:lineRule="auto"/>
        <w:jc w:val="both"/>
        <w:rPr>
          <w:rFonts w:ascii="Times New Roman" w:hAnsi="Times New Roman" w:cs="Times New Roman"/>
        </w:rPr>
      </w:pPr>
    </w:p>
    <w:p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ASSESSMENT AND DIAGNOSIS</w:t>
      </w:r>
      <w:r w:rsidR="005F4BAE" w:rsidRPr="000251E3">
        <w:rPr>
          <w:rFonts w:ascii="Times New Roman" w:hAnsi="Times New Roman" w:cs="Times New Roman"/>
          <w:b/>
        </w:rPr>
        <w:t>:</w:t>
      </w:r>
    </w:p>
    <w:p w:rsidR="00A86CE5" w:rsidRPr="000251E3" w:rsidRDefault="000A18F6" w:rsidP="003F38D2">
      <w:pPr>
        <w:spacing w:after="0" w:line="360" w:lineRule="auto"/>
        <w:jc w:val="both"/>
        <w:rPr>
          <w:rFonts w:ascii="Times New Roman" w:hAnsi="Times New Roman" w:cs="Times New Roman"/>
        </w:rPr>
      </w:pPr>
      <w:r w:rsidRPr="000251E3">
        <w:rPr>
          <w:rFonts w:ascii="Times New Roman" w:hAnsi="Times New Roman" w:cs="Times New Roman"/>
        </w:rPr>
        <w:t>Assessment of CIPN relies primarily on clinical evaluation, including patient-reported symptoms and neurological examination [43]. Standardized grading systems such as the National Cancer Institute Common Terminology Criteria for Adverse Events (NCI-CTCAE) and the Total Neuropathy Score are widely used to assess severity and progression [44].</w:t>
      </w:r>
    </w:p>
    <w:p w:rsidR="00A86CE5" w:rsidRPr="000251E3" w:rsidRDefault="000A18F6"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Neurophysiological studies, including nerve conduction studies, may support diagnosis, although they are less sensitive for small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neuropathy [45]. Patient-reported outcome measures are increasingly recognized as essential tools for capturin</w:t>
      </w:r>
      <w:r w:rsidR="0063451E" w:rsidRPr="000251E3">
        <w:rPr>
          <w:rFonts w:ascii="Times New Roman" w:hAnsi="Times New Roman" w:cs="Times New Roman"/>
        </w:rPr>
        <w:t xml:space="preserve">g the subjective burden of </w:t>
      </w:r>
      <w:proofErr w:type="gramStart"/>
      <w:r w:rsidR="0063451E" w:rsidRPr="000251E3">
        <w:rPr>
          <w:rFonts w:ascii="Times New Roman" w:hAnsi="Times New Roman" w:cs="Times New Roman"/>
        </w:rPr>
        <w:t>CIPN</w:t>
      </w:r>
      <w:r w:rsidRPr="000251E3">
        <w:rPr>
          <w:rFonts w:ascii="Times New Roman" w:hAnsi="Times New Roman" w:cs="Times New Roman"/>
        </w:rPr>
        <w:t>[</w:t>
      </w:r>
      <w:proofErr w:type="gramEnd"/>
      <w:r w:rsidRPr="000251E3">
        <w:rPr>
          <w:rFonts w:ascii="Times New Roman" w:hAnsi="Times New Roman" w:cs="Times New Roman"/>
        </w:rPr>
        <w:t>46].</w:t>
      </w:r>
    </w:p>
    <w:p w:rsidR="00C66060" w:rsidRPr="000251E3" w:rsidRDefault="00D10208"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Emerging diagnostic approaches increasingly emphasize the role of multimodal assessment to improve sensitivity for early or subclinical nerve damage. Quantitative sensory testing and functional assessments of balance and gait have demonstrated utility in detecting subtle sensory deficits that may not be evident on routine neurological examination or nerve conduction studies [29,40]. </w:t>
      </w:r>
    </w:p>
    <w:p w:rsidR="002148DA" w:rsidRPr="000251E3" w:rsidRDefault="00714406" w:rsidP="002148DA">
      <w:pPr>
        <w:spacing w:after="0" w:line="360" w:lineRule="auto"/>
        <w:jc w:val="both"/>
        <w:rPr>
          <w:rFonts w:ascii="Times New Roman" w:hAnsi="Times New Roman" w:cs="Times New Roman"/>
        </w:rPr>
      </w:pPr>
      <w:r w:rsidRPr="00714406">
        <w:rPr>
          <w:rFonts w:ascii="Times New Roman" w:hAnsi="Times New Roman" w:cs="Times New Roman"/>
        </w:rPr>
        <w:t xml:space="preserve">Skin biopsy, through quantification of intraepidermal nerve </w:t>
      </w:r>
      <w:proofErr w:type="spellStart"/>
      <w:r w:rsidRPr="00714406">
        <w:rPr>
          <w:rFonts w:ascii="Times New Roman" w:hAnsi="Times New Roman" w:cs="Times New Roman"/>
        </w:rPr>
        <w:t>fiber</w:t>
      </w:r>
      <w:proofErr w:type="spellEnd"/>
      <w:r w:rsidRPr="00714406">
        <w:rPr>
          <w:rFonts w:ascii="Times New Roman" w:hAnsi="Times New Roman" w:cs="Times New Roman"/>
        </w:rPr>
        <w:t xml:space="preserve"> density, is considered the gold standard for the diagnosis of small </w:t>
      </w:r>
      <w:proofErr w:type="spellStart"/>
      <w:r w:rsidRPr="00714406">
        <w:rPr>
          <w:rFonts w:ascii="Times New Roman" w:hAnsi="Times New Roman" w:cs="Times New Roman"/>
        </w:rPr>
        <w:t>fiber</w:t>
      </w:r>
      <w:proofErr w:type="spellEnd"/>
      <w:r w:rsidRPr="00714406">
        <w:rPr>
          <w:rFonts w:ascii="Times New Roman" w:hAnsi="Times New Roman" w:cs="Times New Roman"/>
        </w:rPr>
        <w:t xml:space="preserve"> neuropathy, although it is not routinely performed in patients with chemotherapy-induced peripheral neuropathy. Corneal confocal microscopy and other advanced techniques are being explored as adjunctive research tools to </w:t>
      </w:r>
      <w:r w:rsidRPr="00714406">
        <w:rPr>
          <w:rFonts w:ascii="Times New Roman" w:hAnsi="Times New Roman" w:cs="Times New Roman"/>
        </w:rPr>
        <w:lastRenderedPageBreak/>
        <w:t xml:space="preserve">assess small </w:t>
      </w:r>
      <w:proofErr w:type="spellStart"/>
      <w:r w:rsidRPr="00714406">
        <w:rPr>
          <w:rFonts w:ascii="Times New Roman" w:hAnsi="Times New Roman" w:cs="Times New Roman"/>
        </w:rPr>
        <w:t>fiber</w:t>
      </w:r>
      <w:proofErr w:type="spellEnd"/>
      <w:r w:rsidRPr="00714406">
        <w:rPr>
          <w:rFonts w:ascii="Times New Roman" w:hAnsi="Times New Roman" w:cs="Times New Roman"/>
        </w:rPr>
        <w:t xml:space="preserve"> involvement and structural nerve alterations [47].</w:t>
      </w:r>
      <w:r>
        <w:rPr>
          <w:rFonts w:ascii="Times New Roman" w:hAnsi="Times New Roman" w:cs="Times New Roman"/>
        </w:rPr>
        <w:t xml:space="preserve"> </w:t>
      </w:r>
      <w:r w:rsidR="00D10208" w:rsidRPr="000251E3">
        <w:rPr>
          <w:rFonts w:ascii="Times New Roman" w:hAnsi="Times New Roman" w:cs="Times New Roman"/>
        </w:rPr>
        <w:t>Although these techniques are not yet routinely implemented in clinical practice, their integration into research settings may contribute to more precise phenotyping of chemotherapy-induced peripheral neuropathy and support the development of targeted preventive strategies [45,50].</w:t>
      </w:r>
      <w:r w:rsidR="002148DA" w:rsidRPr="000251E3">
        <w:rPr>
          <w:rFonts w:ascii="Times New Roman" w:hAnsi="Times New Roman" w:cs="Times New Roman"/>
        </w:rPr>
        <w:t xml:space="preserve"> Despite the availability of standardized grading systems, accurate assessment of chemotherapy-induced peripheral neuropathy remains challenging due to the heterogeneous presentation and fluctuating symptom severity. Conventional clinician-based grading tools may underestimate symptom burden, particularly in early or mild stages, leading to delayed recognition and intervention. This limitation highlights the need for assessment strategies that integrate both objective findings and patient-reported symptom trajectories over time [43,46].</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Increasing attention has been directed toward the use of validated patient-reported outcome instruments, which allow longitudinal monitoring of sensory, motor, and functional impairments. These tools enhance sensitivity for detecting treatment-related changes and provide valuable insight into the real-world impact of CIPN on daily activities and quality of life. Incorporation of patient-</w:t>
      </w:r>
      <w:proofErr w:type="spellStart"/>
      <w:r w:rsidRPr="000251E3">
        <w:rPr>
          <w:rFonts w:ascii="Times New Roman" w:hAnsi="Times New Roman" w:cs="Times New Roman"/>
        </w:rPr>
        <w:t>centered</w:t>
      </w:r>
      <w:proofErr w:type="spellEnd"/>
      <w:r w:rsidRPr="000251E3">
        <w:rPr>
          <w:rFonts w:ascii="Times New Roman" w:hAnsi="Times New Roman" w:cs="Times New Roman"/>
        </w:rPr>
        <w:t xml:space="preserve"> measures into routine clinical practice may improve treatment decision-making and support timely dose modification or preventive strategies [30,46].</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Emerging evidence also supports the role of functional and performance-based assessments in identifying clinically meaningful neuropathy. Measures of fine motor control, postural stability, and manual dexterity may detect deficits that are not readily apparent during standard neurological examinations. Such assessments are particularly relevant for evaluating fall risk and functional decline in cancer survivors receiving neurotoxic chemotherapy [29,35].</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In addition, advances in biomarker-based assessment are being explored to improve diagnostic precision. Neurofilament light chain levels, inflammatory mediators, and genetic susceptibility markers have shown potential as objective indicators of nerve injury and disease progression. Although these biomarkers are not yet validated for routine use, they represent promising adjuncts for future risk stratification and early detection of CIPN [3,7,47].</w:t>
      </w:r>
    </w:p>
    <w:p w:rsidR="00D10208"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Overall, an integrated diagnostic approach combining clinical evaluation, patient-reported outcomes, functional testing, and emerging biological markers may provide a more comprehensive understanding of CIPN severity and progression. Such multimodal assessment frameworks are essential for optimizing early diagnosis, monitoring treatment-</w:t>
      </w:r>
      <w:r w:rsidRPr="000251E3">
        <w:rPr>
          <w:rFonts w:ascii="Times New Roman" w:hAnsi="Times New Roman" w:cs="Times New Roman"/>
        </w:rPr>
        <w:lastRenderedPageBreak/>
        <w:t>related neurotoxicity, and guiding personalized management strategies in patients undergoing chemotherapy [45,50].</w:t>
      </w:r>
    </w:p>
    <w:p w:rsidR="00714406" w:rsidRPr="00714406" w:rsidRDefault="00714406" w:rsidP="00714406">
      <w:pPr>
        <w:spacing w:after="0" w:line="360" w:lineRule="auto"/>
        <w:jc w:val="both"/>
        <w:rPr>
          <w:rFonts w:ascii="Times New Roman" w:hAnsi="Times New Roman" w:cs="Times New Roman"/>
          <w:b/>
        </w:rPr>
      </w:pPr>
      <w:r>
        <w:rPr>
          <w:rFonts w:ascii="Times New Roman" w:hAnsi="Times New Roman" w:cs="Times New Roman"/>
          <w:b/>
        </w:rPr>
        <w:t xml:space="preserve">8.1 </w:t>
      </w:r>
      <w:proofErr w:type="gramStart"/>
      <w:r>
        <w:rPr>
          <w:rFonts w:ascii="Times New Roman" w:hAnsi="Times New Roman" w:cs="Times New Roman"/>
          <w:b/>
        </w:rPr>
        <w:t>DIFFERENTIAL</w:t>
      </w:r>
      <w:r w:rsidR="00880CC6">
        <w:rPr>
          <w:rFonts w:ascii="Times New Roman" w:hAnsi="Times New Roman" w:cs="Times New Roman"/>
          <w:b/>
        </w:rPr>
        <w:t xml:space="preserve">  DIAGNOSIS</w:t>
      </w:r>
      <w:proofErr w:type="gramEnd"/>
      <w:r w:rsidR="00880CC6">
        <w:rPr>
          <w:rFonts w:ascii="Times New Roman" w:hAnsi="Times New Roman" w:cs="Times New Roman"/>
          <w:b/>
        </w:rPr>
        <w:t xml:space="preserve"> :</w:t>
      </w:r>
    </w:p>
    <w:p w:rsidR="00714406" w:rsidRPr="00714406" w:rsidRDefault="00714406" w:rsidP="00714406">
      <w:pPr>
        <w:spacing w:after="0" w:line="360" w:lineRule="auto"/>
        <w:jc w:val="both"/>
        <w:rPr>
          <w:rFonts w:ascii="Times New Roman" w:hAnsi="Times New Roman" w:cs="Times New Roman"/>
        </w:rPr>
      </w:pPr>
      <w:r w:rsidRPr="00714406">
        <w:rPr>
          <w:rFonts w:ascii="Times New Roman" w:hAnsi="Times New Roman" w:cs="Times New Roman"/>
        </w:rPr>
        <w:t>Accurate diagnosis of chemotherapy-induced peripheral neuropathy requires careful consideration of alternative causes of neuropathy in patients with cancer. Several conditions may mimic or coexist with CIPN, potentially confounding clinical assessment. Pre-existing peripheral neuropathies, including diabetic neuropathy and alcohol-related neuropathy, should be systematically evaluated, as these may exacerbate neurotoxic effects of chemotherapy and influence symptom severity [29,30].</w:t>
      </w:r>
    </w:p>
    <w:p w:rsidR="00714406" w:rsidRPr="00714406" w:rsidRDefault="00714406" w:rsidP="00714406">
      <w:pPr>
        <w:spacing w:after="0" w:line="360" w:lineRule="auto"/>
        <w:jc w:val="both"/>
        <w:rPr>
          <w:rFonts w:ascii="Times New Roman" w:hAnsi="Times New Roman" w:cs="Times New Roman"/>
        </w:rPr>
      </w:pPr>
      <w:r w:rsidRPr="00714406">
        <w:rPr>
          <w:rFonts w:ascii="Times New Roman" w:hAnsi="Times New Roman" w:cs="Times New Roman"/>
        </w:rPr>
        <w:t xml:space="preserve">Paraneoplastic neuropathies represent an important differential diagnosis, particularly in patients with subacute or rapidly progressive symptoms. These immune-mediated neuropathies are often associated with specific onconeural antibodies and may precede cancer diagnosis or occur independently of chemotherapy exposure [43]. Similarly, carcinomatous neuropathy resulting from direct </w:t>
      </w:r>
      <w:proofErr w:type="spellStart"/>
      <w:r w:rsidRPr="00714406">
        <w:rPr>
          <w:rFonts w:ascii="Times New Roman" w:hAnsi="Times New Roman" w:cs="Times New Roman"/>
        </w:rPr>
        <w:t>tumor</w:t>
      </w:r>
      <w:proofErr w:type="spellEnd"/>
      <w:r w:rsidRPr="00714406">
        <w:rPr>
          <w:rFonts w:ascii="Times New Roman" w:hAnsi="Times New Roman" w:cs="Times New Roman"/>
        </w:rPr>
        <w:t xml:space="preserve"> infiltration or leptomeningeal spread should be considered in cases with asymmetric presentation, focal deficits, or accompanying central nervous system findings.</w:t>
      </w:r>
    </w:p>
    <w:p w:rsidR="00714406" w:rsidRPr="00714406" w:rsidRDefault="00714406" w:rsidP="00714406">
      <w:pPr>
        <w:spacing w:after="0" w:line="360" w:lineRule="auto"/>
        <w:jc w:val="both"/>
        <w:rPr>
          <w:rFonts w:ascii="Times New Roman" w:hAnsi="Times New Roman" w:cs="Times New Roman"/>
        </w:rPr>
      </w:pPr>
      <w:r w:rsidRPr="00714406">
        <w:rPr>
          <w:rFonts w:ascii="Times New Roman" w:hAnsi="Times New Roman" w:cs="Times New Roman"/>
        </w:rPr>
        <w:t xml:space="preserve">Other potential differentials include critical illness neuropathy in hospitalized patients, nutritional deficiencies such as vitamin B12 deficiency, thyroid dysfunction, and drug-induced neuropathies unrelated to chemotherapeutic agents [45]. In certain cases, radiculopathies or plexopathies secondary to </w:t>
      </w:r>
      <w:proofErr w:type="spellStart"/>
      <w:r w:rsidRPr="00714406">
        <w:rPr>
          <w:rFonts w:ascii="Times New Roman" w:hAnsi="Times New Roman" w:cs="Times New Roman"/>
        </w:rPr>
        <w:t>tumor</w:t>
      </w:r>
      <w:proofErr w:type="spellEnd"/>
      <w:r w:rsidRPr="00714406">
        <w:rPr>
          <w:rFonts w:ascii="Times New Roman" w:hAnsi="Times New Roman" w:cs="Times New Roman"/>
        </w:rPr>
        <w:t xml:space="preserve"> compression, radiation-induced neuropathy, or metabolic disturbances may also mimic CIPN.</w:t>
      </w:r>
    </w:p>
    <w:p w:rsidR="00714406" w:rsidRPr="000251E3" w:rsidRDefault="00714406" w:rsidP="00714406">
      <w:pPr>
        <w:spacing w:after="0" w:line="360" w:lineRule="auto"/>
        <w:jc w:val="both"/>
        <w:rPr>
          <w:rFonts w:ascii="Times New Roman" w:hAnsi="Times New Roman" w:cs="Times New Roman"/>
        </w:rPr>
      </w:pPr>
      <w:r w:rsidRPr="00714406">
        <w:rPr>
          <w:rFonts w:ascii="Times New Roman" w:hAnsi="Times New Roman" w:cs="Times New Roman"/>
        </w:rPr>
        <w:t xml:space="preserve">Distinguishing CIPN from these conditions requires integration of clinical history, timing of symptom onset relative to chemotherapy exposure, neurological examination findings, and appropriate laboratory or electrophysiological investigations. Recognition of alternative or coexisting </w:t>
      </w:r>
      <w:proofErr w:type="spellStart"/>
      <w:r w:rsidRPr="00714406">
        <w:rPr>
          <w:rFonts w:ascii="Times New Roman" w:hAnsi="Times New Roman" w:cs="Times New Roman"/>
        </w:rPr>
        <w:t>etiologies</w:t>
      </w:r>
      <w:proofErr w:type="spellEnd"/>
      <w:r w:rsidRPr="00714406">
        <w:rPr>
          <w:rFonts w:ascii="Times New Roman" w:hAnsi="Times New Roman" w:cs="Times New Roman"/>
        </w:rPr>
        <w:t xml:space="preserve"> is essential to avoid misattribution of symptoms and to guide appropriate management strategies.</w:t>
      </w:r>
    </w:p>
    <w:p w:rsidR="00D10208" w:rsidRPr="000251E3" w:rsidRDefault="0063451E" w:rsidP="003F38D2">
      <w:pPr>
        <w:spacing w:after="0" w:line="360" w:lineRule="auto"/>
        <w:jc w:val="both"/>
        <w:rPr>
          <w:rFonts w:ascii="Times New Roman" w:hAnsi="Times New Roman" w:cs="Times New Roman"/>
          <w:noProof/>
          <w:lang w:val="en-US"/>
        </w:rPr>
      </w:pPr>
      <w:r w:rsidRPr="000251E3">
        <w:rPr>
          <w:rFonts w:ascii="Times New Roman" w:hAnsi="Times New Roman" w:cs="Times New Roman"/>
          <w:noProof/>
          <w:lang w:val="en-US"/>
        </w:rPr>
        <w:lastRenderedPageBreak/>
        <w:drawing>
          <wp:inline distT="0" distB="0" distL="0" distR="0">
            <wp:extent cx="5591175" cy="2714625"/>
            <wp:effectExtent l="19050" t="0" r="9525" b="0"/>
            <wp:docPr id="6" name="Picture 4" descr="IMAGE 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jfif"/>
                    <pic:cNvPicPr/>
                  </pic:nvPicPr>
                  <pic:blipFill>
                    <a:blip r:embed="rId11"/>
                    <a:stretch>
                      <a:fillRect/>
                    </a:stretch>
                  </pic:blipFill>
                  <pic:spPr>
                    <a:xfrm>
                      <a:off x="0" y="0"/>
                      <a:ext cx="5591175" cy="2714625"/>
                    </a:xfrm>
                    <a:prstGeom prst="rect">
                      <a:avLst/>
                    </a:prstGeom>
                  </pic:spPr>
                </pic:pic>
              </a:graphicData>
            </a:graphic>
          </wp:inline>
        </w:drawing>
      </w:r>
    </w:p>
    <w:p w:rsidR="000A18F6" w:rsidRPr="000251E3" w:rsidRDefault="000A18F6" w:rsidP="003F38D2">
      <w:pPr>
        <w:spacing w:after="0" w:line="360" w:lineRule="auto"/>
        <w:jc w:val="both"/>
        <w:rPr>
          <w:rFonts w:ascii="Times New Roman" w:hAnsi="Times New Roman" w:cs="Times New Roman"/>
        </w:rPr>
      </w:pPr>
      <w:r w:rsidRPr="000251E3">
        <w:rPr>
          <w:rFonts w:ascii="Times New Roman" w:hAnsi="Times New Roman" w:cs="Times New Roman"/>
          <w:b/>
        </w:rPr>
        <w:t>Figure 4.</w:t>
      </w:r>
      <w:r w:rsidRPr="000251E3">
        <w:rPr>
          <w:rFonts w:ascii="Times New Roman" w:hAnsi="Times New Roman" w:cs="Times New Roman"/>
        </w:rPr>
        <w:t xml:space="preserve"> Diagnostic approach to CIPN</w:t>
      </w:r>
      <w:r w:rsidR="00714406">
        <w:rPr>
          <w:rFonts w:ascii="Times New Roman" w:hAnsi="Times New Roman" w:cs="Times New Roman"/>
        </w:rPr>
        <w:t xml:space="preserve"> (Author-generated figure)</w:t>
      </w:r>
    </w:p>
    <w:p w:rsidR="0063451E" w:rsidRPr="000251E3" w:rsidRDefault="000A18F6" w:rsidP="003F38D2">
      <w:pPr>
        <w:spacing w:after="0" w:line="360" w:lineRule="auto"/>
        <w:jc w:val="both"/>
        <w:rPr>
          <w:rFonts w:ascii="Times New Roman" w:hAnsi="Times New Roman" w:cs="Times New Roman"/>
        </w:rPr>
      </w:pPr>
      <w:r w:rsidRPr="000251E3">
        <w:rPr>
          <w:rFonts w:ascii="Times New Roman" w:hAnsi="Times New Roman" w:cs="Times New Roman"/>
        </w:rPr>
        <w:t>Schematic representation of clinical assessment, grading tools, and supportive diagnostic investigations.</w:t>
      </w:r>
    </w:p>
    <w:p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PREVENTION OF CHEMOTHERAPY-INDUCED PERIPHERAL NEUROPATHY:</w:t>
      </w:r>
    </w:p>
    <w:p w:rsidR="00A86CE5" w:rsidRPr="000251E3" w:rsidRDefault="00202548" w:rsidP="003F38D2">
      <w:pPr>
        <w:spacing w:after="0" w:line="360" w:lineRule="auto"/>
        <w:jc w:val="both"/>
        <w:rPr>
          <w:rFonts w:ascii="Times New Roman" w:hAnsi="Times New Roman" w:cs="Times New Roman"/>
        </w:rPr>
      </w:pPr>
      <w:r w:rsidRPr="00202548">
        <w:rPr>
          <w:rFonts w:ascii="Times New Roman" w:hAnsi="Times New Roman" w:cs="Times New Roman"/>
        </w:rPr>
        <w:t>Effective prevention of CIPN remains an unmet clinical need. Although numerous pharmacological agents—including antioxidants, calcium and magnesium infusions, and neurotrophic compounds—have been evaluated in randomized and non-randomized studies, the overall quality of evidence remains limited and inconsistent [10,47]. Many trials are characterized by small sample sizes, heterogeneous study populations, variability in chemotherapeutic regimens, and differences in outcome measures used to define neuropathy. Consequently, reproducibility across studies has been poor, and no pharmacologic agent has demonstrated consistent benefit sufficient to support routine preventive use in clinical practice.</w:t>
      </w:r>
    </w:p>
    <w:p w:rsidR="00A86CE5" w:rsidRPr="000251E3" w:rsidRDefault="00195335"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Non-pharmacological approaches such as dose modification, treatment scheduling, cryotherapy, and structured exercise interventions have demonstrated emerging benefits in reducing CIPN severity and improving functional outcomes [35,48]. Cryotherapy during </w:t>
      </w:r>
      <w:proofErr w:type="spellStart"/>
      <w:r w:rsidRPr="000251E3">
        <w:rPr>
          <w:rFonts w:ascii="Times New Roman" w:hAnsi="Times New Roman" w:cs="Times New Roman"/>
        </w:rPr>
        <w:t>taxane</w:t>
      </w:r>
      <w:proofErr w:type="spellEnd"/>
      <w:r w:rsidRPr="000251E3">
        <w:rPr>
          <w:rFonts w:ascii="Times New Roman" w:hAnsi="Times New Roman" w:cs="Times New Roman"/>
        </w:rPr>
        <w:t xml:space="preserve"> administration may reduce drug exposure to peripheral nerves, while exercise interventions may enhance nerve regeneration and functional recovery [49].</w:t>
      </w:r>
    </w:p>
    <w:p w:rsidR="00C66060" w:rsidRPr="000251E3" w:rsidRDefault="009870AF"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Early identification of subtle sensory changes during chemotherapy plays a critical role in preventing the progression of peripheral nerve damage. Continuous symptom surveillance combined with individualized treatment planning allows clinicians to implement timely dose adjustments without compromising anticancer efficacy. Lifestyle-based interventions, </w:t>
      </w:r>
      <w:r w:rsidRPr="000251E3">
        <w:rPr>
          <w:rFonts w:ascii="Times New Roman" w:hAnsi="Times New Roman" w:cs="Times New Roman"/>
        </w:rPr>
        <w:lastRenderedPageBreak/>
        <w:t xml:space="preserve">including supervised physical activity and functional rehabilitation, have shown promise in maintaining neuromuscular coordination and sensory integrity throughout treatment courses. </w:t>
      </w:r>
    </w:p>
    <w:p w:rsidR="00202548" w:rsidRDefault="009870AF"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In addition, proactive </w:t>
      </w:r>
      <w:r w:rsidR="00CD4F82" w:rsidRPr="000251E3">
        <w:rPr>
          <w:rFonts w:ascii="Times New Roman" w:hAnsi="Times New Roman" w:cs="Times New Roman"/>
        </w:rPr>
        <w:t>counselling</w:t>
      </w:r>
      <w:r w:rsidRPr="000251E3">
        <w:rPr>
          <w:rFonts w:ascii="Times New Roman" w:hAnsi="Times New Roman" w:cs="Times New Roman"/>
        </w:rPr>
        <w:t xml:space="preserve"> and patient engagement improve adherence to preventive measures and promote early reporting of neuropathic symptoms, thereby reducing long-term functional impairment and treatment-related disability [41–44].</w:t>
      </w:r>
      <w:r w:rsidR="002148DA" w:rsidRPr="000251E3">
        <w:rPr>
          <w:rFonts w:ascii="Times New Roman" w:hAnsi="Times New Roman" w:cs="Times New Roman"/>
        </w:rPr>
        <w:t xml:space="preserve"> Prevention of chemotherapy-induced peripheral neuropathy requires a proactive, individualized, and stage-specific approach rather than reliance on a single pharmacological intervention. Current evidence supports a risk-adapted prevention framework that integrates baseline risk assessment, treatment-phase monitoring, and post-treatment survivorship strategies to minimize both acute and persistent neurotoxicity [3,10,11].</w:t>
      </w:r>
      <w:r w:rsidR="00202548">
        <w:rPr>
          <w:rFonts w:ascii="Times New Roman" w:hAnsi="Times New Roman" w:cs="Times New Roman"/>
        </w:rPr>
        <w:t xml:space="preserve"> </w:t>
      </w:r>
    </w:p>
    <w:p w:rsidR="002148DA" w:rsidRPr="000251E3" w:rsidRDefault="00202548" w:rsidP="002148DA">
      <w:pPr>
        <w:spacing w:after="0" w:line="360" w:lineRule="auto"/>
        <w:jc w:val="both"/>
        <w:rPr>
          <w:rFonts w:ascii="Times New Roman" w:hAnsi="Times New Roman" w:cs="Times New Roman"/>
        </w:rPr>
      </w:pPr>
      <w:r w:rsidRPr="00202548">
        <w:rPr>
          <w:rFonts w:ascii="Times New Roman" w:hAnsi="Times New Roman" w:cs="Times New Roman"/>
        </w:rPr>
        <w:t>Despite growing interest in preventive strategies, interpretation of available data is limited by methodological challenges. Many studies rely on clinician-based grading systems rather than validated patient-reported outcomes, potentially underestimating symptom burden. In addition, variability in timing of assessment and lack of long-term follow-up hinder accurate evaluation of persistent neuropathy. Meta-analyses have generally concluded that evidence supporting pharmacologic neuroprotection remains inconclusive, reinforcing current guideline recommendations against routine p</w:t>
      </w:r>
      <w:r w:rsidR="00007D0F">
        <w:rPr>
          <w:rFonts w:ascii="Times New Roman" w:hAnsi="Times New Roman" w:cs="Times New Roman"/>
        </w:rPr>
        <w:t>rophylactic drug use [10,11,52,55]</w:t>
      </w:r>
      <w:r w:rsidRPr="00202548">
        <w:rPr>
          <w:rFonts w:ascii="Times New Roman" w:hAnsi="Times New Roman" w:cs="Times New Roman"/>
        </w:rPr>
        <w:t>.</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At the pre-treatment stage, identification of patients at elevated risk is essential. Baseline neurological assessment, documentation of pre-existing neuropathy, metabolic comorbidities, and prior neurotoxic exposure allows stratification of patients who may benefit from closer surveillance or alternative chemotherapy regimens. Incorporating patient education at this stage promotes early symptom recognition and timely reporting during therapy [4,43].</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During active chemotherapy, prevention efforts should focus on minimizing cumulative neurotoxic burden while preserving oncological efficacy. Continuous symptom monitoring using patient-reported outcome measures enables early detection of subtle sensory changes that may precede clinically overt neuropathy. Treatment individualization, including schedule modification and dose intensity adjustment, should be guided by both clinical findings and functional impact rather than severity grading alone [10,30,46].</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In the post-treatment phase, preventive strategies extend beyond symptom control to limiting long-term disability. Early referral to rehabilitation services, neuromuscular training, and balance-oriented interventions may reduce functional decline and improve recovery trajectories. Structured follow-up programs facilitate identification of persistent or progressive neuropathy, allowing timely intervention and supportive care optimization [35,41].</w:t>
      </w:r>
    </w:p>
    <w:p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lastRenderedPageBreak/>
        <w:t>Emerging preventive paradigms also emphasize the importance of multidisciplinary collaboration, involving oncologists, neurologists, pharmacists, and rehabilitation specialists. Such coordinated care models enhance adherence to preventive strategies and support shared decision-making, particularly in patients requiring prolonged or repeated exposure to neurotoxic agents [45,50].</w:t>
      </w:r>
    </w:p>
    <w:p w:rsidR="00A86CE5" w:rsidRPr="000251E3" w:rsidRDefault="00236B9A" w:rsidP="002148DA">
      <w:pPr>
        <w:spacing w:after="0" w:line="360" w:lineRule="auto"/>
        <w:jc w:val="both"/>
        <w:rPr>
          <w:rFonts w:ascii="Times New Roman" w:hAnsi="Times New Roman" w:cs="Times New Roman"/>
        </w:rPr>
      </w:pPr>
      <w:r>
        <w:rPr>
          <w:rFonts w:ascii="Times New Roman" w:hAnsi="Times New Roman" w:cs="Times New Roman"/>
        </w:rPr>
        <w:t xml:space="preserve">Given the absence of a validated </w:t>
      </w:r>
      <w:proofErr w:type="spellStart"/>
      <w:r>
        <w:rPr>
          <w:rFonts w:ascii="Times New Roman" w:hAnsi="Times New Roman" w:cs="Times New Roman"/>
        </w:rPr>
        <w:t>pharmocologic</w:t>
      </w:r>
      <w:proofErr w:type="spellEnd"/>
      <w:r>
        <w:rPr>
          <w:rFonts w:ascii="Times New Roman" w:hAnsi="Times New Roman" w:cs="Times New Roman"/>
        </w:rPr>
        <w:t xml:space="preserve"> preventive therapy, effective mitigation of CIPN currently relies</w:t>
      </w:r>
      <w:r w:rsidR="002148DA" w:rsidRPr="000251E3">
        <w:rPr>
          <w:rFonts w:ascii="Times New Roman" w:hAnsi="Times New Roman" w:cs="Times New Roman"/>
        </w:rPr>
        <w:t xml:space="preserve"> on a dynamic, multimodal strategy that evolves across the cancer care continuum. Shifting the focus from reactive symptom management to anticipatory risk mitigation may significantly reduce the long-term neurological burden associated with chemotherapy-induced peripheral neuropathy [3,11,47].</w:t>
      </w:r>
    </w:p>
    <w:p w:rsidR="00742D60" w:rsidRPr="000251E3" w:rsidRDefault="00195335" w:rsidP="003F38D2">
      <w:pPr>
        <w:spacing w:after="0" w:line="360" w:lineRule="auto"/>
        <w:jc w:val="both"/>
        <w:rPr>
          <w:rFonts w:ascii="Times New Roman" w:hAnsi="Times New Roman" w:cs="Times New Roman"/>
        </w:rPr>
      </w:pPr>
      <w:r w:rsidRPr="000251E3">
        <w:rPr>
          <w:rFonts w:ascii="Times New Roman" w:hAnsi="Times New Roman" w:cs="Times New Roman"/>
          <w:b/>
        </w:rPr>
        <w:t>Table 5.</w:t>
      </w:r>
      <w:r w:rsidRPr="000251E3">
        <w:rPr>
          <w:rFonts w:ascii="Times New Roman" w:hAnsi="Times New Roman" w:cs="Times New Roman"/>
        </w:rPr>
        <w:t xml:space="preserve"> Preventive strategies for CIPN</w:t>
      </w:r>
    </w:p>
    <w:tbl>
      <w:tblPr>
        <w:tblStyle w:val="TableGrid"/>
        <w:tblW w:w="0" w:type="auto"/>
        <w:tblLook w:val="04A0" w:firstRow="1" w:lastRow="0" w:firstColumn="1" w:lastColumn="0" w:noHBand="0" w:noVBand="1"/>
      </w:tblPr>
      <w:tblGrid>
        <w:gridCol w:w="3549"/>
        <w:gridCol w:w="5694"/>
      </w:tblGrid>
      <w:tr w:rsidR="00637239" w:rsidRPr="000251E3" w:rsidTr="009870AF">
        <w:tc>
          <w:tcPr>
            <w:tcW w:w="3549" w:type="dxa"/>
          </w:tcPr>
          <w:p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STRATEGY</w:t>
            </w:r>
          </w:p>
        </w:tc>
        <w:tc>
          <w:tcPr>
            <w:tcW w:w="5694" w:type="dxa"/>
          </w:tcPr>
          <w:p w:rsidR="00637239" w:rsidRPr="000251E3" w:rsidRDefault="00236B9A" w:rsidP="003F38D2">
            <w:pPr>
              <w:spacing w:line="360" w:lineRule="auto"/>
              <w:jc w:val="both"/>
              <w:rPr>
                <w:rFonts w:ascii="Times New Roman" w:hAnsi="Times New Roman" w:cs="Times New Roman"/>
              </w:rPr>
            </w:pPr>
            <w:r>
              <w:rPr>
                <w:rFonts w:ascii="Times New Roman" w:hAnsi="Times New Roman" w:cs="Times New Roman"/>
              </w:rPr>
              <w:t xml:space="preserve">STRENGTH OF CLINICAL EVIDENCE </w:t>
            </w:r>
            <w:r w:rsidR="00637239" w:rsidRPr="000251E3">
              <w:rPr>
                <w:rFonts w:ascii="Times New Roman" w:hAnsi="Times New Roman" w:cs="Times New Roman"/>
              </w:rPr>
              <w:t>LEVEL</w:t>
            </w:r>
          </w:p>
        </w:tc>
      </w:tr>
      <w:tr w:rsidR="00637239" w:rsidRPr="000251E3" w:rsidTr="009870AF">
        <w:tc>
          <w:tcPr>
            <w:tcW w:w="3549" w:type="dxa"/>
          </w:tcPr>
          <w:p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PHARMACOLOGICAL AGENTS</w:t>
            </w:r>
          </w:p>
        </w:tc>
        <w:tc>
          <w:tcPr>
            <w:tcW w:w="5694" w:type="dxa"/>
          </w:tcPr>
          <w:p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Inconclusive</w:t>
            </w:r>
          </w:p>
        </w:tc>
      </w:tr>
      <w:tr w:rsidR="00637239" w:rsidRPr="000251E3" w:rsidTr="009870AF">
        <w:tc>
          <w:tcPr>
            <w:tcW w:w="3549" w:type="dxa"/>
          </w:tcPr>
          <w:p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DOSE MODIFICATION</w:t>
            </w:r>
          </w:p>
        </w:tc>
        <w:tc>
          <w:tcPr>
            <w:tcW w:w="5694" w:type="dxa"/>
          </w:tcPr>
          <w:p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Strong</w:t>
            </w:r>
          </w:p>
        </w:tc>
      </w:tr>
      <w:tr w:rsidR="00637239" w:rsidRPr="000251E3" w:rsidTr="009870AF">
        <w:tc>
          <w:tcPr>
            <w:tcW w:w="3549" w:type="dxa"/>
          </w:tcPr>
          <w:p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CRYOTHERAPY</w:t>
            </w:r>
          </w:p>
        </w:tc>
        <w:tc>
          <w:tcPr>
            <w:tcW w:w="5694" w:type="dxa"/>
          </w:tcPr>
          <w:p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Emerging</w:t>
            </w:r>
          </w:p>
        </w:tc>
      </w:tr>
    </w:tbl>
    <w:p w:rsidR="00A86CE5" w:rsidRPr="000251E3" w:rsidRDefault="006C2028"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w:t>
      </w:r>
      <w:r w:rsidR="00236B9A">
        <w:rPr>
          <w:rFonts w:ascii="Times New Roman" w:hAnsi="Times New Roman" w:cs="Times New Roman"/>
        </w:rPr>
        <w:t xml:space="preserve"> and </w:t>
      </w:r>
      <w:proofErr w:type="gramStart"/>
      <w:r w:rsidR="00236B9A">
        <w:rPr>
          <w:rFonts w:ascii="Times New Roman" w:hAnsi="Times New Roman" w:cs="Times New Roman"/>
        </w:rPr>
        <w:t xml:space="preserve">modified </w:t>
      </w:r>
      <w:r w:rsidRPr="000251E3">
        <w:rPr>
          <w:rFonts w:ascii="Times New Roman" w:hAnsi="Times New Roman" w:cs="Times New Roman"/>
        </w:rPr>
        <w:t xml:space="preserve"> from</w:t>
      </w:r>
      <w:proofErr w:type="gramEnd"/>
      <w:r w:rsidRPr="000251E3">
        <w:rPr>
          <w:rFonts w:ascii="Times New Roman" w:hAnsi="Times New Roman" w:cs="Times New Roman"/>
        </w:rPr>
        <w:t xml:space="preserve"> </w:t>
      </w:r>
      <w:proofErr w:type="spellStart"/>
      <w:r w:rsidRPr="000251E3">
        <w:rPr>
          <w:rFonts w:ascii="Times New Roman" w:hAnsi="Times New Roman" w:cs="Times New Roman"/>
        </w:rPr>
        <w:t>Loprinzi</w:t>
      </w:r>
      <w:proofErr w:type="spellEnd"/>
      <w:r w:rsidRPr="000251E3">
        <w:rPr>
          <w:rFonts w:ascii="Times New Roman" w:hAnsi="Times New Roman" w:cs="Times New Roman"/>
        </w:rPr>
        <w:t xml:space="preserve"> et al. [10].</w:t>
      </w:r>
    </w:p>
    <w:p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CLINICAL GUIDELINES AND RECOMMENDATIONS:</w:t>
      </w:r>
    </w:p>
    <w:p w:rsidR="00A86CE5" w:rsidRPr="000251E3" w:rsidRDefault="005E0AB6" w:rsidP="003F38D2">
      <w:pPr>
        <w:spacing w:after="0" w:line="360" w:lineRule="auto"/>
        <w:jc w:val="both"/>
        <w:rPr>
          <w:rFonts w:ascii="Times New Roman" w:hAnsi="Times New Roman" w:cs="Times New Roman"/>
        </w:rPr>
      </w:pPr>
      <w:r w:rsidRPr="000251E3">
        <w:rPr>
          <w:rFonts w:ascii="Times New Roman" w:hAnsi="Times New Roman" w:cs="Times New Roman"/>
        </w:rPr>
        <w:t>Current clinical guidelines emphasize early recognition of CIPN, regular symptom monitoring, patient education, and individualized chemotherapy dose modification [10,11]. Duloxetine is recommended for the management of established painful CIPN but not for preventive use [11]. Shared decision-making between clinicians and patients is essential to balance oncologic efficacy with neurotoxicity risk [38].</w:t>
      </w:r>
    </w:p>
    <w:p w:rsidR="00A86CE5" w:rsidRPr="000251E3" w:rsidRDefault="001475D8" w:rsidP="003F38D2">
      <w:pPr>
        <w:spacing w:after="0" w:line="360" w:lineRule="auto"/>
        <w:jc w:val="both"/>
        <w:rPr>
          <w:rFonts w:ascii="Times New Roman" w:hAnsi="Times New Roman" w:cs="Times New Roman"/>
        </w:rPr>
      </w:pPr>
      <w:r w:rsidRPr="000251E3">
        <w:rPr>
          <w:rFonts w:ascii="Times New Roman" w:hAnsi="Times New Roman" w:cs="Times New Roman"/>
        </w:rPr>
        <w:t>In addition to pharmacological management, clinical guidelines strongly advocate for routine neurological assessment before, during, and after chemotherapy to facilitate early detection of CIPN and timely intervention [21,43]. The use of standardized grading tools, such as the NCI-CTCAE and patient-reported outcome measures, is recommended to accurately capture symptom severity and functional impact over time [15,44]. Early identification of neuropathic symptoms allows clinicians to implement dose adjustments, treatment delays, or regimen modifications, thereby minimizing irreversible nerve damage while maintaining therapeutic efficacy [10,26].</w:t>
      </w:r>
    </w:p>
    <w:p w:rsidR="001475D8" w:rsidRPr="000251E3" w:rsidRDefault="001475D8"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Patient education forms a cornerstone of guideline-based CIPN management. Patients should be informed about early sensory symptoms, potential triggers such as cold exposure, and </w:t>
      </w:r>
      <w:r w:rsidRPr="000251E3">
        <w:rPr>
          <w:rFonts w:ascii="Times New Roman" w:hAnsi="Times New Roman" w:cs="Times New Roman"/>
        </w:rPr>
        <w:lastRenderedPageBreak/>
        <w:t>safety measures to reduce fall risk and injury [5,40]. Multidisciplinary involvement, including oncologists, neurologists, nurses, and physiotherapists, is encouraged to optimize symptom monitoring and supportive care [41]. Collectively, adherence to these evidence-based guidelines supports improved symptom control, preserves quality of life, and enables individualized treatment decisions aligned with patient preferences and clinical goals [11,38].</w:t>
      </w:r>
    </w:p>
    <w:p w:rsidR="00A86CE5" w:rsidRPr="000251E3" w:rsidRDefault="00724E7E"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FUTURE DIRECTIONS:</w:t>
      </w:r>
    </w:p>
    <w:p w:rsidR="00A86CE5" w:rsidRPr="000251E3" w:rsidRDefault="00E76DA8" w:rsidP="003F38D2">
      <w:pPr>
        <w:spacing w:after="0" w:line="360" w:lineRule="auto"/>
        <w:jc w:val="both"/>
        <w:rPr>
          <w:rFonts w:ascii="Times New Roman" w:hAnsi="Times New Roman" w:cs="Times New Roman"/>
        </w:rPr>
      </w:pPr>
      <w:r w:rsidRPr="000251E3">
        <w:rPr>
          <w:rFonts w:ascii="Times New Roman" w:hAnsi="Times New Roman" w:cs="Times New Roman"/>
        </w:rPr>
        <w:t>Future research efforts focus on identifying reliable biomarkers for early detection of nerve injury, genetic predictors of susceptibility, and targeted neuroprotective therapies [36,39]. Advances in pharmacogenomics and personalized medicine may enable tailored preventive strategies and improved outcomes for patients at high risk of CIPN [50].</w:t>
      </w:r>
    </w:p>
    <w:p w:rsidR="00A86CE5" w:rsidRPr="000251E3" w:rsidRDefault="00622495" w:rsidP="003F38D2">
      <w:pPr>
        <w:spacing w:after="0" w:line="360" w:lineRule="auto"/>
        <w:jc w:val="both"/>
        <w:rPr>
          <w:rFonts w:ascii="Times New Roman" w:hAnsi="Times New Roman" w:cs="Times New Roman"/>
        </w:rPr>
      </w:pPr>
      <w:r w:rsidRPr="000251E3">
        <w:rPr>
          <w:rFonts w:ascii="Times New Roman" w:hAnsi="Times New Roman" w:cs="Times New Roman"/>
        </w:rPr>
        <w:t>Future directions should also prioritize the development of standardized outcome measures to enable consistent evaluation of chemotherapy-induced peripheral neuropathy across clinical trials and real-world practice [15,29]. Harmonization of clinician-reported and patient-reported assessment tools will improve comparability of study findings and facilitate meta-analyses, ultimately strengthening the evidence base for preventive and therapeutic interventions [44,46].</w:t>
      </w:r>
    </w:p>
    <w:p w:rsidR="00043088" w:rsidRPr="000251E3" w:rsidRDefault="00622495" w:rsidP="00043088">
      <w:pPr>
        <w:spacing w:after="0" w:line="360" w:lineRule="auto"/>
        <w:jc w:val="both"/>
        <w:rPr>
          <w:rFonts w:ascii="Times New Roman" w:hAnsi="Times New Roman" w:cs="Times New Roman"/>
        </w:rPr>
      </w:pPr>
      <w:r w:rsidRPr="000251E3">
        <w:rPr>
          <w:rFonts w:ascii="Times New Roman" w:hAnsi="Times New Roman" w:cs="Times New Roman"/>
        </w:rPr>
        <w:t>Another important area of focus is the integration of multidisciplinary care models in the management of CIPN. Collaboration between oncologists, neurologists, physiotherapists, and pain specialists may enhance early intervention, functional rehabilitation, and long-term symptom control [41,42]. Additionally, survivorship-focused research is needed to better understand the long-term trajectory of CIPN and to develop rehabilitation strategies aimed at improving balance, mobility, and quality of life among cancer survivors [5,21].</w:t>
      </w:r>
      <w:r w:rsidR="00043088" w:rsidRPr="000251E3">
        <w:rPr>
          <w:rFonts w:ascii="Times New Roman" w:hAnsi="Times New Roman" w:cs="Times New Roman"/>
        </w:rPr>
        <w:t xml:space="preserve"> While existing clinical guidelines provide a robust framework for the recognition and management of chemotherapy-induced peripheral neuropathy, effective implementation in routine practice remains variable. Barriers such as time constraints, limited access to neurological expertise, and inconsistent use of standardized assessment tools may contribute to </w:t>
      </w:r>
      <w:proofErr w:type="spellStart"/>
      <w:r w:rsidR="00043088" w:rsidRPr="000251E3">
        <w:rPr>
          <w:rFonts w:ascii="Times New Roman" w:hAnsi="Times New Roman" w:cs="Times New Roman"/>
        </w:rPr>
        <w:t>underrecognition</w:t>
      </w:r>
      <w:proofErr w:type="spellEnd"/>
      <w:r w:rsidR="00043088" w:rsidRPr="000251E3">
        <w:rPr>
          <w:rFonts w:ascii="Times New Roman" w:hAnsi="Times New Roman" w:cs="Times New Roman"/>
        </w:rPr>
        <w:t xml:space="preserve"> of early neuropathic changes. Addressing these challenges requires systematic integration of CIPN monitoring into oncology workflows and survivorship care plans [21,43].</w:t>
      </w:r>
    </w:p>
    <w:p w:rsidR="00043088" w:rsidRPr="000251E3" w:rsidRDefault="00043088" w:rsidP="00043088">
      <w:pPr>
        <w:spacing w:after="0" w:line="360" w:lineRule="auto"/>
        <w:jc w:val="both"/>
        <w:rPr>
          <w:rFonts w:ascii="Times New Roman" w:hAnsi="Times New Roman" w:cs="Times New Roman"/>
        </w:rPr>
      </w:pPr>
      <w:r w:rsidRPr="000251E3">
        <w:rPr>
          <w:rFonts w:ascii="Times New Roman" w:hAnsi="Times New Roman" w:cs="Times New Roman"/>
        </w:rPr>
        <w:t>Guidelines increasingly emphasize the importance of longitudinal follow-up, as CIPN symptoms may persist or progress even after completion of chemotherapy. Regular post-treatment neurological assessments enable timely identification of delayed or chronic neuropathy and facilitate referral to supportive care services. Incorporation of survivorship-focused monitoring strategies may reduce long-term functional impairment and improve quality-of-life outcomes among cancer survivors [33,35].</w:t>
      </w:r>
    </w:p>
    <w:p w:rsidR="00043088" w:rsidRPr="000251E3" w:rsidRDefault="00043088" w:rsidP="00043088">
      <w:pPr>
        <w:spacing w:after="0" w:line="360" w:lineRule="auto"/>
        <w:jc w:val="both"/>
        <w:rPr>
          <w:rFonts w:ascii="Times New Roman" w:hAnsi="Times New Roman" w:cs="Times New Roman"/>
        </w:rPr>
      </w:pPr>
      <w:r w:rsidRPr="000251E3">
        <w:rPr>
          <w:rFonts w:ascii="Times New Roman" w:hAnsi="Times New Roman" w:cs="Times New Roman"/>
        </w:rPr>
        <w:lastRenderedPageBreak/>
        <w:t>Another evolving recommendation involves the personalization of guideline application based on individual risk profiles. Factors such as cumulative chemotherapy exposure, comorbid conditions, and baseline functional status should inform the intensity and frequency of monitoring. Tailoring guideline-based interventions to patient-specific risk enhances clinical relevance and supports shared decision-making when balancing neurotoxicity risk against anticancer benefit [3,10,38].</w:t>
      </w:r>
    </w:p>
    <w:p w:rsidR="00043088" w:rsidRPr="000251E3" w:rsidRDefault="00043088" w:rsidP="00043088">
      <w:pPr>
        <w:spacing w:after="0" w:line="360" w:lineRule="auto"/>
        <w:jc w:val="both"/>
        <w:rPr>
          <w:rFonts w:ascii="Times New Roman" w:hAnsi="Times New Roman" w:cs="Times New Roman"/>
        </w:rPr>
      </w:pPr>
      <w:r w:rsidRPr="000251E3">
        <w:rPr>
          <w:rFonts w:ascii="Times New Roman" w:hAnsi="Times New Roman" w:cs="Times New Roman"/>
        </w:rPr>
        <w:t>Recent guideline discussions also highlight the need for interdisciplinary education and training to improve clinician awareness and confidence in managing CIPN. Structured educational initiatives targeting healthcare professionals may promote consistent use of assessment tools, appropriate referral pathways, and evidence-based symptom management strategies. Such initiatives are particularly relevant in settings with limited access to specialized neurological care [41,45].</w:t>
      </w:r>
    </w:p>
    <w:p w:rsidR="00A86CE5" w:rsidRPr="000251E3" w:rsidRDefault="00043088" w:rsidP="00043088">
      <w:pPr>
        <w:spacing w:after="0" w:line="360" w:lineRule="auto"/>
        <w:jc w:val="both"/>
        <w:rPr>
          <w:rFonts w:ascii="Times New Roman" w:hAnsi="Times New Roman" w:cs="Times New Roman"/>
        </w:rPr>
      </w:pPr>
      <w:r w:rsidRPr="000251E3">
        <w:rPr>
          <w:rFonts w:ascii="Times New Roman" w:hAnsi="Times New Roman" w:cs="Times New Roman"/>
        </w:rPr>
        <w:t>Looking forward, guidelines acknowledge the growing role of research-informed updates as new evidence emerges. Integration of patient-reported outcomes, digital symptom tracking, and biomarker-based assessments may refine future recommendations and enhance early detection. Continuous revision of clinical guidelines based on high-quality evidence is essential to ensure optimal prevention, monitoring, and management of chemotherapy-induced peripheral neuropathy across diverse clinical settings [11,47,50].</w:t>
      </w:r>
    </w:p>
    <w:p w:rsidR="00A86CE5" w:rsidRPr="000251E3" w:rsidRDefault="00724E7E"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CONCLUSION:</w:t>
      </w:r>
    </w:p>
    <w:p w:rsidR="00A86CE5" w:rsidRPr="000251E3" w:rsidRDefault="008505BA" w:rsidP="003F38D2">
      <w:pPr>
        <w:spacing w:after="0" w:line="360" w:lineRule="auto"/>
        <w:jc w:val="both"/>
        <w:rPr>
          <w:rFonts w:ascii="Times New Roman" w:hAnsi="Times New Roman" w:cs="Times New Roman"/>
        </w:rPr>
      </w:pPr>
      <w:r w:rsidRPr="000251E3">
        <w:rPr>
          <w:rFonts w:ascii="Times New Roman" w:hAnsi="Times New Roman" w:cs="Times New Roman"/>
        </w:rPr>
        <w:t>Chemotherapy-induced peripheral neuropathy is a prevalent and often persistent complication of cancer treatment that significantly affects patient function and quality of life. Although understanding of its mechanisms and risk fact</w:t>
      </w:r>
      <w:r w:rsidR="00B93BA0">
        <w:rPr>
          <w:rFonts w:ascii="Times New Roman" w:hAnsi="Times New Roman" w:cs="Times New Roman"/>
        </w:rPr>
        <w:t>ors has advanced, despite growing mechanistic insight, robust and consistently effective preventive strategies remain limited, underscoring the need for risk-adapted and stage-specific approaches</w:t>
      </w:r>
      <w:r w:rsidRPr="000251E3">
        <w:rPr>
          <w:rFonts w:ascii="Times New Roman" w:hAnsi="Times New Roman" w:cs="Times New Roman"/>
        </w:rPr>
        <w:t>. Early detection, careful monitoring, and supportive preventive approaches such as dose modification and exercise are essential components of CIPN management. Continued research into novel therapeutic targets and personalized interventions is crucial to reducing the burden of CIPN in cancer patients and survivors</w:t>
      </w:r>
      <w:r w:rsidR="005F4BAE" w:rsidRPr="000251E3">
        <w:rPr>
          <w:rFonts w:ascii="Times New Roman" w:hAnsi="Times New Roman" w:cs="Times New Roman"/>
        </w:rPr>
        <w:t>.</w:t>
      </w:r>
    </w:p>
    <w:p w:rsidR="009870AF" w:rsidRDefault="00622495" w:rsidP="003F38D2">
      <w:pPr>
        <w:spacing w:after="0" w:line="360" w:lineRule="auto"/>
        <w:jc w:val="both"/>
        <w:rPr>
          <w:rFonts w:ascii="Times New Roman" w:hAnsi="Times New Roman" w:cs="Times New Roman"/>
        </w:rPr>
      </w:pPr>
      <w:r w:rsidRPr="000251E3">
        <w:rPr>
          <w:rFonts w:ascii="Times New Roman" w:hAnsi="Times New Roman" w:cs="Times New Roman"/>
        </w:rPr>
        <w:t>These challenges highlight the need for continued emphasis on patient-</w:t>
      </w:r>
      <w:proofErr w:type="spellStart"/>
      <w:r w:rsidRPr="000251E3">
        <w:rPr>
          <w:rFonts w:ascii="Times New Roman" w:hAnsi="Times New Roman" w:cs="Times New Roman"/>
        </w:rPr>
        <w:t>centered</w:t>
      </w:r>
      <w:proofErr w:type="spellEnd"/>
      <w:r w:rsidRPr="000251E3">
        <w:rPr>
          <w:rFonts w:ascii="Times New Roman" w:hAnsi="Times New Roman" w:cs="Times New Roman"/>
        </w:rPr>
        <w:t xml:space="preserve"> care and long-term follow-up in oncology practice. Incorporating routine functional assessment, survivorship care planning, and multidisciplinary rehabilitation strategies may help address persistent symptoms and improve daily functioning. As cancer survival continues to improve, prioritizing neurologica</w:t>
      </w:r>
      <w:r w:rsidR="00B93BA0">
        <w:rPr>
          <w:rFonts w:ascii="Times New Roman" w:hAnsi="Times New Roman" w:cs="Times New Roman"/>
        </w:rPr>
        <w:t xml:space="preserve">l health through integrated, multidisciplinary, and longitudinal care </w:t>
      </w:r>
      <w:r w:rsidR="00B93BA0">
        <w:rPr>
          <w:rFonts w:ascii="Times New Roman" w:hAnsi="Times New Roman" w:cs="Times New Roman"/>
        </w:rPr>
        <w:lastRenderedPageBreak/>
        <w:t>models will be essential to ensure that oncologic success is not undermined by long-term Neurotoxicity</w:t>
      </w:r>
      <w:r w:rsidRPr="000251E3">
        <w:rPr>
          <w:rFonts w:ascii="Times New Roman" w:hAnsi="Times New Roman" w:cs="Times New Roman"/>
        </w:rPr>
        <w:t>.</w:t>
      </w:r>
    </w:p>
    <w:p w:rsidR="000251E3" w:rsidRDefault="000251E3" w:rsidP="003F38D2">
      <w:pPr>
        <w:spacing w:after="0" w:line="360" w:lineRule="auto"/>
        <w:jc w:val="both"/>
        <w:rPr>
          <w:rFonts w:ascii="Times New Roman" w:hAnsi="Times New Roman" w:cs="Times New Roman"/>
        </w:rPr>
      </w:pPr>
    </w:p>
    <w:p w:rsidR="000251E3" w:rsidRPr="000251E3" w:rsidRDefault="000251E3" w:rsidP="000251E3">
      <w:pPr>
        <w:spacing w:after="0" w:line="360" w:lineRule="auto"/>
        <w:jc w:val="both"/>
        <w:rPr>
          <w:rFonts w:ascii="Times New Roman" w:hAnsi="Times New Roman" w:cs="Times New Roman"/>
        </w:rPr>
      </w:pPr>
      <w:r w:rsidRPr="000251E3">
        <w:rPr>
          <w:rFonts w:ascii="Times New Roman" w:hAnsi="Times New Roman" w:cs="Times New Roman"/>
        </w:rPr>
        <w:t>COMPETING INTERESTS DISCLAIMER:</w:t>
      </w:r>
    </w:p>
    <w:p w:rsidR="00FF001D" w:rsidRDefault="000251E3" w:rsidP="000251E3">
      <w:pPr>
        <w:spacing w:after="0" w:line="360" w:lineRule="auto"/>
        <w:jc w:val="both"/>
        <w:rPr>
          <w:rFonts w:ascii="Times New Roman" w:hAnsi="Times New Roman" w:cs="Times New Roman"/>
        </w:rPr>
      </w:pPr>
      <w:r w:rsidRPr="000251E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FF001D" w:rsidRPr="00005ED1" w:rsidRDefault="00FF001D" w:rsidP="00FF001D">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FF001D" w:rsidRPr="00005ED1" w:rsidRDefault="00FF001D" w:rsidP="00FF001D">
      <w:pPr>
        <w:pStyle w:val="NoSpacing"/>
        <w:rPr>
          <w:rFonts w:ascii="Arial" w:hAnsi="Arial" w:cs="Arial"/>
          <w:highlight w:val="yellow"/>
        </w:rPr>
      </w:pPr>
    </w:p>
    <w:p w:rsidR="00FF001D" w:rsidRDefault="00FF001D" w:rsidP="00106FF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bookmarkEnd w:id="2"/>
    </w:p>
    <w:p w:rsidR="00791A3E" w:rsidRDefault="00791A3E" w:rsidP="00106FFA">
      <w:pPr>
        <w:pStyle w:val="NoSpacing"/>
        <w:rPr>
          <w:rFonts w:ascii="Arial" w:hAnsi="Arial" w:cs="Arial"/>
          <w:highlight w:val="yellow"/>
        </w:rPr>
      </w:pPr>
    </w:p>
    <w:p w:rsidR="00791A3E" w:rsidRDefault="00791A3E" w:rsidP="00106FFA">
      <w:pPr>
        <w:pStyle w:val="NoSpacing"/>
        <w:rPr>
          <w:rFonts w:ascii="Arial" w:hAnsi="Arial" w:cs="Arial"/>
          <w:highlight w:val="yellow"/>
        </w:rPr>
      </w:pPr>
    </w:p>
    <w:p w:rsidR="00791A3E" w:rsidRDefault="00791A3E" w:rsidP="00106FFA">
      <w:pPr>
        <w:pStyle w:val="NoSpacing"/>
        <w:rPr>
          <w:rFonts w:ascii="Arial" w:hAnsi="Arial" w:cs="Arial"/>
          <w:highlight w:val="yellow"/>
        </w:rPr>
      </w:pPr>
    </w:p>
    <w:p w:rsidR="00791A3E" w:rsidRDefault="00791A3E" w:rsidP="00106FFA">
      <w:pPr>
        <w:pStyle w:val="NoSpacing"/>
        <w:rPr>
          <w:rFonts w:ascii="Arial" w:hAnsi="Arial" w:cs="Arial"/>
          <w:highlight w:val="yellow"/>
        </w:rPr>
      </w:pPr>
    </w:p>
    <w:p w:rsidR="00791A3E" w:rsidRDefault="00791A3E" w:rsidP="00106FFA">
      <w:pPr>
        <w:pStyle w:val="NoSpacing"/>
        <w:rPr>
          <w:rFonts w:ascii="Arial" w:hAnsi="Arial" w:cs="Arial"/>
          <w:highlight w:val="yellow"/>
        </w:rPr>
      </w:pPr>
    </w:p>
    <w:p w:rsidR="00791A3E" w:rsidRDefault="00791A3E" w:rsidP="00106FFA">
      <w:pPr>
        <w:pStyle w:val="NoSpacing"/>
        <w:rPr>
          <w:rFonts w:ascii="Arial" w:hAnsi="Arial" w:cs="Arial"/>
          <w:highlight w:val="yellow"/>
        </w:rPr>
      </w:pPr>
    </w:p>
    <w:p w:rsidR="00791A3E" w:rsidRPr="00106FFA" w:rsidRDefault="00791A3E" w:rsidP="00106FFA">
      <w:pPr>
        <w:pStyle w:val="NoSpacing"/>
        <w:rPr>
          <w:rFonts w:ascii="Arial" w:hAnsi="Arial" w:cs="Arial"/>
          <w:highlight w:val="yellow"/>
        </w:rPr>
      </w:pPr>
    </w:p>
    <w:p w:rsidR="00A86CE5" w:rsidRPr="000251E3" w:rsidRDefault="00724E7E" w:rsidP="003F38D2">
      <w:pPr>
        <w:spacing w:after="0" w:line="360" w:lineRule="auto"/>
        <w:jc w:val="both"/>
        <w:rPr>
          <w:rFonts w:ascii="Times New Roman" w:hAnsi="Times New Roman" w:cs="Times New Roman"/>
          <w:b/>
        </w:rPr>
      </w:pPr>
      <w:r w:rsidRPr="000251E3">
        <w:rPr>
          <w:rFonts w:ascii="Times New Roman" w:hAnsi="Times New Roman" w:cs="Times New Roman"/>
          <w:b/>
        </w:rPr>
        <w:t>REFERENCES</w:t>
      </w:r>
      <w:r w:rsidR="005F4BAE" w:rsidRPr="000251E3">
        <w:rPr>
          <w:rFonts w:ascii="Times New Roman" w:hAnsi="Times New Roman" w:cs="Times New Roman"/>
          <w:b/>
        </w:rPr>
        <w:t>:</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Marmiroli</w:t>
      </w:r>
      <w:proofErr w:type="spellEnd"/>
      <w:r w:rsidRPr="000251E3">
        <w:rPr>
          <w:rFonts w:ascii="Times New Roman" w:hAnsi="Times New Roman" w:cs="Times New Roman"/>
        </w:rPr>
        <w:t xml:space="preserve"> P. Chemotherapy-induced peripheral neurotoxicity. Nat Rev Neurol. 2010;6(12):657–666.</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Park SB, Goldstein D, Krishnan AV, Lin CSY, Friedlander ML, Cassidy J, </w:t>
      </w:r>
      <w:r w:rsidR="005F4BAE" w:rsidRPr="000251E3">
        <w:rPr>
          <w:rFonts w:ascii="Times New Roman" w:hAnsi="Times New Roman" w:cs="Times New Roman"/>
        </w:rPr>
        <w:t>et al. Chemotherapy-induced peri</w:t>
      </w:r>
      <w:r w:rsidRPr="000251E3">
        <w:rPr>
          <w:rFonts w:ascii="Times New Roman" w:hAnsi="Times New Roman" w:cs="Times New Roman"/>
        </w:rPr>
        <w:t>pheral neurotoxicity: A critical analysis. CA Cancer J Clin. 2013;63(6):419–437.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Seretny</w:t>
      </w:r>
      <w:proofErr w:type="spellEnd"/>
      <w:r w:rsidRPr="000251E3">
        <w:rPr>
          <w:rFonts w:ascii="Times New Roman" w:hAnsi="Times New Roman" w:cs="Times New Roman"/>
        </w:rPr>
        <w:t xml:space="preserve"> M, Currie GL, </w:t>
      </w:r>
      <w:proofErr w:type="spellStart"/>
      <w:r w:rsidRPr="000251E3">
        <w:rPr>
          <w:rFonts w:ascii="Times New Roman" w:hAnsi="Times New Roman" w:cs="Times New Roman"/>
        </w:rPr>
        <w:t>Sena</w:t>
      </w:r>
      <w:proofErr w:type="spellEnd"/>
      <w:r w:rsidRPr="000251E3">
        <w:rPr>
          <w:rFonts w:ascii="Times New Roman" w:hAnsi="Times New Roman" w:cs="Times New Roman"/>
        </w:rPr>
        <w:t xml:space="preserve"> ES, Ramnarine S, Grant R, MacLeod MR, et al. Incidence, prevalence, and predictors of chemotherapy-induced peripheral neuropathy. Pain. 2014;155(12):2461–2470.</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Mols F, </w:t>
      </w:r>
      <w:proofErr w:type="spellStart"/>
      <w:r w:rsidRPr="000251E3">
        <w:rPr>
          <w:rFonts w:ascii="Times New Roman" w:hAnsi="Times New Roman" w:cs="Times New Roman"/>
        </w:rPr>
        <w:t>Beijers</w:t>
      </w:r>
      <w:proofErr w:type="spellEnd"/>
      <w:r w:rsidRPr="000251E3">
        <w:rPr>
          <w:rFonts w:ascii="Times New Roman" w:hAnsi="Times New Roman" w:cs="Times New Roman"/>
        </w:rPr>
        <w:t xml:space="preserve"> T, </w:t>
      </w:r>
      <w:proofErr w:type="spellStart"/>
      <w:r w:rsidRPr="000251E3">
        <w:rPr>
          <w:rFonts w:ascii="Times New Roman" w:hAnsi="Times New Roman" w:cs="Times New Roman"/>
        </w:rPr>
        <w:t>Vreugdenhil</w:t>
      </w:r>
      <w:proofErr w:type="spellEnd"/>
      <w:r w:rsidRPr="000251E3">
        <w:rPr>
          <w:rFonts w:ascii="Times New Roman" w:hAnsi="Times New Roman" w:cs="Times New Roman"/>
        </w:rPr>
        <w:t xml:space="preserve"> G, van de Poll-</w:t>
      </w:r>
      <w:proofErr w:type="spellStart"/>
      <w:r w:rsidRPr="000251E3">
        <w:rPr>
          <w:rFonts w:ascii="Times New Roman" w:hAnsi="Times New Roman" w:cs="Times New Roman"/>
        </w:rPr>
        <w:t>Franse</w:t>
      </w:r>
      <w:proofErr w:type="spellEnd"/>
      <w:r w:rsidRPr="000251E3">
        <w:rPr>
          <w:rFonts w:ascii="Times New Roman" w:hAnsi="Times New Roman" w:cs="Times New Roman"/>
        </w:rPr>
        <w:t xml:space="preserve"> LV. Chemotherapy-induced peripheral neuropathy and its association with quality of life. Support Care Cancer. 2014;22(8):2261–2269.</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Winters-Stone KM, </w:t>
      </w:r>
      <w:proofErr w:type="spellStart"/>
      <w:r w:rsidRPr="000251E3">
        <w:rPr>
          <w:rFonts w:ascii="Times New Roman" w:hAnsi="Times New Roman" w:cs="Times New Roman"/>
        </w:rPr>
        <w:t>Horak</w:t>
      </w:r>
      <w:proofErr w:type="spellEnd"/>
      <w:r w:rsidRPr="000251E3">
        <w:rPr>
          <w:rFonts w:ascii="Times New Roman" w:hAnsi="Times New Roman" w:cs="Times New Roman"/>
        </w:rPr>
        <w:t xml:space="preserve"> F, Jacobs PG, </w:t>
      </w:r>
      <w:proofErr w:type="spellStart"/>
      <w:r w:rsidRPr="000251E3">
        <w:rPr>
          <w:rFonts w:ascii="Times New Roman" w:hAnsi="Times New Roman" w:cs="Times New Roman"/>
        </w:rPr>
        <w:t>Trubowitz</w:t>
      </w:r>
      <w:proofErr w:type="spellEnd"/>
      <w:r w:rsidRPr="000251E3">
        <w:rPr>
          <w:rFonts w:ascii="Times New Roman" w:hAnsi="Times New Roman" w:cs="Times New Roman"/>
        </w:rPr>
        <w:t xml:space="preserve"> P, </w:t>
      </w:r>
      <w:proofErr w:type="spellStart"/>
      <w:r w:rsidRPr="000251E3">
        <w:rPr>
          <w:rFonts w:ascii="Times New Roman" w:hAnsi="Times New Roman" w:cs="Times New Roman"/>
        </w:rPr>
        <w:t>Dieckmann</w:t>
      </w:r>
      <w:proofErr w:type="spellEnd"/>
      <w:r w:rsidRPr="000251E3">
        <w:rPr>
          <w:rFonts w:ascii="Times New Roman" w:hAnsi="Times New Roman" w:cs="Times New Roman"/>
        </w:rPr>
        <w:t xml:space="preserve"> NF, </w:t>
      </w:r>
      <w:proofErr w:type="spellStart"/>
      <w:r w:rsidRPr="000251E3">
        <w:rPr>
          <w:rFonts w:ascii="Times New Roman" w:hAnsi="Times New Roman" w:cs="Times New Roman"/>
        </w:rPr>
        <w:t>Stoyles</w:t>
      </w:r>
      <w:proofErr w:type="spellEnd"/>
      <w:r w:rsidRPr="000251E3">
        <w:rPr>
          <w:rFonts w:ascii="Times New Roman" w:hAnsi="Times New Roman" w:cs="Times New Roman"/>
        </w:rPr>
        <w:t xml:space="preserve"> S, et al. Falls, functioning, and disability among women with persistent chemotherapy-induced peripheral neuropathy.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2017;35(23):2604–2612.</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Eckhoff</w:t>
      </w:r>
      <w:proofErr w:type="spellEnd"/>
      <w:r w:rsidRPr="000251E3">
        <w:rPr>
          <w:rFonts w:ascii="Times New Roman" w:hAnsi="Times New Roman" w:cs="Times New Roman"/>
        </w:rPr>
        <w:t xml:space="preserve"> L, Knoop AS, Jensen MB, </w:t>
      </w:r>
      <w:proofErr w:type="spellStart"/>
      <w:r w:rsidRPr="000251E3">
        <w:rPr>
          <w:rFonts w:ascii="Times New Roman" w:hAnsi="Times New Roman" w:cs="Times New Roman"/>
        </w:rPr>
        <w:t>Ewertz</w:t>
      </w:r>
      <w:proofErr w:type="spellEnd"/>
      <w:r w:rsidRPr="000251E3">
        <w:rPr>
          <w:rFonts w:ascii="Times New Roman" w:hAnsi="Times New Roman" w:cs="Times New Roman"/>
        </w:rPr>
        <w:t xml:space="preserve"> M. Persistence of docetaxel-induced neuropathy. Breast Cancer Res Treat. 2015;151(3):589–598.</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lastRenderedPageBreak/>
        <w:t>Sisignano</w:t>
      </w:r>
      <w:proofErr w:type="spellEnd"/>
      <w:r w:rsidRPr="000251E3">
        <w:rPr>
          <w:rFonts w:ascii="Times New Roman" w:hAnsi="Times New Roman" w:cs="Times New Roman"/>
        </w:rPr>
        <w:t xml:space="preserve"> M, Baron R, </w:t>
      </w:r>
      <w:proofErr w:type="spellStart"/>
      <w:r w:rsidRPr="000251E3">
        <w:rPr>
          <w:rFonts w:ascii="Times New Roman" w:hAnsi="Times New Roman" w:cs="Times New Roman"/>
        </w:rPr>
        <w:t>Scholich</w:t>
      </w:r>
      <w:proofErr w:type="spellEnd"/>
      <w:r w:rsidRPr="000251E3">
        <w:rPr>
          <w:rFonts w:ascii="Times New Roman" w:hAnsi="Times New Roman" w:cs="Times New Roman"/>
        </w:rPr>
        <w:t xml:space="preserve"> K, </w:t>
      </w:r>
      <w:proofErr w:type="spellStart"/>
      <w:r w:rsidRPr="000251E3">
        <w:rPr>
          <w:rFonts w:ascii="Times New Roman" w:hAnsi="Times New Roman" w:cs="Times New Roman"/>
        </w:rPr>
        <w:t>Geisslinger</w:t>
      </w:r>
      <w:proofErr w:type="spellEnd"/>
      <w:r w:rsidRPr="000251E3">
        <w:rPr>
          <w:rFonts w:ascii="Times New Roman" w:hAnsi="Times New Roman" w:cs="Times New Roman"/>
        </w:rPr>
        <w:t xml:space="preserve"> G. Mechanism-based treatment for chemotherapy-induced peripheral neuropathic pain. Nat Rev Neurol. 2014;10(12):694–707.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Starobova</w:t>
      </w:r>
      <w:proofErr w:type="spellEnd"/>
      <w:r w:rsidRPr="000251E3">
        <w:rPr>
          <w:rFonts w:ascii="Times New Roman" w:hAnsi="Times New Roman" w:cs="Times New Roman"/>
        </w:rPr>
        <w:t xml:space="preserve"> H, Vetter I. Pathophysiology of chemotherapy-induced peripheral neuropathy. Front </w:t>
      </w:r>
      <w:proofErr w:type="spellStart"/>
      <w:r w:rsidRPr="000251E3">
        <w:rPr>
          <w:rFonts w:ascii="Times New Roman" w:hAnsi="Times New Roman" w:cs="Times New Roman"/>
        </w:rPr>
        <w:t>MolNeurosci</w:t>
      </w:r>
      <w:proofErr w:type="spellEnd"/>
      <w:r w:rsidRPr="000251E3">
        <w:rPr>
          <w:rFonts w:ascii="Times New Roman" w:hAnsi="Times New Roman" w:cs="Times New Roman"/>
        </w:rPr>
        <w:t xml:space="preserve">. </w:t>
      </w:r>
      <w:proofErr w:type="gramStart"/>
      <w:r w:rsidRPr="000251E3">
        <w:rPr>
          <w:rFonts w:ascii="Times New Roman" w:hAnsi="Times New Roman" w:cs="Times New Roman"/>
        </w:rPr>
        <w:t>2017;10:174</w:t>
      </w:r>
      <w:proofErr w:type="gramEnd"/>
      <w:r w:rsidRPr="000251E3">
        <w:rPr>
          <w:rFonts w:ascii="Times New Roman" w:hAnsi="Times New Roman" w:cs="Times New Roman"/>
        </w:rPr>
        <w:t>.</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Boyette-Davis JA, Walters ET, Dougherty PM. Mechanisms involved in the development of chemotherapy-induced neuropathy. Pain </w:t>
      </w:r>
      <w:proofErr w:type="spellStart"/>
      <w:r w:rsidRPr="000251E3">
        <w:rPr>
          <w:rFonts w:ascii="Times New Roman" w:hAnsi="Times New Roman" w:cs="Times New Roman"/>
        </w:rPr>
        <w:t>Manag</w:t>
      </w:r>
      <w:proofErr w:type="spellEnd"/>
      <w:r w:rsidRPr="000251E3">
        <w:rPr>
          <w:rFonts w:ascii="Times New Roman" w:hAnsi="Times New Roman" w:cs="Times New Roman"/>
        </w:rPr>
        <w:t>. 2015;5(4):285–296.</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Loprinzi</w:t>
      </w:r>
      <w:proofErr w:type="spellEnd"/>
      <w:r w:rsidRPr="000251E3">
        <w:rPr>
          <w:rFonts w:ascii="Times New Roman" w:hAnsi="Times New Roman" w:cs="Times New Roman"/>
        </w:rPr>
        <w:t xml:space="preserve"> CL, </w:t>
      </w:r>
      <w:proofErr w:type="spellStart"/>
      <w:r w:rsidRPr="000251E3">
        <w:rPr>
          <w:rFonts w:ascii="Times New Roman" w:hAnsi="Times New Roman" w:cs="Times New Roman"/>
        </w:rPr>
        <w:t>Lacchetti</w:t>
      </w:r>
      <w:proofErr w:type="spellEnd"/>
      <w:r w:rsidRPr="000251E3">
        <w:rPr>
          <w:rFonts w:ascii="Times New Roman" w:hAnsi="Times New Roman" w:cs="Times New Roman"/>
        </w:rPr>
        <w:t xml:space="preserve"> C, Bleeker J,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Chauhan C, Hertz DL, et al. Prevention and management of chemotherapy-induced peripheral neuropathy in survivors of adult cancers.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2020;38(28):3325–3348.</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Hershman DL, </w:t>
      </w:r>
      <w:proofErr w:type="spellStart"/>
      <w:r w:rsidRPr="000251E3">
        <w:rPr>
          <w:rFonts w:ascii="Times New Roman" w:hAnsi="Times New Roman" w:cs="Times New Roman"/>
        </w:rPr>
        <w:t>Lacchetti</w:t>
      </w:r>
      <w:proofErr w:type="spellEnd"/>
      <w:r w:rsidRPr="000251E3">
        <w:rPr>
          <w:rFonts w:ascii="Times New Roman" w:hAnsi="Times New Roman" w:cs="Times New Roman"/>
        </w:rPr>
        <w:t xml:space="preserve"> C, Dworkin RH, Smith EML, Bleeker J,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et al. Prevention and management of chemotherapy-induced peripheral neuropathy in survivors of adult cancers.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2014;32(18):1941–1967.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Quasthoff</w:t>
      </w:r>
      <w:proofErr w:type="spellEnd"/>
      <w:r w:rsidRPr="000251E3">
        <w:rPr>
          <w:rFonts w:ascii="Times New Roman" w:hAnsi="Times New Roman" w:cs="Times New Roman"/>
        </w:rPr>
        <w:t xml:space="preserve"> S, Hartung HP. Chemotherapy-induced peripheral neuropathy. J Neurol. 2002;249(1):9–17.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Grisold</w:t>
      </w:r>
      <w:proofErr w:type="spellEnd"/>
      <w:r w:rsidRPr="000251E3">
        <w:rPr>
          <w:rFonts w:ascii="Times New Roman" w:hAnsi="Times New Roman" w:cs="Times New Roman"/>
        </w:rPr>
        <w:t xml:space="preserve"> W,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Windebank</w:t>
      </w:r>
      <w:proofErr w:type="spellEnd"/>
      <w:r w:rsidRPr="000251E3">
        <w:rPr>
          <w:rFonts w:ascii="Times New Roman" w:hAnsi="Times New Roman" w:cs="Times New Roman"/>
        </w:rPr>
        <w:t xml:space="preserve"> AJ. Peripheral neuropathies from chemotherapy and targeted agents. Lancet Neurol. 2012;11(10):862–872.</w:t>
      </w:r>
    </w:p>
    <w:p w:rsidR="00F82E6D"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Velasco R, Bruna J. Chemotherapy-induced peripheral </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neuropathy. </w:t>
      </w:r>
      <w:proofErr w:type="spellStart"/>
      <w:r w:rsidRPr="000251E3">
        <w:rPr>
          <w:rFonts w:ascii="Times New Roman" w:hAnsi="Times New Roman" w:cs="Times New Roman"/>
        </w:rPr>
        <w:t>Neurologia</w:t>
      </w:r>
      <w:proofErr w:type="spellEnd"/>
      <w:r w:rsidRPr="000251E3">
        <w:rPr>
          <w:rFonts w:ascii="Times New Roman" w:hAnsi="Times New Roman" w:cs="Times New Roman"/>
        </w:rPr>
        <w:t>. 2010;25(2):116–131.</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Cornblath</w:t>
      </w:r>
      <w:proofErr w:type="spellEnd"/>
      <w:r w:rsidRPr="000251E3">
        <w:rPr>
          <w:rFonts w:ascii="Times New Roman" w:hAnsi="Times New Roman" w:cs="Times New Roman"/>
        </w:rPr>
        <w:t xml:space="preserve"> DR, </w:t>
      </w:r>
      <w:proofErr w:type="spellStart"/>
      <w:r w:rsidRPr="000251E3">
        <w:rPr>
          <w:rFonts w:ascii="Times New Roman" w:hAnsi="Times New Roman" w:cs="Times New Roman"/>
        </w:rPr>
        <w:t>Merkies</w:t>
      </w:r>
      <w:proofErr w:type="spellEnd"/>
      <w:r w:rsidRPr="000251E3">
        <w:rPr>
          <w:rFonts w:ascii="Times New Roman" w:hAnsi="Times New Roman" w:cs="Times New Roman"/>
        </w:rPr>
        <w:t xml:space="preserve"> ISJ, Postma TJ, Rossi E, </w:t>
      </w:r>
      <w:proofErr w:type="spellStart"/>
      <w:r w:rsidRPr="000251E3">
        <w:rPr>
          <w:rFonts w:ascii="Times New Roman" w:hAnsi="Times New Roman" w:cs="Times New Roman"/>
        </w:rPr>
        <w:t>Frigeni</w:t>
      </w:r>
      <w:proofErr w:type="spellEnd"/>
      <w:r w:rsidRPr="000251E3">
        <w:rPr>
          <w:rFonts w:ascii="Times New Roman" w:hAnsi="Times New Roman" w:cs="Times New Roman"/>
        </w:rPr>
        <w:t xml:space="preserve"> B, et al. The chemotherapy-induced peripheral neuropathy outcome measures standardization study. J </w:t>
      </w:r>
      <w:proofErr w:type="spellStart"/>
      <w:r w:rsidRPr="000251E3">
        <w:rPr>
          <w:rFonts w:ascii="Times New Roman" w:hAnsi="Times New Roman" w:cs="Times New Roman"/>
        </w:rPr>
        <w:t>PeripherNerv</w:t>
      </w:r>
      <w:proofErr w:type="spellEnd"/>
      <w:r w:rsidRPr="000251E3">
        <w:rPr>
          <w:rFonts w:ascii="Times New Roman" w:hAnsi="Times New Roman" w:cs="Times New Roman"/>
        </w:rPr>
        <w:t xml:space="preserve"> Syst. 2013;18(3):229–240.</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Park SB, Lin CSY, Krishnan AV, Friedlander ML, Lewis CR, Kiernan MC. Oxaliplatin-induced neurotoxicity.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2009;27(35):6023–6032.</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Beijers</w:t>
      </w:r>
      <w:proofErr w:type="spellEnd"/>
      <w:r w:rsidRPr="000251E3">
        <w:rPr>
          <w:rFonts w:ascii="Times New Roman" w:hAnsi="Times New Roman" w:cs="Times New Roman"/>
        </w:rPr>
        <w:t xml:space="preserve"> AJM, Mols F, </w:t>
      </w:r>
      <w:proofErr w:type="spellStart"/>
      <w:r w:rsidRPr="000251E3">
        <w:rPr>
          <w:rFonts w:ascii="Times New Roman" w:hAnsi="Times New Roman" w:cs="Times New Roman"/>
        </w:rPr>
        <w:t>Vreugdenhil</w:t>
      </w:r>
      <w:proofErr w:type="spellEnd"/>
      <w:r w:rsidRPr="000251E3">
        <w:rPr>
          <w:rFonts w:ascii="Times New Roman" w:hAnsi="Times New Roman" w:cs="Times New Roman"/>
        </w:rPr>
        <w:t xml:space="preserve"> G. A systematic review on chronic chemotherapy-induced peripheral neuropathy. Eur J Cancer. 2014;50(1):8–17.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Argyriou</w:t>
      </w:r>
      <w:proofErr w:type="spellEnd"/>
      <w:r w:rsidRPr="000251E3">
        <w:rPr>
          <w:rFonts w:ascii="Times New Roman" w:hAnsi="Times New Roman" w:cs="Times New Roman"/>
        </w:rPr>
        <w:t xml:space="preserve"> AA, Bruna J, </w:t>
      </w:r>
      <w:proofErr w:type="spellStart"/>
      <w:r w:rsidRPr="000251E3">
        <w:rPr>
          <w:rFonts w:ascii="Times New Roman" w:hAnsi="Times New Roman" w:cs="Times New Roman"/>
        </w:rPr>
        <w:t>Marmiroli</w:t>
      </w:r>
      <w:proofErr w:type="spellEnd"/>
      <w:r w:rsidRPr="000251E3">
        <w:rPr>
          <w:rFonts w:ascii="Times New Roman" w:hAnsi="Times New Roman" w:cs="Times New Roman"/>
        </w:rPr>
        <w:t xml:space="preserve"> P,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Chemotherapy-induced peripheral neurotoxicity. </w:t>
      </w:r>
      <w:proofErr w:type="spellStart"/>
      <w:r w:rsidRPr="000251E3">
        <w:rPr>
          <w:rFonts w:ascii="Times New Roman" w:hAnsi="Times New Roman" w:cs="Times New Roman"/>
        </w:rPr>
        <w:t>Crit</w:t>
      </w:r>
      <w:proofErr w:type="spellEnd"/>
      <w:r w:rsidRPr="000251E3">
        <w:rPr>
          <w:rFonts w:ascii="Times New Roman" w:hAnsi="Times New Roman" w:cs="Times New Roman"/>
        </w:rPr>
        <w:t xml:space="preserve"> Rev </w:t>
      </w:r>
      <w:proofErr w:type="spellStart"/>
      <w:r w:rsidRPr="000251E3">
        <w:rPr>
          <w:rFonts w:ascii="Times New Roman" w:hAnsi="Times New Roman" w:cs="Times New Roman"/>
        </w:rPr>
        <w:t>OncolHematol</w:t>
      </w:r>
      <w:proofErr w:type="spellEnd"/>
      <w:r w:rsidRPr="000251E3">
        <w:rPr>
          <w:rFonts w:ascii="Times New Roman" w:hAnsi="Times New Roman" w:cs="Times New Roman"/>
        </w:rPr>
        <w:t>. 2012;82(1):51–77.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Postma TJ, </w:t>
      </w:r>
      <w:proofErr w:type="spellStart"/>
      <w:r w:rsidRPr="000251E3">
        <w:rPr>
          <w:rFonts w:ascii="Times New Roman" w:hAnsi="Times New Roman" w:cs="Times New Roman"/>
        </w:rPr>
        <w:t>Heimans</w:t>
      </w:r>
      <w:proofErr w:type="spellEnd"/>
      <w:r w:rsidRPr="000251E3">
        <w:rPr>
          <w:rFonts w:ascii="Times New Roman" w:hAnsi="Times New Roman" w:cs="Times New Roman"/>
        </w:rPr>
        <w:t xml:space="preserve"> JJ. Grading of chemotherapy-induced peripheral neuropathy. Ann Oncol. 2000;11(5):509–513.</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lastRenderedPageBreak/>
        <w:t xml:space="preserve">Richardson PG, </w:t>
      </w:r>
      <w:proofErr w:type="spellStart"/>
      <w:r w:rsidRPr="000251E3">
        <w:rPr>
          <w:rFonts w:ascii="Times New Roman" w:hAnsi="Times New Roman" w:cs="Times New Roman"/>
        </w:rPr>
        <w:t>Delforge</w:t>
      </w:r>
      <w:proofErr w:type="spellEnd"/>
      <w:r w:rsidRPr="000251E3">
        <w:rPr>
          <w:rFonts w:ascii="Times New Roman" w:hAnsi="Times New Roman" w:cs="Times New Roman"/>
        </w:rPr>
        <w:t xml:space="preserve"> M, </w:t>
      </w:r>
      <w:proofErr w:type="spellStart"/>
      <w:r w:rsidRPr="000251E3">
        <w:rPr>
          <w:rFonts w:ascii="Times New Roman" w:hAnsi="Times New Roman" w:cs="Times New Roman"/>
        </w:rPr>
        <w:t>Beksac</w:t>
      </w:r>
      <w:proofErr w:type="spellEnd"/>
      <w:r w:rsidRPr="000251E3">
        <w:rPr>
          <w:rFonts w:ascii="Times New Roman" w:hAnsi="Times New Roman" w:cs="Times New Roman"/>
        </w:rPr>
        <w:t xml:space="preserve"> M, Wen P, </w:t>
      </w:r>
      <w:proofErr w:type="spellStart"/>
      <w:r w:rsidRPr="000251E3">
        <w:rPr>
          <w:rFonts w:ascii="Times New Roman" w:hAnsi="Times New Roman" w:cs="Times New Roman"/>
        </w:rPr>
        <w:t>Jongen</w:t>
      </w:r>
      <w:proofErr w:type="spellEnd"/>
      <w:r w:rsidRPr="000251E3">
        <w:rPr>
          <w:rFonts w:ascii="Times New Roman" w:hAnsi="Times New Roman" w:cs="Times New Roman"/>
        </w:rPr>
        <w:t xml:space="preserve"> JL, </w:t>
      </w:r>
      <w:proofErr w:type="spellStart"/>
      <w:r w:rsidRPr="000251E3">
        <w:rPr>
          <w:rFonts w:ascii="Times New Roman" w:hAnsi="Times New Roman" w:cs="Times New Roman"/>
        </w:rPr>
        <w:t>Sezer</w:t>
      </w:r>
      <w:proofErr w:type="spellEnd"/>
      <w:r w:rsidRPr="000251E3">
        <w:rPr>
          <w:rFonts w:ascii="Times New Roman" w:hAnsi="Times New Roman" w:cs="Times New Roman"/>
        </w:rPr>
        <w:t xml:space="preserve"> O, et al. Management of treatment-emergent peripheral neuropathy in multiple myeloma. Blood. 2012;119(9):2085–2094.</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Staff NP, </w:t>
      </w:r>
      <w:proofErr w:type="spellStart"/>
      <w:r w:rsidRPr="000251E3">
        <w:rPr>
          <w:rFonts w:ascii="Times New Roman" w:hAnsi="Times New Roman" w:cs="Times New Roman"/>
        </w:rPr>
        <w:t>Grisold</w:t>
      </w:r>
      <w:proofErr w:type="spellEnd"/>
      <w:r w:rsidRPr="000251E3">
        <w:rPr>
          <w:rFonts w:ascii="Times New Roman" w:hAnsi="Times New Roman" w:cs="Times New Roman"/>
        </w:rPr>
        <w:t xml:space="preserve"> A, </w:t>
      </w:r>
      <w:proofErr w:type="spellStart"/>
      <w:r w:rsidRPr="000251E3">
        <w:rPr>
          <w:rFonts w:ascii="Times New Roman" w:hAnsi="Times New Roman" w:cs="Times New Roman"/>
        </w:rPr>
        <w:t>Grisold</w:t>
      </w:r>
      <w:proofErr w:type="spellEnd"/>
      <w:r w:rsidRPr="000251E3">
        <w:rPr>
          <w:rFonts w:ascii="Times New Roman" w:hAnsi="Times New Roman" w:cs="Times New Roman"/>
        </w:rPr>
        <w:t xml:space="preserve"> W, </w:t>
      </w:r>
      <w:proofErr w:type="spellStart"/>
      <w:r w:rsidRPr="000251E3">
        <w:rPr>
          <w:rFonts w:ascii="Times New Roman" w:hAnsi="Times New Roman" w:cs="Times New Roman"/>
        </w:rPr>
        <w:t>Windebank</w:t>
      </w:r>
      <w:proofErr w:type="spellEnd"/>
      <w:r w:rsidRPr="000251E3">
        <w:rPr>
          <w:rFonts w:ascii="Times New Roman" w:hAnsi="Times New Roman" w:cs="Times New Roman"/>
        </w:rPr>
        <w:t xml:space="preserve"> AJ. Chemotherapy-induced peripheral neuropathy. Lancet Neurol. 2017;16(9):772–781.</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Pachman</w:t>
      </w:r>
      <w:proofErr w:type="spellEnd"/>
      <w:r w:rsidRPr="000251E3">
        <w:rPr>
          <w:rFonts w:ascii="Times New Roman" w:hAnsi="Times New Roman" w:cs="Times New Roman"/>
        </w:rPr>
        <w:t xml:space="preserve"> DR, Barton DL, Watson JC, </w:t>
      </w:r>
      <w:proofErr w:type="spellStart"/>
      <w:r w:rsidRPr="000251E3">
        <w:rPr>
          <w:rFonts w:ascii="Times New Roman" w:hAnsi="Times New Roman" w:cs="Times New Roman"/>
        </w:rPr>
        <w:t>Loprinzi</w:t>
      </w:r>
      <w:proofErr w:type="spellEnd"/>
      <w:r w:rsidRPr="000251E3">
        <w:rPr>
          <w:rFonts w:ascii="Times New Roman" w:hAnsi="Times New Roman" w:cs="Times New Roman"/>
        </w:rPr>
        <w:t xml:space="preserve"> CL. Chemotherapy-induced peripheral neuropathy.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2011;29(34):476–485.</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Argyriou</w:t>
      </w:r>
      <w:proofErr w:type="spellEnd"/>
      <w:r w:rsidRPr="000251E3">
        <w:rPr>
          <w:rFonts w:ascii="Times New Roman" w:hAnsi="Times New Roman" w:cs="Times New Roman"/>
        </w:rPr>
        <w:t xml:space="preserve"> AA, Polychronopoulos P, </w:t>
      </w:r>
      <w:proofErr w:type="spellStart"/>
      <w:r w:rsidRPr="000251E3">
        <w:rPr>
          <w:rFonts w:ascii="Times New Roman" w:hAnsi="Times New Roman" w:cs="Times New Roman"/>
        </w:rPr>
        <w:t>Iconomou</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Chroni</w:t>
      </w:r>
      <w:proofErr w:type="spellEnd"/>
      <w:r w:rsidRPr="000251E3">
        <w:rPr>
          <w:rFonts w:ascii="Times New Roman" w:hAnsi="Times New Roman" w:cs="Times New Roman"/>
        </w:rPr>
        <w:t xml:space="preserve"> E, </w:t>
      </w:r>
      <w:proofErr w:type="spellStart"/>
      <w:r w:rsidRPr="000251E3">
        <w:rPr>
          <w:rFonts w:ascii="Times New Roman" w:hAnsi="Times New Roman" w:cs="Times New Roman"/>
        </w:rPr>
        <w:t>Kalofonos</w:t>
      </w:r>
      <w:proofErr w:type="spellEnd"/>
      <w:r w:rsidRPr="000251E3">
        <w:rPr>
          <w:rFonts w:ascii="Times New Roman" w:hAnsi="Times New Roman" w:cs="Times New Roman"/>
        </w:rPr>
        <w:t xml:space="preserve"> HP. Paclitaxel plus carboplatin-induced peripheral neuropathy. Ann Oncol. 2008;19(1):183–189.</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Jaggi</w:t>
      </w:r>
      <w:proofErr w:type="spellEnd"/>
      <w:r w:rsidRPr="000251E3">
        <w:rPr>
          <w:rFonts w:ascii="Times New Roman" w:hAnsi="Times New Roman" w:cs="Times New Roman"/>
        </w:rPr>
        <w:t xml:space="preserve"> AS, Singh N. Mechanisms in cancer chemotherapy-induced peripheral neuropathy. Toxicology. 2012;291(1–3):1–9.</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Flatters SJL, Dougherty PM, Colvin LA. Clinical and preclinical perspectives on chemotherapy-induced peripheral neuropathy. Pain. 2017;158(12):213–219.</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Verstappen CCP, </w:t>
      </w:r>
      <w:proofErr w:type="spellStart"/>
      <w:r w:rsidRPr="000251E3">
        <w:rPr>
          <w:rFonts w:ascii="Times New Roman" w:hAnsi="Times New Roman" w:cs="Times New Roman"/>
        </w:rPr>
        <w:t>Heimans</w:t>
      </w:r>
      <w:proofErr w:type="spellEnd"/>
      <w:r w:rsidRPr="000251E3">
        <w:rPr>
          <w:rFonts w:ascii="Times New Roman" w:hAnsi="Times New Roman" w:cs="Times New Roman"/>
        </w:rPr>
        <w:t xml:space="preserve"> JJ, </w:t>
      </w:r>
      <w:proofErr w:type="spellStart"/>
      <w:r w:rsidRPr="000251E3">
        <w:rPr>
          <w:rFonts w:ascii="Times New Roman" w:hAnsi="Times New Roman" w:cs="Times New Roman"/>
        </w:rPr>
        <w:t>Hoekman</w:t>
      </w:r>
      <w:proofErr w:type="spellEnd"/>
      <w:r w:rsidRPr="000251E3">
        <w:rPr>
          <w:rFonts w:ascii="Times New Roman" w:hAnsi="Times New Roman" w:cs="Times New Roman"/>
        </w:rPr>
        <w:t xml:space="preserve"> K, Postma TJ. Neurotoxic complications of chemotherapy. J Neurol. 2003;250(9):1095–1106.</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Ocean AJ, Vahdat LT. Chemotherapy-induced peripheral neuropathy. Support Care Cancer. 2004;12(9):619–625.</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Jordan B, Margulies A, Cardoso F,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Haugnes</w:t>
      </w:r>
      <w:proofErr w:type="spellEnd"/>
      <w:r w:rsidRPr="000251E3">
        <w:rPr>
          <w:rFonts w:ascii="Times New Roman" w:hAnsi="Times New Roman" w:cs="Times New Roman"/>
        </w:rPr>
        <w:t xml:space="preserve"> HS, Jahn P, et al. Systemic anticancer therapy-induced peripheral neuropathy. Ann Oncol. 2020;31(10):1306–1319.</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Alberti P, Rossi E, </w:t>
      </w:r>
      <w:proofErr w:type="spellStart"/>
      <w:r w:rsidRPr="000251E3">
        <w:rPr>
          <w:rFonts w:ascii="Times New Roman" w:hAnsi="Times New Roman" w:cs="Times New Roman"/>
        </w:rPr>
        <w:t>Cornblath</w:t>
      </w:r>
      <w:proofErr w:type="spellEnd"/>
      <w:r w:rsidRPr="000251E3">
        <w:rPr>
          <w:rFonts w:ascii="Times New Roman" w:hAnsi="Times New Roman" w:cs="Times New Roman"/>
        </w:rPr>
        <w:t xml:space="preserve"> DR, </w:t>
      </w:r>
      <w:proofErr w:type="spellStart"/>
      <w:r w:rsidRPr="000251E3">
        <w:rPr>
          <w:rFonts w:ascii="Times New Roman" w:hAnsi="Times New Roman" w:cs="Times New Roman"/>
        </w:rPr>
        <w:t>Merkies</w:t>
      </w:r>
      <w:proofErr w:type="spellEnd"/>
      <w:r w:rsidRPr="000251E3">
        <w:rPr>
          <w:rFonts w:ascii="Times New Roman" w:hAnsi="Times New Roman" w:cs="Times New Roman"/>
        </w:rPr>
        <w:t xml:space="preserve"> ISJ, Postma TJ, </w:t>
      </w:r>
      <w:proofErr w:type="spellStart"/>
      <w:r w:rsidRPr="000251E3">
        <w:rPr>
          <w:rFonts w:ascii="Times New Roman" w:hAnsi="Times New Roman" w:cs="Times New Roman"/>
        </w:rPr>
        <w:t>Frigeni</w:t>
      </w:r>
      <w:proofErr w:type="spellEnd"/>
      <w:r w:rsidRPr="000251E3">
        <w:rPr>
          <w:rFonts w:ascii="Times New Roman" w:hAnsi="Times New Roman" w:cs="Times New Roman"/>
        </w:rPr>
        <w:t xml:space="preserve"> B, et al. Physician-assessed and patient-reported outcome measures in CIPN. J </w:t>
      </w:r>
      <w:proofErr w:type="spellStart"/>
      <w:r w:rsidRPr="000251E3">
        <w:rPr>
          <w:rFonts w:ascii="Times New Roman" w:hAnsi="Times New Roman" w:cs="Times New Roman"/>
        </w:rPr>
        <w:t>PeripherNerv</w:t>
      </w:r>
      <w:proofErr w:type="spellEnd"/>
      <w:r w:rsidRPr="000251E3">
        <w:rPr>
          <w:rFonts w:ascii="Times New Roman" w:hAnsi="Times New Roman" w:cs="Times New Roman"/>
        </w:rPr>
        <w:t xml:space="preserve"> Syst. 2014;19(4):258–268.</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Smith EML, Cohen JA, </w:t>
      </w:r>
      <w:proofErr w:type="spellStart"/>
      <w:r w:rsidRPr="000251E3">
        <w:rPr>
          <w:rFonts w:ascii="Times New Roman" w:hAnsi="Times New Roman" w:cs="Times New Roman"/>
        </w:rPr>
        <w:t>Pett</w:t>
      </w:r>
      <w:proofErr w:type="spellEnd"/>
      <w:r w:rsidRPr="000251E3">
        <w:rPr>
          <w:rFonts w:ascii="Times New Roman" w:hAnsi="Times New Roman" w:cs="Times New Roman"/>
        </w:rPr>
        <w:t xml:space="preserve"> MA, Beck SL. The reliability and validity of a modified Total Neuropathy Score. J Support Oncol. 2010;8(1):1–8.</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Hong JS, Tian J. Prevalence of anxiety and depression and their association with quality of life in cancer patients. Support Care Cancer. 2014;22(2):453–459.</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Windebank</w:t>
      </w:r>
      <w:proofErr w:type="spellEnd"/>
      <w:r w:rsidRPr="000251E3">
        <w:rPr>
          <w:rFonts w:ascii="Times New Roman" w:hAnsi="Times New Roman" w:cs="Times New Roman"/>
        </w:rPr>
        <w:t xml:space="preserve"> AJ, </w:t>
      </w:r>
      <w:proofErr w:type="spellStart"/>
      <w:r w:rsidRPr="000251E3">
        <w:rPr>
          <w:rFonts w:ascii="Times New Roman" w:hAnsi="Times New Roman" w:cs="Times New Roman"/>
        </w:rPr>
        <w:t>Grisold</w:t>
      </w:r>
      <w:proofErr w:type="spellEnd"/>
      <w:r w:rsidRPr="000251E3">
        <w:rPr>
          <w:rFonts w:ascii="Times New Roman" w:hAnsi="Times New Roman" w:cs="Times New Roman"/>
        </w:rPr>
        <w:t xml:space="preserve"> W. Chemotherapy-induced neuropathy. J </w:t>
      </w:r>
      <w:proofErr w:type="spellStart"/>
      <w:r w:rsidRPr="000251E3">
        <w:rPr>
          <w:rFonts w:ascii="Times New Roman" w:hAnsi="Times New Roman" w:cs="Times New Roman"/>
        </w:rPr>
        <w:t>PeripherNerv</w:t>
      </w:r>
      <w:proofErr w:type="spellEnd"/>
      <w:r w:rsidRPr="000251E3">
        <w:rPr>
          <w:rFonts w:ascii="Times New Roman" w:hAnsi="Times New Roman" w:cs="Times New Roman"/>
        </w:rPr>
        <w:t xml:space="preserve"> Syst. 2008;13(1):27–46.</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lastRenderedPageBreak/>
        <w:t>Briani</w:t>
      </w:r>
      <w:proofErr w:type="spellEnd"/>
      <w:r w:rsidRPr="000251E3">
        <w:rPr>
          <w:rFonts w:ascii="Times New Roman" w:hAnsi="Times New Roman" w:cs="Times New Roman"/>
        </w:rPr>
        <w:t xml:space="preserve"> C, </w:t>
      </w:r>
      <w:proofErr w:type="spellStart"/>
      <w:r w:rsidRPr="000251E3">
        <w:rPr>
          <w:rFonts w:ascii="Times New Roman" w:hAnsi="Times New Roman" w:cs="Times New Roman"/>
        </w:rPr>
        <w:t>Argyriou</w:t>
      </w:r>
      <w:proofErr w:type="spellEnd"/>
      <w:r w:rsidRPr="000251E3">
        <w:rPr>
          <w:rFonts w:ascii="Times New Roman" w:hAnsi="Times New Roman" w:cs="Times New Roman"/>
        </w:rPr>
        <w:t xml:space="preserve"> AA, </w:t>
      </w:r>
      <w:proofErr w:type="spellStart"/>
      <w:r w:rsidRPr="000251E3">
        <w:rPr>
          <w:rFonts w:ascii="Times New Roman" w:hAnsi="Times New Roman" w:cs="Times New Roman"/>
        </w:rPr>
        <w:t>Izquierdo</w:t>
      </w:r>
      <w:proofErr w:type="spellEnd"/>
      <w:r w:rsidRPr="000251E3">
        <w:rPr>
          <w:rFonts w:ascii="Times New Roman" w:hAnsi="Times New Roman" w:cs="Times New Roman"/>
        </w:rPr>
        <w:t xml:space="preserve"> C, Velasco R, Campagnolo M, Alberti P, et al. Long-term course of chemotherapy-induced peripheral neuropathy. J Neurol. 2014;261(11):2108–2115.</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Park SB, Goldstein D, Lin CSY, Krishnan AV, Friedlander ML, Kiernan MC. Acute abnormalities of sensory nerve function associated with oxaliplatin-induced neurotoxicity.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2011;29(10):1243–1249.</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Winters-Stone KM, Bennett JA, Nail LM, Schwartz A. Strength, physical activity, and age predict fatigue in breast cancer survivors. </w:t>
      </w:r>
      <w:proofErr w:type="spellStart"/>
      <w:r w:rsidRPr="000251E3">
        <w:rPr>
          <w:rFonts w:ascii="Times New Roman" w:hAnsi="Times New Roman" w:cs="Times New Roman"/>
        </w:rPr>
        <w:t>OncolNurs</w:t>
      </w:r>
      <w:proofErr w:type="spellEnd"/>
      <w:r w:rsidRPr="000251E3">
        <w:rPr>
          <w:rFonts w:ascii="Times New Roman" w:hAnsi="Times New Roman" w:cs="Times New Roman"/>
        </w:rPr>
        <w:t xml:space="preserve"> Forum. 2008;35(5):815–821.</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Zanna</w:t>
      </w:r>
      <w:proofErr w:type="spellEnd"/>
      <w:r w:rsidRPr="000251E3">
        <w:rPr>
          <w:rFonts w:ascii="Times New Roman" w:hAnsi="Times New Roman" w:cs="Times New Roman"/>
        </w:rPr>
        <w:t xml:space="preserve"> C. Current status and future prospects for the treatment of chemotherapy-induced peripheral neurotoxicity. Eur J Cancer. 2002;38(14):1832–1837.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Dougherty PM, </w:t>
      </w:r>
      <w:proofErr w:type="spellStart"/>
      <w:r w:rsidRPr="000251E3">
        <w:rPr>
          <w:rFonts w:ascii="Times New Roman" w:hAnsi="Times New Roman" w:cs="Times New Roman"/>
        </w:rPr>
        <w:t>Cata</w:t>
      </w:r>
      <w:proofErr w:type="spellEnd"/>
      <w:r w:rsidRPr="000251E3">
        <w:rPr>
          <w:rFonts w:ascii="Times New Roman" w:hAnsi="Times New Roman" w:cs="Times New Roman"/>
        </w:rPr>
        <w:t xml:space="preserve"> JP, </w:t>
      </w:r>
      <w:proofErr w:type="spellStart"/>
      <w:r w:rsidRPr="000251E3">
        <w:rPr>
          <w:rFonts w:ascii="Times New Roman" w:hAnsi="Times New Roman" w:cs="Times New Roman"/>
        </w:rPr>
        <w:t>Cordella</w:t>
      </w:r>
      <w:proofErr w:type="spellEnd"/>
      <w:r w:rsidRPr="000251E3">
        <w:rPr>
          <w:rFonts w:ascii="Times New Roman" w:hAnsi="Times New Roman" w:cs="Times New Roman"/>
        </w:rPr>
        <w:t xml:space="preserve"> JV, Burton A, Weng HR. Taxol-induced sensory disturbance. Pain. 2004;109(1–2):132–142.</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Smith EML, Pang H, </w:t>
      </w:r>
      <w:proofErr w:type="spellStart"/>
      <w:r w:rsidRPr="000251E3">
        <w:rPr>
          <w:rFonts w:ascii="Times New Roman" w:hAnsi="Times New Roman" w:cs="Times New Roman"/>
        </w:rPr>
        <w:t>Cirrincione</w:t>
      </w:r>
      <w:proofErr w:type="spellEnd"/>
      <w:r w:rsidRPr="000251E3">
        <w:rPr>
          <w:rFonts w:ascii="Times New Roman" w:hAnsi="Times New Roman" w:cs="Times New Roman"/>
        </w:rPr>
        <w:t xml:space="preserve"> C, Fleishman S, </w:t>
      </w:r>
      <w:proofErr w:type="spellStart"/>
      <w:r w:rsidRPr="000251E3">
        <w:rPr>
          <w:rFonts w:ascii="Times New Roman" w:hAnsi="Times New Roman" w:cs="Times New Roman"/>
        </w:rPr>
        <w:t>Paskett</w:t>
      </w:r>
      <w:proofErr w:type="spellEnd"/>
      <w:r w:rsidRPr="000251E3">
        <w:rPr>
          <w:rFonts w:ascii="Times New Roman" w:hAnsi="Times New Roman" w:cs="Times New Roman"/>
        </w:rPr>
        <w:t xml:space="preserve"> ED, Ahles T, et al. Effect of duloxetine on pain in patients with chemotherapy-induced peripheral neuropathy. JAMA. 2013;309(13):1359–1367.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Staff NP, </w:t>
      </w:r>
      <w:proofErr w:type="spellStart"/>
      <w:r w:rsidRPr="000251E3">
        <w:rPr>
          <w:rFonts w:ascii="Times New Roman" w:hAnsi="Times New Roman" w:cs="Times New Roman"/>
        </w:rPr>
        <w:t>Windebank</w:t>
      </w:r>
      <w:proofErr w:type="spellEnd"/>
      <w:r w:rsidRPr="000251E3">
        <w:rPr>
          <w:rFonts w:ascii="Times New Roman" w:hAnsi="Times New Roman" w:cs="Times New Roman"/>
        </w:rPr>
        <w:t xml:space="preserve"> AJ. Peripheral neuropathy due to vitamin deficiency, toxins, and medications. </w:t>
      </w:r>
      <w:proofErr w:type="spellStart"/>
      <w:r w:rsidRPr="000251E3">
        <w:rPr>
          <w:rFonts w:ascii="Times New Roman" w:hAnsi="Times New Roman" w:cs="Times New Roman"/>
        </w:rPr>
        <w:t>NeurolClin</w:t>
      </w:r>
      <w:proofErr w:type="spellEnd"/>
      <w:r w:rsidRPr="000251E3">
        <w:rPr>
          <w:rFonts w:ascii="Times New Roman" w:hAnsi="Times New Roman" w:cs="Times New Roman"/>
        </w:rPr>
        <w:t>. 2013;31(2):557–576.</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Beijers</w:t>
      </w:r>
      <w:proofErr w:type="spellEnd"/>
      <w:r w:rsidRPr="000251E3">
        <w:rPr>
          <w:rFonts w:ascii="Times New Roman" w:hAnsi="Times New Roman" w:cs="Times New Roman"/>
        </w:rPr>
        <w:t xml:space="preserve"> AJM, </w:t>
      </w:r>
      <w:proofErr w:type="spellStart"/>
      <w:r w:rsidRPr="000251E3">
        <w:rPr>
          <w:rFonts w:ascii="Times New Roman" w:hAnsi="Times New Roman" w:cs="Times New Roman"/>
        </w:rPr>
        <w:t>Jongen</w:t>
      </w:r>
      <w:proofErr w:type="spellEnd"/>
      <w:r w:rsidRPr="000251E3">
        <w:rPr>
          <w:rFonts w:ascii="Times New Roman" w:hAnsi="Times New Roman" w:cs="Times New Roman"/>
        </w:rPr>
        <w:t xml:space="preserve"> JLM, </w:t>
      </w:r>
      <w:proofErr w:type="spellStart"/>
      <w:r w:rsidRPr="000251E3">
        <w:rPr>
          <w:rFonts w:ascii="Times New Roman" w:hAnsi="Times New Roman" w:cs="Times New Roman"/>
        </w:rPr>
        <w:t>Vreugdenhil</w:t>
      </w:r>
      <w:proofErr w:type="spellEnd"/>
      <w:r w:rsidRPr="000251E3">
        <w:rPr>
          <w:rFonts w:ascii="Times New Roman" w:hAnsi="Times New Roman" w:cs="Times New Roman"/>
        </w:rPr>
        <w:t xml:space="preserve"> G. Chemotherapy-induced neurotoxicity. </w:t>
      </w:r>
      <w:proofErr w:type="spellStart"/>
      <w:r w:rsidRPr="000251E3">
        <w:rPr>
          <w:rFonts w:ascii="Times New Roman" w:hAnsi="Times New Roman" w:cs="Times New Roman"/>
        </w:rPr>
        <w:t>Neth</w:t>
      </w:r>
      <w:proofErr w:type="spellEnd"/>
      <w:r w:rsidRPr="000251E3">
        <w:rPr>
          <w:rFonts w:ascii="Times New Roman" w:hAnsi="Times New Roman" w:cs="Times New Roman"/>
        </w:rPr>
        <w:t xml:space="preserve"> J Med. 2012;70(1):18–25.</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Marmiroli</w:t>
      </w:r>
      <w:proofErr w:type="spellEnd"/>
      <w:r w:rsidRPr="000251E3">
        <w:rPr>
          <w:rFonts w:ascii="Times New Roman" w:hAnsi="Times New Roman" w:cs="Times New Roman"/>
        </w:rPr>
        <w:t xml:space="preserve"> P. Management of chemotherapy-induced peripheral neurotoxicity. </w:t>
      </w:r>
      <w:proofErr w:type="spellStart"/>
      <w:r w:rsidRPr="000251E3">
        <w:rPr>
          <w:rFonts w:ascii="Times New Roman" w:hAnsi="Times New Roman" w:cs="Times New Roman"/>
        </w:rPr>
        <w:t>CurrOpin</w:t>
      </w:r>
      <w:proofErr w:type="spellEnd"/>
      <w:r w:rsidRPr="000251E3">
        <w:rPr>
          <w:rFonts w:ascii="Times New Roman" w:hAnsi="Times New Roman" w:cs="Times New Roman"/>
        </w:rPr>
        <w:t xml:space="preserve"> Support </w:t>
      </w:r>
      <w:proofErr w:type="spellStart"/>
      <w:r w:rsidRPr="000251E3">
        <w:rPr>
          <w:rFonts w:ascii="Times New Roman" w:hAnsi="Times New Roman" w:cs="Times New Roman"/>
        </w:rPr>
        <w:t>Palliat</w:t>
      </w:r>
      <w:proofErr w:type="spellEnd"/>
      <w:r w:rsidRPr="000251E3">
        <w:rPr>
          <w:rFonts w:ascii="Times New Roman" w:hAnsi="Times New Roman" w:cs="Times New Roman"/>
        </w:rPr>
        <w:t xml:space="preserve"> Care. 2015;9(2):111–116.</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Argyriou</w:t>
      </w:r>
      <w:proofErr w:type="spellEnd"/>
      <w:r w:rsidRPr="000251E3">
        <w:rPr>
          <w:rFonts w:ascii="Times New Roman" w:hAnsi="Times New Roman" w:cs="Times New Roman"/>
        </w:rPr>
        <w:t xml:space="preserve"> AA, </w:t>
      </w:r>
      <w:proofErr w:type="spellStart"/>
      <w:r w:rsidRPr="000251E3">
        <w:rPr>
          <w:rFonts w:ascii="Times New Roman" w:hAnsi="Times New Roman" w:cs="Times New Roman"/>
        </w:rPr>
        <w:t>Kalofonos</w:t>
      </w:r>
      <w:proofErr w:type="spellEnd"/>
      <w:r w:rsidRPr="000251E3">
        <w:rPr>
          <w:rFonts w:ascii="Times New Roman" w:hAnsi="Times New Roman" w:cs="Times New Roman"/>
        </w:rPr>
        <w:t xml:space="preserve"> HP. Peripheral neuropathy in cancer survivors. Cancer Treat Rev. 2013;39(6):519–528.</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Postma TJ, </w:t>
      </w:r>
      <w:proofErr w:type="spellStart"/>
      <w:r w:rsidRPr="000251E3">
        <w:rPr>
          <w:rFonts w:ascii="Times New Roman" w:hAnsi="Times New Roman" w:cs="Times New Roman"/>
        </w:rPr>
        <w:t>Vermorken</w:t>
      </w:r>
      <w:proofErr w:type="spellEnd"/>
      <w:r w:rsidRPr="000251E3">
        <w:rPr>
          <w:rFonts w:ascii="Times New Roman" w:hAnsi="Times New Roman" w:cs="Times New Roman"/>
        </w:rPr>
        <w:t xml:space="preserve"> JB. Neurotoxicity of platinum compounds. </w:t>
      </w:r>
      <w:proofErr w:type="spellStart"/>
      <w:r w:rsidRPr="000251E3">
        <w:rPr>
          <w:rFonts w:ascii="Times New Roman" w:hAnsi="Times New Roman" w:cs="Times New Roman"/>
        </w:rPr>
        <w:t>Crit</w:t>
      </w:r>
      <w:proofErr w:type="spellEnd"/>
      <w:r w:rsidRPr="000251E3">
        <w:rPr>
          <w:rFonts w:ascii="Times New Roman" w:hAnsi="Times New Roman" w:cs="Times New Roman"/>
        </w:rPr>
        <w:t xml:space="preserve"> Rev </w:t>
      </w:r>
      <w:proofErr w:type="spellStart"/>
      <w:r w:rsidRPr="000251E3">
        <w:rPr>
          <w:rFonts w:ascii="Times New Roman" w:hAnsi="Times New Roman" w:cs="Times New Roman"/>
        </w:rPr>
        <w:t>OncolHematol</w:t>
      </w:r>
      <w:proofErr w:type="spellEnd"/>
      <w:r w:rsidRPr="000251E3">
        <w:rPr>
          <w:rFonts w:ascii="Times New Roman" w:hAnsi="Times New Roman" w:cs="Times New Roman"/>
        </w:rPr>
        <w:t>. 1996;22(2):109–127.</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Park SB, Kiernan MC, Krishnan AV. Chemotherapy-induced neuropathy. </w:t>
      </w:r>
      <w:proofErr w:type="spellStart"/>
      <w:r w:rsidRPr="000251E3">
        <w:rPr>
          <w:rFonts w:ascii="Times New Roman" w:hAnsi="Times New Roman" w:cs="Times New Roman"/>
        </w:rPr>
        <w:t>CurrNeurolNeurosci</w:t>
      </w:r>
      <w:proofErr w:type="spellEnd"/>
      <w:r w:rsidRPr="000251E3">
        <w:rPr>
          <w:rFonts w:ascii="Times New Roman" w:hAnsi="Times New Roman" w:cs="Times New Roman"/>
        </w:rPr>
        <w:t xml:space="preserve"> Rep. 2012;12(3):345–354.</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Jordan B, Jahn P. Survivorship and long-term toxicities. Support Care Cancer. 2019;27(12):4385–4392.</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Flatters SJL. Prevention of chemotherapy-induced peripheral neuropathy. Pain </w:t>
      </w:r>
      <w:proofErr w:type="spellStart"/>
      <w:r w:rsidRPr="000251E3">
        <w:rPr>
          <w:rFonts w:ascii="Times New Roman" w:hAnsi="Times New Roman" w:cs="Times New Roman"/>
        </w:rPr>
        <w:t>Manag</w:t>
      </w:r>
      <w:proofErr w:type="spellEnd"/>
      <w:r w:rsidRPr="000251E3">
        <w:rPr>
          <w:rFonts w:ascii="Times New Roman" w:hAnsi="Times New Roman" w:cs="Times New Roman"/>
        </w:rPr>
        <w:t>. 2015;5(6):391–398.</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lastRenderedPageBreak/>
        <w:t xml:space="preserve">Staff NP, </w:t>
      </w:r>
      <w:proofErr w:type="spellStart"/>
      <w:r w:rsidRPr="000251E3">
        <w:rPr>
          <w:rFonts w:ascii="Times New Roman" w:hAnsi="Times New Roman" w:cs="Times New Roman"/>
        </w:rPr>
        <w:t>Fehrenbacher</w:t>
      </w:r>
      <w:proofErr w:type="spellEnd"/>
      <w:r w:rsidRPr="000251E3">
        <w:rPr>
          <w:rFonts w:ascii="Times New Roman" w:hAnsi="Times New Roman" w:cs="Times New Roman"/>
        </w:rPr>
        <w:t xml:space="preserve"> JC, </w:t>
      </w:r>
      <w:proofErr w:type="spellStart"/>
      <w:r w:rsidRPr="000251E3">
        <w:rPr>
          <w:rFonts w:ascii="Times New Roman" w:hAnsi="Times New Roman" w:cs="Times New Roman"/>
        </w:rPr>
        <w:t>Caillaud</w:t>
      </w:r>
      <w:proofErr w:type="spellEnd"/>
      <w:r w:rsidRPr="000251E3">
        <w:rPr>
          <w:rFonts w:ascii="Times New Roman" w:hAnsi="Times New Roman" w:cs="Times New Roman"/>
        </w:rPr>
        <w:t xml:space="preserve"> M, </w:t>
      </w:r>
      <w:proofErr w:type="spellStart"/>
      <w:r w:rsidRPr="000251E3">
        <w:rPr>
          <w:rFonts w:ascii="Times New Roman" w:hAnsi="Times New Roman" w:cs="Times New Roman"/>
        </w:rPr>
        <w:t>Damaj</w:t>
      </w:r>
      <w:proofErr w:type="spellEnd"/>
      <w:r w:rsidRPr="000251E3">
        <w:rPr>
          <w:rFonts w:ascii="Times New Roman" w:hAnsi="Times New Roman" w:cs="Times New Roman"/>
        </w:rPr>
        <w:t xml:space="preserve"> MI, Segal RA. Pathogenesis of chemotherapy-induced peripheral neuropathy. Brain. 2020;143(6):1626–1639.</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Kleckner</w:t>
      </w:r>
      <w:proofErr w:type="spellEnd"/>
      <w:r w:rsidRPr="000251E3">
        <w:rPr>
          <w:rFonts w:ascii="Times New Roman" w:hAnsi="Times New Roman" w:cs="Times New Roman"/>
        </w:rPr>
        <w:t xml:space="preserve"> IR, Kamen C, </w:t>
      </w:r>
      <w:proofErr w:type="spellStart"/>
      <w:r w:rsidRPr="000251E3">
        <w:rPr>
          <w:rFonts w:ascii="Times New Roman" w:hAnsi="Times New Roman" w:cs="Times New Roman"/>
        </w:rPr>
        <w:t>Gewandter</w:t>
      </w:r>
      <w:proofErr w:type="spellEnd"/>
      <w:r w:rsidRPr="000251E3">
        <w:rPr>
          <w:rFonts w:ascii="Times New Roman" w:hAnsi="Times New Roman" w:cs="Times New Roman"/>
        </w:rPr>
        <w:t xml:space="preserve"> JS, </w:t>
      </w:r>
      <w:proofErr w:type="spellStart"/>
      <w:r w:rsidRPr="000251E3">
        <w:rPr>
          <w:rFonts w:ascii="Times New Roman" w:hAnsi="Times New Roman" w:cs="Times New Roman"/>
        </w:rPr>
        <w:t>Mohile</w:t>
      </w:r>
      <w:proofErr w:type="spellEnd"/>
      <w:r w:rsidRPr="000251E3">
        <w:rPr>
          <w:rFonts w:ascii="Times New Roman" w:hAnsi="Times New Roman" w:cs="Times New Roman"/>
        </w:rPr>
        <w:t xml:space="preserve"> NA, Heckler CE, </w:t>
      </w:r>
      <w:proofErr w:type="spellStart"/>
      <w:r w:rsidRPr="000251E3">
        <w:rPr>
          <w:rFonts w:ascii="Times New Roman" w:hAnsi="Times New Roman" w:cs="Times New Roman"/>
        </w:rPr>
        <w:t>Culakova</w:t>
      </w:r>
      <w:proofErr w:type="spellEnd"/>
      <w:r w:rsidRPr="000251E3">
        <w:rPr>
          <w:rFonts w:ascii="Times New Roman" w:hAnsi="Times New Roman" w:cs="Times New Roman"/>
        </w:rPr>
        <w:t xml:space="preserve"> E, et al. Exercise for chemotherapy-induced peripheral neuropathy. Support Care Cancer. 2018;26(4):1019–1028.</w:t>
      </w:r>
    </w:p>
    <w:p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Hanai</w:t>
      </w:r>
      <w:proofErr w:type="spellEnd"/>
      <w:r w:rsidRPr="000251E3">
        <w:rPr>
          <w:rFonts w:ascii="Times New Roman" w:hAnsi="Times New Roman" w:cs="Times New Roman"/>
        </w:rPr>
        <w:t xml:space="preserve"> A, Ishiguro H, </w:t>
      </w:r>
      <w:proofErr w:type="spellStart"/>
      <w:r w:rsidRPr="000251E3">
        <w:rPr>
          <w:rFonts w:ascii="Times New Roman" w:hAnsi="Times New Roman" w:cs="Times New Roman"/>
        </w:rPr>
        <w:t>Sozu</w:t>
      </w:r>
      <w:proofErr w:type="spellEnd"/>
      <w:r w:rsidRPr="000251E3">
        <w:rPr>
          <w:rFonts w:ascii="Times New Roman" w:hAnsi="Times New Roman" w:cs="Times New Roman"/>
        </w:rPr>
        <w:t xml:space="preserve"> T, Tsuda M, Yano I, Kubo M, et al. Effects of cryotherapy on CIPN. J Natl Cancer Inst. 2018;110(2):141–148.</w:t>
      </w:r>
    </w:p>
    <w:p w:rsidR="002F2B58" w:rsidRDefault="00F15D3B" w:rsidP="005F4BAE">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McCrary JM, Goldstein D, Boyle F, Cox K, </w:t>
      </w:r>
      <w:proofErr w:type="spellStart"/>
      <w:r w:rsidRPr="000251E3">
        <w:rPr>
          <w:rFonts w:ascii="Times New Roman" w:hAnsi="Times New Roman" w:cs="Times New Roman"/>
        </w:rPr>
        <w:t>Grimison</w:t>
      </w:r>
      <w:proofErr w:type="spellEnd"/>
      <w:r w:rsidRPr="000251E3">
        <w:rPr>
          <w:rFonts w:ascii="Times New Roman" w:hAnsi="Times New Roman" w:cs="Times New Roman"/>
        </w:rPr>
        <w:t xml:space="preserve"> P, Kiernan MC, et al. Optimal clinical assessment strategies for CIPN. J </w:t>
      </w:r>
      <w:proofErr w:type="spellStart"/>
      <w:r w:rsidRPr="000251E3">
        <w:rPr>
          <w:rFonts w:ascii="Times New Roman" w:hAnsi="Times New Roman" w:cs="Times New Roman"/>
        </w:rPr>
        <w:t>PeripherNerv</w:t>
      </w:r>
      <w:proofErr w:type="spellEnd"/>
      <w:r w:rsidRPr="000251E3">
        <w:rPr>
          <w:rFonts w:ascii="Times New Roman" w:hAnsi="Times New Roman" w:cs="Times New Roman"/>
        </w:rPr>
        <w:t xml:space="preserve"> Syst. 2017;22(2):144–153.</w:t>
      </w:r>
    </w:p>
    <w:p w:rsidR="00A377E5" w:rsidRPr="00A377E5" w:rsidRDefault="00A377E5" w:rsidP="00A377E5">
      <w:pPr>
        <w:pStyle w:val="ListParagraph"/>
        <w:numPr>
          <w:ilvl w:val="0"/>
          <w:numId w:val="2"/>
        </w:numPr>
        <w:spacing w:after="0" w:line="360" w:lineRule="auto"/>
        <w:ind w:left="1440" w:hanging="1080"/>
        <w:jc w:val="both"/>
        <w:rPr>
          <w:rFonts w:ascii="Times New Roman" w:hAnsi="Times New Roman" w:cs="Times New Roman"/>
        </w:rPr>
      </w:pPr>
      <w:r w:rsidRPr="00A377E5">
        <w:rPr>
          <w:rFonts w:ascii="Times New Roman" w:hAnsi="Times New Roman" w:cs="Times New Roman"/>
        </w:rPr>
        <w:t xml:space="preserve"> </w:t>
      </w:r>
      <w:proofErr w:type="spellStart"/>
      <w:r w:rsidRPr="00A377E5">
        <w:rPr>
          <w:rFonts w:ascii="Times New Roman" w:hAnsi="Times New Roman" w:cs="Times New Roman"/>
        </w:rPr>
        <w:t>Loprinzi</w:t>
      </w:r>
      <w:proofErr w:type="spellEnd"/>
      <w:r w:rsidRPr="00A377E5">
        <w:rPr>
          <w:rFonts w:ascii="Times New Roman" w:hAnsi="Times New Roman" w:cs="Times New Roman"/>
        </w:rPr>
        <w:t xml:space="preserve"> CL, </w:t>
      </w:r>
      <w:proofErr w:type="spellStart"/>
      <w:r w:rsidRPr="00A377E5">
        <w:rPr>
          <w:rFonts w:ascii="Times New Roman" w:hAnsi="Times New Roman" w:cs="Times New Roman"/>
        </w:rPr>
        <w:t>Lacchetti</w:t>
      </w:r>
      <w:proofErr w:type="spellEnd"/>
      <w:r w:rsidRPr="00A377E5">
        <w:rPr>
          <w:rFonts w:ascii="Times New Roman" w:hAnsi="Times New Roman" w:cs="Times New Roman"/>
        </w:rPr>
        <w:t xml:space="preserve"> C, Bleeker J, et al. Prevention and management of chemotherapy-induced peripheral neuropathy in survivors of adult cancers: ASCO Guideline Update. Journal of Clinical Oncology. 2023;41(15):3106-3122.</w:t>
      </w:r>
    </w:p>
    <w:p w:rsidR="00A377E5" w:rsidRPr="00A377E5" w:rsidRDefault="00A377E5" w:rsidP="00A377E5">
      <w:pPr>
        <w:pStyle w:val="ListParagraph"/>
        <w:numPr>
          <w:ilvl w:val="0"/>
          <w:numId w:val="2"/>
        </w:numPr>
        <w:spacing w:after="0" w:line="360" w:lineRule="auto"/>
        <w:ind w:left="1440" w:hanging="1080"/>
        <w:jc w:val="both"/>
        <w:rPr>
          <w:rFonts w:ascii="Times New Roman" w:hAnsi="Times New Roman" w:cs="Times New Roman"/>
        </w:rPr>
      </w:pPr>
      <w:r w:rsidRPr="00A377E5">
        <w:rPr>
          <w:rFonts w:ascii="Times New Roman" w:hAnsi="Times New Roman" w:cs="Times New Roman"/>
        </w:rPr>
        <w:t>Jordan B, Margulies A, Cardoso F, et al. Systemic anticancer therapy-induced peripheral and central neurotoxicity: ESMO Clinical Practice Guidelines. Annals of Oncology. 2023;34(6):521-536.</w:t>
      </w:r>
    </w:p>
    <w:p w:rsidR="00A377E5" w:rsidRPr="00A377E5" w:rsidRDefault="00A377E5" w:rsidP="00A377E5">
      <w:pPr>
        <w:pStyle w:val="ListParagraph"/>
        <w:numPr>
          <w:ilvl w:val="0"/>
          <w:numId w:val="2"/>
        </w:numPr>
        <w:spacing w:after="0" w:line="360" w:lineRule="auto"/>
        <w:ind w:left="1440" w:hanging="1080"/>
        <w:jc w:val="both"/>
        <w:rPr>
          <w:rFonts w:ascii="Times New Roman" w:hAnsi="Times New Roman" w:cs="Times New Roman"/>
        </w:rPr>
      </w:pPr>
      <w:proofErr w:type="spellStart"/>
      <w:r w:rsidRPr="00A377E5">
        <w:rPr>
          <w:rFonts w:ascii="Times New Roman" w:hAnsi="Times New Roman" w:cs="Times New Roman"/>
        </w:rPr>
        <w:t>Cavaletti</w:t>
      </w:r>
      <w:proofErr w:type="spellEnd"/>
      <w:r w:rsidRPr="00A377E5">
        <w:rPr>
          <w:rFonts w:ascii="Times New Roman" w:hAnsi="Times New Roman" w:cs="Times New Roman"/>
        </w:rPr>
        <w:t xml:space="preserve"> G, Alberti P. Recent advances in the pathophysiology and management of chemotherapy-induced peripheral neuropathy. Current Opinion in Neurology. 2022;35(5):633-640.</w:t>
      </w:r>
    </w:p>
    <w:p w:rsidR="00A377E5" w:rsidRPr="00A377E5" w:rsidRDefault="00A377E5" w:rsidP="00A377E5">
      <w:pPr>
        <w:pStyle w:val="ListParagraph"/>
        <w:numPr>
          <w:ilvl w:val="0"/>
          <w:numId w:val="2"/>
        </w:numPr>
        <w:spacing w:after="0" w:line="360" w:lineRule="auto"/>
        <w:ind w:left="1440" w:hanging="1080"/>
        <w:jc w:val="both"/>
        <w:rPr>
          <w:rFonts w:ascii="Times New Roman" w:hAnsi="Times New Roman" w:cs="Times New Roman"/>
        </w:rPr>
      </w:pPr>
      <w:r w:rsidRPr="00A377E5">
        <w:rPr>
          <w:rFonts w:ascii="Times New Roman" w:hAnsi="Times New Roman" w:cs="Times New Roman"/>
        </w:rPr>
        <w:t>Park SB, Goldstein D, Krishnan AV, et al. Chemotherapy-induced peripheral neurotoxicity: A critical analysis. CA: A Cancer Journal for Clinicians. 2022;72(2):142-168.</w:t>
      </w:r>
    </w:p>
    <w:p w:rsidR="00A377E5" w:rsidRPr="000251E3" w:rsidRDefault="00A377E5" w:rsidP="00A377E5">
      <w:pPr>
        <w:pStyle w:val="ListParagraph"/>
        <w:numPr>
          <w:ilvl w:val="0"/>
          <w:numId w:val="2"/>
        </w:numPr>
        <w:spacing w:after="0" w:line="360" w:lineRule="auto"/>
        <w:ind w:left="1440" w:hanging="1080"/>
        <w:contextualSpacing w:val="0"/>
        <w:jc w:val="both"/>
        <w:rPr>
          <w:rFonts w:ascii="Times New Roman" w:hAnsi="Times New Roman" w:cs="Times New Roman"/>
        </w:rPr>
      </w:pPr>
      <w:r w:rsidRPr="00A377E5">
        <w:rPr>
          <w:rFonts w:ascii="Times New Roman" w:hAnsi="Times New Roman" w:cs="Times New Roman"/>
        </w:rPr>
        <w:t xml:space="preserve">Staff NP, </w:t>
      </w:r>
      <w:proofErr w:type="spellStart"/>
      <w:r w:rsidRPr="00A377E5">
        <w:rPr>
          <w:rFonts w:ascii="Times New Roman" w:hAnsi="Times New Roman" w:cs="Times New Roman"/>
        </w:rPr>
        <w:t>Grisold</w:t>
      </w:r>
      <w:proofErr w:type="spellEnd"/>
      <w:r w:rsidRPr="00A377E5">
        <w:rPr>
          <w:rFonts w:ascii="Times New Roman" w:hAnsi="Times New Roman" w:cs="Times New Roman"/>
        </w:rPr>
        <w:t xml:space="preserve"> A, </w:t>
      </w:r>
      <w:proofErr w:type="spellStart"/>
      <w:r w:rsidRPr="00A377E5">
        <w:rPr>
          <w:rFonts w:ascii="Times New Roman" w:hAnsi="Times New Roman" w:cs="Times New Roman"/>
        </w:rPr>
        <w:t>Grisold</w:t>
      </w:r>
      <w:proofErr w:type="spellEnd"/>
      <w:r w:rsidRPr="00A377E5">
        <w:rPr>
          <w:rFonts w:ascii="Times New Roman" w:hAnsi="Times New Roman" w:cs="Times New Roman"/>
        </w:rPr>
        <w:t xml:space="preserve"> W, </w:t>
      </w:r>
      <w:proofErr w:type="spellStart"/>
      <w:r w:rsidRPr="00A377E5">
        <w:rPr>
          <w:rFonts w:ascii="Times New Roman" w:hAnsi="Times New Roman" w:cs="Times New Roman"/>
        </w:rPr>
        <w:t>Windebank</w:t>
      </w:r>
      <w:proofErr w:type="spellEnd"/>
      <w:r w:rsidRPr="00A377E5">
        <w:rPr>
          <w:rFonts w:ascii="Times New Roman" w:hAnsi="Times New Roman" w:cs="Times New Roman"/>
        </w:rPr>
        <w:t xml:space="preserve"> AJ. Chemotherapy-induced peripheral neuropathy: Mechanisms and emerging therapies. Brain. 2023;146(1):16-34.</w:t>
      </w:r>
    </w:p>
    <w:sectPr w:rsidR="00A377E5" w:rsidRPr="000251E3" w:rsidSect="00AF543E">
      <w:headerReference w:type="even" r:id="rId12"/>
      <w:headerReference w:type="default" r:id="rId13"/>
      <w:headerReference w:type="first" r:id="rId1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7ED" w:rsidRDefault="003467ED" w:rsidP="00742D60">
      <w:pPr>
        <w:spacing w:after="0" w:line="240" w:lineRule="auto"/>
      </w:pPr>
      <w:r>
        <w:separator/>
      </w:r>
    </w:p>
  </w:endnote>
  <w:endnote w:type="continuationSeparator" w:id="0">
    <w:p w:rsidR="003467ED" w:rsidRDefault="003467ED" w:rsidP="0074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7ED" w:rsidRDefault="003467ED" w:rsidP="00742D60">
      <w:pPr>
        <w:spacing w:after="0" w:line="240" w:lineRule="auto"/>
      </w:pPr>
      <w:r>
        <w:separator/>
      </w:r>
    </w:p>
  </w:footnote>
  <w:footnote w:type="continuationSeparator" w:id="0">
    <w:p w:rsidR="003467ED" w:rsidRDefault="003467ED" w:rsidP="00742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D60" w:rsidRDefault="003467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D60" w:rsidRDefault="003467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D60" w:rsidRDefault="003467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48A"/>
    <w:multiLevelType w:val="multilevel"/>
    <w:tmpl w:val="C9D8E6E8"/>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774BB0"/>
    <w:multiLevelType w:val="hybridMultilevel"/>
    <w:tmpl w:val="EB245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1F41"/>
    <w:rsid w:val="00007D0F"/>
    <w:rsid w:val="000251E3"/>
    <w:rsid w:val="00043088"/>
    <w:rsid w:val="00075EBA"/>
    <w:rsid w:val="000A18F6"/>
    <w:rsid w:val="000D0396"/>
    <w:rsid w:val="000E554B"/>
    <w:rsid w:val="000F4834"/>
    <w:rsid w:val="00106FFA"/>
    <w:rsid w:val="00123B17"/>
    <w:rsid w:val="00126855"/>
    <w:rsid w:val="001475D8"/>
    <w:rsid w:val="00195335"/>
    <w:rsid w:val="001A301B"/>
    <w:rsid w:val="00202548"/>
    <w:rsid w:val="002148DA"/>
    <w:rsid w:val="00236B9A"/>
    <w:rsid w:val="002505EB"/>
    <w:rsid w:val="002659F0"/>
    <w:rsid w:val="002E0DC8"/>
    <w:rsid w:val="002F2B58"/>
    <w:rsid w:val="00304A3A"/>
    <w:rsid w:val="00306EC4"/>
    <w:rsid w:val="003141D1"/>
    <w:rsid w:val="00333FEE"/>
    <w:rsid w:val="00344B18"/>
    <w:rsid w:val="003467ED"/>
    <w:rsid w:val="00355832"/>
    <w:rsid w:val="003C3BFA"/>
    <w:rsid w:val="003F38D2"/>
    <w:rsid w:val="003F5DFB"/>
    <w:rsid w:val="00427121"/>
    <w:rsid w:val="00463892"/>
    <w:rsid w:val="0046561D"/>
    <w:rsid w:val="00492073"/>
    <w:rsid w:val="004B01E7"/>
    <w:rsid w:val="004C3E7B"/>
    <w:rsid w:val="004F0818"/>
    <w:rsid w:val="005310D6"/>
    <w:rsid w:val="00552688"/>
    <w:rsid w:val="005E06FB"/>
    <w:rsid w:val="005E0AB6"/>
    <w:rsid w:val="005E60F9"/>
    <w:rsid w:val="005F203C"/>
    <w:rsid w:val="005F4BAE"/>
    <w:rsid w:val="00622495"/>
    <w:rsid w:val="0063451E"/>
    <w:rsid w:val="00637239"/>
    <w:rsid w:val="00640CB9"/>
    <w:rsid w:val="00672392"/>
    <w:rsid w:val="00697837"/>
    <w:rsid w:val="006B155A"/>
    <w:rsid w:val="006C2028"/>
    <w:rsid w:val="006E08B5"/>
    <w:rsid w:val="00714406"/>
    <w:rsid w:val="00724E7E"/>
    <w:rsid w:val="00731BF4"/>
    <w:rsid w:val="00742D60"/>
    <w:rsid w:val="00760743"/>
    <w:rsid w:val="00764A9A"/>
    <w:rsid w:val="00791A3E"/>
    <w:rsid w:val="007F2B11"/>
    <w:rsid w:val="007F4B32"/>
    <w:rsid w:val="008311F7"/>
    <w:rsid w:val="00833B2B"/>
    <w:rsid w:val="008505BA"/>
    <w:rsid w:val="00862F1C"/>
    <w:rsid w:val="00870DC3"/>
    <w:rsid w:val="00880CC6"/>
    <w:rsid w:val="008B1F41"/>
    <w:rsid w:val="008B3DFC"/>
    <w:rsid w:val="008C167C"/>
    <w:rsid w:val="008E35ED"/>
    <w:rsid w:val="008E77A1"/>
    <w:rsid w:val="00903947"/>
    <w:rsid w:val="00917044"/>
    <w:rsid w:val="00953562"/>
    <w:rsid w:val="009870AF"/>
    <w:rsid w:val="00990F18"/>
    <w:rsid w:val="009D1B20"/>
    <w:rsid w:val="009E2DB2"/>
    <w:rsid w:val="009F7DCB"/>
    <w:rsid w:val="00A377E5"/>
    <w:rsid w:val="00A43095"/>
    <w:rsid w:val="00A6140D"/>
    <w:rsid w:val="00A71DA1"/>
    <w:rsid w:val="00A86CE5"/>
    <w:rsid w:val="00AA09E4"/>
    <w:rsid w:val="00AA7FF9"/>
    <w:rsid w:val="00AB18BD"/>
    <w:rsid w:val="00AB62EA"/>
    <w:rsid w:val="00AC1696"/>
    <w:rsid w:val="00AE750C"/>
    <w:rsid w:val="00AF543E"/>
    <w:rsid w:val="00B14FB2"/>
    <w:rsid w:val="00B42219"/>
    <w:rsid w:val="00B81680"/>
    <w:rsid w:val="00B93BA0"/>
    <w:rsid w:val="00B96258"/>
    <w:rsid w:val="00BA05E7"/>
    <w:rsid w:val="00BD5C77"/>
    <w:rsid w:val="00C16D49"/>
    <w:rsid w:val="00C355F9"/>
    <w:rsid w:val="00C45D6E"/>
    <w:rsid w:val="00C66060"/>
    <w:rsid w:val="00C66528"/>
    <w:rsid w:val="00C754A2"/>
    <w:rsid w:val="00CD4F82"/>
    <w:rsid w:val="00CE0802"/>
    <w:rsid w:val="00CE6089"/>
    <w:rsid w:val="00CF6D0B"/>
    <w:rsid w:val="00D02DFD"/>
    <w:rsid w:val="00D10208"/>
    <w:rsid w:val="00D22CAF"/>
    <w:rsid w:val="00D3078F"/>
    <w:rsid w:val="00D51102"/>
    <w:rsid w:val="00D70819"/>
    <w:rsid w:val="00D764E9"/>
    <w:rsid w:val="00D878D7"/>
    <w:rsid w:val="00E175FE"/>
    <w:rsid w:val="00E421A8"/>
    <w:rsid w:val="00E44EAB"/>
    <w:rsid w:val="00E55519"/>
    <w:rsid w:val="00E76DA8"/>
    <w:rsid w:val="00E939A3"/>
    <w:rsid w:val="00E94F6F"/>
    <w:rsid w:val="00EA7A55"/>
    <w:rsid w:val="00ED24FD"/>
    <w:rsid w:val="00F15D3B"/>
    <w:rsid w:val="00F308ED"/>
    <w:rsid w:val="00F70B14"/>
    <w:rsid w:val="00F82E6D"/>
    <w:rsid w:val="00F92F44"/>
    <w:rsid w:val="00FA4434"/>
    <w:rsid w:val="00FC3243"/>
    <w:rsid w:val="00FE2A0A"/>
    <w:rsid w:val="00FF001D"/>
    <w:rsid w:val="00FF3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5A0E8"/>
  <w15:docId w15:val="{30B578D6-B717-4DCD-90DE-BB146E72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1E7"/>
  </w:style>
  <w:style w:type="paragraph" w:styleId="Heading1">
    <w:name w:val="heading 1"/>
    <w:basedOn w:val="Normal"/>
    <w:next w:val="Normal"/>
    <w:link w:val="Heading1Char"/>
    <w:uiPriority w:val="9"/>
    <w:qFormat/>
    <w:rsid w:val="008B1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F41"/>
    <w:rPr>
      <w:rFonts w:eastAsiaTheme="majorEastAsia" w:cstheme="majorBidi"/>
      <w:color w:val="272727" w:themeColor="text1" w:themeTint="D8"/>
    </w:rPr>
  </w:style>
  <w:style w:type="paragraph" w:styleId="Title">
    <w:name w:val="Title"/>
    <w:basedOn w:val="Normal"/>
    <w:next w:val="Normal"/>
    <w:link w:val="TitleChar"/>
    <w:uiPriority w:val="10"/>
    <w:qFormat/>
    <w:rsid w:val="008B1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F41"/>
    <w:pPr>
      <w:spacing w:before="160"/>
      <w:jc w:val="center"/>
    </w:pPr>
    <w:rPr>
      <w:i/>
      <w:iCs/>
      <w:color w:val="404040" w:themeColor="text1" w:themeTint="BF"/>
    </w:rPr>
  </w:style>
  <w:style w:type="character" w:customStyle="1" w:styleId="QuoteChar">
    <w:name w:val="Quote Char"/>
    <w:basedOn w:val="DefaultParagraphFont"/>
    <w:link w:val="Quote"/>
    <w:uiPriority w:val="29"/>
    <w:rsid w:val="008B1F41"/>
    <w:rPr>
      <w:i/>
      <w:iCs/>
      <w:color w:val="404040" w:themeColor="text1" w:themeTint="BF"/>
    </w:rPr>
  </w:style>
  <w:style w:type="paragraph" w:styleId="ListParagraph">
    <w:name w:val="List Paragraph"/>
    <w:basedOn w:val="Normal"/>
    <w:uiPriority w:val="34"/>
    <w:qFormat/>
    <w:rsid w:val="008B1F41"/>
    <w:pPr>
      <w:ind w:left="720"/>
      <w:contextualSpacing/>
    </w:pPr>
  </w:style>
  <w:style w:type="character" w:styleId="IntenseEmphasis">
    <w:name w:val="Intense Emphasis"/>
    <w:basedOn w:val="DefaultParagraphFont"/>
    <w:uiPriority w:val="21"/>
    <w:qFormat/>
    <w:rsid w:val="008B1F41"/>
    <w:rPr>
      <w:i/>
      <w:iCs/>
      <w:color w:val="0F4761" w:themeColor="accent1" w:themeShade="BF"/>
    </w:rPr>
  </w:style>
  <w:style w:type="paragraph" w:styleId="IntenseQuote">
    <w:name w:val="Intense Quote"/>
    <w:basedOn w:val="Normal"/>
    <w:next w:val="Normal"/>
    <w:link w:val="IntenseQuoteChar"/>
    <w:uiPriority w:val="30"/>
    <w:qFormat/>
    <w:rsid w:val="008B1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F41"/>
    <w:rPr>
      <w:i/>
      <w:iCs/>
      <w:color w:val="0F4761" w:themeColor="accent1" w:themeShade="BF"/>
    </w:rPr>
  </w:style>
  <w:style w:type="character" w:styleId="IntenseReference">
    <w:name w:val="Intense Reference"/>
    <w:basedOn w:val="DefaultParagraphFont"/>
    <w:uiPriority w:val="32"/>
    <w:qFormat/>
    <w:rsid w:val="008B1F41"/>
    <w:rPr>
      <w:b/>
      <w:bCs/>
      <w:smallCaps/>
      <w:color w:val="0F4761" w:themeColor="accent1" w:themeShade="BF"/>
      <w:spacing w:val="5"/>
    </w:rPr>
  </w:style>
  <w:style w:type="table" w:styleId="TableGrid">
    <w:name w:val="Table Grid"/>
    <w:basedOn w:val="TableNormal"/>
    <w:uiPriority w:val="39"/>
    <w:rsid w:val="009039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311F7"/>
    <w:pPr>
      <w:spacing w:before="100" w:beforeAutospacing="1" w:after="100" w:afterAutospacing="1" w:line="240" w:lineRule="auto"/>
    </w:pPr>
    <w:rPr>
      <w:rFonts w:ascii="Times New Roman" w:eastAsia="Times New Roman" w:hAnsi="Times New Roman" w:cs="Times New Roman"/>
      <w:kern w:val="0"/>
      <w:lang w:val="en-US"/>
    </w:rPr>
  </w:style>
  <w:style w:type="paragraph" w:styleId="BalloonText">
    <w:name w:val="Balloon Text"/>
    <w:basedOn w:val="Normal"/>
    <w:link w:val="BalloonTextChar"/>
    <w:uiPriority w:val="99"/>
    <w:semiHidden/>
    <w:unhideWhenUsed/>
    <w:rsid w:val="0083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1F7"/>
    <w:rPr>
      <w:rFonts w:ascii="Tahoma" w:hAnsi="Tahoma" w:cs="Tahoma"/>
      <w:sz w:val="16"/>
      <w:szCs w:val="16"/>
    </w:rPr>
  </w:style>
  <w:style w:type="table" w:customStyle="1" w:styleId="TableGrid1">
    <w:name w:val="Table Grid1"/>
    <w:basedOn w:val="TableNormal"/>
    <w:next w:val="TableGrid"/>
    <w:uiPriority w:val="39"/>
    <w:rsid w:val="00F92F44"/>
    <w:pPr>
      <w:spacing w:after="0" w:line="240" w:lineRule="auto"/>
    </w:pPr>
    <w:rPr>
      <w:rFonts w:eastAsia="Calibri"/>
      <w:ker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F44"/>
    <w:rPr>
      <w:color w:val="467886" w:themeColor="hyperlink"/>
      <w:u w:val="single"/>
    </w:rPr>
  </w:style>
  <w:style w:type="character" w:customStyle="1" w:styleId="UnresolvedMention1">
    <w:name w:val="Unresolved Mention1"/>
    <w:basedOn w:val="DefaultParagraphFont"/>
    <w:uiPriority w:val="99"/>
    <w:semiHidden/>
    <w:unhideWhenUsed/>
    <w:rsid w:val="00F92F44"/>
    <w:rPr>
      <w:color w:val="605E5C"/>
      <w:shd w:val="clear" w:color="auto" w:fill="E1DFDD"/>
    </w:rPr>
  </w:style>
  <w:style w:type="paragraph" w:styleId="Header">
    <w:name w:val="header"/>
    <w:basedOn w:val="Normal"/>
    <w:link w:val="HeaderChar"/>
    <w:uiPriority w:val="99"/>
    <w:unhideWhenUsed/>
    <w:rsid w:val="00742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D60"/>
  </w:style>
  <w:style w:type="paragraph" w:styleId="Footer">
    <w:name w:val="footer"/>
    <w:basedOn w:val="Normal"/>
    <w:link w:val="FooterChar"/>
    <w:uiPriority w:val="99"/>
    <w:unhideWhenUsed/>
    <w:rsid w:val="00742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D60"/>
  </w:style>
  <w:style w:type="paragraph" w:styleId="NoSpacing">
    <w:name w:val="No Spacing"/>
    <w:uiPriority w:val="1"/>
    <w:qFormat/>
    <w:rsid w:val="00FF001D"/>
    <w:pPr>
      <w:spacing w:after="0" w:line="240" w:lineRule="auto"/>
    </w:pPr>
    <w:rPr>
      <w:rFonts w:eastAsiaTheme="minorHAns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0039">
      <w:bodyDiv w:val="1"/>
      <w:marLeft w:val="0"/>
      <w:marRight w:val="0"/>
      <w:marTop w:val="0"/>
      <w:marBottom w:val="0"/>
      <w:divBdr>
        <w:top w:val="none" w:sz="0" w:space="0" w:color="auto"/>
        <w:left w:val="none" w:sz="0" w:space="0" w:color="auto"/>
        <w:bottom w:val="none" w:sz="0" w:space="0" w:color="auto"/>
        <w:right w:val="none" w:sz="0" w:space="0" w:color="auto"/>
      </w:divBdr>
    </w:div>
    <w:div w:id="664865305">
      <w:bodyDiv w:val="1"/>
      <w:marLeft w:val="0"/>
      <w:marRight w:val="0"/>
      <w:marTop w:val="0"/>
      <w:marBottom w:val="0"/>
      <w:divBdr>
        <w:top w:val="none" w:sz="0" w:space="0" w:color="auto"/>
        <w:left w:val="none" w:sz="0" w:space="0" w:color="auto"/>
        <w:bottom w:val="none" w:sz="0" w:space="0" w:color="auto"/>
        <w:right w:val="none" w:sz="0" w:space="0" w:color="auto"/>
      </w:divBdr>
    </w:div>
    <w:div w:id="116608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EF92-D91D-4194-9D9F-6F565532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22</Pages>
  <Words>6961</Words>
  <Characters>39681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harathikovvuri2004@gmail.com</dc:creator>
  <cp:lastModifiedBy>SDI 1158</cp:lastModifiedBy>
  <cp:revision>31</cp:revision>
  <dcterms:created xsi:type="dcterms:W3CDTF">2026-02-12T04:05:00Z</dcterms:created>
  <dcterms:modified xsi:type="dcterms:W3CDTF">2026-02-17T08:37:00Z</dcterms:modified>
</cp:coreProperties>
</file>