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10013F" w14:textId="77777777" w:rsidR="00274392" w:rsidRPr="00274392" w:rsidRDefault="00274392" w:rsidP="00441B6F">
      <w:pPr>
        <w:pStyle w:val="Title"/>
        <w:spacing w:after="0"/>
        <w:jc w:val="both"/>
        <w:rPr>
          <w:rFonts w:ascii="Arial" w:hAnsi="Arial" w:cs="Arial"/>
          <w:u w:val="single"/>
        </w:rPr>
      </w:pPr>
      <w:bookmarkStart w:id="0" w:name="_GoBack"/>
      <w:bookmarkEnd w:id="0"/>
    </w:p>
    <w:p w14:paraId="2A3C4C85" w14:textId="09097C38" w:rsidR="00A258C3" w:rsidRPr="00790ADA" w:rsidRDefault="002A69D2" w:rsidP="002A69D2">
      <w:pPr>
        <w:pStyle w:val="Author"/>
        <w:spacing w:line="240" w:lineRule="auto"/>
        <w:rPr>
          <w:rFonts w:ascii="Arial" w:hAnsi="Arial" w:cs="Arial"/>
          <w:sz w:val="36"/>
        </w:rPr>
      </w:pPr>
      <w:r w:rsidRPr="002A69D2">
        <w:rPr>
          <w:rFonts w:ascii="Arial" w:hAnsi="Arial" w:cs="Arial"/>
          <w:bCs/>
          <w:iCs/>
          <w:kern w:val="28"/>
          <w:sz w:val="36"/>
        </w:rPr>
        <w:t>Early Intervention Strategies in Charcot–Marie–Tooth Disease Type II: A Case Study on Pediatric Physiotherapy Management</w:t>
      </w:r>
    </w:p>
    <w:p w14:paraId="5AE163F1" w14:textId="77777777" w:rsidR="00790ADA" w:rsidRDefault="00790ADA" w:rsidP="00C83D61">
      <w:pPr>
        <w:pStyle w:val="Affiliation"/>
        <w:spacing w:after="0" w:line="240" w:lineRule="auto"/>
        <w:rPr>
          <w:rFonts w:ascii="Arial" w:hAnsi="Arial" w:cs="Arial"/>
        </w:rPr>
      </w:pPr>
    </w:p>
    <w:p w14:paraId="13C3EE3E" w14:textId="77777777" w:rsidR="002C57D2" w:rsidRPr="00FB3A86" w:rsidRDefault="002C57D2" w:rsidP="00441B6F">
      <w:pPr>
        <w:pStyle w:val="Affiliation"/>
        <w:spacing w:after="0" w:line="240" w:lineRule="auto"/>
        <w:jc w:val="both"/>
        <w:rPr>
          <w:rFonts w:ascii="Arial" w:hAnsi="Arial" w:cs="Arial"/>
        </w:rPr>
      </w:pPr>
    </w:p>
    <w:p w14:paraId="5E978442" w14:textId="77777777" w:rsidR="00B01FCD" w:rsidRPr="00FB3A86" w:rsidRDefault="00CA6E7F" w:rsidP="00441B6F">
      <w:pPr>
        <w:pStyle w:val="Copyright"/>
        <w:spacing w:after="0" w:line="240" w:lineRule="auto"/>
        <w:jc w:val="both"/>
        <w:rPr>
          <w:rFonts w:ascii="Arial" w:hAnsi="Arial" w:cs="Arial"/>
        </w:rPr>
        <w:sectPr w:rsidR="00B01FCD" w:rsidRPr="00FB3A86" w:rsidSect="00D6213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BE95F63">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5B9B99B" w14:textId="77777777" w:rsidR="001139A2"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1126325" w14:textId="77777777" w:rsidR="001139A2" w:rsidRPr="00FB3A86" w:rsidRDefault="001139A2"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AD20F0E" w14:textId="77777777" w:rsidTr="001E44FE">
        <w:tc>
          <w:tcPr>
            <w:tcW w:w="9576" w:type="dxa"/>
            <w:shd w:val="clear" w:color="auto" w:fill="F2F2F2"/>
          </w:tcPr>
          <w:p w14:paraId="336F2BA2" w14:textId="77777777" w:rsidR="004608FF" w:rsidRPr="004608FF" w:rsidRDefault="004608FF" w:rsidP="004608FF">
            <w:pPr>
              <w:pStyle w:val="Body"/>
              <w:spacing w:after="0"/>
              <w:rPr>
                <w:rFonts w:ascii="Arial" w:eastAsia="Calibri" w:hAnsi="Arial" w:cs="Arial"/>
                <w:b/>
                <w:szCs w:val="22"/>
              </w:rPr>
            </w:pPr>
            <w:r w:rsidRPr="004608FF">
              <w:rPr>
                <w:rFonts w:ascii="Arial" w:eastAsia="Calibri" w:hAnsi="Arial" w:cs="Arial"/>
                <w:b/>
                <w:szCs w:val="22"/>
              </w:rPr>
              <w:t>Background:</w:t>
            </w:r>
          </w:p>
          <w:p w14:paraId="04E195AD" w14:textId="17F7B424" w:rsidR="004608FF" w:rsidRPr="004608FF" w:rsidRDefault="004608FF" w:rsidP="004608FF">
            <w:pPr>
              <w:pStyle w:val="Body"/>
              <w:spacing w:after="0"/>
              <w:rPr>
                <w:rFonts w:ascii="Arial" w:eastAsia="Calibri" w:hAnsi="Arial" w:cs="Arial"/>
                <w:bCs/>
                <w:szCs w:val="22"/>
              </w:rPr>
            </w:pPr>
            <w:r w:rsidRPr="004608FF">
              <w:rPr>
                <w:rFonts w:ascii="Arial" w:eastAsia="Calibri" w:hAnsi="Arial" w:cs="Arial"/>
                <w:bCs/>
                <w:szCs w:val="22"/>
              </w:rPr>
              <w:t>Charcot–Marie–Tooth disease type II (CMT2) is an inherited axonal sensorimotor neuropathy with heterogeneous and often subtle manifestations in early childhood. Delayed recognition may limit opportunities for timely preventive rehabilitation and early functional optimization.</w:t>
            </w:r>
          </w:p>
          <w:p w14:paraId="14C68EB1" w14:textId="77777777" w:rsidR="004608FF" w:rsidRPr="004608FF" w:rsidRDefault="004608FF" w:rsidP="004608FF">
            <w:pPr>
              <w:pStyle w:val="Body"/>
              <w:spacing w:after="0"/>
              <w:rPr>
                <w:rFonts w:ascii="Arial" w:eastAsia="Calibri" w:hAnsi="Arial" w:cs="Arial"/>
                <w:b/>
                <w:szCs w:val="22"/>
              </w:rPr>
            </w:pPr>
          </w:p>
          <w:p w14:paraId="5D37B15D" w14:textId="77777777" w:rsidR="004608FF" w:rsidRPr="004608FF" w:rsidRDefault="004608FF" w:rsidP="004608FF">
            <w:pPr>
              <w:pStyle w:val="Body"/>
              <w:spacing w:after="0"/>
              <w:rPr>
                <w:rFonts w:ascii="Arial" w:eastAsia="Calibri" w:hAnsi="Arial" w:cs="Arial"/>
                <w:b/>
                <w:szCs w:val="22"/>
              </w:rPr>
            </w:pPr>
            <w:r w:rsidRPr="004608FF">
              <w:rPr>
                <w:rFonts w:ascii="Arial" w:eastAsia="Calibri" w:hAnsi="Arial" w:cs="Arial"/>
                <w:b/>
                <w:szCs w:val="22"/>
              </w:rPr>
              <w:t>Purpose:</w:t>
            </w:r>
          </w:p>
          <w:p w14:paraId="4BAC8355" w14:textId="205CDCF7" w:rsidR="004608FF" w:rsidRPr="004608FF" w:rsidRDefault="004608FF" w:rsidP="004608FF">
            <w:pPr>
              <w:pStyle w:val="Body"/>
              <w:spacing w:after="0"/>
              <w:rPr>
                <w:rFonts w:ascii="Arial" w:eastAsia="Calibri" w:hAnsi="Arial" w:cs="Arial"/>
                <w:bCs/>
                <w:szCs w:val="22"/>
              </w:rPr>
            </w:pPr>
            <w:r w:rsidRPr="004608FF">
              <w:rPr>
                <w:rFonts w:ascii="Arial" w:eastAsia="Calibri" w:hAnsi="Arial" w:cs="Arial"/>
                <w:bCs/>
                <w:szCs w:val="22"/>
              </w:rPr>
              <w:t>To describe the clinical presentation, comprehensive functional assessment, and physiotherapy management of a young child with electrophysiological features consistent with CMT2, and to contextualize these findings through a targeted narrative review of contemporary pediatric neurorehabilitation literature.</w:t>
            </w:r>
          </w:p>
          <w:p w14:paraId="2595C035" w14:textId="77777777" w:rsidR="004608FF" w:rsidRPr="004608FF" w:rsidRDefault="004608FF" w:rsidP="004608FF">
            <w:pPr>
              <w:pStyle w:val="Body"/>
              <w:spacing w:after="0"/>
              <w:rPr>
                <w:rFonts w:ascii="Arial" w:eastAsia="Calibri" w:hAnsi="Arial" w:cs="Arial"/>
                <w:b/>
                <w:szCs w:val="22"/>
              </w:rPr>
            </w:pPr>
          </w:p>
          <w:p w14:paraId="34371F08" w14:textId="77777777" w:rsidR="004608FF" w:rsidRPr="004608FF" w:rsidRDefault="004608FF" w:rsidP="004608FF">
            <w:pPr>
              <w:pStyle w:val="Body"/>
              <w:spacing w:after="0"/>
              <w:rPr>
                <w:rFonts w:ascii="Arial" w:eastAsia="Calibri" w:hAnsi="Arial" w:cs="Arial"/>
                <w:b/>
                <w:szCs w:val="22"/>
              </w:rPr>
            </w:pPr>
            <w:r w:rsidRPr="004608FF">
              <w:rPr>
                <w:rFonts w:ascii="Arial" w:eastAsia="Calibri" w:hAnsi="Arial" w:cs="Arial"/>
                <w:b/>
                <w:szCs w:val="22"/>
              </w:rPr>
              <w:t>Case Description:</w:t>
            </w:r>
          </w:p>
          <w:p w14:paraId="584737C5" w14:textId="7CFB67E0" w:rsidR="004608FF" w:rsidRPr="004608FF" w:rsidRDefault="004608FF" w:rsidP="004608FF">
            <w:pPr>
              <w:pStyle w:val="Body"/>
              <w:spacing w:after="0"/>
              <w:rPr>
                <w:rFonts w:ascii="Arial" w:eastAsia="Calibri" w:hAnsi="Arial" w:cs="Arial"/>
                <w:bCs/>
                <w:szCs w:val="22"/>
              </w:rPr>
            </w:pPr>
            <w:r w:rsidRPr="004608FF">
              <w:rPr>
                <w:rFonts w:ascii="Arial" w:eastAsia="Calibri" w:hAnsi="Arial" w:cs="Arial"/>
                <w:bCs/>
                <w:szCs w:val="22"/>
              </w:rPr>
              <w:t>A 3-year-9-month-old female child presented with emerging balance and gait difficulties despite largely age-appropriate early developmental milestones. A multidimensional assessment framework was employed, including developmental screening, gross motor and balance evaluation using the Gross Motor Function Measure-88 (GMFM-88) and Pediatric Balance Scale (PBS), caregiver-reported outcome measures, detailed musculoskeletal examination, and nerve conduction studies. Neurophysiological findings demonstrated a moderately severe primary axonal sensorimotor polyneuropathy, supporting a diagnosis within the Charcot–Marie–Tooth disease type II (CMT2) spectrum.</w:t>
            </w:r>
          </w:p>
          <w:p w14:paraId="53CCE62C" w14:textId="77777777" w:rsidR="004608FF" w:rsidRPr="004608FF" w:rsidRDefault="004608FF" w:rsidP="004608FF">
            <w:pPr>
              <w:pStyle w:val="Body"/>
              <w:spacing w:after="0"/>
              <w:rPr>
                <w:rFonts w:ascii="Arial" w:eastAsia="Calibri" w:hAnsi="Arial" w:cs="Arial"/>
                <w:b/>
                <w:szCs w:val="22"/>
              </w:rPr>
            </w:pPr>
          </w:p>
          <w:p w14:paraId="3F337874" w14:textId="77777777" w:rsidR="004608FF" w:rsidRPr="004608FF" w:rsidRDefault="004608FF" w:rsidP="004608FF">
            <w:pPr>
              <w:pStyle w:val="Body"/>
              <w:spacing w:after="0"/>
              <w:rPr>
                <w:rFonts w:ascii="Arial" w:eastAsia="Calibri" w:hAnsi="Arial" w:cs="Arial"/>
                <w:b/>
                <w:szCs w:val="22"/>
              </w:rPr>
            </w:pPr>
            <w:r w:rsidRPr="004608FF">
              <w:rPr>
                <w:rFonts w:ascii="Arial" w:eastAsia="Calibri" w:hAnsi="Arial" w:cs="Arial"/>
                <w:b/>
                <w:szCs w:val="22"/>
              </w:rPr>
              <w:t>Intervention:</w:t>
            </w:r>
          </w:p>
          <w:p w14:paraId="16C92EB0" w14:textId="76A7121A" w:rsidR="004608FF" w:rsidRPr="00536996" w:rsidRDefault="004608FF" w:rsidP="004608FF">
            <w:pPr>
              <w:pStyle w:val="Body"/>
              <w:spacing w:after="0"/>
              <w:rPr>
                <w:rFonts w:ascii="Arial" w:eastAsia="Calibri" w:hAnsi="Arial" w:cs="Arial"/>
                <w:bCs/>
                <w:szCs w:val="22"/>
              </w:rPr>
            </w:pPr>
            <w:r w:rsidRPr="00536996">
              <w:rPr>
                <w:rFonts w:ascii="Arial" w:eastAsia="Calibri" w:hAnsi="Arial" w:cs="Arial"/>
                <w:bCs/>
                <w:szCs w:val="22"/>
              </w:rPr>
              <w:t>An individualized, evidence-informed physiotherapy program was initiated, emphasizing task-oriented strengthening, balance and gait training, prevention of secondary musculoskeletal complications, and structured caregiver education. Intervention planning incorporated defined dosimetry and a preventive rationale guided by current evidence.</w:t>
            </w:r>
          </w:p>
          <w:p w14:paraId="026E73C6" w14:textId="77777777" w:rsidR="004608FF" w:rsidRPr="004608FF" w:rsidRDefault="004608FF" w:rsidP="004608FF">
            <w:pPr>
              <w:pStyle w:val="Body"/>
              <w:spacing w:after="0"/>
              <w:rPr>
                <w:rFonts w:ascii="Arial" w:eastAsia="Calibri" w:hAnsi="Arial" w:cs="Arial"/>
                <w:b/>
                <w:szCs w:val="22"/>
              </w:rPr>
            </w:pPr>
          </w:p>
          <w:p w14:paraId="3F10E0F1" w14:textId="77777777" w:rsidR="004608FF" w:rsidRPr="004608FF" w:rsidRDefault="004608FF" w:rsidP="004608FF">
            <w:pPr>
              <w:pStyle w:val="Body"/>
              <w:spacing w:after="0"/>
              <w:rPr>
                <w:rFonts w:ascii="Arial" w:eastAsia="Calibri" w:hAnsi="Arial" w:cs="Arial"/>
                <w:b/>
                <w:szCs w:val="22"/>
              </w:rPr>
            </w:pPr>
            <w:r w:rsidRPr="004608FF">
              <w:rPr>
                <w:rFonts w:ascii="Arial" w:eastAsia="Calibri" w:hAnsi="Arial" w:cs="Arial"/>
                <w:b/>
                <w:szCs w:val="22"/>
              </w:rPr>
              <w:t>Outcomes:</w:t>
            </w:r>
          </w:p>
          <w:p w14:paraId="5929D4C4" w14:textId="625C1E03" w:rsidR="004608FF" w:rsidRPr="00536996" w:rsidRDefault="004608FF" w:rsidP="004608FF">
            <w:pPr>
              <w:pStyle w:val="Body"/>
              <w:spacing w:after="0"/>
              <w:rPr>
                <w:rFonts w:ascii="Arial" w:eastAsia="Calibri" w:hAnsi="Arial" w:cs="Arial"/>
                <w:bCs/>
                <w:szCs w:val="22"/>
              </w:rPr>
            </w:pPr>
            <w:r w:rsidRPr="00536996">
              <w:rPr>
                <w:rFonts w:ascii="Arial" w:eastAsia="Calibri" w:hAnsi="Arial" w:cs="Arial"/>
                <w:bCs/>
                <w:szCs w:val="22"/>
              </w:rPr>
              <w:t>Following early intervention, the child demonstrated improved postural stability during functional tasks, enhanced task participation during balance-challenging activities, and better tolerance to age-appropriate gross motor activities. Caregivers reported increased confidence in handling, positioning, and implementing home-based strategies.</w:t>
            </w:r>
          </w:p>
          <w:p w14:paraId="02F843F2" w14:textId="77777777" w:rsidR="004608FF" w:rsidRPr="004608FF" w:rsidRDefault="004608FF" w:rsidP="004608FF">
            <w:pPr>
              <w:pStyle w:val="Body"/>
              <w:spacing w:after="0"/>
              <w:rPr>
                <w:rFonts w:ascii="Arial" w:eastAsia="Calibri" w:hAnsi="Arial" w:cs="Arial"/>
                <w:b/>
                <w:szCs w:val="22"/>
              </w:rPr>
            </w:pPr>
          </w:p>
          <w:p w14:paraId="34D45A57" w14:textId="77777777" w:rsidR="004608FF" w:rsidRPr="004608FF" w:rsidRDefault="004608FF" w:rsidP="004608FF">
            <w:pPr>
              <w:pStyle w:val="Body"/>
              <w:spacing w:after="0"/>
              <w:rPr>
                <w:rFonts w:ascii="Arial" w:eastAsia="Calibri" w:hAnsi="Arial" w:cs="Arial"/>
                <w:b/>
                <w:szCs w:val="22"/>
              </w:rPr>
            </w:pPr>
            <w:r w:rsidRPr="004608FF">
              <w:rPr>
                <w:rFonts w:ascii="Arial" w:eastAsia="Calibri" w:hAnsi="Arial" w:cs="Arial"/>
                <w:b/>
                <w:szCs w:val="22"/>
              </w:rPr>
              <w:t>Conclusion:</w:t>
            </w:r>
          </w:p>
          <w:p w14:paraId="4756DFBC" w14:textId="519A8E1A" w:rsidR="00505F06" w:rsidRPr="00536996" w:rsidRDefault="004608FF" w:rsidP="004608FF">
            <w:pPr>
              <w:pStyle w:val="Body"/>
              <w:spacing w:after="0"/>
              <w:rPr>
                <w:rFonts w:ascii="Arial" w:eastAsia="Calibri" w:hAnsi="Arial" w:cs="Arial"/>
                <w:bCs/>
                <w:szCs w:val="22"/>
              </w:rPr>
            </w:pPr>
            <w:r w:rsidRPr="00536996">
              <w:rPr>
                <w:rFonts w:ascii="Arial" w:eastAsia="Calibri" w:hAnsi="Arial" w:cs="Arial"/>
                <w:bCs/>
                <w:szCs w:val="22"/>
              </w:rPr>
              <w:t>Early, structured physiotherapy guided by integrated functional and neurophysiological assessment may support functional preservation, reduce secondary complications, and promote proactive management in children with suspected CMT2.</w:t>
            </w:r>
          </w:p>
        </w:tc>
      </w:tr>
    </w:tbl>
    <w:p w14:paraId="17986B2C" w14:textId="77777777" w:rsidR="00636EB2" w:rsidRDefault="00636EB2" w:rsidP="00441B6F">
      <w:pPr>
        <w:pStyle w:val="Body"/>
        <w:spacing w:after="0"/>
        <w:rPr>
          <w:rFonts w:ascii="Arial" w:hAnsi="Arial" w:cs="Arial"/>
          <w:i/>
        </w:rPr>
      </w:pPr>
    </w:p>
    <w:p w14:paraId="4D543DCB" w14:textId="77777777" w:rsidR="0024282C" w:rsidRPr="00B67174" w:rsidRDefault="00A24E7E" w:rsidP="00441B6F">
      <w:pPr>
        <w:pStyle w:val="Body"/>
        <w:spacing w:after="0"/>
        <w:rPr>
          <w:rFonts w:ascii="Arial" w:hAnsi="Arial" w:cs="Arial"/>
          <w:i/>
        </w:rPr>
      </w:pPr>
      <w:r>
        <w:rPr>
          <w:rFonts w:ascii="Arial" w:hAnsi="Arial" w:cs="Arial"/>
          <w:i/>
        </w:rPr>
        <w:t>Keywords: [</w:t>
      </w:r>
      <w:r w:rsidR="00B34D9A" w:rsidRPr="00B34D9A">
        <w:rPr>
          <w:rFonts w:ascii="Arial" w:hAnsi="Arial" w:cs="Arial"/>
          <w:i/>
        </w:rPr>
        <w:t xml:space="preserve">Charcot–Marie–Tooth disease type 2, hereditary sensorimotor neuropathy, pediatric physiotherapy, balance impairment, early </w:t>
      </w:r>
      <w:proofErr w:type="gramStart"/>
      <w:r w:rsidR="00B34D9A" w:rsidRPr="00B34D9A">
        <w:rPr>
          <w:rFonts w:ascii="Arial" w:hAnsi="Arial" w:cs="Arial"/>
          <w:i/>
        </w:rPr>
        <w:t xml:space="preserve">intervention </w:t>
      </w:r>
      <w:r>
        <w:rPr>
          <w:rFonts w:ascii="Arial" w:hAnsi="Arial" w:cs="Arial"/>
          <w:i/>
        </w:rPr>
        <w:t>}</w:t>
      </w:r>
      <w:proofErr w:type="gramEnd"/>
      <w:r w:rsidR="0066510A">
        <w:rPr>
          <w:rFonts w:ascii="Arial" w:hAnsi="Arial" w:cs="Arial"/>
          <w:i/>
        </w:rPr>
        <w:t xml:space="preserve"> </w:t>
      </w:r>
    </w:p>
    <w:p w14:paraId="33D3612D" w14:textId="77777777" w:rsidR="00505F06" w:rsidRPr="00A24E7E" w:rsidRDefault="00505F06" w:rsidP="00441B6F">
      <w:pPr>
        <w:pStyle w:val="Body"/>
        <w:spacing w:after="0"/>
        <w:rPr>
          <w:rFonts w:ascii="Arial" w:hAnsi="Arial" w:cs="Arial"/>
          <w:i/>
        </w:rPr>
      </w:pPr>
    </w:p>
    <w:p w14:paraId="4F43B950" w14:textId="77777777" w:rsidR="00790ADA" w:rsidRDefault="00B01FCD" w:rsidP="00172ECF">
      <w:pPr>
        <w:pStyle w:val="AbstHead"/>
        <w:numPr>
          <w:ilvl w:val="0"/>
          <w:numId w:val="39"/>
        </w:numPr>
        <w:spacing w:after="0"/>
        <w:jc w:val="both"/>
        <w:rPr>
          <w:rFonts w:ascii="Arial" w:hAnsi="Arial" w:cs="Arial"/>
        </w:rPr>
      </w:pPr>
      <w:r w:rsidRPr="009D4B57">
        <w:rPr>
          <w:rFonts w:ascii="Arial" w:hAnsi="Arial" w:cs="Arial"/>
        </w:rPr>
        <w:lastRenderedPageBreak/>
        <w:t>INTRODUCTION</w:t>
      </w:r>
      <w:r w:rsidR="007F7B32" w:rsidRPr="009D4B57">
        <w:rPr>
          <w:rFonts w:ascii="Arial" w:hAnsi="Arial" w:cs="Arial"/>
        </w:rPr>
        <w:t xml:space="preserve"> </w:t>
      </w:r>
    </w:p>
    <w:p w14:paraId="74291437" w14:textId="77777777" w:rsidR="009D4B57" w:rsidRPr="009D4B57" w:rsidRDefault="009D4B57" w:rsidP="009D4B57">
      <w:pPr>
        <w:pStyle w:val="AbstHead"/>
        <w:spacing w:after="0"/>
        <w:ind w:left="720"/>
        <w:jc w:val="both"/>
        <w:rPr>
          <w:rFonts w:ascii="Arial" w:hAnsi="Arial" w:cs="Arial"/>
        </w:rPr>
      </w:pPr>
    </w:p>
    <w:p w14:paraId="66F9803C" w14:textId="77777777" w:rsidR="00991202" w:rsidRPr="00991202" w:rsidRDefault="00991202" w:rsidP="00991202">
      <w:pPr>
        <w:pStyle w:val="Body"/>
        <w:rPr>
          <w:rFonts w:ascii="Arial" w:hAnsi="Arial" w:cs="Arial"/>
        </w:rPr>
      </w:pPr>
      <w:r w:rsidRPr="00991202">
        <w:rPr>
          <w:rFonts w:ascii="Arial" w:hAnsi="Arial" w:cs="Arial"/>
        </w:rPr>
        <w:t>Hereditary sensorimotor neuropathies represent a broad and heterogeneous group of disorders characterized by progressive dysfunction of the peripheral nervous system. Among these, Charcot–Marie–Tooth disease (CMT) is the most prevalent inherited neuropathy worldwide, with an estimated prevalence of approximately 1 in 2,500 individuals</w:t>
      </w:r>
      <w:hyperlink w:anchor="1b48186ea8f83c698c48d138e4f1e293_ref" w:history="1">
        <w:r w:rsidRPr="00991202">
          <w:rPr>
            <w:rStyle w:val="Hyperlink"/>
            <w:rFonts w:ascii="Arial" w:hAnsi="Arial" w:cs="Arial"/>
          </w:rPr>
          <w:t>(Stavrou et al., 2021)</w:t>
        </w:r>
      </w:hyperlink>
      <w:r w:rsidRPr="00991202">
        <w:rPr>
          <w:rFonts w:ascii="Arial" w:hAnsi="Arial" w:cs="Arial"/>
        </w:rPr>
        <w:t>. First described independently by Charcot, Marie, and Tooth in the late nineteenth century, CMT has evolved from a clinically defined condition into a genetically complex spectrum of disorders unified by distal muscle weakness, sensory impairment, and chronic progression</w:t>
      </w:r>
      <w:hyperlink w:anchor="e03f496c12603c0d8b19938125f39421_ref" w:history="1">
        <w:r w:rsidRPr="00991202">
          <w:rPr>
            <w:rStyle w:val="Hyperlink"/>
            <w:rFonts w:ascii="Arial" w:hAnsi="Arial" w:cs="Arial"/>
          </w:rPr>
          <w:t>(</w:t>
        </w:r>
        <w:proofErr w:type="spellStart"/>
        <w:r w:rsidRPr="00991202">
          <w:rPr>
            <w:rStyle w:val="Hyperlink"/>
            <w:rFonts w:ascii="Arial" w:hAnsi="Arial" w:cs="Arial"/>
          </w:rPr>
          <w:t>Laurá</w:t>
        </w:r>
        <w:proofErr w:type="spellEnd"/>
        <w:r w:rsidRPr="00991202">
          <w:rPr>
            <w:rStyle w:val="Hyperlink"/>
            <w:rFonts w:ascii="Arial" w:hAnsi="Arial" w:cs="Arial"/>
          </w:rPr>
          <w:t xml:space="preserve"> et al., 2019; Volodarsky et al., 2020)</w:t>
        </w:r>
      </w:hyperlink>
      <w:r w:rsidRPr="00991202">
        <w:rPr>
          <w:rFonts w:ascii="Arial" w:hAnsi="Arial" w:cs="Arial"/>
        </w:rPr>
        <w:t>.</w:t>
      </w:r>
    </w:p>
    <w:p w14:paraId="0CB95A30" w14:textId="77777777" w:rsidR="00991202" w:rsidRPr="00991202" w:rsidRDefault="00991202" w:rsidP="00991202">
      <w:pPr>
        <w:pStyle w:val="Body"/>
        <w:rPr>
          <w:rFonts w:ascii="Arial" w:hAnsi="Arial" w:cs="Arial"/>
        </w:rPr>
      </w:pPr>
      <w:r w:rsidRPr="00991202">
        <w:rPr>
          <w:rFonts w:ascii="Arial" w:hAnsi="Arial" w:cs="Arial"/>
        </w:rPr>
        <w:t xml:space="preserve">Over the past several decades, advances in neurophysiology and molecular genetics have fundamentally reshaped the understanding of CMT. What was once considered a single disease entity is now recognized as a group of genetically and </w:t>
      </w:r>
      <w:proofErr w:type="spellStart"/>
      <w:r w:rsidRPr="00991202">
        <w:rPr>
          <w:rFonts w:ascii="Arial" w:hAnsi="Arial" w:cs="Arial"/>
        </w:rPr>
        <w:t>pathophysiologically</w:t>
      </w:r>
      <w:proofErr w:type="spellEnd"/>
      <w:r w:rsidRPr="00991202">
        <w:rPr>
          <w:rFonts w:ascii="Arial" w:hAnsi="Arial" w:cs="Arial"/>
        </w:rPr>
        <w:t xml:space="preserve"> distinct neuropathies, classified primarily according to patterns of nerve conduction abnormalities and underlying mechanisms of nerve injury</w:t>
      </w:r>
      <w:hyperlink w:anchor="419ee93f40ac3bc5aa6e6ced5d076d7a_ref" w:history="1">
        <w:r w:rsidRPr="00991202">
          <w:rPr>
            <w:rStyle w:val="Hyperlink"/>
            <w:rFonts w:ascii="Arial" w:hAnsi="Arial" w:cs="Arial"/>
          </w:rPr>
          <w:t xml:space="preserve">(Arnold et al., 2015; </w:t>
        </w:r>
        <w:proofErr w:type="spellStart"/>
        <w:r w:rsidRPr="00991202">
          <w:rPr>
            <w:rStyle w:val="Hyperlink"/>
            <w:rFonts w:ascii="Arial" w:hAnsi="Arial" w:cs="Arial"/>
          </w:rPr>
          <w:t>Bolino</w:t>
        </w:r>
        <w:proofErr w:type="spellEnd"/>
        <w:r w:rsidRPr="00991202">
          <w:rPr>
            <w:rStyle w:val="Hyperlink"/>
            <w:rFonts w:ascii="Arial" w:hAnsi="Arial" w:cs="Arial"/>
          </w:rPr>
          <w:t xml:space="preserve"> &amp; </w:t>
        </w:r>
        <w:proofErr w:type="spellStart"/>
        <w:r w:rsidRPr="00991202">
          <w:rPr>
            <w:rStyle w:val="Hyperlink"/>
            <w:rFonts w:ascii="Arial" w:hAnsi="Arial" w:cs="Arial"/>
          </w:rPr>
          <w:t>D’Antonio</w:t>
        </w:r>
        <w:proofErr w:type="spellEnd"/>
        <w:r w:rsidRPr="00991202">
          <w:rPr>
            <w:rStyle w:val="Hyperlink"/>
            <w:rFonts w:ascii="Arial" w:hAnsi="Arial" w:cs="Arial"/>
          </w:rPr>
          <w:t xml:space="preserve">, 2023; </w:t>
        </w:r>
        <w:proofErr w:type="spellStart"/>
        <w:r w:rsidRPr="00991202">
          <w:rPr>
            <w:rStyle w:val="Hyperlink"/>
            <w:rFonts w:ascii="Arial" w:hAnsi="Arial" w:cs="Arial"/>
          </w:rPr>
          <w:t>Pareyson</w:t>
        </w:r>
        <w:proofErr w:type="spellEnd"/>
        <w:r w:rsidRPr="00991202">
          <w:rPr>
            <w:rStyle w:val="Hyperlink"/>
            <w:rFonts w:ascii="Arial" w:hAnsi="Arial" w:cs="Arial"/>
          </w:rPr>
          <w:t xml:space="preserve"> et al., 2017)</w:t>
        </w:r>
      </w:hyperlink>
      <w:r w:rsidRPr="00991202">
        <w:rPr>
          <w:rFonts w:ascii="Arial" w:hAnsi="Arial" w:cs="Arial"/>
        </w:rPr>
        <w:t>. This evolving classification has important implications not only for diagnosis and prognosis, but also for rehabilitation planning—particularly in pediatric populations, where early manifestations may be subtle and functional decline may unfold gradually.</w:t>
      </w:r>
    </w:p>
    <w:p w14:paraId="3DC5957D" w14:textId="77777777" w:rsidR="00991202" w:rsidRPr="001645F4" w:rsidRDefault="00D44123" w:rsidP="00993384">
      <w:pPr>
        <w:pStyle w:val="Body"/>
        <w:spacing w:after="0"/>
        <w:rPr>
          <w:rFonts w:ascii="Arial" w:hAnsi="Arial" w:cs="Arial"/>
          <w:b/>
          <w:bCs/>
          <w:sz w:val="22"/>
          <w:szCs w:val="22"/>
        </w:rPr>
      </w:pPr>
      <w:bookmarkStart w:id="1" w:name="_Toc256000063"/>
      <w:r w:rsidRPr="001645F4">
        <w:rPr>
          <w:rFonts w:ascii="Arial" w:hAnsi="Arial" w:cs="Arial"/>
          <w:b/>
          <w:bCs/>
          <w:sz w:val="22"/>
          <w:szCs w:val="22"/>
        </w:rPr>
        <w:t xml:space="preserve">1.1 </w:t>
      </w:r>
      <w:r w:rsidR="00991202" w:rsidRPr="001645F4">
        <w:rPr>
          <w:rFonts w:ascii="Arial" w:hAnsi="Arial" w:cs="Arial"/>
          <w:b/>
          <w:bCs/>
          <w:sz w:val="22"/>
          <w:szCs w:val="22"/>
        </w:rPr>
        <w:t>Charcot–Marie–Tooth Disease Type II: An Axonal Neuropathy</w:t>
      </w:r>
      <w:bookmarkEnd w:id="1"/>
    </w:p>
    <w:p w14:paraId="6004C323" w14:textId="77777777" w:rsidR="00993384" w:rsidRPr="00993384" w:rsidRDefault="00993384" w:rsidP="00993384">
      <w:pPr>
        <w:pStyle w:val="Body"/>
        <w:spacing w:after="0"/>
        <w:rPr>
          <w:rFonts w:ascii="Arial" w:hAnsi="Arial" w:cs="Arial"/>
          <w:b/>
          <w:bCs/>
        </w:rPr>
      </w:pPr>
    </w:p>
    <w:p w14:paraId="31BEF0AE" w14:textId="77777777" w:rsidR="00991202" w:rsidRPr="00991202" w:rsidRDefault="00991202" w:rsidP="00991202">
      <w:pPr>
        <w:pStyle w:val="Body"/>
        <w:rPr>
          <w:rFonts w:ascii="Arial" w:hAnsi="Arial" w:cs="Arial"/>
        </w:rPr>
      </w:pPr>
      <w:r w:rsidRPr="00991202">
        <w:rPr>
          <w:rFonts w:ascii="Arial" w:hAnsi="Arial" w:cs="Arial"/>
        </w:rPr>
        <w:t>Charcot–Marie–Tooth disease type II (CMT2), also referred to as hereditary motor and sensory neuropathy type II, constitutes the axonal form of CMT. Unlike demyelinating subtypes (such as CMT1), which are characterized by markedly slowed nerve conduction velocities due to myelin pathology, CMT2 is defined by primary axonal degeneration, with relatively preserved myelin structure and normal or near-normal conduction velocities</w:t>
      </w:r>
      <w:hyperlink w:anchor="4ae5bb3dcb2d39f98756d3694e40c728_ref" w:history="1">
        <w:r w:rsidRPr="00991202">
          <w:rPr>
            <w:rStyle w:val="Hyperlink"/>
            <w:rFonts w:ascii="Arial" w:hAnsi="Arial" w:cs="Arial"/>
          </w:rPr>
          <w:t>(</w:t>
        </w:r>
        <w:proofErr w:type="spellStart"/>
        <w:r w:rsidRPr="00991202">
          <w:rPr>
            <w:rStyle w:val="Hyperlink"/>
            <w:rFonts w:ascii="Arial" w:hAnsi="Arial" w:cs="Arial"/>
          </w:rPr>
          <w:t>Pareyson</w:t>
        </w:r>
        <w:proofErr w:type="spellEnd"/>
        <w:r w:rsidRPr="00991202">
          <w:rPr>
            <w:rStyle w:val="Hyperlink"/>
            <w:rFonts w:ascii="Arial" w:hAnsi="Arial" w:cs="Arial"/>
          </w:rPr>
          <w:t xml:space="preserve"> et al., 2006; Sadjadi et al., 2024)</w:t>
        </w:r>
      </w:hyperlink>
      <w:r w:rsidRPr="00991202">
        <w:rPr>
          <w:rFonts w:ascii="Arial" w:hAnsi="Arial" w:cs="Arial"/>
        </w:rPr>
        <w:t xml:space="preserve">. </w:t>
      </w:r>
      <w:proofErr w:type="spellStart"/>
      <w:r w:rsidRPr="00991202">
        <w:rPr>
          <w:rFonts w:ascii="Arial" w:hAnsi="Arial" w:cs="Arial"/>
        </w:rPr>
        <w:t>Electrophysiologically</w:t>
      </w:r>
      <w:proofErr w:type="spellEnd"/>
      <w:r w:rsidRPr="00991202">
        <w:rPr>
          <w:rFonts w:ascii="Arial" w:hAnsi="Arial" w:cs="Arial"/>
        </w:rPr>
        <w:t>, this distinction is reflected in reduced amplitudes of sensory and motor nerve action potentials, rather than conduction slowing.</w:t>
      </w:r>
    </w:p>
    <w:p w14:paraId="05240A52" w14:textId="77777777" w:rsidR="00991202" w:rsidRPr="00991202" w:rsidRDefault="00991202" w:rsidP="00991202">
      <w:pPr>
        <w:pStyle w:val="Body"/>
        <w:rPr>
          <w:rFonts w:ascii="Arial" w:hAnsi="Arial" w:cs="Arial"/>
        </w:rPr>
      </w:pPr>
      <w:r w:rsidRPr="00991202">
        <w:rPr>
          <w:rFonts w:ascii="Arial" w:hAnsi="Arial" w:cs="Arial"/>
        </w:rPr>
        <w:t>This axonal pathology has profound functional consequences. Peripheral axons—particularly long motor and sensory fibers supplying the distal limbs—are highly metabolically demanding and vulnerable to disruptions in axonal transport, mitochondrial function, and cytoskeletal integrity. As a result, individuals with CMT2 often experience length-dependent weakness and sensory loss, with distal musculature affected earlier and more severely than proximal muscle groups</w:t>
      </w:r>
      <w:hyperlink w:anchor="73badd08007e30d5b93010431c64872c_ref" w:history="1">
        <w:r w:rsidRPr="00991202">
          <w:rPr>
            <w:rStyle w:val="Hyperlink"/>
            <w:rFonts w:ascii="Arial" w:hAnsi="Arial" w:cs="Arial"/>
          </w:rPr>
          <w:t>(</w:t>
        </w:r>
        <w:proofErr w:type="spellStart"/>
        <w:r w:rsidRPr="00991202">
          <w:rPr>
            <w:rStyle w:val="Hyperlink"/>
            <w:rFonts w:ascii="Arial" w:hAnsi="Arial" w:cs="Arial"/>
          </w:rPr>
          <w:t>Estilow</w:t>
        </w:r>
        <w:proofErr w:type="spellEnd"/>
        <w:r w:rsidRPr="00991202">
          <w:rPr>
            <w:rStyle w:val="Hyperlink"/>
            <w:rFonts w:ascii="Arial" w:hAnsi="Arial" w:cs="Arial"/>
          </w:rPr>
          <w:t xml:space="preserve"> et al., 2019; </w:t>
        </w:r>
        <w:proofErr w:type="spellStart"/>
        <w:r w:rsidRPr="00991202">
          <w:rPr>
            <w:rStyle w:val="Hyperlink"/>
            <w:rFonts w:ascii="Arial" w:hAnsi="Arial" w:cs="Arial"/>
          </w:rPr>
          <w:t>Pareyson</w:t>
        </w:r>
        <w:proofErr w:type="spellEnd"/>
        <w:r w:rsidRPr="00991202">
          <w:rPr>
            <w:rStyle w:val="Hyperlink"/>
            <w:rFonts w:ascii="Arial" w:hAnsi="Arial" w:cs="Arial"/>
          </w:rPr>
          <w:t xml:space="preserve"> et al., 2006)</w:t>
        </w:r>
      </w:hyperlink>
      <w:r w:rsidRPr="00991202">
        <w:rPr>
          <w:rFonts w:ascii="Arial" w:hAnsi="Arial" w:cs="Arial"/>
        </w:rPr>
        <w:t>. However, the clinical expression of these changes varies widely, influenced by genetic subtype, age of onset, and compensatory capacity.</w:t>
      </w:r>
    </w:p>
    <w:p w14:paraId="52ACADBA" w14:textId="77777777" w:rsidR="00991202" w:rsidRPr="001645F4" w:rsidRDefault="001645F4" w:rsidP="00991202">
      <w:pPr>
        <w:pStyle w:val="Body"/>
        <w:spacing w:after="0"/>
        <w:rPr>
          <w:rFonts w:ascii="Arial" w:hAnsi="Arial" w:cs="Arial"/>
          <w:b/>
          <w:bCs/>
          <w:sz w:val="22"/>
          <w:szCs w:val="22"/>
        </w:rPr>
      </w:pPr>
      <w:bookmarkStart w:id="2" w:name="_Toc256000064"/>
      <w:r w:rsidRPr="001645F4">
        <w:rPr>
          <w:rFonts w:ascii="Arial" w:hAnsi="Arial" w:cs="Arial"/>
          <w:b/>
          <w:bCs/>
          <w:sz w:val="22"/>
          <w:szCs w:val="22"/>
        </w:rPr>
        <w:t xml:space="preserve">1.2 </w:t>
      </w:r>
      <w:r w:rsidR="00991202" w:rsidRPr="001645F4">
        <w:rPr>
          <w:rFonts w:ascii="Arial" w:hAnsi="Arial" w:cs="Arial"/>
          <w:b/>
          <w:bCs/>
          <w:sz w:val="22"/>
          <w:szCs w:val="22"/>
        </w:rPr>
        <w:t>Pediatric Presentation: Subtle Beginnings, Progressive Demands</w:t>
      </w:r>
      <w:bookmarkEnd w:id="2"/>
    </w:p>
    <w:p w14:paraId="45918C6A" w14:textId="77777777" w:rsidR="00991202" w:rsidRPr="00991202" w:rsidRDefault="00991202" w:rsidP="00991202">
      <w:pPr>
        <w:pStyle w:val="Body"/>
        <w:rPr>
          <w:rFonts w:ascii="Arial" w:hAnsi="Arial" w:cs="Arial"/>
        </w:rPr>
      </w:pPr>
    </w:p>
    <w:p w14:paraId="7BC4A229" w14:textId="77777777" w:rsidR="00991202" w:rsidRPr="00991202" w:rsidRDefault="00991202" w:rsidP="00991202">
      <w:pPr>
        <w:pStyle w:val="Body"/>
        <w:rPr>
          <w:rFonts w:ascii="Arial" w:hAnsi="Arial" w:cs="Arial"/>
        </w:rPr>
      </w:pPr>
      <w:r w:rsidRPr="00991202">
        <w:rPr>
          <w:rFonts w:ascii="Arial" w:hAnsi="Arial" w:cs="Arial"/>
        </w:rPr>
        <w:t>One of the defining challenges in pediatric Charcot–Marie–Tooth disease type II (CMT2) is the discordance between early developmental milestones and later functional performance. Many children with axonal neuropathies achieve gross motor milestones—such as sitting, standing, and independent walking—within expected age ranges. This apparent normalcy during infancy and early toddlerhood can delay clinical suspicion, particularly in the absence of a known family history</w:t>
      </w:r>
      <w:hyperlink w:anchor="d17075f4ea8037a4a39f9f7e5fd4bf34_ref" w:history="1">
        <w:r w:rsidRPr="00991202">
          <w:rPr>
            <w:rStyle w:val="Hyperlink"/>
            <w:rFonts w:ascii="Arial" w:hAnsi="Arial" w:cs="Arial"/>
          </w:rPr>
          <w:t>(</w:t>
        </w:r>
        <w:proofErr w:type="spellStart"/>
        <w:r w:rsidRPr="00991202">
          <w:rPr>
            <w:rStyle w:val="Hyperlink"/>
            <w:rFonts w:ascii="Arial" w:hAnsi="Arial" w:cs="Arial"/>
          </w:rPr>
          <w:t>Bombelli</w:t>
        </w:r>
        <w:proofErr w:type="spellEnd"/>
        <w:r w:rsidRPr="00991202">
          <w:rPr>
            <w:rStyle w:val="Hyperlink"/>
            <w:rFonts w:ascii="Arial" w:hAnsi="Arial" w:cs="Arial"/>
          </w:rPr>
          <w:t xml:space="preserve"> et al., 2014; </w:t>
        </w:r>
        <w:proofErr w:type="spellStart"/>
        <w:r w:rsidRPr="00991202">
          <w:rPr>
            <w:rStyle w:val="Hyperlink"/>
            <w:rFonts w:ascii="Arial" w:hAnsi="Arial" w:cs="Arial"/>
          </w:rPr>
          <w:t>Patzkó</w:t>
        </w:r>
        <w:proofErr w:type="spellEnd"/>
        <w:r w:rsidRPr="00991202">
          <w:rPr>
            <w:rStyle w:val="Hyperlink"/>
            <w:rFonts w:ascii="Arial" w:hAnsi="Arial" w:cs="Arial"/>
          </w:rPr>
          <w:t xml:space="preserve"> &amp; Shy, 2010)</w:t>
        </w:r>
      </w:hyperlink>
      <w:r w:rsidRPr="00991202">
        <w:rPr>
          <w:rFonts w:ascii="Arial" w:hAnsi="Arial" w:cs="Arial"/>
        </w:rPr>
        <w:t>.</w:t>
      </w:r>
    </w:p>
    <w:p w14:paraId="418DEF10" w14:textId="77777777" w:rsidR="00991202" w:rsidRPr="00991202" w:rsidRDefault="00991202" w:rsidP="00991202">
      <w:pPr>
        <w:pStyle w:val="Body"/>
        <w:rPr>
          <w:rFonts w:ascii="Arial" w:hAnsi="Arial" w:cs="Arial"/>
        </w:rPr>
      </w:pPr>
      <w:r w:rsidRPr="00991202">
        <w:rPr>
          <w:rFonts w:ascii="Arial" w:hAnsi="Arial" w:cs="Arial"/>
        </w:rPr>
        <w:t>As children grow and motor demands increase, however, deficits often become apparent in tasks requiring balance, endurance, distal strength, and postural control, such as running, jumping, stair negotiation, and single-limb stance. These emerging difficulties are frequently attributed to benign clumsiness or delayed coordination, further postponing referral and diagnosis. By the time overt weakness or deformity is recognized, secondary musculoskeletal adaptations may already be established.</w:t>
      </w:r>
    </w:p>
    <w:p w14:paraId="7D190F80" w14:textId="77777777" w:rsidR="00991202" w:rsidRPr="00991202" w:rsidRDefault="00991202" w:rsidP="00991202">
      <w:pPr>
        <w:pStyle w:val="Body"/>
        <w:rPr>
          <w:rFonts w:ascii="Arial" w:hAnsi="Arial" w:cs="Arial"/>
        </w:rPr>
      </w:pPr>
      <w:r w:rsidRPr="00991202">
        <w:rPr>
          <w:rFonts w:ascii="Arial" w:hAnsi="Arial" w:cs="Arial"/>
        </w:rPr>
        <w:t>This developmental trajectory underscores the importance of functional assessment beyond milestone attainment, particularly in children presenting with subtle balance or gait abnormalities. For pediatric physiotherapists, early identification of movement inefficiencies and compensatory strategies is critical, as these patterns may precede measurable strength loss or structural deformity.</w:t>
      </w:r>
    </w:p>
    <w:p w14:paraId="4574A7C6" w14:textId="77777777" w:rsidR="00991202" w:rsidRPr="001645F4" w:rsidRDefault="001645F4" w:rsidP="00991202">
      <w:pPr>
        <w:pStyle w:val="Body"/>
        <w:spacing w:after="0"/>
        <w:rPr>
          <w:rFonts w:ascii="Arial" w:hAnsi="Arial" w:cs="Arial"/>
          <w:b/>
          <w:bCs/>
          <w:sz w:val="22"/>
          <w:szCs w:val="22"/>
        </w:rPr>
      </w:pPr>
      <w:bookmarkStart w:id="3" w:name="_Toc256000065"/>
      <w:r w:rsidRPr="001645F4">
        <w:rPr>
          <w:rFonts w:ascii="Arial" w:hAnsi="Arial" w:cs="Arial"/>
          <w:b/>
          <w:bCs/>
          <w:sz w:val="22"/>
          <w:szCs w:val="22"/>
        </w:rPr>
        <w:t xml:space="preserve">1.3 </w:t>
      </w:r>
      <w:r w:rsidR="00991202" w:rsidRPr="001645F4">
        <w:rPr>
          <w:rFonts w:ascii="Arial" w:hAnsi="Arial" w:cs="Arial"/>
          <w:b/>
          <w:bCs/>
          <w:sz w:val="22"/>
          <w:szCs w:val="22"/>
        </w:rPr>
        <w:t>Classification and Genetic Heterogeneity</w:t>
      </w:r>
      <w:bookmarkEnd w:id="3"/>
    </w:p>
    <w:p w14:paraId="27551D97" w14:textId="77777777" w:rsidR="00991202" w:rsidRPr="00991202" w:rsidRDefault="00991202" w:rsidP="00991202">
      <w:pPr>
        <w:pStyle w:val="Body"/>
        <w:rPr>
          <w:rFonts w:ascii="Arial" w:hAnsi="Arial" w:cs="Arial"/>
        </w:rPr>
      </w:pPr>
    </w:p>
    <w:p w14:paraId="075CE859" w14:textId="77777777" w:rsidR="00991202" w:rsidRPr="00991202" w:rsidRDefault="00991202" w:rsidP="00991202">
      <w:pPr>
        <w:pStyle w:val="Body"/>
        <w:rPr>
          <w:rFonts w:ascii="Arial" w:hAnsi="Arial" w:cs="Arial"/>
        </w:rPr>
      </w:pPr>
      <w:r w:rsidRPr="00991202">
        <w:rPr>
          <w:rFonts w:ascii="Arial" w:hAnsi="Arial" w:cs="Arial"/>
        </w:rPr>
        <w:t xml:space="preserve">CMT2 encompasses a diverse array of genetic subtypes, reflecting mutations in genes involved in axonal transport, mitochondrial dynamics, protein folding, and neuronal survival. To date, more than 30 genes have been implicated in </w:t>
      </w:r>
      <w:r w:rsidRPr="00991202">
        <w:rPr>
          <w:rFonts w:ascii="Arial" w:hAnsi="Arial" w:cs="Arial"/>
        </w:rPr>
        <w:lastRenderedPageBreak/>
        <w:t>axonal forms of CMT, with inheritance patterns that include autosomal dominant, autosomal recessive, and X-linked transmission</w:t>
      </w:r>
      <w:hyperlink w:anchor="96075d88ad3c3905ae364b4bd5ed2e8c_ref" w:history="1">
        <w:r w:rsidRPr="00991202">
          <w:rPr>
            <w:rStyle w:val="Hyperlink"/>
            <w:rFonts w:ascii="Arial" w:hAnsi="Arial" w:cs="Arial"/>
          </w:rPr>
          <w:t xml:space="preserve">(Barisic et al., 2008; </w:t>
        </w:r>
        <w:proofErr w:type="spellStart"/>
        <w:r w:rsidRPr="00991202">
          <w:rPr>
            <w:rStyle w:val="Hyperlink"/>
            <w:rFonts w:ascii="Arial" w:hAnsi="Arial" w:cs="Arial"/>
          </w:rPr>
          <w:t>Züchner</w:t>
        </w:r>
        <w:proofErr w:type="spellEnd"/>
        <w:r w:rsidRPr="00991202">
          <w:rPr>
            <w:rStyle w:val="Hyperlink"/>
            <w:rFonts w:ascii="Arial" w:hAnsi="Arial" w:cs="Arial"/>
          </w:rPr>
          <w:t xml:space="preserve"> &amp; Vance, 2006)</w:t>
        </w:r>
      </w:hyperlink>
      <w:r w:rsidRPr="00991202">
        <w:rPr>
          <w:rFonts w:ascii="Arial" w:hAnsi="Arial" w:cs="Arial"/>
        </w:rPr>
        <w:t>.</w:t>
      </w:r>
    </w:p>
    <w:p w14:paraId="124A648B" w14:textId="77777777" w:rsidR="00991202" w:rsidRPr="00991202" w:rsidRDefault="00991202" w:rsidP="00991202">
      <w:pPr>
        <w:pStyle w:val="Body"/>
        <w:rPr>
          <w:rFonts w:ascii="Arial" w:hAnsi="Arial" w:cs="Arial"/>
        </w:rPr>
      </w:pPr>
      <w:r w:rsidRPr="00991202">
        <w:rPr>
          <w:rFonts w:ascii="Arial" w:hAnsi="Arial" w:cs="Arial"/>
        </w:rPr>
        <w:t xml:space="preserve">Among these subtypes, CMT2A, associated primarily with mutations in the </w:t>
      </w:r>
      <w:proofErr w:type="spellStart"/>
      <w:r w:rsidRPr="00991202">
        <w:rPr>
          <w:rFonts w:ascii="Arial" w:hAnsi="Arial" w:cs="Arial"/>
        </w:rPr>
        <w:t>mitofusin</w:t>
      </w:r>
      <w:proofErr w:type="spellEnd"/>
      <w:r w:rsidRPr="00991202">
        <w:rPr>
          <w:rFonts w:ascii="Arial" w:hAnsi="Arial" w:cs="Arial"/>
        </w:rPr>
        <w:t xml:space="preserve"> 2 (MFN2) gene, is the most common and often the most severe. MFN2 plays a critical role in mitochondrial fusion and axonal transport, and its disruption has been linked to early-onset disease, marked distal weakness, and rapid functional decline in some individuals. Other subtypes, such as CMT2B and CMT2F, are associated with mutations in genes like DNM2 and HSPB1, each contributing unique pathophysiological mechanisms and clinical phenotypes</w:t>
      </w:r>
      <w:hyperlink w:anchor="2a7d9a700d143c34bded4d800b154533_ref" w:history="1">
        <w:r w:rsidRPr="00991202">
          <w:rPr>
            <w:rStyle w:val="Hyperlink"/>
            <w:rFonts w:ascii="Arial" w:hAnsi="Arial" w:cs="Arial"/>
          </w:rPr>
          <w:t>(Engelfried et al., 2006; Polke et al., 2011)</w:t>
        </w:r>
      </w:hyperlink>
      <w:r w:rsidRPr="00991202">
        <w:rPr>
          <w:rFonts w:ascii="Arial" w:hAnsi="Arial" w:cs="Arial"/>
        </w:rPr>
        <w:t>.</w:t>
      </w:r>
    </w:p>
    <w:p w14:paraId="4AFFE38A" w14:textId="77777777" w:rsidR="00991202" w:rsidRPr="00991202" w:rsidRDefault="00991202" w:rsidP="00991202">
      <w:pPr>
        <w:pStyle w:val="Body"/>
        <w:rPr>
          <w:rFonts w:ascii="Arial" w:hAnsi="Arial" w:cs="Arial"/>
        </w:rPr>
      </w:pPr>
      <w:r w:rsidRPr="00991202">
        <w:rPr>
          <w:rFonts w:ascii="Arial" w:hAnsi="Arial" w:cs="Arial"/>
        </w:rPr>
        <w:t>The genetic heterogeneity of CMT2 presents significant diagnostic challenges. Identical mutations may produce variable phenotypes within the same family, while different genetic defects may lead to overlapping clinical presentations. Furthermore, emerging evidence suggests that non-Mendelian mechanisms, including oligogenic inheritance and modifier genes, may influence disease expression</w:t>
      </w:r>
      <w:hyperlink w:anchor="9bbca7e3586c34c1b5cade7de53caaf5_ref" w:history="1">
        <w:r w:rsidRPr="00991202">
          <w:rPr>
            <w:rStyle w:val="Hyperlink"/>
            <w:rFonts w:ascii="Arial" w:hAnsi="Arial" w:cs="Arial"/>
          </w:rPr>
          <w:t>(Ando et al., 2017; Saporta et al., 2011)</w:t>
        </w:r>
      </w:hyperlink>
      <w:r w:rsidRPr="00991202">
        <w:rPr>
          <w:rFonts w:ascii="Arial" w:hAnsi="Arial" w:cs="Arial"/>
        </w:rPr>
        <w:t>. Consequently, even with advanced genetic testing, definitive molecular diagnosis is not always achievable, particularly in pediatric cases.</w:t>
      </w:r>
    </w:p>
    <w:p w14:paraId="55C90411" w14:textId="77777777" w:rsidR="00991202" w:rsidRPr="001645F4" w:rsidRDefault="001645F4" w:rsidP="00991202">
      <w:pPr>
        <w:pStyle w:val="Body"/>
        <w:spacing w:after="0"/>
        <w:rPr>
          <w:rFonts w:ascii="Arial" w:hAnsi="Arial" w:cs="Arial"/>
          <w:b/>
          <w:bCs/>
          <w:sz w:val="22"/>
          <w:szCs w:val="22"/>
        </w:rPr>
      </w:pPr>
      <w:bookmarkStart w:id="4" w:name="_Toc256000066"/>
      <w:r w:rsidRPr="001645F4">
        <w:rPr>
          <w:rFonts w:ascii="Arial" w:hAnsi="Arial" w:cs="Arial"/>
          <w:b/>
          <w:bCs/>
          <w:sz w:val="22"/>
          <w:szCs w:val="22"/>
        </w:rPr>
        <w:t xml:space="preserve">1.4 </w:t>
      </w:r>
      <w:r w:rsidR="00991202" w:rsidRPr="001645F4">
        <w:rPr>
          <w:rFonts w:ascii="Arial" w:hAnsi="Arial" w:cs="Arial"/>
          <w:b/>
          <w:bCs/>
          <w:sz w:val="22"/>
          <w:szCs w:val="22"/>
        </w:rPr>
        <w:t>Pathophysiological Mechanisms and Emerging Insights</w:t>
      </w:r>
      <w:bookmarkEnd w:id="4"/>
    </w:p>
    <w:p w14:paraId="1BADDF56" w14:textId="77777777" w:rsidR="00991202" w:rsidRPr="00991202" w:rsidRDefault="00991202" w:rsidP="00991202">
      <w:pPr>
        <w:pStyle w:val="Body"/>
        <w:rPr>
          <w:rFonts w:ascii="Arial" w:hAnsi="Arial" w:cs="Arial"/>
        </w:rPr>
      </w:pPr>
    </w:p>
    <w:p w14:paraId="785DB3F1" w14:textId="77777777" w:rsidR="00991202" w:rsidRPr="00991202" w:rsidRDefault="00991202" w:rsidP="00991202">
      <w:pPr>
        <w:pStyle w:val="Body"/>
        <w:rPr>
          <w:rFonts w:ascii="Arial" w:hAnsi="Arial" w:cs="Arial"/>
        </w:rPr>
      </w:pPr>
      <w:r w:rsidRPr="00991202">
        <w:rPr>
          <w:rFonts w:ascii="Arial" w:hAnsi="Arial" w:cs="Arial"/>
        </w:rPr>
        <w:t xml:space="preserve">At a mechanistic level, CMT2 is increasingly understood as a disorder of axonal maintenance and energy homeostasis. Many of the genes implicated in CMT2 are involved in mitochondrial dynamics, axonal transport, and </w:t>
      </w:r>
      <w:proofErr w:type="spellStart"/>
      <w:r w:rsidRPr="00991202">
        <w:rPr>
          <w:rFonts w:ascii="Arial" w:hAnsi="Arial" w:cs="Arial"/>
        </w:rPr>
        <w:t>proteostasis</w:t>
      </w:r>
      <w:proofErr w:type="spellEnd"/>
      <w:r w:rsidRPr="00991202">
        <w:rPr>
          <w:rFonts w:ascii="Arial" w:hAnsi="Arial" w:cs="Arial"/>
        </w:rPr>
        <w:t>—processes that are essential for the survival of long peripheral nerves</w:t>
      </w:r>
      <w:hyperlink w:anchor="3aaa0692c4a0317cb438d8f0d7c5f4a1_ref" w:history="1">
        <w:r w:rsidRPr="00991202">
          <w:rPr>
            <w:rStyle w:val="Hyperlink"/>
            <w:rFonts w:ascii="Arial" w:hAnsi="Arial" w:cs="Arial"/>
          </w:rPr>
          <w:t>(González-Sánchez et al., 2019; Misko et al., 2012)</w:t>
        </w:r>
      </w:hyperlink>
      <w:r w:rsidRPr="00991202">
        <w:rPr>
          <w:rFonts w:ascii="Arial" w:hAnsi="Arial" w:cs="Arial"/>
        </w:rPr>
        <w:t>. Disruption of these systems leads to impaired delivery of energy and cellular components to distal axons, ultimately resulting in axonal degeneration.</w:t>
      </w:r>
    </w:p>
    <w:p w14:paraId="3DCD0C41" w14:textId="77777777" w:rsidR="00991202" w:rsidRPr="00991202" w:rsidRDefault="00991202" w:rsidP="00991202">
      <w:pPr>
        <w:pStyle w:val="Body"/>
        <w:rPr>
          <w:rFonts w:ascii="Arial" w:hAnsi="Arial" w:cs="Arial"/>
        </w:rPr>
      </w:pPr>
      <w:r w:rsidRPr="00991202">
        <w:rPr>
          <w:rFonts w:ascii="Arial" w:hAnsi="Arial" w:cs="Arial"/>
        </w:rPr>
        <w:t>Mitochondrial dysfunction has emerged as a particularly important contributor, especially in MFN2-related disease. Impaired mitochondrial fusion and trafficking reduce mitochondrial availability at distal synapses, compromising neuromuscular transmission and muscle activation. These cellular changes provide a biological explanation for the early involvement of distal muscles, fatigue, and progressive weakness observed clinically.</w:t>
      </w:r>
    </w:p>
    <w:p w14:paraId="7E5BDC12" w14:textId="77777777" w:rsidR="00991202" w:rsidRPr="00991202" w:rsidRDefault="00991202" w:rsidP="00991202">
      <w:pPr>
        <w:pStyle w:val="Body"/>
        <w:rPr>
          <w:rFonts w:ascii="Arial" w:hAnsi="Arial" w:cs="Arial"/>
        </w:rPr>
      </w:pPr>
      <w:r w:rsidRPr="00991202">
        <w:rPr>
          <w:rFonts w:ascii="Arial" w:hAnsi="Arial" w:cs="Arial"/>
        </w:rPr>
        <w:t>From a rehabilitation perspective, these insights reinforce the notion that strength loss in CMT2 is not merely muscular, but reflects upstream neural degeneration. As such, therapeutic goals must prioritize functional optimization, efficiency, and prevention of secondary complications, rather than restoration of lost neural capacity.</w:t>
      </w:r>
    </w:p>
    <w:p w14:paraId="2516A32A" w14:textId="77777777" w:rsidR="00991202" w:rsidRPr="001645F4" w:rsidRDefault="001645F4" w:rsidP="00991202">
      <w:pPr>
        <w:pStyle w:val="Body"/>
        <w:spacing w:after="0"/>
        <w:rPr>
          <w:rFonts w:ascii="Arial" w:hAnsi="Arial" w:cs="Arial"/>
          <w:b/>
          <w:bCs/>
          <w:sz w:val="22"/>
          <w:szCs w:val="22"/>
        </w:rPr>
      </w:pPr>
      <w:bookmarkStart w:id="5" w:name="_Toc256000067"/>
      <w:r w:rsidRPr="001645F4">
        <w:rPr>
          <w:rFonts w:ascii="Arial" w:hAnsi="Arial" w:cs="Arial"/>
          <w:b/>
          <w:bCs/>
          <w:sz w:val="22"/>
          <w:szCs w:val="22"/>
        </w:rPr>
        <w:t xml:space="preserve">1.5 </w:t>
      </w:r>
      <w:r w:rsidR="00991202" w:rsidRPr="001645F4">
        <w:rPr>
          <w:rFonts w:ascii="Arial" w:hAnsi="Arial" w:cs="Arial"/>
          <w:b/>
          <w:bCs/>
          <w:sz w:val="22"/>
          <w:szCs w:val="22"/>
        </w:rPr>
        <w:t>Diagnostic Approach in Children</w:t>
      </w:r>
      <w:bookmarkEnd w:id="5"/>
    </w:p>
    <w:p w14:paraId="707E4936" w14:textId="77777777" w:rsidR="00991202" w:rsidRPr="00991202" w:rsidRDefault="00991202" w:rsidP="00991202">
      <w:pPr>
        <w:pStyle w:val="Body"/>
        <w:rPr>
          <w:rFonts w:ascii="Arial" w:hAnsi="Arial" w:cs="Arial"/>
        </w:rPr>
      </w:pPr>
    </w:p>
    <w:p w14:paraId="37CB9D58" w14:textId="77777777" w:rsidR="00991202" w:rsidRPr="00991202" w:rsidRDefault="00991202" w:rsidP="00991202">
      <w:pPr>
        <w:pStyle w:val="Body"/>
        <w:rPr>
          <w:rFonts w:ascii="Arial" w:hAnsi="Arial" w:cs="Arial"/>
        </w:rPr>
      </w:pPr>
      <w:r w:rsidRPr="00991202">
        <w:rPr>
          <w:rFonts w:ascii="Arial" w:hAnsi="Arial" w:cs="Arial"/>
        </w:rPr>
        <w:t>The diagnosis of CMT2 relies on an integrated approach combining clinical examination, neurophysiological studies, and genetic testing. Nerve conduction studies remain central to subtype differentiation, with reduced sensory and motor amplitudes and preserved conduction velocities serving as hallmarks of axonal neuropathy. Late responses, such as F-waves and H-reflexes, often reveal more widespread axonal involvement, even when overt weakness is mild</w:t>
      </w:r>
      <w:hyperlink w:anchor="ce99d5525bf63135b38e1cb765d6b3b8_ref" w:history="1">
        <w:r w:rsidRPr="00991202">
          <w:rPr>
            <w:rStyle w:val="Hyperlink"/>
            <w:rFonts w:ascii="Arial" w:hAnsi="Arial" w:cs="Arial"/>
          </w:rPr>
          <w:t>(</w:t>
        </w:r>
        <w:proofErr w:type="spellStart"/>
        <w:r w:rsidRPr="00991202">
          <w:rPr>
            <w:rStyle w:val="Hyperlink"/>
            <w:rFonts w:ascii="Arial" w:hAnsi="Arial" w:cs="Arial"/>
          </w:rPr>
          <w:t>Meggouh</w:t>
        </w:r>
        <w:proofErr w:type="spellEnd"/>
        <w:r w:rsidRPr="00991202">
          <w:rPr>
            <w:rStyle w:val="Hyperlink"/>
            <w:rFonts w:ascii="Arial" w:hAnsi="Arial" w:cs="Arial"/>
          </w:rPr>
          <w:t xml:space="preserve"> et al., 2005)</w:t>
        </w:r>
      </w:hyperlink>
      <w:r w:rsidRPr="00991202">
        <w:rPr>
          <w:rFonts w:ascii="Arial" w:hAnsi="Arial" w:cs="Arial"/>
        </w:rPr>
        <w:t>.</w:t>
      </w:r>
    </w:p>
    <w:p w14:paraId="19601535" w14:textId="77777777" w:rsidR="00991202" w:rsidRPr="00991202" w:rsidRDefault="00991202" w:rsidP="00991202">
      <w:pPr>
        <w:pStyle w:val="Body"/>
        <w:rPr>
          <w:rFonts w:ascii="Arial" w:hAnsi="Arial" w:cs="Arial"/>
        </w:rPr>
      </w:pPr>
      <w:r w:rsidRPr="00991202">
        <w:rPr>
          <w:rFonts w:ascii="Arial" w:hAnsi="Arial" w:cs="Arial"/>
        </w:rPr>
        <w:t>However, electrophysiological findings alone provide limited insight into the child’s functional status. Standardized assessments of balance, gait, gross motor performance, and participation are essential to capture the real-world impact of the disorder. Equally important is the assessment of caregiver burden, as chronic pediatric neuromuscular conditions exert substantial emotional, physical, and logistical demands on families.</w:t>
      </w:r>
    </w:p>
    <w:p w14:paraId="161A5CBC" w14:textId="77777777" w:rsidR="00991202" w:rsidRPr="001645F4" w:rsidRDefault="001645F4" w:rsidP="00991202">
      <w:pPr>
        <w:pStyle w:val="Body"/>
        <w:spacing w:after="0"/>
        <w:rPr>
          <w:rFonts w:ascii="Arial" w:hAnsi="Arial" w:cs="Arial"/>
          <w:b/>
          <w:bCs/>
          <w:sz w:val="22"/>
          <w:szCs w:val="22"/>
        </w:rPr>
      </w:pPr>
      <w:bookmarkStart w:id="6" w:name="_Toc256000068"/>
      <w:r w:rsidRPr="001645F4">
        <w:rPr>
          <w:rFonts w:ascii="Arial" w:hAnsi="Arial" w:cs="Arial"/>
          <w:b/>
          <w:bCs/>
          <w:sz w:val="22"/>
          <w:szCs w:val="22"/>
        </w:rPr>
        <w:t xml:space="preserve">1.6 </w:t>
      </w:r>
      <w:r w:rsidR="00991202" w:rsidRPr="001645F4">
        <w:rPr>
          <w:rFonts w:ascii="Arial" w:hAnsi="Arial" w:cs="Arial"/>
          <w:b/>
          <w:bCs/>
          <w:sz w:val="22"/>
          <w:szCs w:val="22"/>
        </w:rPr>
        <w:t>Rehabilitation and the Shift Toward Prevention</w:t>
      </w:r>
      <w:bookmarkEnd w:id="6"/>
    </w:p>
    <w:p w14:paraId="0C6460E8" w14:textId="77777777" w:rsidR="00991202" w:rsidRPr="00991202" w:rsidRDefault="00991202" w:rsidP="00991202">
      <w:pPr>
        <w:pStyle w:val="Body"/>
        <w:rPr>
          <w:rFonts w:ascii="Arial" w:hAnsi="Arial" w:cs="Arial"/>
        </w:rPr>
      </w:pPr>
    </w:p>
    <w:p w14:paraId="01E65823" w14:textId="77777777" w:rsidR="00991202" w:rsidRPr="00991202" w:rsidRDefault="00991202" w:rsidP="00991202">
      <w:pPr>
        <w:pStyle w:val="Body"/>
        <w:rPr>
          <w:rFonts w:ascii="Arial" w:hAnsi="Arial" w:cs="Arial"/>
        </w:rPr>
      </w:pPr>
      <w:r w:rsidRPr="00991202">
        <w:rPr>
          <w:rFonts w:ascii="Arial" w:hAnsi="Arial" w:cs="Arial"/>
        </w:rPr>
        <w:t>In the absence of curative or disease-modifying therapies, rehabilitation remains the cornerstone of management for CMT2. Historically, physiotherapy in CMT was conservative, shaped by concerns regarding overwork weakness and accelerated muscle degeneration. Contemporary evidence, however, increasingly supports the safety and efficacy of appropriately dosed, task-oriented exercise, including strength training, balance interventions, and aerobic activity</w:t>
      </w:r>
      <w:hyperlink w:anchor="48e2ca96082233719abd2b2d89c4dc8d_ref" w:history="1">
        <w:r w:rsidRPr="00991202">
          <w:rPr>
            <w:rStyle w:val="Hyperlink"/>
            <w:rFonts w:ascii="Arial" w:hAnsi="Arial" w:cs="Arial"/>
          </w:rPr>
          <w:t>(Corrado et al., 2016; Kenis-Coskun &amp; Matthews, 2016)</w:t>
        </w:r>
      </w:hyperlink>
      <w:r w:rsidRPr="00991202">
        <w:rPr>
          <w:rFonts w:ascii="Arial" w:hAnsi="Arial" w:cs="Arial"/>
        </w:rPr>
        <w:t>.</w:t>
      </w:r>
    </w:p>
    <w:p w14:paraId="7CCFDE80" w14:textId="77777777" w:rsidR="00991202" w:rsidRPr="00991202" w:rsidRDefault="00991202" w:rsidP="00991202">
      <w:pPr>
        <w:pStyle w:val="Body"/>
        <w:rPr>
          <w:rFonts w:ascii="Arial" w:hAnsi="Arial" w:cs="Arial"/>
        </w:rPr>
      </w:pPr>
      <w:r w:rsidRPr="00991202">
        <w:rPr>
          <w:rFonts w:ascii="Arial" w:hAnsi="Arial" w:cs="Arial"/>
        </w:rPr>
        <w:t xml:space="preserve">Early intervention is particularly critical in pediatric populations, where neural plasticity, musculoskeletal adaptability, and motor learning capacity offer a window of opportunity to mitigate functional decline. Preventive strategies aimed at maintaining joint mobility, optimizing alignment, improving balance, and educating caregivers may delay or reduce the </w:t>
      </w:r>
      <w:r w:rsidRPr="00991202">
        <w:rPr>
          <w:rFonts w:ascii="Arial" w:hAnsi="Arial" w:cs="Arial"/>
        </w:rPr>
        <w:lastRenderedPageBreak/>
        <w:t>severity of secondary complications such as contractures, deformities, and activity limitation</w:t>
      </w:r>
      <w:hyperlink w:anchor="27d6e75ff90d3a6db90ace70d3a2fa6a_ref" w:history="1">
        <w:r w:rsidRPr="00991202">
          <w:rPr>
            <w:rStyle w:val="Hyperlink"/>
            <w:rFonts w:ascii="Arial" w:hAnsi="Arial" w:cs="Arial"/>
          </w:rPr>
          <w:t>(Kenis-Coskun &amp; Matthews, 2016; Sman et al., 2015)</w:t>
        </w:r>
      </w:hyperlink>
      <w:r w:rsidRPr="00991202">
        <w:rPr>
          <w:rFonts w:ascii="Arial" w:hAnsi="Arial" w:cs="Arial"/>
        </w:rPr>
        <w:t>.</w:t>
      </w:r>
    </w:p>
    <w:p w14:paraId="4D97BFA6" w14:textId="77777777" w:rsidR="00991202" w:rsidRPr="00991202" w:rsidRDefault="00991202" w:rsidP="00991202">
      <w:pPr>
        <w:pStyle w:val="Body"/>
        <w:rPr>
          <w:rFonts w:ascii="Arial" w:hAnsi="Arial" w:cs="Arial"/>
        </w:rPr>
      </w:pPr>
    </w:p>
    <w:p w14:paraId="51A02A7B" w14:textId="77777777" w:rsidR="00991202" w:rsidRPr="00991202" w:rsidRDefault="00991202" w:rsidP="00991202">
      <w:pPr>
        <w:pStyle w:val="Body"/>
        <w:rPr>
          <w:rFonts w:ascii="Arial" w:hAnsi="Arial" w:cs="Arial"/>
        </w:rPr>
      </w:pPr>
      <w:r w:rsidRPr="00991202">
        <w:rPr>
          <w:rFonts w:ascii="Arial" w:hAnsi="Arial" w:cs="Arial"/>
        </w:rPr>
        <w:t>Despite this growing body of evidence, pediatric-specific rehabilitation literature in CMT2 remains sparse, with few detailed reports linking electrophysiological findings to functional outcomes and intervention planning.</w:t>
      </w:r>
    </w:p>
    <w:p w14:paraId="088A8F19" w14:textId="77777777" w:rsidR="00991202" w:rsidRPr="001645F4" w:rsidRDefault="001645F4" w:rsidP="00991202">
      <w:pPr>
        <w:pStyle w:val="Body"/>
        <w:spacing w:after="0"/>
        <w:rPr>
          <w:rFonts w:ascii="Arial" w:hAnsi="Arial" w:cs="Arial"/>
          <w:b/>
          <w:bCs/>
          <w:sz w:val="22"/>
          <w:szCs w:val="22"/>
        </w:rPr>
      </w:pPr>
      <w:bookmarkStart w:id="7" w:name="_Toc256000069"/>
      <w:r w:rsidRPr="001645F4">
        <w:rPr>
          <w:rFonts w:ascii="Arial" w:hAnsi="Arial" w:cs="Arial"/>
          <w:b/>
          <w:bCs/>
          <w:sz w:val="22"/>
          <w:szCs w:val="22"/>
        </w:rPr>
        <w:t xml:space="preserve">1.7 </w:t>
      </w:r>
      <w:r w:rsidR="00991202" w:rsidRPr="001645F4">
        <w:rPr>
          <w:rFonts w:ascii="Arial" w:hAnsi="Arial" w:cs="Arial"/>
          <w:b/>
          <w:bCs/>
          <w:sz w:val="22"/>
          <w:szCs w:val="22"/>
        </w:rPr>
        <w:t>Rationale and Objectives of the Present Report</w:t>
      </w:r>
      <w:bookmarkEnd w:id="7"/>
    </w:p>
    <w:p w14:paraId="46A06076" w14:textId="77777777" w:rsidR="00991202" w:rsidRPr="00991202" w:rsidRDefault="00991202" w:rsidP="00991202">
      <w:pPr>
        <w:pStyle w:val="Body"/>
        <w:rPr>
          <w:rFonts w:ascii="Arial" w:hAnsi="Arial" w:cs="Arial"/>
        </w:rPr>
      </w:pPr>
    </w:p>
    <w:p w14:paraId="11A1796B" w14:textId="77777777" w:rsidR="00991202" w:rsidRPr="00991202" w:rsidRDefault="00991202" w:rsidP="00991202">
      <w:pPr>
        <w:pStyle w:val="Body"/>
        <w:rPr>
          <w:rFonts w:ascii="Arial" w:hAnsi="Arial" w:cs="Arial"/>
        </w:rPr>
      </w:pPr>
      <w:r w:rsidRPr="00991202">
        <w:rPr>
          <w:rFonts w:ascii="Arial" w:hAnsi="Arial" w:cs="Arial"/>
        </w:rPr>
        <w:t>Within this context, case-based narrative reviews serve an important role by integrating current evidence with detailed clinical reasoning. The present manuscript aims to contribute to this gap by presenting a young child with electrophysiological features consistent with CMT2 and synthesizing contemporary literature on classification, genetics, pathophysiology, assessment, and rehabilitation.</w:t>
      </w:r>
    </w:p>
    <w:p w14:paraId="7ABBBC95" w14:textId="77777777" w:rsidR="00790ADA" w:rsidRPr="00FB3A86" w:rsidRDefault="00991202" w:rsidP="00991202">
      <w:pPr>
        <w:pStyle w:val="Body"/>
        <w:rPr>
          <w:rFonts w:ascii="Arial" w:hAnsi="Arial" w:cs="Arial"/>
        </w:rPr>
      </w:pPr>
      <w:r w:rsidRPr="00991202">
        <w:rPr>
          <w:rFonts w:ascii="Arial" w:hAnsi="Arial" w:cs="Arial"/>
        </w:rPr>
        <w:t>By anchoring a targeted narrative review to a comprehensive clinical case, this report seeks to illustrate how early, multidimensional assessment and preventive physiotherapy can be applied in pediatric axonal neuropathies, offering practical insights for clinicians managing similar presentations.</w:t>
      </w:r>
    </w:p>
    <w:p w14:paraId="0F3EA19C" w14:textId="77777777"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70CA8C59" w14:textId="77777777" w:rsidR="00790ADA" w:rsidRPr="00FB3A86" w:rsidRDefault="00790ADA" w:rsidP="00441B6F">
      <w:pPr>
        <w:pStyle w:val="AbstHead"/>
        <w:spacing w:after="0"/>
        <w:jc w:val="both"/>
        <w:rPr>
          <w:rFonts w:ascii="Arial" w:hAnsi="Arial" w:cs="Arial"/>
        </w:rPr>
      </w:pPr>
    </w:p>
    <w:p w14:paraId="257738C1" w14:textId="77777777" w:rsidR="00991202" w:rsidRPr="001645F4" w:rsidRDefault="001645F4" w:rsidP="00991202">
      <w:pPr>
        <w:pStyle w:val="Body"/>
        <w:spacing w:after="0"/>
        <w:rPr>
          <w:rFonts w:ascii="Arial" w:hAnsi="Arial" w:cs="Arial"/>
          <w:b/>
          <w:bCs/>
          <w:sz w:val="22"/>
          <w:szCs w:val="22"/>
        </w:rPr>
      </w:pPr>
      <w:bookmarkStart w:id="8" w:name="_Toc256000071"/>
      <w:r w:rsidRPr="001645F4">
        <w:rPr>
          <w:rFonts w:ascii="Arial" w:hAnsi="Arial" w:cs="Arial"/>
          <w:b/>
          <w:bCs/>
          <w:sz w:val="22"/>
          <w:szCs w:val="22"/>
        </w:rPr>
        <w:t xml:space="preserve">2.1 </w:t>
      </w:r>
      <w:r w:rsidR="00991202" w:rsidRPr="001645F4">
        <w:rPr>
          <w:rFonts w:ascii="Arial" w:hAnsi="Arial" w:cs="Arial"/>
          <w:b/>
          <w:bCs/>
          <w:sz w:val="22"/>
          <w:szCs w:val="22"/>
        </w:rPr>
        <w:t>Study Design</w:t>
      </w:r>
      <w:bookmarkEnd w:id="8"/>
    </w:p>
    <w:p w14:paraId="69C918DB" w14:textId="77777777" w:rsidR="00991202" w:rsidRPr="00991202" w:rsidRDefault="00991202" w:rsidP="00991202">
      <w:pPr>
        <w:pStyle w:val="Body"/>
        <w:rPr>
          <w:rFonts w:ascii="Arial" w:hAnsi="Arial" w:cs="Arial"/>
        </w:rPr>
      </w:pPr>
    </w:p>
    <w:p w14:paraId="62CB741B" w14:textId="77777777" w:rsidR="00991202" w:rsidRPr="00991202" w:rsidRDefault="00991202" w:rsidP="00991202">
      <w:pPr>
        <w:pStyle w:val="Body"/>
        <w:rPr>
          <w:rFonts w:ascii="Arial" w:hAnsi="Arial" w:cs="Arial"/>
        </w:rPr>
      </w:pPr>
      <w:r w:rsidRPr="00991202">
        <w:rPr>
          <w:rFonts w:ascii="Arial" w:hAnsi="Arial" w:cs="Arial"/>
        </w:rPr>
        <w:t>This manuscript is a single-case clinical report with an integrated case-based narrative review, prepared in accordance with the CARE (</w:t>
      </w:r>
      <w:proofErr w:type="spellStart"/>
      <w:r w:rsidRPr="00991202">
        <w:rPr>
          <w:rFonts w:ascii="Arial" w:hAnsi="Arial" w:cs="Arial"/>
        </w:rPr>
        <w:t>CAse</w:t>
      </w:r>
      <w:proofErr w:type="spellEnd"/>
      <w:r w:rsidRPr="00991202">
        <w:rPr>
          <w:rFonts w:ascii="Arial" w:hAnsi="Arial" w:cs="Arial"/>
        </w:rPr>
        <w:t xml:space="preserve"> </w:t>
      </w:r>
      <w:proofErr w:type="spellStart"/>
      <w:r w:rsidRPr="00991202">
        <w:rPr>
          <w:rFonts w:ascii="Arial" w:hAnsi="Arial" w:cs="Arial"/>
        </w:rPr>
        <w:t>REport</w:t>
      </w:r>
      <w:proofErr w:type="spellEnd"/>
      <w:r w:rsidRPr="00991202">
        <w:rPr>
          <w:rFonts w:ascii="Arial" w:hAnsi="Arial" w:cs="Arial"/>
        </w:rPr>
        <w:t>) guidelines.</w:t>
      </w:r>
    </w:p>
    <w:p w14:paraId="323214E3" w14:textId="2C1061AB" w:rsidR="00991202" w:rsidRPr="00991202" w:rsidRDefault="00991202" w:rsidP="00991202">
      <w:pPr>
        <w:pStyle w:val="Body"/>
        <w:rPr>
          <w:rFonts w:ascii="Arial" w:hAnsi="Arial" w:cs="Arial"/>
        </w:rPr>
      </w:pPr>
      <w:r w:rsidRPr="00991202">
        <w:rPr>
          <w:rFonts w:ascii="Arial" w:hAnsi="Arial" w:cs="Arial"/>
        </w:rPr>
        <w:t>The case report component documents the child’s clinical presentation, electrophysiological findings, functional assessment, and physiotherapy management. In parallel, a targeted narrative review of recent literature (201</w:t>
      </w:r>
      <w:r w:rsidR="001A1C10">
        <w:rPr>
          <w:rFonts w:ascii="Arial" w:hAnsi="Arial" w:cs="Arial"/>
        </w:rPr>
        <w:t>5</w:t>
      </w:r>
      <w:r w:rsidRPr="00991202">
        <w:rPr>
          <w:rFonts w:ascii="Arial" w:hAnsi="Arial" w:cs="Arial"/>
        </w:rPr>
        <w:t>–2025) was incorporated to contextualize assessment selection, clinical reasoning, and intervention strategies relevant to pediatric Charcot–Marie–Tooth disease type II.</w:t>
      </w:r>
    </w:p>
    <w:p w14:paraId="46582394" w14:textId="77777777" w:rsidR="00991202" w:rsidRPr="00991202" w:rsidRDefault="00991202" w:rsidP="00991202">
      <w:pPr>
        <w:pStyle w:val="Body"/>
        <w:rPr>
          <w:rFonts w:ascii="Arial" w:hAnsi="Arial" w:cs="Arial"/>
        </w:rPr>
      </w:pPr>
      <w:r w:rsidRPr="00991202">
        <w:rPr>
          <w:rFonts w:ascii="Arial" w:hAnsi="Arial" w:cs="Arial"/>
        </w:rPr>
        <w:t>The narrative review was non-systematic and focused on high-impact pediatric neurology and rehabilitation literature addressing:</w:t>
      </w:r>
    </w:p>
    <w:p w14:paraId="3E59B9CF" w14:textId="77777777" w:rsidR="00991202" w:rsidRPr="00991202" w:rsidRDefault="00991202" w:rsidP="00991202">
      <w:pPr>
        <w:pStyle w:val="Body"/>
        <w:numPr>
          <w:ilvl w:val="0"/>
          <w:numId w:val="31"/>
        </w:numPr>
        <w:rPr>
          <w:rFonts w:ascii="Arial" w:hAnsi="Arial" w:cs="Arial"/>
        </w:rPr>
      </w:pPr>
      <w:r w:rsidRPr="00991202">
        <w:rPr>
          <w:rFonts w:ascii="Arial" w:hAnsi="Arial" w:cs="Arial"/>
        </w:rPr>
        <w:t>Axonal forms of Charcot–Marie–Tooth disease</w:t>
      </w:r>
    </w:p>
    <w:p w14:paraId="133A1A43" w14:textId="77777777" w:rsidR="00991202" w:rsidRPr="00991202" w:rsidRDefault="00991202" w:rsidP="00991202">
      <w:pPr>
        <w:pStyle w:val="Body"/>
        <w:numPr>
          <w:ilvl w:val="0"/>
          <w:numId w:val="31"/>
        </w:numPr>
        <w:rPr>
          <w:rFonts w:ascii="Arial" w:hAnsi="Arial" w:cs="Arial"/>
        </w:rPr>
      </w:pPr>
      <w:r w:rsidRPr="00991202">
        <w:rPr>
          <w:rFonts w:ascii="Arial" w:hAnsi="Arial" w:cs="Arial"/>
        </w:rPr>
        <w:t>Functional assessment in pediatric hereditary neuropathies</w:t>
      </w:r>
    </w:p>
    <w:p w14:paraId="370E2A92" w14:textId="77777777" w:rsidR="00991202" w:rsidRPr="00993384" w:rsidRDefault="00991202" w:rsidP="00991202">
      <w:pPr>
        <w:pStyle w:val="Body"/>
        <w:numPr>
          <w:ilvl w:val="0"/>
          <w:numId w:val="31"/>
        </w:numPr>
        <w:rPr>
          <w:rFonts w:ascii="Arial" w:hAnsi="Arial" w:cs="Arial"/>
        </w:rPr>
      </w:pPr>
      <w:r w:rsidRPr="00991202">
        <w:rPr>
          <w:rFonts w:ascii="Arial" w:hAnsi="Arial" w:cs="Arial"/>
        </w:rPr>
        <w:t>Evidence-informed physiotherapy and preventive management strategies</w:t>
      </w:r>
    </w:p>
    <w:p w14:paraId="3583FFA7" w14:textId="77777777" w:rsidR="00991202" w:rsidRPr="00991202" w:rsidRDefault="00991202" w:rsidP="00991202">
      <w:pPr>
        <w:pStyle w:val="Body"/>
        <w:rPr>
          <w:rFonts w:ascii="Arial" w:hAnsi="Arial" w:cs="Arial"/>
        </w:rPr>
      </w:pPr>
      <w:r w:rsidRPr="00991202">
        <w:rPr>
          <w:rFonts w:ascii="Arial" w:hAnsi="Arial" w:cs="Arial"/>
        </w:rPr>
        <w:t>This combined design was chosen to enhance clinical interpretability, strengthen external validity, and provide practical insights for pediatric physiotherapists managing similar presentations.</w:t>
      </w:r>
    </w:p>
    <w:p w14:paraId="4D34847D" w14:textId="6FAC3BCE" w:rsidR="00991202" w:rsidRDefault="001645F4" w:rsidP="001A1C10">
      <w:pPr>
        <w:pStyle w:val="Body"/>
        <w:spacing w:after="0"/>
        <w:rPr>
          <w:rFonts w:ascii="Arial" w:hAnsi="Arial" w:cs="Arial"/>
          <w:b/>
          <w:bCs/>
          <w:sz w:val="22"/>
          <w:szCs w:val="22"/>
        </w:rPr>
      </w:pPr>
      <w:bookmarkStart w:id="9" w:name="_Toc256000072"/>
      <w:r w:rsidRPr="001645F4">
        <w:rPr>
          <w:rFonts w:ascii="Arial" w:hAnsi="Arial" w:cs="Arial"/>
          <w:b/>
          <w:bCs/>
          <w:sz w:val="22"/>
          <w:szCs w:val="22"/>
        </w:rPr>
        <w:t xml:space="preserve">2.2 </w:t>
      </w:r>
      <w:r w:rsidR="00991202" w:rsidRPr="001645F4">
        <w:rPr>
          <w:rFonts w:ascii="Arial" w:hAnsi="Arial" w:cs="Arial"/>
          <w:b/>
          <w:bCs/>
          <w:sz w:val="22"/>
          <w:szCs w:val="22"/>
        </w:rPr>
        <w:t>Clinical Setting and Ethical Considerations</w:t>
      </w:r>
      <w:bookmarkEnd w:id="9"/>
    </w:p>
    <w:p w14:paraId="3D7F481F" w14:textId="77777777" w:rsidR="001A1C10" w:rsidRPr="001A1C10" w:rsidRDefault="001A1C10" w:rsidP="001A1C10">
      <w:pPr>
        <w:pStyle w:val="Body"/>
        <w:spacing w:after="0"/>
        <w:rPr>
          <w:rFonts w:ascii="Arial" w:hAnsi="Arial" w:cs="Arial"/>
          <w:b/>
          <w:bCs/>
          <w:sz w:val="22"/>
          <w:szCs w:val="22"/>
        </w:rPr>
      </w:pPr>
    </w:p>
    <w:p w14:paraId="60909436" w14:textId="2ABE6FE0" w:rsidR="001A1C10" w:rsidRPr="001A1C10" w:rsidRDefault="001A1C10" w:rsidP="001A1C10">
      <w:pPr>
        <w:pStyle w:val="Body"/>
        <w:rPr>
          <w:rFonts w:ascii="Arial" w:hAnsi="Arial" w:cs="Arial"/>
        </w:rPr>
      </w:pPr>
      <w:bookmarkStart w:id="10" w:name="_Toc256000073"/>
      <w:r>
        <w:rPr>
          <w:rFonts w:ascii="Arial" w:hAnsi="Arial" w:cs="Arial"/>
        </w:rPr>
        <w:t>T</w:t>
      </w:r>
      <w:r w:rsidRPr="001A1C10">
        <w:rPr>
          <w:rFonts w:ascii="Arial" w:hAnsi="Arial" w:cs="Arial"/>
        </w:rPr>
        <w:t>he child, a 3-year-9-month-old female, was evaluated and managed in a pediatric neurorehabilitation outpatient setting at Shree B. G. Patel College of Physiotherapy, Anand, Gujarat, India. Assessment and intervention were conducted as part of routine clinical care for children presenting with motor and balance impairments.</w:t>
      </w:r>
    </w:p>
    <w:p w14:paraId="5263EE2B" w14:textId="77777777" w:rsidR="001A1C10" w:rsidRDefault="001A1C10" w:rsidP="001A1C10">
      <w:pPr>
        <w:pStyle w:val="Body"/>
        <w:spacing w:after="0"/>
        <w:rPr>
          <w:rFonts w:ascii="Arial" w:hAnsi="Arial" w:cs="Arial"/>
        </w:rPr>
      </w:pPr>
      <w:r w:rsidRPr="001A1C10">
        <w:rPr>
          <w:rFonts w:ascii="Arial" w:hAnsi="Arial" w:cs="Arial"/>
        </w:rPr>
        <w:t>Written informed consent was obtained from the primary caregiver prior to comprehensive assessment, intervention, and clinical documentation. All procedures adhered to established ethical standards for clinical practice and reporting. Patient confidentiality was strictly maintained, and all identifiable personal information was anonymized to ensure privacy and compliance with ethical guidelines.</w:t>
      </w:r>
    </w:p>
    <w:p w14:paraId="570A0210" w14:textId="77777777" w:rsidR="001A1C10" w:rsidRDefault="001A1C10" w:rsidP="001A1C10">
      <w:pPr>
        <w:pStyle w:val="Body"/>
        <w:spacing w:after="0"/>
        <w:rPr>
          <w:rFonts w:ascii="Arial" w:hAnsi="Arial" w:cs="Arial"/>
          <w:b/>
          <w:bCs/>
          <w:sz w:val="22"/>
          <w:szCs w:val="22"/>
        </w:rPr>
      </w:pPr>
    </w:p>
    <w:p w14:paraId="05B36A0C" w14:textId="5EB4BED6" w:rsidR="00991202" w:rsidRPr="00991202" w:rsidRDefault="001645F4" w:rsidP="001A1C10">
      <w:pPr>
        <w:pStyle w:val="Body"/>
        <w:spacing w:after="0"/>
        <w:rPr>
          <w:rFonts w:ascii="Arial" w:hAnsi="Arial" w:cs="Arial"/>
          <w:b/>
          <w:bCs/>
        </w:rPr>
      </w:pPr>
      <w:r w:rsidRPr="001645F4">
        <w:rPr>
          <w:rFonts w:ascii="Arial" w:hAnsi="Arial" w:cs="Arial"/>
          <w:b/>
          <w:bCs/>
          <w:sz w:val="22"/>
          <w:szCs w:val="22"/>
        </w:rPr>
        <w:t xml:space="preserve">2.3 </w:t>
      </w:r>
      <w:r w:rsidR="00991202" w:rsidRPr="001645F4">
        <w:rPr>
          <w:rFonts w:ascii="Arial" w:hAnsi="Arial" w:cs="Arial"/>
          <w:b/>
          <w:bCs/>
          <w:sz w:val="22"/>
          <w:szCs w:val="22"/>
        </w:rPr>
        <w:t>Assessment Framework</w:t>
      </w:r>
      <w:bookmarkEnd w:id="10"/>
    </w:p>
    <w:p w14:paraId="4EF7F8D8" w14:textId="77777777" w:rsidR="00991202" w:rsidRPr="00991202" w:rsidRDefault="00991202" w:rsidP="00991202">
      <w:pPr>
        <w:pStyle w:val="Body"/>
        <w:rPr>
          <w:rFonts w:ascii="Arial" w:hAnsi="Arial" w:cs="Arial"/>
        </w:rPr>
      </w:pPr>
    </w:p>
    <w:p w14:paraId="1A124FF0" w14:textId="77777777" w:rsidR="00991202" w:rsidRPr="00991202" w:rsidRDefault="00991202" w:rsidP="00991202">
      <w:pPr>
        <w:pStyle w:val="Body"/>
        <w:rPr>
          <w:rFonts w:ascii="Arial" w:hAnsi="Arial" w:cs="Arial"/>
        </w:rPr>
      </w:pPr>
      <w:r w:rsidRPr="00991202">
        <w:rPr>
          <w:rFonts w:ascii="Arial" w:hAnsi="Arial" w:cs="Arial"/>
        </w:rPr>
        <w:lastRenderedPageBreak/>
        <w:t>A multidimensional assessment protocol was employed to capture impairments across body structure and function, activity, and participation, consistent with the International Classification of Functioning, Disability and Health (ICF) framework.</w:t>
      </w:r>
    </w:p>
    <w:p w14:paraId="4B915904" w14:textId="77777777" w:rsidR="00991202" w:rsidRPr="00991202" w:rsidRDefault="00991202" w:rsidP="00991202">
      <w:pPr>
        <w:pStyle w:val="Body"/>
        <w:rPr>
          <w:rFonts w:ascii="Arial" w:hAnsi="Arial" w:cs="Arial"/>
        </w:rPr>
      </w:pPr>
      <w:r w:rsidRPr="00991202">
        <w:rPr>
          <w:rFonts w:ascii="Arial" w:hAnsi="Arial" w:cs="Arial"/>
        </w:rPr>
        <w:t>Assessments were selected based on:</w:t>
      </w:r>
    </w:p>
    <w:p w14:paraId="2210DC73" w14:textId="77777777" w:rsidR="00991202" w:rsidRPr="00991202" w:rsidRDefault="00991202" w:rsidP="00991202">
      <w:pPr>
        <w:pStyle w:val="Body"/>
        <w:numPr>
          <w:ilvl w:val="0"/>
          <w:numId w:val="32"/>
        </w:numPr>
        <w:rPr>
          <w:rFonts w:ascii="Arial" w:hAnsi="Arial" w:cs="Arial"/>
        </w:rPr>
      </w:pPr>
      <w:r w:rsidRPr="00991202">
        <w:rPr>
          <w:rFonts w:ascii="Arial" w:hAnsi="Arial" w:cs="Arial"/>
        </w:rPr>
        <w:t>Sensitivity to pediatric neuromuscular disorders</w:t>
      </w:r>
    </w:p>
    <w:p w14:paraId="7BE5F420" w14:textId="77777777" w:rsidR="00991202" w:rsidRPr="00991202" w:rsidRDefault="00991202" w:rsidP="00991202">
      <w:pPr>
        <w:pStyle w:val="Body"/>
        <w:numPr>
          <w:ilvl w:val="0"/>
          <w:numId w:val="32"/>
        </w:numPr>
        <w:rPr>
          <w:rFonts w:ascii="Arial" w:hAnsi="Arial" w:cs="Arial"/>
        </w:rPr>
      </w:pPr>
      <w:r w:rsidRPr="00991202">
        <w:rPr>
          <w:rFonts w:ascii="Arial" w:hAnsi="Arial" w:cs="Arial"/>
        </w:rPr>
        <w:t>Established clinical utility in children with hereditary neuropathies</w:t>
      </w:r>
    </w:p>
    <w:p w14:paraId="3FD37359" w14:textId="77777777" w:rsidR="00991202" w:rsidRPr="00993384" w:rsidRDefault="00991202" w:rsidP="00991202">
      <w:pPr>
        <w:pStyle w:val="Body"/>
        <w:numPr>
          <w:ilvl w:val="0"/>
          <w:numId w:val="32"/>
        </w:numPr>
        <w:rPr>
          <w:rFonts w:ascii="Arial" w:hAnsi="Arial" w:cs="Arial"/>
        </w:rPr>
      </w:pPr>
      <w:r w:rsidRPr="00991202">
        <w:rPr>
          <w:rFonts w:ascii="Arial" w:hAnsi="Arial" w:cs="Arial"/>
        </w:rPr>
        <w:t>Ability to guide goal setting and intervention planning</w:t>
      </w:r>
    </w:p>
    <w:p w14:paraId="2DFD03C3" w14:textId="77777777" w:rsidR="00991202" w:rsidRPr="00991202" w:rsidRDefault="00991202" w:rsidP="00991202">
      <w:pPr>
        <w:pStyle w:val="Body"/>
        <w:rPr>
          <w:rFonts w:ascii="Arial" w:hAnsi="Arial" w:cs="Arial"/>
        </w:rPr>
      </w:pPr>
      <w:r w:rsidRPr="00991202">
        <w:rPr>
          <w:rFonts w:ascii="Arial" w:hAnsi="Arial" w:cs="Arial"/>
        </w:rPr>
        <w:t>The assessment battery included:</w:t>
      </w:r>
    </w:p>
    <w:p w14:paraId="5E860EEE" w14:textId="77777777" w:rsidR="00991202" w:rsidRPr="00991202" w:rsidRDefault="00991202" w:rsidP="00991202">
      <w:pPr>
        <w:pStyle w:val="Body"/>
        <w:numPr>
          <w:ilvl w:val="0"/>
          <w:numId w:val="33"/>
        </w:numPr>
        <w:rPr>
          <w:rFonts w:ascii="Arial" w:hAnsi="Arial" w:cs="Arial"/>
        </w:rPr>
      </w:pPr>
      <w:r w:rsidRPr="00991202">
        <w:rPr>
          <w:rFonts w:ascii="Arial" w:hAnsi="Arial" w:cs="Arial"/>
        </w:rPr>
        <w:t>Neurophysiological evaluation (nerve conduction studies)</w:t>
      </w:r>
    </w:p>
    <w:p w14:paraId="57F7980D" w14:textId="77777777" w:rsidR="00991202" w:rsidRPr="00991202" w:rsidRDefault="00991202" w:rsidP="00991202">
      <w:pPr>
        <w:pStyle w:val="Body"/>
        <w:numPr>
          <w:ilvl w:val="0"/>
          <w:numId w:val="33"/>
        </w:numPr>
        <w:rPr>
          <w:rFonts w:ascii="Arial" w:hAnsi="Arial" w:cs="Arial"/>
        </w:rPr>
      </w:pPr>
      <w:r w:rsidRPr="00991202">
        <w:rPr>
          <w:rFonts w:ascii="Arial" w:hAnsi="Arial" w:cs="Arial"/>
        </w:rPr>
        <w:t>Developmental and functional assessments</w:t>
      </w:r>
    </w:p>
    <w:p w14:paraId="50911186" w14:textId="77777777" w:rsidR="00991202" w:rsidRPr="00991202" w:rsidRDefault="00991202" w:rsidP="00991202">
      <w:pPr>
        <w:pStyle w:val="Body"/>
        <w:numPr>
          <w:ilvl w:val="0"/>
          <w:numId w:val="33"/>
        </w:numPr>
        <w:rPr>
          <w:rFonts w:ascii="Arial" w:hAnsi="Arial" w:cs="Arial"/>
        </w:rPr>
      </w:pPr>
      <w:r w:rsidRPr="00991202">
        <w:rPr>
          <w:rFonts w:ascii="Arial" w:hAnsi="Arial" w:cs="Arial"/>
        </w:rPr>
        <w:t>Balance, gait, and gross motor performance measures</w:t>
      </w:r>
    </w:p>
    <w:p w14:paraId="685A239C" w14:textId="77777777" w:rsidR="00991202" w:rsidRPr="00991202" w:rsidRDefault="00991202" w:rsidP="00991202">
      <w:pPr>
        <w:pStyle w:val="Body"/>
        <w:numPr>
          <w:ilvl w:val="0"/>
          <w:numId w:val="33"/>
        </w:numPr>
        <w:rPr>
          <w:rFonts w:ascii="Arial" w:hAnsi="Arial" w:cs="Arial"/>
        </w:rPr>
      </w:pPr>
      <w:r w:rsidRPr="00991202">
        <w:rPr>
          <w:rFonts w:ascii="Arial" w:hAnsi="Arial" w:cs="Arial"/>
        </w:rPr>
        <w:t>Caregiver-reported outcomes</w:t>
      </w:r>
    </w:p>
    <w:p w14:paraId="65150105" w14:textId="77777777" w:rsidR="00991202" w:rsidRPr="00993384" w:rsidRDefault="00991202" w:rsidP="00991202">
      <w:pPr>
        <w:pStyle w:val="Body"/>
        <w:numPr>
          <w:ilvl w:val="0"/>
          <w:numId w:val="33"/>
        </w:numPr>
        <w:rPr>
          <w:rFonts w:ascii="Arial" w:hAnsi="Arial" w:cs="Arial"/>
        </w:rPr>
      </w:pPr>
      <w:r w:rsidRPr="00991202">
        <w:rPr>
          <w:rFonts w:ascii="Arial" w:hAnsi="Arial" w:cs="Arial"/>
        </w:rPr>
        <w:t>Musculoskeletal and postural examination</w:t>
      </w:r>
    </w:p>
    <w:p w14:paraId="71D5057D" w14:textId="77777777" w:rsidR="00991202" w:rsidRPr="00991202" w:rsidRDefault="00991202" w:rsidP="00991202">
      <w:pPr>
        <w:pStyle w:val="Body"/>
        <w:rPr>
          <w:rFonts w:ascii="Arial" w:hAnsi="Arial" w:cs="Arial"/>
        </w:rPr>
      </w:pPr>
      <w:r w:rsidRPr="00991202">
        <w:rPr>
          <w:rFonts w:ascii="Arial" w:hAnsi="Arial" w:cs="Arial"/>
        </w:rPr>
        <w:t>A detailed summary of all outcome measures, their assessed components, patient findings, and clinical interpretation is presented in Table 1.</w:t>
      </w:r>
    </w:p>
    <w:p w14:paraId="14408319" w14:textId="77777777" w:rsidR="00991202" w:rsidRPr="001645F4" w:rsidRDefault="001645F4" w:rsidP="00991202">
      <w:pPr>
        <w:pStyle w:val="Body"/>
        <w:spacing w:after="0"/>
        <w:rPr>
          <w:rFonts w:ascii="Arial" w:hAnsi="Arial" w:cs="Arial"/>
          <w:b/>
          <w:bCs/>
          <w:sz w:val="22"/>
          <w:szCs w:val="22"/>
        </w:rPr>
      </w:pPr>
      <w:bookmarkStart w:id="11" w:name="_Toc256000074"/>
      <w:r w:rsidRPr="001645F4">
        <w:rPr>
          <w:rFonts w:ascii="Arial" w:hAnsi="Arial" w:cs="Arial"/>
          <w:b/>
          <w:bCs/>
          <w:sz w:val="22"/>
          <w:szCs w:val="22"/>
        </w:rPr>
        <w:t xml:space="preserve">2.4 </w:t>
      </w:r>
      <w:r w:rsidR="00991202" w:rsidRPr="001645F4">
        <w:rPr>
          <w:rFonts w:ascii="Arial" w:hAnsi="Arial" w:cs="Arial"/>
          <w:b/>
          <w:bCs/>
          <w:sz w:val="22"/>
          <w:szCs w:val="22"/>
        </w:rPr>
        <w:t>Neurophysiological Assessment</w:t>
      </w:r>
      <w:bookmarkEnd w:id="11"/>
    </w:p>
    <w:p w14:paraId="09F22523" w14:textId="77777777" w:rsidR="00991202" w:rsidRPr="00991202" w:rsidRDefault="00991202" w:rsidP="00991202">
      <w:pPr>
        <w:pStyle w:val="Body"/>
        <w:rPr>
          <w:rFonts w:ascii="Arial" w:hAnsi="Arial" w:cs="Arial"/>
        </w:rPr>
      </w:pPr>
    </w:p>
    <w:p w14:paraId="29875508" w14:textId="77777777" w:rsidR="00991202" w:rsidRPr="00991202" w:rsidRDefault="00991202" w:rsidP="00991202">
      <w:pPr>
        <w:pStyle w:val="Body"/>
        <w:rPr>
          <w:rFonts w:ascii="Arial" w:hAnsi="Arial" w:cs="Arial"/>
        </w:rPr>
      </w:pPr>
      <w:r w:rsidRPr="00991202">
        <w:rPr>
          <w:rFonts w:ascii="Arial" w:hAnsi="Arial" w:cs="Arial"/>
        </w:rPr>
        <w:t>Nerve conduction studies (NCV) were conducted using standard surface electrode techniques to evaluate sensory and motor nerve integrity of the lower limbs. Parameters assessed included sensory nerve action potentials (SNAPs), compound muscle action potentials (CMAPs), late responses (F-waves), and reflex responses (H-reflexes).</w:t>
      </w:r>
    </w:p>
    <w:p w14:paraId="47D5D8EA" w14:textId="77777777" w:rsidR="00991202" w:rsidRPr="00991202" w:rsidRDefault="00991202" w:rsidP="00991202">
      <w:pPr>
        <w:pStyle w:val="Body"/>
        <w:rPr>
          <w:rFonts w:ascii="Arial" w:hAnsi="Arial" w:cs="Arial"/>
        </w:rPr>
      </w:pPr>
      <w:r w:rsidRPr="00991202">
        <w:rPr>
          <w:rFonts w:ascii="Arial" w:hAnsi="Arial" w:cs="Arial"/>
        </w:rPr>
        <w:t xml:space="preserve">The electrophysiological findings demonstrated moderately severe, primary axonal sensorimotor polyneuropathy, characterized by absent or markedly reduced amplitudes with preserved conduction velocities—an axonal pattern consistent with CMT type II. These findings, along with their functional implications, are summarized in Table </w:t>
      </w:r>
      <w:r w:rsidR="00B44E71">
        <w:rPr>
          <w:rFonts w:ascii="Arial" w:hAnsi="Arial" w:cs="Arial"/>
        </w:rPr>
        <w:t>1</w:t>
      </w:r>
      <w:r w:rsidRPr="00991202">
        <w:rPr>
          <w:rFonts w:ascii="Arial" w:hAnsi="Arial" w:cs="Arial"/>
        </w:rPr>
        <w:t>.</w:t>
      </w:r>
    </w:p>
    <w:p w14:paraId="71EF6E02" w14:textId="77777777" w:rsidR="00991202" w:rsidRPr="001645F4" w:rsidRDefault="001645F4" w:rsidP="00991202">
      <w:pPr>
        <w:pStyle w:val="Body"/>
        <w:spacing w:after="0"/>
        <w:rPr>
          <w:rFonts w:ascii="Arial" w:hAnsi="Arial" w:cs="Arial"/>
          <w:b/>
          <w:bCs/>
          <w:sz w:val="22"/>
          <w:szCs w:val="22"/>
        </w:rPr>
      </w:pPr>
      <w:bookmarkStart w:id="12" w:name="_Toc256000075"/>
      <w:r w:rsidRPr="001645F4">
        <w:rPr>
          <w:rFonts w:ascii="Arial" w:hAnsi="Arial" w:cs="Arial"/>
          <w:b/>
          <w:bCs/>
          <w:sz w:val="22"/>
          <w:szCs w:val="22"/>
        </w:rPr>
        <w:t xml:space="preserve">2.5 </w:t>
      </w:r>
      <w:r w:rsidR="00991202" w:rsidRPr="001645F4">
        <w:rPr>
          <w:rFonts w:ascii="Arial" w:hAnsi="Arial" w:cs="Arial"/>
          <w:b/>
          <w:bCs/>
          <w:sz w:val="22"/>
          <w:szCs w:val="22"/>
        </w:rPr>
        <w:t>Functional, Developmental, and Caregiver Assessments</w:t>
      </w:r>
      <w:bookmarkEnd w:id="12"/>
    </w:p>
    <w:p w14:paraId="095C3D3D" w14:textId="77777777" w:rsidR="00991202" w:rsidRPr="00991202" w:rsidRDefault="00991202" w:rsidP="00991202">
      <w:pPr>
        <w:pStyle w:val="Body"/>
        <w:rPr>
          <w:rFonts w:ascii="Arial" w:hAnsi="Arial" w:cs="Arial"/>
        </w:rPr>
      </w:pPr>
    </w:p>
    <w:p w14:paraId="32A6000A" w14:textId="77777777" w:rsidR="00991202" w:rsidRPr="00991202" w:rsidRDefault="00991202" w:rsidP="00991202">
      <w:pPr>
        <w:pStyle w:val="Body"/>
        <w:rPr>
          <w:rFonts w:ascii="Arial" w:hAnsi="Arial" w:cs="Arial"/>
        </w:rPr>
      </w:pPr>
      <w:r w:rsidRPr="00991202">
        <w:rPr>
          <w:rFonts w:ascii="Arial" w:hAnsi="Arial" w:cs="Arial"/>
        </w:rPr>
        <w:t>Gross motor performance, balance, developmental status, quality of life, and caregiver burden were evaluated using standardized pediatric tools. Observational gait analysis and task-based functional assessments (e.g., stair negotiation) were incorporated to capture real-world movement strategies.</w:t>
      </w:r>
    </w:p>
    <w:p w14:paraId="255C3FEC" w14:textId="77777777" w:rsidR="00991202" w:rsidRPr="00991202" w:rsidRDefault="00991202" w:rsidP="00991202">
      <w:pPr>
        <w:pStyle w:val="Body"/>
        <w:rPr>
          <w:rFonts w:ascii="Arial" w:hAnsi="Arial" w:cs="Arial"/>
        </w:rPr>
      </w:pPr>
      <w:r w:rsidRPr="00991202">
        <w:rPr>
          <w:rFonts w:ascii="Arial" w:hAnsi="Arial" w:cs="Arial"/>
        </w:rPr>
        <w:t>Given the progressive and multisystemic nature of hereditary neuropathies, caregiver strain was formally assessed to inform family-centered goal setting and intervention planning.</w:t>
      </w:r>
    </w:p>
    <w:p w14:paraId="5F0D14BA" w14:textId="77777777" w:rsidR="00991202" w:rsidRPr="001645F4" w:rsidRDefault="001645F4" w:rsidP="00991202">
      <w:pPr>
        <w:pStyle w:val="Body"/>
        <w:spacing w:after="0"/>
        <w:rPr>
          <w:rFonts w:ascii="Arial" w:hAnsi="Arial" w:cs="Arial"/>
          <w:b/>
          <w:bCs/>
          <w:sz w:val="22"/>
          <w:szCs w:val="22"/>
        </w:rPr>
      </w:pPr>
      <w:bookmarkStart w:id="13" w:name="_Toc256000076"/>
      <w:r w:rsidRPr="001645F4">
        <w:rPr>
          <w:rFonts w:ascii="Arial" w:hAnsi="Arial" w:cs="Arial"/>
          <w:b/>
          <w:bCs/>
          <w:sz w:val="22"/>
          <w:szCs w:val="22"/>
        </w:rPr>
        <w:t xml:space="preserve">2.6 </w:t>
      </w:r>
      <w:r w:rsidR="00991202" w:rsidRPr="001645F4">
        <w:rPr>
          <w:rFonts w:ascii="Arial" w:hAnsi="Arial" w:cs="Arial"/>
          <w:b/>
          <w:bCs/>
          <w:sz w:val="22"/>
          <w:szCs w:val="22"/>
        </w:rPr>
        <w:t>Intervention Planning</w:t>
      </w:r>
      <w:bookmarkEnd w:id="13"/>
    </w:p>
    <w:p w14:paraId="13E1152A" w14:textId="77777777" w:rsidR="00991202" w:rsidRPr="00991202" w:rsidRDefault="00991202" w:rsidP="00991202">
      <w:pPr>
        <w:pStyle w:val="Body"/>
        <w:rPr>
          <w:rFonts w:ascii="Arial" w:hAnsi="Arial" w:cs="Arial"/>
        </w:rPr>
      </w:pPr>
    </w:p>
    <w:p w14:paraId="3CF5ADD2" w14:textId="77777777" w:rsidR="00991202" w:rsidRPr="00991202" w:rsidRDefault="00991202" w:rsidP="00991202">
      <w:pPr>
        <w:pStyle w:val="Body"/>
        <w:rPr>
          <w:rFonts w:ascii="Arial" w:hAnsi="Arial" w:cs="Arial"/>
        </w:rPr>
      </w:pPr>
      <w:r w:rsidRPr="00991202">
        <w:rPr>
          <w:rFonts w:ascii="Arial" w:hAnsi="Arial" w:cs="Arial"/>
        </w:rPr>
        <w:t>Based on the integrated findings from clinical examination, functional testing, and electrophysiological evidence, individualized aims, short-term goals, long-term goals, and management strategies were formulated. Interventions emphasized:</w:t>
      </w:r>
    </w:p>
    <w:p w14:paraId="381A28A8" w14:textId="77777777" w:rsidR="00991202" w:rsidRPr="00991202" w:rsidRDefault="00991202" w:rsidP="00991202">
      <w:pPr>
        <w:pStyle w:val="Body"/>
        <w:numPr>
          <w:ilvl w:val="0"/>
          <w:numId w:val="34"/>
        </w:numPr>
        <w:rPr>
          <w:rFonts w:ascii="Arial" w:hAnsi="Arial" w:cs="Arial"/>
        </w:rPr>
      </w:pPr>
      <w:r w:rsidRPr="00991202">
        <w:rPr>
          <w:rFonts w:ascii="Arial" w:hAnsi="Arial" w:cs="Arial"/>
        </w:rPr>
        <w:t>Task-specific motor learning</w:t>
      </w:r>
    </w:p>
    <w:p w14:paraId="5E9686ED" w14:textId="77777777" w:rsidR="00991202" w:rsidRPr="00991202" w:rsidRDefault="00991202" w:rsidP="00991202">
      <w:pPr>
        <w:pStyle w:val="Body"/>
        <w:numPr>
          <w:ilvl w:val="0"/>
          <w:numId w:val="34"/>
        </w:numPr>
        <w:rPr>
          <w:rFonts w:ascii="Arial" w:hAnsi="Arial" w:cs="Arial"/>
        </w:rPr>
      </w:pPr>
      <w:r w:rsidRPr="00991202">
        <w:rPr>
          <w:rFonts w:ascii="Arial" w:hAnsi="Arial" w:cs="Arial"/>
        </w:rPr>
        <w:t>Progressive strengthening and balance training</w:t>
      </w:r>
    </w:p>
    <w:p w14:paraId="4FC32064" w14:textId="77777777" w:rsidR="00991202" w:rsidRPr="00991202" w:rsidRDefault="00991202" w:rsidP="00991202">
      <w:pPr>
        <w:pStyle w:val="Body"/>
        <w:numPr>
          <w:ilvl w:val="0"/>
          <w:numId w:val="34"/>
        </w:numPr>
        <w:rPr>
          <w:rFonts w:ascii="Arial" w:hAnsi="Arial" w:cs="Arial"/>
        </w:rPr>
      </w:pPr>
      <w:r w:rsidRPr="00991202">
        <w:rPr>
          <w:rFonts w:ascii="Arial" w:hAnsi="Arial" w:cs="Arial"/>
        </w:rPr>
        <w:lastRenderedPageBreak/>
        <w:t>Prevention of secondary musculoskeletal complications</w:t>
      </w:r>
    </w:p>
    <w:p w14:paraId="0BBE848F" w14:textId="77777777" w:rsidR="00991202" w:rsidRPr="00993384" w:rsidRDefault="00991202" w:rsidP="00991202">
      <w:pPr>
        <w:pStyle w:val="Body"/>
        <w:numPr>
          <w:ilvl w:val="0"/>
          <w:numId w:val="34"/>
        </w:numPr>
        <w:rPr>
          <w:rFonts w:ascii="Arial" w:hAnsi="Arial" w:cs="Arial"/>
        </w:rPr>
      </w:pPr>
      <w:r w:rsidRPr="00991202">
        <w:rPr>
          <w:rFonts w:ascii="Arial" w:hAnsi="Arial" w:cs="Arial"/>
        </w:rPr>
        <w:t>Caregiver education and home program feasibility</w:t>
      </w:r>
    </w:p>
    <w:p w14:paraId="26F00877" w14:textId="77777777" w:rsidR="00991202" w:rsidRPr="00991202" w:rsidRDefault="00991202" w:rsidP="00991202">
      <w:pPr>
        <w:pStyle w:val="Body"/>
        <w:rPr>
          <w:rFonts w:ascii="Arial" w:hAnsi="Arial" w:cs="Arial"/>
        </w:rPr>
      </w:pPr>
      <w:r w:rsidRPr="00991202">
        <w:rPr>
          <w:rFonts w:ascii="Arial" w:hAnsi="Arial" w:cs="Arial"/>
        </w:rPr>
        <w:t>The evidence-based intervention framework, including dosimetry and preventive rationale, is detailed in Table 2.</w:t>
      </w:r>
    </w:p>
    <w:p w14:paraId="61817EA4" w14:textId="77777777" w:rsidR="00991202" w:rsidRPr="00991202" w:rsidRDefault="00991202" w:rsidP="00991202">
      <w:pPr>
        <w:pStyle w:val="Body"/>
        <w:rPr>
          <w:rFonts w:ascii="Arial" w:hAnsi="Arial" w:cs="Arial"/>
        </w:rPr>
      </w:pPr>
    </w:p>
    <w:p w14:paraId="3FE4495F" w14:textId="77777777" w:rsidR="00991202" w:rsidRDefault="001645F4" w:rsidP="00991202">
      <w:pPr>
        <w:pStyle w:val="Body"/>
        <w:numPr>
          <w:ilvl w:val="0"/>
          <w:numId w:val="40"/>
        </w:numPr>
        <w:spacing w:after="0"/>
        <w:rPr>
          <w:rFonts w:ascii="Arial" w:hAnsi="Arial" w:cs="Arial"/>
          <w:b/>
          <w:bCs/>
        </w:rPr>
      </w:pPr>
      <w:bookmarkStart w:id="14" w:name="_Toc256000077"/>
      <w:r w:rsidRPr="001645F4">
        <w:rPr>
          <w:rFonts w:ascii="Arial" w:hAnsi="Arial" w:cs="Arial"/>
          <w:b/>
          <w:bCs/>
          <w:sz w:val="22"/>
          <w:szCs w:val="22"/>
        </w:rPr>
        <w:t>CLINICAL PRESENTATION</w:t>
      </w:r>
      <w:bookmarkEnd w:id="14"/>
    </w:p>
    <w:p w14:paraId="33DF9BA7" w14:textId="77777777" w:rsidR="001645F4" w:rsidRPr="001645F4" w:rsidRDefault="001645F4" w:rsidP="001645F4">
      <w:pPr>
        <w:pStyle w:val="Body"/>
        <w:spacing w:after="0"/>
        <w:ind w:left="720"/>
        <w:rPr>
          <w:rFonts w:ascii="Arial" w:hAnsi="Arial" w:cs="Arial"/>
          <w:b/>
          <w:bCs/>
        </w:rPr>
      </w:pPr>
    </w:p>
    <w:p w14:paraId="24631CDA" w14:textId="77777777" w:rsidR="001645F4" w:rsidRDefault="001645F4" w:rsidP="001645F4">
      <w:pPr>
        <w:pStyle w:val="Body"/>
        <w:spacing w:after="0"/>
        <w:rPr>
          <w:rFonts w:ascii="Arial" w:hAnsi="Arial" w:cs="Arial"/>
          <w:b/>
          <w:bCs/>
          <w:sz w:val="22"/>
          <w:szCs w:val="22"/>
        </w:rPr>
      </w:pPr>
      <w:bookmarkStart w:id="15" w:name="_Toc256000078"/>
      <w:r>
        <w:rPr>
          <w:rFonts w:ascii="Arial" w:hAnsi="Arial" w:cs="Arial"/>
          <w:b/>
          <w:bCs/>
          <w:sz w:val="22"/>
          <w:szCs w:val="22"/>
        </w:rPr>
        <w:t xml:space="preserve">3.1 </w:t>
      </w:r>
      <w:r w:rsidR="00991202" w:rsidRPr="001645F4">
        <w:rPr>
          <w:rFonts w:ascii="Arial" w:hAnsi="Arial" w:cs="Arial"/>
          <w:b/>
          <w:bCs/>
          <w:sz w:val="22"/>
          <w:szCs w:val="22"/>
        </w:rPr>
        <w:t>Patient Background</w:t>
      </w:r>
      <w:bookmarkEnd w:id="15"/>
    </w:p>
    <w:p w14:paraId="0956A01B" w14:textId="77777777" w:rsidR="001645F4" w:rsidRPr="001645F4" w:rsidRDefault="001645F4" w:rsidP="001645F4">
      <w:pPr>
        <w:pStyle w:val="Body"/>
        <w:spacing w:after="0"/>
        <w:rPr>
          <w:rFonts w:ascii="Arial" w:hAnsi="Arial" w:cs="Arial"/>
          <w:b/>
          <w:bCs/>
          <w:sz w:val="22"/>
          <w:szCs w:val="22"/>
        </w:rPr>
      </w:pPr>
    </w:p>
    <w:p w14:paraId="5B48D52B" w14:textId="77777777" w:rsidR="00991202" w:rsidRPr="00991202" w:rsidRDefault="00991202" w:rsidP="00991202">
      <w:pPr>
        <w:pStyle w:val="Body"/>
        <w:rPr>
          <w:rFonts w:ascii="Arial" w:hAnsi="Arial" w:cs="Arial"/>
        </w:rPr>
      </w:pPr>
      <w:r w:rsidRPr="00991202">
        <w:rPr>
          <w:rFonts w:ascii="Arial" w:hAnsi="Arial" w:cs="Arial"/>
        </w:rPr>
        <w:t>The patient is a young child presenting with concerns related to delayed gross motor performance, balance difficulties, and progressive functional limitations. Prenatal history was notable for maternal hypotension during pregnancy, with no history of diabetes, thyroid disease, or infections. The child was born full term via vaginal delivery, with normal birth cry and no neonatal complications or NICU admission. Feeding history and early developmental milestones were initially unremarkable.</w:t>
      </w:r>
    </w:p>
    <w:p w14:paraId="1426B6A7" w14:textId="77777777" w:rsidR="00991202" w:rsidRPr="00991202" w:rsidRDefault="00991202" w:rsidP="00991202">
      <w:pPr>
        <w:pStyle w:val="Body"/>
        <w:rPr>
          <w:rFonts w:ascii="Arial" w:hAnsi="Arial" w:cs="Arial"/>
        </w:rPr>
      </w:pPr>
      <w:r w:rsidRPr="00991202">
        <w:rPr>
          <w:rFonts w:ascii="Arial" w:hAnsi="Arial" w:cs="Arial"/>
        </w:rPr>
        <w:t>There was no history of consanguinity, and siblings were reportedly unaffected. Cognitive abilities, including attention, memory, problem-solving, and language skills, were within age-expected limits, consistent with the peripheral nature of the disorder.</w:t>
      </w:r>
    </w:p>
    <w:p w14:paraId="2C39EAF4" w14:textId="77777777" w:rsidR="00991202" w:rsidRDefault="001645F4" w:rsidP="00993384">
      <w:pPr>
        <w:pStyle w:val="Body"/>
        <w:spacing w:after="0"/>
        <w:rPr>
          <w:rFonts w:ascii="Arial" w:hAnsi="Arial" w:cs="Arial"/>
          <w:b/>
          <w:bCs/>
          <w:sz w:val="22"/>
          <w:szCs w:val="22"/>
        </w:rPr>
      </w:pPr>
      <w:bookmarkStart w:id="16" w:name="_Toc256000079"/>
      <w:r w:rsidRPr="001645F4">
        <w:rPr>
          <w:rFonts w:ascii="Arial" w:hAnsi="Arial" w:cs="Arial"/>
          <w:b/>
          <w:bCs/>
          <w:sz w:val="22"/>
          <w:szCs w:val="22"/>
        </w:rPr>
        <w:t xml:space="preserve">3.2 </w:t>
      </w:r>
      <w:r w:rsidR="00991202" w:rsidRPr="001645F4">
        <w:rPr>
          <w:rFonts w:ascii="Arial" w:hAnsi="Arial" w:cs="Arial"/>
          <w:b/>
          <w:bCs/>
          <w:sz w:val="22"/>
          <w:szCs w:val="22"/>
        </w:rPr>
        <w:t>Presenting Functional Concerns</w:t>
      </w:r>
      <w:bookmarkEnd w:id="16"/>
    </w:p>
    <w:p w14:paraId="44F754A7" w14:textId="77777777" w:rsidR="001645F4" w:rsidRPr="001645F4" w:rsidRDefault="001645F4" w:rsidP="00993384">
      <w:pPr>
        <w:pStyle w:val="Body"/>
        <w:spacing w:after="0"/>
        <w:rPr>
          <w:rFonts w:ascii="Arial" w:hAnsi="Arial" w:cs="Arial"/>
          <w:b/>
          <w:bCs/>
          <w:sz w:val="22"/>
          <w:szCs w:val="22"/>
        </w:rPr>
      </w:pPr>
    </w:p>
    <w:p w14:paraId="5F77657B" w14:textId="77777777" w:rsidR="00991202" w:rsidRPr="00991202" w:rsidRDefault="00991202" w:rsidP="00991202">
      <w:pPr>
        <w:pStyle w:val="Body"/>
        <w:rPr>
          <w:rFonts w:ascii="Arial" w:hAnsi="Arial" w:cs="Arial"/>
        </w:rPr>
      </w:pPr>
      <w:r w:rsidRPr="00991202">
        <w:rPr>
          <w:rFonts w:ascii="Arial" w:hAnsi="Arial" w:cs="Arial"/>
        </w:rPr>
        <w:t>As motor demands increased with age, the child exhibited increasing difficulty with higher-level gross motor activities, including running, jumping, single-limb stance, and stair negotiation. Caregivers reported frequent instability, increased effort during play, and concerns regarding endurance and safety.</w:t>
      </w:r>
    </w:p>
    <w:p w14:paraId="027CFF39" w14:textId="77777777" w:rsidR="00991202" w:rsidRDefault="001645F4" w:rsidP="00993384">
      <w:pPr>
        <w:pStyle w:val="Body"/>
        <w:spacing w:after="0"/>
        <w:rPr>
          <w:rFonts w:ascii="Arial" w:hAnsi="Arial" w:cs="Arial"/>
          <w:b/>
          <w:bCs/>
          <w:sz w:val="22"/>
          <w:szCs w:val="22"/>
        </w:rPr>
      </w:pPr>
      <w:bookmarkStart w:id="17" w:name="_Toc256000080"/>
      <w:r w:rsidRPr="001645F4">
        <w:rPr>
          <w:rFonts w:ascii="Arial" w:hAnsi="Arial" w:cs="Arial"/>
          <w:b/>
          <w:bCs/>
          <w:sz w:val="22"/>
          <w:szCs w:val="22"/>
        </w:rPr>
        <w:t xml:space="preserve">3.3 </w:t>
      </w:r>
      <w:r w:rsidR="00991202" w:rsidRPr="001645F4">
        <w:rPr>
          <w:rFonts w:ascii="Arial" w:hAnsi="Arial" w:cs="Arial"/>
          <w:b/>
          <w:bCs/>
          <w:sz w:val="22"/>
          <w:szCs w:val="22"/>
        </w:rPr>
        <w:t>Physical and Musculoskeletal Examination</w:t>
      </w:r>
      <w:bookmarkEnd w:id="17"/>
    </w:p>
    <w:p w14:paraId="1057D187" w14:textId="77777777" w:rsidR="001645F4" w:rsidRPr="001645F4" w:rsidRDefault="001645F4" w:rsidP="00993384">
      <w:pPr>
        <w:pStyle w:val="Body"/>
        <w:spacing w:after="0"/>
        <w:rPr>
          <w:rFonts w:ascii="Arial" w:hAnsi="Arial" w:cs="Arial"/>
          <w:b/>
          <w:bCs/>
          <w:sz w:val="22"/>
          <w:szCs w:val="22"/>
        </w:rPr>
      </w:pPr>
    </w:p>
    <w:p w14:paraId="140DD4C8" w14:textId="77777777" w:rsidR="00991202" w:rsidRPr="00991202" w:rsidRDefault="00991202" w:rsidP="00991202">
      <w:pPr>
        <w:pStyle w:val="Body"/>
        <w:rPr>
          <w:rFonts w:ascii="Arial" w:hAnsi="Arial" w:cs="Arial"/>
        </w:rPr>
      </w:pPr>
      <w:r w:rsidRPr="00991202">
        <w:rPr>
          <w:rFonts w:ascii="Arial" w:hAnsi="Arial" w:cs="Arial"/>
        </w:rPr>
        <w:t>Anthropometric assessment revealed markedly low body weight and body mass index for age, indicating an underweight status. Postural observation demonstrated mild scoliotic alignment with right-sided convexity</w:t>
      </w:r>
      <w:r w:rsidR="00BA2FDB">
        <w:rPr>
          <w:rFonts w:ascii="Arial" w:hAnsi="Arial" w:cs="Arial"/>
        </w:rPr>
        <w:t xml:space="preserve"> (refer figure </w:t>
      </w:r>
      <w:r w:rsidR="00BC2116">
        <w:rPr>
          <w:rFonts w:ascii="Arial" w:hAnsi="Arial" w:cs="Arial"/>
        </w:rPr>
        <w:t>1</w:t>
      </w:r>
      <w:r w:rsidR="00BA2FDB">
        <w:rPr>
          <w:rFonts w:ascii="Arial" w:hAnsi="Arial" w:cs="Arial"/>
        </w:rPr>
        <w:t>)</w:t>
      </w:r>
      <w:r w:rsidRPr="00991202">
        <w:rPr>
          <w:rFonts w:ascii="Arial" w:hAnsi="Arial" w:cs="Arial"/>
        </w:rPr>
        <w:t>, without true limb-length discrepancy. Surface measurements suggested functional asymmetry rather than fixed structural scoliosis.</w:t>
      </w:r>
    </w:p>
    <w:p w14:paraId="71A8B1A1" w14:textId="77777777" w:rsidR="00991202" w:rsidRPr="00991202" w:rsidRDefault="00991202" w:rsidP="00991202">
      <w:pPr>
        <w:pStyle w:val="Body"/>
        <w:rPr>
          <w:rFonts w:ascii="Arial" w:hAnsi="Arial" w:cs="Arial"/>
        </w:rPr>
      </w:pPr>
      <w:r w:rsidRPr="00991202">
        <w:rPr>
          <w:rFonts w:ascii="Arial" w:hAnsi="Arial" w:cs="Arial"/>
        </w:rPr>
        <w:t>Muscle tone was normal in both upper and lower limbs. Passive range of motion was full and functional across all joints; however, muscle tightness was noted bilaterally in the iliopsoas, piriformis, hamstrings, and gastrocnemius–soleus complex, suggesting adaptive shortening secondary to altered movement patterns.</w:t>
      </w:r>
    </w:p>
    <w:p w14:paraId="6FB3576F" w14:textId="77777777" w:rsidR="00991202" w:rsidRDefault="00991202" w:rsidP="00991202">
      <w:pPr>
        <w:pStyle w:val="Body"/>
        <w:rPr>
          <w:rFonts w:ascii="Arial" w:hAnsi="Arial" w:cs="Arial"/>
        </w:rPr>
      </w:pPr>
      <w:r w:rsidRPr="00991202">
        <w:rPr>
          <w:rFonts w:ascii="Arial" w:hAnsi="Arial" w:cs="Arial"/>
        </w:rPr>
        <w:t>Deep tendon reflexes were preserved in the upper limbs and knees but reduced at the ankles, consistent with length-dependent peripheral neuropathy.</w:t>
      </w:r>
    </w:p>
    <w:p w14:paraId="4E2E3788" w14:textId="77777777" w:rsidR="00BA2FDB" w:rsidRDefault="00BA2FDB" w:rsidP="00991202">
      <w:pPr>
        <w:pStyle w:val="Body"/>
        <w:rPr>
          <w:rFonts w:ascii="Arial" w:hAnsi="Arial" w:cs="Arial"/>
        </w:rPr>
      </w:pPr>
      <w:r>
        <w:rPr>
          <w:noProof/>
        </w:rPr>
        <w:lastRenderedPageBreak/>
        <w:drawing>
          <wp:inline distT="0" distB="0" distL="0" distR="0" wp14:anchorId="52FD4905" wp14:editId="5EBBF6EC">
            <wp:extent cx="2273300" cy="3031151"/>
            <wp:effectExtent l="0" t="0" r="0" b="0"/>
            <wp:docPr id="1170006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06172" name="Picture 117000617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3147" cy="3057615"/>
                    </a:xfrm>
                    <a:prstGeom prst="rect">
                      <a:avLst/>
                    </a:prstGeom>
                  </pic:spPr>
                </pic:pic>
              </a:graphicData>
            </a:graphic>
          </wp:inline>
        </w:drawing>
      </w:r>
    </w:p>
    <w:p w14:paraId="740A8A11" w14:textId="7B11A408" w:rsidR="000B46C1" w:rsidRPr="000B46C1" w:rsidRDefault="00BA2FDB" w:rsidP="000B46C1">
      <w:pPr>
        <w:pStyle w:val="Body"/>
        <w:rPr>
          <w:rFonts w:ascii="Arial" w:hAnsi="Arial" w:cs="Arial"/>
        </w:rPr>
      </w:pPr>
      <w:r>
        <w:rPr>
          <w:rFonts w:ascii="Arial" w:hAnsi="Arial" w:cs="Arial"/>
        </w:rPr>
        <w:t xml:space="preserve">(Figure </w:t>
      </w:r>
      <w:r w:rsidR="00BC2116">
        <w:rPr>
          <w:rFonts w:ascii="Arial" w:hAnsi="Arial" w:cs="Arial"/>
        </w:rPr>
        <w:t>1</w:t>
      </w:r>
      <w:r>
        <w:rPr>
          <w:rFonts w:ascii="Arial" w:hAnsi="Arial" w:cs="Arial"/>
        </w:rPr>
        <w:t xml:space="preserve">. </w:t>
      </w:r>
      <w:r w:rsidR="000B46C1" w:rsidRPr="000B46C1">
        <w:rPr>
          <w:rFonts w:ascii="Arial" w:hAnsi="Arial" w:cs="Arial"/>
        </w:rPr>
        <w:t>Surface landmarks included the earlobes, acromion processes, superior and inferior angles of the scapula, spinous processes at thoracic (T2, T7) and lumbar (L5) levels, posterior superior iliac spines (PSIS), and olecranon processes. Linear distances</w:t>
      </w:r>
      <w:r w:rsidR="005B5C79">
        <w:rPr>
          <w:rFonts w:ascii="Arial" w:hAnsi="Arial" w:cs="Arial"/>
        </w:rPr>
        <w:t xml:space="preserve"> (centimeter)</w:t>
      </w:r>
      <w:r w:rsidR="000B46C1" w:rsidRPr="000B46C1">
        <w:rPr>
          <w:rFonts w:ascii="Arial" w:hAnsi="Arial" w:cs="Arial"/>
        </w:rPr>
        <w:t xml:space="preserve"> between paired landmarks were measured bilaterally using a non-elastic measuring tape, and side-to-side differences were recorded to identify asymmetry.</w:t>
      </w:r>
    </w:p>
    <w:p w14:paraId="060E8FAD" w14:textId="77777777" w:rsidR="000B46C1" w:rsidRDefault="000B46C1" w:rsidP="000B46C1">
      <w:pPr>
        <w:pStyle w:val="Body"/>
        <w:rPr>
          <w:rFonts w:ascii="Arial" w:hAnsi="Arial" w:cs="Arial"/>
        </w:rPr>
      </w:pPr>
      <w:r w:rsidRPr="000B46C1">
        <w:rPr>
          <w:rFonts w:ascii="Arial" w:hAnsi="Arial" w:cs="Arial"/>
        </w:rPr>
        <w:t>The measurement approach focused on detecting relative trunk asymmetry, shoulder and pelvic imbalance, and scapular displacement rather than quantifying radiographic curvature.</w:t>
      </w:r>
    </w:p>
    <w:p w14:paraId="5E154022" w14:textId="4FEB043E" w:rsidR="00BA2FDB" w:rsidRPr="00991202" w:rsidRDefault="00DD112F" w:rsidP="000B46C1">
      <w:pPr>
        <w:pStyle w:val="Body"/>
        <w:rPr>
          <w:rFonts w:ascii="Arial" w:hAnsi="Arial" w:cs="Arial"/>
        </w:rPr>
      </w:pPr>
      <w:r>
        <w:t>Radiographic evaluation demonstrated a mild thoracolumbar scoliotic curvature with right-sided convexity. The estimated Cobb’s angle was within the mild range (&lt;20°), consistent with an early neuromuscular postural adaptation rather than a fixed structural scoliosis</w:t>
      </w:r>
      <w:r w:rsidR="00BA2FDB">
        <w:rPr>
          <w:rFonts w:ascii="Arial" w:hAnsi="Arial" w:cs="Arial"/>
        </w:rPr>
        <w:t>)</w:t>
      </w:r>
    </w:p>
    <w:p w14:paraId="704A4F7C" w14:textId="77777777" w:rsidR="00991202" w:rsidRPr="001645F4" w:rsidRDefault="001645F4" w:rsidP="00991202">
      <w:pPr>
        <w:pStyle w:val="Body"/>
        <w:spacing w:after="0"/>
        <w:rPr>
          <w:rFonts w:ascii="Arial" w:hAnsi="Arial" w:cs="Arial"/>
          <w:b/>
          <w:bCs/>
          <w:sz w:val="22"/>
          <w:szCs w:val="22"/>
        </w:rPr>
      </w:pPr>
      <w:bookmarkStart w:id="18" w:name="_Toc256000081"/>
      <w:r w:rsidRPr="001645F4">
        <w:rPr>
          <w:rFonts w:ascii="Arial" w:hAnsi="Arial" w:cs="Arial"/>
          <w:b/>
          <w:bCs/>
          <w:sz w:val="22"/>
          <w:szCs w:val="22"/>
        </w:rPr>
        <w:t xml:space="preserve">3.4 </w:t>
      </w:r>
      <w:r w:rsidR="00991202" w:rsidRPr="001645F4">
        <w:rPr>
          <w:rFonts w:ascii="Arial" w:hAnsi="Arial" w:cs="Arial"/>
          <w:b/>
          <w:bCs/>
          <w:sz w:val="22"/>
          <w:szCs w:val="22"/>
        </w:rPr>
        <w:t>Functional and Developmental Findings</w:t>
      </w:r>
      <w:bookmarkEnd w:id="18"/>
    </w:p>
    <w:p w14:paraId="6DD840E7" w14:textId="77777777" w:rsidR="00991202" w:rsidRPr="00991202" w:rsidRDefault="00991202" w:rsidP="00991202">
      <w:pPr>
        <w:pStyle w:val="Body"/>
        <w:rPr>
          <w:rFonts w:ascii="Arial" w:hAnsi="Arial" w:cs="Arial"/>
        </w:rPr>
      </w:pPr>
    </w:p>
    <w:p w14:paraId="1C3EDDAC" w14:textId="77777777" w:rsidR="00991202" w:rsidRPr="00991202" w:rsidRDefault="00991202" w:rsidP="00991202">
      <w:pPr>
        <w:pStyle w:val="Body"/>
        <w:rPr>
          <w:rFonts w:ascii="Arial" w:hAnsi="Arial" w:cs="Arial"/>
        </w:rPr>
      </w:pPr>
      <w:r w:rsidRPr="00991202">
        <w:rPr>
          <w:rFonts w:ascii="Arial" w:hAnsi="Arial" w:cs="Arial"/>
        </w:rPr>
        <w:t>Standardized assessments revealed:</w:t>
      </w:r>
    </w:p>
    <w:p w14:paraId="32CADDC9" w14:textId="77777777" w:rsidR="00991202" w:rsidRPr="00991202" w:rsidRDefault="00991202" w:rsidP="00991202">
      <w:pPr>
        <w:pStyle w:val="Body"/>
        <w:numPr>
          <w:ilvl w:val="0"/>
          <w:numId w:val="35"/>
        </w:numPr>
        <w:rPr>
          <w:rFonts w:ascii="Arial" w:hAnsi="Arial" w:cs="Arial"/>
        </w:rPr>
      </w:pPr>
      <w:r w:rsidRPr="00991202">
        <w:rPr>
          <w:rFonts w:ascii="Arial" w:hAnsi="Arial" w:cs="Arial"/>
        </w:rPr>
        <w:t>Mild to moderate balance impairment</w:t>
      </w:r>
    </w:p>
    <w:p w14:paraId="2BAB3ABE" w14:textId="77777777" w:rsidR="00991202" w:rsidRPr="00991202" w:rsidRDefault="00991202" w:rsidP="00991202">
      <w:pPr>
        <w:pStyle w:val="Body"/>
        <w:numPr>
          <w:ilvl w:val="0"/>
          <w:numId w:val="35"/>
        </w:numPr>
        <w:rPr>
          <w:rFonts w:ascii="Arial" w:hAnsi="Arial" w:cs="Arial"/>
        </w:rPr>
      </w:pPr>
      <w:r w:rsidRPr="00991202">
        <w:rPr>
          <w:rFonts w:ascii="Arial" w:hAnsi="Arial" w:cs="Arial"/>
        </w:rPr>
        <w:t>Reduced performance in standing, walking, running, and jumping tasks</w:t>
      </w:r>
    </w:p>
    <w:p w14:paraId="62F952E1" w14:textId="77777777" w:rsidR="00991202" w:rsidRPr="00991202" w:rsidRDefault="00991202" w:rsidP="00991202">
      <w:pPr>
        <w:pStyle w:val="Body"/>
        <w:numPr>
          <w:ilvl w:val="0"/>
          <w:numId w:val="35"/>
        </w:numPr>
        <w:rPr>
          <w:rFonts w:ascii="Arial" w:hAnsi="Arial" w:cs="Arial"/>
        </w:rPr>
      </w:pPr>
      <w:r w:rsidRPr="00991202">
        <w:rPr>
          <w:rFonts w:ascii="Arial" w:hAnsi="Arial" w:cs="Arial"/>
        </w:rPr>
        <w:t>Emerging delays in gross motor and communication domains</w:t>
      </w:r>
    </w:p>
    <w:p w14:paraId="11ED6300" w14:textId="77777777" w:rsidR="00991202" w:rsidRPr="00993384" w:rsidRDefault="00991202" w:rsidP="00991202">
      <w:pPr>
        <w:pStyle w:val="Body"/>
        <w:numPr>
          <w:ilvl w:val="0"/>
          <w:numId w:val="35"/>
        </w:numPr>
        <w:rPr>
          <w:rFonts w:ascii="Arial" w:hAnsi="Arial" w:cs="Arial"/>
        </w:rPr>
      </w:pPr>
      <w:r w:rsidRPr="00991202">
        <w:rPr>
          <w:rFonts w:ascii="Arial" w:hAnsi="Arial" w:cs="Arial"/>
        </w:rPr>
        <w:t>Preserved fine motor, cognitive, and social participation skills</w:t>
      </w:r>
    </w:p>
    <w:p w14:paraId="5AFBA1A2" w14:textId="77777777" w:rsidR="00991202" w:rsidRPr="00991202" w:rsidRDefault="00991202" w:rsidP="00991202">
      <w:pPr>
        <w:pStyle w:val="Body"/>
        <w:rPr>
          <w:rFonts w:ascii="Arial" w:hAnsi="Arial" w:cs="Arial"/>
        </w:rPr>
      </w:pPr>
      <w:r w:rsidRPr="00991202">
        <w:rPr>
          <w:rFonts w:ascii="Arial" w:hAnsi="Arial" w:cs="Arial"/>
        </w:rPr>
        <w:t>Gait analysis demonstrated a widened base of support, external foot rotation, and compensatory trunk strategies, reflecting distal</w:t>
      </w:r>
      <w:r w:rsidR="00993384">
        <w:rPr>
          <w:rFonts w:ascii="Arial" w:hAnsi="Arial" w:cs="Arial"/>
        </w:rPr>
        <w:t xml:space="preserve"> </w:t>
      </w:r>
      <w:r w:rsidRPr="00991202">
        <w:rPr>
          <w:rFonts w:ascii="Arial" w:hAnsi="Arial" w:cs="Arial"/>
        </w:rPr>
        <w:t>weakness and impaired proprioceptive input.</w:t>
      </w:r>
    </w:p>
    <w:p w14:paraId="0274AB42" w14:textId="77777777" w:rsidR="00991202" w:rsidRPr="00991202" w:rsidRDefault="00991202" w:rsidP="00991202">
      <w:pPr>
        <w:pStyle w:val="Body"/>
        <w:rPr>
          <w:rFonts w:ascii="Arial" w:hAnsi="Arial" w:cs="Arial"/>
        </w:rPr>
      </w:pPr>
      <w:r w:rsidRPr="00991202">
        <w:rPr>
          <w:rFonts w:ascii="Arial" w:hAnsi="Arial" w:cs="Arial"/>
        </w:rPr>
        <w:t>Caregiver-reported outcomes highlighted increased emotional and physical burden related to managing a chronic, progressive condition.</w:t>
      </w:r>
    </w:p>
    <w:p w14:paraId="50DAA990" w14:textId="77777777" w:rsidR="00991202" w:rsidRPr="00991202" w:rsidRDefault="00991202" w:rsidP="00991202">
      <w:pPr>
        <w:pStyle w:val="Body"/>
        <w:rPr>
          <w:rFonts w:ascii="Arial" w:hAnsi="Arial" w:cs="Arial"/>
        </w:rPr>
      </w:pPr>
      <w:r w:rsidRPr="00991202">
        <w:rPr>
          <w:rFonts w:ascii="Arial" w:hAnsi="Arial" w:cs="Arial"/>
        </w:rPr>
        <w:t>A consolidated overview of these findings is provided in Table 1, while caregiver impact and participation-level consequences are addressed in Table 2.</w:t>
      </w:r>
    </w:p>
    <w:p w14:paraId="021E592B" w14:textId="77777777" w:rsidR="00C035D1" w:rsidRDefault="00C035D1" w:rsidP="00991202">
      <w:pPr>
        <w:pStyle w:val="Body"/>
        <w:spacing w:after="0"/>
        <w:rPr>
          <w:rFonts w:ascii="Arial" w:hAnsi="Arial" w:cs="Arial"/>
          <w:b/>
          <w:bCs/>
          <w:sz w:val="22"/>
          <w:szCs w:val="22"/>
        </w:rPr>
      </w:pPr>
      <w:bookmarkStart w:id="19" w:name="_Toc256000082"/>
    </w:p>
    <w:p w14:paraId="50D82507" w14:textId="77777777" w:rsidR="00C035D1" w:rsidRDefault="00C035D1" w:rsidP="00991202">
      <w:pPr>
        <w:pStyle w:val="Body"/>
        <w:spacing w:after="0"/>
        <w:rPr>
          <w:rFonts w:ascii="Arial" w:hAnsi="Arial" w:cs="Arial"/>
          <w:b/>
          <w:bCs/>
          <w:sz w:val="22"/>
          <w:szCs w:val="22"/>
        </w:rPr>
      </w:pPr>
    </w:p>
    <w:p w14:paraId="7A47E4B8" w14:textId="77777777" w:rsidR="00C035D1" w:rsidRDefault="00C035D1" w:rsidP="00991202">
      <w:pPr>
        <w:pStyle w:val="Body"/>
        <w:spacing w:after="0"/>
        <w:rPr>
          <w:rFonts w:ascii="Arial" w:hAnsi="Arial" w:cs="Arial"/>
          <w:b/>
          <w:bCs/>
          <w:sz w:val="22"/>
          <w:szCs w:val="22"/>
        </w:rPr>
      </w:pPr>
    </w:p>
    <w:p w14:paraId="6FA7E80E" w14:textId="794F8255" w:rsidR="00991202" w:rsidRPr="001645F4" w:rsidRDefault="001645F4" w:rsidP="00991202">
      <w:pPr>
        <w:pStyle w:val="Body"/>
        <w:spacing w:after="0"/>
        <w:rPr>
          <w:rFonts w:ascii="Arial" w:hAnsi="Arial" w:cs="Arial"/>
          <w:b/>
          <w:bCs/>
          <w:sz w:val="22"/>
          <w:szCs w:val="22"/>
        </w:rPr>
      </w:pPr>
      <w:r w:rsidRPr="001645F4">
        <w:rPr>
          <w:rFonts w:ascii="Arial" w:hAnsi="Arial" w:cs="Arial"/>
          <w:b/>
          <w:bCs/>
          <w:sz w:val="22"/>
          <w:szCs w:val="22"/>
        </w:rPr>
        <w:lastRenderedPageBreak/>
        <w:t xml:space="preserve">3.5 </w:t>
      </w:r>
      <w:r w:rsidR="00991202" w:rsidRPr="001645F4">
        <w:rPr>
          <w:rFonts w:ascii="Arial" w:hAnsi="Arial" w:cs="Arial"/>
          <w:b/>
          <w:bCs/>
          <w:sz w:val="22"/>
          <w:szCs w:val="22"/>
        </w:rPr>
        <w:t>Neurophysiological Correlation</w:t>
      </w:r>
      <w:bookmarkEnd w:id="19"/>
    </w:p>
    <w:p w14:paraId="2CCE8871" w14:textId="4C5CC7D2" w:rsidR="00172ECF" w:rsidRPr="00AA449B" w:rsidRDefault="00172ECF" w:rsidP="00172ECF">
      <w:pPr>
        <w:pStyle w:val="NormalWeb"/>
        <w:rPr>
          <w:rFonts w:ascii="Arial" w:hAnsi="Arial" w:cs="Arial"/>
          <w:sz w:val="20"/>
          <w:szCs w:val="20"/>
        </w:rPr>
      </w:pPr>
      <w:r w:rsidRPr="00AA449B">
        <w:rPr>
          <w:rFonts w:ascii="Arial" w:hAnsi="Arial" w:cs="Arial"/>
          <w:sz w:val="20"/>
          <w:szCs w:val="20"/>
        </w:rPr>
        <w:t>Neurophysiological findings in this case</w:t>
      </w:r>
      <w:r w:rsidR="00AA449B">
        <w:rPr>
          <w:rFonts w:ascii="Arial" w:hAnsi="Arial" w:cs="Arial"/>
          <w:sz w:val="20"/>
          <w:szCs w:val="20"/>
        </w:rPr>
        <w:t xml:space="preserve"> - </w:t>
      </w:r>
      <w:r w:rsidRPr="00AA449B">
        <w:rPr>
          <w:rFonts w:ascii="Arial" w:hAnsi="Arial" w:cs="Arial"/>
          <w:sz w:val="20"/>
          <w:szCs w:val="20"/>
        </w:rPr>
        <w:t>specifically the marked reduction or absence of sensory and motor amplitudes with preserved conduction velocities</w:t>
      </w:r>
      <w:r w:rsidR="00AA449B">
        <w:rPr>
          <w:rFonts w:ascii="Arial" w:hAnsi="Arial" w:cs="Arial"/>
          <w:sz w:val="20"/>
          <w:szCs w:val="20"/>
        </w:rPr>
        <w:t xml:space="preserve"> - </w:t>
      </w:r>
      <w:r w:rsidRPr="00AA449B">
        <w:rPr>
          <w:rFonts w:ascii="Arial" w:hAnsi="Arial" w:cs="Arial"/>
          <w:sz w:val="20"/>
          <w:szCs w:val="20"/>
        </w:rPr>
        <w:t>are consistent with a primary axonal sensorimotor neuropathy within the CMT2 spectrum. Importantly, these findings carry direct functional relevance. Reduced compound muscle action potential amplitudes reflect axonal loss, which clinically manifests as early distal weakness, impaired force generation, and reduced motor reserve, even when overt muscle atrophy is not yet apparent.</w:t>
      </w:r>
    </w:p>
    <w:p w14:paraId="0A552C8C" w14:textId="347BEC76" w:rsidR="00172ECF" w:rsidRPr="00AA449B" w:rsidRDefault="00D87EC5" w:rsidP="00172ECF">
      <w:pPr>
        <w:pStyle w:val="NormalWeb"/>
        <w:rPr>
          <w:rFonts w:ascii="Arial" w:hAnsi="Arial" w:cs="Arial"/>
          <w:sz w:val="20"/>
          <w:szCs w:val="20"/>
        </w:rPr>
      </w:pPr>
      <w:r>
        <w:rPr>
          <w:b/>
          <w:bCs/>
          <w:noProof/>
        </w:rPr>
        <w:drawing>
          <wp:anchor distT="0" distB="0" distL="114300" distR="114300" simplePos="0" relativeHeight="251655168" behindDoc="0" locked="0" layoutInCell="1" allowOverlap="1" wp14:anchorId="1361BB44" wp14:editId="49E840CF">
            <wp:simplePos x="0" y="0"/>
            <wp:positionH relativeFrom="column">
              <wp:posOffset>243840</wp:posOffset>
            </wp:positionH>
            <wp:positionV relativeFrom="paragraph">
              <wp:posOffset>1037151</wp:posOffset>
            </wp:positionV>
            <wp:extent cx="2847887" cy="45851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l="12753" t="19928" r="5991" b="6420"/>
                    <a:stretch/>
                  </pic:blipFill>
                  <pic:spPr bwMode="auto">
                    <a:xfrm>
                      <a:off x="0" y="0"/>
                      <a:ext cx="2848434" cy="45860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2ECF" w:rsidRPr="00AA449B">
        <w:rPr>
          <w:rFonts w:ascii="Arial" w:hAnsi="Arial" w:cs="Arial"/>
          <w:sz w:val="20"/>
          <w:szCs w:val="20"/>
        </w:rPr>
        <w:t>In the present child, these electrophysiological abnormalities corresponded with emerging gait instability, diminished balance responses, reduced endurance, and early postural asymmetries, despite largely typical early developmental milestones. The absence of F-waves and H-reflexes further suggests compromised proximal and reflexive motor control, offering a neurophysiological explanation for delayed postural reactions and reduced adaptability during dynamic tasks. Thus, NCV findings served not merely as diagnostic confirmation but as predictors of functional vulnerability, reinforcing the need for early, preventive rehabilitation before irreversible secondary impairments develop.</w:t>
      </w:r>
    </w:p>
    <w:p w14:paraId="350D0C1C" w14:textId="6A40DA35" w:rsidR="00172ECF" w:rsidRDefault="00D87EC5" w:rsidP="00991202">
      <w:pPr>
        <w:pStyle w:val="Body"/>
        <w:rPr>
          <w:rFonts w:ascii="Arial" w:hAnsi="Arial" w:cs="Arial"/>
        </w:rPr>
      </w:pPr>
      <w:r>
        <w:rPr>
          <w:b/>
          <w:bCs/>
          <w:noProof/>
        </w:rPr>
        <w:drawing>
          <wp:anchor distT="0" distB="0" distL="114300" distR="114300" simplePos="0" relativeHeight="251662336" behindDoc="0" locked="0" layoutInCell="1" allowOverlap="1" wp14:anchorId="3CDEF3AF" wp14:editId="6BDBD93A">
            <wp:simplePos x="0" y="0"/>
            <wp:positionH relativeFrom="column">
              <wp:posOffset>3284220</wp:posOffset>
            </wp:positionH>
            <wp:positionV relativeFrom="paragraph">
              <wp:posOffset>6985</wp:posOffset>
            </wp:positionV>
            <wp:extent cx="3147540" cy="46389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17630" t="18474" r="9147" b="20768"/>
                    <a:stretch/>
                  </pic:blipFill>
                  <pic:spPr bwMode="auto">
                    <a:xfrm>
                      <a:off x="0" y="0"/>
                      <a:ext cx="3151938" cy="46454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3A85F0" w14:textId="1BC41F11" w:rsidR="00C035D1" w:rsidRDefault="00C035D1" w:rsidP="00991202">
      <w:pPr>
        <w:pStyle w:val="Body"/>
        <w:rPr>
          <w:rFonts w:ascii="Arial" w:hAnsi="Arial" w:cs="Arial"/>
        </w:rPr>
      </w:pPr>
    </w:p>
    <w:p w14:paraId="31C029B9" w14:textId="2AEEA0EF" w:rsidR="00C035D1" w:rsidRDefault="00C035D1" w:rsidP="00991202">
      <w:pPr>
        <w:pStyle w:val="Body"/>
        <w:rPr>
          <w:rFonts w:ascii="Arial" w:hAnsi="Arial" w:cs="Arial"/>
        </w:rPr>
      </w:pPr>
    </w:p>
    <w:p w14:paraId="40CEE0B1" w14:textId="588B1210" w:rsidR="00C035D1" w:rsidRDefault="00C035D1" w:rsidP="00991202">
      <w:pPr>
        <w:pStyle w:val="Body"/>
        <w:rPr>
          <w:rFonts w:ascii="Arial" w:hAnsi="Arial" w:cs="Arial"/>
        </w:rPr>
      </w:pPr>
    </w:p>
    <w:p w14:paraId="1CEA8740" w14:textId="77777777" w:rsidR="00C035D1" w:rsidRDefault="00C035D1" w:rsidP="00991202">
      <w:pPr>
        <w:pStyle w:val="Body"/>
        <w:rPr>
          <w:rFonts w:ascii="Arial" w:hAnsi="Arial" w:cs="Arial"/>
        </w:rPr>
      </w:pPr>
    </w:p>
    <w:p w14:paraId="5D6FC35F" w14:textId="77777777" w:rsidR="00C035D1" w:rsidRDefault="00C035D1" w:rsidP="00991202">
      <w:pPr>
        <w:pStyle w:val="Body"/>
        <w:rPr>
          <w:rFonts w:ascii="Arial" w:hAnsi="Arial" w:cs="Arial"/>
        </w:rPr>
      </w:pPr>
    </w:p>
    <w:p w14:paraId="0ABC0B4D" w14:textId="77777777" w:rsidR="00C035D1" w:rsidRDefault="00C035D1" w:rsidP="00991202">
      <w:pPr>
        <w:pStyle w:val="Body"/>
        <w:rPr>
          <w:rFonts w:ascii="Arial" w:hAnsi="Arial" w:cs="Arial"/>
        </w:rPr>
      </w:pPr>
    </w:p>
    <w:p w14:paraId="552C385E" w14:textId="77777777" w:rsidR="00C919C8" w:rsidRDefault="00C919C8" w:rsidP="00991202">
      <w:pPr>
        <w:pStyle w:val="Body"/>
        <w:rPr>
          <w:rFonts w:ascii="Arial" w:hAnsi="Arial" w:cs="Arial"/>
        </w:rPr>
      </w:pPr>
    </w:p>
    <w:p w14:paraId="1C7B48BD" w14:textId="77777777" w:rsidR="00C919C8" w:rsidRDefault="00C919C8" w:rsidP="00991202">
      <w:pPr>
        <w:pStyle w:val="Body"/>
        <w:rPr>
          <w:rFonts w:ascii="Arial" w:hAnsi="Arial" w:cs="Arial"/>
        </w:rPr>
      </w:pPr>
    </w:p>
    <w:p w14:paraId="40A2454A" w14:textId="77777777" w:rsidR="00C919C8" w:rsidRDefault="00C919C8" w:rsidP="00991202">
      <w:pPr>
        <w:pStyle w:val="Body"/>
        <w:rPr>
          <w:rFonts w:ascii="Arial" w:hAnsi="Arial" w:cs="Arial"/>
        </w:rPr>
      </w:pPr>
    </w:p>
    <w:p w14:paraId="2C48FE6D" w14:textId="77777777" w:rsidR="00C919C8" w:rsidRDefault="00C919C8" w:rsidP="00991202">
      <w:pPr>
        <w:pStyle w:val="Body"/>
        <w:rPr>
          <w:rFonts w:ascii="Arial" w:hAnsi="Arial" w:cs="Arial"/>
        </w:rPr>
      </w:pPr>
    </w:p>
    <w:p w14:paraId="07556D93" w14:textId="77777777" w:rsidR="00C919C8" w:rsidRDefault="00C919C8" w:rsidP="00991202">
      <w:pPr>
        <w:pStyle w:val="Body"/>
        <w:rPr>
          <w:rFonts w:ascii="Arial" w:hAnsi="Arial" w:cs="Arial"/>
        </w:rPr>
      </w:pPr>
    </w:p>
    <w:p w14:paraId="735948F0" w14:textId="77777777" w:rsidR="00C919C8" w:rsidRDefault="00C919C8" w:rsidP="00991202">
      <w:pPr>
        <w:pStyle w:val="Body"/>
        <w:rPr>
          <w:rFonts w:ascii="Arial" w:hAnsi="Arial" w:cs="Arial"/>
        </w:rPr>
      </w:pPr>
    </w:p>
    <w:p w14:paraId="4350034B" w14:textId="77777777" w:rsidR="00C919C8" w:rsidRDefault="00C919C8" w:rsidP="00991202">
      <w:pPr>
        <w:pStyle w:val="Body"/>
        <w:rPr>
          <w:rFonts w:ascii="Arial" w:hAnsi="Arial" w:cs="Arial"/>
        </w:rPr>
      </w:pPr>
    </w:p>
    <w:p w14:paraId="6F9B217F" w14:textId="77777777" w:rsidR="00C919C8" w:rsidRDefault="00C919C8" w:rsidP="00991202">
      <w:pPr>
        <w:pStyle w:val="Body"/>
        <w:rPr>
          <w:rFonts w:ascii="Arial" w:hAnsi="Arial" w:cs="Arial"/>
        </w:rPr>
      </w:pPr>
    </w:p>
    <w:p w14:paraId="12543F3D" w14:textId="77777777" w:rsidR="00C919C8" w:rsidRDefault="00C919C8" w:rsidP="00991202">
      <w:pPr>
        <w:pStyle w:val="Body"/>
        <w:rPr>
          <w:rFonts w:ascii="Arial" w:hAnsi="Arial" w:cs="Arial"/>
        </w:rPr>
      </w:pPr>
    </w:p>
    <w:p w14:paraId="450AD0F7" w14:textId="77777777" w:rsidR="00C919C8" w:rsidRDefault="00B35D36" w:rsidP="007F350B">
      <w:pPr>
        <w:pStyle w:val="Body"/>
        <w:jc w:val="center"/>
        <w:rPr>
          <w:rFonts w:ascii="Arial" w:hAnsi="Arial" w:cs="Arial"/>
        </w:rPr>
      </w:pPr>
      <w:r>
        <w:rPr>
          <w:rFonts w:ascii="Arial" w:hAnsi="Arial" w:cs="Arial"/>
        </w:rPr>
        <w:t xml:space="preserve">(Figure </w:t>
      </w:r>
      <w:r w:rsidR="00BC2116">
        <w:rPr>
          <w:rFonts w:ascii="Arial" w:hAnsi="Arial" w:cs="Arial"/>
        </w:rPr>
        <w:t>2</w:t>
      </w:r>
      <w:r>
        <w:rPr>
          <w:rFonts w:ascii="Arial" w:hAnsi="Arial" w:cs="Arial"/>
        </w:rPr>
        <w:t xml:space="preserve">. </w:t>
      </w:r>
      <w:r>
        <w:t>NCV Findings)</w:t>
      </w:r>
    </w:p>
    <w:p w14:paraId="4AFF6A59" w14:textId="77777777" w:rsidR="00991202" w:rsidRPr="00993384" w:rsidRDefault="00991202" w:rsidP="00991202">
      <w:pPr>
        <w:pStyle w:val="Body"/>
        <w:rPr>
          <w:rFonts w:ascii="Arial" w:hAnsi="Arial" w:cs="Arial"/>
          <w:b/>
          <w:bCs/>
          <w:i/>
          <w:iCs/>
        </w:rPr>
      </w:pPr>
      <w:bookmarkStart w:id="20" w:name="_Toc256000083"/>
      <w:r w:rsidRPr="00991202">
        <w:rPr>
          <w:rFonts w:ascii="Arial" w:hAnsi="Arial" w:cs="Arial"/>
          <w:b/>
          <w:bCs/>
          <w:i/>
          <w:iCs/>
        </w:rPr>
        <w:t>Table 1. Neurophysiological and Clinical Examination Findings with Functional Interpretation</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3085"/>
        <w:gridCol w:w="2437"/>
        <w:gridCol w:w="3062"/>
      </w:tblGrid>
      <w:tr w:rsidR="00991202" w:rsidRPr="00991202" w14:paraId="54C02C85" w14:textId="77777777" w:rsidTr="00172ECF">
        <w:tc>
          <w:tcPr>
            <w:tcW w:w="0" w:type="auto"/>
          </w:tcPr>
          <w:p w14:paraId="439FB146" w14:textId="77777777" w:rsidR="00991202" w:rsidRPr="001645F4" w:rsidRDefault="00991202" w:rsidP="00991202">
            <w:pPr>
              <w:pStyle w:val="Body"/>
              <w:rPr>
                <w:rFonts w:ascii="Arial" w:hAnsi="Arial" w:cs="Arial"/>
                <w:b/>
                <w:bCs/>
              </w:rPr>
            </w:pPr>
            <w:r w:rsidRPr="001645F4">
              <w:rPr>
                <w:rFonts w:ascii="Arial" w:hAnsi="Arial" w:cs="Arial"/>
                <w:b/>
                <w:bCs/>
              </w:rPr>
              <w:t>Assessment Domain</w:t>
            </w:r>
          </w:p>
          <w:p w14:paraId="60609535" w14:textId="77777777" w:rsidR="00991202" w:rsidRPr="001645F4" w:rsidRDefault="00991202" w:rsidP="00991202">
            <w:pPr>
              <w:pStyle w:val="Body"/>
              <w:rPr>
                <w:rFonts w:ascii="Arial" w:hAnsi="Arial" w:cs="Arial"/>
                <w:b/>
                <w:bCs/>
              </w:rPr>
            </w:pPr>
          </w:p>
        </w:tc>
        <w:tc>
          <w:tcPr>
            <w:tcW w:w="0" w:type="auto"/>
          </w:tcPr>
          <w:p w14:paraId="7448F6BB" w14:textId="77777777" w:rsidR="00991202" w:rsidRPr="001645F4" w:rsidRDefault="00991202" w:rsidP="00991202">
            <w:pPr>
              <w:pStyle w:val="Body"/>
              <w:rPr>
                <w:rFonts w:ascii="Arial" w:hAnsi="Arial" w:cs="Arial"/>
                <w:b/>
                <w:bCs/>
              </w:rPr>
            </w:pPr>
            <w:r w:rsidRPr="001645F4">
              <w:rPr>
                <w:rFonts w:ascii="Arial" w:hAnsi="Arial" w:cs="Arial"/>
                <w:b/>
                <w:bCs/>
              </w:rPr>
              <w:t>Specific Findings</w:t>
            </w:r>
          </w:p>
          <w:p w14:paraId="2E2E5407" w14:textId="77777777" w:rsidR="00991202" w:rsidRPr="001645F4" w:rsidRDefault="00991202" w:rsidP="00991202">
            <w:pPr>
              <w:pStyle w:val="Body"/>
              <w:rPr>
                <w:rFonts w:ascii="Arial" w:hAnsi="Arial" w:cs="Arial"/>
                <w:b/>
                <w:bCs/>
              </w:rPr>
            </w:pPr>
          </w:p>
        </w:tc>
        <w:tc>
          <w:tcPr>
            <w:tcW w:w="0" w:type="auto"/>
          </w:tcPr>
          <w:p w14:paraId="425A6031" w14:textId="77777777" w:rsidR="00991202" w:rsidRPr="001645F4" w:rsidRDefault="00991202" w:rsidP="00991202">
            <w:pPr>
              <w:pStyle w:val="Body"/>
              <w:rPr>
                <w:rFonts w:ascii="Arial" w:hAnsi="Arial" w:cs="Arial"/>
                <w:b/>
                <w:bCs/>
              </w:rPr>
            </w:pPr>
            <w:r w:rsidRPr="001645F4">
              <w:rPr>
                <w:rFonts w:ascii="Arial" w:hAnsi="Arial" w:cs="Arial"/>
                <w:b/>
                <w:bCs/>
              </w:rPr>
              <w:t>Physiological Significance</w:t>
            </w:r>
          </w:p>
          <w:p w14:paraId="202914DD" w14:textId="77777777" w:rsidR="00991202" w:rsidRPr="001645F4" w:rsidRDefault="00991202" w:rsidP="00991202">
            <w:pPr>
              <w:pStyle w:val="Body"/>
              <w:rPr>
                <w:rFonts w:ascii="Arial" w:hAnsi="Arial" w:cs="Arial"/>
                <w:b/>
                <w:bCs/>
              </w:rPr>
            </w:pPr>
          </w:p>
        </w:tc>
        <w:tc>
          <w:tcPr>
            <w:tcW w:w="0" w:type="auto"/>
          </w:tcPr>
          <w:p w14:paraId="63122CB0" w14:textId="77777777" w:rsidR="00991202" w:rsidRPr="001645F4" w:rsidRDefault="00991202" w:rsidP="00991202">
            <w:pPr>
              <w:pStyle w:val="Body"/>
              <w:rPr>
                <w:rFonts w:ascii="Arial" w:hAnsi="Arial" w:cs="Arial"/>
                <w:b/>
                <w:bCs/>
              </w:rPr>
            </w:pPr>
            <w:r w:rsidRPr="001645F4">
              <w:rPr>
                <w:rFonts w:ascii="Arial" w:hAnsi="Arial" w:cs="Arial"/>
                <w:b/>
                <w:bCs/>
              </w:rPr>
              <w:t>Clinical / Functional Interpretation</w:t>
            </w:r>
          </w:p>
          <w:p w14:paraId="4B4943F0" w14:textId="77777777" w:rsidR="00991202" w:rsidRPr="001645F4" w:rsidRDefault="00991202" w:rsidP="00991202">
            <w:pPr>
              <w:pStyle w:val="Body"/>
              <w:rPr>
                <w:rFonts w:ascii="Arial" w:hAnsi="Arial" w:cs="Arial"/>
                <w:b/>
                <w:bCs/>
              </w:rPr>
            </w:pPr>
          </w:p>
        </w:tc>
      </w:tr>
      <w:tr w:rsidR="00991202" w:rsidRPr="00991202" w14:paraId="56DBB4C6" w14:textId="77777777" w:rsidTr="00172ECF">
        <w:tc>
          <w:tcPr>
            <w:tcW w:w="0" w:type="auto"/>
          </w:tcPr>
          <w:p w14:paraId="6B78DE74" w14:textId="77777777" w:rsidR="00991202" w:rsidRPr="0098647A" w:rsidRDefault="00991202" w:rsidP="00991202">
            <w:pPr>
              <w:pStyle w:val="Body"/>
              <w:rPr>
                <w:rFonts w:ascii="Arial" w:hAnsi="Arial" w:cs="Arial"/>
                <w:b/>
                <w:bCs/>
              </w:rPr>
            </w:pPr>
            <w:r w:rsidRPr="0098647A">
              <w:rPr>
                <w:rFonts w:ascii="Arial" w:hAnsi="Arial" w:cs="Arial"/>
                <w:b/>
                <w:bCs/>
              </w:rPr>
              <w:t xml:space="preserve">Sensory Nerve Conduction (Lower </w:t>
            </w:r>
            <w:r w:rsidRPr="0098647A">
              <w:rPr>
                <w:rFonts w:ascii="Arial" w:hAnsi="Arial" w:cs="Arial"/>
                <w:b/>
                <w:bCs/>
              </w:rPr>
              <w:lastRenderedPageBreak/>
              <w:t>Limb)</w:t>
            </w:r>
          </w:p>
          <w:p w14:paraId="16FAF6D0" w14:textId="77777777" w:rsidR="00991202" w:rsidRPr="0098647A" w:rsidRDefault="00991202" w:rsidP="00991202">
            <w:pPr>
              <w:pStyle w:val="Body"/>
              <w:rPr>
                <w:rFonts w:ascii="Arial" w:hAnsi="Arial" w:cs="Arial"/>
                <w:b/>
                <w:bCs/>
              </w:rPr>
            </w:pPr>
          </w:p>
        </w:tc>
        <w:tc>
          <w:tcPr>
            <w:tcW w:w="0" w:type="auto"/>
          </w:tcPr>
          <w:p w14:paraId="34DB47FB" w14:textId="77777777" w:rsidR="00991202" w:rsidRPr="00991202" w:rsidRDefault="00991202" w:rsidP="00991202">
            <w:pPr>
              <w:pStyle w:val="Body"/>
              <w:rPr>
                <w:rFonts w:ascii="Arial" w:hAnsi="Arial" w:cs="Arial"/>
              </w:rPr>
            </w:pPr>
            <w:r w:rsidRPr="00991202">
              <w:rPr>
                <w:rFonts w:ascii="Arial" w:hAnsi="Arial" w:cs="Arial"/>
              </w:rPr>
              <w:lastRenderedPageBreak/>
              <w:t xml:space="preserve">Bilateral superficial peroneal SNAPs not recordable; bilateral </w:t>
            </w:r>
            <w:r w:rsidRPr="00991202">
              <w:rPr>
                <w:rFonts w:ascii="Arial" w:hAnsi="Arial" w:cs="Arial"/>
              </w:rPr>
              <w:lastRenderedPageBreak/>
              <w:t>sural SNAPs markedly reduced amplitudes with preserved conduction velocities</w:t>
            </w:r>
          </w:p>
          <w:p w14:paraId="5B65276C" w14:textId="77777777" w:rsidR="00991202" w:rsidRPr="00991202" w:rsidRDefault="00991202" w:rsidP="00991202">
            <w:pPr>
              <w:pStyle w:val="Body"/>
              <w:rPr>
                <w:rFonts w:ascii="Arial" w:hAnsi="Arial" w:cs="Arial"/>
              </w:rPr>
            </w:pPr>
          </w:p>
        </w:tc>
        <w:tc>
          <w:tcPr>
            <w:tcW w:w="0" w:type="auto"/>
          </w:tcPr>
          <w:p w14:paraId="52A63FC3" w14:textId="77777777" w:rsidR="00991202" w:rsidRPr="00991202" w:rsidRDefault="00991202" w:rsidP="00991202">
            <w:pPr>
              <w:pStyle w:val="Body"/>
              <w:rPr>
                <w:rFonts w:ascii="Arial" w:hAnsi="Arial" w:cs="Arial"/>
              </w:rPr>
            </w:pPr>
            <w:r w:rsidRPr="00991202">
              <w:rPr>
                <w:rFonts w:ascii="Arial" w:hAnsi="Arial" w:cs="Arial"/>
              </w:rPr>
              <w:lastRenderedPageBreak/>
              <w:t xml:space="preserve">Severe axonal sensory fiber involvement with </w:t>
            </w:r>
            <w:r w:rsidRPr="00991202">
              <w:rPr>
                <w:rFonts w:ascii="Arial" w:hAnsi="Arial" w:cs="Arial"/>
              </w:rPr>
              <w:lastRenderedPageBreak/>
              <w:t>relative preservation of myelin integrity</w:t>
            </w:r>
          </w:p>
          <w:p w14:paraId="4EE8FA66" w14:textId="77777777" w:rsidR="00991202" w:rsidRPr="00991202" w:rsidRDefault="00991202" w:rsidP="00991202">
            <w:pPr>
              <w:pStyle w:val="Body"/>
              <w:rPr>
                <w:rFonts w:ascii="Arial" w:hAnsi="Arial" w:cs="Arial"/>
              </w:rPr>
            </w:pPr>
          </w:p>
        </w:tc>
        <w:tc>
          <w:tcPr>
            <w:tcW w:w="0" w:type="auto"/>
          </w:tcPr>
          <w:p w14:paraId="5ADAFDBC" w14:textId="77777777" w:rsidR="00991202" w:rsidRPr="00991202" w:rsidRDefault="00991202" w:rsidP="00991202">
            <w:pPr>
              <w:pStyle w:val="Body"/>
              <w:rPr>
                <w:rFonts w:ascii="Arial" w:hAnsi="Arial" w:cs="Arial"/>
              </w:rPr>
            </w:pPr>
            <w:r w:rsidRPr="00991202">
              <w:rPr>
                <w:rFonts w:ascii="Arial" w:hAnsi="Arial" w:cs="Arial"/>
              </w:rPr>
              <w:lastRenderedPageBreak/>
              <w:t xml:space="preserve">Impaired distal sensory input contributing to balance deficits, </w:t>
            </w:r>
            <w:r w:rsidRPr="00991202">
              <w:rPr>
                <w:rFonts w:ascii="Arial" w:hAnsi="Arial" w:cs="Arial"/>
              </w:rPr>
              <w:lastRenderedPageBreak/>
              <w:t>gait instability, and reliance on visual compensation</w:t>
            </w:r>
          </w:p>
          <w:p w14:paraId="1E44F79B" w14:textId="77777777" w:rsidR="00991202" w:rsidRPr="00991202" w:rsidRDefault="00991202" w:rsidP="00991202">
            <w:pPr>
              <w:pStyle w:val="Body"/>
              <w:rPr>
                <w:rFonts w:ascii="Arial" w:hAnsi="Arial" w:cs="Arial"/>
              </w:rPr>
            </w:pPr>
          </w:p>
        </w:tc>
      </w:tr>
      <w:tr w:rsidR="00991202" w:rsidRPr="00991202" w14:paraId="0559E2E4" w14:textId="77777777" w:rsidTr="00172ECF">
        <w:tc>
          <w:tcPr>
            <w:tcW w:w="0" w:type="auto"/>
          </w:tcPr>
          <w:p w14:paraId="45B2E400" w14:textId="77777777" w:rsidR="00991202" w:rsidRPr="0098647A" w:rsidRDefault="00991202" w:rsidP="00991202">
            <w:pPr>
              <w:pStyle w:val="Body"/>
              <w:rPr>
                <w:rFonts w:ascii="Arial" w:hAnsi="Arial" w:cs="Arial"/>
                <w:b/>
                <w:bCs/>
              </w:rPr>
            </w:pPr>
            <w:r w:rsidRPr="0098647A">
              <w:rPr>
                <w:rFonts w:ascii="Arial" w:hAnsi="Arial" w:cs="Arial"/>
                <w:b/>
                <w:bCs/>
              </w:rPr>
              <w:lastRenderedPageBreak/>
              <w:t>Motor Nerve Conduction – Distal Muscles</w:t>
            </w:r>
          </w:p>
          <w:p w14:paraId="7AE1A631" w14:textId="77777777" w:rsidR="00991202" w:rsidRPr="0098647A" w:rsidRDefault="00991202" w:rsidP="00991202">
            <w:pPr>
              <w:pStyle w:val="Body"/>
              <w:rPr>
                <w:rFonts w:ascii="Arial" w:hAnsi="Arial" w:cs="Arial"/>
                <w:b/>
                <w:bCs/>
              </w:rPr>
            </w:pPr>
          </w:p>
        </w:tc>
        <w:tc>
          <w:tcPr>
            <w:tcW w:w="0" w:type="auto"/>
          </w:tcPr>
          <w:p w14:paraId="3DB1AFF8" w14:textId="77777777" w:rsidR="00991202" w:rsidRPr="00991202" w:rsidRDefault="00991202" w:rsidP="00991202">
            <w:pPr>
              <w:pStyle w:val="Body"/>
              <w:rPr>
                <w:rFonts w:ascii="Arial" w:hAnsi="Arial" w:cs="Arial"/>
              </w:rPr>
            </w:pPr>
            <w:r w:rsidRPr="00991202">
              <w:rPr>
                <w:rFonts w:ascii="Arial" w:hAnsi="Arial" w:cs="Arial"/>
              </w:rPr>
              <w:t>Bilateral peroneal–EDB CMAPs not recordable</w:t>
            </w:r>
          </w:p>
          <w:p w14:paraId="64B894D5" w14:textId="77777777" w:rsidR="00991202" w:rsidRPr="00991202" w:rsidRDefault="00991202" w:rsidP="00991202">
            <w:pPr>
              <w:pStyle w:val="Body"/>
              <w:rPr>
                <w:rFonts w:ascii="Arial" w:hAnsi="Arial" w:cs="Arial"/>
              </w:rPr>
            </w:pPr>
          </w:p>
        </w:tc>
        <w:tc>
          <w:tcPr>
            <w:tcW w:w="0" w:type="auto"/>
          </w:tcPr>
          <w:p w14:paraId="1832A41F" w14:textId="77777777" w:rsidR="00991202" w:rsidRPr="00991202" w:rsidRDefault="00991202" w:rsidP="00991202">
            <w:pPr>
              <w:pStyle w:val="Body"/>
              <w:rPr>
                <w:rFonts w:ascii="Arial" w:hAnsi="Arial" w:cs="Arial"/>
              </w:rPr>
            </w:pPr>
            <w:r w:rsidRPr="00991202">
              <w:rPr>
                <w:rFonts w:ascii="Arial" w:hAnsi="Arial" w:cs="Arial"/>
              </w:rPr>
              <w:t>Advanced distal motor axonal degeneration</w:t>
            </w:r>
          </w:p>
          <w:p w14:paraId="69CEEC96" w14:textId="77777777" w:rsidR="00991202" w:rsidRPr="00991202" w:rsidRDefault="00991202" w:rsidP="00991202">
            <w:pPr>
              <w:pStyle w:val="Body"/>
              <w:rPr>
                <w:rFonts w:ascii="Arial" w:hAnsi="Arial" w:cs="Arial"/>
              </w:rPr>
            </w:pPr>
          </w:p>
        </w:tc>
        <w:tc>
          <w:tcPr>
            <w:tcW w:w="0" w:type="auto"/>
          </w:tcPr>
          <w:p w14:paraId="42572097" w14:textId="77777777" w:rsidR="00991202" w:rsidRPr="00991202" w:rsidRDefault="00991202" w:rsidP="00991202">
            <w:pPr>
              <w:pStyle w:val="Body"/>
              <w:rPr>
                <w:rFonts w:ascii="Arial" w:hAnsi="Arial" w:cs="Arial"/>
              </w:rPr>
            </w:pPr>
            <w:r w:rsidRPr="00991202">
              <w:rPr>
                <w:rFonts w:ascii="Arial" w:hAnsi="Arial" w:cs="Arial"/>
              </w:rPr>
              <w:t>Explains distal lower-limb weakness, reduced push-off, and difficulty with higher-level gross motor skills</w:t>
            </w:r>
          </w:p>
          <w:p w14:paraId="238A227D" w14:textId="77777777" w:rsidR="00991202" w:rsidRPr="00991202" w:rsidRDefault="00991202" w:rsidP="00991202">
            <w:pPr>
              <w:pStyle w:val="Body"/>
              <w:rPr>
                <w:rFonts w:ascii="Arial" w:hAnsi="Arial" w:cs="Arial"/>
              </w:rPr>
            </w:pPr>
          </w:p>
        </w:tc>
      </w:tr>
      <w:tr w:rsidR="00991202" w:rsidRPr="00991202" w14:paraId="0F77ACB0" w14:textId="77777777" w:rsidTr="00172ECF">
        <w:tc>
          <w:tcPr>
            <w:tcW w:w="0" w:type="auto"/>
          </w:tcPr>
          <w:p w14:paraId="6461F142" w14:textId="77777777" w:rsidR="00991202" w:rsidRPr="0098647A" w:rsidRDefault="00991202" w:rsidP="00991202">
            <w:pPr>
              <w:pStyle w:val="Body"/>
              <w:rPr>
                <w:rFonts w:ascii="Arial" w:hAnsi="Arial" w:cs="Arial"/>
                <w:b/>
                <w:bCs/>
              </w:rPr>
            </w:pPr>
            <w:r w:rsidRPr="0098647A">
              <w:rPr>
                <w:rFonts w:ascii="Arial" w:hAnsi="Arial" w:cs="Arial"/>
                <w:b/>
                <w:bCs/>
              </w:rPr>
              <w:t>Motor Nerve Conduction – Proximal/Alternate Muscles</w:t>
            </w:r>
          </w:p>
          <w:p w14:paraId="1C71662B" w14:textId="77777777" w:rsidR="00991202" w:rsidRPr="0098647A" w:rsidRDefault="00991202" w:rsidP="00991202">
            <w:pPr>
              <w:pStyle w:val="Body"/>
              <w:rPr>
                <w:rFonts w:ascii="Arial" w:hAnsi="Arial" w:cs="Arial"/>
                <w:b/>
                <w:bCs/>
              </w:rPr>
            </w:pPr>
          </w:p>
        </w:tc>
        <w:tc>
          <w:tcPr>
            <w:tcW w:w="0" w:type="auto"/>
          </w:tcPr>
          <w:p w14:paraId="45693665" w14:textId="77777777" w:rsidR="00991202" w:rsidRPr="00991202" w:rsidRDefault="00991202" w:rsidP="00991202">
            <w:pPr>
              <w:pStyle w:val="Body"/>
              <w:rPr>
                <w:rFonts w:ascii="Arial" w:hAnsi="Arial" w:cs="Arial"/>
              </w:rPr>
            </w:pPr>
            <w:r w:rsidRPr="00991202">
              <w:rPr>
                <w:rFonts w:ascii="Arial" w:hAnsi="Arial" w:cs="Arial"/>
              </w:rPr>
              <w:t>Tibial–AH and peroneal–TA CMAPs show extremely to moderately reduced amplitudes with normal latencies and velocities</w:t>
            </w:r>
          </w:p>
          <w:p w14:paraId="70589210" w14:textId="77777777" w:rsidR="00991202" w:rsidRPr="00991202" w:rsidRDefault="00991202" w:rsidP="00991202">
            <w:pPr>
              <w:pStyle w:val="Body"/>
              <w:rPr>
                <w:rFonts w:ascii="Arial" w:hAnsi="Arial" w:cs="Arial"/>
              </w:rPr>
            </w:pPr>
          </w:p>
        </w:tc>
        <w:tc>
          <w:tcPr>
            <w:tcW w:w="0" w:type="auto"/>
          </w:tcPr>
          <w:p w14:paraId="10E853B2" w14:textId="77777777" w:rsidR="00991202" w:rsidRPr="00991202" w:rsidRDefault="00991202" w:rsidP="00991202">
            <w:pPr>
              <w:pStyle w:val="Body"/>
              <w:rPr>
                <w:rFonts w:ascii="Arial" w:hAnsi="Arial" w:cs="Arial"/>
              </w:rPr>
            </w:pPr>
            <w:r w:rsidRPr="00991202">
              <w:rPr>
                <w:rFonts w:ascii="Arial" w:hAnsi="Arial" w:cs="Arial"/>
              </w:rPr>
              <w:t>Length-dependent axonal motor neuropathy with preserved conduction speed</w:t>
            </w:r>
          </w:p>
          <w:p w14:paraId="3BDF8C16" w14:textId="77777777" w:rsidR="00991202" w:rsidRPr="00991202" w:rsidRDefault="00991202" w:rsidP="00991202">
            <w:pPr>
              <w:pStyle w:val="Body"/>
              <w:rPr>
                <w:rFonts w:ascii="Arial" w:hAnsi="Arial" w:cs="Arial"/>
              </w:rPr>
            </w:pPr>
          </w:p>
        </w:tc>
        <w:tc>
          <w:tcPr>
            <w:tcW w:w="0" w:type="auto"/>
          </w:tcPr>
          <w:p w14:paraId="0A0DF938" w14:textId="77777777" w:rsidR="00991202" w:rsidRPr="00991202" w:rsidRDefault="00991202" w:rsidP="00991202">
            <w:pPr>
              <w:pStyle w:val="Body"/>
              <w:rPr>
                <w:rFonts w:ascii="Arial" w:hAnsi="Arial" w:cs="Arial"/>
              </w:rPr>
            </w:pPr>
            <w:r w:rsidRPr="00991202">
              <w:rPr>
                <w:rFonts w:ascii="Arial" w:hAnsi="Arial" w:cs="Arial"/>
              </w:rPr>
              <w:t>Selective distal motor unit loss consistent with hereditary axonal neuropathy (CMT2 phenotype)</w:t>
            </w:r>
          </w:p>
          <w:p w14:paraId="551E88EC" w14:textId="77777777" w:rsidR="00991202" w:rsidRPr="00991202" w:rsidRDefault="00991202" w:rsidP="00991202">
            <w:pPr>
              <w:pStyle w:val="Body"/>
              <w:rPr>
                <w:rFonts w:ascii="Arial" w:hAnsi="Arial" w:cs="Arial"/>
              </w:rPr>
            </w:pPr>
          </w:p>
        </w:tc>
      </w:tr>
      <w:tr w:rsidR="00991202" w:rsidRPr="00991202" w14:paraId="0D649EDB" w14:textId="77777777" w:rsidTr="00172ECF">
        <w:tc>
          <w:tcPr>
            <w:tcW w:w="0" w:type="auto"/>
          </w:tcPr>
          <w:p w14:paraId="7D28A570" w14:textId="77777777" w:rsidR="00991202" w:rsidRPr="0098647A" w:rsidRDefault="00991202" w:rsidP="00991202">
            <w:pPr>
              <w:pStyle w:val="Body"/>
              <w:rPr>
                <w:rFonts w:ascii="Arial" w:hAnsi="Arial" w:cs="Arial"/>
                <w:b/>
                <w:bCs/>
              </w:rPr>
            </w:pPr>
            <w:r w:rsidRPr="0098647A">
              <w:rPr>
                <w:rFonts w:ascii="Arial" w:hAnsi="Arial" w:cs="Arial"/>
                <w:b/>
                <w:bCs/>
              </w:rPr>
              <w:t>Late Responses</w:t>
            </w:r>
          </w:p>
          <w:p w14:paraId="1B5FC129" w14:textId="77777777" w:rsidR="00991202" w:rsidRPr="0098647A" w:rsidRDefault="00991202" w:rsidP="00991202">
            <w:pPr>
              <w:pStyle w:val="Body"/>
              <w:rPr>
                <w:rFonts w:ascii="Arial" w:hAnsi="Arial" w:cs="Arial"/>
                <w:b/>
                <w:bCs/>
              </w:rPr>
            </w:pPr>
          </w:p>
        </w:tc>
        <w:tc>
          <w:tcPr>
            <w:tcW w:w="0" w:type="auto"/>
          </w:tcPr>
          <w:p w14:paraId="438204F5" w14:textId="77777777" w:rsidR="00991202" w:rsidRPr="00991202" w:rsidRDefault="00991202" w:rsidP="00991202">
            <w:pPr>
              <w:pStyle w:val="Body"/>
              <w:rPr>
                <w:rFonts w:ascii="Arial" w:hAnsi="Arial" w:cs="Arial"/>
              </w:rPr>
            </w:pPr>
            <w:r w:rsidRPr="00991202">
              <w:rPr>
                <w:rFonts w:ascii="Arial" w:hAnsi="Arial" w:cs="Arial"/>
              </w:rPr>
              <w:t>Bilateral tibial F-waves absent</w:t>
            </w:r>
          </w:p>
          <w:p w14:paraId="6E04F448" w14:textId="77777777" w:rsidR="00991202" w:rsidRPr="00991202" w:rsidRDefault="00991202" w:rsidP="00991202">
            <w:pPr>
              <w:pStyle w:val="Body"/>
              <w:rPr>
                <w:rFonts w:ascii="Arial" w:hAnsi="Arial" w:cs="Arial"/>
              </w:rPr>
            </w:pPr>
          </w:p>
        </w:tc>
        <w:tc>
          <w:tcPr>
            <w:tcW w:w="0" w:type="auto"/>
          </w:tcPr>
          <w:p w14:paraId="4F1C60B9" w14:textId="77777777" w:rsidR="00991202" w:rsidRPr="00991202" w:rsidRDefault="00991202" w:rsidP="00991202">
            <w:pPr>
              <w:pStyle w:val="Body"/>
              <w:rPr>
                <w:rFonts w:ascii="Arial" w:hAnsi="Arial" w:cs="Arial"/>
              </w:rPr>
            </w:pPr>
            <w:r w:rsidRPr="00991202">
              <w:rPr>
                <w:rFonts w:ascii="Arial" w:hAnsi="Arial" w:cs="Arial"/>
              </w:rPr>
              <w:t>Loss of proximal motor axon excitability</w:t>
            </w:r>
          </w:p>
          <w:p w14:paraId="0EB768B6" w14:textId="77777777" w:rsidR="00991202" w:rsidRPr="00991202" w:rsidRDefault="00991202" w:rsidP="00991202">
            <w:pPr>
              <w:pStyle w:val="Body"/>
              <w:rPr>
                <w:rFonts w:ascii="Arial" w:hAnsi="Arial" w:cs="Arial"/>
              </w:rPr>
            </w:pPr>
          </w:p>
        </w:tc>
        <w:tc>
          <w:tcPr>
            <w:tcW w:w="0" w:type="auto"/>
          </w:tcPr>
          <w:p w14:paraId="2D38B6E1" w14:textId="77777777" w:rsidR="00991202" w:rsidRPr="00991202" w:rsidRDefault="00991202" w:rsidP="00991202">
            <w:pPr>
              <w:pStyle w:val="Body"/>
              <w:rPr>
                <w:rFonts w:ascii="Arial" w:hAnsi="Arial" w:cs="Arial"/>
              </w:rPr>
            </w:pPr>
            <w:r w:rsidRPr="00991202">
              <w:rPr>
                <w:rFonts w:ascii="Arial" w:hAnsi="Arial" w:cs="Arial"/>
              </w:rPr>
              <w:t>Indicates widespread axonal involvement affecting long motor pathways</w:t>
            </w:r>
          </w:p>
          <w:p w14:paraId="73CCA862" w14:textId="77777777" w:rsidR="00991202" w:rsidRPr="00991202" w:rsidRDefault="00991202" w:rsidP="00991202">
            <w:pPr>
              <w:pStyle w:val="Body"/>
              <w:rPr>
                <w:rFonts w:ascii="Arial" w:hAnsi="Arial" w:cs="Arial"/>
              </w:rPr>
            </w:pPr>
          </w:p>
        </w:tc>
      </w:tr>
      <w:tr w:rsidR="00991202" w:rsidRPr="00991202" w14:paraId="6C83A6B3" w14:textId="77777777" w:rsidTr="00172ECF">
        <w:tc>
          <w:tcPr>
            <w:tcW w:w="0" w:type="auto"/>
          </w:tcPr>
          <w:p w14:paraId="682EF6B9" w14:textId="77777777" w:rsidR="00991202" w:rsidRPr="0098647A" w:rsidRDefault="00991202" w:rsidP="00991202">
            <w:pPr>
              <w:pStyle w:val="Body"/>
              <w:rPr>
                <w:rFonts w:ascii="Arial" w:hAnsi="Arial" w:cs="Arial"/>
                <w:b/>
                <w:bCs/>
              </w:rPr>
            </w:pPr>
            <w:r w:rsidRPr="0098647A">
              <w:rPr>
                <w:rFonts w:ascii="Arial" w:hAnsi="Arial" w:cs="Arial"/>
                <w:b/>
                <w:bCs/>
              </w:rPr>
              <w:t>Reflex Pathways</w:t>
            </w:r>
          </w:p>
          <w:p w14:paraId="6CBBF5C4" w14:textId="77777777" w:rsidR="00991202" w:rsidRPr="0098647A" w:rsidRDefault="00991202" w:rsidP="00991202">
            <w:pPr>
              <w:pStyle w:val="Body"/>
              <w:rPr>
                <w:rFonts w:ascii="Arial" w:hAnsi="Arial" w:cs="Arial"/>
                <w:b/>
                <w:bCs/>
              </w:rPr>
            </w:pPr>
          </w:p>
        </w:tc>
        <w:tc>
          <w:tcPr>
            <w:tcW w:w="0" w:type="auto"/>
          </w:tcPr>
          <w:p w14:paraId="01D042E3" w14:textId="77777777" w:rsidR="00991202" w:rsidRPr="00991202" w:rsidRDefault="00991202" w:rsidP="00991202">
            <w:pPr>
              <w:pStyle w:val="Body"/>
              <w:rPr>
                <w:rFonts w:ascii="Arial" w:hAnsi="Arial" w:cs="Arial"/>
              </w:rPr>
            </w:pPr>
            <w:r w:rsidRPr="00991202">
              <w:rPr>
                <w:rFonts w:ascii="Arial" w:hAnsi="Arial" w:cs="Arial"/>
              </w:rPr>
              <w:t>Bilateral tibial H-reflexes absent</w:t>
            </w:r>
          </w:p>
          <w:p w14:paraId="2DA2BA7C" w14:textId="77777777" w:rsidR="00991202" w:rsidRPr="00991202" w:rsidRDefault="00991202" w:rsidP="00991202">
            <w:pPr>
              <w:pStyle w:val="Body"/>
              <w:rPr>
                <w:rFonts w:ascii="Arial" w:hAnsi="Arial" w:cs="Arial"/>
              </w:rPr>
            </w:pPr>
          </w:p>
        </w:tc>
        <w:tc>
          <w:tcPr>
            <w:tcW w:w="0" w:type="auto"/>
          </w:tcPr>
          <w:p w14:paraId="56D8ED7B" w14:textId="77777777" w:rsidR="00991202" w:rsidRPr="00991202" w:rsidRDefault="00991202" w:rsidP="00991202">
            <w:pPr>
              <w:pStyle w:val="Body"/>
              <w:rPr>
                <w:rFonts w:ascii="Arial" w:hAnsi="Arial" w:cs="Arial"/>
              </w:rPr>
            </w:pPr>
            <w:r w:rsidRPr="00991202">
              <w:rPr>
                <w:rFonts w:ascii="Arial" w:hAnsi="Arial" w:cs="Arial"/>
              </w:rPr>
              <w:t xml:space="preserve">Impaired </w:t>
            </w:r>
            <w:proofErr w:type="spellStart"/>
            <w:r w:rsidRPr="00991202">
              <w:rPr>
                <w:rFonts w:ascii="Arial" w:hAnsi="Arial" w:cs="Arial"/>
              </w:rPr>
              <w:t>Ia</w:t>
            </w:r>
            <w:proofErr w:type="spellEnd"/>
            <w:r w:rsidRPr="00991202">
              <w:rPr>
                <w:rFonts w:ascii="Arial" w:hAnsi="Arial" w:cs="Arial"/>
              </w:rPr>
              <w:t xml:space="preserve"> afferent–alpha motor neuron reflex arc</w:t>
            </w:r>
          </w:p>
          <w:p w14:paraId="5B1B6EA2" w14:textId="77777777" w:rsidR="00991202" w:rsidRPr="00991202" w:rsidRDefault="00991202" w:rsidP="00991202">
            <w:pPr>
              <w:pStyle w:val="Body"/>
              <w:rPr>
                <w:rFonts w:ascii="Arial" w:hAnsi="Arial" w:cs="Arial"/>
              </w:rPr>
            </w:pPr>
          </w:p>
        </w:tc>
        <w:tc>
          <w:tcPr>
            <w:tcW w:w="0" w:type="auto"/>
          </w:tcPr>
          <w:p w14:paraId="46702CB8" w14:textId="77777777" w:rsidR="00991202" w:rsidRPr="00991202" w:rsidRDefault="00991202" w:rsidP="00991202">
            <w:pPr>
              <w:pStyle w:val="Body"/>
              <w:rPr>
                <w:rFonts w:ascii="Arial" w:hAnsi="Arial" w:cs="Arial"/>
              </w:rPr>
            </w:pPr>
            <w:r w:rsidRPr="00991202">
              <w:rPr>
                <w:rFonts w:ascii="Arial" w:hAnsi="Arial" w:cs="Arial"/>
              </w:rPr>
              <w:t>Correlates with reduced ankle reflexes and postural instability</w:t>
            </w:r>
          </w:p>
          <w:p w14:paraId="58706FF3" w14:textId="77777777" w:rsidR="00991202" w:rsidRPr="00991202" w:rsidRDefault="00991202" w:rsidP="00991202">
            <w:pPr>
              <w:pStyle w:val="Body"/>
              <w:rPr>
                <w:rFonts w:ascii="Arial" w:hAnsi="Arial" w:cs="Arial"/>
              </w:rPr>
            </w:pPr>
          </w:p>
        </w:tc>
      </w:tr>
      <w:tr w:rsidR="00991202" w:rsidRPr="00991202" w14:paraId="07986B0F" w14:textId="77777777" w:rsidTr="00172ECF">
        <w:tc>
          <w:tcPr>
            <w:tcW w:w="0" w:type="auto"/>
          </w:tcPr>
          <w:p w14:paraId="119F10AC" w14:textId="77777777" w:rsidR="00991202" w:rsidRPr="0098647A" w:rsidRDefault="00991202" w:rsidP="00991202">
            <w:pPr>
              <w:pStyle w:val="Body"/>
              <w:rPr>
                <w:rFonts w:ascii="Arial" w:hAnsi="Arial" w:cs="Arial"/>
                <w:b/>
                <w:bCs/>
              </w:rPr>
            </w:pPr>
            <w:r w:rsidRPr="0098647A">
              <w:rPr>
                <w:rFonts w:ascii="Arial" w:hAnsi="Arial" w:cs="Arial"/>
                <w:b/>
                <w:bCs/>
              </w:rPr>
              <w:t>Overall NCV Interpretation</w:t>
            </w:r>
          </w:p>
          <w:p w14:paraId="1E4F62D7" w14:textId="77777777" w:rsidR="00991202" w:rsidRPr="0098647A" w:rsidRDefault="00991202" w:rsidP="00991202">
            <w:pPr>
              <w:pStyle w:val="Body"/>
              <w:rPr>
                <w:rFonts w:ascii="Arial" w:hAnsi="Arial" w:cs="Arial"/>
                <w:b/>
                <w:bCs/>
              </w:rPr>
            </w:pPr>
          </w:p>
        </w:tc>
        <w:tc>
          <w:tcPr>
            <w:tcW w:w="0" w:type="auto"/>
          </w:tcPr>
          <w:p w14:paraId="668F891A" w14:textId="77777777" w:rsidR="00991202" w:rsidRPr="00991202" w:rsidRDefault="00991202" w:rsidP="00991202">
            <w:pPr>
              <w:pStyle w:val="Body"/>
              <w:rPr>
                <w:rFonts w:ascii="Arial" w:hAnsi="Arial" w:cs="Arial"/>
              </w:rPr>
            </w:pPr>
            <w:r w:rsidRPr="00991202">
              <w:rPr>
                <w:rFonts w:ascii="Arial" w:hAnsi="Arial" w:cs="Arial"/>
              </w:rPr>
              <w:t>Moderately severe primary axonal sensorimotor polyneuropathy</w:t>
            </w:r>
          </w:p>
          <w:p w14:paraId="2B8B90B9" w14:textId="77777777" w:rsidR="00991202" w:rsidRPr="00991202" w:rsidRDefault="00991202" w:rsidP="00991202">
            <w:pPr>
              <w:pStyle w:val="Body"/>
              <w:rPr>
                <w:rFonts w:ascii="Arial" w:hAnsi="Arial" w:cs="Arial"/>
              </w:rPr>
            </w:pPr>
          </w:p>
        </w:tc>
        <w:tc>
          <w:tcPr>
            <w:tcW w:w="0" w:type="auto"/>
          </w:tcPr>
          <w:p w14:paraId="243BE0BA" w14:textId="77777777" w:rsidR="00991202" w:rsidRPr="00991202" w:rsidRDefault="00991202" w:rsidP="00991202">
            <w:pPr>
              <w:pStyle w:val="Body"/>
              <w:rPr>
                <w:rFonts w:ascii="Arial" w:hAnsi="Arial" w:cs="Arial"/>
              </w:rPr>
            </w:pPr>
            <w:r w:rsidRPr="00991202">
              <w:rPr>
                <w:rFonts w:ascii="Arial" w:hAnsi="Arial" w:cs="Arial"/>
              </w:rPr>
              <w:t>Axonal rather than demyelinating pathology</w:t>
            </w:r>
          </w:p>
          <w:p w14:paraId="2828F90B" w14:textId="77777777" w:rsidR="00991202" w:rsidRPr="00991202" w:rsidRDefault="00991202" w:rsidP="00991202">
            <w:pPr>
              <w:pStyle w:val="Body"/>
              <w:rPr>
                <w:rFonts w:ascii="Arial" w:hAnsi="Arial" w:cs="Arial"/>
              </w:rPr>
            </w:pPr>
          </w:p>
        </w:tc>
        <w:tc>
          <w:tcPr>
            <w:tcW w:w="0" w:type="auto"/>
          </w:tcPr>
          <w:p w14:paraId="46E6DAAF" w14:textId="77777777" w:rsidR="00991202" w:rsidRPr="00991202" w:rsidRDefault="00991202" w:rsidP="00991202">
            <w:pPr>
              <w:pStyle w:val="Body"/>
              <w:rPr>
                <w:rFonts w:ascii="Arial" w:hAnsi="Arial" w:cs="Arial"/>
              </w:rPr>
            </w:pPr>
            <w:r w:rsidRPr="00991202">
              <w:rPr>
                <w:rFonts w:ascii="Arial" w:hAnsi="Arial" w:cs="Arial"/>
              </w:rPr>
              <w:t>Electrophysiological profile strongly supports CMT type II in appropriate clinical context</w:t>
            </w:r>
          </w:p>
          <w:p w14:paraId="2160548D" w14:textId="77777777" w:rsidR="00991202" w:rsidRPr="00991202" w:rsidRDefault="00991202" w:rsidP="00991202">
            <w:pPr>
              <w:pStyle w:val="Body"/>
              <w:rPr>
                <w:rFonts w:ascii="Arial" w:hAnsi="Arial" w:cs="Arial"/>
              </w:rPr>
            </w:pPr>
          </w:p>
        </w:tc>
      </w:tr>
      <w:tr w:rsidR="00991202" w:rsidRPr="00991202" w14:paraId="19075FC6" w14:textId="77777777" w:rsidTr="00172ECF">
        <w:tc>
          <w:tcPr>
            <w:tcW w:w="0" w:type="auto"/>
          </w:tcPr>
          <w:p w14:paraId="7D4FDD03" w14:textId="77777777" w:rsidR="00991202" w:rsidRPr="0098647A" w:rsidRDefault="00991202" w:rsidP="00991202">
            <w:pPr>
              <w:pStyle w:val="Body"/>
              <w:rPr>
                <w:rFonts w:ascii="Arial" w:hAnsi="Arial" w:cs="Arial"/>
                <w:b/>
                <w:bCs/>
              </w:rPr>
            </w:pPr>
            <w:r w:rsidRPr="0098647A">
              <w:rPr>
                <w:rFonts w:ascii="Arial" w:hAnsi="Arial" w:cs="Arial"/>
                <w:b/>
                <w:bCs/>
              </w:rPr>
              <w:t>Prenatal History</w:t>
            </w:r>
          </w:p>
          <w:p w14:paraId="7BDEAFA0" w14:textId="77777777" w:rsidR="00991202" w:rsidRPr="0098647A" w:rsidRDefault="00991202" w:rsidP="00991202">
            <w:pPr>
              <w:pStyle w:val="Body"/>
              <w:rPr>
                <w:rFonts w:ascii="Arial" w:hAnsi="Arial" w:cs="Arial"/>
                <w:b/>
                <w:bCs/>
              </w:rPr>
            </w:pPr>
          </w:p>
        </w:tc>
        <w:tc>
          <w:tcPr>
            <w:tcW w:w="0" w:type="auto"/>
          </w:tcPr>
          <w:p w14:paraId="290490ED" w14:textId="77777777" w:rsidR="00991202" w:rsidRPr="00991202" w:rsidRDefault="00991202" w:rsidP="00991202">
            <w:pPr>
              <w:pStyle w:val="Body"/>
              <w:rPr>
                <w:rFonts w:ascii="Arial" w:hAnsi="Arial" w:cs="Arial"/>
              </w:rPr>
            </w:pPr>
            <w:r w:rsidRPr="00991202">
              <w:rPr>
                <w:rFonts w:ascii="Arial" w:hAnsi="Arial" w:cs="Arial"/>
              </w:rPr>
              <w:t>Maternal hypotension during all pregnancies; no metabolic or infectious risk factors</w:t>
            </w:r>
          </w:p>
          <w:p w14:paraId="2F389B0E" w14:textId="77777777" w:rsidR="00991202" w:rsidRPr="00991202" w:rsidRDefault="00991202" w:rsidP="00991202">
            <w:pPr>
              <w:pStyle w:val="Body"/>
              <w:rPr>
                <w:rFonts w:ascii="Arial" w:hAnsi="Arial" w:cs="Arial"/>
              </w:rPr>
            </w:pPr>
          </w:p>
        </w:tc>
        <w:tc>
          <w:tcPr>
            <w:tcW w:w="0" w:type="auto"/>
          </w:tcPr>
          <w:p w14:paraId="29A14273" w14:textId="77777777" w:rsidR="00991202" w:rsidRPr="00991202" w:rsidRDefault="00991202" w:rsidP="00991202">
            <w:pPr>
              <w:pStyle w:val="Body"/>
              <w:rPr>
                <w:rFonts w:ascii="Arial" w:hAnsi="Arial" w:cs="Arial"/>
              </w:rPr>
            </w:pPr>
            <w:r w:rsidRPr="00991202">
              <w:rPr>
                <w:rFonts w:ascii="Arial" w:hAnsi="Arial" w:cs="Arial"/>
              </w:rPr>
              <w:t>Absence of secondary neuropathy risk factors</w:t>
            </w:r>
          </w:p>
          <w:p w14:paraId="2A7F11DE" w14:textId="77777777" w:rsidR="00991202" w:rsidRPr="00991202" w:rsidRDefault="00991202" w:rsidP="00991202">
            <w:pPr>
              <w:pStyle w:val="Body"/>
              <w:rPr>
                <w:rFonts w:ascii="Arial" w:hAnsi="Arial" w:cs="Arial"/>
              </w:rPr>
            </w:pPr>
          </w:p>
        </w:tc>
        <w:tc>
          <w:tcPr>
            <w:tcW w:w="0" w:type="auto"/>
          </w:tcPr>
          <w:p w14:paraId="67DD2E30" w14:textId="77777777" w:rsidR="00991202" w:rsidRPr="00991202" w:rsidRDefault="00991202" w:rsidP="00991202">
            <w:pPr>
              <w:pStyle w:val="Body"/>
              <w:rPr>
                <w:rFonts w:ascii="Arial" w:hAnsi="Arial" w:cs="Arial"/>
              </w:rPr>
            </w:pPr>
            <w:r w:rsidRPr="00991202">
              <w:rPr>
                <w:rFonts w:ascii="Arial" w:hAnsi="Arial" w:cs="Arial"/>
              </w:rPr>
              <w:t>Supports hereditary rather than acquired etiology</w:t>
            </w:r>
          </w:p>
          <w:p w14:paraId="2B41DEA6" w14:textId="77777777" w:rsidR="00991202" w:rsidRPr="00991202" w:rsidRDefault="00991202" w:rsidP="00991202">
            <w:pPr>
              <w:pStyle w:val="Body"/>
              <w:rPr>
                <w:rFonts w:ascii="Arial" w:hAnsi="Arial" w:cs="Arial"/>
              </w:rPr>
            </w:pPr>
          </w:p>
        </w:tc>
      </w:tr>
      <w:tr w:rsidR="00991202" w:rsidRPr="00991202" w14:paraId="0E0ECFCC" w14:textId="77777777" w:rsidTr="00172ECF">
        <w:tc>
          <w:tcPr>
            <w:tcW w:w="0" w:type="auto"/>
          </w:tcPr>
          <w:p w14:paraId="4AF1DDC2" w14:textId="77777777" w:rsidR="00991202" w:rsidRPr="0098647A" w:rsidRDefault="00991202" w:rsidP="00991202">
            <w:pPr>
              <w:pStyle w:val="Body"/>
              <w:rPr>
                <w:rFonts w:ascii="Arial" w:hAnsi="Arial" w:cs="Arial"/>
                <w:b/>
                <w:bCs/>
              </w:rPr>
            </w:pPr>
            <w:r w:rsidRPr="0098647A">
              <w:rPr>
                <w:rFonts w:ascii="Arial" w:hAnsi="Arial" w:cs="Arial"/>
                <w:b/>
                <w:bCs/>
              </w:rPr>
              <w:t>Natal History</w:t>
            </w:r>
          </w:p>
          <w:p w14:paraId="3BD54979" w14:textId="77777777" w:rsidR="00991202" w:rsidRPr="0098647A" w:rsidRDefault="00991202" w:rsidP="00991202">
            <w:pPr>
              <w:pStyle w:val="Body"/>
              <w:rPr>
                <w:rFonts w:ascii="Arial" w:hAnsi="Arial" w:cs="Arial"/>
                <w:b/>
                <w:bCs/>
              </w:rPr>
            </w:pPr>
          </w:p>
        </w:tc>
        <w:tc>
          <w:tcPr>
            <w:tcW w:w="0" w:type="auto"/>
          </w:tcPr>
          <w:p w14:paraId="00707350" w14:textId="77777777" w:rsidR="00991202" w:rsidRPr="00991202" w:rsidRDefault="00991202" w:rsidP="00991202">
            <w:pPr>
              <w:pStyle w:val="Body"/>
              <w:rPr>
                <w:rFonts w:ascii="Arial" w:hAnsi="Arial" w:cs="Arial"/>
              </w:rPr>
            </w:pPr>
            <w:r w:rsidRPr="00991202">
              <w:rPr>
                <w:rFonts w:ascii="Arial" w:hAnsi="Arial" w:cs="Arial"/>
              </w:rPr>
              <w:t>Full-term vaginal delivery; normal birth cry; no NICU admission</w:t>
            </w:r>
          </w:p>
          <w:p w14:paraId="75047B0F" w14:textId="77777777" w:rsidR="00991202" w:rsidRPr="00991202" w:rsidRDefault="00991202" w:rsidP="00991202">
            <w:pPr>
              <w:pStyle w:val="Body"/>
              <w:rPr>
                <w:rFonts w:ascii="Arial" w:hAnsi="Arial" w:cs="Arial"/>
              </w:rPr>
            </w:pPr>
          </w:p>
        </w:tc>
        <w:tc>
          <w:tcPr>
            <w:tcW w:w="0" w:type="auto"/>
          </w:tcPr>
          <w:p w14:paraId="47F1D4BA" w14:textId="77777777" w:rsidR="00991202" w:rsidRPr="00991202" w:rsidRDefault="00991202" w:rsidP="00991202">
            <w:pPr>
              <w:pStyle w:val="Body"/>
              <w:rPr>
                <w:rFonts w:ascii="Arial" w:hAnsi="Arial" w:cs="Arial"/>
              </w:rPr>
            </w:pPr>
            <w:r w:rsidRPr="00991202">
              <w:rPr>
                <w:rFonts w:ascii="Arial" w:hAnsi="Arial" w:cs="Arial"/>
              </w:rPr>
              <w:t>Uncomplicated perinatal course</w:t>
            </w:r>
          </w:p>
          <w:p w14:paraId="237AC6B4" w14:textId="77777777" w:rsidR="00991202" w:rsidRPr="00991202" w:rsidRDefault="00991202" w:rsidP="00991202">
            <w:pPr>
              <w:pStyle w:val="Body"/>
              <w:rPr>
                <w:rFonts w:ascii="Arial" w:hAnsi="Arial" w:cs="Arial"/>
              </w:rPr>
            </w:pPr>
          </w:p>
        </w:tc>
        <w:tc>
          <w:tcPr>
            <w:tcW w:w="0" w:type="auto"/>
          </w:tcPr>
          <w:p w14:paraId="3825A6C8" w14:textId="77777777" w:rsidR="00991202" w:rsidRPr="00991202" w:rsidRDefault="00991202" w:rsidP="00991202">
            <w:pPr>
              <w:pStyle w:val="Body"/>
              <w:rPr>
                <w:rFonts w:ascii="Arial" w:hAnsi="Arial" w:cs="Arial"/>
              </w:rPr>
            </w:pPr>
            <w:r w:rsidRPr="00991202">
              <w:rPr>
                <w:rFonts w:ascii="Arial" w:hAnsi="Arial" w:cs="Arial"/>
              </w:rPr>
              <w:t>Reduces likelihood of perinatal hypoxic or traumatic neuropathy</w:t>
            </w:r>
          </w:p>
          <w:p w14:paraId="177C13C3" w14:textId="77777777" w:rsidR="00991202" w:rsidRPr="00991202" w:rsidRDefault="00991202" w:rsidP="00991202">
            <w:pPr>
              <w:pStyle w:val="Body"/>
              <w:rPr>
                <w:rFonts w:ascii="Arial" w:hAnsi="Arial" w:cs="Arial"/>
              </w:rPr>
            </w:pPr>
          </w:p>
        </w:tc>
      </w:tr>
      <w:tr w:rsidR="00991202" w:rsidRPr="00991202" w14:paraId="5DB410E1" w14:textId="77777777" w:rsidTr="00172ECF">
        <w:tc>
          <w:tcPr>
            <w:tcW w:w="0" w:type="auto"/>
          </w:tcPr>
          <w:p w14:paraId="6946822C" w14:textId="77777777" w:rsidR="00991202" w:rsidRPr="0098647A" w:rsidRDefault="00991202" w:rsidP="00991202">
            <w:pPr>
              <w:pStyle w:val="Body"/>
              <w:rPr>
                <w:rFonts w:ascii="Arial" w:hAnsi="Arial" w:cs="Arial"/>
                <w:b/>
                <w:bCs/>
              </w:rPr>
            </w:pPr>
            <w:r w:rsidRPr="0098647A">
              <w:rPr>
                <w:rFonts w:ascii="Arial" w:hAnsi="Arial" w:cs="Arial"/>
                <w:b/>
                <w:bCs/>
              </w:rPr>
              <w:t>Feeding and Early Development</w:t>
            </w:r>
          </w:p>
          <w:p w14:paraId="50FCD39C" w14:textId="77777777" w:rsidR="00991202" w:rsidRPr="0098647A" w:rsidRDefault="00991202" w:rsidP="00991202">
            <w:pPr>
              <w:pStyle w:val="Body"/>
              <w:rPr>
                <w:rFonts w:ascii="Arial" w:hAnsi="Arial" w:cs="Arial"/>
                <w:b/>
                <w:bCs/>
              </w:rPr>
            </w:pPr>
          </w:p>
        </w:tc>
        <w:tc>
          <w:tcPr>
            <w:tcW w:w="0" w:type="auto"/>
          </w:tcPr>
          <w:p w14:paraId="0E4EEAA8" w14:textId="77777777" w:rsidR="00991202" w:rsidRPr="00991202" w:rsidRDefault="00991202" w:rsidP="00991202">
            <w:pPr>
              <w:pStyle w:val="Body"/>
              <w:rPr>
                <w:rFonts w:ascii="Arial" w:hAnsi="Arial" w:cs="Arial"/>
              </w:rPr>
            </w:pPr>
            <w:r w:rsidRPr="00991202">
              <w:rPr>
                <w:rFonts w:ascii="Arial" w:hAnsi="Arial" w:cs="Arial"/>
              </w:rPr>
              <w:t>Normal breastfeeding initiation and duration; no feeding or swallowing difficulties</w:t>
            </w:r>
          </w:p>
          <w:p w14:paraId="048CE07D" w14:textId="77777777" w:rsidR="00991202" w:rsidRPr="00991202" w:rsidRDefault="00991202" w:rsidP="00991202">
            <w:pPr>
              <w:pStyle w:val="Body"/>
              <w:rPr>
                <w:rFonts w:ascii="Arial" w:hAnsi="Arial" w:cs="Arial"/>
              </w:rPr>
            </w:pPr>
          </w:p>
        </w:tc>
        <w:tc>
          <w:tcPr>
            <w:tcW w:w="0" w:type="auto"/>
          </w:tcPr>
          <w:p w14:paraId="2B8CCA64" w14:textId="77777777" w:rsidR="00991202" w:rsidRPr="00991202" w:rsidRDefault="00991202" w:rsidP="00991202">
            <w:pPr>
              <w:pStyle w:val="Body"/>
              <w:rPr>
                <w:rFonts w:ascii="Arial" w:hAnsi="Arial" w:cs="Arial"/>
              </w:rPr>
            </w:pPr>
            <w:r w:rsidRPr="00991202">
              <w:rPr>
                <w:rFonts w:ascii="Arial" w:hAnsi="Arial" w:cs="Arial"/>
              </w:rPr>
              <w:t>Intact early neuromuscular function</w:t>
            </w:r>
          </w:p>
          <w:p w14:paraId="533D33E5" w14:textId="77777777" w:rsidR="00991202" w:rsidRPr="00991202" w:rsidRDefault="00991202" w:rsidP="00991202">
            <w:pPr>
              <w:pStyle w:val="Body"/>
              <w:rPr>
                <w:rFonts w:ascii="Arial" w:hAnsi="Arial" w:cs="Arial"/>
              </w:rPr>
            </w:pPr>
          </w:p>
        </w:tc>
        <w:tc>
          <w:tcPr>
            <w:tcW w:w="0" w:type="auto"/>
          </w:tcPr>
          <w:p w14:paraId="6DFCC2A9" w14:textId="77777777" w:rsidR="00991202" w:rsidRPr="00991202" w:rsidRDefault="00991202" w:rsidP="00991202">
            <w:pPr>
              <w:pStyle w:val="Body"/>
              <w:rPr>
                <w:rFonts w:ascii="Arial" w:hAnsi="Arial" w:cs="Arial"/>
              </w:rPr>
            </w:pPr>
            <w:r w:rsidRPr="00991202">
              <w:rPr>
                <w:rFonts w:ascii="Arial" w:hAnsi="Arial" w:cs="Arial"/>
              </w:rPr>
              <w:t>Consistent with delayed onset and progressive nature of hereditary neuropathy</w:t>
            </w:r>
          </w:p>
          <w:p w14:paraId="14C4D1DF" w14:textId="77777777" w:rsidR="00991202" w:rsidRPr="00991202" w:rsidRDefault="00991202" w:rsidP="00991202">
            <w:pPr>
              <w:pStyle w:val="Body"/>
              <w:rPr>
                <w:rFonts w:ascii="Arial" w:hAnsi="Arial" w:cs="Arial"/>
              </w:rPr>
            </w:pPr>
          </w:p>
        </w:tc>
      </w:tr>
      <w:tr w:rsidR="00991202" w:rsidRPr="00991202" w14:paraId="5CCAAB04" w14:textId="77777777" w:rsidTr="00172ECF">
        <w:tc>
          <w:tcPr>
            <w:tcW w:w="0" w:type="auto"/>
          </w:tcPr>
          <w:p w14:paraId="5FF882C5" w14:textId="77777777" w:rsidR="00991202" w:rsidRPr="0098647A" w:rsidRDefault="00991202" w:rsidP="00991202">
            <w:pPr>
              <w:pStyle w:val="Body"/>
              <w:rPr>
                <w:rFonts w:ascii="Arial" w:hAnsi="Arial" w:cs="Arial"/>
                <w:b/>
                <w:bCs/>
              </w:rPr>
            </w:pPr>
            <w:r w:rsidRPr="0098647A">
              <w:rPr>
                <w:rFonts w:ascii="Arial" w:hAnsi="Arial" w:cs="Arial"/>
                <w:b/>
                <w:bCs/>
              </w:rPr>
              <w:t>Family History</w:t>
            </w:r>
          </w:p>
          <w:p w14:paraId="5BBDA325" w14:textId="77777777" w:rsidR="00991202" w:rsidRPr="0098647A" w:rsidRDefault="00991202" w:rsidP="00991202">
            <w:pPr>
              <w:pStyle w:val="Body"/>
              <w:rPr>
                <w:rFonts w:ascii="Arial" w:hAnsi="Arial" w:cs="Arial"/>
                <w:b/>
                <w:bCs/>
              </w:rPr>
            </w:pPr>
          </w:p>
        </w:tc>
        <w:tc>
          <w:tcPr>
            <w:tcW w:w="0" w:type="auto"/>
          </w:tcPr>
          <w:p w14:paraId="1528ABA5" w14:textId="77777777" w:rsidR="00991202" w:rsidRPr="00991202" w:rsidRDefault="00991202" w:rsidP="00991202">
            <w:pPr>
              <w:pStyle w:val="Body"/>
              <w:rPr>
                <w:rFonts w:ascii="Arial" w:hAnsi="Arial" w:cs="Arial"/>
              </w:rPr>
            </w:pPr>
            <w:r w:rsidRPr="00991202">
              <w:rPr>
                <w:rFonts w:ascii="Arial" w:hAnsi="Arial" w:cs="Arial"/>
              </w:rPr>
              <w:lastRenderedPageBreak/>
              <w:t xml:space="preserve">No consanguinity; siblings </w:t>
            </w:r>
            <w:r w:rsidRPr="00991202">
              <w:rPr>
                <w:rFonts w:ascii="Arial" w:hAnsi="Arial" w:cs="Arial"/>
              </w:rPr>
              <w:lastRenderedPageBreak/>
              <w:t>unaffected</w:t>
            </w:r>
          </w:p>
          <w:p w14:paraId="544D8D51" w14:textId="77777777" w:rsidR="00991202" w:rsidRPr="00991202" w:rsidRDefault="00991202" w:rsidP="00991202">
            <w:pPr>
              <w:pStyle w:val="Body"/>
              <w:rPr>
                <w:rFonts w:ascii="Arial" w:hAnsi="Arial" w:cs="Arial"/>
              </w:rPr>
            </w:pPr>
          </w:p>
        </w:tc>
        <w:tc>
          <w:tcPr>
            <w:tcW w:w="0" w:type="auto"/>
          </w:tcPr>
          <w:p w14:paraId="3E3334FE" w14:textId="77777777" w:rsidR="00991202" w:rsidRPr="00991202" w:rsidRDefault="00991202" w:rsidP="00991202">
            <w:pPr>
              <w:pStyle w:val="Body"/>
              <w:rPr>
                <w:rFonts w:ascii="Arial" w:hAnsi="Arial" w:cs="Arial"/>
              </w:rPr>
            </w:pPr>
            <w:r w:rsidRPr="00991202">
              <w:rPr>
                <w:rFonts w:ascii="Arial" w:hAnsi="Arial" w:cs="Arial"/>
              </w:rPr>
              <w:lastRenderedPageBreak/>
              <w:t xml:space="preserve">Possible de novo mutation or variable </w:t>
            </w:r>
            <w:r w:rsidRPr="00991202">
              <w:rPr>
                <w:rFonts w:ascii="Arial" w:hAnsi="Arial" w:cs="Arial"/>
              </w:rPr>
              <w:lastRenderedPageBreak/>
              <w:t>penetrance</w:t>
            </w:r>
          </w:p>
          <w:p w14:paraId="4D84C293" w14:textId="77777777" w:rsidR="00991202" w:rsidRPr="00991202" w:rsidRDefault="00991202" w:rsidP="00991202">
            <w:pPr>
              <w:pStyle w:val="Body"/>
              <w:rPr>
                <w:rFonts w:ascii="Arial" w:hAnsi="Arial" w:cs="Arial"/>
              </w:rPr>
            </w:pPr>
          </w:p>
        </w:tc>
        <w:tc>
          <w:tcPr>
            <w:tcW w:w="0" w:type="auto"/>
          </w:tcPr>
          <w:p w14:paraId="7929541F" w14:textId="77777777" w:rsidR="00991202" w:rsidRPr="00991202" w:rsidRDefault="00991202" w:rsidP="00991202">
            <w:pPr>
              <w:pStyle w:val="Body"/>
              <w:rPr>
                <w:rFonts w:ascii="Arial" w:hAnsi="Arial" w:cs="Arial"/>
              </w:rPr>
            </w:pPr>
            <w:r w:rsidRPr="00991202">
              <w:rPr>
                <w:rFonts w:ascii="Arial" w:hAnsi="Arial" w:cs="Arial"/>
              </w:rPr>
              <w:lastRenderedPageBreak/>
              <w:t xml:space="preserve">Highlights need for genetic </w:t>
            </w:r>
            <w:r w:rsidRPr="00991202">
              <w:rPr>
                <w:rFonts w:ascii="Arial" w:hAnsi="Arial" w:cs="Arial"/>
              </w:rPr>
              <w:lastRenderedPageBreak/>
              <w:t>confirmation and counseling</w:t>
            </w:r>
          </w:p>
          <w:p w14:paraId="418D177B" w14:textId="77777777" w:rsidR="00991202" w:rsidRPr="00991202" w:rsidRDefault="00991202" w:rsidP="00991202">
            <w:pPr>
              <w:pStyle w:val="Body"/>
              <w:rPr>
                <w:rFonts w:ascii="Arial" w:hAnsi="Arial" w:cs="Arial"/>
              </w:rPr>
            </w:pPr>
          </w:p>
        </w:tc>
      </w:tr>
      <w:tr w:rsidR="00991202" w:rsidRPr="00991202" w14:paraId="51459CA5" w14:textId="77777777" w:rsidTr="00172ECF">
        <w:tc>
          <w:tcPr>
            <w:tcW w:w="0" w:type="auto"/>
          </w:tcPr>
          <w:p w14:paraId="660F906B" w14:textId="77777777" w:rsidR="00991202" w:rsidRPr="0098647A" w:rsidRDefault="00991202" w:rsidP="00991202">
            <w:pPr>
              <w:pStyle w:val="Body"/>
              <w:rPr>
                <w:rFonts w:ascii="Arial" w:hAnsi="Arial" w:cs="Arial"/>
                <w:b/>
                <w:bCs/>
              </w:rPr>
            </w:pPr>
            <w:r w:rsidRPr="0098647A">
              <w:rPr>
                <w:rFonts w:ascii="Arial" w:hAnsi="Arial" w:cs="Arial"/>
                <w:b/>
                <w:bCs/>
              </w:rPr>
              <w:lastRenderedPageBreak/>
              <w:t>Cognitive Profile</w:t>
            </w:r>
          </w:p>
          <w:p w14:paraId="7E243C26" w14:textId="77777777" w:rsidR="00991202" w:rsidRPr="0098647A" w:rsidRDefault="00991202" w:rsidP="00991202">
            <w:pPr>
              <w:pStyle w:val="Body"/>
              <w:rPr>
                <w:rFonts w:ascii="Arial" w:hAnsi="Arial" w:cs="Arial"/>
                <w:b/>
                <w:bCs/>
              </w:rPr>
            </w:pPr>
          </w:p>
        </w:tc>
        <w:tc>
          <w:tcPr>
            <w:tcW w:w="0" w:type="auto"/>
          </w:tcPr>
          <w:p w14:paraId="4F24717E" w14:textId="77777777" w:rsidR="00991202" w:rsidRPr="00991202" w:rsidRDefault="00991202" w:rsidP="00991202">
            <w:pPr>
              <w:pStyle w:val="Body"/>
              <w:rPr>
                <w:rFonts w:ascii="Arial" w:hAnsi="Arial" w:cs="Arial"/>
              </w:rPr>
            </w:pPr>
            <w:r w:rsidRPr="00991202">
              <w:rPr>
                <w:rFonts w:ascii="Arial" w:hAnsi="Arial" w:cs="Arial"/>
              </w:rPr>
              <w:t>Attention, memory, language, and problem-solving age-appropriate</w:t>
            </w:r>
          </w:p>
          <w:p w14:paraId="4422D9FF" w14:textId="77777777" w:rsidR="00991202" w:rsidRPr="00991202" w:rsidRDefault="00991202" w:rsidP="00991202">
            <w:pPr>
              <w:pStyle w:val="Body"/>
              <w:rPr>
                <w:rFonts w:ascii="Arial" w:hAnsi="Arial" w:cs="Arial"/>
              </w:rPr>
            </w:pPr>
          </w:p>
        </w:tc>
        <w:tc>
          <w:tcPr>
            <w:tcW w:w="0" w:type="auto"/>
          </w:tcPr>
          <w:p w14:paraId="0811E2B5" w14:textId="77777777" w:rsidR="00991202" w:rsidRPr="00991202" w:rsidRDefault="00991202" w:rsidP="00991202">
            <w:pPr>
              <w:pStyle w:val="Body"/>
              <w:rPr>
                <w:rFonts w:ascii="Arial" w:hAnsi="Arial" w:cs="Arial"/>
              </w:rPr>
            </w:pPr>
            <w:r w:rsidRPr="00991202">
              <w:rPr>
                <w:rFonts w:ascii="Arial" w:hAnsi="Arial" w:cs="Arial"/>
              </w:rPr>
              <w:t>CNS sparing</w:t>
            </w:r>
          </w:p>
          <w:p w14:paraId="3132EFC7" w14:textId="77777777" w:rsidR="00991202" w:rsidRPr="00991202" w:rsidRDefault="00991202" w:rsidP="00991202">
            <w:pPr>
              <w:pStyle w:val="Body"/>
              <w:rPr>
                <w:rFonts w:ascii="Arial" w:hAnsi="Arial" w:cs="Arial"/>
              </w:rPr>
            </w:pPr>
          </w:p>
        </w:tc>
        <w:tc>
          <w:tcPr>
            <w:tcW w:w="0" w:type="auto"/>
          </w:tcPr>
          <w:p w14:paraId="0A257DB6" w14:textId="77777777" w:rsidR="00991202" w:rsidRPr="00991202" w:rsidRDefault="00991202" w:rsidP="00991202">
            <w:pPr>
              <w:pStyle w:val="Body"/>
              <w:rPr>
                <w:rFonts w:ascii="Arial" w:hAnsi="Arial" w:cs="Arial"/>
              </w:rPr>
            </w:pPr>
            <w:r w:rsidRPr="00991202">
              <w:rPr>
                <w:rFonts w:ascii="Arial" w:hAnsi="Arial" w:cs="Arial"/>
              </w:rPr>
              <w:t>Typical for CMT, supporting peripheral nervous system involvement</w:t>
            </w:r>
          </w:p>
          <w:p w14:paraId="5B546F7B" w14:textId="77777777" w:rsidR="00991202" w:rsidRPr="00991202" w:rsidRDefault="00991202" w:rsidP="00991202">
            <w:pPr>
              <w:pStyle w:val="Body"/>
              <w:rPr>
                <w:rFonts w:ascii="Arial" w:hAnsi="Arial" w:cs="Arial"/>
              </w:rPr>
            </w:pPr>
          </w:p>
        </w:tc>
      </w:tr>
      <w:tr w:rsidR="00991202" w:rsidRPr="00991202" w14:paraId="01DA5EED" w14:textId="77777777" w:rsidTr="00172ECF">
        <w:tc>
          <w:tcPr>
            <w:tcW w:w="0" w:type="auto"/>
          </w:tcPr>
          <w:p w14:paraId="76975369" w14:textId="77777777" w:rsidR="00991202" w:rsidRPr="0098647A" w:rsidRDefault="00991202" w:rsidP="00991202">
            <w:pPr>
              <w:pStyle w:val="Body"/>
              <w:rPr>
                <w:rFonts w:ascii="Arial" w:hAnsi="Arial" w:cs="Arial"/>
                <w:b/>
                <w:bCs/>
              </w:rPr>
            </w:pPr>
            <w:r w:rsidRPr="0098647A">
              <w:rPr>
                <w:rFonts w:ascii="Arial" w:hAnsi="Arial" w:cs="Arial"/>
                <w:b/>
                <w:bCs/>
              </w:rPr>
              <w:t>Postural Observation</w:t>
            </w:r>
          </w:p>
          <w:p w14:paraId="2667CB72" w14:textId="77777777" w:rsidR="00991202" w:rsidRPr="0098647A" w:rsidRDefault="00991202" w:rsidP="00991202">
            <w:pPr>
              <w:pStyle w:val="Body"/>
              <w:rPr>
                <w:rFonts w:ascii="Arial" w:hAnsi="Arial" w:cs="Arial"/>
                <w:b/>
                <w:bCs/>
              </w:rPr>
            </w:pPr>
          </w:p>
        </w:tc>
        <w:tc>
          <w:tcPr>
            <w:tcW w:w="0" w:type="auto"/>
          </w:tcPr>
          <w:p w14:paraId="76F4A841" w14:textId="77777777" w:rsidR="00991202" w:rsidRPr="00991202" w:rsidRDefault="00991202" w:rsidP="00991202">
            <w:pPr>
              <w:pStyle w:val="Body"/>
              <w:rPr>
                <w:rFonts w:ascii="Arial" w:hAnsi="Arial" w:cs="Arial"/>
              </w:rPr>
            </w:pPr>
            <w:r w:rsidRPr="00991202">
              <w:rPr>
                <w:rFonts w:ascii="Arial" w:hAnsi="Arial" w:cs="Arial"/>
              </w:rPr>
              <w:t>Mild right-convex scoliotic alignment; no true limb-length discrepancy</w:t>
            </w:r>
          </w:p>
          <w:p w14:paraId="22E7CFA2" w14:textId="77777777" w:rsidR="00991202" w:rsidRPr="00991202" w:rsidRDefault="00991202" w:rsidP="00991202">
            <w:pPr>
              <w:pStyle w:val="Body"/>
              <w:rPr>
                <w:rFonts w:ascii="Arial" w:hAnsi="Arial" w:cs="Arial"/>
              </w:rPr>
            </w:pPr>
          </w:p>
        </w:tc>
        <w:tc>
          <w:tcPr>
            <w:tcW w:w="0" w:type="auto"/>
          </w:tcPr>
          <w:p w14:paraId="321543CF" w14:textId="77777777" w:rsidR="00991202" w:rsidRPr="00991202" w:rsidRDefault="00991202" w:rsidP="00991202">
            <w:pPr>
              <w:pStyle w:val="Body"/>
              <w:rPr>
                <w:rFonts w:ascii="Arial" w:hAnsi="Arial" w:cs="Arial"/>
              </w:rPr>
            </w:pPr>
            <w:r w:rsidRPr="00991202">
              <w:rPr>
                <w:rFonts w:ascii="Arial" w:hAnsi="Arial" w:cs="Arial"/>
              </w:rPr>
              <w:t>Early musculoskeletal adaptation to neuromuscular imbalance</w:t>
            </w:r>
          </w:p>
          <w:p w14:paraId="74D71A63" w14:textId="77777777" w:rsidR="00991202" w:rsidRPr="00991202" w:rsidRDefault="00991202" w:rsidP="00991202">
            <w:pPr>
              <w:pStyle w:val="Body"/>
              <w:rPr>
                <w:rFonts w:ascii="Arial" w:hAnsi="Arial" w:cs="Arial"/>
              </w:rPr>
            </w:pPr>
          </w:p>
        </w:tc>
        <w:tc>
          <w:tcPr>
            <w:tcW w:w="0" w:type="auto"/>
          </w:tcPr>
          <w:p w14:paraId="7B1C3F06" w14:textId="77777777" w:rsidR="00991202" w:rsidRPr="00991202" w:rsidRDefault="00991202" w:rsidP="00991202">
            <w:pPr>
              <w:pStyle w:val="Body"/>
              <w:rPr>
                <w:rFonts w:ascii="Arial" w:hAnsi="Arial" w:cs="Arial"/>
              </w:rPr>
            </w:pPr>
            <w:r w:rsidRPr="00991202">
              <w:rPr>
                <w:rFonts w:ascii="Arial" w:hAnsi="Arial" w:cs="Arial"/>
              </w:rPr>
              <w:t>Suggests evolving secondary deformity requiring monitoring</w:t>
            </w:r>
          </w:p>
          <w:p w14:paraId="05AABB26" w14:textId="77777777" w:rsidR="00991202" w:rsidRPr="00991202" w:rsidRDefault="00991202" w:rsidP="00991202">
            <w:pPr>
              <w:pStyle w:val="Body"/>
              <w:rPr>
                <w:rFonts w:ascii="Arial" w:hAnsi="Arial" w:cs="Arial"/>
              </w:rPr>
            </w:pPr>
          </w:p>
        </w:tc>
      </w:tr>
      <w:tr w:rsidR="00991202" w:rsidRPr="00991202" w14:paraId="5B1059AA" w14:textId="77777777" w:rsidTr="00172ECF">
        <w:tc>
          <w:tcPr>
            <w:tcW w:w="0" w:type="auto"/>
          </w:tcPr>
          <w:p w14:paraId="31784D77" w14:textId="77777777" w:rsidR="00991202" w:rsidRPr="0098647A" w:rsidRDefault="00991202" w:rsidP="00991202">
            <w:pPr>
              <w:pStyle w:val="Body"/>
              <w:rPr>
                <w:rFonts w:ascii="Arial" w:hAnsi="Arial" w:cs="Arial"/>
                <w:b/>
                <w:bCs/>
              </w:rPr>
            </w:pPr>
            <w:r w:rsidRPr="0098647A">
              <w:rPr>
                <w:rFonts w:ascii="Arial" w:hAnsi="Arial" w:cs="Arial"/>
                <w:b/>
                <w:bCs/>
              </w:rPr>
              <w:t>Scoliosis Surface Measurements</w:t>
            </w:r>
          </w:p>
          <w:p w14:paraId="6F409DE1" w14:textId="77777777" w:rsidR="00991202" w:rsidRPr="0098647A" w:rsidRDefault="00991202" w:rsidP="00991202">
            <w:pPr>
              <w:pStyle w:val="Body"/>
              <w:rPr>
                <w:rFonts w:ascii="Arial" w:hAnsi="Arial" w:cs="Arial"/>
                <w:b/>
                <w:bCs/>
              </w:rPr>
            </w:pPr>
          </w:p>
        </w:tc>
        <w:tc>
          <w:tcPr>
            <w:tcW w:w="0" w:type="auto"/>
          </w:tcPr>
          <w:p w14:paraId="1CF5B4CE" w14:textId="77777777" w:rsidR="00991202" w:rsidRPr="00991202" w:rsidRDefault="00991202" w:rsidP="00991202">
            <w:pPr>
              <w:pStyle w:val="Body"/>
              <w:rPr>
                <w:rFonts w:ascii="Arial" w:hAnsi="Arial" w:cs="Arial"/>
              </w:rPr>
            </w:pPr>
            <w:r w:rsidRPr="00991202">
              <w:rPr>
                <w:rFonts w:ascii="Arial" w:hAnsi="Arial" w:cs="Arial"/>
              </w:rPr>
              <w:t>Asymmetry noted across trunk and pelvic landmarks (1–2.5 cm differences)</w:t>
            </w:r>
          </w:p>
          <w:p w14:paraId="19260440" w14:textId="77777777" w:rsidR="00991202" w:rsidRPr="00991202" w:rsidRDefault="00991202" w:rsidP="00991202">
            <w:pPr>
              <w:pStyle w:val="Body"/>
              <w:rPr>
                <w:rFonts w:ascii="Arial" w:hAnsi="Arial" w:cs="Arial"/>
              </w:rPr>
            </w:pPr>
          </w:p>
        </w:tc>
        <w:tc>
          <w:tcPr>
            <w:tcW w:w="0" w:type="auto"/>
          </w:tcPr>
          <w:p w14:paraId="627DD4AE" w14:textId="77777777" w:rsidR="00991202" w:rsidRPr="00991202" w:rsidRDefault="00991202" w:rsidP="00991202">
            <w:pPr>
              <w:pStyle w:val="Body"/>
              <w:rPr>
                <w:rFonts w:ascii="Arial" w:hAnsi="Arial" w:cs="Arial"/>
              </w:rPr>
            </w:pPr>
            <w:r w:rsidRPr="00991202">
              <w:rPr>
                <w:rFonts w:ascii="Arial" w:hAnsi="Arial" w:cs="Arial"/>
              </w:rPr>
              <w:t>Functional scoliosis rather than fixed structural curve</w:t>
            </w:r>
          </w:p>
          <w:p w14:paraId="1054F15A" w14:textId="77777777" w:rsidR="00991202" w:rsidRPr="00991202" w:rsidRDefault="00991202" w:rsidP="00991202">
            <w:pPr>
              <w:pStyle w:val="Body"/>
              <w:rPr>
                <w:rFonts w:ascii="Arial" w:hAnsi="Arial" w:cs="Arial"/>
              </w:rPr>
            </w:pPr>
          </w:p>
        </w:tc>
        <w:tc>
          <w:tcPr>
            <w:tcW w:w="0" w:type="auto"/>
          </w:tcPr>
          <w:p w14:paraId="25BBD0E1" w14:textId="77777777" w:rsidR="00991202" w:rsidRPr="00991202" w:rsidRDefault="00991202" w:rsidP="00991202">
            <w:pPr>
              <w:pStyle w:val="Body"/>
              <w:rPr>
                <w:rFonts w:ascii="Arial" w:hAnsi="Arial" w:cs="Arial"/>
              </w:rPr>
            </w:pPr>
            <w:r w:rsidRPr="00991202">
              <w:rPr>
                <w:rFonts w:ascii="Arial" w:hAnsi="Arial" w:cs="Arial"/>
              </w:rPr>
              <w:t>Potentially modifiable with postural control and strengthening</w:t>
            </w:r>
          </w:p>
          <w:p w14:paraId="314910A5" w14:textId="77777777" w:rsidR="00991202" w:rsidRPr="00991202" w:rsidRDefault="00991202" w:rsidP="00991202">
            <w:pPr>
              <w:pStyle w:val="Body"/>
              <w:rPr>
                <w:rFonts w:ascii="Arial" w:hAnsi="Arial" w:cs="Arial"/>
              </w:rPr>
            </w:pPr>
          </w:p>
        </w:tc>
      </w:tr>
      <w:tr w:rsidR="00991202" w:rsidRPr="00991202" w14:paraId="1F0CF927" w14:textId="77777777" w:rsidTr="00172ECF">
        <w:tc>
          <w:tcPr>
            <w:tcW w:w="0" w:type="auto"/>
          </w:tcPr>
          <w:p w14:paraId="1D4CB2CA" w14:textId="77777777" w:rsidR="00991202" w:rsidRPr="0098647A" w:rsidRDefault="00991202" w:rsidP="00991202">
            <w:pPr>
              <w:pStyle w:val="Body"/>
              <w:rPr>
                <w:rFonts w:ascii="Arial" w:hAnsi="Arial" w:cs="Arial"/>
                <w:b/>
                <w:bCs/>
              </w:rPr>
            </w:pPr>
            <w:r w:rsidRPr="0098647A">
              <w:rPr>
                <w:rFonts w:ascii="Arial" w:hAnsi="Arial" w:cs="Arial"/>
                <w:b/>
                <w:bCs/>
              </w:rPr>
              <w:t>Anthropometry</w:t>
            </w:r>
          </w:p>
          <w:p w14:paraId="2273B5AB" w14:textId="77777777" w:rsidR="00991202" w:rsidRPr="0098647A" w:rsidRDefault="00991202" w:rsidP="00991202">
            <w:pPr>
              <w:pStyle w:val="Body"/>
              <w:rPr>
                <w:rFonts w:ascii="Arial" w:hAnsi="Arial" w:cs="Arial"/>
                <w:b/>
                <w:bCs/>
              </w:rPr>
            </w:pPr>
          </w:p>
        </w:tc>
        <w:tc>
          <w:tcPr>
            <w:tcW w:w="0" w:type="auto"/>
          </w:tcPr>
          <w:p w14:paraId="4C0D2322" w14:textId="77777777" w:rsidR="00991202" w:rsidRPr="00991202" w:rsidRDefault="00991202" w:rsidP="00991202">
            <w:pPr>
              <w:pStyle w:val="Body"/>
              <w:rPr>
                <w:rFonts w:ascii="Arial" w:hAnsi="Arial" w:cs="Arial"/>
              </w:rPr>
            </w:pPr>
            <w:r w:rsidRPr="00991202">
              <w:rPr>
                <w:rFonts w:ascii="Arial" w:hAnsi="Arial" w:cs="Arial"/>
              </w:rPr>
              <w:t>Height appropriate; markedly low weight and BMI (10.7 kg/m²)</w:t>
            </w:r>
          </w:p>
          <w:p w14:paraId="2F09AA2A" w14:textId="77777777" w:rsidR="00991202" w:rsidRPr="00991202" w:rsidRDefault="00991202" w:rsidP="00991202">
            <w:pPr>
              <w:pStyle w:val="Body"/>
              <w:rPr>
                <w:rFonts w:ascii="Arial" w:hAnsi="Arial" w:cs="Arial"/>
              </w:rPr>
            </w:pPr>
          </w:p>
        </w:tc>
        <w:tc>
          <w:tcPr>
            <w:tcW w:w="0" w:type="auto"/>
          </w:tcPr>
          <w:p w14:paraId="20D1ECCB" w14:textId="77777777" w:rsidR="00991202" w:rsidRPr="00991202" w:rsidRDefault="00991202" w:rsidP="00991202">
            <w:pPr>
              <w:pStyle w:val="Body"/>
              <w:rPr>
                <w:rFonts w:ascii="Arial" w:hAnsi="Arial" w:cs="Arial"/>
              </w:rPr>
            </w:pPr>
            <w:r w:rsidRPr="00991202">
              <w:rPr>
                <w:rFonts w:ascii="Arial" w:hAnsi="Arial" w:cs="Arial"/>
              </w:rPr>
              <w:t>Poor nutritional status</w:t>
            </w:r>
          </w:p>
          <w:p w14:paraId="3075F1ED" w14:textId="77777777" w:rsidR="00991202" w:rsidRPr="00991202" w:rsidRDefault="00991202" w:rsidP="00991202">
            <w:pPr>
              <w:pStyle w:val="Body"/>
              <w:rPr>
                <w:rFonts w:ascii="Arial" w:hAnsi="Arial" w:cs="Arial"/>
              </w:rPr>
            </w:pPr>
          </w:p>
        </w:tc>
        <w:tc>
          <w:tcPr>
            <w:tcW w:w="0" w:type="auto"/>
          </w:tcPr>
          <w:p w14:paraId="37CEE432" w14:textId="77777777" w:rsidR="00991202" w:rsidRPr="00991202" w:rsidRDefault="00991202" w:rsidP="00991202">
            <w:pPr>
              <w:pStyle w:val="Body"/>
              <w:rPr>
                <w:rFonts w:ascii="Arial" w:hAnsi="Arial" w:cs="Arial"/>
              </w:rPr>
            </w:pPr>
            <w:r w:rsidRPr="00991202">
              <w:rPr>
                <w:rFonts w:ascii="Arial" w:hAnsi="Arial" w:cs="Arial"/>
              </w:rPr>
              <w:t>May exacerbate muscle weakness and fatigue</w:t>
            </w:r>
          </w:p>
          <w:p w14:paraId="17151680" w14:textId="77777777" w:rsidR="00991202" w:rsidRPr="00991202" w:rsidRDefault="00991202" w:rsidP="00991202">
            <w:pPr>
              <w:pStyle w:val="Body"/>
              <w:rPr>
                <w:rFonts w:ascii="Arial" w:hAnsi="Arial" w:cs="Arial"/>
              </w:rPr>
            </w:pPr>
          </w:p>
        </w:tc>
      </w:tr>
      <w:tr w:rsidR="00991202" w:rsidRPr="00991202" w14:paraId="521E817C" w14:textId="77777777" w:rsidTr="00172ECF">
        <w:tc>
          <w:tcPr>
            <w:tcW w:w="0" w:type="auto"/>
          </w:tcPr>
          <w:p w14:paraId="4FBF200A" w14:textId="77777777" w:rsidR="00991202" w:rsidRPr="0098647A" w:rsidRDefault="00991202" w:rsidP="00991202">
            <w:pPr>
              <w:pStyle w:val="Body"/>
              <w:rPr>
                <w:rFonts w:ascii="Arial" w:hAnsi="Arial" w:cs="Arial"/>
                <w:b/>
                <w:bCs/>
              </w:rPr>
            </w:pPr>
            <w:r w:rsidRPr="0098647A">
              <w:rPr>
                <w:rFonts w:ascii="Arial" w:hAnsi="Arial" w:cs="Arial"/>
                <w:b/>
                <w:bCs/>
              </w:rPr>
              <w:t>Deep Tendon Reflexes</w:t>
            </w:r>
          </w:p>
          <w:p w14:paraId="723CF56C" w14:textId="77777777" w:rsidR="00991202" w:rsidRPr="0098647A" w:rsidRDefault="00991202" w:rsidP="00991202">
            <w:pPr>
              <w:pStyle w:val="Body"/>
              <w:rPr>
                <w:rFonts w:ascii="Arial" w:hAnsi="Arial" w:cs="Arial"/>
                <w:b/>
                <w:bCs/>
              </w:rPr>
            </w:pPr>
          </w:p>
        </w:tc>
        <w:tc>
          <w:tcPr>
            <w:tcW w:w="0" w:type="auto"/>
          </w:tcPr>
          <w:p w14:paraId="27A02F9D" w14:textId="77777777" w:rsidR="00991202" w:rsidRPr="00991202" w:rsidRDefault="00991202" w:rsidP="00991202">
            <w:pPr>
              <w:pStyle w:val="Body"/>
              <w:rPr>
                <w:rFonts w:ascii="Arial" w:hAnsi="Arial" w:cs="Arial"/>
              </w:rPr>
            </w:pPr>
            <w:r w:rsidRPr="00991202">
              <w:rPr>
                <w:rFonts w:ascii="Arial" w:hAnsi="Arial" w:cs="Arial"/>
              </w:rPr>
              <w:t>Upper limb and knee reflexes normal (2+); ankle reflexes reduced (1+)</w:t>
            </w:r>
          </w:p>
          <w:p w14:paraId="474F6BC8" w14:textId="77777777" w:rsidR="00991202" w:rsidRPr="00991202" w:rsidRDefault="00991202" w:rsidP="00991202">
            <w:pPr>
              <w:pStyle w:val="Body"/>
              <w:rPr>
                <w:rFonts w:ascii="Arial" w:hAnsi="Arial" w:cs="Arial"/>
              </w:rPr>
            </w:pPr>
          </w:p>
        </w:tc>
        <w:tc>
          <w:tcPr>
            <w:tcW w:w="0" w:type="auto"/>
          </w:tcPr>
          <w:p w14:paraId="4CE6B803" w14:textId="77777777" w:rsidR="00991202" w:rsidRPr="00991202" w:rsidRDefault="00991202" w:rsidP="00991202">
            <w:pPr>
              <w:pStyle w:val="Body"/>
              <w:rPr>
                <w:rFonts w:ascii="Arial" w:hAnsi="Arial" w:cs="Arial"/>
              </w:rPr>
            </w:pPr>
            <w:r w:rsidRPr="00991202">
              <w:rPr>
                <w:rFonts w:ascii="Arial" w:hAnsi="Arial" w:cs="Arial"/>
              </w:rPr>
              <w:t>Length-dependent reflex attenuation</w:t>
            </w:r>
          </w:p>
          <w:p w14:paraId="4A2E3B8F" w14:textId="77777777" w:rsidR="00991202" w:rsidRPr="00991202" w:rsidRDefault="00991202" w:rsidP="00991202">
            <w:pPr>
              <w:pStyle w:val="Body"/>
              <w:rPr>
                <w:rFonts w:ascii="Arial" w:hAnsi="Arial" w:cs="Arial"/>
              </w:rPr>
            </w:pPr>
          </w:p>
        </w:tc>
        <w:tc>
          <w:tcPr>
            <w:tcW w:w="0" w:type="auto"/>
          </w:tcPr>
          <w:p w14:paraId="6AAFA913" w14:textId="77777777" w:rsidR="00991202" w:rsidRPr="00991202" w:rsidRDefault="00991202" w:rsidP="00991202">
            <w:pPr>
              <w:pStyle w:val="Body"/>
              <w:rPr>
                <w:rFonts w:ascii="Arial" w:hAnsi="Arial" w:cs="Arial"/>
              </w:rPr>
            </w:pPr>
            <w:r w:rsidRPr="00991202">
              <w:rPr>
                <w:rFonts w:ascii="Arial" w:hAnsi="Arial" w:cs="Arial"/>
              </w:rPr>
              <w:t>Classical peripheral neuropathy pattern</w:t>
            </w:r>
          </w:p>
          <w:p w14:paraId="6FF62CB8" w14:textId="77777777" w:rsidR="00991202" w:rsidRPr="00991202" w:rsidRDefault="00991202" w:rsidP="00991202">
            <w:pPr>
              <w:pStyle w:val="Body"/>
              <w:rPr>
                <w:rFonts w:ascii="Arial" w:hAnsi="Arial" w:cs="Arial"/>
              </w:rPr>
            </w:pPr>
          </w:p>
        </w:tc>
      </w:tr>
      <w:tr w:rsidR="00991202" w:rsidRPr="00991202" w14:paraId="52FBE743" w14:textId="77777777" w:rsidTr="00172ECF">
        <w:tc>
          <w:tcPr>
            <w:tcW w:w="0" w:type="auto"/>
          </w:tcPr>
          <w:p w14:paraId="775A4896" w14:textId="77777777" w:rsidR="00991202" w:rsidRPr="0098647A" w:rsidRDefault="00991202" w:rsidP="00991202">
            <w:pPr>
              <w:pStyle w:val="Body"/>
              <w:rPr>
                <w:rFonts w:ascii="Arial" w:hAnsi="Arial" w:cs="Arial"/>
                <w:b/>
                <w:bCs/>
              </w:rPr>
            </w:pPr>
            <w:r w:rsidRPr="0098647A">
              <w:rPr>
                <w:rFonts w:ascii="Arial" w:hAnsi="Arial" w:cs="Arial"/>
                <w:b/>
                <w:bCs/>
              </w:rPr>
              <w:t>Muscle Tone</w:t>
            </w:r>
          </w:p>
          <w:p w14:paraId="5D9F9AD3" w14:textId="77777777" w:rsidR="00991202" w:rsidRPr="0098647A" w:rsidRDefault="00991202" w:rsidP="00991202">
            <w:pPr>
              <w:pStyle w:val="Body"/>
              <w:rPr>
                <w:rFonts w:ascii="Arial" w:hAnsi="Arial" w:cs="Arial"/>
                <w:b/>
                <w:bCs/>
              </w:rPr>
            </w:pPr>
          </w:p>
        </w:tc>
        <w:tc>
          <w:tcPr>
            <w:tcW w:w="0" w:type="auto"/>
          </w:tcPr>
          <w:p w14:paraId="4F038610" w14:textId="77777777" w:rsidR="00991202" w:rsidRPr="00991202" w:rsidRDefault="00991202" w:rsidP="00991202">
            <w:pPr>
              <w:pStyle w:val="Body"/>
              <w:rPr>
                <w:rFonts w:ascii="Arial" w:hAnsi="Arial" w:cs="Arial"/>
              </w:rPr>
            </w:pPr>
            <w:r w:rsidRPr="00991202">
              <w:rPr>
                <w:rFonts w:ascii="Arial" w:hAnsi="Arial" w:cs="Arial"/>
              </w:rPr>
              <w:t>Normal tone in upper and lower limbs</w:t>
            </w:r>
          </w:p>
          <w:p w14:paraId="553B05DA" w14:textId="77777777" w:rsidR="00991202" w:rsidRPr="00991202" w:rsidRDefault="00991202" w:rsidP="00991202">
            <w:pPr>
              <w:pStyle w:val="Body"/>
              <w:rPr>
                <w:rFonts w:ascii="Arial" w:hAnsi="Arial" w:cs="Arial"/>
              </w:rPr>
            </w:pPr>
          </w:p>
        </w:tc>
        <w:tc>
          <w:tcPr>
            <w:tcW w:w="0" w:type="auto"/>
          </w:tcPr>
          <w:p w14:paraId="545C6791" w14:textId="77777777" w:rsidR="00991202" w:rsidRPr="00991202" w:rsidRDefault="00991202" w:rsidP="00991202">
            <w:pPr>
              <w:pStyle w:val="Body"/>
              <w:rPr>
                <w:rFonts w:ascii="Arial" w:hAnsi="Arial" w:cs="Arial"/>
              </w:rPr>
            </w:pPr>
            <w:r w:rsidRPr="00991202">
              <w:rPr>
                <w:rFonts w:ascii="Arial" w:hAnsi="Arial" w:cs="Arial"/>
              </w:rPr>
              <w:t>No spasticity or central involvement</w:t>
            </w:r>
          </w:p>
          <w:p w14:paraId="77FE0AAD" w14:textId="77777777" w:rsidR="00991202" w:rsidRPr="00991202" w:rsidRDefault="00991202" w:rsidP="00991202">
            <w:pPr>
              <w:pStyle w:val="Body"/>
              <w:rPr>
                <w:rFonts w:ascii="Arial" w:hAnsi="Arial" w:cs="Arial"/>
              </w:rPr>
            </w:pPr>
          </w:p>
        </w:tc>
        <w:tc>
          <w:tcPr>
            <w:tcW w:w="0" w:type="auto"/>
          </w:tcPr>
          <w:p w14:paraId="67EC895A" w14:textId="77777777" w:rsidR="00991202" w:rsidRPr="00991202" w:rsidRDefault="00991202" w:rsidP="00991202">
            <w:pPr>
              <w:pStyle w:val="Body"/>
              <w:rPr>
                <w:rFonts w:ascii="Arial" w:hAnsi="Arial" w:cs="Arial"/>
              </w:rPr>
            </w:pPr>
            <w:r w:rsidRPr="00991202">
              <w:rPr>
                <w:rFonts w:ascii="Arial" w:hAnsi="Arial" w:cs="Arial"/>
              </w:rPr>
              <w:t>Confirms lower motor neuron pathology</w:t>
            </w:r>
          </w:p>
          <w:p w14:paraId="785E414C" w14:textId="77777777" w:rsidR="00991202" w:rsidRPr="00991202" w:rsidRDefault="00991202" w:rsidP="00991202">
            <w:pPr>
              <w:pStyle w:val="Body"/>
              <w:rPr>
                <w:rFonts w:ascii="Arial" w:hAnsi="Arial" w:cs="Arial"/>
              </w:rPr>
            </w:pPr>
          </w:p>
        </w:tc>
      </w:tr>
      <w:tr w:rsidR="00991202" w:rsidRPr="00991202" w14:paraId="38D4F7EC" w14:textId="77777777" w:rsidTr="00172ECF">
        <w:tc>
          <w:tcPr>
            <w:tcW w:w="0" w:type="auto"/>
          </w:tcPr>
          <w:p w14:paraId="24E3C97C" w14:textId="77777777" w:rsidR="00991202" w:rsidRPr="0098647A" w:rsidRDefault="00991202" w:rsidP="00991202">
            <w:pPr>
              <w:pStyle w:val="Body"/>
              <w:rPr>
                <w:rFonts w:ascii="Arial" w:hAnsi="Arial" w:cs="Arial"/>
                <w:b/>
                <w:bCs/>
              </w:rPr>
            </w:pPr>
            <w:r w:rsidRPr="0098647A">
              <w:rPr>
                <w:rFonts w:ascii="Arial" w:hAnsi="Arial" w:cs="Arial"/>
                <w:b/>
                <w:bCs/>
              </w:rPr>
              <w:t>Muscle Tightness</w:t>
            </w:r>
          </w:p>
          <w:p w14:paraId="51B57336" w14:textId="77777777" w:rsidR="00991202" w:rsidRPr="0098647A" w:rsidRDefault="00991202" w:rsidP="00991202">
            <w:pPr>
              <w:pStyle w:val="Body"/>
              <w:rPr>
                <w:rFonts w:ascii="Arial" w:hAnsi="Arial" w:cs="Arial"/>
                <w:b/>
                <w:bCs/>
              </w:rPr>
            </w:pPr>
          </w:p>
        </w:tc>
        <w:tc>
          <w:tcPr>
            <w:tcW w:w="0" w:type="auto"/>
          </w:tcPr>
          <w:p w14:paraId="3911BE4D" w14:textId="77777777" w:rsidR="00991202" w:rsidRPr="00991202" w:rsidRDefault="00991202" w:rsidP="00991202">
            <w:pPr>
              <w:pStyle w:val="Body"/>
              <w:rPr>
                <w:rFonts w:ascii="Arial" w:hAnsi="Arial" w:cs="Arial"/>
              </w:rPr>
            </w:pPr>
            <w:r w:rsidRPr="00991202">
              <w:rPr>
                <w:rFonts w:ascii="Arial" w:hAnsi="Arial" w:cs="Arial"/>
              </w:rPr>
              <w:t>Bilateral piriformis, iliopsoas, hamstrings, gastrocnemius–soleus tightness</w:t>
            </w:r>
          </w:p>
          <w:p w14:paraId="78BE6816" w14:textId="77777777" w:rsidR="00991202" w:rsidRPr="00991202" w:rsidRDefault="00991202" w:rsidP="00991202">
            <w:pPr>
              <w:pStyle w:val="Body"/>
              <w:rPr>
                <w:rFonts w:ascii="Arial" w:hAnsi="Arial" w:cs="Arial"/>
              </w:rPr>
            </w:pPr>
          </w:p>
        </w:tc>
        <w:tc>
          <w:tcPr>
            <w:tcW w:w="0" w:type="auto"/>
          </w:tcPr>
          <w:p w14:paraId="3BAC0536" w14:textId="77777777" w:rsidR="00991202" w:rsidRPr="00991202" w:rsidRDefault="00991202" w:rsidP="00991202">
            <w:pPr>
              <w:pStyle w:val="Body"/>
              <w:rPr>
                <w:rFonts w:ascii="Arial" w:hAnsi="Arial" w:cs="Arial"/>
              </w:rPr>
            </w:pPr>
            <w:r w:rsidRPr="00991202">
              <w:rPr>
                <w:rFonts w:ascii="Arial" w:hAnsi="Arial" w:cs="Arial"/>
              </w:rPr>
              <w:t>Adaptive shortening due to altered biomechanics</w:t>
            </w:r>
          </w:p>
          <w:p w14:paraId="5150ADC6" w14:textId="77777777" w:rsidR="00991202" w:rsidRPr="00991202" w:rsidRDefault="00991202" w:rsidP="00991202">
            <w:pPr>
              <w:pStyle w:val="Body"/>
              <w:rPr>
                <w:rFonts w:ascii="Arial" w:hAnsi="Arial" w:cs="Arial"/>
              </w:rPr>
            </w:pPr>
          </w:p>
        </w:tc>
        <w:tc>
          <w:tcPr>
            <w:tcW w:w="0" w:type="auto"/>
          </w:tcPr>
          <w:p w14:paraId="1F2777DF" w14:textId="77777777" w:rsidR="00991202" w:rsidRPr="00991202" w:rsidRDefault="00991202" w:rsidP="00991202">
            <w:pPr>
              <w:pStyle w:val="Body"/>
              <w:rPr>
                <w:rFonts w:ascii="Arial" w:hAnsi="Arial" w:cs="Arial"/>
              </w:rPr>
            </w:pPr>
            <w:r w:rsidRPr="00991202">
              <w:rPr>
                <w:rFonts w:ascii="Arial" w:hAnsi="Arial" w:cs="Arial"/>
              </w:rPr>
              <w:t>Increases risk of contracture and gait inefficiency</w:t>
            </w:r>
          </w:p>
          <w:p w14:paraId="482E71EA" w14:textId="77777777" w:rsidR="00991202" w:rsidRPr="00991202" w:rsidRDefault="00991202" w:rsidP="00991202">
            <w:pPr>
              <w:pStyle w:val="Body"/>
              <w:rPr>
                <w:rFonts w:ascii="Arial" w:hAnsi="Arial" w:cs="Arial"/>
              </w:rPr>
            </w:pPr>
          </w:p>
        </w:tc>
      </w:tr>
      <w:tr w:rsidR="00991202" w:rsidRPr="00991202" w14:paraId="62850E0D" w14:textId="77777777" w:rsidTr="00172ECF">
        <w:tc>
          <w:tcPr>
            <w:tcW w:w="0" w:type="auto"/>
          </w:tcPr>
          <w:p w14:paraId="5D37F160" w14:textId="77777777" w:rsidR="00991202" w:rsidRPr="0098647A" w:rsidRDefault="00991202" w:rsidP="00991202">
            <w:pPr>
              <w:pStyle w:val="Body"/>
              <w:rPr>
                <w:rFonts w:ascii="Arial" w:hAnsi="Arial" w:cs="Arial"/>
                <w:b/>
                <w:bCs/>
              </w:rPr>
            </w:pPr>
            <w:r w:rsidRPr="0098647A">
              <w:rPr>
                <w:rFonts w:ascii="Arial" w:hAnsi="Arial" w:cs="Arial"/>
                <w:b/>
                <w:bCs/>
              </w:rPr>
              <w:t>Range of Motion</w:t>
            </w:r>
          </w:p>
          <w:p w14:paraId="4633C525" w14:textId="77777777" w:rsidR="00991202" w:rsidRPr="0098647A" w:rsidRDefault="00991202" w:rsidP="00991202">
            <w:pPr>
              <w:pStyle w:val="Body"/>
              <w:rPr>
                <w:rFonts w:ascii="Arial" w:hAnsi="Arial" w:cs="Arial"/>
                <w:b/>
                <w:bCs/>
              </w:rPr>
            </w:pPr>
          </w:p>
        </w:tc>
        <w:tc>
          <w:tcPr>
            <w:tcW w:w="0" w:type="auto"/>
          </w:tcPr>
          <w:p w14:paraId="4B1EEB0A" w14:textId="77777777" w:rsidR="00991202" w:rsidRPr="00991202" w:rsidRDefault="00991202" w:rsidP="00991202">
            <w:pPr>
              <w:pStyle w:val="Body"/>
              <w:rPr>
                <w:rFonts w:ascii="Arial" w:hAnsi="Arial" w:cs="Arial"/>
              </w:rPr>
            </w:pPr>
            <w:r w:rsidRPr="00991202">
              <w:rPr>
                <w:rFonts w:ascii="Arial" w:hAnsi="Arial" w:cs="Arial"/>
              </w:rPr>
              <w:t>Passive ROM full and functional</w:t>
            </w:r>
          </w:p>
          <w:p w14:paraId="7C2BCD39" w14:textId="77777777" w:rsidR="00991202" w:rsidRPr="00991202" w:rsidRDefault="00991202" w:rsidP="00991202">
            <w:pPr>
              <w:pStyle w:val="Body"/>
              <w:rPr>
                <w:rFonts w:ascii="Arial" w:hAnsi="Arial" w:cs="Arial"/>
              </w:rPr>
            </w:pPr>
          </w:p>
        </w:tc>
        <w:tc>
          <w:tcPr>
            <w:tcW w:w="0" w:type="auto"/>
          </w:tcPr>
          <w:p w14:paraId="376D07CE" w14:textId="77777777" w:rsidR="00991202" w:rsidRPr="00991202" w:rsidRDefault="00991202" w:rsidP="00991202">
            <w:pPr>
              <w:pStyle w:val="Body"/>
              <w:rPr>
                <w:rFonts w:ascii="Arial" w:hAnsi="Arial" w:cs="Arial"/>
              </w:rPr>
            </w:pPr>
            <w:r w:rsidRPr="00991202">
              <w:rPr>
                <w:rFonts w:ascii="Arial" w:hAnsi="Arial" w:cs="Arial"/>
              </w:rPr>
              <w:t>No fixed contractures at present</w:t>
            </w:r>
          </w:p>
          <w:p w14:paraId="6CD14CAA" w14:textId="77777777" w:rsidR="00991202" w:rsidRPr="00991202" w:rsidRDefault="00991202" w:rsidP="00991202">
            <w:pPr>
              <w:pStyle w:val="Body"/>
              <w:rPr>
                <w:rFonts w:ascii="Arial" w:hAnsi="Arial" w:cs="Arial"/>
              </w:rPr>
            </w:pPr>
          </w:p>
        </w:tc>
        <w:tc>
          <w:tcPr>
            <w:tcW w:w="0" w:type="auto"/>
          </w:tcPr>
          <w:p w14:paraId="34770600" w14:textId="77777777" w:rsidR="00991202" w:rsidRPr="00991202" w:rsidRDefault="00991202" w:rsidP="00991202">
            <w:pPr>
              <w:pStyle w:val="Body"/>
              <w:rPr>
                <w:rFonts w:ascii="Arial" w:hAnsi="Arial" w:cs="Arial"/>
              </w:rPr>
            </w:pPr>
            <w:r w:rsidRPr="00991202">
              <w:rPr>
                <w:rFonts w:ascii="Arial" w:hAnsi="Arial" w:cs="Arial"/>
              </w:rPr>
              <w:t>Therapeutic window for preventive intervention</w:t>
            </w:r>
          </w:p>
          <w:p w14:paraId="552E0BBC" w14:textId="77777777" w:rsidR="00991202" w:rsidRPr="00991202" w:rsidRDefault="00991202" w:rsidP="00991202">
            <w:pPr>
              <w:pStyle w:val="Body"/>
              <w:rPr>
                <w:rFonts w:ascii="Arial" w:hAnsi="Arial" w:cs="Arial"/>
              </w:rPr>
            </w:pPr>
          </w:p>
        </w:tc>
      </w:tr>
    </w:tbl>
    <w:p w14:paraId="2578F200" w14:textId="77777777" w:rsidR="00991202" w:rsidRPr="00991202" w:rsidRDefault="00991202" w:rsidP="00991202">
      <w:pPr>
        <w:pStyle w:val="Body"/>
        <w:rPr>
          <w:rFonts w:ascii="Arial" w:hAnsi="Arial" w:cs="Arial"/>
        </w:rPr>
      </w:pPr>
    </w:p>
    <w:p w14:paraId="2BE8A558" w14:textId="77777777" w:rsidR="00991202" w:rsidRPr="001645F4" w:rsidRDefault="00991202" w:rsidP="00991202">
      <w:pPr>
        <w:pStyle w:val="Body"/>
        <w:rPr>
          <w:rFonts w:ascii="Arial" w:hAnsi="Arial" w:cs="Arial"/>
          <w:b/>
          <w:bCs/>
        </w:rPr>
      </w:pPr>
      <w:r w:rsidRPr="001645F4">
        <w:rPr>
          <w:rFonts w:ascii="Arial" w:hAnsi="Arial" w:cs="Arial"/>
          <w:b/>
          <w:bCs/>
        </w:rPr>
        <w:t>Table 2. Summary of Outcome Measures, Developmental and Functional Assessments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3187"/>
        <w:gridCol w:w="3148"/>
        <w:gridCol w:w="2634"/>
      </w:tblGrid>
      <w:tr w:rsidR="00991202" w:rsidRPr="00991202" w14:paraId="7B1B6708" w14:textId="77777777" w:rsidTr="00172ECF">
        <w:tc>
          <w:tcPr>
            <w:tcW w:w="0" w:type="auto"/>
          </w:tcPr>
          <w:p w14:paraId="171BF56A" w14:textId="77777777" w:rsidR="00991202" w:rsidRPr="001645F4" w:rsidRDefault="00991202" w:rsidP="00991202">
            <w:pPr>
              <w:pStyle w:val="Body"/>
              <w:rPr>
                <w:rFonts w:ascii="Arial" w:hAnsi="Arial" w:cs="Arial"/>
                <w:b/>
                <w:bCs/>
              </w:rPr>
            </w:pPr>
            <w:r w:rsidRPr="001645F4">
              <w:rPr>
                <w:rFonts w:ascii="Arial" w:hAnsi="Arial" w:cs="Arial"/>
                <w:b/>
                <w:bCs/>
              </w:rPr>
              <w:t>Assessment Tool / Domain</w:t>
            </w:r>
          </w:p>
          <w:p w14:paraId="26A2B22F" w14:textId="77777777" w:rsidR="00991202" w:rsidRPr="001645F4" w:rsidRDefault="00991202" w:rsidP="00991202">
            <w:pPr>
              <w:pStyle w:val="Body"/>
              <w:rPr>
                <w:rFonts w:ascii="Arial" w:hAnsi="Arial" w:cs="Arial"/>
                <w:b/>
                <w:bCs/>
              </w:rPr>
            </w:pPr>
          </w:p>
        </w:tc>
        <w:tc>
          <w:tcPr>
            <w:tcW w:w="0" w:type="auto"/>
          </w:tcPr>
          <w:p w14:paraId="4A9A8446" w14:textId="77777777" w:rsidR="00991202" w:rsidRPr="001645F4" w:rsidRDefault="00991202" w:rsidP="00991202">
            <w:pPr>
              <w:pStyle w:val="Body"/>
              <w:rPr>
                <w:rFonts w:ascii="Arial" w:hAnsi="Arial" w:cs="Arial"/>
                <w:b/>
                <w:bCs/>
              </w:rPr>
            </w:pPr>
            <w:r w:rsidRPr="001645F4">
              <w:rPr>
                <w:rFonts w:ascii="Arial" w:hAnsi="Arial" w:cs="Arial"/>
                <w:b/>
                <w:bCs/>
              </w:rPr>
              <w:t>Components Assessed</w:t>
            </w:r>
          </w:p>
          <w:p w14:paraId="24D14B0C" w14:textId="77777777" w:rsidR="00991202" w:rsidRPr="001645F4" w:rsidRDefault="00991202" w:rsidP="00991202">
            <w:pPr>
              <w:pStyle w:val="Body"/>
              <w:rPr>
                <w:rFonts w:ascii="Arial" w:hAnsi="Arial" w:cs="Arial"/>
                <w:b/>
                <w:bCs/>
              </w:rPr>
            </w:pPr>
          </w:p>
        </w:tc>
        <w:tc>
          <w:tcPr>
            <w:tcW w:w="0" w:type="auto"/>
          </w:tcPr>
          <w:p w14:paraId="0C38C821" w14:textId="77777777" w:rsidR="00991202" w:rsidRPr="001645F4" w:rsidRDefault="00991202" w:rsidP="00991202">
            <w:pPr>
              <w:pStyle w:val="Body"/>
              <w:rPr>
                <w:rFonts w:ascii="Arial" w:hAnsi="Arial" w:cs="Arial"/>
                <w:b/>
                <w:bCs/>
              </w:rPr>
            </w:pPr>
            <w:r w:rsidRPr="001645F4">
              <w:rPr>
                <w:rFonts w:ascii="Arial" w:hAnsi="Arial" w:cs="Arial"/>
                <w:b/>
                <w:bCs/>
              </w:rPr>
              <w:t>Patient Findings</w:t>
            </w:r>
          </w:p>
          <w:p w14:paraId="79625960" w14:textId="77777777" w:rsidR="00991202" w:rsidRPr="001645F4" w:rsidRDefault="00991202" w:rsidP="00991202">
            <w:pPr>
              <w:pStyle w:val="Body"/>
              <w:rPr>
                <w:rFonts w:ascii="Arial" w:hAnsi="Arial" w:cs="Arial"/>
                <w:b/>
                <w:bCs/>
              </w:rPr>
            </w:pPr>
          </w:p>
        </w:tc>
        <w:tc>
          <w:tcPr>
            <w:tcW w:w="0" w:type="auto"/>
          </w:tcPr>
          <w:p w14:paraId="4D0BAB57" w14:textId="77777777" w:rsidR="00991202" w:rsidRPr="001645F4" w:rsidRDefault="00991202" w:rsidP="00991202">
            <w:pPr>
              <w:pStyle w:val="Body"/>
              <w:rPr>
                <w:rFonts w:ascii="Arial" w:hAnsi="Arial" w:cs="Arial"/>
                <w:b/>
                <w:bCs/>
              </w:rPr>
            </w:pPr>
            <w:r w:rsidRPr="001645F4">
              <w:rPr>
                <w:rFonts w:ascii="Arial" w:hAnsi="Arial" w:cs="Arial"/>
                <w:b/>
                <w:bCs/>
              </w:rPr>
              <w:t>Clinical Interpretation</w:t>
            </w:r>
          </w:p>
          <w:p w14:paraId="53B8FEFF" w14:textId="77777777" w:rsidR="00991202" w:rsidRPr="001645F4" w:rsidRDefault="00991202" w:rsidP="00991202">
            <w:pPr>
              <w:pStyle w:val="Body"/>
              <w:rPr>
                <w:rFonts w:ascii="Arial" w:hAnsi="Arial" w:cs="Arial"/>
                <w:b/>
                <w:bCs/>
              </w:rPr>
            </w:pPr>
          </w:p>
        </w:tc>
      </w:tr>
      <w:tr w:rsidR="00991202" w:rsidRPr="00991202" w14:paraId="08FE079C" w14:textId="77777777" w:rsidTr="00172ECF">
        <w:tc>
          <w:tcPr>
            <w:tcW w:w="0" w:type="auto"/>
          </w:tcPr>
          <w:p w14:paraId="654C9B69" w14:textId="77777777" w:rsidR="00991202" w:rsidRPr="0098647A" w:rsidRDefault="00991202" w:rsidP="00991202">
            <w:pPr>
              <w:pStyle w:val="Body"/>
              <w:rPr>
                <w:rFonts w:ascii="Arial" w:hAnsi="Arial" w:cs="Arial"/>
                <w:b/>
                <w:bCs/>
              </w:rPr>
            </w:pPr>
            <w:r w:rsidRPr="0098647A">
              <w:rPr>
                <w:rFonts w:ascii="Arial" w:hAnsi="Arial" w:cs="Arial"/>
                <w:b/>
                <w:bCs/>
              </w:rPr>
              <w:lastRenderedPageBreak/>
              <w:t>Developmental Milestone Assessment (Birth–3 years)</w:t>
            </w:r>
          </w:p>
          <w:p w14:paraId="46F2EE93" w14:textId="77777777" w:rsidR="00991202" w:rsidRPr="0098647A" w:rsidRDefault="00991202" w:rsidP="00991202">
            <w:pPr>
              <w:pStyle w:val="Body"/>
              <w:rPr>
                <w:rFonts w:ascii="Arial" w:hAnsi="Arial" w:cs="Arial"/>
                <w:b/>
                <w:bCs/>
              </w:rPr>
            </w:pPr>
          </w:p>
        </w:tc>
        <w:tc>
          <w:tcPr>
            <w:tcW w:w="0" w:type="auto"/>
          </w:tcPr>
          <w:p w14:paraId="70B758AA" w14:textId="77777777" w:rsidR="00991202" w:rsidRPr="00991202" w:rsidRDefault="00991202" w:rsidP="00991202">
            <w:pPr>
              <w:pStyle w:val="Body"/>
              <w:rPr>
                <w:rFonts w:ascii="Arial" w:hAnsi="Arial" w:cs="Arial"/>
              </w:rPr>
            </w:pPr>
            <w:r w:rsidRPr="00991202">
              <w:rPr>
                <w:rFonts w:ascii="Arial" w:hAnsi="Arial" w:cs="Arial"/>
              </w:rPr>
              <w:t>Gross motor (rolling, sitting, crawling, walking, running, jumping), fine motor (grasp, release, bilateral hand use), language (receptive and expressive), social–adaptive behaviors, cognitive play skills</w:t>
            </w:r>
          </w:p>
          <w:p w14:paraId="44D154BD" w14:textId="77777777" w:rsidR="00991202" w:rsidRPr="00991202" w:rsidRDefault="00991202" w:rsidP="00991202">
            <w:pPr>
              <w:pStyle w:val="Body"/>
              <w:rPr>
                <w:rFonts w:ascii="Arial" w:hAnsi="Arial" w:cs="Arial"/>
              </w:rPr>
            </w:pPr>
          </w:p>
        </w:tc>
        <w:tc>
          <w:tcPr>
            <w:tcW w:w="0" w:type="auto"/>
          </w:tcPr>
          <w:p w14:paraId="2DACAE8D" w14:textId="77777777" w:rsidR="00991202" w:rsidRPr="00991202" w:rsidRDefault="00991202" w:rsidP="00991202">
            <w:pPr>
              <w:pStyle w:val="Body"/>
              <w:rPr>
                <w:rFonts w:ascii="Arial" w:hAnsi="Arial" w:cs="Arial"/>
              </w:rPr>
            </w:pPr>
            <w:r w:rsidRPr="00991202">
              <w:rPr>
                <w:rFonts w:ascii="Arial" w:hAnsi="Arial" w:cs="Arial"/>
              </w:rPr>
              <w:t>Majority of early milestones achieved within expected age ranges; difficulty noted in higher-level gross motor tasks such as running, jumping, and balance-dependent activities after 2.5–3 years</w:t>
            </w:r>
          </w:p>
          <w:p w14:paraId="54B13389" w14:textId="77777777" w:rsidR="00991202" w:rsidRPr="00991202" w:rsidRDefault="00991202" w:rsidP="00991202">
            <w:pPr>
              <w:pStyle w:val="Body"/>
              <w:rPr>
                <w:rFonts w:ascii="Arial" w:hAnsi="Arial" w:cs="Arial"/>
              </w:rPr>
            </w:pPr>
          </w:p>
        </w:tc>
        <w:tc>
          <w:tcPr>
            <w:tcW w:w="0" w:type="auto"/>
          </w:tcPr>
          <w:p w14:paraId="2D12E038" w14:textId="77777777" w:rsidR="00991202" w:rsidRPr="00991202" w:rsidRDefault="00991202" w:rsidP="00991202">
            <w:pPr>
              <w:pStyle w:val="Body"/>
              <w:rPr>
                <w:rFonts w:ascii="Arial" w:hAnsi="Arial" w:cs="Arial"/>
              </w:rPr>
            </w:pPr>
            <w:r w:rsidRPr="00991202">
              <w:rPr>
                <w:rFonts w:ascii="Arial" w:hAnsi="Arial" w:cs="Arial"/>
              </w:rPr>
              <w:t>Early development largely typical; emerging motor delay apparent as task complexity and balance demands increased</w:t>
            </w:r>
          </w:p>
          <w:p w14:paraId="483088D4" w14:textId="77777777" w:rsidR="00991202" w:rsidRPr="00991202" w:rsidRDefault="00991202" w:rsidP="00991202">
            <w:pPr>
              <w:pStyle w:val="Body"/>
              <w:rPr>
                <w:rFonts w:ascii="Arial" w:hAnsi="Arial" w:cs="Arial"/>
              </w:rPr>
            </w:pPr>
          </w:p>
        </w:tc>
      </w:tr>
      <w:tr w:rsidR="00991202" w:rsidRPr="00991202" w14:paraId="7F78B25C" w14:textId="77777777" w:rsidTr="00172ECF">
        <w:tc>
          <w:tcPr>
            <w:tcW w:w="0" w:type="auto"/>
          </w:tcPr>
          <w:p w14:paraId="14768FF1" w14:textId="77777777" w:rsidR="00991202" w:rsidRPr="0098647A" w:rsidRDefault="00991202" w:rsidP="00991202">
            <w:pPr>
              <w:pStyle w:val="Body"/>
              <w:rPr>
                <w:rFonts w:ascii="Arial" w:hAnsi="Arial" w:cs="Arial"/>
                <w:b/>
                <w:bCs/>
              </w:rPr>
            </w:pPr>
            <w:r w:rsidRPr="0098647A">
              <w:rPr>
                <w:rFonts w:ascii="Arial" w:hAnsi="Arial" w:cs="Arial"/>
                <w:b/>
                <w:bCs/>
              </w:rPr>
              <w:t>Pediatric Manual Muscle Testing (Functional Observation)</w:t>
            </w:r>
          </w:p>
          <w:p w14:paraId="237CC0BB" w14:textId="77777777" w:rsidR="00991202" w:rsidRPr="0098647A" w:rsidRDefault="00991202" w:rsidP="00991202">
            <w:pPr>
              <w:pStyle w:val="Body"/>
              <w:rPr>
                <w:rFonts w:ascii="Arial" w:hAnsi="Arial" w:cs="Arial"/>
                <w:b/>
                <w:bCs/>
              </w:rPr>
            </w:pPr>
          </w:p>
        </w:tc>
        <w:tc>
          <w:tcPr>
            <w:tcW w:w="0" w:type="auto"/>
          </w:tcPr>
          <w:p w14:paraId="03FA97E9" w14:textId="77777777" w:rsidR="00991202" w:rsidRPr="00991202" w:rsidRDefault="00991202" w:rsidP="00991202">
            <w:pPr>
              <w:pStyle w:val="Body"/>
              <w:rPr>
                <w:rFonts w:ascii="Arial" w:hAnsi="Arial" w:cs="Arial"/>
              </w:rPr>
            </w:pPr>
            <w:r w:rsidRPr="00991202">
              <w:rPr>
                <w:rFonts w:ascii="Arial" w:hAnsi="Arial" w:cs="Arial"/>
              </w:rPr>
              <w:t>Transitional movements (low kneel to high kneel, half kneel to stand), proximal stability, distal lower-limb control, ability to sustain single-limb support, jumping and toe walking</w:t>
            </w:r>
          </w:p>
          <w:p w14:paraId="3FA26E2E" w14:textId="77777777" w:rsidR="00991202" w:rsidRPr="00991202" w:rsidRDefault="00991202" w:rsidP="00991202">
            <w:pPr>
              <w:pStyle w:val="Body"/>
              <w:rPr>
                <w:rFonts w:ascii="Arial" w:hAnsi="Arial" w:cs="Arial"/>
              </w:rPr>
            </w:pPr>
          </w:p>
        </w:tc>
        <w:tc>
          <w:tcPr>
            <w:tcW w:w="0" w:type="auto"/>
          </w:tcPr>
          <w:p w14:paraId="5569BED0" w14:textId="77777777" w:rsidR="00991202" w:rsidRPr="00991202" w:rsidRDefault="00991202" w:rsidP="00991202">
            <w:pPr>
              <w:pStyle w:val="Body"/>
              <w:rPr>
                <w:rFonts w:ascii="Arial" w:hAnsi="Arial" w:cs="Arial"/>
              </w:rPr>
            </w:pPr>
            <w:r w:rsidRPr="00991202">
              <w:rPr>
                <w:rFonts w:ascii="Arial" w:hAnsi="Arial" w:cs="Arial"/>
              </w:rPr>
              <w:t>Functional strength preserved for basic transitions; reduced performance observed during single-leg stance, jumping, and sustained distal control tasks</w:t>
            </w:r>
          </w:p>
          <w:p w14:paraId="54CA252D" w14:textId="77777777" w:rsidR="00991202" w:rsidRPr="00991202" w:rsidRDefault="00991202" w:rsidP="00991202">
            <w:pPr>
              <w:pStyle w:val="Body"/>
              <w:rPr>
                <w:rFonts w:ascii="Arial" w:hAnsi="Arial" w:cs="Arial"/>
              </w:rPr>
            </w:pPr>
          </w:p>
        </w:tc>
        <w:tc>
          <w:tcPr>
            <w:tcW w:w="0" w:type="auto"/>
          </w:tcPr>
          <w:p w14:paraId="6A011399" w14:textId="77777777" w:rsidR="00991202" w:rsidRPr="00991202" w:rsidRDefault="00991202" w:rsidP="00991202">
            <w:pPr>
              <w:pStyle w:val="Body"/>
              <w:rPr>
                <w:rFonts w:ascii="Arial" w:hAnsi="Arial" w:cs="Arial"/>
              </w:rPr>
            </w:pPr>
            <w:r w:rsidRPr="00991202">
              <w:rPr>
                <w:rFonts w:ascii="Arial" w:hAnsi="Arial" w:cs="Arial"/>
              </w:rPr>
              <w:t>Functional weakness most evident in distal musculature and tasks requiring postural stability and dynamic balance</w:t>
            </w:r>
          </w:p>
          <w:p w14:paraId="4659D622" w14:textId="77777777" w:rsidR="00991202" w:rsidRPr="00991202" w:rsidRDefault="00991202" w:rsidP="00991202">
            <w:pPr>
              <w:pStyle w:val="Body"/>
              <w:rPr>
                <w:rFonts w:ascii="Arial" w:hAnsi="Arial" w:cs="Arial"/>
              </w:rPr>
            </w:pPr>
          </w:p>
        </w:tc>
      </w:tr>
      <w:tr w:rsidR="00991202" w:rsidRPr="00991202" w14:paraId="11AC1D33" w14:textId="77777777" w:rsidTr="00172ECF">
        <w:tc>
          <w:tcPr>
            <w:tcW w:w="0" w:type="auto"/>
          </w:tcPr>
          <w:p w14:paraId="545F75B9" w14:textId="77777777" w:rsidR="00991202" w:rsidRPr="0098647A" w:rsidRDefault="00991202" w:rsidP="00991202">
            <w:pPr>
              <w:pStyle w:val="Body"/>
              <w:rPr>
                <w:rFonts w:ascii="Arial" w:hAnsi="Arial" w:cs="Arial"/>
                <w:b/>
                <w:bCs/>
              </w:rPr>
            </w:pPr>
            <w:r w:rsidRPr="0098647A">
              <w:rPr>
                <w:rFonts w:ascii="Arial" w:hAnsi="Arial" w:cs="Arial"/>
                <w:b/>
                <w:bCs/>
              </w:rPr>
              <w:t>Pediatric Berg Balance Scale (PBS)</w:t>
            </w:r>
          </w:p>
          <w:p w14:paraId="6D340F40" w14:textId="77777777" w:rsidR="00991202" w:rsidRPr="0098647A" w:rsidRDefault="00991202" w:rsidP="00991202">
            <w:pPr>
              <w:pStyle w:val="Body"/>
              <w:rPr>
                <w:rFonts w:ascii="Arial" w:hAnsi="Arial" w:cs="Arial"/>
                <w:b/>
                <w:bCs/>
              </w:rPr>
            </w:pPr>
          </w:p>
        </w:tc>
        <w:tc>
          <w:tcPr>
            <w:tcW w:w="0" w:type="auto"/>
          </w:tcPr>
          <w:p w14:paraId="0139EA50" w14:textId="77777777" w:rsidR="00991202" w:rsidRPr="00991202" w:rsidRDefault="00991202" w:rsidP="00991202">
            <w:pPr>
              <w:pStyle w:val="Body"/>
              <w:rPr>
                <w:rFonts w:ascii="Arial" w:hAnsi="Arial" w:cs="Arial"/>
              </w:rPr>
            </w:pPr>
            <w:r w:rsidRPr="00991202">
              <w:rPr>
                <w:rFonts w:ascii="Arial" w:hAnsi="Arial" w:cs="Arial"/>
              </w:rPr>
              <w:t>Static balance, dynamic balance, anticipatory postural control, transitional movements, single-limb support</w:t>
            </w:r>
          </w:p>
          <w:p w14:paraId="25DEAD72" w14:textId="77777777" w:rsidR="00991202" w:rsidRPr="00991202" w:rsidRDefault="00991202" w:rsidP="00991202">
            <w:pPr>
              <w:pStyle w:val="Body"/>
              <w:rPr>
                <w:rFonts w:ascii="Arial" w:hAnsi="Arial" w:cs="Arial"/>
              </w:rPr>
            </w:pPr>
          </w:p>
        </w:tc>
        <w:tc>
          <w:tcPr>
            <w:tcW w:w="0" w:type="auto"/>
          </w:tcPr>
          <w:p w14:paraId="6AB0B299" w14:textId="77777777" w:rsidR="00991202" w:rsidRPr="00991202" w:rsidRDefault="00991202" w:rsidP="00991202">
            <w:pPr>
              <w:pStyle w:val="Body"/>
              <w:rPr>
                <w:rFonts w:ascii="Arial" w:hAnsi="Arial" w:cs="Arial"/>
              </w:rPr>
            </w:pPr>
            <w:r w:rsidRPr="00991202">
              <w:rPr>
                <w:rFonts w:ascii="Arial" w:hAnsi="Arial" w:cs="Arial"/>
              </w:rPr>
              <w:t>Score: 47/56; difficulty performing tasks requiring single-leg stance, tandem standing, and reaching beyond base of support</w:t>
            </w:r>
          </w:p>
          <w:p w14:paraId="17C0882A" w14:textId="77777777" w:rsidR="00991202" w:rsidRPr="00991202" w:rsidRDefault="00991202" w:rsidP="00991202">
            <w:pPr>
              <w:pStyle w:val="Body"/>
              <w:rPr>
                <w:rFonts w:ascii="Arial" w:hAnsi="Arial" w:cs="Arial"/>
              </w:rPr>
            </w:pPr>
          </w:p>
        </w:tc>
        <w:tc>
          <w:tcPr>
            <w:tcW w:w="0" w:type="auto"/>
          </w:tcPr>
          <w:p w14:paraId="503476B1" w14:textId="77777777" w:rsidR="00991202" w:rsidRPr="00991202" w:rsidRDefault="00991202" w:rsidP="00991202">
            <w:pPr>
              <w:pStyle w:val="Body"/>
              <w:rPr>
                <w:rFonts w:ascii="Arial" w:hAnsi="Arial" w:cs="Arial"/>
              </w:rPr>
            </w:pPr>
            <w:r w:rsidRPr="00991202">
              <w:rPr>
                <w:rFonts w:ascii="Arial" w:hAnsi="Arial" w:cs="Arial"/>
              </w:rPr>
              <w:t>Mild balance impairment with reduced postural control during advanced static and dynamic balance activities</w:t>
            </w:r>
          </w:p>
          <w:p w14:paraId="07BA506D" w14:textId="77777777" w:rsidR="00991202" w:rsidRPr="00991202" w:rsidRDefault="00991202" w:rsidP="00991202">
            <w:pPr>
              <w:pStyle w:val="Body"/>
              <w:rPr>
                <w:rFonts w:ascii="Arial" w:hAnsi="Arial" w:cs="Arial"/>
              </w:rPr>
            </w:pPr>
          </w:p>
        </w:tc>
      </w:tr>
      <w:tr w:rsidR="00991202" w:rsidRPr="00991202" w14:paraId="4F53C91A" w14:textId="77777777" w:rsidTr="00172ECF">
        <w:tc>
          <w:tcPr>
            <w:tcW w:w="0" w:type="auto"/>
          </w:tcPr>
          <w:p w14:paraId="12E8D877" w14:textId="77777777" w:rsidR="00991202" w:rsidRPr="0098647A" w:rsidRDefault="00991202" w:rsidP="00991202">
            <w:pPr>
              <w:pStyle w:val="Body"/>
              <w:rPr>
                <w:rFonts w:ascii="Arial" w:hAnsi="Arial" w:cs="Arial"/>
                <w:b/>
                <w:bCs/>
              </w:rPr>
            </w:pPr>
            <w:r w:rsidRPr="0098647A">
              <w:rPr>
                <w:rFonts w:ascii="Arial" w:hAnsi="Arial" w:cs="Arial"/>
                <w:b/>
                <w:bCs/>
              </w:rPr>
              <w:t>Gross Motor Function Measure–88 (GMFM-88)</w:t>
            </w:r>
          </w:p>
          <w:p w14:paraId="09C503C8" w14:textId="77777777" w:rsidR="00991202" w:rsidRPr="0098647A" w:rsidRDefault="00991202" w:rsidP="00991202">
            <w:pPr>
              <w:pStyle w:val="Body"/>
              <w:rPr>
                <w:rFonts w:ascii="Arial" w:hAnsi="Arial" w:cs="Arial"/>
                <w:b/>
                <w:bCs/>
              </w:rPr>
            </w:pPr>
          </w:p>
        </w:tc>
        <w:tc>
          <w:tcPr>
            <w:tcW w:w="0" w:type="auto"/>
          </w:tcPr>
          <w:p w14:paraId="662ECC1F" w14:textId="77777777" w:rsidR="00991202" w:rsidRPr="00991202" w:rsidRDefault="00991202" w:rsidP="00991202">
            <w:pPr>
              <w:pStyle w:val="Body"/>
              <w:rPr>
                <w:rFonts w:ascii="Arial" w:hAnsi="Arial" w:cs="Arial"/>
              </w:rPr>
            </w:pPr>
            <w:r w:rsidRPr="00991202">
              <w:rPr>
                <w:rFonts w:ascii="Arial" w:hAnsi="Arial" w:cs="Arial"/>
              </w:rPr>
              <w:t>Dimension D: standing balance, weight shifting, transitional control; Dimension E: walking, running, jumping, stair negotiation</w:t>
            </w:r>
          </w:p>
          <w:p w14:paraId="2C59B181" w14:textId="77777777" w:rsidR="00991202" w:rsidRPr="00991202" w:rsidRDefault="00991202" w:rsidP="00991202">
            <w:pPr>
              <w:pStyle w:val="Body"/>
              <w:rPr>
                <w:rFonts w:ascii="Arial" w:hAnsi="Arial" w:cs="Arial"/>
              </w:rPr>
            </w:pPr>
          </w:p>
        </w:tc>
        <w:tc>
          <w:tcPr>
            <w:tcW w:w="0" w:type="auto"/>
          </w:tcPr>
          <w:p w14:paraId="07FB7F74" w14:textId="77777777" w:rsidR="00991202" w:rsidRPr="00991202" w:rsidRDefault="00991202" w:rsidP="00991202">
            <w:pPr>
              <w:pStyle w:val="Body"/>
              <w:rPr>
                <w:rFonts w:ascii="Arial" w:hAnsi="Arial" w:cs="Arial"/>
              </w:rPr>
            </w:pPr>
            <w:r w:rsidRPr="00991202">
              <w:rPr>
                <w:rFonts w:ascii="Arial" w:hAnsi="Arial" w:cs="Arial"/>
              </w:rPr>
              <w:t>Dimension D: 84%; Dimension E: 73.6%; Total: 79.1%</w:t>
            </w:r>
          </w:p>
          <w:p w14:paraId="56553398" w14:textId="77777777" w:rsidR="00991202" w:rsidRPr="00991202" w:rsidRDefault="00991202" w:rsidP="00991202">
            <w:pPr>
              <w:pStyle w:val="Body"/>
              <w:rPr>
                <w:rFonts w:ascii="Arial" w:hAnsi="Arial" w:cs="Arial"/>
              </w:rPr>
            </w:pPr>
          </w:p>
        </w:tc>
        <w:tc>
          <w:tcPr>
            <w:tcW w:w="0" w:type="auto"/>
          </w:tcPr>
          <w:p w14:paraId="1DA93FBD" w14:textId="77777777" w:rsidR="00991202" w:rsidRPr="00991202" w:rsidRDefault="00991202" w:rsidP="00991202">
            <w:pPr>
              <w:pStyle w:val="Body"/>
              <w:rPr>
                <w:rFonts w:ascii="Arial" w:hAnsi="Arial" w:cs="Arial"/>
              </w:rPr>
            </w:pPr>
            <w:r w:rsidRPr="00991202">
              <w:rPr>
                <w:rFonts w:ascii="Arial" w:hAnsi="Arial" w:cs="Arial"/>
              </w:rPr>
              <w:t>Moderate limitations in higher-level gross motor functions, particularly unilateral stance, hopping, and jumping</w:t>
            </w:r>
          </w:p>
          <w:p w14:paraId="00FEF042" w14:textId="77777777" w:rsidR="00991202" w:rsidRPr="00991202" w:rsidRDefault="00991202" w:rsidP="00991202">
            <w:pPr>
              <w:pStyle w:val="Body"/>
              <w:rPr>
                <w:rFonts w:ascii="Arial" w:hAnsi="Arial" w:cs="Arial"/>
              </w:rPr>
            </w:pPr>
          </w:p>
        </w:tc>
      </w:tr>
      <w:tr w:rsidR="00991202" w:rsidRPr="00991202" w14:paraId="23F332C0" w14:textId="77777777" w:rsidTr="00172ECF">
        <w:tc>
          <w:tcPr>
            <w:tcW w:w="0" w:type="auto"/>
          </w:tcPr>
          <w:p w14:paraId="5C56BBF8" w14:textId="77777777" w:rsidR="00991202" w:rsidRPr="0098647A" w:rsidRDefault="00991202" w:rsidP="00991202">
            <w:pPr>
              <w:pStyle w:val="Body"/>
              <w:rPr>
                <w:rFonts w:ascii="Arial" w:hAnsi="Arial" w:cs="Arial"/>
                <w:b/>
                <w:bCs/>
              </w:rPr>
            </w:pPr>
            <w:r w:rsidRPr="0098647A">
              <w:rPr>
                <w:rFonts w:ascii="Arial" w:hAnsi="Arial" w:cs="Arial"/>
                <w:b/>
                <w:bCs/>
              </w:rPr>
              <w:t>Ages and Stages Questionnaire (ASQ-3, 42 months)</w:t>
            </w:r>
          </w:p>
          <w:p w14:paraId="0675F004" w14:textId="77777777" w:rsidR="00991202" w:rsidRPr="0098647A" w:rsidRDefault="00991202" w:rsidP="00991202">
            <w:pPr>
              <w:pStyle w:val="Body"/>
              <w:rPr>
                <w:rFonts w:ascii="Arial" w:hAnsi="Arial" w:cs="Arial"/>
                <w:b/>
                <w:bCs/>
              </w:rPr>
            </w:pPr>
          </w:p>
        </w:tc>
        <w:tc>
          <w:tcPr>
            <w:tcW w:w="0" w:type="auto"/>
          </w:tcPr>
          <w:p w14:paraId="75857189" w14:textId="77777777" w:rsidR="00991202" w:rsidRPr="00991202" w:rsidRDefault="00991202" w:rsidP="00991202">
            <w:pPr>
              <w:pStyle w:val="Body"/>
              <w:rPr>
                <w:rFonts w:ascii="Arial" w:hAnsi="Arial" w:cs="Arial"/>
              </w:rPr>
            </w:pPr>
            <w:r w:rsidRPr="00991202">
              <w:rPr>
                <w:rFonts w:ascii="Arial" w:hAnsi="Arial" w:cs="Arial"/>
              </w:rPr>
              <w:t>Communication, gross motor skills, fine motor skills, problem solving, personal–social interaction</w:t>
            </w:r>
          </w:p>
          <w:p w14:paraId="1B619BCB" w14:textId="77777777" w:rsidR="00991202" w:rsidRPr="00991202" w:rsidRDefault="00991202" w:rsidP="00991202">
            <w:pPr>
              <w:pStyle w:val="Body"/>
              <w:rPr>
                <w:rFonts w:ascii="Arial" w:hAnsi="Arial" w:cs="Arial"/>
              </w:rPr>
            </w:pPr>
          </w:p>
        </w:tc>
        <w:tc>
          <w:tcPr>
            <w:tcW w:w="0" w:type="auto"/>
          </w:tcPr>
          <w:p w14:paraId="0AA27A83" w14:textId="77777777" w:rsidR="00991202" w:rsidRPr="00991202" w:rsidRDefault="00991202" w:rsidP="00991202">
            <w:pPr>
              <w:pStyle w:val="Body"/>
              <w:rPr>
                <w:rFonts w:ascii="Arial" w:hAnsi="Arial" w:cs="Arial"/>
              </w:rPr>
            </w:pPr>
            <w:r w:rsidRPr="00991202">
              <w:rPr>
                <w:rFonts w:ascii="Arial" w:hAnsi="Arial" w:cs="Arial"/>
              </w:rPr>
              <w:t>Communication: 15/60; Gross Motor: 15/60; Fine Motor: 35/60; Problem Solving: 50/60; Personal–Social: 45/60</w:t>
            </w:r>
          </w:p>
          <w:p w14:paraId="1642BD2C" w14:textId="77777777" w:rsidR="00991202" w:rsidRPr="00991202" w:rsidRDefault="00991202" w:rsidP="00991202">
            <w:pPr>
              <w:pStyle w:val="Body"/>
              <w:rPr>
                <w:rFonts w:ascii="Arial" w:hAnsi="Arial" w:cs="Arial"/>
              </w:rPr>
            </w:pPr>
          </w:p>
        </w:tc>
        <w:tc>
          <w:tcPr>
            <w:tcW w:w="0" w:type="auto"/>
          </w:tcPr>
          <w:p w14:paraId="196002B3" w14:textId="77777777" w:rsidR="00991202" w:rsidRPr="00991202" w:rsidRDefault="00991202" w:rsidP="00991202">
            <w:pPr>
              <w:pStyle w:val="Body"/>
              <w:rPr>
                <w:rFonts w:ascii="Arial" w:hAnsi="Arial" w:cs="Arial"/>
              </w:rPr>
            </w:pPr>
            <w:r w:rsidRPr="00991202">
              <w:rPr>
                <w:rFonts w:ascii="Arial" w:hAnsi="Arial" w:cs="Arial"/>
              </w:rPr>
              <w:t>Significant delays in communication and gross motor domains; mild fine motor delay; age-appropriate problem solving and social engagement</w:t>
            </w:r>
          </w:p>
          <w:p w14:paraId="13544BF8" w14:textId="77777777" w:rsidR="00991202" w:rsidRPr="00991202" w:rsidRDefault="00991202" w:rsidP="00991202">
            <w:pPr>
              <w:pStyle w:val="Body"/>
              <w:rPr>
                <w:rFonts w:ascii="Arial" w:hAnsi="Arial" w:cs="Arial"/>
              </w:rPr>
            </w:pPr>
          </w:p>
        </w:tc>
      </w:tr>
      <w:tr w:rsidR="00991202" w:rsidRPr="00991202" w14:paraId="3B4D0518" w14:textId="77777777" w:rsidTr="00172ECF">
        <w:tc>
          <w:tcPr>
            <w:tcW w:w="0" w:type="auto"/>
          </w:tcPr>
          <w:p w14:paraId="43EEB86E" w14:textId="77777777" w:rsidR="00991202" w:rsidRPr="0098647A" w:rsidRDefault="00991202" w:rsidP="00991202">
            <w:pPr>
              <w:pStyle w:val="Body"/>
              <w:rPr>
                <w:rFonts w:ascii="Arial" w:hAnsi="Arial" w:cs="Arial"/>
                <w:b/>
                <w:bCs/>
              </w:rPr>
            </w:pPr>
            <w:r w:rsidRPr="0098647A">
              <w:rPr>
                <w:rFonts w:ascii="Arial" w:hAnsi="Arial" w:cs="Arial"/>
                <w:b/>
                <w:bCs/>
              </w:rPr>
              <w:t>Pediatric Quality of Life Inventory (</w:t>
            </w:r>
            <w:proofErr w:type="spellStart"/>
            <w:r w:rsidRPr="0098647A">
              <w:rPr>
                <w:rFonts w:ascii="Arial" w:hAnsi="Arial" w:cs="Arial"/>
                <w:b/>
                <w:bCs/>
              </w:rPr>
              <w:t>PedsQL</w:t>
            </w:r>
            <w:proofErr w:type="spellEnd"/>
            <w:r w:rsidRPr="0098647A">
              <w:rPr>
                <w:rFonts w:ascii="Arial" w:hAnsi="Arial" w:cs="Arial"/>
                <w:b/>
                <w:bCs/>
              </w:rPr>
              <w:t xml:space="preserve"> – Parent Report)</w:t>
            </w:r>
          </w:p>
          <w:p w14:paraId="38263525" w14:textId="77777777" w:rsidR="00991202" w:rsidRPr="0098647A" w:rsidRDefault="00991202" w:rsidP="00991202">
            <w:pPr>
              <w:pStyle w:val="Body"/>
              <w:rPr>
                <w:rFonts w:ascii="Arial" w:hAnsi="Arial" w:cs="Arial"/>
                <w:b/>
                <w:bCs/>
              </w:rPr>
            </w:pPr>
          </w:p>
        </w:tc>
        <w:tc>
          <w:tcPr>
            <w:tcW w:w="0" w:type="auto"/>
          </w:tcPr>
          <w:p w14:paraId="2CD19679" w14:textId="77777777" w:rsidR="00991202" w:rsidRPr="00991202" w:rsidRDefault="00991202" w:rsidP="00991202">
            <w:pPr>
              <w:pStyle w:val="Body"/>
              <w:rPr>
                <w:rFonts w:ascii="Arial" w:hAnsi="Arial" w:cs="Arial"/>
              </w:rPr>
            </w:pPr>
            <w:r w:rsidRPr="00991202">
              <w:rPr>
                <w:rFonts w:ascii="Arial" w:hAnsi="Arial" w:cs="Arial"/>
              </w:rPr>
              <w:t>Physical functioning, emotional functioning, social functioning, nursery/day-care participation</w:t>
            </w:r>
          </w:p>
          <w:p w14:paraId="7F86651D" w14:textId="77777777" w:rsidR="00991202" w:rsidRPr="00991202" w:rsidRDefault="00991202" w:rsidP="00991202">
            <w:pPr>
              <w:pStyle w:val="Body"/>
              <w:rPr>
                <w:rFonts w:ascii="Arial" w:hAnsi="Arial" w:cs="Arial"/>
              </w:rPr>
            </w:pPr>
          </w:p>
        </w:tc>
        <w:tc>
          <w:tcPr>
            <w:tcW w:w="0" w:type="auto"/>
          </w:tcPr>
          <w:p w14:paraId="61E1FC79" w14:textId="77777777" w:rsidR="00991202" w:rsidRPr="00991202" w:rsidRDefault="00991202" w:rsidP="00991202">
            <w:pPr>
              <w:pStyle w:val="Body"/>
              <w:rPr>
                <w:rFonts w:ascii="Arial" w:hAnsi="Arial" w:cs="Arial"/>
              </w:rPr>
            </w:pPr>
            <w:r w:rsidRPr="00991202">
              <w:rPr>
                <w:rFonts w:ascii="Arial" w:hAnsi="Arial" w:cs="Arial"/>
              </w:rPr>
              <w:t>Total score: 80.25; mild physical limitations; moderate emotional impact; intact social participation</w:t>
            </w:r>
          </w:p>
          <w:p w14:paraId="359FA060" w14:textId="77777777" w:rsidR="00991202" w:rsidRPr="00991202" w:rsidRDefault="00991202" w:rsidP="00991202">
            <w:pPr>
              <w:pStyle w:val="Body"/>
              <w:rPr>
                <w:rFonts w:ascii="Arial" w:hAnsi="Arial" w:cs="Arial"/>
              </w:rPr>
            </w:pPr>
          </w:p>
        </w:tc>
        <w:tc>
          <w:tcPr>
            <w:tcW w:w="0" w:type="auto"/>
          </w:tcPr>
          <w:p w14:paraId="47D8445D" w14:textId="77777777" w:rsidR="00991202" w:rsidRPr="00991202" w:rsidRDefault="00991202" w:rsidP="00991202">
            <w:pPr>
              <w:pStyle w:val="Body"/>
              <w:rPr>
                <w:rFonts w:ascii="Arial" w:hAnsi="Arial" w:cs="Arial"/>
              </w:rPr>
            </w:pPr>
            <w:r w:rsidRPr="00991202">
              <w:rPr>
                <w:rFonts w:ascii="Arial" w:hAnsi="Arial" w:cs="Arial"/>
              </w:rPr>
              <w:t>Overall good quality of life with psychosocial resilience despite physical limitations</w:t>
            </w:r>
          </w:p>
          <w:p w14:paraId="4EC3742F" w14:textId="77777777" w:rsidR="00991202" w:rsidRPr="00991202" w:rsidRDefault="00991202" w:rsidP="00991202">
            <w:pPr>
              <w:pStyle w:val="Body"/>
              <w:rPr>
                <w:rFonts w:ascii="Arial" w:hAnsi="Arial" w:cs="Arial"/>
              </w:rPr>
            </w:pPr>
          </w:p>
        </w:tc>
      </w:tr>
      <w:tr w:rsidR="00991202" w:rsidRPr="00991202" w14:paraId="66CAE2B0" w14:textId="77777777" w:rsidTr="00172ECF">
        <w:tc>
          <w:tcPr>
            <w:tcW w:w="0" w:type="auto"/>
          </w:tcPr>
          <w:p w14:paraId="14C93147" w14:textId="77777777" w:rsidR="00991202" w:rsidRPr="0098647A" w:rsidRDefault="00991202" w:rsidP="00991202">
            <w:pPr>
              <w:pStyle w:val="Body"/>
              <w:rPr>
                <w:rFonts w:ascii="Arial" w:hAnsi="Arial" w:cs="Arial"/>
                <w:b/>
                <w:bCs/>
              </w:rPr>
            </w:pPr>
            <w:r w:rsidRPr="0098647A">
              <w:rPr>
                <w:rFonts w:ascii="Arial" w:hAnsi="Arial" w:cs="Arial"/>
                <w:b/>
                <w:bCs/>
              </w:rPr>
              <w:t>Caregiver Strain Index (CSI)</w:t>
            </w:r>
          </w:p>
          <w:p w14:paraId="0574362E" w14:textId="77777777" w:rsidR="00991202" w:rsidRPr="0098647A" w:rsidRDefault="00991202" w:rsidP="00991202">
            <w:pPr>
              <w:pStyle w:val="Body"/>
              <w:rPr>
                <w:rFonts w:ascii="Arial" w:hAnsi="Arial" w:cs="Arial"/>
                <w:b/>
                <w:bCs/>
              </w:rPr>
            </w:pPr>
          </w:p>
        </w:tc>
        <w:tc>
          <w:tcPr>
            <w:tcW w:w="0" w:type="auto"/>
          </w:tcPr>
          <w:p w14:paraId="564F3DD4" w14:textId="77777777" w:rsidR="00991202" w:rsidRPr="00991202" w:rsidRDefault="00991202" w:rsidP="00991202">
            <w:pPr>
              <w:pStyle w:val="Body"/>
              <w:rPr>
                <w:rFonts w:ascii="Arial" w:hAnsi="Arial" w:cs="Arial"/>
              </w:rPr>
            </w:pPr>
            <w:r w:rsidRPr="00991202">
              <w:rPr>
                <w:rFonts w:ascii="Arial" w:hAnsi="Arial" w:cs="Arial"/>
              </w:rPr>
              <w:t>Sleep disturbance, emotional stress, physical strain, role restriction, financial and social impact</w:t>
            </w:r>
          </w:p>
          <w:p w14:paraId="3903D3EB" w14:textId="77777777" w:rsidR="00991202" w:rsidRPr="00991202" w:rsidRDefault="00991202" w:rsidP="00991202">
            <w:pPr>
              <w:pStyle w:val="Body"/>
              <w:rPr>
                <w:rFonts w:ascii="Arial" w:hAnsi="Arial" w:cs="Arial"/>
              </w:rPr>
            </w:pPr>
          </w:p>
        </w:tc>
        <w:tc>
          <w:tcPr>
            <w:tcW w:w="0" w:type="auto"/>
          </w:tcPr>
          <w:p w14:paraId="62E5B968" w14:textId="77777777" w:rsidR="00991202" w:rsidRPr="00991202" w:rsidRDefault="00991202" w:rsidP="00991202">
            <w:pPr>
              <w:pStyle w:val="Body"/>
              <w:rPr>
                <w:rFonts w:ascii="Arial" w:hAnsi="Arial" w:cs="Arial"/>
              </w:rPr>
            </w:pPr>
            <w:r w:rsidRPr="00991202">
              <w:rPr>
                <w:rFonts w:ascii="Arial" w:hAnsi="Arial" w:cs="Arial"/>
              </w:rPr>
              <w:t>Score: 10/13</w:t>
            </w:r>
          </w:p>
          <w:p w14:paraId="2206BF39" w14:textId="77777777" w:rsidR="00991202" w:rsidRPr="00991202" w:rsidRDefault="00991202" w:rsidP="00991202">
            <w:pPr>
              <w:pStyle w:val="Body"/>
              <w:rPr>
                <w:rFonts w:ascii="Arial" w:hAnsi="Arial" w:cs="Arial"/>
              </w:rPr>
            </w:pPr>
          </w:p>
        </w:tc>
        <w:tc>
          <w:tcPr>
            <w:tcW w:w="0" w:type="auto"/>
          </w:tcPr>
          <w:p w14:paraId="77E2AB85" w14:textId="77777777" w:rsidR="00991202" w:rsidRPr="00991202" w:rsidRDefault="00991202" w:rsidP="00991202">
            <w:pPr>
              <w:pStyle w:val="Body"/>
              <w:rPr>
                <w:rFonts w:ascii="Arial" w:hAnsi="Arial" w:cs="Arial"/>
              </w:rPr>
            </w:pPr>
            <w:r w:rsidRPr="00991202">
              <w:rPr>
                <w:rFonts w:ascii="Arial" w:hAnsi="Arial" w:cs="Arial"/>
              </w:rPr>
              <w:t>High caregiver burden, highlighting the psychosocial impact of managing a chronic pediatric condition</w:t>
            </w:r>
          </w:p>
          <w:p w14:paraId="4DDB07E6" w14:textId="77777777" w:rsidR="00991202" w:rsidRPr="00991202" w:rsidRDefault="00991202" w:rsidP="00991202">
            <w:pPr>
              <w:pStyle w:val="Body"/>
              <w:rPr>
                <w:rFonts w:ascii="Arial" w:hAnsi="Arial" w:cs="Arial"/>
              </w:rPr>
            </w:pPr>
          </w:p>
        </w:tc>
      </w:tr>
      <w:tr w:rsidR="00991202" w:rsidRPr="00991202" w14:paraId="573E01ED" w14:textId="77777777" w:rsidTr="00172ECF">
        <w:tc>
          <w:tcPr>
            <w:tcW w:w="0" w:type="auto"/>
          </w:tcPr>
          <w:p w14:paraId="10675581" w14:textId="77777777" w:rsidR="00991202" w:rsidRPr="0098647A" w:rsidRDefault="00991202" w:rsidP="00991202">
            <w:pPr>
              <w:pStyle w:val="Body"/>
              <w:rPr>
                <w:rFonts w:ascii="Arial" w:hAnsi="Arial" w:cs="Arial"/>
                <w:b/>
                <w:bCs/>
              </w:rPr>
            </w:pPr>
            <w:r w:rsidRPr="0098647A">
              <w:rPr>
                <w:rFonts w:ascii="Arial" w:hAnsi="Arial" w:cs="Arial"/>
                <w:b/>
                <w:bCs/>
              </w:rPr>
              <w:lastRenderedPageBreak/>
              <w:t>Stair Negotiation (Functional Task Analysis)</w:t>
            </w:r>
          </w:p>
          <w:p w14:paraId="6747E7FD" w14:textId="77777777" w:rsidR="00991202" w:rsidRPr="0098647A" w:rsidRDefault="00991202" w:rsidP="00991202">
            <w:pPr>
              <w:pStyle w:val="Body"/>
              <w:rPr>
                <w:rFonts w:ascii="Arial" w:hAnsi="Arial" w:cs="Arial"/>
                <w:b/>
                <w:bCs/>
              </w:rPr>
            </w:pPr>
          </w:p>
        </w:tc>
        <w:tc>
          <w:tcPr>
            <w:tcW w:w="0" w:type="auto"/>
          </w:tcPr>
          <w:p w14:paraId="4C9BC29B" w14:textId="77777777" w:rsidR="00991202" w:rsidRPr="00991202" w:rsidRDefault="00991202" w:rsidP="00991202">
            <w:pPr>
              <w:pStyle w:val="Body"/>
              <w:rPr>
                <w:rFonts w:ascii="Arial" w:hAnsi="Arial" w:cs="Arial"/>
              </w:rPr>
            </w:pPr>
            <w:r w:rsidRPr="00991202">
              <w:rPr>
                <w:rFonts w:ascii="Arial" w:hAnsi="Arial" w:cs="Arial"/>
              </w:rPr>
              <w:t>Step pattern, use of handrails, eccentric control, limb symmetry</w:t>
            </w:r>
          </w:p>
          <w:p w14:paraId="0E858B27" w14:textId="77777777" w:rsidR="00991202" w:rsidRPr="00991202" w:rsidRDefault="00991202" w:rsidP="00991202">
            <w:pPr>
              <w:pStyle w:val="Body"/>
              <w:rPr>
                <w:rFonts w:ascii="Arial" w:hAnsi="Arial" w:cs="Arial"/>
              </w:rPr>
            </w:pPr>
          </w:p>
        </w:tc>
        <w:tc>
          <w:tcPr>
            <w:tcW w:w="0" w:type="auto"/>
          </w:tcPr>
          <w:p w14:paraId="34381EA7" w14:textId="77777777" w:rsidR="00991202" w:rsidRPr="00991202" w:rsidRDefault="00991202" w:rsidP="00991202">
            <w:pPr>
              <w:pStyle w:val="Body"/>
              <w:rPr>
                <w:rFonts w:ascii="Arial" w:hAnsi="Arial" w:cs="Arial"/>
              </w:rPr>
            </w:pPr>
            <w:r w:rsidRPr="00991202">
              <w:rPr>
                <w:rFonts w:ascii="Arial" w:hAnsi="Arial" w:cs="Arial"/>
              </w:rPr>
              <w:t>Ascent with alternate foot placement using bilateral handrail support; descent using step-to pattern</w:t>
            </w:r>
          </w:p>
          <w:p w14:paraId="67FCAB15" w14:textId="77777777" w:rsidR="00991202" w:rsidRPr="00991202" w:rsidRDefault="00991202" w:rsidP="00991202">
            <w:pPr>
              <w:pStyle w:val="Body"/>
              <w:rPr>
                <w:rFonts w:ascii="Arial" w:hAnsi="Arial" w:cs="Arial"/>
              </w:rPr>
            </w:pPr>
          </w:p>
        </w:tc>
        <w:tc>
          <w:tcPr>
            <w:tcW w:w="0" w:type="auto"/>
          </w:tcPr>
          <w:p w14:paraId="633C2A3B" w14:textId="77777777" w:rsidR="00991202" w:rsidRPr="00991202" w:rsidRDefault="00991202" w:rsidP="00991202">
            <w:pPr>
              <w:pStyle w:val="Body"/>
              <w:rPr>
                <w:rFonts w:ascii="Arial" w:hAnsi="Arial" w:cs="Arial"/>
              </w:rPr>
            </w:pPr>
            <w:r w:rsidRPr="00991202">
              <w:rPr>
                <w:rFonts w:ascii="Arial" w:hAnsi="Arial" w:cs="Arial"/>
              </w:rPr>
              <w:t>Reduced eccentric control and dynamic balance, with reliance on upper-limb support</w:t>
            </w:r>
          </w:p>
          <w:p w14:paraId="162CFEF7" w14:textId="77777777" w:rsidR="00991202" w:rsidRPr="00991202" w:rsidRDefault="00991202" w:rsidP="00991202">
            <w:pPr>
              <w:pStyle w:val="Body"/>
              <w:rPr>
                <w:rFonts w:ascii="Arial" w:hAnsi="Arial" w:cs="Arial"/>
              </w:rPr>
            </w:pPr>
          </w:p>
        </w:tc>
      </w:tr>
      <w:tr w:rsidR="00991202" w:rsidRPr="00991202" w14:paraId="6B7A4B54" w14:textId="77777777" w:rsidTr="00172ECF">
        <w:tc>
          <w:tcPr>
            <w:tcW w:w="0" w:type="auto"/>
          </w:tcPr>
          <w:p w14:paraId="00DCC3C8" w14:textId="77777777" w:rsidR="00991202" w:rsidRPr="0098647A" w:rsidRDefault="00991202" w:rsidP="00991202">
            <w:pPr>
              <w:pStyle w:val="Body"/>
              <w:rPr>
                <w:rFonts w:ascii="Arial" w:hAnsi="Arial" w:cs="Arial"/>
                <w:b/>
                <w:bCs/>
              </w:rPr>
            </w:pPr>
            <w:r w:rsidRPr="0098647A">
              <w:rPr>
                <w:rFonts w:ascii="Arial" w:hAnsi="Arial" w:cs="Arial"/>
                <w:b/>
                <w:bCs/>
              </w:rPr>
              <w:t>Observational Gait Analysis</w:t>
            </w:r>
          </w:p>
          <w:p w14:paraId="304F8B9A" w14:textId="77777777" w:rsidR="00991202" w:rsidRPr="0098647A" w:rsidRDefault="00991202" w:rsidP="00991202">
            <w:pPr>
              <w:pStyle w:val="Body"/>
              <w:rPr>
                <w:rFonts w:ascii="Arial" w:hAnsi="Arial" w:cs="Arial"/>
                <w:b/>
                <w:bCs/>
              </w:rPr>
            </w:pPr>
          </w:p>
        </w:tc>
        <w:tc>
          <w:tcPr>
            <w:tcW w:w="0" w:type="auto"/>
          </w:tcPr>
          <w:p w14:paraId="76AB5268" w14:textId="77777777" w:rsidR="00991202" w:rsidRPr="00991202" w:rsidRDefault="00991202" w:rsidP="00991202">
            <w:pPr>
              <w:pStyle w:val="Body"/>
              <w:rPr>
                <w:rFonts w:ascii="Arial" w:hAnsi="Arial" w:cs="Arial"/>
              </w:rPr>
            </w:pPr>
            <w:r w:rsidRPr="00991202">
              <w:rPr>
                <w:rFonts w:ascii="Arial" w:hAnsi="Arial" w:cs="Arial"/>
              </w:rPr>
              <w:t>Base of support, trunk alignment, foot contact pattern, limb symmetry, cadence</w:t>
            </w:r>
          </w:p>
          <w:p w14:paraId="258565B8" w14:textId="77777777" w:rsidR="00991202" w:rsidRPr="00991202" w:rsidRDefault="00991202" w:rsidP="00991202">
            <w:pPr>
              <w:pStyle w:val="Body"/>
              <w:rPr>
                <w:rFonts w:ascii="Arial" w:hAnsi="Arial" w:cs="Arial"/>
              </w:rPr>
            </w:pPr>
          </w:p>
        </w:tc>
        <w:tc>
          <w:tcPr>
            <w:tcW w:w="0" w:type="auto"/>
          </w:tcPr>
          <w:p w14:paraId="099BFE5E" w14:textId="77777777" w:rsidR="00991202" w:rsidRPr="00991202" w:rsidRDefault="00991202" w:rsidP="00991202">
            <w:pPr>
              <w:pStyle w:val="Body"/>
              <w:rPr>
                <w:rFonts w:ascii="Arial" w:hAnsi="Arial" w:cs="Arial"/>
              </w:rPr>
            </w:pPr>
            <w:r w:rsidRPr="00991202">
              <w:rPr>
                <w:rFonts w:ascii="Arial" w:hAnsi="Arial" w:cs="Arial"/>
              </w:rPr>
              <w:t>Widened base of support, mild forward trunk lean, lateral foot contact, persistent external foot rotation</w:t>
            </w:r>
          </w:p>
          <w:p w14:paraId="407A0A4E" w14:textId="77777777" w:rsidR="00991202" w:rsidRPr="00991202" w:rsidRDefault="00991202" w:rsidP="00991202">
            <w:pPr>
              <w:pStyle w:val="Body"/>
              <w:rPr>
                <w:rFonts w:ascii="Arial" w:hAnsi="Arial" w:cs="Arial"/>
              </w:rPr>
            </w:pPr>
          </w:p>
        </w:tc>
        <w:tc>
          <w:tcPr>
            <w:tcW w:w="0" w:type="auto"/>
          </w:tcPr>
          <w:p w14:paraId="24EA27FB" w14:textId="77777777" w:rsidR="00991202" w:rsidRPr="00991202" w:rsidRDefault="00991202" w:rsidP="00991202">
            <w:pPr>
              <w:pStyle w:val="Body"/>
              <w:rPr>
                <w:rFonts w:ascii="Arial" w:hAnsi="Arial" w:cs="Arial"/>
              </w:rPr>
            </w:pPr>
            <w:r w:rsidRPr="00991202">
              <w:rPr>
                <w:rFonts w:ascii="Arial" w:hAnsi="Arial" w:cs="Arial"/>
              </w:rPr>
              <w:t>Compensatory gait strategy consistent with distal weakness and impaired proprioceptive control</w:t>
            </w:r>
          </w:p>
          <w:p w14:paraId="460C9343" w14:textId="77777777" w:rsidR="00991202" w:rsidRPr="00991202" w:rsidRDefault="00991202" w:rsidP="00991202">
            <w:pPr>
              <w:pStyle w:val="Body"/>
              <w:rPr>
                <w:rFonts w:ascii="Arial" w:hAnsi="Arial" w:cs="Arial"/>
              </w:rPr>
            </w:pPr>
          </w:p>
        </w:tc>
      </w:tr>
    </w:tbl>
    <w:p w14:paraId="4DA8B520" w14:textId="77777777" w:rsidR="00991202" w:rsidRPr="00991202" w:rsidRDefault="00991202" w:rsidP="00991202">
      <w:pPr>
        <w:pStyle w:val="Body"/>
        <w:rPr>
          <w:rFonts w:ascii="Arial" w:hAnsi="Arial" w:cs="Arial"/>
        </w:rPr>
      </w:pPr>
    </w:p>
    <w:p w14:paraId="5C395DC5" w14:textId="77777777" w:rsidR="00991202" w:rsidRPr="001645F4" w:rsidRDefault="00991202" w:rsidP="00991202">
      <w:pPr>
        <w:pStyle w:val="Body"/>
        <w:rPr>
          <w:rFonts w:ascii="Arial" w:hAnsi="Arial" w:cs="Arial"/>
          <w:b/>
          <w:bCs/>
        </w:rPr>
      </w:pPr>
      <w:r w:rsidRPr="001645F4">
        <w:rPr>
          <w:rFonts w:ascii="Arial" w:hAnsi="Arial" w:cs="Arial"/>
          <w:b/>
          <w:bCs/>
        </w:rPr>
        <w:t>Table 3. Evidence-Based Aims, Goals, and Physiotherapy Management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1555"/>
        <w:gridCol w:w="1399"/>
        <w:gridCol w:w="1263"/>
        <w:gridCol w:w="1409"/>
        <w:gridCol w:w="1828"/>
        <w:gridCol w:w="1922"/>
      </w:tblGrid>
      <w:tr w:rsidR="00991202" w:rsidRPr="001645F4" w14:paraId="09B4CF40" w14:textId="77777777" w:rsidTr="00172ECF">
        <w:tc>
          <w:tcPr>
            <w:tcW w:w="0" w:type="auto"/>
          </w:tcPr>
          <w:p w14:paraId="1FCF43E8" w14:textId="77777777" w:rsidR="00991202" w:rsidRPr="001645F4" w:rsidRDefault="00991202" w:rsidP="00991202">
            <w:pPr>
              <w:pStyle w:val="Body"/>
              <w:rPr>
                <w:rFonts w:ascii="Arial" w:hAnsi="Arial" w:cs="Arial"/>
                <w:b/>
                <w:bCs/>
              </w:rPr>
            </w:pPr>
            <w:r w:rsidRPr="001645F4">
              <w:rPr>
                <w:rFonts w:ascii="Arial" w:hAnsi="Arial" w:cs="Arial"/>
                <w:b/>
                <w:bCs/>
              </w:rPr>
              <w:t>Identified Deficit (from Assessment)</w:t>
            </w:r>
          </w:p>
          <w:p w14:paraId="6D6CDFFD" w14:textId="77777777" w:rsidR="00991202" w:rsidRPr="001645F4" w:rsidRDefault="00991202" w:rsidP="00991202">
            <w:pPr>
              <w:pStyle w:val="Body"/>
              <w:rPr>
                <w:rFonts w:ascii="Arial" w:hAnsi="Arial" w:cs="Arial"/>
                <w:b/>
                <w:bCs/>
              </w:rPr>
            </w:pPr>
          </w:p>
        </w:tc>
        <w:tc>
          <w:tcPr>
            <w:tcW w:w="0" w:type="auto"/>
          </w:tcPr>
          <w:p w14:paraId="04D9DC68" w14:textId="77777777" w:rsidR="00991202" w:rsidRPr="001645F4" w:rsidRDefault="00991202" w:rsidP="00991202">
            <w:pPr>
              <w:pStyle w:val="Body"/>
              <w:rPr>
                <w:rFonts w:ascii="Arial" w:hAnsi="Arial" w:cs="Arial"/>
                <w:b/>
                <w:bCs/>
              </w:rPr>
            </w:pPr>
            <w:r w:rsidRPr="001645F4">
              <w:rPr>
                <w:rFonts w:ascii="Arial" w:hAnsi="Arial" w:cs="Arial"/>
                <w:b/>
                <w:bCs/>
              </w:rPr>
              <w:t>Aim</w:t>
            </w:r>
          </w:p>
          <w:p w14:paraId="34E9400C" w14:textId="77777777" w:rsidR="00991202" w:rsidRPr="001645F4" w:rsidRDefault="00991202" w:rsidP="00991202">
            <w:pPr>
              <w:pStyle w:val="Body"/>
              <w:rPr>
                <w:rFonts w:ascii="Arial" w:hAnsi="Arial" w:cs="Arial"/>
                <w:b/>
                <w:bCs/>
              </w:rPr>
            </w:pPr>
          </w:p>
        </w:tc>
        <w:tc>
          <w:tcPr>
            <w:tcW w:w="0" w:type="auto"/>
          </w:tcPr>
          <w:p w14:paraId="734AE406" w14:textId="77777777" w:rsidR="00991202" w:rsidRPr="001645F4" w:rsidRDefault="00991202" w:rsidP="00991202">
            <w:pPr>
              <w:pStyle w:val="Body"/>
              <w:rPr>
                <w:rFonts w:ascii="Arial" w:hAnsi="Arial" w:cs="Arial"/>
                <w:b/>
                <w:bCs/>
              </w:rPr>
            </w:pPr>
            <w:r w:rsidRPr="001645F4">
              <w:rPr>
                <w:rFonts w:ascii="Arial" w:hAnsi="Arial" w:cs="Arial"/>
                <w:b/>
                <w:bCs/>
              </w:rPr>
              <w:t>Short-Term Goals (4–6 weeks)</w:t>
            </w:r>
          </w:p>
          <w:p w14:paraId="1B1AA7F4" w14:textId="77777777" w:rsidR="00991202" w:rsidRPr="001645F4" w:rsidRDefault="00991202" w:rsidP="00991202">
            <w:pPr>
              <w:pStyle w:val="Body"/>
              <w:rPr>
                <w:rFonts w:ascii="Arial" w:hAnsi="Arial" w:cs="Arial"/>
                <w:b/>
                <w:bCs/>
              </w:rPr>
            </w:pPr>
          </w:p>
        </w:tc>
        <w:tc>
          <w:tcPr>
            <w:tcW w:w="0" w:type="auto"/>
          </w:tcPr>
          <w:p w14:paraId="68A9F329" w14:textId="77777777" w:rsidR="00991202" w:rsidRPr="001645F4" w:rsidRDefault="00991202" w:rsidP="00991202">
            <w:pPr>
              <w:pStyle w:val="Body"/>
              <w:rPr>
                <w:rFonts w:ascii="Arial" w:hAnsi="Arial" w:cs="Arial"/>
                <w:b/>
                <w:bCs/>
              </w:rPr>
            </w:pPr>
            <w:r w:rsidRPr="001645F4">
              <w:rPr>
                <w:rFonts w:ascii="Arial" w:hAnsi="Arial" w:cs="Arial"/>
                <w:b/>
                <w:bCs/>
              </w:rPr>
              <w:t>Long-Term Goals (3–6 months)</w:t>
            </w:r>
          </w:p>
          <w:p w14:paraId="5AE25C96" w14:textId="77777777" w:rsidR="00991202" w:rsidRPr="001645F4" w:rsidRDefault="00991202" w:rsidP="00991202">
            <w:pPr>
              <w:pStyle w:val="Body"/>
              <w:rPr>
                <w:rFonts w:ascii="Arial" w:hAnsi="Arial" w:cs="Arial"/>
                <w:b/>
                <w:bCs/>
              </w:rPr>
            </w:pPr>
          </w:p>
        </w:tc>
        <w:tc>
          <w:tcPr>
            <w:tcW w:w="0" w:type="auto"/>
          </w:tcPr>
          <w:p w14:paraId="3906C786" w14:textId="77777777" w:rsidR="00991202" w:rsidRPr="001645F4" w:rsidRDefault="00991202" w:rsidP="00991202">
            <w:pPr>
              <w:pStyle w:val="Body"/>
              <w:rPr>
                <w:rFonts w:ascii="Arial" w:hAnsi="Arial" w:cs="Arial"/>
                <w:b/>
                <w:bCs/>
              </w:rPr>
            </w:pPr>
            <w:r w:rsidRPr="001645F4">
              <w:rPr>
                <w:rFonts w:ascii="Arial" w:hAnsi="Arial" w:cs="Arial"/>
                <w:b/>
                <w:bCs/>
              </w:rPr>
              <w:t>Intervention &amp; Components</w:t>
            </w:r>
          </w:p>
          <w:p w14:paraId="54214222" w14:textId="77777777" w:rsidR="00991202" w:rsidRPr="001645F4" w:rsidRDefault="00991202" w:rsidP="00991202">
            <w:pPr>
              <w:pStyle w:val="Body"/>
              <w:rPr>
                <w:rFonts w:ascii="Arial" w:hAnsi="Arial" w:cs="Arial"/>
                <w:b/>
                <w:bCs/>
              </w:rPr>
            </w:pPr>
          </w:p>
        </w:tc>
        <w:tc>
          <w:tcPr>
            <w:tcW w:w="0" w:type="auto"/>
          </w:tcPr>
          <w:p w14:paraId="1AF3061E" w14:textId="77777777" w:rsidR="00991202" w:rsidRPr="001645F4" w:rsidRDefault="00991202" w:rsidP="00991202">
            <w:pPr>
              <w:pStyle w:val="Body"/>
              <w:rPr>
                <w:rFonts w:ascii="Arial" w:hAnsi="Arial" w:cs="Arial"/>
                <w:b/>
                <w:bCs/>
              </w:rPr>
            </w:pPr>
            <w:r w:rsidRPr="001645F4">
              <w:rPr>
                <w:rFonts w:ascii="Arial" w:hAnsi="Arial" w:cs="Arial"/>
                <w:b/>
                <w:bCs/>
              </w:rPr>
              <w:t>Dosimetry</w:t>
            </w:r>
          </w:p>
          <w:p w14:paraId="783E78B9" w14:textId="77777777" w:rsidR="00991202" w:rsidRPr="001645F4" w:rsidRDefault="00991202" w:rsidP="00991202">
            <w:pPr>
              <w:pStyle w:val="Body"/>
              <w:rPr>
                <w:rFonts w:ascii="Arial" w:hAnsi="Arial" w:cs="Arial"/>
                <w:b/>
                <w:bCs/>
              </w:rPr>
            </w:pPr>
          </w:p>
        </w:tc>
        <w:tc>
          <w:tcPr>
            <w:tcW w:w="0" w:type="auto"/>
          </w:tcPr>
          <w:p w14:paraId="0FAA4A85" w14:textId="77777777" w:rsidR="00991202" w:rsidRPr="001645F4" w:rsidRDefault="00991202" w:rsidP="00991202">
            <w:pPr>
              <w:pStyle w:val="Body"/>
              <w:rPr>
                <w:rFonts w:ascii="Arial" w:hAnsi="Arial" w:cs="Arial"/>
                <w:b/>
                <w:bCs/>
              </w:rPr>
            </w:pPr>
            <w:r w:rsidRPr="001645F4">
              <w:rPr>
                <w:rFonts w:ascii="Arial" w:hAnsi="Arial" w:cs="Arial"/>
                <w:b/>
                <w:bCs/>
              </w:rPr>
              <w:t>Preventive Rationale</w:t>
            </w:r>
          </w:p>
          <w:p w14:paraId="12F986CB" w14:textId="77777777" w:rsidR="00991202" w:rsidRPr="001645F4" w:rsidRDefault="00991202" w:rsidP="00991202">
            <w:pPr>
              <w:pStyle w:val="Body"/>
              <w:rPr>
                <w:rFonts w:ascii="Arial" w:hAnsi="Arial" w:cs="Arial"/>
                <w:b/>
                <w:bCs/>
              </w:rPr>
            </w:pPr>
          </w:p>
        </w:tc>
      </w:tr>
      <w:tr w:rsidR="00991202" w:rsidRPr="00991202" w14:paraId="1CFE21AC" w14:textId="77777777" w:rsidTr="00172ECF">
        <w:tc>
          <w:tcPr>
            <w:tcW w:w="0" w:type="auto"/>
          </w:tcPr>
          <w:p w14:paraId="787F71E2" w14:textId="77777777" w:rsidR="00991202" w:rsidRPr="0098647A" w:rsidRDefault="00991202" w:rsidP="00991202">
            <w:pPr>
              <w:pStyle w:val="Body"/>
              <w:rPr>
                <w:rFonts w:ascii="Arial" w:hAnsi="Arial" w:cs="Arial"/>
                <w:b/>
                <w:bCs/>
              </w:rPr>
            </w:pPr>
            <w:r w:rsidRPr="0098647A">
              <w:rPr>
                <w:rFonts w:ascii="Arial" w:hAnsi="Arial" w:cs="Arial"/>
                <w:b/>
                <w:bCs/>
              </w:rPr>
              <w:t>Distal lower-limb weakness (functional MMT, GMFM D &amp; E)</w:t>
            </w:r>
          </w:p>
          <w:p w14:paraId="4C40EEAD" w14:textId="77777777" w:rsidR="00991202" w:rsidRPr="0098647A" w:rsidRDefault="00991202" w:rsidP="00991202">
            <w:pPr>
              <w:pStyle w:val="Body"/>
              <w:rPr>
                <w:rFonts w:ascii="Arial" w:hAnsi="Arial" w:cs="Arial"/>
                <w:b/>
                <w:bCs/>
              </w:rPr>
            </w:pPr>
          </w:p>
        </w:tc>
        <w:tc>
          <w:tcPr>
            <w:tcW w:w="0" w:type="auto"/>
          </w:tcPr>
          <w:p w14:paraId="72113B2F" w14:textId="77777777" w:rsidR="00991202" w:rsidRPr="00991202" w:rsidRDefault="00991202" w:rsidP="00991202">
            <w:pPr>
              <w:pStyle w:val="Body"/>
              <w:rPr>
                <w:rFonts w:ascii="Arial" w:hAnsi="Arial" w:cs="Arial"/>
              </w:rPr>
            </w:pPr>
            <w:r w:rsidRPr="00991202">
              <w:rPr>
                <w:rFonts w:ascii="Arial" w:hAnsi="Arial" w:cs="Arial"/>
              </w:rPr>
              <w:t>Improve distal strength and functional stability</w:t>
            </w:r>
          </w:p>
          <w:p w14:paraId="1A188033" w14:textId="77777777" w:rsidR="00991202" w:rsidRPr="00991202" w:rsidRDefault="00991202" w:rsidP="00991202">
            <w:pPr>
              <w:pStyle w:val="Body"/>
              <w:rPr>
                <w:rFonts w:ascii="Arial" w:hAnsi="Arial" w:cs="Arial"/>
              </w:rPr>
            </w:pPr>
          </w:p>
        </w:tc>
        <w:tc>
          <w:tcPr>
            <w:tcW w:w="0" w:type="auto"/>
          </w:tcPr>
          <w:p w14:paraId="38FADD66" w14:textId="77777777" w:rsidR="00991202" w:rsidRPr="00991202" w:rsidRDefault="00991202" w:rsidP="00991202">
            <w:pPr>
              <w:pStyle w:val="Body"/>
              <w:rPr>
                <w:rFonts w:ascii="Arial" w:hAnsi="Arial" w:cs="Arial"/>
              </w:rPr>
            </w:pPr>
            <w:r w:rsidRPr="00991202">
              <w:rPr>
                <w:rFonts w:ascii="Arial" w:hAnsi="Arial" w:cs="Arial"/>
              </w:rPr>
              <w:t>Improve ability to maintain single-limb stance for ≥5 seconds; initiate controlled jumping tasks</w:t>
            </w:r>
          </w:p>
          <w:p w14:paraId="0B0C66BA" w14:textId="77777777" w:rsidR="00991202" w:rsidRPr="00991202" w:rsidRDefault="00991202" w:rsidP="00991202">
            <w:pPr>
              <w:pStyle w:val="Body"/>
              <w:rPr>
                <w:rFonts w:ascii="Arial" w:hAnsi="Arial" w:cs="Arial"/>
              </w:rPr>
            </w:pPr>
          </w:p>
        </w:tc>
        <w:tc>
          <w:tcPr>
            <w:tcW w:w="0" w:type="auto"/>
          </w:tcPr>
          <w:p w14:paraId="75CDAAC9" w14:textId="77777777" w:rsidR="00991202" w:rsidRPr="00991202" w:rsidRDefault="00991202" w:rsidP="00991202">
            <w:pPr>
              <w:pStyle w:val="Body"/>
              <w:rPr>
                <w:rFonts w:ascii="Arial" w:hAnsi="Arial" w:cs="Arial"/>
              </w:rPr>
            </w:pPr>
            <w:r w:rsidRPr="00991202">
              <w:rPr>
                <w:rFonts w:ascii="Arial" w:hAnsi="Arial" w:cs="Arial"/>
              </w:rPr>
              <w:t>Achieve age-appropriate walking, running, and jumping with improved limb symmetry</w:t>
            </w:r>
          </w:p>
          <w:p w14:paraId="6E1DCA37" w14:textId="77777777" w:rsidR="00991202" w:rsidRPr="00991202" w:rsidRDefault="00991202" w:rsidP="00991202">
            <w:pPr>
              <w:pStyle w:val="Body"/>
              <w:rPr>
                <w:rFonts w:ascii="Arial" w:hAnsi="Arial" w:cs="Arial"/>
              </w:rPr>
            </w:pPr>
          </w:p>
        </w:tc>
        <w:tc>
          <w:tcPr>
            <w:tcW w:w="0" w:type="auto"/>
          </w:tcPr>
          <w:p w14:paraId="07E3A116" w14:textId="77777777" w:rsidR="00991202" w:rsidRPr="00991202" w:rsidRDefault="00991202" w:rsidP="00991202">
            <w:pPr>
              <w:pStyle w:val="Body"/>
              <w:rPr>
                <w:rFonts w:ascii="Arial" w:hAnsi="Arial" w:cs="Arial"/>
              </w:rPr>
            </w:pPr>
            <w:r w:rsidRPr="00991202">
              <w:rPr>
                <w:rFonts w:ascii="Arial" w:hAnsi="Arial" w:cs="Arial"/>
              </w:rPr>
              <w:t>Progressive resisted functional strengthening (sit-to-stand, step-ups, heel raises), play-based task repetition</w:t>
            </w:r>
          </w:p>
          <w:p w14:paraId="42A77B45" w14:textId="77777777" w:rsidR="00991202" w:rsidRPr="00991202" w:rsidRDefault="00991202" w:rsidP="00991202">
            <w:pPr>
              <w:pStyle w:val="Body"/>
              <w:rPr>
                <w:rFonts w:ascii="Arial" w:hAnsi="Arial" w:cs="Arial"/>
              </w:rPr>
            </w:pPr>
          </w:p>
        </w:tc>
        <w:tc>
          <w:tcPr>
            <w:tcW w:w="0" w:type="auto"/>
          </w:tcPr>
          <w:p w14:paraId="2E30DB56" w14:textId="77777777" w:rsidR="00991202" w:rsidRPr="00991202" w:rsidRDefault="00991202" w:rsidP="00991202">
            <w:pPr>
              <w:pStyle w:val="Body"/>
              <w:rPr>
                <w:rFonts w:ascii="Arial" w:hAnsi="Arial" w:cs="Arial"/>
              </w:rPr>
            </w:pPr>
            <w:r w:rsidRPr="00991202">
              <w:rPr>
                <w:rFonts w:ascii="Arial" w:hAnsi="Arial" w:cs="Arial"/>
              </w:rPr>
              <w:t>2–3 sets of 8–12 reps; 4–5 days/week</w:t>
            </w:r>
          </w:p>
          <w:p w14:paraId="235B40D8" w14:textId="77777777" w:rsidR="00991202" w:rsidRPr="00991202" w:rsidRDefault="00991202" w:rsidP="00991202">
            <w:pPr>
              <w:pStyle w:val="Body"/>
              <w:rPr>
                <w:rFonts w:ascii="Arial" w:hAnsi="Arial" w:cs="Arial"/>
              </w:rPr>
            </w:pPr>
          </w:p>
        </w:tc>
        <w:tc>
          <w:tcPr>
            <w:tcW w:w="0" w:type="auto"/>
          </w:tcPr>
          <w:p w14:paraId="7ED366B2" w14:textId="77777777" w:rsidR="00991202" w:rsidRPr="00991202" w:rsidRDefault="00991202" w:rsidP="00991202">
            <w:pPr>
              <w:pStyle w:val="Body"/>
              <w:rPr>
                <w:rFonts w:ascii="Arial" w:hAnsi="Arial" w:cs="Arial"/>
              </w:rPr>
            </w:pPr>
            <w:r w:rsidRPr="00991202">
              <w:rPr>
                <w:rFonts w:ascii="Arial" w:hAnsi="Arial" w:cs="Arial"/>
              </w:rPr>
              <w:t>Prevent progressive weakness and secondary compensatory gait patterns</w:t>
            </w:r>
          </w:p>
          <w:p w14:paraId="0F17BEC4" w14:textId="77777777" w:rsidR="00991202" w:rsidRPr="00991202" w:rsidRDefault="00991202" w:rsidP="00991202">
            <w:pPr>
              <w:pStyle w:val="Body"/>
              <w:rPr>
                <w:rFonts w:ascii="Arial" w:hAnsi="Arial" w:cs="Arial"/>
              </w:rPr>
            </w:pPr>
          </w:p>
        </w:tc>
      </w:tr>
      <w:tr w:rsidR="00991202" w:rsidRPr="00991202" w14:paraId="65D989A2" w14:textId="77777777" w:rsidTr="00172ECF">
        <w:tc>
          <w:tcPr>
            <w:tcW w:w="0" w:type="auto"/>
          </w:tcPr>
          <w:p w14:paraId="5C5E8D5D" w14:textId="77777777" w:rsidR="00991202" w:rsidRPr="0098647A" w:rsidRDefault="00991202" w:rsidP="00991202">
            <w:pPr>
              <w:pStyle w:val="Body"/>
              <w:rPr>
                <w:rFonts w:ascii="Arial" w:hAnsi="Arial" w:cs="Arial"/>
                <w:b/>
                <w:bCs/>
              </w:rPr>
            </w:pPr>
            <w:r w:rsidRPr="0098647A">
              <w:rPr>
                <w:rFonts w:ascii="Arial" w:hAnsi="Arial" w:cs="Arial"/>
                <w:b/>
                <w:bCs/>
              </w:rPr>
              <w:t>Impaired balance and postural control (PBS, GMFM)</w:t>
            </w:r>
          </w:p>
          <w:p w14:paraId="3262065F" w14:textId="77777777" w:rsidR="00991202" w:rsidRPr="0098647A" w:rsidRDefault="00991202" w:rsidP="00991202">
            <w:pPr>
              <w:pStyle w:val="Body"/>
              <w:rPr>
                <w:rFonts w:ascii="Arial" w:hAnsi="Arial" w:cs="Arial"/>
                <w:b/>
                <w:bCs/>
              </w:rPr>
            </w:pPr>
          </w:p>
        </w:tc>
        <w:tc>
          <w:tcPr>
            <w:tcW w:w="0" w:type="auto"/>
          </w:tcPr>
          <w:p w14:paraId="759B3F54" w14:textId="77777777" w:rsidR="00991202" w:rsidRPr="00991202" w:rsidRDefault="00991202" w:rsidP="00991202">
            <w:pPr>
              <w:pStyle w:val="Body"/>
              <w:rPr>
                <w:rFonts w:ascii="Arial" w:hAnsi="Arial" w:cs="Arial"/>
              </w:rPr>
            </w:pPr>
            <w:r w:rsidRPr="00991202">
              <w:rPr>
                <w:rFonts w:ascii="Arial" w:hAnsi="Arial" w:cs="Arial"/>
              </w:rPr>
              <w:t>Enhance static and dynamic balance</w:t>
            </w:r>
          </w:p>
          <w:p w14:paraId="5FD96B08" w14:textId="77777777" w:rsidR="00991202" w:rsidRPr="00991202" w:rsidRDefault="00991202" w:rsidP="00991202">
            <w:pPr>
              <w:pStyle w:val="Body"/>
              <w:rPr>
                <w:rFonts w:ascii="Arial" w:hAnsi="Arial" w:cs="Arial"/>
              </w:rPr>
            </w:pPr>
          </w:p>
        </w:tc>
        <w:tc>
          <w:tcPr>
            <w:tcW w:w="0" w:type="auto"/>
          </w:tcPr>
          <w:p w14:paraId="32EBF2F1" w14:textId="77777777" w:rsidR="00991202" w:rsidRPr="00991202" w:rsidRDefault="00991202" w:rsidP="00991202">
            <w:pPr>
              <w:pStyle w:val="Body"/>
              <w:rPr>
                <w:rFonts w:ascii="Arial" w:hAnsi="Arial" w:cs="Arial"/>
              </w:rPr>
            </w:pPr>
            <w:r w:rsidRPr="00991202">
              <w:rPr>
                <w:rFonts w:ascii="Arial" w:hAnsi="Arial" w:cs="Arial"/>
              </w:rPr>
              <w:t>Improve tandem stance and reaching outside base of support</w:t>
            </w:r>
          </w:p>
          <w:p w14:paraId="20D3C3A5" w14:textId="77777777" w:rsidR="00991202" w:rsidRPr="00991202" w:rsidRDefault="00991202" w:rsidP="00991202">
            <w:pPr>
              <w:pStyle w:val="Body"/>
              <w:rPr>
                <w:rFonts w:ascii="Arial" w:hAnsi="Arial" w:cs="Arial"/>
              </w:rPr>
            </w:pPr>
          </w:p>
        </w:tc>
        <w:tc>
          <w:tcPr>
            <w:tcW w:w="0" w:type="auto"/>
          </w:tcPr>
          <w:p w14:paraId="77055E57" w14:textId="77777777" w:rsidR="00991202" w:rsidRPr="00991202" w:rsidRDefault="00991202" w:rsidP="00991202">
            <w:pPr>
              <w:pStyle w:val="Body"/>
              <w:rPr>
                <w:rFonts w:ascii="Arial" w:hAnsi="Arial" w:cs="Arial"/>
              </w:rPr>
            </w:pPr>
            <w:r w:rsidRPr="00991202">
              <w:rPr>
                <w:rFonts w:ascii="Arial" w:hAnsi="Arial" w:cs="Arial"/>
              </w:rPr>
              <w:t>Independent negotiation of uneven surfaces and stairs with minimal support</w:t>
            </w:r>
          </w:p>
          <w:p w14:paraId="240121CC" w14:textId="77777777" w:rsidR="00991202" w:rsidRPr="00991202" w:rsidRDefault="00991202" w:rsidP="00991202">
            <w:pPr>
              <w:pStyle w:val="Body"/>
              <w:rPr>
                <w:rFonts w:ascii="Arial" w:hAnsi="Arial" w:cs="Arial"/>
              </w:rPr>
            </w:pPr>
          </w:p>
        </w:tc>
        <w:tc>
          <w:tcPr>
            <w:tcW w:w="0" w:type="auto"/>
          </w:tcPr>
          <w:p w14:paraId="5A7A620E" w14:textId="77777777" w:rsidR="00991202" w:rsidRPr="00991202" w:rsidRDefault="00991202" w:rsidP="00991202">
            <w:pPr>
              <w:pStyle w:val="Body"/>
              <w:rPr>
                <w:rFonts w:ascii="Arial" w:hAnsi="Arial" w:cs="Arial"/>
              </w:rPr>
            </w:pPr>
            <w:r w:rsidRPr="00991202">
              <w:rPr>
                <w:rFonts w:ascii="Arial" w:hAnsi="Arial" w:cs="Arial"/>
              </w:rPr>
              <w:t>Balance training using unstable surfaces, obstacle courses, anticipatory postural tasks</w:t>
            </w:r>
          </w:p>
          <w:p w14:paraId="24108FD9" w14:textId="77777777" w:rsidR="00991202" w:rsidRPr="00991202" w:rsidRDefault="00991202" w:rsidP="00991202">
            <w:pPr>
              <w:pStyle w:val="Body"/>
              <w:rPr>
                <w:rFonts w:ascii="Arial" w:hAnsi="Arial" w:cs="Arial"/>
              </w:rPr>
            </w:pPr>
          </w:p>
        </w:tc>
        <w:tc>
          <w:tcPr>
            <w:tcW w:w="0" w:type="auto"/>
          </w:tcPr>
          <w:p w14:paraId="2A6B4CBA" w14:textId="77777777" w:rsidR="00991202" w:rsidRPr="00991202" w:rsidRDefault="00991202" w:rsidP="00991202">
            <w:pPr>
              <w:pStyle w:val="Body"/>
              <w:rPr>
                <w:rFonts w:ascii="Arial" w:hAnsi="Arial" w:cs="Arial"/>
              </w:rPr>
            </w:pPr>
            <w:r w:rsidRPr="00991202">
              <w:rPr>
                <w:rFonts w:ascii="Arial" w:hAnsi="Arial" w:cs="Arial"/>
              </w:rPr>
              <w:t>15–20 min/session; 5 days/week</w:t>
            </w:r>
          </w:p>
          <w:p w14:paraId="716B4DB0" w14:textId="77777777" w:rsidR="00991202" w:rsidRPr="00991202" w:rsidRDefault="00991202" w:rsidP="00991202">
            <w:pPr>
              <w:pStyle w:val="Body"/>
              <w:rPr>
                <w:rFonts w:ascii="Arial" w:hAnsi="Arial" w:cs="Arial"/>
              </w:rPr>
            </w:pPr>
          </w:p>
        </w:tc>
        <w:tc>
          <w:tcPr>
            <w:tcW w:w="0" w:type="auto"/>
          </w:tcPr>
          <w:p w14:paraId="3C905C23" w14:textId="77777777" w:rsidR="00991202" w:rsidRPr="00991202" w:rsidRDefault="00991202" w:rsidP="00991202">
            <w:pPr>
              <w:pStyle w:val="Body"/>
              <w:rPr>
                <w:rFonts w:ascii="Arial" w:hAnsi="Arial" w:cs="Arial"/>
              </w:rPr>
            </w:pPr>
            <w:r w:rsidRPr="00991202">
              <w:rPr>
                <w:rFonts w:ascii="Arial" w:hAnsi="Arial" w:cs="Arial"/>
              </w:rPr>
              <w:t>Reduce fall risk and promote safe mobility</w:t>
            </w:r>
          </w:p>
          <w:p w14:paraId="092B86A8" w14:textId="77777777" w:rsidR="00991202" w:rsidRPr="00991202" w:rsidRDefault="00991202" w:rsidP="00991202">
            <w:pPr>
              <w:pStyle w:val="Body"/>
              <w:rPr>
                <w:rFonts w:ascii="Arial" w:hAnsi="Arial" w:cs="Arial"/>
              </w:rPr>
            </w:pPr>
          </w:p>
        </w:tc>
      </w:tr>
      <w:tr w:rsidR="00991202" w:rsidRPr="00991202" w14:paraId="1FE599B6" w14:textId="77777777" w:rsidTr="00172ECF">
        <w:tc>
          <w:tcPr>
            <w:tcW w:w="0" w:type="auto"/>
          </w:tcPr>
          <w:p w14:paraId="65820B4D" w14:textId="77777777" w:rsidR="00991202" w:rsidRPr="0098647A" w:rsidRDefault="00991202" w:rsidP="00991202">
            <w:pPr>
              <w:pStyle w:val="Body"/>
              <w:rPr>
                <w:rFonts w:ascii="Arial" w:hAnsi="Arial" w:cs="Arial"/>
                <w:b/>
                <w:bCs/>
              </w:rPr>
            </w:pPr>
            <w:r w:rsidRPr="0098647A">
              <w:rPr>
                <w:rFonts w:ascii="Arial" w:hAnsi="Arial" w:cs="Arial"/>
                <w:b/>
                <w:bCs/>
              </w:rPr>
              <w:t xml:space="preserve">Gait deviations (wide base, external rotation, </w:t>
            </w:r>
            <w:r w:rsidRPr="0098647A">
              <w:rPr>
                <w:rFonts w:ascii="Arial" w:hAnsi="Arial" w:cs="Arial"/>
                <w:b/>
                <w:bCs/>
              </w:rPr>
              <w:lastRenderedPageBreak/>
              <w:t>reduced push-off)</w:t>
            </w:r>
          </w:p>
          <w:p w14:paraId="48F8880D" w14:textId="77777777" w:rsidR="00991202" w:rsidRPr="0098647A" w:rsidRDefault="00991202" w:rsidP="00991202">
            <w:pPr>
              <w:pStyle w:val="Body"/>
              <w:rPr>
                <w:rFonts w:ascii="Arial" w:hAnsi="Arial" w:cs="Arial"/>
                <w:b/>
                <w:bCs/>
              </w:rPr>
            </w:pPr>
          </w:p>
        </w:tc>
        <w:tc>
          <w:tcPr>
            <w:tcW w:w="0" w:type="auto"/>
          </w:tcPr>
          <w:p w14:paraId="018836F7" w14:textId="77777777" w:rsidR="00991202" w:rsidRPr="00991202" w:rsidRDefault="00991202" w:rsidP="00991202">
            <w:pPr>
              <w:pStyle w:val="Body"/>
              <w:rPr>
                <w:rFonts w:ascii="Arial" w:hAnsi="Arial" w:cs="Arial"/>
              </w:rPr>
            </w:pPr>
            <w:r w:rsidRPr="00991202">
              <w:rPr>
                <w:rFonts w:ascii="Arial" w:hAnsi="Arial" w:cs="Arial"/>
              </w:rPr>
              <w:lastRenderedPageBreak/>
              <w:t>Optimize gait efficiency</w:t>
            </w:r>
          </w:p>
          <w:p w14:paraId="61B145D8" w14:textId="77777777" w:rsidR="00991202" w:rsidRPr="00991202" w:rsidRDefault="00991202" w:rsidP="00991202">
            <w:pPr>
              <w:pStyle w:val="Body"/>
              <w:rPr>
                <w:rFonts w:ascii="Arial" w:hAnsi="Arial" w:cs="Arial"/>
              </w:rPr>
            </w:pPr>
          </w:p>
        </w:tc>
        <w:tc>
          <w:tcPr>
            <w:tcW w:w="0" w:type="auto"/>
          </w:tcPr>
          <w:p w14:paraId="68D15E70" w14:textId="77777777" w:rsidR="00991202" w:rsidRPr="00991202" w:rsidRDefault="00991202" w:rsidP="00991202">
            <w:pPr>
              <w:pStyle w:val="Body"/>
              <w:rPr>
                <w:rFonts w:ascii="Arial" w:hAnsi="Arial" w:cs="Arial"/>
              </w:rPr>
            </w:pPr>
            <w:r w:rsidRPr="00991202">
              <w:rPr>
                <w:rFonts w:ascii="Arial" w:hAnsi="Arial" w:cs="Arial"/>
              </w:rPr>
              <w:t xml:space="preserve">Reduce reliance on compensatory strategies during level </w:t>
            </w:r>
            <w:r w:rsidRPr="00991202">
              <w:rPr>
                <w:rFonts w:ascii="Arial" w:hAnsi="Arial" w:cs="Arial"/>
              </w:rPr>
              <w:lastRenderedPageBreak/>
              <w:t>walking</w:t>
            </w:r>
          </w:p>
          <w:p w14:paraId="4320D45E" w14:textId="77777777" w:rsidR="00991202" w:rsidRPr="00991202" w:rsidRDefault="00991202" w:rsidP="00991202">
            <w:pPr>
              <w:pStyle w:val="Body"/>
              <w:rPr>
                <w:rFonts w:ascii="Arial" w:hAnsi="Arial" w:cs="Arial"/>
              </w:rPr>
            </w:pPr>
          </w:p>
        </w:tc>
        <w:tc>
          <w:tcPr>
            <w:tcW w:w="0" w:type="auto"/>
          </w:tcPr>
          <w:p w14:paraId="5D7FE048" w14:textId="77777777" w:rsidR="00991202" w:rsidRPr="00991202" w:rsidRDefault="00991202" w:rsidP="00991202">
            <w:pPr>
              <w:pStyle w:val="Body"/>
              <w:rPr>
                <w:rFonts w:ascii="Arial" w:hAnsi="Arial" w:cs="Arial"/>
              </w:rPr>
            </w:pPr>
            <w:r w:rsidRPr="00991202">
              <w:rPr>
                <w:rFonts w:ascii="Arial" w:hAnsi="Arial" w:cs="Arial"/>
              </w:rPr>
              <w:lastRenderedPageBreak/>
              <w:t xml:space="preserve">Establish energy-efficient gait with improved </w:t>
            </w:r>
            <w:r w:rsidRPr="00991202">
              <w:rPr>
                <w:rFonts w:ascii="Arial" w:hAnsi="Arial" w:cs="Arial"/>
              </w:rPr>
              <w:lastRenderedPageBreak/>
              <w:t>foot placement</w:t>
            </w:r>
          </w:p>
          <w:p w14:paraId="0DCC0499" w14:textId="77777777" w:rsidR="00991202" w:rsidRPr="00991202" w:rsidRDefault="00991202" w:rsidP="00991202">
            <w:pPr>
              <w:pStyle w:val="Body"/>
              <w:rPr>
                <w:rFonts w:ascii="Arial" w:hAnsi="Arial" w:cs="Arial"/>
              </w:rPr>
            </w:pPr>
          </w:p>
        </w:tc>
        <w:tc>
          <w:tcPr>
            <w:tcW w:w="0" w:type="auto"/>
          </w:tcPr>
          <w:p w14:paraId="66D91E46" w14:textId="77777777" w:rsidR="00991202" w:rsidRPr="00991202" w:rsidRDefault="00991202" w:rsidP="00991202">
            <w:pPr>
              <w:pStyle w:val="Body"/>
              <w:rPr>
                <w:rFonts w:ascii="Arial" w:hAnsi="Arial" w:cs="Arial"/>
              </w:rPr>
            </w:pPr>
            <w:r w:rsidRPr="00991202">
              <w:rPr>
                <w:rFonts w:ascii="Arial" w:hAnsi="Arial" w:cs="Arial"/>
              </w:rPr>
              <w:lastRenderedPageBreak/>
              <w:t xml:space="preserve">Gait training with visual cues, treadmill walking, foot </w:t>
            </w:r>
            <w:r w:rsidRPr="00991202">
              <w:rPr>
                <w:rFonts w:ascii="Arial" w:hAnsi="Arial" w:cs="Arial"/>
              </w:rPr>
              <w:lastRenderedPageBreak/>
              <w:t>placement drills</w:t>
            </w:r>
          </w:p>
          <w:p w14:paraId="326B4237" w14:textId="77777777" w:rsidR="00991202" w:rsidRPr="00991202" w:rsidRDefault="00991202" w:rsidP="00991202">
            <w:pPr>
              <w:pStyle w:val="Body"/>
              <w:rPr>
                <w:rFonts w:ascii="Arial" w:hAnsi="Arial" w:cs="Arial"/>
              </w:rPr>
            </w:pPr>
          </w:p>
        </w:tc>
        <w:tc>
          <w:tcPr>
            <w:tcW w:w="0" w:type="auto"/>
          </w:tcPr>
          <w:p w14:paraId="57D80934" w14:textId="77777777" w:rsidR="00991202" w:rsidRPr="00991202" w:rsidRDefault="00991202" w:rsidP="00991202">
            <w:pPr>
              <w:pStyle w:val="Body"/>
              <w:rPr>
                <w:rFonts w:ascii="Arial" w:hAnsi="Arial" w:cs="Arial"/>
              </w:rPr>
            </w:pPr>
            <w:r w:rsidRPr="00991202">
              <w:rPr>
                <w:rFonts w:ascii="Arial" w:hAnsi="Arial" w:cs="Arial"/>
              </w:rPr>
              <w:lastRenderedPageBreak/>
              <w:t>10–15 min/session; 3–4 days/week</w:t>
            </w:r>
          </w:p>
          <w:p w14:paraId="15E5E5D6" w14:textId="77777777" w:rsidR="00991202" w:rsidRPr="00991202" w:rsidRDefault="00991202" w:rsidP="00991202">
            <w:pPr>
              <w:pStyle w:val="Body"/>
              <w:rPr>
                <w:rFonts w:ascii="Arial" w:hAnsi="Arial" w:cs="Arial"/>
              </w:rPr>
            </w:pPr>
          </w:p>
        </w:tc>
        <w:tc>
          <w:tcPr>
            <w:tcW w:w="0" w:type="auto"/>
          </w:tcPr>
          <w:p w14:paraId="2FAF0355" w14:textId="77777777" w:rsidR="00991202" w:rsidRPr="00991202" w:rsidRDefault="00991202" w:rsidP="00991202">
            <w:pPr>
              <w:pStyle w:val="Body"/>
              <w:rPr>
                <w:rFonts w:ascii="Arial" w:hAnsi="Arial" w:cs="Arial"/>
              </w:rPr>
            </w:pPr>
            <w:r w:rsidRPr="00991202">
              <w:rPr>
                <w:rFonts w:ascii="Arial" w:hAnsi="Arial" w:cs="Arial"/>
              </w:rPr>
              <w:lastRenderedPageBreak/>
              <w:t>Delay fatigue and secondary musculoskeletal strain</w:t>
            </w:r>
          </w:p>
          <w:p w14:paraId="681F9D62" w14:textId="77777777" w:rsidR="00991202" w:rsidRPr="00991202" w:rsidRDefault="00991202" w:rsidP="00991202">
            <w:pPr>
              <w:pStyle w:val="Body"/>
              <w:rPr>
                <w:rFonts w:ascii="Arial" w:hAnsi="Arial" w:cs="Arial"/>
              </w:rPr>
            </w:pPr>
          </w:p>
        </w:tc>
      </w:tr>
      <w:tr w:rsidR="00991202" w:rsidRPr="00991202" w14:paraId="0D1D691F" w14:textId="77777777" w:rsidTr="00172ECF">
        <w:tc>
          <w:tcPr>
            <w:tcW w:w="0" w:type="auto"/>
          </w:tcPr>
          <w:p w14:paraId="46469E2E" w14:textId="77777777" w:rsidR="00991202" w:rsidRPr="0098647A" w:rsidRDefault="00991202" w:rsidP="00991202">
            <w:pPr>
              <w:pStyle w:val="Body"/>
              <w:rPr>
                <w:rFonts w:ascii="Arial" w:hAnsi="Arial" w:cs="Arial"/>
                <w:b/>
                <w:bCs/>
              </w:rPr>
            </w:pPr>
            <w:r w:rsidRPr="0098647A">
              <w:rPr>
                <w:rFonts w:ascii="Arial" w:hAnsi="Arial" w:cs="Arial"/>
                <w:b/>
                <w:bCs/>
              </w:rPr>
              <w:lastRenderedPageBreak/>
              <w:t>Reduced stair negotiation ability</w:t>
            </w:r>
          </w:p>
          <w:p w14:paraId="1E2F13FE" w14:textId="77777777" w:rsidR="00991202" w:rsidRPr="0098647A" w:rsidRDefault="00991202" w:rsidP="00991202">
            <w:pPr>
              <w:pStyle w:val="Body"/>
              <w:rPr>
                <w:rFonts w:ascii="Arial" w:hAnsi="Arial" w:cs="Arial"/>
                <w:b/>
                <w:bCs/>
              </w:rPr>
            </w:pPr>
          </w:p>
        </w:tc>
        <w:tc>
          <w:tcPr>
            <w:tcW w:w="0" w:type="auto"/>
          </w:tcPr>
          <w:p w14:paraId="0F1EC37B" w14:textId="77777777" w:rsidR="00991202" w:rsidRPr="00991202" w:rsidRDefault="00991202" w:rsidP="00991202">
            <w:pPr>
              <w:pStyle w:val="Body"/>
              <w:rPr>
                <w:rFonts w:ascii="Arial" w:hAnsi="Arial" w:cs="Arial"/>
              </w:rPr>
            </w:pPr>
            <w:r w:rsidRPr="00991202">
              <w:rPr>
                <w:rFonts w:ascii="Arial" w:hAnsi="Arial" w:cs="Arial"/>
              </w:rPr>
              <w:t>Improve functional mobility in daily environments</w:t>
            </w:r>
          </w:p>
          <w:p w14:paraId="2A3DEEBF" w14:textId="77777777" w:rsidR="00991202" w:rsidRPr="00991202" w:rsidRDefault="00991202" w:rsidP="00991202">
            <w:pPr>
              <w:pStyle w:val="Body"/>
              <w:rPr>
                <w:rFonts w:ascii="Arial" w:hAnsi="Arial" w:cs="Arial"/>
              </w:rPr>
            </w:pPr>
          </w:p>
        </w:tc>
        <w:tc>
          <w:tcPr>
            <w:tcW w:w="0" w:type="auto"/>
          </w:tcPr>
          <w:p w14:paraId="24FCDD8B" w14:textId="77777777" w:rsidR="00991202" w:rsidRPr="00991202" w:rsidRDefault="00991202" w:rsidP="00991202">
            <w:pPr>
              <w:pStyle w:val="Body"/>
              <w:rPr>
                <w:rFonts w:ascii="Arial" w:hAnsi="Arial" w:cs="Arial"/>
              </w:rPr>
            </w:pPr>
            <w:r w:rsidRPr="00991202">
              <w:rPr>
                <w:rFonts w:ascii="Arial" w:hAnsi="Arial" w:cs="Arial"/>
              </w:rPr>
              <w:t>Ascend and descend stairs with reduced handrail dependence</w:t>
            </w:r>
          </w:p>
          <w:p w14:paraId="13CBF444" w14:textId="77777777" w:rsidR="00991202" w:rsidRPr="00991202" w:rsidRDefault="00991202" w:rsidP="00991202">
            <w:pPr>
              <w:pStyle w:val="Body"/>
              <w:rPr>
                <w:rFonts w:ascii="Arial" w:hAnsi="Arial" w:cs="Arial"/>
              </w:rPr>
            </w:pPr>
          </w:p>
        </w:tc>
        <w:tc>
          <w:tcPr>
            <w:tcW w:w="0" w:type="auto"/>
          </w:tcPr>
          <w:p w14:paraId="12669538" w14:textId="77777777" w:rsidR="00991202" w:rsidRPr="00991202" w:rsidRDefault="00991202" w:rsidP="00991202">
            <w:pPr>
              <w:pStyle w:val="Body"/>
              <w:rPr>
                <w:rFonts w:ascii="Arial" w:hAnsi="Arial" w:cs="Arial"/>
              </w:rPr>
            </w:pPr>
            <w:r w:rsidRPr="00991202">
              <w:rPr>
                <w:rFonts w:ascii="Arial" w:hAnsi="Arial" w:cs="Arial"/>
              </w:rPr>
              <w:t>Independent reciprocal stair climbing</w:t>
            </w:r>
          </w:p>
          <w:p w14:paraId="047747E2" w14:textId="77777777" w:rsidR="00991202" w:rsidRPr="00991202" w:rsidRDefault="00991202" w:rsidP="00991202">
            <w:pPr>
              <w:pStyle w:val="Body"/>
              <w:rPr>
                <w:rFonts w:ascii="Arial" w:hAnsi="Arial" w:cs="Arial"/>
              </w:rPr>
            </w:pPr>
          </w:p>
        </w:tc>
        <w:tc>
          <w:tcPr>
            <w:tcW w:w="0" w:type="auto"/>
          </w:tcPr>
          <w:p w14:paraId="6F0D67F7" w14:textId="77777777" w:rsidR="00991202" w:rsidRPr="00991202" w:rsidRDefault="00991202" w:rsidP="00991202">
            <w:pPr>
              <w:pStyle w:val="Body"/>
              <w:rPr>
                <w:rFonts w:ascii="Arial" w:hAnsi="Arial" w:cs="Arial"/>
              </w:rPr>
            </w:pPr>
            <w:r w:rsidRPr="00991202">
              <w:rPr>
                <w:rFonts w:ascii="Arial" w:hAnsi="Arial" w:cs="Arial"/>
              </w:rPr>
              <w:t>Task-specific stair training emphasizing eccentric control</w:t>
            </w:r>
          </w:p>
          <w:p w14:paraId="705A57C7" w14:textId="77777777" w:rsidR="00991202" w:rsidRPr="00991202" w:rsidRDefault="00991202" w:rsidP="00991202">
            <w:pPr>
              <w:pStyle w:val="Body"/>
              <w:rPr>
                <w:rFonts w:ascii="Arial" w:hAnsi="Arial" w:cs="Arial"/>
              </w:rPr>
            </w:pPr>
          </w:p>
        </w:tc>
        <w:tc>
          <w:tcPr>
            <w:tcW w:w="0" w:type="auto"/>
          </w:tcPr>
          <w:p w14:paraId="54E6609B" w14:textId="77777777" w:rsidR="00991202" w:rsidRPr="00991202" w:rsidRDefault="00991202" w:rsidP="00991202">
            <w:pPr>
              <w:pStyle w:val="Body"/>
              <w:rPr>
                <w:rFonts w:ascii="Arial" w:hAnsi="Arial" w:cs="Arial"/>
              </w:rPr>
            </w:pPr>
            <w:r w:rsidRPr="00991202">
              <w:rPr>
                <w:rFonts w:ascii="Arial" w:hAnsi="Arial" w:cs="Arial"/>
              </w:rPr>
              <w:t>5–10 repetitions/session; 3–4 days/week</w:t>
            </w:r>
          </w:p>
          <w:p w14:paraId="25150921" w14:textId="77777777" w:rsidR="00991202" w:rsidRPr="00991202" w:rsidRDefault="00991202" w:rsidP="00991202">
            <w:pPr>
              <w:pStyle w:val="Body"/>
              <w:rPr>
                <w:rFonts w:ascii="Arial" w:hAnsi="Arial" w:cs="Arial"/>
              </w:rPr>
            </w:pPr>
          </w:p>
        </w:tc>
        <w:tc>
          <w:tcPr>
            <w:tcW w:w="0" w:type="auto"/>
          </w:tcPr>
          <w:p w14:paraId="330C0344" w14:textId="77777777" w:rsidR="00991202" w:rsidRPr="00991202" w:rsidRDefault="00991202" w:rsidP="00991202">
            <w:pPr>
              <w:pStyle w:val="Body"/>
              <w:rPr>
                <w:rFonts w:ascii="Arial" w:hAnsi="Arial" w:cs="Arial"/>
              </w:rPr>
            </w:pPr>
            <w:r w:rsidRPr="00991202">
              <w:rPr>
                <w:rFonts w:ascii="Arial" w:hAnsi="Arial" w:cs="Arial"/>
              </w:rPr>
              <w:t>Promote independence and participation</w:t>
            </w:r>
          </w:p>
          <w:p w14:paraId="6EE61E18" w14:textId="77777777" w:rsidR="00991202" w:rsidRPr="00991202" w:rsidRDefault="00991202" w:rsidP="00991202">
            <w:pPr>
              <w:pStyle w:val="Body"/>
              <w:rPr>
                <w:rFonts w:ascii="Arial" w:hAnsi="Arial" w:cs="Arial"/>
              </w:rPr>
            </w:pPr>
          </w:p>
        </w:tc>
      </w:tr>
      <w:tr w:rsidR="00991202" w:rsidRPr="00991202" w14:paraId="2E0E371C" w14:textId="77777777" w:rsidTr="00172ECF">
        <w:tc>
          <w:tcPr>
            <w:tcW w:w="0" w:type="auto"/>
          </w:tcPr>
          <w:p w14:paraId="3C567B0A" w14:textId="77777777" w:rsidR="00991202" w:rsidRPr="0098647A" w:rsidRDefault="00991202" w:rsidP="00991202">
            <w:pPr>
              <w:pStyle w:val="Body"/>
              <w:rPr>
                <w:rFonts w:ascii="Arial" w:hAnsi="Arial" w:cs="Arial"/>
                <w:b/>
                <w:bCs/>
              </w:rPr>
            </w:pPr>
            <w:r w:rsidRPr="0098647A">
              <w:rPr>
                <w:rFonts w:ascii="Arial" w:hAnsi="Arial" w:cs="Arial"/>
                <w:b/>
                <w:bCs/>
              </w:rPr>
              <w:t>Mild fine motor and proximal instability</w:t>
            </w:r>
          </w:p>
          <w:p w14:paraId="5CBB11FC" w14:textId="77777777" w:rsidR="00991202" w:rsidRPr="0098647A" w:rsidRDefault="00991202" w:rsidP="00991202">
            <w:pPr>
              <w:pStyle w:val="Body"/>
              <w:rPr>
                <w:rFonts w:ascii="Arial" w:hAnsi="Arial" w:cs="Arial"/>
                <w:b/>
                <w:bCs/>
              </w:rPr>
            </w:pPr>
          </w:p>
        </w:tc>
        <w:tc>
          <w:tcPr>
            <w:tcW w:w="0" w:type="auto"/>
          </w:tcPr>
          <w:p w14:paraId="0FADEB35" w14:textId="77777777" w:rsidR="00991202" w:rsidRPr="00991202" w:rsidRDefault="00991202" w:rsidP="00991202">
            <w:pPr>
              <w:pStyle w:val="Body"/>
              <w:rPr>
                <w:rFonts w:ascii="Arial" w:hAnsi="Arial" w:cs="Arial"/>
              </w:rPr>
            </w:pPr>
            <w:r w:rsidRPr="00991202">
              <w:rPr>
                <w:rFonts w:ascii="Arial" w:hAnsi="Arial" w:cs="Arial"/>
              </w:rPr>
              <w:t>Enhance proximal control to support distal function</w:t>
            </w:r>
          </w:p>
          <w:p w14:paraId="1E2510FF" w14:textId="77777777" w:rsidR="00991202" w:rsidRPr="00991202" w:rsidRDefault="00991202" w:rsidP="00991202">
            <w:pPr>
              <w:pStyle w:val="Body"/>
              <w:rPr>
                <w:rFonts w:ascii="Arial" w:hAnsi="Arial" w:cs="Arial"/>
              </w:rPr>
            </w:pPr>
          </w:p>
        </w:tc>
        <w:tc>
          <w:tcPr>
            <w:tcW w:w="0" w:type="auto"/>
          </w:tcPr>
          <w:p w14:paraId="0F09B7B8" w14:textId="77777777" w:rsidR="00991202" w:rsidRPr="00991202" w:rsidRDefault="00991202" w:rsidP="00991202">
            <w:pPr>
              <w:pStyle w:val="Body"/>
              <w:rPr>
                <w:rFonts w:ascii="Arial" w:hAnsi="Arial" w:cs="Arial"/>
              </w:rPr>
            </w:pPr>
            <w:r w:rsidRPr="00991202">
              <w:rPr>
                <w:rFonts w:ascii="Arial" w:hAnsi="Arial" w:cs="Arial"/>
              </w:rPr>
              <w:t>Improve trunk stability during play and transitions</w:t>
            </w:r>
          </w:p>
          <w:p w14:paraId="02D9C059" w14:textId="77777777" w:rsidR="00991202" w:rsidRPr="00991202" w:rsidRDefault="00991202" w:rsidP="00991202">
            <w:pPr>
              <w:pStyle w:val="Body"/>
              <w:rPr>
                <w:rFonts w:ascii="Arial" w:hAnsi="Arial" w:cs="Arial"/>
              </w:rPr>
            </w:pPr>
          </w:p>
        </w:tc>
        <w:tc>
          <w:tcPr>
            <w:tcW w:w="0" w:type="auto"/>
          </w:tcPr>
          <w:p w14:paraId="76B4DA24" w14:textId="77777777" w:rsidR="00991202" w:rsidRPr="00991202" w:rsidRDefault="00991202" w:rsidP="00991202">
            <w:pPr>
              <w:pStyle w:val="Body"/>
              <w:rPr>
                <w:rFonts w:ascii="Arial" w:hAnsi="Arial" w:cs="Arial"/>
              </w:rPr>
            </w:pPr>
            <w:r w:rsidRPr="00991202">
              <w:rPr>
                <w:rFonts w:ascii="Arial" w:hAnsi="Arial" w:cs="Arial"/>
              </w:rPr>
              <w:t>Sustain upright postures during functional tasks</w:t>
            </w:r>
          </w:p>
          <w:p w14:paraId="13217FAF" w14:textId="77777777" w:rsidR="00991202" w:rsidRPr="00991202" w:rsidRDefault="00991202" w:rsidP="00991202">
            <w:pPr>
              <w:pStyle w:val="Body"/>
              <w:rPr>
                <w:rFonts w:ascii="Arial" w:hAnsi="Arial" w:cs="Arial"/>
              </w:rPr>
            </w:pPr>
          </w:p>
        </w:tc>
        <w:tc>
          <w:tcPr>
            <w:tcW w:w="0" w:type="auto"/>
          </w:tcPr>
          <w:p w14:paraId="072C16A6" w14:textId="77777777" w:rsidR="00991202" w:rsidRPr="00991202" w:rsidRDefault="00991202" w:rsidP="00991202">
            <w:pPr>
              <w:pStyle w:val="Body"/>
              <w:rPr>
                <w:rFonts w:ascii="Arial" w:hAnsi="Arial" w:cs="Arial"/>
              </w:rPr>
            </w:pPr>
            <w:r w:rsidRPr="00991202">
              <w:rPr>
                <w:rFonts w:ascii="Arial" w:hAnsi="Arial" w:cs="Arial"/>
              </w:rPr>
              <w:t>Core strengthening, proximal stability exercises, play-based reaching tasks</w:t>
            </w:r>
          </w:p>
          <w:p w14:paraId="416D8904" w14:textId="77777777" w:rsidR="00991202" w:rsidRPr="00991202" w:rsidRDefault="00991202" w:rsidP="00991202">
            <w:pPr>
              <w:pStyle w:val="Body"/>
              <w:rPr>
                <w:rFonts w:ascii="Arial" w:hAnsi="Arial" w:cs="Arial"/>
              </w:rPr>
            </w:pPr>
          </w:p>
        </w:tc>
        <w:tc>
          <w:tcPr>
            <w:tcW w:w="0" w:type="auto"/>
          </w:tcPr>
          <w:p w14:paraId="222E2676" w14:textId="77777777" w:rsidR="00991202" w:rsidRPr="00991202" w:rsidRDefault="00991202" w:rsidP="00991202">
            <w:pPr>
              <w:pStyle w:val="Body"/>
              <w:rPr>
                <w:rFonts w:ascii="Arial" w:hAnsi="Arial" w:cs="Arial"/>
              </w:rPr>
            </w:pPr>
            <w:r w:rsidRPr="00991202">
              <w:rPr>
                <w:rFonts w:ascii="Arial" w:hAnsi="Arial" w:cs="Arial"/>
              </w:rPr>
              <w:t>2–3 sets; 4–5 days/week</w:t>
            </w:r>
          </w:p>
          <w:p w14:paraId="5F8645B2" w14:textId="77777777" w:rsidR="00991202" w:rsidRPr="00991202" w:rsidRDefault="00991202" w:rsidP="00991202">
            <w:pPr>
              <w:pStyle w:val="Body"/>
              <w:rPr>
                <w:rFonts w:ascii="Arial" w:hAnsi="Arial" w:cs="Arial"/>
              </w:rPr>
            </w:pPr>
          </w:p>
        </w:tc>
        <w:tc>
          <w:tcPr>
            <w:tcW w:w="0" w:type="auto"/>
          </w:tcPr>
          <w:p w14:paraId="3D2CACC9" w14:textId="77777777" w:rsidR="00991202" w:rsidRPr="00991202" w:rsidRDefault="00991202" w:rsidP="00991202">
            <w:pPr>
              <w:pStyle w:val="Body"/>
              <w:rPr>
                <w:rFonts w:ascii="Arial" w:hAnsi="Arial" w:cs="Arial"/>
              </w:rPr>
            </w:pPr>
            <w:r w:rsidRPr="00991202">
              <w:rPr>
                <w:rFonts w:ascii="Arial" w:hAnsi="Arial" w:cs="Arial"/>
              </w:rPr>
              <w:t>Prevent compensatory overuse of distal muscles</w:t>
            </w:r>
          </w:p>
          <w:p w14:paraId="75ED5CCE" w14:textId="77777777" w:rsidR="00991202" w:rsidRPr="00991202" w:rsidRDefault="00991202" w:rsidP="00991202">
            <w:pPr>
              <w:pStyle w:val="Body"/>
              <w:rPr>
                <w:rFonts w:ascii="Arial" w:hAnsi="Arial" w:cs="Arial"/>
              </w:rPr>
            </w:pPr>
          </w:p>
        </w:tc>
      </w:tr>
      <w:tr w:rsidR="00991202" w:rsidRPr="00991202" w14:paraId="2B7DAE61" w14:textId="77777777" w:rsidTr="00172ECF">
        <w:tc>
          <w:tcPr>
            <w:tcW w:w="0" w:type="auto"/>
          </w:tcPr>
          <w:p w14:paraId="7264F2C7" w14:textId="77777777" w:rsidR="00991202" w:rsidRPr="0098647A" w:rsidRDefault="00991202" w:rsidP="00991202">
            <w:pPr>
              <w:pStyle w:val="Body"/>
              <w:rPr>
                <w:rFonts w:ascii="Arial" w:hAnsi="Arial" w:cs="Arial"/>
                <w:b/>
                <w:bCs/>
              </w:rPr>
            </w:pPr>
            <w:r w:rsidRPr="0098647A">
              <w:rPr>
                <w:rFonts w:ascii="Arial" w:hAnsi="Arial" w:cs="Arial"/>
                <w:b/>
                <w:bCs/>
              </w:rPr>
              <w:t>Reduced endurance and activity tolerance</w:t>
            </w:r>
          </w:p>
          <w:p w14:paraId="25C2B2AE" w14:textId="77777777" w:rsidR="00991202" w:rsidRPr="0098647A" w:rsidRDefault="00991202" w:rsidP="00991202">
            <w:pPr>
              <w:pStyle w:val="Body"/>
              <w:rPr>
                <w:rFonts w:ascii="Arial" w:hAnsi="Arial" w:cs="Arial"/>
                <w:b/>
                <w:bCs/>
              </w:rPr>
            </w:pPr>
          </w:p>
        </w:tc>
        <w:tc>
          <w:tcPr>
            <w:tcW w:w="0" w:type="auto"/>
          </w:tcPr>
          <w:p w14:paraId="394D96C0" w14:textId="77777777" w:rsidR="00991202" w:rsidRPr="00991202" w:rsidRDefault="00991202" w:rsidP="00991202">
            <w:pPr>
              <w:pStyle w:val="Body"/>
              <w:rPr>
                <w:rFonts w:ascii="Arial" w:hAnsi="Arial" w:cs="Arial"/>
              </w:rPr>
            </w:pPr>
            <w:r w:rsidRPr="00991202">
              <w:rPr>
                <w:rFonts w:ascii="Arial" w:hAnsi="Arial" w:cs="Arial"/>
              </w:rPr>
              <w:t>Improve cardiovascular and functional endurance</w:t>
            </w:r>
          </w:p>
          <w:p w14:paraId="709D1FE9" w14:textId="77777777" w:rsidR="00991202" w:rsidRPr="00991202" w:rsidRDefault="00991202" w:rsidP="00991202">
            <w:pPr>
              <w:pStyle w:val="Body"/>
              <w:rPr>
                <w:rFonts w:ascii="Arial" w:hAnsi="Arial" w:cs="Arial"/>
              </w:rPr>
            </w:pPr>
          </w:p>
        </w:tc>
        <w:tc>
          <w:tcPr>
            <w:tcW w:w="0" w:type="auto"/>
          </w:tcPr>
          <w:p w14:paraId="56DE1784" w14:textId="77777777" w:rsidR="00991202" w:rsidRPr="00991202" w:rsidRDefault="00991202" w:rsidP="00991202">
            <w:pPr>
              <w:pStyle w:val="Body"/>
              <w:rPr>
                <w:rFonts w:ascii="Arial" w:hAnsi="Arial" w:cs="Arial"/>
              </w:rPr>
            </w:pPr>
            <w:r w:rsidRPr="00991202">
              <w:rPr>
                <w:rFonts w:ascii="Arial" w:hAnsi="Arial" w:cs="Arial"/>
              </w:rPr>
              <w:t>Increase duration of continuous play without fatigue</w:t>
            </w:r>
          </w:p>
          <w:p w14:paraId="2139161F" w14:textId="77777777" w:rsidR="00991202" w:rsidRPr="00991202" w:rsidRDefault="00991202" w:rsidP="00991202">
            <w:pPr>
              <w:pStyle w:val="Body"/>
              <w:rPr>
                <w:rFonts w:ascii="Arial" w:hAnsi="Arial" w:cs="Arial"/>
              </w:rPr>
            </w:pPr>
          </w:p>
        </w:tc>
        <w:tc>
          <w:tcPr>
            <w:tcW w:w="0" w:type="auto"/>
          </w:tcPr>
          <w:p w14:paraId="26125DB5" w14:textId="77777777" w:rsidR="00991202" w:rsidRPr="00991202" w:rsidRDefault="00991202" w:rsidP="00991202">
            <w:pPr>
              <w:pStyle w:val="Body"/>
              <w:rPr>
                <w:rFonts w:ascii="Arial" w:hAnsi="Arial" w:cs="Arial"/>
              </w:rPr>
            </w:pPr>
            <w:r w:rsidRPr="00991202">
              <w:rPr>
                <w:rFonts w:ascii="Arial" w:hAnsi="Arial" w:cs="Arial"/>
              </w:rPr>
              <w:t>Participate in age-appropriate physical activities with peers</w:t>
            </w:r>
          </w:p>
          <w:p w14:paraId="29A1B64E" w14:textId="77777777" w:rsidR="00991202" w:rsidRPr="00991202" w:rsidRDefault="00991202" w:rsidP="00991202">
            <w:pPr>
              <w:pStyle w:val="Body"/>
              <w:rPr>
                <w:rFonts w:ascii="Arial" w:hAnsi="Arial" w:cs="Arial"/>
              </w:rPr>
            </w:pPr>
          </w:p>
        </w:tc>
        <w:tc>
          <w:tcPr>
            <w:tcW w:w="0" w:type="auto"/>
          </w:tcPr>
          <w:p w14:paraId="3BDBA81A" w14:textId="77777777" w:rsidR="00991202" w:rsidRPr="00991202" w:rsidRDefault="00991202" w:rsidP="00991202">
            <w:pPr>
              <w:pStyle w:val="Body"/>
              <w:rPr>
                <w:rFonts w:ascii="Arial" w:hAnsi="Arial" w:cs="Arial"/>
              </w:rPr>
            </w:pPr>
            <w:r w:rsidRPr="00991202">
              <w:rPr>
                <w:rFonts w:ascii="Arial" w:hAnsi="Arial" w:cs="Arial"/>
              </w:rPr>
              <w:t>Low-to-moderate intensity aerobic play (cycling, walking games)</w:t>
            </w:r>
          </w:p>
          <w:p w14:paraId="74CCB825" w14:textId="77777777" w:rsidR="00991202" w:rsidRPr="00991202" w:rsidRDefault="00991202" w:rsidP="00991202">
            <w:pPr>
              <w:pStyle w:val="Body"/>
              <w:rPr>
                <w:rFonts w:ascii="Arial" w:hAnsi="Arial" w:cs="Arial"/>
              </w:rPr>
            </w:pPr>
          </w:p>
        </w:tc>
        <w:tc>
          <w:tcPr>
            <w:tcW w:w="0" w:type="auto"/>
          </w:tcPr>
          <w:p w14:paraId="6CC16750" w14:textId="77777777" w:rsidR="00991202" w:rsidRPr="00991202" w:rsidRDefault="00991202" w:rsidP="00991202">
            <w:pPr>
              <w:pStyle w:val="Body"/>
              <w:rPr>
                <w:rFonts w:ascii="Arial" w:hAnsi="Arial" w:cs="Arial"/>
              </w:rPr>
            </w:pPr>
            <w:r w:rsidRPr="00991202">
              <w:rPr>
                <w:rFonts w:ascii="Arial" w:hAnsi="Arial" w:cs="Arial"/>
              </w:rPr>
              <w:t>15–30 min; 3–5 days/week</w:t>
            </w:r>
          </w:p>
          <w:p w14:paraId="52A55C47" w14:textId="77777777" w:rsidR="00991202" w:rsidRPr="00991202" w:rsidRDefault="00991202" w:rsidP="00991202">
            <w:pPr>
              <w:pStyle w:val="Body"/>
              <w:rPr>
                <w:rFonts w:ascii="Arial" w:hAnsi="Arial" w:cs="Arial"/>
              </w:rPr>
            </w:pPr>
          </w:p>
        </w:tc>
        <w:tc>
          <w:tcPr>
            <w:tcW w:w="0" w:type="auto"/>
          </w:tcPr>
          <w:p w14:paraId="2CD1DF25" w14:textId="77777777" w:rsidR="00991202" w:rsidRPr="00991202" w:rsidRDefault="00991202" w:rsidP="00991202">
            <w:pPr>
              <w:pStyle w:val="Body"/>
              <w:rPr>
                <w:rFonts w:ascii="Arial" w:hAnsi="Arial" w:cs="Arial"/>
              </w:rPr>
            </w:pPr>
            <w:r w:rsidRPr="00991202">
              <w:rPr>
                <w:rFonts w:ascii="Arial" w:hAnsi="Arial" w:cs="Arial"/>
              </w:rPr>
              <w:t>Prevent deconditioning and fatigue-related decline</w:t>
            </w:r>
          </w:p>
          <w:p w14:paraId="0A6A4FA2" w14:textId="77777777" w:rsidR="00991202" w:rsidRPr="00991202" w:rsidRDefault="00991202" w:rsidP="00991202">
            <w:pPr>
              <w:pStyle w:val="Body"/>
              <w:rPr>
                <w:rFonts w:ascii="Arial" w:hAnsi="Arial" w:cs="Arial"/>
              </w:rPr>
            </w:pPr>
          </w:p>
        </w:tc>
      </w:tr>
      <w:tr w:rsidR="00991202" w:rsidRPr="00991202" w14:paraId="662660E1" w14:textId="77777777" w:rsidTr="00172ECF">
        <w:tc>
          <w:tcPr>
            <w:tcW w:w="0" w:type="auto"/>
          </w:tcPr>
          <w:p w14:paraId="0F977F61" w14:textId="77777777" w:rsidR="00991202" w:rsidRPr="0098647A" w:rsidRDefault="00991202" w:rsidP="00991202">
            <w:pPr>
              <w:pStyle w:val="Body"/>
              <w:rPr>
                <w:rFonts w:ascii="Arial" w:hAnsi="Arial" w:cs="Arial"/>
                <w:b/>
                <w:bCs/>
              </w:rPr>
            </w:pPr>
            <w:r w:rsidRPr="0098647A">
              <w:rPr>
                <w:rFonts w:ascii="Arial" w:hAnsi="Arial" w:cs="Arial"/>
                <w:b/>
                <w:bCs/>
              </w:rPr>
              <w:t>Communication and gross motor delay (ASQ-3)</w:t>
            </w:r>
          </w:p>
          <w:p w14:paraId="41FE724C" w14:textId="77777777" w:rsidR="00991202" w:rsidRPr="0098647A" w:rsidRDefault="00991202" w:rsidP="00991202">
            <w:pPr>
              <w:pStyle w:val="Body"/>
              <w:rPr>
                <w:rFonts w:ascii="Arial" w:hAnsi="Arial" w:cs="Arial"/>
                <w:b/>
                <w:bCs/>
              </w:rPr>
            </w:pPr>
          </w:p>
        </w:tc>
        <w:tc>
          <w:tcPr>
            <w:tcW w:w="0" w:type="auto"/>
          </w:tcPr>
          <w:p w14:paraId="5973A114" w14:textId="77777777" w:rsidR="00991202" w:rsidRPr="00991202" w:rsidRDefault="00991202" w:rsidP="00991202">
            <w:pPr>
              <w:pStyle w:val="Body"/>
              <w:rPr>
                <w:rFonts w:ascii="Arial" w:hAnsi="Arial" w:cs="Arial"/>
              </w:rPr>
            </w:pPr>
            <w:r w:rsidRPr="00991202">
              <w:rPr>
                <w:rFonts w:ascii="Arial" w:hAnsi="Arial" w:cs="Arial"/>
              </w:rPr>
              <w:t>Support global developmental participation</w:t>
            </w:r>
          </w:p>
          <w:p w14:paraId="43F76371" w14:textId="77777777" w:rsidR="00991202" w:rsidRPr="00991202" w:rsidRDefault="00991202" w:rsidP="00991202">
            <w:pPr>
              <w:pStyle w:val="Body"/>
              <w:rPr>
                <w:rFonts w:ascii="Arial" w:hAnsi="Arial" w:cs="Arial"/>
              </w:rPr>
            </w:pPr>
          </w:p>
        </w:tc>
        <w:tc>
          <w:tcPr>
            <w:tcW w:w="0" w:type="auto"/>
          </w:tcPr>
          <w:p w14:paraId="04AEC477" w14:textId="77777777" w:rsidR="00991202" w:rsidRPr="00991202" w:rsidRDefault="00991202" w:rsidP="00991202">
            <w:pPr>
              <w:pStyle w:val="Body"/>
              <w:rPr>
                <w:rFonts w:ascii="Arial" w:hAnsi="Arial" w:cs="Arial"/>
              </w:rPr>
            </w:pPr>
            <w:r w:rsidRPr="00991202">
              <w:rPr>
                <w:rFonts w:ascii="Arial" w:hAnsi="Arial" w:cs="Arial"/>
              </w:rPr>
              <w:t>Improve engagement in therapist-guided tasks</w:t>
            </w:r>
          </w:p>
          <w:p w14:paraId="3FB3B79D" w14:textId="77777777" w:rsidR="00991202" w:rsidRPr="00991202" w:rsidRDefault="00991202" w:rsidP="00991202">
            <w:pPr>
              <w:pStyle w:val="Body"/>
              <w:rPr>
                <w:rFonts w:ascii="Arial" w:hAnsi="Arial" w:cs="Arial"/>
              </w:rPr>
            </w:pPr>
          </w:p>
        </w:tc>
        <w:tc>
          <w:tcPr>
            <w:tcW w:w="0" w:type="auto"/>
          </w:tcPr>
          <w:p w14:paraId="6C97C638" w14:textId="77777777" w:rsidR="00991202" w:rsidRPr="00991202" w:rsidRDefault="00991202" w:rsidP="00991202">
            <w:pPr>
              <w:pStyle w:val="Body"/>
              <w:rPr>
                <w:rFonts w:ascii="Arial" w:hAnsi="Arial" w:cs="Arial"/>
              </w:rPr>
            </w:pPr>
            <w:r w:rsidRPr="00991202">
              <w:rPr>
                <w:rFonts w:ascii="Arial" w:hAnsi="Arial" w:cs="Arial"/>
              </w:rPr>
              <w:t>Age-appropriate participation in structured and unstructured play</w:t>
            </w:r>
          </w:p>
          <w:p w14:paraId="159C376D" w14:textId="77777777" w:rsidR="00991202" w:rsidRPr="00991202" w:rsidRDefault="00991202" w:rsidP="00991202">
            <w:pPr>
              <w:pStyle w:val="Body"/>
              <w:rPr>
                <w:rFonts w:ascii="Arial" w:hAnsi="Arial" w:cs="Arial"/>
              </w:rPr>
            </w:pPr>
          </w:p>
        </w:tc>
        <w:tc>
          <w:tcPr>
            <w:tcW w:w="0" w:type="auto"/>
          </w:tcPr>
          <w:p w14:paraId="2507056D" w14:textId="77777777" w:rsidR="00991202" w:rsidRPr="00991202" w:rsidRDefault="00991202" w:rsidP="00991202">
            <w:pPr>
              <w:pStyle w:val="Body"/>
              <w:rPr>
                <w:rFonts w:ascii="Arial" w:hAnsi="Arial" w:cs="Arial"/>
              </w:rPr>
            </w:pPr>
            <w:r w:rsidRPr="00991202">
              <w:rPr>
                <w:rFonts w:ascii="Arial" w:hAnsi="Arial" w:cs="Arial"/>
              </w:rPr>
              <w:t>Multisensory play, task-oriented motor learning</w:t>
            </w:r>
          </w:p>
          <w:p w14:paraId="1967DC40" w14:textId="77777777" w:rsidR="00991202" w:rsidRPr="00991202" w:rsidRDefault="00991202" w:rsidP="00991202">
            <w:pPr>
              <w:pStyle w:val="Body"/>
              <w:rPr>
                <w:rFonts w:ascii="Arial" w:hAnsi="Arial" w:cs="Arial"/>
              </w:rPr>
            </w:pPr>
          </w:p>
        </w:tc>
        <w:tc>
          <w:tcPr>
            <w:tcW w:w="0" w:type="auto"/>
          </w:tcPr>
          <w:p w14:paraId="407938D3" w14:textId="77777777" w:rsidR="00991202" w:rsidRPr="00991202" w:rsidRDefault="00991202" w:rsidP="00991202">
            <w:pPr>
              <w:pStyle w:val="Body"/>
              <w:rPr>
                <w:rFonts w:ascii="Arial" w:hAnsi="Arial" w:cs="Arial"/>
              </w:rPr>
            </w:pPr>
            <w:r w:rsidRPr="00991202">
              <w:rPr>
                <w:rFonts w:ascii="Arial" w:hAnsi="Arial" w:cs="Arial"/>
              </w:rPr>
              <w:t>Integrated within sessions</w:t>
            </w:r>
          </w:p>
          <w:p w14:paraId="0585CBA0" w14:textId="77777777" w:rsidR="00991202" w:rsidRPr="00991202" w:rsidRDefault="00991202" w:rsidP="00991202">
            <w:pPr>
              <w:pStyle w:val="Body"/>
              <w:rPr>
                <w:rFonts w:ascii="Arial" w:hAnsi="Arial" w:cs="Arial"/>
              </w:rPr>
            </w:pPr>
          </w:p>
        </w:tc>
        <w:tc>
          <w:tcPr>
            <w:tcW w:w="0" w:type="auto"/>
          </w:tcPr>
          <w:p w14:paraId="78E16BD9" w14:textId="77777777" w:rsidR="00991202" w:rsidRPr="00991202" w:rsidRDefault="00991202" w:rsidP="00991202">
            <w:pPr>
              <w:pStyle w:val="Body"/>
              <w:rPr>
                <w:rFonts w:ascii="Arial" w:hAnsi="Arial" w:cs="Arial"/>
              </w:rPr>
            </w:pPr>
            <w:r w:rsidRPr="00991202">
              <w:rPr>
                <w:rFonts w:ascii="Arial" w:hAnsi="Arial" w:cs="Arial"/>
              </w:rPr>
              <w:t>Promote neurodevelopmental integration</w:t>
            </w:r>
          </w:p>
          <w:p w14:paraId="7AF362E8" w14:textId="77777777" w:rsidR="00991202" w:rsidRPr="00991202" w:rsidRDefault="00991202" w:rsidP="00991202">
            <w:pPr>
              <w:pStyle w:val="Body"/>
              <w:rPr>
                <w:rFonts w:ascii="Arial" w:hAnsi="Arial" w:cs="Arial"/>
              </w:rPr>
            </w:pPr>
          </w:p>
        </w:tc>
      </w:tr>
      <w:tr w:rsidR="00991202" w:rsidRPr="00991202" w14:paraId="798550C4" w14:textId="77777777" w:rsidTr="00172ECF">
        <w:tc>
          <w:tcPr>
            <w:tcW w:w="0" w:type="auto"/>
          </w:tcPr>
          <w:p w14:paraId="695F88A7" w14:textId="77777777" w:rsidR="00991202" w:rsidRPr="0098647A" w:rsidRDefault="00991202" w:rsidP="00991202">
            <w:pPr>
              <w:pStyle w:val="Body"/>
              <w:rPr>
                <w:rFonts w:ascii="Arial" w:hAnsi="Arial" w:cs="Arial"/>
                <w:b/>
                <w:bCs/>
              </w:rPr>
            </w:pPr>
            <w:r w:rsidRPr="0098647A">
              <w:rPr>
                <w:rFonts w:ascii="Arial" w:hAnsi="Arial" w:cs="Arial"/>
                <w:b/>
                <w:bCs/>
              </w:rPr>
              <w:t>High caregiver burden (CSI)</w:t>
            </w:r>
          </w:p>
          <w:p w14:paraId="110A649C" w14:textId="77777777" w:rsidR="00991202" w:rsidRPr="0098647A" w:rsidRDefault="00991202" w:rsidP="00991202">
            <w:pPr>
              <w:pStyle w:val="Body"/>
              <w:rPr>
                <w:rFonts w:ascii="Arial" w:hAnsi="Arial" w:cs="Arial"/>
                <w:b/>
                <w:bCs/>
              </w:rPr>
            </w:pPr>
          </w:p>
        </w:tc>
        <w:tc>
          <w:tcPr>
            <w:tcW w:w="0" w:type="auto"/>
          </w:tcPr>
          <w:p w14:paraId="56C26466" w14:textId="77777777" w:rsidR="00991202" w:rsidRPr="00991202" w:rsidRDefault="00991202" w:rsidP="00991202">
            <w:pPr>
              <w:pStyle w:val="Body"/>
              <w:rPr>
                <w:rFonts w:ascii="Arial" w:hAnsi="Arial" w:cs="Arial"/>
              </w:rPr>
            </w:pPr>
            <w:r w:rsidRPr="00991202">
              <w:rPr>
                <w:rFonts w:ascii="Arial" w:hAnsi="Arial" w:cs="Arial"/>
              </w:rPr>
              <w:t>Reduce caregiver strain</w:t>
            </w:r>
          </w:p>
          <w:p w14:paraId="7A9291F1" w14:textId="77777777" w:rsidR="00991202" w:rsidRPr="00991202" w:rsidRDefault="00991202" w:rsidP="00991202">
            <w:pPr>
              <w:pStyle w:val="Body"/>
              <w:rPr>
                <w:rFonts w:ascii="Arial" w:hAnsi="Arial" w:cs="Arial"/>
              </w:rPr>
            </w:pPr>
          </w:p>
        </w:tc>
        <w:tc>
          <w:tcPr>
            <w:tcW w:w="0" w:type="auto"/>
          </w:tcPr>
          <w:p w14:paraId="63F5B22D" w14:textId="77777777" w:rsidR="00991202" w:rsidRPr="00991202" w:rsidRDefault="00991202" w:rsidP="00991202">
            <w:pPr>
              <w:pStyle w:val="Body"/>
              <w:rPr>
                <w:rFonts w:ascii="Arial" w:hAnsi="Arial" w:cs="Arial"/>
              </w:rPr>
            </w:pPr>
            <w:r w:rsidRPr="00991202">
              <w:rPr>
                <w:rFonts w:ascii="Arial" w:hAnsi="Arial" w:cs="Arial"/>
              </w:rPr>
              <w:t>Improve caregiver confidence in home handling</w:t>
            </w:r>
          </w:p>
          <w:p w14:paraId="63C14A47" w14:textId="77777777" w:rsidR="00991202" w:rsidRPr="00991202" w:rsidRDefault="00991202" w:rsidP="00991202">
            <w:pPr>
              <w:pStyle w:val="Body"/>
              <w:rPr>
                <w:rFonts w:ascii="Arial" w:hAnsi="Arial" w:cs="Arial"/>
              </w:rPr>
            </w:pPr>
          </w:p>
        </w:tc>
        <w:tc>
          <w:tcPr>
            <w:tcW w:w="0" w:type="auto"/>
          </w:tcPr>
          <w:p w14:paraId="094B6F25" w14:textId="77777777" w:rsidR="00991202" w:rsidRPr="00991202" w:rsidRDefault="00991202" w:rsidP="00991202">
            <w:pPr>
              <w:pStyle w:val="Body"/>
              <w:rPr>
                <w:rFonts w:ascii="Arial" w:hAnsi="Arial" w:cs="Arial"/>
              </w:rPr>
            </w:pPr>
            <w:r w:rsidRPr="00991202">
              <w:rPr>
                <w:rFonts w:ascii="Arial" w:hAnsi="Arial" w:cs="Arial"/>
              </w:rPr>
              <w:t>Sustainable home program adherence</w:t>
            </w:r>
          </w:p>
          <w:p w14:paraId="2DF3A0C1" w14:textId="77777777" w:rsidR="00991202" w:rsidRPr="00991202" w:rsidRDefault="00991202" w:rsidP="00991202">
            <w:pPr>
              <w:pStyle w:val="Body"/>
              <w:rPr>
                <w:rFonts w:ascii="Arial" w:hAnsi="Arial" w:cs="Arial"/>
              </w:rPr>
            </w:pPr>
          </w:p>
        </w:tc>
        <w:tc>
          <w:tcPr>
            <w:tcW w:w="0" w:type="auto"/>
          </w:tcPr>
          <w:p w14:paraId="766ADC6F" w14:textId="77777777" w:rsidR="00991202" w:rsidRPr="00991202" w:rsidRDefault="00991202" w:rsidP="00991202">
            <w:pPr>
              <w:pStyle w:val="Body"/>
              <w:rPr>
                <w:rFonts w:ascii="Arial" w:hAnsi="Arial" w:cs="Arial"/>
              </w:rPr>
            </w:pPr>
            <w:r w:rsidRPr="00991202">
              <w:rPr>
                <w:rFonts w:ascii="Arial" w:hAnsi="Arial" w:cs="Arial"/>
              </w:rPr>
              <w:t>Parent education, simplified home exercise program, pacing strategies</w:t>
            </w:r>
          </w:p>
          <w:p w14:paraId="7C9783BC" w14:textId="77777777" w:rsidR="00991202" w:rsidRPr="00991202" w:rsidRDefault="00991202" w:rsidP="00991202">
            <w:pPr>
              <w:pStyle w:val="Body"/>
              <w:rPr>
                <w:rFonts w:ascii="Arial" w:hAnsi="Arial" w:cs="Arial"/>
              </w:rPr>
            </w:pPr>
          </w:p>
        </w:tc>
        <w:tc>
          <w:tcPr>
            <w:tcW w:w="0" w:type="auto"/>
          </w:tcPr>
          <w:p w14:paraId="5BA5B569" w14:textId="77777777" w:rsidR="00991202" w:rsidRPr="00991202" w:rsidRDefault="00991202" w:rsidP="00991202">
            <w:pPr>
              <w:pStyle w:val="Body"/>
              <w:rPr>
                <w:rFonts w:ascii="Arial" w:hAnsi="Arial" w:cs="Arial"/>
              </w:rPr>
            </w:pPr>
            <w:r w:rsidRPr="00991202">
              <w:rPr>
                <w:rFonts w:ascii="Arial" w:hAnsi="Arial" w:cs="Arial"/>
              </w:rPr>
              <w:t>Education every session; HEP daily</w:t>
            </w:r>
          </w:p>
          <w:p w14:paraId="7F2D6F8E" w14:textId="77777777" w:rsidR="00991202" w:rsidRPr="00991202" w:rsidRDefault="00991202" w:rsidP="00991202">
            <w:pPr>
              <w:pStyle w:val="Body"/>
              <w:rPr>
                <w:rFonts w:ascii="Arial" w:hAnsi="Arial" w:cs="Arial"/>
              </w:rPr>
            </w:pPr>
          </w:p>
        </w:tc>
        <w:tc>
          <w:tcPr>
            <w:tcW w:w="0" w:type="auto"/>
          </w:tcPr>
          <w:p w14:paraId="0D1DA8CE" w14:textId="77777777" w:rsidR="00991202" w:rsidRPr="00991202" w:rsidRDefault="00991202" w:rsidP="00991202">
            <w:pPr>
              <w:pStyle w:val="Body"/>
              <w:rPr>
                <w:rFonts w:ascii="Arial" w:hAnsi="Arial" w:cs="Arial"/>
              </w:rPr>
            </w:pPr>
            <w:r w:rsidRPr="00991202">
              <w:rPr>
                <w:rFonts w:ascii="Arial" w:hAnsi="Arial" w:cs="Arial"/>
              </w:rPr>
              <w:t>Prevent caregiver burnout and improve compliance</w:t>
            </w:r>
          </w:p>
          <w:p w14:paraId="45E19105" w14:textId="77777777" w:rsidR="00991202" w:rsidRPr="00991202" w:rsidRDefault="00991202" w:rsidP="00991202">
            <w:pPr>
              <w:pStyle w:val="Body"/>
              <w:rPr>
                <w:rFonts w:ascii="Arial" w:hAnsi="Arial" w:cs="Arial"/>
              </w:rPr>
            </w:pPr>
          </w:p>
        </w:tc>
      </w:tr>
      <w:tr w:rsidR="00991202" w:rsidRPr="00991202" w14:paraId="5A18441F" w14:textId="77777777" w:rsidTr="00172ECF">
        <w:tc>
          <w:tcPr>
            <w:tcW w:w="0" w:type="auto"/>
          </w:tcPr>
          <w:p w14:paraId="0A787B3F" w14:textId="77777777" w:rsidR="00991202" w:rsidRPr="0098647A" w:rsidRDefault="00991202" w:rsidP="00991202">
            <w:pPr>
              <w:pStyle w:val="Body"/>
              <w:rPr>
                <w:rFonts w:ascii="Arial" w:hAnsi="Arial" w:cs="Arial"/>
                <w:b/>
                <w:bCs/>
              </w:rPr>
            </w:pPr>
            <w:r w:rsidRPr="0098647A">
              <w:rPr>
                <w:rFonts w:ascii="Arial" w:hAnsi="Arial" w:cs="Arial"/>
                <w:b/>
                <w:bCs/>
              </w:rPr>
              <w:t xml:space="preserve">Risk of progressive </w:t>
            </w:r>
            <w:r w:rsidRPr="0098647A">
              <w:rPr>
                <w:rFonts w:ascii="Arial" w:hAnsi="Arial" w:cs="Arial"/>
                <w:b/>
                <w:bCs/>
              </w:rPr>
              <w:lastRenderedPageBreak/>
              <w:t xml:space="preserve">deformity (pes </w:t>
            </w:r>
            <w:proofErr w:type="spellStart"/>
            <w:r w:rsidRPr="0098647A">
              <w:rPr>
                <w:rFonts w:ascii="Arial" w:hAnsi="Arial" w:cs="Arial"/>
                <w:b/>
                <w:bCs/>
              </w:rPr>
              <w:t>cavus</w:t>
            </w:r>
            <w:proofErr w:type="spellEnd"/>
            <w:r w:rsidRPr="0098647A">
              <w:rPr>
                <w:rFonts w:ascii="Arial" w:hAnsi="Arial" w:cs="Arial"/>
                <w:b/>
                <w:bCs/>
              </w:rPr>
              <w:t xml:space="preserve"> tendency, gait deviations)</w:t>
            </w:r>
          </w:p>
          <w:p w14:paraId="4B1CE618" w14:textId="77777777" w:rsidR="00991202" w:rsidRPr="0098647A" w:rsidRDefault="00991202" w:rsidP="00991202">
            <w:pPr>
              <w:pStyle w:val="Body"/>
              <w:rPr>
                <w:rFonts w:ascii="Arial" w:hAnsi="Arial" w:cs="Arial"/>
                <w:b/>
                <w:bCs/>
              </w:rPr>
            </w:pPr>
          </w:p>
        </w:tc>
        <w:tc>
          <w:tcPr>
            <w:tcW w:w="0" w:type="auto"/>
          </w:tcPr>
          <w:p w14:paraId="2EB40820" w14:textId="77777777" w:rsidR="00991202" w:rsidRPr="00991202" w:rsidRDefault="00991202" w:rsidP="00991202">
            <w:pPr>
              <w:pStyle w:val="Body"/>
              <w:rPr>
                <w:rFonts w:ascii="Arial" w:hAnsi="Arial" w:cs="Arial"/>
              </w:rPr>
            </w:pPr>
            <w:r w:rsidRPr="00991202">
              <w:rPr>
                <w:rFonts w:ascii="Arial" w:hAnsi="Arial" w:cs="Arial"/>
              </w:rPr>
              <w:lastRenderedPageBreak/>
              <w:t xml:space="preserve">Prevent secondary </w:t>
            </w:r>
            <w:r w:rsidRPr="00991202">
              <w:rPr>
                <w:rFonts w:ascii="Arial" w:hAnsi="Arial" w:cs="Arial"/>
              </w:rPr>
              <w:lastRenderedPageBreak/>
              <w:t>musculoskeletal complications</w:t>
            </w:r>
          </w:p>
          <w:p w14:paraId="4BA8928F" w14:textId="77777777" w:rsidR="00991202" w:rsidRPr="00991202" w:rsidRDefault="00991202" w:rsidP="00991202">
            <w:pPr>
              <w:pStyle w:val="Body"/>
              <w:rPr>
                <w:rFonts w:ascii="Arial" w:hAnsi="Arial" w:cs="Arial"/>
              </w:rPr>
            </w:pPr>
          </w:p>
        </w:tc>
        <w:tc>
          <w:tcPr>
            <w:tcW w:w="0" w:type="auto"/>
          </w:tcPr>
          <w:p w14:paraId="1D0B571C" w14:textId="77777777" w:rsidR="00991202" w:rsidRPr="00991202" w:rsidRDefault="00991202" w:rsidP="00991202">
            <w:pPr>
              <w:pStyle w:val="Body"/>
              <w:rPr>
                <w:rFonts w:ascii="Arial" w:hAnsi="Arial" w:cs="Arial"/>
              </w:rPr>
            </w:pPr>
            <w:r w:rsidRPr="00991202">
              <w:rPr>
                <w:rFonts w:ascii="Arial" w:hAnsi="Arial" w:cs="Arial"/>
              </w:rPr>
              <w:lastRenderedPageBreak/>
              <w:t xml:space="preserve">Maintain full ankle ROM </w:t>
            </w:r>
            <w:r w:rsidRPr="00991202">
              <w:rPr>
                <w:rFonts w:ascii="Arial" w:hAnsi="Arial" w:cs="Arial"/>
              </w:rPr>
              <w:lastRenderedPageBreak/>
              <w:t>and alignment</w:t>
            </w:r>
          </w:p>
          <w:p w14:paraId="57199ADF" w14:textId="77777777" w:rsidR="00991202" w:rsidRPr="00991202" w:rsidRDefault="00991202" w:rsidP="00991202">
            <w:pPr>
              <w:pStyle w:val="Body"/>
              <w:rPr>
                <w:rFonts w:ascii="Arial" w:hAnsi="Arial" w:cs="Arial"/>
              </w:rPr>
            </w:pPr>
          </w:p>
        </w:tc>
        <w:tc>
          <w:tcPr>
            <w:tcW w:w="0" w:type="auto"/>
          </w:tcPr>
          <w:p w14:paraId="0C5744B7" w14:textId="77777777" w:rsidR="00991202" w:rsidRPr="00991202" w:rsidRDefault="00991202" w:rsidP="00991202">
            <w:pPr>
              <w:pStyle w:val="Body"/>
              <w:rPr>
                <w:rFonts w:ascii="Arial" w:hAnsi="Arial" w:cs="Arial"/>
              </w:rPr>
            </w:pPr>
            <w:r w:rsidRPr="00991202">
              <w:rPr>
                <w:rFonts w:ascii="Arial" w:hAnsi="Arial" w:cs="Arial"/>
              </w:rPr>
              <w:lastRenderedPageBreak/>
              <w:t xml:space="preserve">Delay or prevent </w:t>
            </w:r>
            <w:r w:rsidRPr="00991202">
              <w:rPr>
                <w:rFonts w:ascii="Arial" w:hAnsi="Arial" w:cs="Arial"/>
              </w:rPr>
              <w:lastRenderedPageBreak/>
              <w:t>fixed deformities</w:t>
            </w:r>
          </w:p>
          <w:p w14:paraId="0AF3E2F2" w14:textId="77777777" w:rsidR="00991202" w:rsidRPr="00991202" w:rsidRDefault="00991202" w:rsidP="00991202">
            <w:pPr>
              <w:pStyle w:val="Body"/>
              <w:rPr>
                <w:rFonts w:ascii="Arial" w:hAnsi="Arial" w:cs="Arial"/>
              </w:rPr>
            </w:pPr>
          </w:p>
        </w:tc>
        <w:tc>
          <w:tcPr>
            <w:tcW w:w="0" w:type="auto"/>
          </w:tcPr>
          <w:p w14:paraId="495615CF" w14:textId="77777777" w:rsidR="00991202" w:rsidRPr="00991202" w:rsidRDefault="00991202" w:rsidP="00991202">
            <w:pPr>
              <w:pStyle w:val="Body"/>
              <w:rPr>
                <w:rFonts w:ascii="Arial" w:hAnsi="Arial" w:cs="Arial"/>
              </w:rPr>
            </w:pPr>
            <w:r w:rsidRPr="00991202">
              <w:rPr>
                <w:rFonts w:ascii="Arial" w:hAnsi="Arial" w:cs="Arial"/>
              </w:rPr>
              <w:lastRenderedPageBreak/>
              <w:t xml:space="preserve">Stretching, night </w:t>
            </w:r>
            <w:r w:rsidRPr="00991202">
              <w:rPr>
                <w:rFonts w:ascii="Arial" w:hAnsi="Arial" w:cs="Arial"/>
              </w:rPr>
              <w:lastRenderedPageBreak/>
              <w:t>splints/AFO advice, footwear education</w:t>
            </w:r>
          </w:p>
          <w:p w14:paraId="068F9360" w14:textId="77777777" w:rsidR="00991202" w:rsidRPr="00991202" w:rsidRDefault="00991202" w:rsidP="00991202">
            <w:pPr>
              <w:pStyle w:val="Body"/>
              <w:rPr>
                <w:rFonts w:ascii="Arial" w:hAnsi="Arial" w:cs="Arial"/>
              </w:rPr>
            </w:pPr>
          </w:p>
        </w:tc>
        <w:tc>
          <w:tcPr>
            <w:tcW w:w="0" w:type="auto"/>
          </w:tcPr>
          <w:p w14:paraId="4D156FF0" w14:textId="77777777" w:rsidR="00991202" w:rsidRPr="00991202" w:rsidRDefault="00991202" w:rsidP="00991202">
            <w:pPr>
              <w:pStyle w:val="Body"/>
              <w:rPr>
                <w:rFonts w:ascii="Arial" w:hAnsi="Arial" w:cs="Arial"/>
              </w:rPr>
            </w:pPr>
            <w:r w:rsidRPr="00991202">
              <w:rPr>
                <w:rFonts w:ascii="Arial" w:hAnsi="Arial" w:cs="Arial"/>
              </w:rPr>
              <w:lastRenderedPageBreak/>
              <w:t xml:space="preserve">Stretching: 30 sec </w:t>
            </w:r>
            <w:r w:rsidRPr="00991202">
              <w:rPr>
                <w:rFonts w:ascii="Arial" w:hAnsi="Arial" w:cs="Arial"/>
              </w:rPr>
              <w:lastRenderedPageBreak/>
              <w:t>× 3 reps daily</w:t>
            </w:r>
          </w:p>
          <w:p w14:paraId="4A742E84" w14:textId="77777777" w:rsidR="00991202" w:rsidRPr="00991202" w:rsidRDefault="00991202" w:rsidP="00991202">
            <w:pPr>
              <w:pStyle w:val="Body"/>
              <w:rPr>
                <w:rFonts w:ascii="Arial" w:hAnsi="Arial" w:cs="Arial"/>
              </w:rPr>
            </w:pPr>
          </w:p>
        </w:tc>
        <w:tc>
          <w:tcPr>
            <w:tcW w:w="0" w:type="auto"/>
          </w:tcPr>
          <w:p w14:paraId="6629601B" w14:textId="77777777" w:rsidR="00991202" w:rsidRPr="00991202" w:rsidRDefault="00991202" w:rsidP="00991202">
            <w:pPr>
              <w:pStyle w:val="Body"/>
              <w:rPr>
                <w:rFonts w:ascii="Arial" w:hAnsi="Arial" w:cs="Arial"/>
              </w:rPr>
            </w:pPr>
            <w:r w:rsidRPr="00991202">
              <w:rPr>
                <w:rFonts w:ascii="Arial" w:hAnsi="Arial" w:cs="Arial"/>
              </w:rPr>
              <w:lastRenderedPageBreak/>
              <w:t xml:space="preserve">Prevent contractures and </w:t>
            </w:r>
            <w:r w:rsidRPr="00991202">
              <w:rPr>
                <w:rFonts w:ascii="Arial" w:hAnsi="Arial" w:cs="Arial"/>
              </w:rPr>
              <w:lastRenderedPageBreak/>
              <w:t>orthopedic complications</w:t>
            </w:r>
          </w:p>
          <w:p w14:paraId="5C58EA10" w14:textId="77777777" w:rsidR="00991202" w:rsidRPr="00991202" w:rsidRDefault="00991202" w:rsidP="00991202">
            <w:pPr>
              <w:pStyle w:val="Body"/>
              <w:rPr>
                <w:rFonts w:ascii="Arial" w:hAnsi="Arial" w:cs="Arial"/>
              </w:rPr>
            </w:pPr>
          </w:p>
        </w:tc>
      </w:tr>
    </w:tbl>
    <w:p w14:paraId="6FFA5112" w14:textId="77777777" w:rsidR="00790ADA" w:rsidRPr="00FB3A86" w:rsidRDefault="00790ADA" w:rsidP="00441B6F">
      <w:pPr>
        <w:pStyle w:val="Body"/>
        <w:spacing w:after="0"/>
        <w:rPr>
          <w:rFonts w:ascii="Arial" w:hAnsi="Arial" w:cs="Arial"/>
        </w:rPr>
      </w:pPr>
    </w:p>
    <w:p w14:paraId="34470DDE" w14:textId="2B9A4033" w:rsidR="00925266" w:rsidRPr="00925266" w:rsidRDefault="00925266" w:rsidP="00925266">
      <w:pPr>
        <w:pStyle w:val="Body"/>
        <w:rPr>
          <w:rFonts w:ascii="Arial" w:hAnsi="Arial" w:cs="Arial"/>
          <w:b/>
          <w:bCs/>
          <w:sz w:val="22"/>
          <w:szCs w:val="22"/>
        </w:rPr>
      </w:pPr>
      <w:r w:rsidRPr="00925266">
        <w:rPr>
          <w:rFonts w:ascii="Arial" w:hAnsi="Arial" w:cs="Arial"/>
          <w:b/>
          <w:bCs/>
          <w:sz w:val="22"/>
          <w:szCs w:val="22"/>
        </w:rPr>
        <w:t>3.6 Positioning of Baseline Findings and Planned Follow-up</w:t>
      </w:r>
    </w:p>
    <w:p w14:paraId="45A5B338" w14:textId="1EA8A39C" w:rsidR="00447CA3" w:rsidRPr="00447CA3" w:rsidRDefault="00447CA3" w:rsidP="00447CA3">
      <w:pPr>
        <w:pStyle w:val="Head1"/>
        <w:jc w:val="both"/>
        <w:rPr>
          <w:rFonts w:ascii="Arial" w:hAnsi="Arial" w:cs="Arial"/>
          <w:b w:val="0"/>
          <w:caps w:val="0"/>
          <w:sz w:val="20"/>
        </w:rPr>
      </w:pPr>
      <w:r w:rsidRPr="00447CA3">
        <w:rPr>
          <w:rFonts w:ascii="Arial" w:hAnsi="Arial" w:cs="Arial"/>
          <w:b w:val="0"/>
          <w:caps w:val="0"/>
          <w:sz w:val="20"/>
        </w:rPr>
        <w:t>The findings reported in this manuscript represent the child’s initial (baseline) clinical, functional, postural, and neurophysiological status at the time of presentation. Given the progressive nature of Charcot–Marie–Tooth disease type II and the child’s young age, the primary objective at this stage was early identification of impairments, risk stratification, and initiation of preventive, evidence-informed physiotherapy.</w:t>
      </w:r>
    </w:p>
    <w:p w14:paraId="2A9EC97B" w14:textId="4699661F" w:rsidR="00447CA3" w:rsidRPr="00447CA3" w:rsidRDefault="00447CA3" w:rsidP="00447CA3">
      <w:pPr>
        <w:pStyle w:val="Head1"/>
        <w:jc w:val="both"/>
        <w:rPr>
          <w:rFonts w:ascii="Arial" w:hAnsi="Arial" w:cs="Arial"/>
          <w:b w:val="0"/>
          <w:caps w:val="0"/>
          <w:sz w:val="20"/>
        </w:rPr>
      </w:pPr>
      <w:r w:rsidRPr="00447CA3">
        <w:rPr>
          <w:rFonts w:ascii="Arial" w:hAnsi="Arial" w:cs="Arial"/>
          <w:b w:val="0"/>
          <w:caps w:val="0"/>
          <w:sz w:val="20"/>
        </w:rPr>
        <w:t>A structured follow-up protocol has been planned, incorporating pre–post outcome evaluation using the same standardized functional and caregiver-reported measures to allow longitudinal monitoring of response to intervention. These follow-up assessments are intended to capture changes in gross motor function, balance, participation, and secondary musculoskeletal adaptations over time.</w:t>
      </w:r>
    </w:p>
    <w:p w14:paraId="3F0BAFB6" w14:textId="05EF93EC" w:rsidR="00447CA3" w:rsidRPr="00447CA3" w:rsidRDefault="00447CA3" w:rsidP="00447CA3">
      <w:pPr>
        <w:pStyle w:val="Head1"/>
        <w:jc w:val="both"/>
        <w:rPr>
          <w:rFonts w:ascii="Arial" w:hAnsi="Arial" w:cs="Arial"/>
          <w:b w:val="0"/>
          <w:caps w:val="0"/>
          <w:sz w:val="20"/>
        </w:rPr>
      </w:pPr>
      <w:r w:rsidRPr="00447CA3">
        <w:rPr>
          <w:rFonts w:ascii="Arial" w:hAnsi="Arial" w:cs="Arial"/>
          <w:b w:val="0"/>
          <w:caps w:val="0"/>
          <w:sz w:val="20"/>
        </w:rPr>
        <w:t>During the early phase of physiotherapy implementation, clinically meaningful improvements were observed in functional task engagement, postural stability during supported and transitional activities, and tolerance to structured gross motor tasks. Caregivers also reported improved confidence in handling techniques, positioning strategies, and adherence to prescribed home-based rehabilitation routines. While these early observations are encouraging, systematic longitudinal evaluation is required to quantify functional gains and determine sustainability of intervention effects.</w:t>
      </w:r>
    </w:p>
    <w:p w14:paraId="55842C56" w14:textId="77777777" w:rsidR="00447CA3" w:rsidRDefault="00447CA3" w:rsidP="00447CA3">
      <w:pPr>
        <w:pStyle w:val="Head1"/>
        <w:spacing w:after="0"/>
        <w:jc w:val="both"/>
        <w:rPr>
          <w:rFonts w:ascii="Arial" w:hAnsi="Arial" w:cs="Arial"/>
          <w:b w:val="0"/>
          <w:caps w:val="0"/>
          <w:sz w:val="20"/>
        </w:rPr>
      </w:pPr>
      <w:r w:rsidRPr="00447CA3">
        <w:rPr>
          <w:rFonts w:ascii="Arial" w:hAnsi="Arial" w:cs="Arial"/>
          <w:b w:val="0"/>
          <w:caps w:val="0"/>
          <w:sz w:val="20"/>
        </w:rPr>
        <w:t>Accordingly, this report emphasizes baseline characterization and early rehabilitation decision-making, while recognizing that future longitudinal data will further elucidate functional trajectories and intervention responsiveness in pediatric CMT2.</w:t>
      </w:r>
    </w:p>
    <w:p w14:paraId="56188581" w14:textId="77777777" w:rsidR="00447CA3" w:rsidRDefault="00447CA3" w:rsidP="00447CA3">
      <w:pPr>
        <w:pStyle w:val="Head1"/>
        <w:spacing w:after="0"/>
        <w:jc w:val="both"/>
        <w:rPr>
          <w:rFonts w:ascii="Arial" w:hAnsi="Arial" w:cs="Arial"/>
        </w:rPr>
      </w:pPr>
    </w:p>
    <w:p w14:paraId="696C52B3" w14:textId="4AA5CF8F" w:rsidR="00902823" w:rsidRDefault="001645F4" w:rsidP="00447CA3">
      <w:pPr>
        <w:pStyle w:val="Head1"/>
        <w:spacing w:after="0"/>
        <w:jc w:val="both"/>
        <w:rPr>
          <w:rFonts w:ascii="Arial" w:hAnsi="Arial" w:cs="Arial"/>
        </w:rPr>
      </w:pPr>
      <w:r>
        <w:rPr>
          <w:rFonts w:ascii="Arial" w:hAnsi="Arial" w:cs="Arial"/>
        </w:rPr>
        <w:t>4</w:t>
      </w:r>
      <w:r w:rsidR="00902823">
        <w:rPr>
          <w:rFonts w:ascii="Arial" w:hAnsi="Arial" w:cs="Arial"/>
        </w:rPr>
        <w:t xml:space="preserve">. </w:t>
      </w:r>
      <w:r w:rsidR="00000F8F">
        <w:rPr>
          <w:rFonts w:ascii="Arial" w:hAnsi="Arial" w:cs="Arial"/>
        </w:rPr>
        <w:t>discussion</w:t>
      </w:r>
    </w:p>
    <w:p w14:paraId="7BAD9C07" w14:textId="77777777" w:rsidR="00790ADA" w:rsidRPr="00FB3A86" w:rsidRDefault="00790ADA" w:rsidP="00441B6F">
      <w:pPr>
        <w:pStyle w:val="Head1"/>
        <w:spacing w:after="0"/>
        <w:jc w:val="both"/>
        <w:rPr>
          <w:rFonts w:ascii="Arial" w:hAnsi="Arial" w:cs="Arial"/>
        </w:rPr>
      </w:pPr>
    </w:p>
    <w:p w14:paraId="4E47B42D" w14:textId="77777777" w:rsidR="00991202" w:rsidRPr="00991202" w:rsidRDefault="00991202" w:rsidP="00991202">
      <w:pPr>
        <w:pStyle w:val="Body"/>
        <w:rPr>
          <w:rFonts w:ascii="Arial" w:hAnsi="Arial" w:cs="Arial"/>
        </w:rPr>
      </w:pPr>
      <w:r w:rsidRPr="00991202">
        <w:rPr>
          <w:rFonts w:ascii="Arial" w:hAnsi="Arial" w:cs="Arial"/>
        </w:rPr>
        <w:t>This case report describes the comprehensive assessment and physiotherapy management of a young child with electrophysiological and clinical features consistent with Charcot–Marie–Tooth disease type II (CMT2), a hereditary axonal sensorimotor neuropathy. The present case highlights the importance of early, multidimensional functional assessment and preventive, goal-directed rehabilitation in pediatric hereditary neuropathies, even in the absence of overt early developmental delay.</w:t>
      </w:r>
    </w:p>
    <w:p w14:paraId="2FD7F119" w14:textId="77777777" w:rsidR="00991202" w:rsidRPr="001645F4" w:rsidRDefault="001645F4" w:rsidP="00991202">
      <w:pPr>
        <w:pStyle w:val="Body"/>
        <w:spacing w:after="0"/>
        <w:rPr>
          <w:rFonts w:ascii="Arial" w:hAnsi="Arial" w:cs="Arial"/>
          <w:b/>
          <w:bCs/>
          <w:sz w:val="22"/>
          <w:szCs w:val="22"/>
        </w:rPr>
      </w:pPr>
      <w:bookmarkStart w:id="21" w:name="_Toc256000085"/>
      <w:r w:rsidRPr="001645F4">
        <w:rPr>
          <w:rFonts w:ascii="Arial" w:hAnsi="Arial" w:cs="Arial"/>
          <w:b/>
          <w:bCs/>
          <w:sz w:val="22"/>
          <w:szCs w:val="22"/>
        </w:rPr>
        <w:t xml:space="preserve">4.1 </w:t>
      </w:r>
      <w:r w:rsidR="00991202" w:rsidRPr="001645F4">
        <w:rPr>
          <w:rFonts w:ascii="Arial" w:hAnsi="Arial" w:cs="Arial"/>
          <w:b/>
          <w:bCs/>
          <w:sz w:val="22"/>
          <w:szCs w:val="22"/>
        </w:rPr>
        <w:t>Diagnostic Integration and Clinical Reasoning</w:t>
      </w:r>
      <w:bookmarkEnd w:id="21"/>
    </w:p>
    <w:p w14:paraId="0A492241" w14:textId="77777777" w:rsidR="00991202" w:rsidRPr="00991202" w:rsidRDefault="00991202" w:rsidP="00991202">
      <w:pPr>
        <w:pStyle w:val="Body"/>
        <w:rPr>
          <w:rFonts w:ascii="Arial" w:hAnsi="Arial" w:cs="Arial"/>
        </w:rPr>
      </w:pPr>
    </w:p>
    <w:p w14:paraId="32B3C6BF" w14:textId="77777777" w:rsidR="00991202" w:rsidRPr="00991202" w:rsidRDefault="00991202" w:rsidP="00991202">
      <w:pPr>
        <w:pStyle w:val="Body"/>
        <w:rPr>
          <w:rFonts w:ascii="Arial" w:hAnsi="Arial" w:cs="Arial"/>
        </w:rPr>
      </w:pPr>
      <w:r w:rsidRPr="00991202">
        <w:rPr>
          <w:rFonts w:ascii="Arial" w:hAnsi="Arial" w:cs="Arial"/>
        </w:rPr>
        <w:t>A key strength of this case lies in the convergence of neurophysiological findings and functional presentation. The nerve conduction study demonstrated absent or markedly reduced sensory and motor amplitudes with preserved conduction velocities, absent F-waves, and absent H-reflexes—an electrophysiological pattern characteristic of primary axonal neuropathy rather than demyelinating pathology. This profile, when interpreted in the context of normal cognition, preserved proximal strength, distal weakness, reduced ankle reflexes, and progressive balance and gait impairments, strongly supports a diagnosis within the CMT2 spectrum</w:t>
      </w:r>
      <w:hyperlink w:anchor="6afa052e94033a15a94fc42057136987_ref" w:history="1">
        <w:r w:rsidRPr="00991202">
          <w:rPr>
            <w:rStyle w:val="Hyperlink"/>
            <w:rFonts w:ascii="Arial" w:hAnsi="Arial" w:cs="Arial"/>
          </w:rPr>
          <w:t xml:space="preserve">(Klein, 2020; </w:t>
        </w:r>
        <w:proofErr w:type="spellStart"/>
        <w:r w:rsidRPr="00991202">
          <w:rPr>
            <w:rStyle w:val="Hyperlink"/>
            <w:rFonts w:ascii="Arial" w:hAnsi="Arial" w:cs="Arial"/>
          </w:rPr>
          <w:t>Pareyson</w:t>
        </w:r>
        <w:proofErr w:type="spellEnd"/>
        <w:r w:rsidRPr="00991202">
          <w:rPr>
            <w:rStyle w:val="Hyperlink"/>
            <w:rFonts w:ascii="Arial" w:hAnsi="Arial" w:cs="Arial"/>
          </w:rPr>
          <w:t>, 2004)</w:t>
        </w:r>
      </w:hyperlink>
      <w:r w:rsidRPr="00991202">
        <w:rPr>
          <w:rFonts w:ascii="Arial" w:hAnsi="Arial" w:cs="Arial"/>
        </w:rPr>
        <w:t>.</w:t>
      </w:r>
    </w:p>
    <w:p w14:paraId="35DC4A87" w14:textId="77777777" w:rsidR="00991202" w:rsidRPr="00991202" w:rsidRDefault="00991202" w:rsidP="00991202">
      <w:pPr>
        <w:pStyle w:val="Body"/>
        <w:rPr>
          <w:rFonts w:ascii="Arial" w:hAnsi="Arial" w:cs="Arial"/>
        </w:rPr>
      </w:pPr>
      <w:r w:rsidRPr="00991202">
        <w:rPr>
          <w:rFonts w:ascii="Arial" w:hAnsi="Arial" w:cs="Arial"/>
        </w:rPr>
        <w:t>Consistent with existing literature, axonal forms of CMT often present diagnostic challenges in early childhood due to subtle initial manifestations and relatively preserved early milestones</w:t>
      </w:r>
      <w:hyperlink w:anchor="4ae5bb3dcb2d39f98756d3694e40c728_ref" w:history="1">
        <w:r w:rsidRPr="00991202">
          <w:rPr>
            <w:rStyle w:val="Hyperlink"/>
            <w:rFonts w:ascii="Arial" w:hAnsi="Arial" w:cs="Arial"/>
          </w:rPr>
          <w:t>(</w:t>
        </w:r>
        <w:proofErr w:type="spellStart"/>
        <w:r w:rsidRPr="00991202">
          <w:rPr>
            <w:rStyle w:val="Hyperlink"/>
            <w:rFonts w:ascii="Arial" w:hAnsi="Arial" w:cs="Arial"/>
          </w:rPr>
          <w:t>Pareyson</w:t>
        </w:r>
        <w:proofErr w:type="spellEnd"/>
        <w:r w:rsidRPr="00991202">
          <w:rPr>
            <w:rStyle w:val="Hyperlink"/>
            <w:rFonts w:ascii="Arial" w:hAnsi="Arial" w:cs="Arial"/>
          </w:rPr>
          <w:t xml:space="preserve"> et al., 2006; Yiu et al., 2008)</w:t>
        </w:r>
      </w:hyperlink>
      <w:r w:rsidRPr="00991202">
        <w:rPr>
          <w:rFonts w:ascii="Arial" w:hAnsi="Arial" w:cs="Arial"/>
        </w:rPr>
        <w:t>. In this child, early motor development was largely within expected limits; however, as task complexity increased, deficits became evident in domains requiring distal strength, postural control, and sensory integration. This trajectory aligns with reports that children with axonal neuropathies may initially compensate effectively, with impairments becoming apparent only when neuromuscular demands exceed available reserve.</w:t>
      </w:r>
    </w:p>
    <w:p w14:paraId="5F23FF46" w14:textId="77777777" w:rsidR="00991202" w:rsidRPr="00991202" w:rsidRDefault="00991202" w:rsidP="00991202">
      <w:pPr>
        <w:pStyle w:val="Body"/>
        <w:rPr>
          <w:rFonts w:ascii="Arial" w:hAnsi="Arial" w:cs="Arial"/>
        </w:rPr>
      </w:pPr>
      <w:r w:rsidRPr="00991202">
        <w:rPr>
          <w:rFonts w:ascii="Arial" w:hAnsi="Arial" w:cs="Arial"/>
        </w:rPr>
        <w:t>Importantly, the absence of perinatal complications, metabolic risk factors, or cognitive impairment further supports a hereditary etiology and reduces the likelihood of acquired neuropathies. Although genetic confirmation was not available at the time of reporting, current clinical practice guidelines emphasize that a probable clinical diagnosis of CMT can be established through a combination of phenotype and electrophysiology, particularly when genetic testing is pending or inconclusive.</w:t>
      </w:r>
    </w:p>
    <w:p w14:paraId="0304FF4B" w14:textId="77777777" w:rsidR="00991202" w:rsidRPr="001645F4" w:rsidRDefault="001645F4" w:rsidP="00991202">
      <w:pPr>
        <w:pStyle w:val="Body"/>
        <w:spacing w:after="0"/>
        <w:rPr>
          <w:rFonts w:ascii="Arial" w:hAnsi="Arial" w:cs="Arial"/>
          <w:b/>
          <w:bCs/>
          <w:sz w:val="22"/>
          <w:szCs w:val="22"/>
        </w:rPr>
      </w:pPr>
      <w:bookmarkStart w:id="22" w:name="_Toc256000086"/>
      <w:r w:rsidRPr="001645F4">
        <w:rPr>
          <w:rFonts w:ascii="Arial" w:hAnsi="Arial" w:cs="Arial"/>
          <w:b/>
          <w:bCs/>
          <w:sz w:val="22"/>
          <w:szCs w:val="22"/>
        </w:rPr>
        <w:lastRenderedPageBreak/>
        <w:t xml:space="preserve">4.2 </w:t>
      </w:r>
      <w:r w:rsidR="00991202" w:rsidRPr="001645F4">
        <w:rPr>
          <w:rFonts w:ascii="Arial" w:hAnsi="Arial" w:cs="Arial"/>
          <w:b/>
          <w:bCs/>
          <w:sz w:val="22"/>
          <w:szCs w:val="22"/>
        </w:rPr>
        <w:t>Functional Impact and ICF-Based Interpretation</w:t>
      </w:r>
      <w:bookmarkEnd w:id="22"/>
    </w:p>
    <w:p w14:paraId="71C29212" w14:textId="77777777" w:rsidR="00991202" w:rsidRPr="00991202" w:rsidRDefault="00991202" w:rsidP="00991202">
      <w:pPr>
        <w:pStyle w:val="Body"/>
        <w:rPr>
          <w:rFonts w:ascii="Arial" w:hAnsi="Arial" w:cs="Arial"/>
        </w:rPr>
      </w:pPr>
    </w:p>
    <w:p w14:paraId="506AB4BA" w14:textId="77777777" w:rsidR="00991202" w:rsidRPr="00991202" w:rsidRDefault="00991202" w:rsidP="00991202">
      <w:pPr>
        <w:pStyle w:val="Body"/>
        <w:rPr>
          <w:rFonts w:ascii="Arial" w:hAnsi="Arial" w:cs="Arial"/>
        </w:rPr>
      </w:pPr>
      <w:r w:rsidRPr="00991202">
        <w:rPr>
          <w:rFonts w:ascii="Arial" w:hAnsi="Arial" w:cs="Arial"/>
        </w:rPr>
        <w:t>The assessment strategy employed in this case—summarized in Table 1—allowed for a nuanced understanding of impairments across body structure and function, activity, and participation. Distal muscle weakness, sensory impairment, and absent reflexes (body function level) translated into measurable deficits in balance, gait efficiency, stair negotiation, and higher-level gross motor skills (activity level), with secondary effects on participation and caregiver burden.</w:t>
      </w:r>
    </w:p>
    <w:p w14:paraId="28A41B9D" w14:textId="77777777" w:rsidR="00991202" w:rsidRPr="00991202" w:rsidRDefault="00991202" w:rsidP="00991202">
      <w:pPr>
        <w:pStyle w:val="Body"/>
        <w:rPr>
          <w:rFonts w:ascii="Arial" w:hAnsi="Arial" w:cs="Arial"/>
        </w:rPr>
      </w:pPr>
      <w:r w:rsidRPr="00991202">
        <w:rPr>
          <w:rFonts w:ascii="Arial" w:hAnsi="Arial" w:cs="Arial"/>
        </w:rPr>
        <w:t>Balance impairment, as evidenced by reduced performance on the Pediatric Berg Balance Scale and GMFM dimensions D and E, is particularly relevant in axonal neuropathies. Sensory loss—especially impaired proprioceptive input from the distal lower limbs—likely contributed to reliance on visual strategies, widened base of support, and compensatory trunk movements during gait. These findings are consistent with prior studies demonstrating that balance dysfunction in CMT is multifactorial, arising from the interaction between distal weakness, sensory loss, and delayed postural responses.</w:t>
      </w:r>
    </w:p>
    <w:p w14:paraId="3AC419EC" w14:textId="77777777" w:rsidR="00991202" w:rsidRPr="00991202" w:rsidRDefault="00991202" w:rsidP="00991202">
      <w:pPr>
        <w:pStyle w:val="Body"/>
        <w:rPr>
          <w:rFonts w:ascii="Arial" w:hAnsi="Arial" w:cs="Arial"/>
        </w:rPr>
      </w:pPr>
      <w:r w:rsidRPr="00991202">
        <w:rPr>
          <w:rFonts w:ascii="Arial" w:hAnsi="Arial" w:cs="Arial"/>
        </w:rPr>
        <w:t>Musculoskeletal adaptations, including mild functional scoliosis and muscle tightness, were already evident despite the child’s young age. This underscores the progressive and adaptive nature of neuromuscular disorders, where altered movement strategies, if left unaddressed, may predispose children to secondary deformities and long-term functional limitations.</w:t>
      </w:r>
    </w:p>
    <w:p w14:paraId="10233BF1" w14:textId="77777777" w:rsidR="00991202" w:rsidRPr="001645F4" w:rsidRDefault="001645F4" w:rsidP="00991202">
      <w:pPr>
        <w:pStyle w:val="Body"/>
        <w:spacing w:after="0"/>
        <w:rPr>
          <w:rFonts w:ascii="Arial" w:hAnsi="Arial" w:cs="Arial"/>
          <w:b/>
          <w:bCs/>
          <w:sz w:val="22"/>
          <w:szCs w:val="22"/>
        </w:rPr>
      </w:pPr>
      <w:bookmarkStart w:id="23" w:name="_Toc256000087"/>
      <w:r w:rsidRPr="001645F4">
        <w:rPr>
          <w:rFonts w:ascii="Arial" w:hAnsi="Arial" w:cs="Arial"/>
          <w:b/>
          <w:bCs/>
          <w:sz w:val="22"/>
          <w:szCs w:val="22"/>
        </w:rPr>
        <w:t xml:space="preserve">4.3 </w:t>
      </w:r>
      <w:r w:rsidR="00991202" w:rsidRPr="001645F4">
        <w:rPr>
          <w:rFonts w:ascii="Arial" w:hAnsi="Arial" w:cs="Arial"/>
          <w:b/>
          <w:bCs/>
          <w:sz w:val="22"/>
          <w:szCs w:val="22"/>
        </w:rPr>
        <w:t>Rationale for Early, Preventive Physiotherapy</w:t>
      </w:r>
      <w:bookmarkEnd w:id="23"/>
    </w:p>
    <w:p w14:paraId="32BF51C9" w14:textId="77777777" w:rsidR="00991202" w:rsidRPr="00991202" w:rsidRDefault="00991202" w:rsidP="00991202">
      <w:pPr>
        <w:pStyle w:val="Body"/>
        <w:rPr>
          <w:rFonts w:ascii="Arial" w:hAnsi="Arial" w:cs="Arial"/>
        </w:rPr>
      </w:pPr>
    </w:p>
    <w:p w14:paraId="70B15F90" w14:textId="77777777" w:rsidR="00991202" w:rsidRPr="00991202" w:rsidRDefault="00991202" w:rsidP="00991202">
      <w:pPr>
        <w:pStyle w:val="Body"/>
        <w:rPr>
          <w:rFonts w:ascii="Arial" w:hAnsi="Arial" w:cs="Arial"/>
        </w:rPr>
      </w:pPr>
      <w:r w:rsidRPr="00991202">
        <w:rPr>
          <w:rFonts w:ascii="Arial" w:hAnsi="Arial" w:cs="Arial"/>
        </w:rPr>
        <w:t>Given the absence of disease-modifying treatments for Charcot–Marie–Tooth disease (CMT2), rehabilitation remains the cornerstone of management</w:t>
      </w:r>
      <w:hyperlink w:anchor="e15e0b9c30f9360cb4e2589938420942_ref" w:history="1">
        <w:r w:rsidRPr="00991202">
          <w:rPr>
            <w:rStyle w:val="Hyperlink"/>
            <w:rFonts w:ascii="Arial" w:hAnsi="Arial" w:cs="Arial"/>
          </w:rPr>
          <w:t>(Johnson et al., 2016; Sman et al., 2015)</w:t>
        </w:r>
      </w:hyperlink>
      <w:r w:rsidRPr="00991202">
        <w:rPr>
          <w:rFonts w:ascii="Arial" w:hAnsi="Arial" w:cs="Arial"/>
        </w:rPr>
        <w:t>. The intervention framework detailed in Table 2 reflects contemporary evidence supporting early, task-oriented, and preventive physiotherapy in pediatric neuromuscular disorders.</w:t>
      </w:r>
    </w:p>
    <w:p w14:paraId="5FAC0575" w14:textId="77777777" w:rsidR="00991202" w:rsidRPr="00991202" w:rsidRDefault="00991202" w:rsidP="00993384">
      <w:pPr>
        <w:pStyle w:val="Body"/>
        <w:numPr>
          <w:ilvl w:val="0"/>
          <w:numId w:val="38"/>
        </w:numPr>
        <w:rPr>
          <w:rFonts w:ascii="Arial" w:hAnsi="Arial" w:cs="Arial"/>
        </w:rPr>
      </w:pPr>
      <w:r w:rsidRPr="00991202">
        <w:rPr>
          <w:rFonts w:ascii="Arial" w:hAnsi="Arial" w:cs="Arial"/>
        </w:rPr>
        <w:t>Rather than focusing solely on strength gains, the physiotherapy approach emphasized:</w:t>
      </w:r>
    </w:p>
    <w:p w14:paraId="655A33F1" w14:textId="77777777" w:rsidR="00991202" w:rsidRPr="00991202" w:rsidRDefault="00991202" w:rsidP="00993384">
      <w:pPr>
        <w:pStyle w:val="Body"/>
        <w:numPr>
          <w:ilvl w:val="0"/>
          <w:numId w:val="38"/>
        </w:numPr>
        <w:rPr>
          <w:rFonts w:ascii="Arial" w:hAnsi="Arial" w:cs="Arial"/>
        </w:rPr>
      </w:pPr>
      <w:r w:rsidRPr="00991202">
        <w:rPr>
          <w:rFonts w:ascii="Arial" w:hAnsi="Arial" w:cs="Arial"/>
        </w:rPr>
        <w:t>Functional strengthening integrated into play and daily activities</w:t>
      </w:r>
    </w:p>
    <w:p w14:paraId="5087879B" w14:textId="77777777" w:rsidR="00991202" w:rsidRPr="00991202" w:rsidRDefault="00991202" w:rsidP="00993384">
      <w:pPr>
        <w:pStyle w:val="Body"/>
        <w:numPr>
          <w:ilvl w:val="0"/>
          <w:numId w:val="38"/>
        </w:numPr>
        <w:rPr>
          <w:rFonts w:ascii="Arial" w:hAnsi="Arial" w:cs="Arial"/>
        </w:rPr>
      </w:pPr>
      <w:r w:rsidRPr="00991202">
        <w:rPr>
          <w:rFonts w:ascii="Arial" w:hAnsi="Arial" w:cs="Arial"/>
        </w:rPr>
        <w:t>Balance and postural control training to mitigate fall risk</w:t>
      </w:r>
    </w:p>
    <w:p w14:paraId="7A6A2417" w14:textId="77777777" w:rsidR="00991202" w:rsidRPr="00991202" w:rsidRDefault="00991202" w:rsidP="00993384">
      <w:pPr>
        <w:pStyle w:val="Body"/>
        <w:numPr>
          <w:ilvl w:val="0"/>
          <w:numId w:val="38"/>
        </w:numPr>
        <w:rPr>
          <w:rFonts w:ascii="Arial" w:hAnsi="Arial" w:cs="Arial"/>
        </w:rPr>
      </w:pPr>
      <w:r w:rsidRPr="00991202">
        <w:rPr>
          <w:rFonts w:ascii="Arial" w:hAnsi="Arial" w:cs="Arial"/>
        </w:rPr>
        <w:t>Gait training aimed at reducing compensatory strategies</w:t>
      </w:r>
    </w:p>
    <w:p w14:paraId="54F77DF1" w14:textId="77777777" w:rsidR="00991202" w:rsidRPr="00991202" w:rsidRDefault="00991202" w:rsidP="00993384">
      <w:pPr>
        <w:pStyle w:val="Body"/>
        <w:numPr>
          <w:ilvl w:val="0"/>
          <w:numId w:val="38"/>
        </w:numPr>
        <w:rPr>
          <w:rFonts w:ascii="Arial" w:hAnsi="Arial" w:cs="Arial"/>
        </w:rPr>
      </w:pPr>
      <w:r w:rsidRPr="00991202">
        <w:rPr>
          <w:rFonts w:ascii="Arial" w:hAnsi="Arial" w:cs="Arial"/>
        </w:rPr>
        <w:t>Stretching and alignment-focused interventions to prevent contractures and deformity</w:t>
      </w:r>
    </w:p>
    <w:p w14:paraId="35A75C7F" w14:textId="77777777" w:rsidR="00991202" w:rsidRPr="00991202" w:rsidRDefault="00991202" w:rsidP="00993384">
      <w:pPr>
        <w:pStyle w:val="Body"/>
        <w:numPr>
          <w:ilvl w:val="0"/>
          <w:numId w:val="38"/>
        </w:numPr>
        <w:rPr>
          <w:rFonts w:ascii="Arial" w:hAnsi="Arial" w:cs="Arial"/>
        </w:rPr>
      </w:pPr>
      <w:r w:rsidRPr="00991202">
        <w:rPr>
          <w:rFonts w:ascii="Arial" w:hAnsi="Arial" w:cs="Arial"/>
        </w:rPr>
        <w:t>Caregiver education to enhance adherence and reduce psychosocial strain</w:t>
      </w:r>
    </w:p>
    <w:p w14:paraId="709434B9" w14:textId="77777777" w:rsidR="00991202" w:rsidRPr="00991202" w:rsidRDefault="00991202" w:rsidP="00991202">
      <w:pPr>
        <w:pStyle w:val="Body"/>
        <w:rPr>
          <w:rFonts w:ascii="Arial" w:hAnsi="Arial" w:cs="Arial"/>
        </w:rPr>
      </w:pPr>
      <w:r w:rsidRPr="00991202">
        <w:rPr>
          <w:rFonts w:ascii="Arial" w:hAnsi="Arial" w:cs="Arial"/>
        </w:rPr>
        <w:t>This approach is supported by emerging evidence indicating that appropriately dosed exercise is safe and beneficial in children with CMT, challenging earlier concerns about overuse weakness. Recent studies have demonstrated improvements in balance, endurance, and functional mobility without adverse effects when interventions are individualized and monitored</w:t>
      </w:r>
      <w:hyperlink w:anchor="27d6e75ff90d3a6db90ace70d3a2fa6a_ref" w:history="1">
        <w:r w:rsidRPr="00991202">
          <w:rPr>
            <w:rStyle w:val="Hyperlink"/>
            <w:rFonts w:ascii="Arial" w:hAnsi="Arial" w:cs="Arial"/>
          </w:rPr>
          <w:t xml:space="preserve">(El </w:t>
        </w:r>
        <w:proofErr w:type="spellStart"/>
        <w:r w:rsidRPr="00991202">
          <w:rPr>
            <w:rStyle w:val="Hyperlink"/>
            <w:rFonts w:ascii="Arial" w:hAnsi="Arial" w:cs="Arial"/>
          </w:rPr>
          <w:t>Mhandi</w:t>
        </w:r>
        <w:proofErr w:type="spellEnd"/>
        <w:r w:rsidRPr="00991202">
          <w:rPr>
            <w:rStyle w:val="Hyperlink"/>
            <w:rFonts w:ascii="Arial" w:hAnsi="Arial" w:cs="Arial"/>
          </w:rPr>
          <w:t xml:space="preserve"> et al., 2008; Johnson et al., 2016; Kenis-Coskun &amp; Matthews, 2016)</w:t>
        </w:r>
      </w:hyperlink>
      <w:r w:rsidRPr="00991202">
        <w:rPr>
          <w:rFonts w:ascii="Arial" w:hAnsi="Arial" w:cs="Arial"/>
        </w:rPr>
        <w:t>.</w:t>
      </w:r>
    </w:p>
    <w:p w14:paraId="00B78D14" w14:textId="77777777" w:rsidR="00991202" w:rsidRPr="00991202" w:rsidRDefault="00991202" w:rsidP="00991202">
      <w:pPr>
        <w:pStyle w:val="Body"/>
        <w:rPr>
          <w:rFonts w:ascii="Arial" w:hAnsi="Arial" w:cs="Arial"/>
        </w:rPr>
      </w:pPr>
      <w:r w:rsidRPr="00991202">
        <w:rPr>
          <w:rFonts w:ascii="Arial" w:hAnsi="Arial" w:cs="Arial"/>
        </w:rPr>
        <w:t>The inclusion of caregiver burden as a formal outcome measure further strengthens the clinical relevance of this case. Chronic pediatric conditions such as CMT impose substantial emotional and logistical demands on families. Addressing caregiver strain through education, realistic goal setting, and home program simplification aligns with family-centered care principles and may indirectly enhance child outcomes.</w:t>
      </w:r>
    </w:p>
    <w:p w14:paraId="1CABF316" w14:textId="77777777" w:rsidR="00991202" w:rsidRPr="001645F4" w:rsidRDefault="001645F4" w:rsidP="00991202">
      <w:pPr>
        <w:pStyle w:val="Body"/>
        <w:spacing w:after="0"/>
        <w:rPr>
          <w:rFonts w:ascii="Arial" w:hAnsi="Arial" w:cs="Arial"/>
          <w:b/>
          <w:bCs/>
          <w:sz w:val="22"/>
          <w:szCs w:val="22"/>
        </w:rPr>
      </w:pPr>
      <w:bookmarkStart w:id="24" w:name="_Toc256000088"/>
      <w:r w:rsidRPr="001645F4">
        <w:rPr>
          <w:rFonts w:ascii="Arial" w:hAnsi="Arial" w:cs="Arial"/>
          <w:b/>
          <w:bCs/>
          <w:sz w:val="22"/>
          <w:szCs w:val="22"/>
        </w:rPr>
        <w:t xml:space="preserve">4.4 </w:t>
      </w:r>
      <w:r w:rsidR="00991202" w:rsidRPr="001645F4">
        <w:rPr>
          <w:rFonts w:ascii="Arial" w:hAnsi="Arial" w:cs="Arial"/>
          <w:b/>
          <w:bCs/>
          <w:sz w:val="22"/>
          <w:szCs w:val="22"/>
        </w:rPr>
        <w:t>Neurophysiological–Functional Correlation</w:t>
      </w:r>
      <w:bookmarkEnd w:id="24"/>
    </w:p>
    <w:p w14:paraId="0B995D07" w14:textId="77777777" w:rsidR="00991202" w:rsidRPr="00991202" w:rsidRDefault="00991202" w:rsidP="00991202">
      <w:pPr>
        <w:pStyle w:val="Body"/>
        <w:rPr>
          <w:rFonts w:ascii="Arial" w:hAnsi="Arial" w:cs="Arial"/>
        </w:rPr>
      </w:pPr>
    </w:p>
    <w:p w14:paraId="15927FD8" w14:textId="77777777" w:rsidR="00991202" w:rsidRPr="00991202" w:rsidRDefault="00991202" w:rsidP="00991202">
      <w:pPr>
        <w:pStyle w:val="Body"/>
        <w:rPr>
          <w:rFonts w:ascii="Arial" w:hAnsi="Arial" w:cs="Arial"/>
        </w:rPr>
      </w:pPr>
      <w:r w:rsidRPr="00991202">
        <w:rPr>
          <w:rFonts w:ascii="Arial" w:hAnsi="Arial" w:cs="Arial"/>
        </w:rPr>
        <w:t>The detailed NCV analysis summarized in Table 3 provides a critical link between underlying pathology and observed functional limitations. Severe distal axonal involvement explains the disproportionate difficulty with tasks such as single-limb stance, jumping, and stair descent, which require precise motor unit recruitment and sensory feedback. The absence of late responses further suggests widespread axonal involvement, reinforcing the need for interventions that prioritize compensation, efficiency, and prevention, rather than restoration of lost neural function.</w:t>
      </w:r>
    </w:p>
    <w:p w14:paraId="303F3655" w14:textId="77777777" w:rsidR="00991202" w:rsidRPr="00991202" w:rsidRDefault="00991202" w:rsidP="00991202">
      <w:pPr>
        <w:pStyle w:val="Body"/>
        <w:rPr>
          <w:rFonts w:ascii="Arial" w:hAnsi="Arial" w:cs="Arial"/>
        </w:rPr>
      </w:pPr>
      <w:r w:rsidRPr="00991202">
        <w:rPr>
          <w:rFonts w:ascii="Arial" w:hAnsi="Arial" w:cs="Arial"/>
        </w:rPr>
        <w:lastRenderedPageBreak/>
        <w:t>By explicitly correlating electrophysiological abnormalities with clinical and functional findings, this case addresses a common gap in pediatric rehabilitation literature, where NCV data are often reported in isolation without functional interpretation.</w:t>
      </w:r>
    </w:p>
    <w:p w14:paraId="04142733" w14:textId="77777777" w:rsidR="00991202" w:rsidRPr="001645F4" w:rsidRDefault="001645F4" w:rsidP="00991202">
      <w:pPr>
        <w:pStyle w:val="Body"/>
        <w:spacing w:after="0"/>
        <w:rPr>
          <w:rFonts w:ascii="Arial" w:hAnsi="Arial" w:cs="Arial"/>
          <w:b/>
          <w:bCs/>
          <w:sz w:val="22"/>
          <w:szCs w:val="22"/>
        </w:rPr>
      </w:pPr>
      <w:bookmarkStart w:id="25" w:name="_Toc256000089"/>
      <w:r w:rsidRPr="001645F4">
        <w:rPr>
          <w:rFonts w:ascii="Arial" w:hAnsi="Arial" w:cs="Arial"/>
          <w:b/>
          <w:bCs/>
          <w:sz w:val="22"/>
          <w:szCs w:val="22"/>
        </w:rPr>
        <w:t xml:space="preserve">4.5 </w:t>
      </w:r>
      <w:r w:rsidR="00991202" w:rsidRPr="001645F4">
        <w:rPr>
          <w:rFonts w:ascii="Arial" w:hAnsi="Arial" w:cs="Arial"/>
          <w:b/>
          <w:bCs/>
          <w:sz w:val="22"/>
          <w:szCs w:val="22"/>
        </w:rPr>
        <w:t>Implications for Clinical Practice</w:t>
      </w:r>
      <w:bookmarkEnd w:id="25"/>
    </w:p>
    <w:p w14:paraId="14306FDD" w14:textId="77777777" w:rsidR="00991202" w:rsidRPr="00991202" w:rsidRDefault="00991202" w:rsidP="00991202">
      <w:pPr>
        <w:pStyle w:val="Body"/>
        <w:rPr>
          <w:rFonts w:ascii="Arial" w:hAnsi="Arial" w:cs="Arial"/>
        </w:rPr>
      </w:pPr>
    </w:p>
    <w:p w14:paraId="25156AAE" w14:textId="114CFA20" w:rsidR="00340966" w:rsidRPr="00340966" w:rsidRDefault="00340966" w:rsidP="00340966">
      <w:pPr>
        <w:pStyle w:val="ConcHead"/>
        <w:jc w:val="both"/>
        <w:rPr>
          <w:rFonts w:ascii="Arial" w:hAnsi="Arial" w:cs="Arial"/>
          <w:b w:val="0"/>
          <w:caps w:val="0"/>
          <w:sz w:val="20"/>
        </w:rPr>
      </w:pPr>
      <w:r w:rsidRPr="00340966">
        <w:rPr>
          <w:rFonts w:ascii="Arial" w:hAnsi="Arial" w:cs="Arial"/>
          <w:b w:val="0"/>
          <w:caps w:val="0"/>
          <w:sz w:val="20"/>
        </w:rPr>
        <w:t>The multidimensional assessment and intervention framework described in this case is designed to be clinically feasible across diverse practice settings, including resource-limited environments. Several assessment approaches utilized</w:t>
      </w:r>
      <w:r w:rsidR="00B03B7E">
        <w:rPr>
          <w:rFonts w:ascii="Arial" w:hAnsi="Arial" w:cs="Arial"/>
          <w:b w:val="0"/>
          <w:caps w:val="0"/>
          <w:sz w:val="20"/>
        </w:rPr>
        <w:t xml:space="preserve">, </w:t>
      </w:r>
      <w:r w:rsidRPr="00340966">
        <w:rPr>
          <w:rFonts w:ascii="Arial" w:hAnsi="Arial" w:cs="Arial"/>
          <w:b w:val="0"/>
          <w:caps w:val="0"/>
          <w:sz w:val="20"/>
        </w:rPr>
        <w:t>such as observational gait analysis, standardized functional performance measures, and surface landmark–based postural screening</w:t>
      </w:r>
      <w:r>
        <w:rPr>
          <w:rFonts w:ascii="Arial" w:hAnsi="Arial" w:cs="Arial"/>
          <w:b w:val="0"/>
          <w:caps w:val="0"/>
          <w:sz w:val="20"/>
        </w:rPr>
        <w:t xml:space="preserve"> - </w:t>
      </w:r>
      <w:r w:rsidRPr="00340966">
        <w:rPr>
          <w:rFonts w:ascii="Arial" w:hAnsi="Arial" w:cs="Arial"/>
          <w:b w:val="0"/>
          <w:caps w:val="0"/>
          <w:sz w:val="20"/>
        </w:rPr>
        <w:t>are low-cost, require minimal instrumentation, and can be reliably implemented by trained pediatric physiotherapists. Although neurophysiological testing provides valuable diagnostic confirmation, rehabilitation planning in Charcot–Marie–Tooth disease is primarily guided by functional impairment and activity limitation rather than electrophysiological severity alone (Baptista et al., 2021).</w:t>
      </w:r>
    </w:p>
    <w:p w14:paraId="3E0C4A17" w14:textId="77D3BED5" w:rsidR="00340966" w:rsidRPr="00340966" w:rsidRDefault="00340966" w:rsidP="00340966">
      <w:pPr>
        <w:pStyle w:val="ConcHead"/>
        <w:jc w:val="both"/>
        <w:rPr>
          <w:rFonts w:ascii="Arial" w:hAnsi="Arial" w:cs="Arial"/>
          <w:b w:val="0"/>
          <w:caps w:val="0"/>
          <w:sz w:val="20"/>
        </w:rPr>
      </w:pPr>
      <w:r w:rsidRPr="00340966">
        <w:rPr>
          <w:rFonts w:ascii="Arial" w:hAnsi="Arial" w:cs="Arial"/>
          <w:b w:val="0"/>
          <w:caps w:val="0"/>
          <w:sz w:val="20"/>
        </w:rPr>
        <w:t>Emerging evidence supports early, structured physiotherapy as a clinically meaningful and cost-effective strategy in CMT. Intensive rehabilitation programs have demonstrated improvements in functional performance and participation outcomes in individuals with mild to moderate disease severity, reinforcing the importance of timely and targeted intervention (Ferraro et al., 2024). Similarly, systematic reviews highlight that strengthening, balance training, gait retraining, and functional task-oriented exercise form the cornerstone of rehabilitation management in CMT, with potential to delay secondary musculoskeletal complications and reduce long-term disability burden (</w:t>
      </w:r>
      <w:proofErr w:type="spellStart"/>
      <w:r w:rsidRPr="00340966">
        <w:rPr>
          <w:rFonts w:ascii="Arial" w:hAnsi="Arial" w:cs="Arial"/>
          <w:b w:val="0"/>
          <w:caps w:val="0"/>
          <w:sz w:val="20"/>
        </w:rPr>
        <w:t>Corrado</w:t>
      </w:r>
      <w:proofErr w:type="spellEnd"/>
      <w:r w:rsidRPr="00340966">
        <w:rPr>
          <w:rFonts w:ascii="Arial" w:hAnsi="Arial" w:cs="Arial"/>
          <w:b w:val="0"/>
          <w:caps w:val="0"/>
          <w:sz w:val="20"/>
        </w:rPr>
        <w:t xml:space="preserve"> et al., 2016).</w:t>
      </w:r>
    </w:p>
    <w:p w14:paraId="7D91704A" w14:textId="77777777" w:rsidR="00B03B7E" w:rsidRDefault="00340966" w:rsidP="00340966">
      <w:pPr>
        <w:pStyle w:val="ConcHead"/>
        <w:spacing w:after="0"/>
        <w:jc w:val="both"/>
        <w:rPr>
          <w:rFonts w:ascii="Arial" w:hAnsi="Arial" w:cs="Arial"/>
          <w:b w:val="0"/>
          <w:caps w:val="0"/>
          <w:sz w:val="20"/>
        </w:rPr>
      </w:pPr>
      <w:r w:rsidRPr="00340966">
        <w:rPr>
          <w:rFonts w:ascii="Arial" w:hAnsi="Arial" w:cs="Arial"/>
          <w:b w:val="0"/>
          <w:caps w:val="0"/>
          <w:sz w:val="20"/>
        </w:rPr>
        <w:t>Integration of caregiver education and home-based rehabilitation programs further enhances intervention sustainability and supports long-term functional maintenance. In addition, telehealth-enabled follow-up may serve as a pragmatic adjunct to conventional care by facilitating caregiver training, monitoring adherence, and enabling early identification of functional decline, particularly for families residing in geographically remote or underserved regions. Hybrid service delivery models combining in-person assessment with tele-rehabilitation support may therefore represent a scalable and patient-</w:t>
      </w:r>
      <w:proofErr w:type="spellStart"/>
      <w:r w:rsidRPr="00340966">
        <w:rPr>
          <w:rFonts w:ascii="Arial" w:hAnsi="Arial" w:cs="Arial"/>
          <w:b w:val="0"/>
          <w:caps w:val="0"/>
          <w:sz w:val="20"/>
        </w:rPr>
        <w:t>centred</w:t>
      </w:r>
      <w:proofErr w:type="spellEnd"/>
      <w:r w:rsidRPr="00340966">
        <w:rPr>
          <w:rFonts w:ascii="Arial" w:hAnsi="Arial" w:cs="Arial"/>
          <w:b w:val="0"/>
          <w:caps w:val="0"/>
          <w:sz w:val="20"/>
        </w:rPr>
        <w:t xml:space="preserve"> strategy for managing pediatric CMT2 across varied healthcare contexts.</w:t>
      </w:r>
    </w:p>
    <w:p w14:paraId="0A162B9B" w14:textId="77777777" w:rsidR="00B03B7E" w:rsidRDefault="00B03B7E" w:rsidP="00340966">
      <w:pPr>
        <w:pStyle w:val="ConcHead"/>
        <w:spacing w:after="0"/>
        <w:jc w:val="both"/>
        <w:rPr>
          <w:rFonts w:ascii="Arial" w:hAnsi="Arial" w:cs="Arial"/>
        </w:rPr>
      </w:pPr>
    </w:p>
    <w:p w14:paraId="64760B2E" w14:textId="4F8DB2EE" w:rsidR="00B01FCD" w:rsidRDefault="00B32825" w:rsidP="00340966">
      <w:pPr>
        <w:pStyle w:val="ConcHead"/>
        <w:spacing w:after="0"/>
        <w:jc w:val="both"/>
        <w:rPr>
          <w:rFonts w:ascii="Arial" w:hAnsi="Arial" w:cs="Arial"/>
        </w:rPr>
      </w:pPr>
      <w:r>
        <w:rPr>
          <w:rFonts w:ascii="Arial" w:hAnsi="Arial" w:cs="Arial"/>
        </w:rPr>
        <w:t>6</w:t>
      </w:r>
      <w:r w:rsidR="00000F8F">
        <w:rPr>
          <w:rFonts w:ascii="Arial" w:hAnsi="Arial" w:cs="Arial"/>
        </w:rPr>
        <w:t xml:space="preserve">. </w:t>
      </w:r>
      <w:r w:rsidR="00B01FCD" w:rsidRPr="00FB3A86">
        <w:rPr>
          <w:rFonts w:ascii="Arial" w:hAnsi="Arial" w:cs="Arial"/>
        </w:rPr>
        <w:t>Conclusion</w:t>
      </w:r>
    </w:p>
    <w:p w14:paraId="1F97E2A4" w14:textId="77777777" w:rsidR="00790ADA" w:rsidRPr="00FB3A86" w:rsidRDefault="00790ADA" w:rsidP="00441B6F">
      <w:pPr>
        <w:pStyle w:val="ConcHead"/>
        <w:spacing w:after="0"/>
        <w:jc w:val="both"/>
        <w:rPr>
          <w:rFonts w:ascii="Arial" w:hAnsi="Arial" w:cs="Arial"/>
        </w:rPr>
      </w:pPr>
    </w:p>
    <w:p w14:paraId="20DE7BE1" w14:textId="77777777" w:rsidR="00790ADA" w:rsidRDefault="00993384" w:rsidP="00993384">
      <w:pPr>
        <w:pStyle w:val="Body"/>
        <w:rPr>
          <w:rFonts w:ascii="Arial" w:hAnsi="Arial" w:cs="Arial"/>
        </w:rPr>
      </w:pPr>
      <w:r w:rsidRPr="00991202">
        <w:rPr>
          <w:rFonts w:ascii="Arial" w:hAnsi="Arial" w:cs="Arial"/>
        </w:rPr>
        <w:t>This case report demonstrates that a structured, evidence-informed physiotherapy approach—grounded in comprehensive assessment and preventive reasoning—can address the complex functional needs of a child with suspected CMT2. By integrating neurophysiological findings with functional outcomes and caregiver perspectives, the present report contributes meaningful clinical insight to the pediatric neurorehabilitation literature and underscores the pivotal role of physiotherapy in managing hereditary axonal neuropathies.</w:t>
      </w:r>
    </w:p>
    <w:p w14:paraId="10AD226E" w14:textId="77777777" w:rsidR="00340966" w:rsidRDefault="00575BE3" w:rsidP="00340966">
      <w:pPr>
        <w:pStyle w:val="Body"/>
        <w:rPr>
          <w:rFonts w:ascii="Arial" w:hAnsi="Arial" w:cs="Arial"/>
          <w:b/>
          <w:bCs/>
          <w:sz w:val="22"/>
          <w:szCs w:val="22"/>
        </w:rPr>
      </w:pPr>
      <w:r w:rsidRPr="00575BE3">
        <w:rPr>
          <w:rFonts w:ascii="Arial" w:hAnsi="Arial" w:cs="Arial"/>
          <w:b/>
          <w:bCs/>
          <w:sz w:val="22"/>
          <w:szCs w:val="22"/>
        </w:rPr>
        <w:t>7</w:t>
      </w:r>
      <w:r w:rsidR="00D275EA" w:rsidRPr="00575BE3">
        <w:rPr>
          <w:rFonts w:ascii="Arial" w:hAnsi="Arial" w:cs="Arial"/>
          <w:b/>
          <w:bCs/>
          <w:sz w:val="22"/>
          <w:szCs w:val="22"/>
        </w:rPr>
        <w:t xml:space="preserve">. </w:t>
      </w:r>
      <w:bookmarkStart w:id="26" w:name="_Toc256000090"/>
      <w:r w:rsidR="00D275EA" w:rsidRPr="00575BE3">
        <w:rPr>
          <w:rFonts w:ascii="Arial" w:hAnsi="Arial" w:cs="Arial"/>
          <w:b/>
          <w:bCs/>
          <w:sz w:val="22"/>
          <w:szCs w:val="22"/>
        </w:rPr>
        <w:t>LIMITATIONS AND FUTURE DIRECTIONS</w:t>
      </w:r>
      <w:bookmarkEnd w:id="26"/>
    </w:p>
    <w:p w14:paraId="15742C5A" w14:textId="0B8BE3C1" w:rsidR="00340966" w:rsidRPr="00340966" w:rsidRDefault="00340966" w:rsidP="00340966">
      <w:pPr>
        <w:pStyle w:val="Body"/>
        <w:rPr>
          <w:rFonts w:ascii="Arial" w:hAnsi="Arial" w:cs="Arial"/>
          <w:b/>
          <w:bCs/>
          <w:sz w:val="22"/>
          <w:szCs w:val="22"/>
        </w:rPr>
      </w:pPr>
      <w:r w:rsidRPr="00340966">
        <w:rPr>
          <w:rFonts w:ascii="Arial" w:hAnsi="Arial" w:cs="Arial"/>
        </w:rPr>
        <w:t>Consistent with CARE reporting standards, this single-case report has inherent limitations that restrict external generalizability. The absence of genetic confirmation represents a diagnostic constraint; however, this reflects real-world pediatric practice where molecular testing may be delayed or inaccessible. Diagnostic interpretation therefore relied on convergence of clinical phenotype and electrophysiological findings.</w:t>
      </w:r>
    </w:p>
    <w:p w14:paraId="4308306C" w14:textId="5D0E9C18" w:rsidR="00340966" w:rsidRPr="00340966" w:rsidRDefault="00340966" w:rsidP="00340966">
      <w:pPr>
        <w:pStyle w:val="ReferHead"/>
        <w:jc w:val="both"/>
        <w:rPr>
          <w:rFonts w:ascii="Arial" w:hAnsi="Arial" w:cs="Arial"/>
          <w:b w:val="0"/>
          <w:caps w:val="0"/>
          <w:sz w:val="20"/>
        </w:rPr>
      </w:pPr>
      <w:r w:rsidRPr="00340966">
        <w:rPr>
          <w:rFonts w:ascii="Arial" w:hAnsi="Arial" w:cs="Arial"/>
          <w:b w:val="0"/>
          <w:caps w:val="0"/>
          <w:sz w:val="20"/>
        </w:rPr>
        <w:lastRenderedPageBreak/>
        <w:t>Potential assessment bias must be acknowledged. Functional outcome measures incorporated observational scoring and caregiver-reported components, introducing susceptibility to observer variability, caregiver perception bias, and performance fluctuations related to fatigue or environmental familiarity. Additionally, surface-based postural assessments, while clinically pragmatic, lack the precision of instrumented biomechanical analysis.</w:t>
      </w:r>
    </w:p>
    <w:p w14:paraId="2B879B20" w14:textId="14871F29" w:rsidR="00FC4771" w:rsidRDefault="00340966" w:rsidP="00340966">
      <w:pPr>
        <w:pStyle w:val="ReferHead"/>
        <w:spacing w:after="0"/>
        <w:jc w:val="both"/>
        <w:rPr>
          <w:rFonts w:ascii="Arial" w:hAnsi="Arial" w:cs="Arial"/>
          <w:b w:val="0"/>
          <w:caps w:val="0"/>
          <w:sz w:val="20"/>
        </w:rPr>
      </w:pPr>
      <w:r w:rsidRPr="00340966">
        <w:rPr>
          <w:rFonts w:ascii="Arial" w:hAnsi="Arial" w:cs="Arial"/>
          <w:b w:val="0"/>
          <w:caps w:val="0"/>
          <w:sz w:val="20"/>
        </w:rPr>
        <w:t>Future investigations should prioritize longitudinal, standardized pre–post outcome evaluation and multicenter observational designs to strengthen evidence on early physiotherapy responsiveness in pediatric CMT2. Integration of objective digital monitoring and emerging disease-modifying therapies may further refine rehabilitation pathways.</w:t>
      </w:r>
    </w:p>
    <w:p w14:paraId="1EC32497" w14:textId="77777777" w:rsidR="00340966" w:rsidRDefault="00340966" w:rsidP="00340966">
      <w:pPr>
        <w:pStyle w:val="ReferHead"/>
        <w:spacing w:after="0"/>
        <w:jc w:val="both"/>
        <w:rPr>
          <w:rFonts w:ascii="Arial" w:hAnsi="Arial" w:cs="Arial"/>
          <w:b w:val="0"/>
          <w:caps w:val="0"/>
          <w:sz w:val="20"/>
        </w:rPr>
      </w:pPr>
    </w:p>
    <w:p w14:paraId="033D31F9" w14:textId="3F5A9C38"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5DB2DD85" w14:textId="77777777" w:rsidR="002B685A" w:rsidRPr="002B685A" w:rsidRDefault="002B685A" w:rsidP="00441B6F">
      <w:pPr>
        <w:pStyle w:val="ReferHead"/>
        <w:spacing w:after="0"/>
        <w:jc w:val="both"/>
        <w:rPr>
          <w:rFonts w:ascii="Arial" w:hAnsi="Arial" w:cs="Arial"/>
          <w:bCs/>
        </w:rPr>
      </w:pPr>
    </w:p>
    <w:p w14:paraId="31E91CC6" w14:textId="77777777" w:rsidR="001A29D8" w:rsidRDefault="001A29D8" w:rsidP="00441B6F">
      <w:pPr>
        <w:pStyle w:val="ReferHead"/>
        <w:spacing w:after="0"/>
        <w:jc w:val="both"/>
        <w:rPr>
          <w:rFonts w:ascii="Arial" w:hAnsi="Arial" w:cs="Arial"/>
          <w:b w:val="0"/>
          <w:caps w:val="0"/>
          <w:sz w:val="20"/>
        </w:rPr>
      </w:pPr>
      <w:r w:rsidRPr="00545410">
        <w:rPr>
          <w:rFonts w:ascii="Arial" w:hAnsi="Arial" w:cs="Arial"/>
          <w:b w:val="0"/>
          <w:caps w:val="0"/>
          <w:sz w:val="20"/>
        </w:rPr>
        <w:t>All authors declare that ‘written informed consent was obtained from the patient</w:t>
      </w:r>
      <w:r w:rsidR="00545410">
        <w:rPr>
          <w:rFonts w:ascii="Arial" w:hAnsi="Arial" w:cs="Arial"/>
          <w:b w:val="0"/>
          <w:caps w:val="0"/>
          <w:sz w:val="20"/>
        </w:rPr>
        <w:t>’s parents</w:t>
      </w:r>
      <w:r w:rsidRPr="00545410">
        <w:rPr>
          <w:rFonts w:ascii="Arial" w:hAnsi="Arial" w:cs="Arial"/>
          <w:b w:val="0"/>
          <w:caps w:val="0"/>
          <w:sz w:val="20"/>
        </w:rPr>
        <w:t xml:space="preserve"> for publication of this case report and accompanying images. </w:t>
      </w:r>
    </w:p>
    <w:p w14:paraId="429DFFE7" w14:textId="77777777" w:rsidR="00031362" w:rsidRDefault="00031362" w:rsidP="00441B6F">
      <w:pPr>
        <w:pStyle w:val="ReferHead"/>
        <w:spacing w:after="0"/>
        <w:jc w:val="both"/>
        <w:rPr>
          <w:rFonts w:ascii="Arial" w:hAnsi="Arial" w:cs="Arial"/>
          <w:b w:val="0"/>
          <w:caps w:val="0"/>
          <w:sz w:val="20"/>
        </w:rPr>
      </w:pPr>
    </w:p>
    <w:p w14:paraId="3548F763" w14:textId="77777777" w:rsidR="00031362" w:rsidRPr="00031362" w:rsidRDefault="00031362" w:rsidP="00031362">
      <w:pPr>
        <w:pStyle w:val="ReferHead"/>
        <w:jc w:val="both"/>
        <w:rPr>
          <w:rFonts w:ascii="Arial" w:hAnsi="Arial" w:cs="Arial"/>
          <w:b w:val="0"/>
          <w:caps w:val="0"/>
          <w:sz w:val="20"/>
        </w:rPr>
      </w:pPr>
      <w:r w:rsidRPr="00031362">
        <w:rPr>
          <w:rFonts w:ascii="Arial" w:hAnsi="Arial" w:cs="Arial"/>
          <w:b w:val="0"/>
          <w:caps w:val="0"/>
          <w:sz w:val="20"/>
        </w:rPr>
        <w:t>COMPETING INTERESTS DISCLAIMER:</w:t>
      </w:r>
    </w:p>
    <w:p w14:paraId="6D1D0D37" w14:textId="43F8C212" w:rsidR="00031362" w:rsidRDefault="00031362" w:rsidP="00031362">
      <w:pPr>
        <w:pStyle w:val="ReferHead"/>
        <w:spacing w:after="0"/>
        <w:jc w:val="both"/>
        <w:rPr>
          <w:rFonts w:ascii="Arial" w:hAnsi="Arial" w:cs="Arial"/>
          <w:b w:val="0"/>
          <w:caps w:val="0"/>
          <w:sz w:val="20"/>
        </w:rPr>
      </w:pPr>
      <w:r w:rsidRPr="00031362">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393A03D5" w14:textId="01B1CD50" w:rsidR="001C7E51" w:rsidRDefault="001C7E51" w:rsidP="00031362">
      <w:pPr>
        <w:pStyle w:val="ReferHead"/>
        <w:spacing w:after="0"/>
        <w:jc w:val="both"/>
        <w:rPr>
          <w:rFonts w:ascii="Arial" w:hAnsi="Arial" w:cs="Arial"/>
          <w:b w:val="0"/>
          <w:caps w:val="0"/>
          <w:sz w:val="20"/>
        </w:rPr>
      </w:pPr>
    </w:p>
    <w:p w14:paraId="518EAE48" w14:textId="77777777" w:rsidR="001C7E51" w:rsidRPr="00CB1885" w:rsidRDefault="001C7E51" w:rsidP="001C7E51">
      <w:pPr>
        <w:pStyle w:val="NoSpacing"/>
        <w:rPr>
          <w:rFonts w:ascii="Arial" w:hAnsi="Arial" w:cs="Arial"/>
          <w:b/>
        </w:rPr>
      </w:pPr>
      <w:bookmarkStart w:id="27" w:name="_Hlk219284361"/>
      <w:bookmarkStart w:id="28" w:name="_Hlk198031404"/>
      <w:r w:rsidRPr="00CB1885">
        <w:rPr>
          <w:rFonts w:ascii="Arial" w:hAnsi="Arial" w:cs="Arial"/>
          <w:b/>
        </w:rPr>
        <w:t>Disclaimer (Artificial intelligence)</w:t>
      </w:r>
    </w:p>
    <w:p w14:paraId="69C0EEE6" w14:textId="77777777" w:rsidR="001C7E51" w:rsidRPr="00575BE3" w:rsidRDefault="001C7E51" w:rsidP="001C7E51">
      <w:pPr>
        <w:pStyle w:val="NoSpacing"/>
        <w:rPr>
          <w:rFonts w:ascii="Arial" w:hAnsi="Arial" w:cs="Arial"/>
        </w:rPr>
      </w:pPr>
    </w:p>
    <w:p w14:paraId="2999D93A" w14:textId="77777777" w:rsidR="001C7E51" w:rsidRPr="00575BE3" w:rsidRDefault="001C7E51" w:rsidP="001C7E51">
      <w:pPr>
        <w:pStyle w:val="NoSpacing"/>
        <w:rPr>
          <w:rFonts w:ascii="Arial" w:hAnsi="Arial" w:cs="Arial"/>
        </w:rPr>
      </w:pPr>
      <w:r w:rsidRPr="00575BE3">
        <w:rPr>
          <w:rFonts w:ascii="Arial" w:hAnsi="Arial" w:cs="Arial"/>
        </w:rPr>
        <w:t>Author(s) hereby declare that NO generative AI technologies such as Large Language Models (</w:t>
      </w:r>
      <w:proofErr w:type="spellStart"/>
      <w:r w:rsidRPr="00575BE3">
        <w:rPr>
          <w:rFonts w:ascii="Arial" w:hAnsi="Arial" w:cs="Arial"/>
        </w:rPr>
        <w:t>ChatGPT</w:t>
      </w:r>
      <w:proofErr w:type="spellEnd"/>
      <w:r w:rsidRPr="00575BE3">
        <w:rPr>
          <w:rFonts w:ascii="Arial" w:hAnsi="Arial" w:cs="Arial"/>
        </w:rPr>
        <w:t>, COPILOT, etc.) and text-to-image generators have been used during the writing or editing of this manuscript</w:t>
      </w:r>
      <w:bookmarkEnd w:id="27"/>
      <w:r w:rsidRPr="00575BE3">
        <w:rPr>
          <w:rFonts w:ascii="Arial" w:hAnsi="Arial" w:cs="Arial"/>
        </w:rPr>
        <w:t xml:space="preserve">. </w:t>
      </w:r>
    </w:p>
    <w:bookmarkEnd w:id="28"/>
    <w:p w14:paraId="1D1E1BC1" w14:textId="64880758" w:rsidR="001C7E51" w:rsidRDefault="001C7E51" w:rsidP="00031362">
      <w:pPr>
        <w:pStyle w:val="ReferHead"/>
        <w:spacing w:after="0"/>
        <w:jc w:val="both"/>
        <w:rPr>
          <w:rFonts w:ascii="Arial" w:hAnsi="Arial" w:cs="Arial"/>
          <w:b w:val="0"/>
          <w:caps w:val="0"/>
          <w:sz w:val="20"/>
        </w:rPr>
      </w:pPr>
    </w:p>
    <w:p w14:paraId="5701A029" w14:textId="77777777" w:rsidR="00860000" w:rsidRDefault="00860000" w:rsidP="00441B6F">
      <w:pPr>
        <w:pStyle w:val="ReferHead"/>
        <w:spacing w:after="0"/>
        <w:jc w:val="both"/>
        <w:rPr>
          <w:rFonts w:ascii="Arial" w:hAnsi="Arial" w:cs="Arial"/>
        </w:rPr>
      </w:pPr>
    </w:p>
    <w:p w14:paraId="746A22A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6BF5D3F" w14:textId="77777777" w:rsidR="00790ADA" w:rsidRPr="00FB3A86" w:rsidRDefault="00790ADA" w:rsidP="00441B6F">
      <w:pPr>
        <w:pStyle w:val="ReferHead"/>
        <w:spacing w:after="0"/>
        <w:jc w:val="both"/>
        <w:rPr>
          <w:rFonts w:ascii="Arial" w:hAnsi="Arial" w:cs="Arial"/>
        </w:rPr>
      </w:pPr>
    </w:p>
    <w:p w14:paraId="1668FCF3" w14:textId="77777777" w:rsidR="00991202" w:rsidRPr="00B75F7D" w:rsidRDefault="00991202" w:rsidP="00991202">
      <w:pPr>
        <w:jc w:val="both"/>
        <w:rPr>
          <w:rFonts w:ascii="Arial" w:hAnsi="Arial" w:cs="Arial"/>
        </w:rPr>
      </w:pPr>
      <w:bookmarkStart w:id="29" w:name="6a531303ba2f34de91354a5ac96e5508_ref"/>
      <w:r w:rsidRPr="00B75F7D">
        <w:rPr>
          <w:rFonts w:ascii="Arial" w:hAnsi="Arial" w:cs="Arial"/>
        </w:rPr>
        <w:t xml:space="preserve">Ando, M., Hashiguchi, A., Okamoto, Y., Yoshimura, A., Hiramatsu, Y., Yuan, J., Higuchi, Y., Mitsui, J., </w:t>
      </w:r>
      <w:proofErr w:type="spellStart"/>
      <w:r w:rsidRPr="00B75F7D">
        <w:rPr>
          <w:rFonts w:ascii="Arial" w:hAnsi="Arial" w:cs="Arial"/>
        </w:rPr>
        <w:t>Ishiura</w:t>
      </w:r>
      <w:proofErr w:type="spellEnd"/>
      <w:r w:rsidRPr="00B75F7D">
        <w:rPr>
          <w:rFonts w:ascii="Arial" w:hAnsi="Arial" w:cs="Arial"/>
        </w:rPr>
        <w:t>, H., Umemura, A., Maruyama, K., Matsushige, T., Morishita, S., Nakagawa, M., Tsuji, S., &amp; Takashima, H. (2017). Clinical and genetic diversities of Charcot</w:t>
      </w:r>
      <w:r w:rsidRPr="00B75F7D">
        <w:rPr>
          <w:rFonts w:ascii="Cambria Math" w:hAnsi="Cambria Math" w:cs="Cambria Math"/>
        </w:rPr>
        <w:t>‐</w:t>
      </w:r>
      <w:r w:rsidRPr="00B75F7D">
        <w:rPr>
          <w:rFonts w:ascii="Arial" w:hAnsi="Arial" w:cs="Arial"/>
        </w:rPr>
        <w:t>Marie</w:t>
      </w:r>
      <w:r w:rsidRPr="00B75F7D">
        <w:rPr>
          <w:rFonts w:ascii="Cambria Math" w:hAnsi="Cambria Math" w:cs="Cambria Math"/>
        </w:rPr>
        <w:t>‐</w:t>
      </w:r>
      <w:r w:rsidRPr="00B75F7D">
        <w:rPr>
          <w:rFonts w:ascii="Arial" w:hAnsi="Arial" w:cs="Arial"/>
        </w:rPr>
        <w:t xml:space="preserve">Tooth disease with MFN2 mutations in a large case study. </w:t>
      </w:r>
      <w:r w:rsidRPr="00B75F7D">
        <w:rPr>
          <w:rFonts w:ascii="Arial" w:hAnsi="Arial" w:cs="Arial"/>
          <w:i/>
          <w:iCs/>
        </w:rPr>
        <w:t>Journal of the Peripheral Nervous System</w:t>
      </w:r>
      <w:r w:rsidRPr="00B75F7D">
        <w:rPr>
          <w:rFonts w:ascii="Arial" w:hAnsi="Arial" w:cs="Arial"/>
        </w:rPr>
        <w:t xml:space="preserve">, </w:t>
      </w:r>
      <w:r w:rsidRPr="00B75F7D">
        <w:rPr>
          <w:rFonts w:ascii="Arial" w:hAnsi="Arial" w:cs="Arial"/>
          <w:i/>
          <w:iCs/>
        </w:rPr>
        <w:t>22</w:t>
      </w:r>
      <w:r w:rsidRPr="00B75F7D">
        <w:rPr>
          <w:rFonts w:ascii="Arial" w:hAnsi="Arial" w:cs="Arial"/>
        </w:rPr>
        <w:t>(3), 191–199. https://doi.org/10.1111/jns.12228</w:t>
      </w:r>
    </w:p>
    <w:bookmarkEnd w:id="29"/>
    <w:p w14:paraId="54BCBF8E" w14:textId="77777777" w:rsidR="00991202" w:rsidRPr="00B75F7D" w:rsidRDefault="00991202" w:rsidP="00991202">
      <w:pPr>
        <w:jc w:val="both"/>
        <w:rPr>
          <w:rFonts w:ascii="Arial" w:hAnsi="Arial" w:cs="Arial"/>
        </w:rPr>
      </w:pPr>
    </w:p>
    <w:p w14:paraId="680D9D26" w14:textId="15F28B41" w:rsidR="00991202" w:rsidRDefault="00991202" w:rsidP="00991202">
      <w:pPr>
        <w:jc w:val="both"/>
        <w:rPr>
          <w:rFonts w:ascii="Arial" w:hAnsi="Arial" w:cs="Arial"/>
        </w:rPr>
      </w:pPr>
      <w:bookmarkStart w:id="30" w:name="4e88139b26cc3db5b43881680405909b_ref"/>
      <w:r w:rsidRPr="00B75F7D">
        <w:rPr>
          <w:rFonts w:ascii="Arial" w:hAnsi="Arial" w:cs="Arial"/>
        </w:rPr>
        <w:t xml:space="preserve">Arnold, W. D., Hoyle, J. C., </w:t>
      </w:r>
      <w:proofErr w:type="spellStart"/>
      <w:r w:rsidRPr="00B75F7D">
        <w:rPr>
          <w:rFonts w:ascii="Arial" w:hAnsi="Arial" w:cs="Arial"/>
        </w:rPr>
        <w:t>Isfort</w:t>
      </w:r>
      <w:proofErr w:type="spellEnd"/>
      <w:r w:rsidRPr="00B75F7D">
        <w:rPr>
          <w:rFonts w:ascii="Arial" w:hAnsi="Arial" w:cs="Arial"/>
        </w:rPr>
        <w:t xml:space="preserve">, M., &amp; Roggenbuck, J. (2015). The genetics of Charcot–Marie–Tooth disease: current trends and future implications for diagnosis and management. </w:t>
      </w:r>
      <w:r w:rsidRPr="00B75F7D">
        <w:rPr>
          <w:rFonts w:ascii="Arial" w:hAnsi="Arial" w:cs="Arial"/>
          <w:i/>
          <w:iCs/>
        </w:rPr>
        <w:t>The Application of Clinical Genetics</w:t>
      </w:r>
      <w:r w:rsidRPr="00B75F7D">
        <w:rPr>
          <w:rFonts w:ascii="Arial" w:hAnsi="Arial" w:cs="Arial"/>
        </w:rPr>
        <w:t xml:space="preserve">, </w:t>
      </w:r>
      <w:r w:rsidRPr="00B75F7D">
        <w:rPr>
          <w:rFonts w:ascii="Arial" w:hAnsi="Arial" w:cs="Arial"/>
          <w:i/>
          <w:iCs/>
        </w:rPr>
        <w:t>8</w:t>
      </w:r>
      <w:r w:rsidRPr="00B75F7D">
        <w:rPr>
          <w:rFonts w:ascii="Arial" w:hAnsi="Arial" w:cs="Arial"/>
        </w:rPr>
        <w:t xml:space="preserve">(2), 235. </w:t>
      </w:r>
      <w:hyperlink r:id="rId19" w:history="1">
        <w:r w:rsidR="00B0340F" w:rsidRPr="00C26608">
          <w:rPr>
            <w:rStyle w:val="Hyperlink"/>
            <w:rFonts w:ascii="Arial" w:hAnsi="Arial" w:cs="Arial"/>
          </w:rPr>
          <w:t>https://doi.org/10.2147/tacg.s69969</w:t>
        </w:r>
      </w:hyperlink>
    </w:p>
    <w:p w14:paraId="311AC808" w14:textId="14D50931" w:rsidR="00B0340F" w:rsidRDefault="00B0340F" w:rsidP="00991202">
      <w:pPr>
        <w:jc w:val="both"/>
        <w:rPr>
          <w:rFonts w:ascii="Arial" w:hAnsi="Arial" w:cs="Arial"/>
        </w:rPr>
      </w:pPr>
    </w:p>
    <w:p w14:paraId="030A3677" w14:textId="77777777" w:rsidR="00B0340F" w:rsidRPr="00B0340F" w:rsidRDefault="00B0340F" w:rsidP="00B0340F">
      <w:pPr>
        <w:jc w:val="both"/>
        <w:rPr>
          <w:rFonts w:ascii="Arial" w:hAnsi="Arial" w:cs="Arial"/>
        </w:rPr>
      </w:pPr>
    </w:p>
    <w:p w14:paraId="4BCE68B4" w14:textId="39D831A5" w:rsidR="00B0340F" w:rsidRPr="00B75F7D" w:rsidRDefault="00B0340F" w:rsidP="00B0340F">
      <w:pPr>
        <w:jc w:val="both"/>
        <w:rPr>
          <w:rFonts w:ascii="Arial" w:hAnsi="Arial" w:cs="Arial"/>
        </w:rPr>
      </w:pPr>
      <w:r w:rsidRPr="00B0340F">
        <w:rPr>
          <w:rFonts w:ascii="Arial" w:hAnsi="Arial" w:cs="Arial"/>
        </w:rPr>
        <w:t xml:space="preserve">Baptista, C. R. D., Nascimento-Elias, A. H., Garcia, B., Testa, A., </w:t>
      </w:r>
      <w:proofErr w:type="spellStart"/>
      <w:r w:rsidRPr="00B0340F">
        <w:rPr>
          <w:rFonts w:ascii="Arial" w:hAnsi="Arial" w:cs="Arial"/>
        </w:rPr>
        <w:t>Domingues</w:t>
      </w:r>
      <w:proofErr w:type="spellEnd"/>
      <w:r w:rsidRPr="00B0340F">
        <w:rPr>
          <w:rFonts w:ascii="Arial" w:hAnsi="Arial" w:cs="Arial"/>
        </w:rPr>
        <w:t xml:space="preserve">, P. C., Martinez, E. Z., … </w:t>
      </w:r>
      <w:proofErr w:type="spellStart"/>
      <w:r w:rsidRPr="00B0340F">
        <w:rPr>
          <w:rFonts w:ascii="Arial" w:hAnsi="Arial" w:cs="Arial"/>
        </w:rPr>
        <w:t>Mattiello-Sverzut</w:t>
      </w:r>
      <w:proofErr w:type="spellEnd"/>
      <w:r w:rsidRPr="00B0340F">
        <w:rPr>
          <w:rFonts w:ascii="Arial" w:hAnsi="Arial" w:cs="Arial"/>
        </w:rPr>
        <w:t>, A. C. (2021). Physical function and performance measures of children and adolescents with Charcot-Marie-Tooth disease. Physiotherapy Theory and Practice, 37(1), 73–80. https://doi.org/10.1080/09593985.2019.1603257</w:t>
      </w:r>
    </w:p>
    <w:bookmarkEnd w:id="30"/>
    <w:p w14:paraId="6D52B097" w14:textId="77777777" w:rsidR="00991202" w:rsidRPr="00B75F7D" w:rsidRDefault="00991202" w:rsidP="00991202">
      <w:pPr>
        <w:jc w:val="both"/>
        <w:rPr>
          <w:rFonts w:ascii="Arial" w:hAnsi="Arial" w:cs="Arial"/>
        </w:rPr>
      </w:pPr>
    </w:p>
    <w:p w14:paraId="184D7F61" w14:textId="77777777" w:rsidR="00991202" w:rsidRPr="00B75F7D" w:rsidRDefault="00991202" w:rsidP="00991202">
      <w:pPr>
        <w:jc w:val="both"/>
        <w:rPr>
          <w:rFonts w:ascii="Arial" w:hAnsi="Arial" w:cs="Arial"/>
        </w:rPr>
      </w:pPr>
      <w:bookmarkStart w:id="31" w:name="05685488d4733ffb95f6ad496ca343af_ref"/>
      <w:r w:rsidRPr="00B75F7D">
        <w:rPr>
          <w:rFonts w:ascii="Arial" w:hAnsi="Arial" w:cs="Arial"/>
        </w:rPr>
        <w:t xml:space="preserve">Barisic, N., De Jonghe, P., Timmerman, V., Nelis, E., Claeys, K. G., Löfgren, A., &amp; </w:t>
      </w:r>
      <w:proofErr w:type="spellStart"/>
      <w:r w:rsidRPr="00B75F7D">
        <w:rPr>
          <w:rFonts w:ascii="Arial" w:hAnsi="Arial" w:cs="Arial"/>
        </w:rPr>
        <w:t>Sirotković</w:t>
      </w:r>
      <w:r w:rsidRPr="00B75F7D">
        <w:rPr>
          <w:rFonts w:ascii="Cambria Math" w:hAnsi="Cambria Math" w:cs="Cambria Math"/>
        </w:rPr>
        <w:t>‐</w:t>
      </w:r>
      <w:r w:rsidRPr="00B75F7D">
        <w:rPr>
          <w:rFonts w:ascii="Arial" w:hAnsi="Arial" w:cs="Arial"/>
        </w:rPr>
        <w:t>Skerlev</w:t>
      </w:r>
      <w:proofErr w:type="spellEnd"/>
      <w:r w:rsidRPr="00B75F7D">
        <w:rPr>
          <w:rFonts w:ascii="Arial" w:hAnsi="Arial" w:cs="Arial"/>
        </w:rPr>
        <w:t>, M. (2008). Charcot</w:t>
      </w:r>
      <w:r w:rsidRPr="00B75F7D">
        <w:rPr>
          <w:rFonts w:ascii="Cambria Math" w:hAnsi="Cambria Math" w:cs="Cambria Math"/>
        </w:rPr>
        <w:t>‐</w:t>
      </w:r>
      <w:r w:rsidRPr="00B75F7D">
        <w:rPr>
          <w:rFonts w:ascii="Arial" w:hAnsi="Arial" w:cs="Arial"/>
        </w:rPr>
        <w:t>Marie</w:t>
      </w:r>
      <w:r w:rsidRPr="00B75F7D">
        <w:rPr>
          <w:rFonts w:ascii="Cambria Math" w:hAnsi="Cambria Math" w:cs="Cambria Math"/>
        </w:rPr>
        <w:t>‐</w:t>
      </w:r>
      <w:r w:rsidRPr="00B75F7D">
        <w:rPr>
          <w:rFonts w:ascii="Arial" w:hAnsi="Arial" w:cs="Arial"/>
        </w:rPr>
        <w:t xml:space="preserve">Tooth Disease: A </w:t>
      </w:r>
      <w:proofErr w:type="spellStart"/>
      <w:r w:rsidRPr="00B75F7D">
        <w:rPr>
          <w:rFonts w:ascii="Arial" w:hAnsi="Arial" w:cs="Arial"/>
        </w:rPr>
        <w:t>Clinico</w:t>
      </w:r>
      <w:proofErr w:type="spellEnd"/>
      <w:r w:rsidRPr="00B75F7D">
        <w:rPr>
          <w:rFonts w:ascii="Cambria Math" w:hAnsi="Cambria Math" w:cs="Cambria Math"/>
        </w:rPr>
        <w:t>‐</w:t>
      </w:r>
      <w:r w:rsidRPr="00B75F7D">
        <w:rPr>
          <w:rFonts w:ascii="Arial" w:hAnsi="Arial" w:cs="Arial"/>
        </w:rPr>
        <w:t xml:space="preserve">genetic Confrontation. </w:t>
      </w:r>
      <w:r w:rsidRPr="00B75F7D">
        <w:rPr>
          <w:rFonts w:ascii="Arial" w:hAnsi="Arial" w:cs="Arial"/>
          <w:i/>
          <w:iCs/>
        </w:rPr>
        <w:t>Annals of Human Genetics</w:t>
      </w:r>
      <w:r w:rsidRPr="00B75F7D">
        <w:rPr>
          <w:rFonts w:ascii="Arial" w:hAnsi="Arial" w:cs="Arial"/>
        </w:rPr>
        <w:t xml:space="preserve">, </w:t>
      </w:r>
      <w:r w:rsidRPr="00B75F7D">
        <w:rPr>
          <w:rFonts w:ascii="Arial" w:hAnsi="Arial" w:cs="Arial"/>
          <w:i/>
          <w:iCs/>
        </w:rPr>
        <w:t>72</w:t>
      </w:r>
      <w:r w:rsidRPr="00B75F7D">
        <w:rPr>
          <w:rFonts w:ascii="Arial" w:hAnsi="Arial" w:cs="Arial"/>
        </w:rPr>
        <w:t>(3), 416–441. https://doi.org/10.1111/j.1469-1809.2007.00412.x</w:t>
      </w:r>
    </w:p>
    <w:bookmarkEnd w:id="31"/>
    <w:p w14:paraId="701C5CB7" w14:textId="77777777" w:rsidR="00991202" w:rsidRPr="00B75F7D" w:rsidRDefault="00991202" w:rsidP="00991202">
      <w:pPr>
        <w:jc w:val="both"/>
        <w:rPr>
          <w:rFonts w:ascii="Arial" w:hAnsi="Arial" w:cs="Arial"/>
        </w:rPr>
      </w:pPr>
    </w:p>
    <w:p w14:paraId="0B1DC654" w14:textId="77777777" w:rsidR="00991202" w:rsidRPr="00B75F7D" w:rsidRDefault="00991202" w:rsidP="00991202">
      <w:pPr>
        <w:jc w:val="both"/>
        <w:rPr>
          <w:rFonts w:ascii="Arial" w:hAnsi="Arial" w:cs="Arial"/>
        </w:rPr>
      </w:pPr>
      <w:bookmarkStart w:id="32" w:name="419ee93f40ac3bc5aa6e6ced5d076d7a_ref"/>
      <w:r w:rsidRPr="00B75F7D">
        <w:rPr>
          <w:rFonts w:ascii="Arial" w:hAnsi="Arial" w:cs="Arial"/>
        </w:rPr>
        <w:t xml:space="preserve">Bolino, A., &amp; D’Antonio, M. (2023). Recent advances in the treatment of Charcot-Marie-Tooth neuropathies. </w:t>
      </w:r>
      <w:r w:rsidRPr="00B75F7D">
        <w:rPr>
          <w:rFonts w:ascii="Arial" w:hAnsi="Arial" w:cs="Arial"/>
          <w:i/>
          <w:iCs/>
        </w:rPr>
        <w:t>Journal of the Peripheral Nervous System</w:t>
      </w:r>
      <w:r w:rsidRPr="00B75F7D">
        <w:rPr>
          <w:rFonts w:ascii="Arial" w:hAnsi="Arial" w:cs="Arial"/>
        </w:rPr>
        <w:t xml:space="preserve">, </w:t>
      </w:r>
      <w:r w:rsidRPr="00B75F7D">
        <w:rPr>
          <w:rFonts w:ascii="Arial" w:hAnsi="Arial" w:cs="Arial"/>
          <w:i/>
          <w:iCs/>
        </w:rPr>
        <w:t>28</w:t>
      </w:r>
      <w:r w:rsidRPr="00B75F7D">
        <w:rPr>
          <w:rFonts w:ascii="Arial" w:hAnsi="Arial" w:cs="Arial"/>
        </w:rPr>
        <w:t>(2), 134–149. https://doi.org/10.1111/jns.12539</w:t>
      </w:r>
    </w:p>
    <w:bookmarkEnd w:id="32"/>
    <w:p w14:paraId="104E4316" w14:textId="77777777" w:rsidR="00991202" w:rsidRPr="00B75F7D" w:rsidRDefault="00991202" w:rsidP="00991202">
      <w:pPr>
        <w:jc w:val="both"/>
        <w:rPr>
          <w:rFonts w:ascii="Arial" w:hAnsi="Arial" w:cs="Arial"/>
        </w:rPr>
      </w:pPr>
    </w:p>
    <w:p w14:paraId="257049CF" w14:textId="77777777" w:rsidR="00991202" w:rsidRPr="00B75F7D" w:rsidRDefault="00991202" w:rsidP="00991202">
      <w:pPr>
        <w:jc w:val="both"/>
        <w:rPr>
          <w:rFonts w:ascii="Arial" w:hAnsi="Arial" w:cs="Arial"/>
        </w:rPr>
      </w:pPr>
      <w:bookmarkStart w:id="33" w:name="9792e7099fbe3f5f90b4d127fd10ae82_ref"/>
      <w:proofErr w:type="spellStart"/>
      <w:r w:rsidRPr="00B75F7D">
        <w:rPr>
          <w:rFonts w:ascii="Arial" w:hAnsi="Arial" w:cs="Arial"/>
        </w:rPr>
        <w:t>Bombelli</w:t>
      </w:r>
      <w:proofErr w:type="spellEnd"/>
      <w:r w:rsidRPr="00B75F7D">
        <w:rPr>
          <w:rFonts w:ascii="Arial" w:hAnsi="Arial" w:cs="Arial"/>
        </w:rPr>
        <w:t xml:space="preserve">, F., Brice, A., Larcher, K., Amati-Bonneau, P., Latour, P., Dubourg, O., </w:t>
      </w:r>
      <w:proofErr w:type="spellStart"/>
      <w:r w:rsidRPr="00B75F7D">
        <w:rPr>
          <w:rFonts w:ascii="Arial" w:hAnsi="Arial" w:cs="Arial"/>
        </w:rPr>
        <w:t>Leguern</w:t>
      </w:r>
      <w:proofErr w:type="spellEnd"/>
      <w:r w:rsidRPr="00B75F7D">
        <w:rPr>
          <w:rFonts w:ascii="Arial" w:hAnsi="Arial" w:cs="Arial"/>
        </w:rPr>
        <w:t xml:space="preserve">, E., Cazeneuve, C., </w:t>
      </w:r>
      <w:proofErr w:type="spellStart"/>
      <w:r w:rsidRPr="00B75F7D">
        <w:rPr>
          <w:rFonts w:ascii="Arial" w:hAnsi="Arial" w:cs="Arial"/>
        </w:rPr>
        <w:t>Vignal</w:t>
      </w:r>
      <w:proofErr w:type="spellEnd"/>
      <w:r w:rsidRPr="00B75F7D">
        <w:rPr>
          <w:rFonts w:ascii="Arial" w:hAnsi="Arial" w:cs="Arial"/>
        </w:rPr>
        <w:t xml:space="preserve">, O., Echaniz-Laguna, A., Tardieu, S., &amp; Stojkovic, T. (2014). Charcot-Marie-Tooth disease type 2A: from typical to rare phenotypic and genotypic features. </w:t>
      </w:r>
      <w:r w:rsidRPr="00B75F7D">
        <w:rPr>
          <w:rFonts w:ascii="Arial" w:hAnsi="Arial" w:cs="Arial"/>
          <w:i/>
          <w:iCs/>
        </w:rPr>
        <w:t>JAMA Neurology</w:t>
      </w:r>
      <w:r w:rsidRPr="00B75F7D">
        <w:rPr>
          <w:rFonts w:ascii="Arial" w:hAnsi="Arial" w:cs="Arial"/>
        </w:rPr>
        <w:t xml:space="preserve">, </w:t>
      </w:r>
      <w:r w:rsidRPr="00B75F7D">
        <w:rPr>
          <w:rFonts w:ascii="Arial" w:hAnsi="Arial" w:cs="Arial"/>
          <w:i/>
          <w:iCs/>
        </w:rPr>
        <w:t>71</w:t>
      </w:r>
      <w:r w:rsidRPr="00B75F7D">
        <w:rPr>
          <w:rFonts w:ascii="Arial" w:hAnsi="Arial" w:cs="Arial"/>
        </w:rPr>
        <w:t>(8), 1036. https://doi.org/10.1001/jamaneurol.2014.629</w:t>
      </w:r>
    </w:p>
    <w:bookmarkEnd w:id="33"/>
    <w:p w14:paraId="5FCC411F" w14:textId="77777777" w:rsidR="00991202" w:rsidRPr="00B75F7D" w:rsidRDefault="00991202" w:rsidP="00991202">
      <w:pPr>
        <w:jc w:val="both"/>
        <w:rPr>
          <w:rFonts w:ascii="Arial" w:hAnsi="Arial" w:cs="Arial"/>
        </w:rPr>
      </w:pPr>
    </w:p>
    <w:p w14:paraId="39EB2192" w14:textId="77777777" w:rsidR="00991202" w:rsidRPr="00B75F7D" w:rsidRDefault="00991202" w:rsidP="00991202">
      <w:pPr>
        <w:jc w:val="both"/>
        <w:rPr>
          <w:rFonts w:ascii="Arial" w:hAnsi="Arial" w:cs="Arial"/>
        </w:rPr>
      </w:pPr>
      <w:bookmarkStart w:id="34" w:name="48e2ca96082233719abd2b2d89c4dc8d_ref"/>
      <w:r w:rsidRPr="00B75F7D">
        <w:rPr>
          <w:rFonts w:ascii="Arial" w:hAnsi="Arial" w:cs="Arial"/>
        </w:rPr>
        <w:t xml:space="preserve">Corrado, B., </w:t>
      </w:r>
      <w:proofErr w:type="spellStart"/>
      <w:r w:rsidRPr="00B75F7D">
        <w:rPr>
          <w:rFonts w:ascii="Arial" w:hAnsi="Arial" w:cs="Arial"/>
        </w:rPr>
        <w:t>Bargigli</w:t>
      </w:r>
      <w:proofErr w:type="spellEnd"/>
      <w:r w:rsidRPr="00B75F7D">
        <w:rPr>
          <w:rFonts w:ascii="Arial" w:hAnsi="Arial" w:cs="Arial"/>
        </w:rPr>
        <w:t xml:space="preserve">, C., &amp; Ciardi, G. (2016). Rehabilitation Management of the Charcot-Marie-Tooth Syndrome: A Systematic Review of the Literature. </w:t>
      </w:r>
      <w:r w:rsidRPr="00B75F7D">
        <w:rPr>
          <w:rFonts w:ascii="Arial" w:hAnsi="Arial" w:cs="Arial"/>
          <w:i/>
          <w:iCs/>
        </w:rPr>
        <w:t>Medicine</w:t>
      </w:r>
      <w:r w:rsidRPr="00B75F7D">
        <w:rPr>
          <w:rFonts w:ascii="Arial" w:hAnsi="Arial" w:cs="Arial"/>
        </w:rPr>
        <w:t xml:space="preserve">, </w:t>
      </w:r>
      <w:r w:rsidRPr="00B75F7D">
        <w:rPr>
          <w:rFonts w:ascii="Arial" w:hAnsi="Arial" w:cs="Arial"/>
          <w:i/>
          <w:iCs/>
        </w:rPr>
        <w:t>95</w:t>
      </w:r>
      <w:r w:rsidRPr="00B75F7D">
        <w:rPr>
          <w:rFonts w:ascii="Arial" w:hAnsi="Arial" w:cs="Arial"/>
        </w:rPr>
        <w:t>(17), e3278. https://doi.org/10.1097/md.0000000000003278</w:t>
      </w:r>
    </w:p>
    <w:bookmarkEnd w:id="34"/>
    <w:p w14:paraId="0C73B9AE" w14:textId="77777777" w:rsidR="00991202" w:rsidRPr="00B75F7D" w:rsidRDefault="00991202" w:rsidP="00991202">
      <w:pPr>
        <w:jc w:val="both"/>
        <w:rPr>
          <w:rFonts w:ascii="Arial" w:hAnsi="Arial" w:cs="Arial"/>
        </w:rPr>
      </w:pPr>
    </w:p>
    <w:p w14:paraId="4EA7014E" w14:textId="77777777" w:rsidR="00991202" w:rsidRPr="00B75F7D" w:rsidRDefault="00991202" w:rsidP="00991202">
      <w:pPr>
        <w:jc w:val="both"/>
        <w:rPr>
          <w:rFonts w:ascii="Arial" w:hAnsi="Arial" w:cs="Arial"/>
        </w:rPr>
      </w:pPr>
      <w:bookmarkStart w:id="35" w:name="c8a56d9331e239bc904a29b897898428_ref"/>
      <w:r w:rsidRPr="00B75F7D">
        <w:rPr>
          <w:rFonts w:ascii="Arial" w:hAnsi="Arial" w:cs="Arial"/>
        </w:rPr>
        <w:t xml:space="preserve">El </w:t>
      </w:r>
      <w:proofErr w:type="spellStart"/>
      <w:r w:rsidRPr="00B75F7D">
        <w:rPr>
          <w:rFonts w:ascii="Arial" w:hAnsi="Arial" w:cs="Arial"/>
        </w:rPr>
        <w:t>Mhandi</w:t>
      </w:r>
      <w:proofErr w:type="spellEnd"/>
      <w:r w:rsidRPr="00B75F7D">
        <w:rPr>
          <w:rFonts w:ascii="Arial" w:hAnsi="Arial" w:cs="Arial"/>
        </w:rPr>
        <w:t xml:space="preserve">, L., Richard, A., </w:t>
      </w:r>
      <w:proofErr w:type="spellStart"/>
      <w:r w:rsidRPr="00B75F7D">
        <w:rPr>
          <w:rFonts w:ascii="Arial" w:hAnsi="Arial" w:cs="Arial"/>
        </w:rPr>
        <w:t>Oullion</w:t>
      </w:r>
      <w:proofErr w:type="spellEnd"/>
      <w:r w:rsidRPr="00B75F7D">
        <w:rPr>
          <w:rFonts w:ascii="Arial" w:hAnsi="Arial" w:cs="Arial"/>
        </w:rPr>
        <w:t xml:space="preserve">, R., </w:t>
      </w:r>
      <w:proofErr w:type="spellStart"/>
      <w:r w:rsidRPr="00B75F7D">
        <w:rPr>
          <w:rFonts w:ascii="Arial" w:hAnsi="Arial" w:cs="Arial"/>
        </w:rPr>
        <w:t>Gautheron</w:t>
      </w:r>
      <w:proofErr w:type="spellEnd"/>
      <w:r w:rsidRPr="00B75F7D">
        <w:rPr>
          <w:rFonts w:ascii="Arial" w:hAnsi="Arial" w:cs="Arial"/>
        </w:rPr>
        <w:t xml:space="preserve">, V., Millet, G. Y., </w:t>
      </w:r>
      <w:proofErr w:type="spellStart"/>
      <w:r w:rsidRPr="00B75F7D">
        <w:rPr>
          <w:rFonts w:ascii="Arial" w:hAnsi="Arial" w:cs="Arial"/>
        </w:rPr>
        <w:t>Calmels</w:t>
      </w:r>
      <w:proofErr w:type="spellEnd"/>
      <w:r w:rsidRPr="00B75F7D">
        <w:rPr>
          <w:rFonts w:ascii="Arial" w:hAnsi="Arial" w:cs="Arial"/>
        </w:rPr>
        <w:t xml:space="preserve">, P., &amp; </w:t>
      </w:r>
      <w:proofErr w:type="spellStart"/>
      <w:r w:rsidRPr="00B75F7D">
        <w:rPr>
          <w:rFonts w:ascii="Arial" w:hAnsi="Arial" w:cs="Arial"/>
        </w:rPr>
        <w:t>Féasson</w:t>
      </w:r>
      <w:proofErr w:type="spellEnd"/>
      <w:r w:rsidRPr="00B75F7D">
        <w:rPr>
          <w:rFonts w:ascii="Arial" w:hAnsi="Arial" w:cs="Arial"/>
        </w:rPr>
        <w:t>, L. (2008). Benefits of interval</w:t>
      </w:r>
      <w:r w:rsidRPr="00B75F7D">
        <w:rPr>
          <w:rFonts w:ascii="Cambria Math" w:hAnsi="Cambria Math" w:cs="Cambria Math"/>
        </w:rPr>
        <w:t>‐</w:t>
      </w:r>
      <w:r w:rsidRPr="00B75F7D">
        <w:rPr>
          <w:rFonts w:ascii="Arial" w:hAnsi="Arial" w:cs="Arial"/>
        </w:rPr>
        <w:t xml:space="preserve">training on fatigue and functional capacities in Charcot–Marie–Tooth disease. </w:t>
      </w:r>
      <w:r w:rsidRPr="00B75F7D">
        <w:rPr>
          <w:rFonts w:ascii="Arial" w:hAnsi="Arial" w:cs="Arial"/>
          <w:i/>
          <w:iCs/>
        </w:rPr>
        <w:t>Muscle &amp;amp; Nerve</w:t>
      </w:r>
      <w:r w:rsidRPr="00B75F7D">
        <w:rPr>
          <w:rFonts w:ascii="Arial" w:hAnsi="Arial" w:cs="Arial"/>
        </w:rPr>
        <w:t xml:space="preserve">, </w:t>
      </w:r>
      <w:r w:rsidRPr="00B75F7D">
        <w:rPr>
          <w:rFonts w:ascii="Arial" w:hAnsi="Arial" w:cs="Arial"/>
          <w:i/>
          <w:iCs/>
        </w:rPr>
        <w:t>37</w:t>
      </w:r>
      <w:r w:rsidRPr="00B75F7D">
        <w:rPr>
          <w:rFonts w:ascii="Arial" w:hAnsi="Arial" w:cs="Arial"/>
        </w:rPr>
        <w:t>(5), 601–610. https://doi.org/10.1002/mus.20959</w:t>
      </w:r>
    </w:p>
    <w:bookmarkEnd w:id="35"/>
    <w:p w14:paraId="77E9F6E8" w14:textId="77777777" w:rsidR="00991202" w:rsidRPr="00B75F7D" w:rsidRDefault="00991202" w:rsidP="00991202">
      <w:pPr>
        <w:jc w:val="both"/>
        <w:rPr>
          <w:rFonts w:ascii="Arial" w:hAnsi="Arial" w:cs="Arial"/>
        </w:rPr>
      </w:pPr>
    </w:p>
    <w:p w14:paraId="65B21FDC" w14:textId="77777777" w:rsidR="00991202" w:rsidRPr="00B75F7D" w:rsidRDefault="00991202" w:rsidP="00991202">
      <w:pPr>
        <w:jc w:val="both"/>
        <w:rPr>
          <w:rFonts w:ascii="Arial" w:hAnsi="Arial" w:cs="Arial"/>
        </w:rPr>
      </w:pPr>
      <w:bookmarkStart w:id="36" w:name="2a7d9a700d143c34bded4d800b154533_ref"/>
      <w:r w:rsidRPr="00B75F7D">
        <w:rPr>
          <w:rFonts w:ascii="Arial" w:hAnsi="Arial" w:cs="Arial"/>
        </w:rPr>
        <w:lastRenderedPageBreak/>
        <w:t xml:space="preserve">Engelfried, K., </w:t>
      </w:r>
      <w:proofErr w:type="spellStart"/>
      <w:r w:rsidRPr="00B75F7D">
        <w:rPr>
          <w:rFonts w:ascii="Arial" w:hAnsi="Arial" w:cs="Arial"/>
        </w:rPr>
        <w:t>Vorgerd</w:t>
      </w:r>
      <w:proofErr w:type="spellEnd"/>
      <w:r w:rsidRPr="00B75F7D">
        <w:rPr>
          <w:rFonts w:ascii="Arial" w:hAnsi="Arial" w:cs="Arial"/>
        </w:rPr>
        <w:t xml:space="preserve">, M., Hagedorn, M., Haas, G., Gilles, J., </w:t>
      </w:r>
      <w:proofErr w:type="spellStart"/>
      <w:r w:rsidRPr="00B75F7D">
        <w:rPr>
          <w:rFonts w:ascii="Arial" w:hAnsi="Arial" w:cs="Arial"/>
        </w:rPr>
        <w:t>Epplen</w:t>
      </w:r>
      <w:proofErr w:type="spellEnd"/>
      <w:r w:rsidRPr="00B75F7D">
        <w:rPr>
          <w:rFonts w:ascii="Arial" w:hAnsi="Arial" w:cs="Arial"/>
        </w:rPr>
        <w:t xml:space="preserve">, J. T., &amp; Meins, M. (2006). Charcot-Marie-Tooth neuropathy type 2A: novel mutations in the </w:t>
      </w:r>
      <w:proofErr w:type="spellStart"/>
      <w:r w:rsidRPr="00B75F7D">
        <w:rPr>
          <w:rFonts w:ascii="Arial" w:hAnsi="Arial" w:cs="Arial"/>
        </w:rPr>
        <w:t>mitofusin</w:t>
      </w:r>
      <w:proofErr w:type="spellEnd"/>
      <w:r w:rsidRPr="00B75F7D">
        <w:rPr>
          <w:rFonts w:ascii="Arial" w:hAnsi="Arial" w:cs="Arial"/>
        </w:rPr>
        <w:t xml:space="preserve"> 2 gene (MFN2). </w:t>
      </w:r>
      <w:r w:rsidRPr="00B75F7D">
        <w:rPr>
          <w:rFonts w:ascii="Arial" w:hAnsi="Arial" w:cs="Arial"/>
          <w:i/>
          <w:iCs/>
        </w:rPr>
        <w:t>BMC Medical Genetics</w:t>
      </w:r>
      <w:r w:rsidRPr="00B75F7D">
        <w:rPr>
          <w:rFonts w:ascii="Arial" w:hAnsi="Arial" w:cs="Arial"/>
        </w:rPr>
        <w:t xml:space="preserve">, </w:t>
      </w:r>
      <w:r w:rsidRPr="00B75F7D">
        <w:rPr>
          <w:rFonts w:ascii="Arial" w:hAnsi="Arial" w:cs="Arial"/>
          <w:i/>
          <w:iCs/>
        </w:rPr>
        <w:t>7</w:t>
      </w:r>
      <w:r w:rsidRPr="00B75F7D">
        <w:rPr>
          <w:rFonts w:ascii="Arial" w:hAnsi="Arial" w:cs="Arial"/>
        </w:rPr>
        <w:t>(1). https://doi.org/10.1186/1471-2350-7-53</w:t>
      </w:r>
    </w:p>
    <w:bookmarkEnd w:id="36"/>
    <w:p w14:paraId="7D7D253E" w14:textId="77777777" w:rsidR="00991202" w:rsidRPr="00B75F7D" w:rsidRDefault="00991202" w:rsidP="00991202">
      <w:pPr>
        <w:jc w:val="both"/>
        <w:rPr>
          <w:rFonts w:ascii="Arial" w:hAnsi="Arial" w:cs="Arial"/>
        </w:rPr>
      </w:pPr>
    </w:p>
    <w:p w14:paraId="450AB20F" w14:textId="5377B885" w:rsidR="00991202" w:rsidRDefault="00991202" w:rsidP="00991202">
      <w:pPr>
        <w:jc w:val="both"/>
        <w:rPr>
          <w:rFonts w:ascii="Arial" w:hAnsi="Arial" w:cs="Arial"/>
        </w:rPr>
      </w:pPr>
      <w:bookmarkStart w:id="37" w:name="73badd08007e30d5b93010431c64872c_ref"/>
      <w:proofErr w:type="spellStart"/>
      <w:r w:rsidRPr="00B75F7D">
        <w:rPr>
          <w:rFonts w:ascii="Arial" w:hAnsi="Arial" w:cs="Arial"/>
        </w:rPr>
        <w:t>Estilow</w:t>
      </w:r>
      <w:proofErr w:type="spellEnd"/>
      <w:r w:rsidRPr="00B75F7D">
        <w:rPr>
          <w:rFonts w:ascii="Arial" w:hAnsi="Arial" w:cs="Arial"/>
        </w:rPr>
        <w:t xml:space="preserve">, T., Cornett, K., Harrington, A., Burns, J., Moroni, I., Glanzman, A. M., Reilly, M. M., Pareyson, D., Halaki, M., Muntoni, F., Finkel, R. S., Bray, P., Herrmann, D. N., </w:t>
      </w:r>
      <w:proofErr w:type="spellStart"/>
      <w:r w:rsidRPr="00B75F7D">
        <w:rPr>
          <w:rFonts w:ascii="Arial" w:hAnsi="Arial" w:cs="Arial"/>
        </w:rPr>
        <w:t>Laurá</w:t>
      </w:r>
      <w:proofErr w:type="spellEnd"/>
      <w:r w:rsidRPr="00B75F7D">
        <w:rPr>
          <w:rFonts w:ascii="Arial" w:hAnsi="Arial" w:cs="Arial"/>
        </w:rPr>
        <w:t xml:space="preserve">, M., Shy, M. E., Pagliano, E., Yum, S. W., Troutman, G., Menezes, M. P., … Shy, R. (2019). Balance impairment in pediatric </w:t>
      </w:r>
      <w:proofErr w:type="spellStart"/>
      <w:r w:rsidRPr="00B75F7D">
        <w:rPr>
          <w:rFonts w:ascii="Arial" w:hAnsi="Arial" w:cs="Arial"/>
        </w:rPr>
        <w:t>charcot</w:t>
      </w:r>
      <w:proofErr w:type="spellEnd"/>
      <w:r w:rsidRPr="00B75F7D">
        <w:rPr>
          <w:rFonts w:ascii="Arial" w:hAnsi="Arial" w:cs="Arial"/>
        </w:rPr>
        <w:t>-</w:t>
      </w:r>
      <w:proofErr w:type="spellStart"/>
      <w:r w:rsidRPr="00B75F7D">
        <w:rPr>
          <w:rFonts w:ascii="Arial" w:hAnsi="Arial" w:cs="Arial"/>
        </w:rPr>
        <w:t>marie</w:t>
      </w:r>
      <w:proofErr w:type="spellEnd"/>
      <w:r w:rsidRPr="00B75F7D">
        <w:rPr>
          <w:rFonts w:ascii="Arial" w:hAnsi="Arial" w:cs="Arial"/>
        </w:rPr>
        <w:t xml:space="preserve">-tooth disease. </w:t>
      </w:r>
      <w:r w:rsidRPr="00B75F7D">
        <w:rPr>
          <w:rFonts w:ascii="Arial" w:hAnsi="Arial" w:cs="Arial"/>
          <w:i/>
          <w:iCs/>
        </w:rPr>
        <w:t>Muscle &amp; Nerve</w:t>
      </w:r>
      <w:r w:rsidRPr="00B75F7D">
        <w:rPr>
          <w:rFonts w:ascii="Arial" w:hAnsi="Arial" w:cs="Arial"/>
        </w:rPr>
        <w:t xml:space="preserve">, </w:t>
      </w:r>
      <w:r w:rsidRPr="00B75F7D">
        <w:rPr>
          <w:rFonts w:ascii="Arial" w:hAnsi="Arial" w:cs="Arial"/>
          <w:i/>
          <w:iCs/>
        </w:rPr>
        <w:t>60</w:t>
      </w:r>
      <w:r w:rsidRPr="00B75F7D">
        <w:rPr>
          <w:rFonts w:ascii="Arial" w:hAnsi="Arial" w:cs="Arial"/>
        </w:rPr>
        <w:t xml:space="preserve">(3), 242–249. </w:t>
      </w:r>
      <w:hyperlink r:id="rId20" w:history="1">
        <w:r w:rsidR="00FA3FE4" w:rsidRPr="00C26608">
          <w:rPr>
            <w:rStyle w:val="Hyperlink"/>
            <w:rFonts w:ascii="Arial" w:hAnsi="Arial" w:cs="Arial"/>
          </w:rPr>
          <w:t>https://doi.org/10.1002/mus.26500</w:t>
        </w:r>
      </w:hyperlink>
    </w:p>
    <w:p w14:paraId="69AEE1D5" w14:textId="32EEA254" w:rsidR="00FA3FE4" w:rsidRDefault="00FA3FE4" w:rsidP="00991202">
      <w:pPr>
        <w:jc w:val="both"/>
        <w:rPr>
          <w:rFonts w:ascii="Arial" w:hAnsi="Arial" w:cs="Arial"/>
        </w:rPr>
      </w:pPr>
    </w:p>
    <w:p w14:paraId="07D64C75" w14:textId="10B12B38" w:rsidR="00FA3FE4" w:rsidRPr="00B75F7D" w:rsidRDefault="00FA3FE4" w:rsidP="00991202">
      <w:pPr>
        <w:jc w:val="both"/>
        <w:rPr>
          <w:rFonts w:ascii="Arial" w:hAnsi="Arial" w:cs="Arial"/>
        </w:rPr>
      </w:pPr>
      <w:proofErr w:type="gramStart"/>
      <w:r>
        <w:t>Ferraro,</w:t>
      </w:r>
      <w:r w:rsidR="00AC44D1">
        <w:t>.</w:t>
      </w:r>
      <w:r>
        <w:t>,</w:t>
      </w:r>
      <w:proofErr w:type="gramEnd"/>
      <w:r>
        <w:t xml:space="preserve"> Calafiore, D., </w:t>
      </w:r>
      <w:proofErr w:type="spellStart"/>
      <w:r>
        <w:t>Curci</w:t>
      </w:r>
      <w:proofErr w:type="spellEnd"/>
      <w:r>
        <w:t xml:space="preserve">, C. </w:t>
      </w:r>
      <w:r>
        <w:rPr>
          <w:i/>
          <w:iCs/>
        </w:rPr>
        <w:t>et al.</w:t>
      </w:r>
      <w:r>
        <w:t xml:space="preserve"> Effects of intensive rehabilitation on functioning in patients with mild and moderate Charcot–Marie-Tooth disease: a real-practice retrospective study. </w:t>
      </w:r>
      <w:r>
        <w:rPr>
          <w:i/>
          <w:iCs/>
        </w:rPr>
        <w:t>Neurol Sci</w:t>
      </w:r>
      <w:r>
        <w:t xml:space="preserve"> </w:t>
      </w:r>
      <w:r>
        <w:rPr>
          <w:b/>
          <w:bCs/>
        </w:rPr>
        <w:t>45</w:t>
      </w:r>
      <w:r>
        <w:t>, 289–297 (2024). https://doi.org/10.1007/s10072-023-06998-0</w:t>
      </w:r>
    </w:p>
    <w:bookmarkEnd w:id="37"/>
    <w:p w14:paraId="465DD113" w14:textId="77777777" w:rsidR="00991202" w:rsidRPr="00B75F7D" w:rsidRDefault="00991202" w:rsidP="00991202">
      <w:pPr>
        <w:jc w:val="both"/>
        <w:rPr>
          <w:rFonts w:ascii="Arial" w:hAnsi="Arial" w:cs="Arial"/>
        </w:rPr>
      </w:pPr>
    </w:p>
    <w:p w14:paraId="182AA7C3" w14:textId="77777777" w:rsidR="00991202" w:rsidRPr="00B75F7D" w:rsidRDefault="00991202" w:rsidP="00991202">
      <w:pPr>
        <w:jc w:val="both"/>
        <w:rPr>
          <w:rFonts w:ascii="Arial" w:hAnsi="Arial" w:cs="Arial"/>
        </w:rPr>
      </w:pPr>
      <w:bookmarkStart w:id="38" w:name="b7e6946701053b28993aea8453c7535f_ref"/>
      <w:r w:rsidRPr="00B75F7D">
        <w:rPr>
          <w:rFonts w:ascii="Arial" w:hAnsi="Arial" w:cs="Arial"/>
        </w:rPr>
        <w:t xml:space="preserve">González-Sánchez, P., </w:t>
      </w:r>
      <w:proofErr w:type="spellStart"/>
      <w:r w:rsidRPr="00B75F7D">
        <w:rPr>
          <w:rFonts w:ascii="Arial" w:hAnsi="Arial" w:cs="Arial"/>
        </w:rPr>
        <w:t>Satrústegui</w:t>
      </w:r>
      <w:proofErr w:type="spellEnd"/>
      <w:r w:rsidRPr="00B75F7D">
        <w:rPr>
          <w:rFonts w:ascii="Arial" w:hAnsi="Arial" w:cs="Arial"/>
        </w:rPr>
        <w:t xml:space="preserve">, J., Palau, F., &amp; Del Arco, A. (2019). Calcium Deregulation and Mitochondrial Bioenergetics in GDAP1-Related CMT Disease. </w:t>
      </w:r>
      <w:r w:rsidRPr="00B75F7D">
        <w:rPr>
          <w:rFonts w:ascii="Arial" w:hAnsi="Arial" w:cs="Arial"/>
          <w:i/>
          <w:iCs/>
        </w:rPr>
        <w:t>International Journal of Molecular Sciences</w:t>
      </w:r>
      <w:r w:rsidRPr="00B75F7D">
        <w:rPr>
          <w:rFonts w:ascii="Arial" w:hAnsi="Arial" w:cs="Arial"/>
        </w:rPr>
        <w:t xml:space="preserve">, </w:t>
      </w:r>
      <w:r w:rsidRPr="00B75F7D">
        <w:rPr>
          <w:rFonts w:ascii="Arial" w:hAnsi="Arial" w:cs="Arial"/>
          <w:i/>
          <w:iCs/>
        </w:rPr>
        <w:t>20</w:t>
      </w:r>
      <w:r w:rsidRPr="00B75F7D">
        <w:rPr>
          <w:rFonts w:ascii="Arial" w:hAnsi="Arial" w:cs="Arial"/>
        </w:rPr>
        <w:t>(2), 403. https://doi.org/10.3390/ijms20020403</w:t>
      </w:r>
    </w:p>
    <w:bookmarkEnd w:id="38"/>
    <w:p w14:paraId="37729FDC" w14:textId="77777777" w:rsidR="00991202" w:rsidRPr="00B75F7D" w:rsidRDefault="00991202" w:rsidP="00991202">
      <w:pPr>
        <w:jc w:val="both"/>
        <w:rPr>
          <w:rFonts w:ascii="Arial" w:hAnsi="Arial" w:cs="Arial"/>
        </w:rPr>
      </w:pPr>
    </w:p>
    <w:p w14:paraId="436B815B" w14:textId="77777777" w:rsidR="00991202" w:rsidRPr="00B75F7D" w:rsidRDefault="00991202" w:rsidP="00991202">
      <w:pPr>
        <w:jc w:val="both"/>
        <w:rPr>
          <w:rFonts w:ascii="Arial" w:hAnsi="Arial" w:cs="Arial"/>
        </w:rPr>
      </w:pPr>
      <w:bookmarkStart w:id="39" w:name="e15e0b9c30f9360cb4e2589938420942_ref"/>
      <w:r w:rsidRPr="00B75F7D">
        <w:rPr>
          <w:rFonts w:ascii="Arial" w:hAnsi="Arial" w:cs="Arial"/>
        </w:rPr>
        <w:t xml:space="preserve">Johnson, N., Pucillo, E., &amp; </w:t>
      </w:r>
      <w:proofErr w:type="spellStart"/>
      <w:r w:rsidRPr="00B75F7D">
        <w:rPr>
          <w:rFonts w:ascii="Arial" w:hAnsi="Arial" w:cs="Arial"/>
        </w:rPr>
        <w:t>Mccorquodale</w:t>
      </w:r>
      <w:proofErr w:type="spellEnd"/>
      <w:r w:rsidRPr="00B75F7D">
        <w:rPr>
          <w:rFonts w:ascii="Arial" w:hAnsi="Arial" w:cs="Arial"/>
        </w:rPr>
        <w:t xml:space="preserve">, D. (2016). Management of Charcot–Marie–Tooth disease: improving long-term care with a multidisciplinary approach. </w:t>
      </w:r>
      <w:r w:rsidRPr="00B75F7D">
        <w:rPr>
          <w:rFonts w:ascii="Arial" w:hAnsi="Arial" w:cs="Arial"/>
          <w:i/>
          <w:iCs/>
        </w:rPr>
        <w:t>Journal of Multidisciplinary Healthcare</w:t>
      </w:r>
      <w:r w:rsidRPr="00B75F7D">
        <w:rPr>
          <w:rFonts w:ascii="Arial" w:hAnsi="Arial" w:cs="Arial"/>
        </w:rPr>
        <w:t xml:space="preserve">, </w:t>
      </w:r>
      <w:r w:rsidRPr="00B75F7D">
        <w:rPr>
          <w:rFonts w:ascii="Arial" w:hAnsi="Arial" w:cs="Arial"/>
          <w:i/>
          <w:iCs/>
        </w:rPr>
        <w:t>9</w:t>
      </w:r>
      <w:r w:rsidRPr="00B75F7D">
        <w:rPr>
          <w:rFonts w:ascii="Arial" w:hAnsi="Arial" w:cs="Arial"/>
        </w:rPr>
        <w:t>(6), 7. https://doi.org/10.2147/jmdh.s69979</w:t>
      </w:r>
    </w:p>
    <w:bookmarkEnd w:id="39"/>
    <w:p w14:paraId="0E4E5003" w14:textId="77777777" w:rsidR="00991202" w:rsidRPr="00B75F7D" w:rsidRDefault="00991202" w:rsidP="00991202">
      <w:pPr>
        <w:jc w:val="both"/>
        <w:rPr>
          <w:rFonts w:ascii="Arial" w:hAnsi="Arial" w:cs="Arial"/>
        </w:rPr>
      </w:pPr>
    </w:p>
    <w:p w14:paraId="6D602F4C" w14:textId="77777777" w:rsidR="00991202" w:rsidRPr="00B75F7D" w:rsidRDefault="00991202" w:rsidP="00991202">
      <w:pPr>
        <w:jc w:val="both"/>
        <w:rPr>
          <w:rFonts w:ascii="Arial" w:hAnsi="Arial" w:cs="Arial"/>
        </w:rPr>
      </w:pPr>
      <w:bookmarkStart w:id="40" w:name="27d6e75ff90d3a6db90ace70d3a2fa6a_ref"/>
      <w:r w:rsidRPr="00B75F7D">
        <w:rPr>
          <w:rFonts w:ascii="Arial" w:hAnsi="Arial" w:cs="Arial"/>
        </w:rPr>
        <w:t xml:space="preserve">Kenis-Coskun, O., &amp; Matthews, D. J. (2016). Rehabilitation issues in Charcot-Marie-Tooth disease. </w:t>
      </w:r>
      <w:r w:rsidRPr="00B75F7D">
        <w:rPr>
          <w:rFonts w:ascii="Arial" w:hAnsi="Arial" w:cs="Arial"/>
          <w:i/>
          <w:iCs/>
        </w:rPr>
        <w:t>Journal of Pediatric Rehabilitation Medicine</w:t>
      </w:r>
      <w:r w:rsidRPr="00B75F7D">
        <w:rPr>
          <w:rFonts w:ascii="Arial" w:hAnsi="Arial" w:cs="Arial"/>
        </w:rPr>
        <w:t xml:space="preserve">, </w:t>
      </w:r>
      <w:r w:rsidRPr="00B75F7D">
        <w:rPr>
          <w:rFonts w:ascii="Arial" w:hAnsi="Arial" w:cs="Arial"/>
          <w:i/>
          <w:iCs/>
        </w:rPr>
        <w:t>9</w:t>
      </w:r>
      <w:r w:rsidRPr="00B75F7D">
        <w:rPr>
          <w:rFonts w:ascii="Arial" w:hAnsi="Arial" w:cs="Arial"/>
        </w:rPr>
        <w:t>(1), 31–34. https://doi.org/10.3233/prm-160359</w:t>
      </w:r>
    </w:p>
    <w:bookmarkEnd w:id="40"/>
    <w:p w14:paraId="1E0356E5" w14:textId="77777777" w:rsidR="00991202" w:rsidRPr="00B75F7D" w:rsidRDefault="00991202" w:rsidP="00991202">
      <w:pPr>
        <w:jc w:val="both"/>
        <w:rPr>
          <w:rFonts w:ascii="Arial" w:hAnsi="Arial" w:cs="Arial"/>
        </w:rPr>
      </w:pPr>
    </w:p>
    <w:p w14:paraId="01295268" w14:textId="77777777" w:rsidR="00991202" w:rsidRPr="00B75F7D" w:rsidRDefault="00991202" w:rsidP="00991202">
      <w:pPr>
        <w:jc w:val="both"/>
        <w:rPr>
          <w:rFonts w:ascii="Arial" w:hAnsi="Arial" w:cs="Arial"/>
        </w:rPr>
      </w:pPr>
      <w:bookmarkStart w:id="41" w:name="9e8a8a0635eb3e29a19eaadeb08710e0_ref"/>
      <w:r w:rsidRPr="00B75F7D">
        <w:rPr>
          <w:rFonts w:ascii="Arial" w:hAnsi="Arial" w:cs="Arial"/>
        </w:rPr>
        <w:t xml:space="preserve">Klein, C. J. (2020). Charcot-Marie-Tooth Disease and Other Hereditary Neuropathies. </w:t>
      </w:r>
      <w:r w:rsidRPr="00B75F7D">
        <w:rPr>
          <w:rFonts w:ascii="Arial" w:hAnsi="Arial" w:cs="Arial"/>
          <w:i/>
          <w:iCs/>
        </w:rPr>
        <w:t>Continuum</w:t>
      </w:r>
      <w:r w:rsidRPr="00B75F7D">
        <w:rPr>
          <w:rFonts w:ascii="Arial" w:hAnsi="Arial" w:cs="Arial"/>
        </w:rPr>
        <w:t xml:space="preserve">, </w:t>
      </w:r>
      <w:r w:rsidRPr="00B75F7D">
        <w:rPr>
          <w:rFonts w:ascii="Arial" w:hAnsi="Arial" w:cs="Arial"/>
          <w:i/>
          <w:iCs/>
        </w:rPr>
        <w:t>26</w:t>
      </w:r>
      <w:r w:rsidRPr="00B75F7D">
        <w:rPr>
          <w:rFonts w:ascii="Arial" w:hAnsi="Arial" w:cs="Arial"/>
        </w:rPr>
        <w:t>(5), 1224–1256. https://doi.org/10.1212/con.0000000000000927</w:t>
      </w:r>
    </w:p>
    <w:bookmarkEnd w:id="41"/>
    <w:p w14:paraId="294B10A3" w14:textId="77777777" w:rsidR="00991202" w:rsidRPr="00B75F7D" w:rsidRDefault="00991202" w:rsidP="00991202">
      <w:pPr>
        <w:jc w:val="both"/>
        <w:rPr>
          <w:rFonts w:ascii="Arial" w:hAnsi="Arial" w:cs="Arial"/>
        </w:rPr>
      </w:pPr>
    </w:p>
    <w:p w14:paraId="3FCA012D" w14:textId="77777777" w:rsidR="00991202" w:rsidRPr="00B75F7D" w:rsidRDefault="00991202" w:rsidP="00991202">
      <w:pPr>
        <w:jc w:val="both"/>
        <w:rPr>
          <w:rFonts w:ascii="Arial" w:hAnsi="Arial" w:cs="Arial"/>
        </w:rPr>
      </w:pPr>
      <w:bookmarkStart w:id="42" w:name="e03f496c12603c0d8b19938125f39421_ref"/>
      <w:proofErr w:type="spellStart"/>
      <w:r w:rsidRPr="00B75F7D">
        <w:rPr>
          <w:rFonts w:ascii="Arial" w:hAnsi="Arial" w:cs="Arial"/>
        </w:rPr>
        <w:t>Laurá</w:t>
      </w:r>
      <w:proofErr w:type="spellEnd"/>
      <w:r w:rsidRPr="00B75F7D">
        <w:rPr>
          <w:rFonts w:ascii="Arial" w:hAnsi="Arial" w:cs="Arial"/>
        </w:rPr>
        <w:t xml:space="preserve">, M., Reilly, M. M., </w:t>
      </w:r>
      <w:proofErr w:type="spellStart"/>
      <w:r w:rsidRPr="00B75F7D">
        <w:rPr>
          <w:rFonts w:ascii="Arial" w:hAnsi="Arial" w:cs="Arial"/>
        </w:rPr>
        <w:t>Rossor</w:t>
      </w:r>
      <w:proofErr w:type="spellEnd"/>
      <w:r w:rsidRPr="00B75F7D">
        <w:rPr>
          <w:rFonts w:ascii="Arial" w:hAnsi="Arial" w:cs="Arial"/>
        </w:rPr>
        <w:t xml:space="preserve">, A. M., &amp; Pipis, M. (2019). Charcot–Marie–Tooth disease and related disorders: an evolving landscape. </w:t>
      </w:r>
      <w:r w:rsidRPr="00B75F7D">
        <w:rPr>
          <w:rFonts w:ascii="Arial" w:hAnsi="Arial" w:cs="Arial"/>
          <w:i/>
          <w:iCs/>
        </w:rPr>
        <w:t>Current Opinion in Neurology</w:t>
      </w:r>
      <w:r w:rsidRPr="00B75F7D">
        <w:rPr>
          <w:rFonts w:ascii="Arial" w:hAnsi="Arial" w:cs="Arial"/>
        </w:rPr>
        <w:t xml:space="preserve">, </w:t>
      </w:r>
      <w:r w:rsidRPr="00B75F7D">
        <w:rPr>
          <w:rFonts w:ascii="Arial" w:hAnsi="Arial" w:cs="Arial"/>
          <w:i/>
          <w:iCs/>
        </w:rPr>
        <w:t>32</w:t>
      </w:r>
      <w:r w:rsidRPr="00B75F7D">
        <w:rPr>
          <w:rFonts w:ascii="Arial" w:hAnsi="Arial" w:cs="Arial"/>
        </w:rPr>
        <w:t>(5), 641–650. https://doi.org/10.1097/wco.0000000000000735</w:t>
      </w:r>
    </w:p>
    <w:bookmarkEnd w:id="42"/>
    <w:p w14:paraId="439BF706" w14:textId="77777777" w:rsidR="00991202" w:rsidRPr="00B75F7D" w:rsidRDefault="00991202" w:rsidP="00991202">
      <w:pPr>
        <w:jc w:val="both"/>
        <w:rPr>
          <w:rFonts w:ascii="Arial" w:hAnsi="Arial" w:cs="Arial"/>
        </w:rPr>
      </w:pPr>
    </w:p>
    <w:p w14:paraId="516070E7" w14:textId="77777777" w:rsidR="00991202" w:rsidRPr="00B75F7D" w:rsidRDefault="00991202" w:rsidP="00991202">
      <w:pPr>
        <w:jc w:val="both"/>
        <w:rPr>
          <w:rFonts w:ascii="Arial" w:hAnsi="Arial" w:cs="Arial"/>
        </w:rPr>
      </w:pPr>
      <w:bookmarkStart w:id="43" w:name="ce99d5525bf63135b38e1cb765d6b3b8_ref"/>
      <w:proofErr w:type="spellStart"/>
      <w:r w:rsidRPr="00B75F7D">
        <w:rPr>
          <w:rFonts w:ascii="Arial" w:hAnsi="Arial" w:cs="Arial"/>
        </w:rPr>
        <w:t>Meggouh</w:t>
      </w:r>
      <w:proofErr w:type="spellEnd"/>
      <w:r w:rsidRPr="00B75F7D">
        <w:rPr>
          <w:rFonts w:ascii="Arial" w:hAnsi="Arial" w:cs="Arial"/>
        </w:rPr>
        <w:t xml:space="preserve">, F., De Visser, M., Van Schaik, I. N., Baas, F., Arts, W. F. M., &amp; De Coo, R. I. F. M. (2005). Early onset neuropathy in a compound form of Charcot–Marie–Tooth disease. </w:t>
      </w:r>
      <w:r w:rsidRPr="00B75F7D">
        <w:rPr>
          <w:rFonts w:ascii="Arial" w:hAnsi="Arial" w:cs="Arial"/>
          <w:i/>
          <w:iCs/>
        </w:rPr>
        <w:t>Annals of Neurology</w:t>
      </w:r>
      <w:r w:rsidRPr="00B75F7D">
        <w:rPr>
          <w:rFonts w:ascii="Arial" w:hAnsi="Arial" w:cs="Arial"/>
        </w:rPr>
        <w:t xml:space="preserve">, </w:t>
      </w:r>
      <w:r w:rsidRPr="00B75F7D">
        <w:rPr>
          <w:rFonts w:ascii="Arial" w:hAnsi="Arial" w:cs="Arial"/>
          <w:i/>
          <w:iCs/>
        </w:rPr>
        <w:t>57</w:t>
      </w:r>
      <w:r w:rsidRPr="00B75F7D">
        <w:rPr>
          <w:rFonts w:ascii="Arial" w:hAnsi="Arial" w:cs="Arial"/>
        </w:rPr>
        <w:t>(4), 589–591. https://doi.org/10.1002/ana.20434</w:t>
      </w:r>
    </w:p>
    <w:bookmarkEnd w:id="43"/>
    <w:p w14:paraId="7BD831F2" w14:textId="77777777" w:rsidR="00991202" w:rsidRPr="00B75F7D" w:rsidRDefault="00991202" w:rsidP="00991202">
      <w:pPr>
        <w:jc w:val="both"/>
        <w:rPr>
          <w:rFonts w:ascii="Arial" w:hAnsi="Arial" w:cs="Arial"/>
        </w:rPr>
      </w:pPr>
    </w:p>
    <w:p w14:paraId="3000FD90" w14:textId="77777777" w:rsidR="00991202" w:rsidRPr="00B75F7D" w:rsidRDefault="00991202" w:rsidP="00991202">
      <w:pPr>
        <w:jc w:val="both"/>
        <w:rPr>
          <w:rFonts w:ascii="Arial" w:hAnsi="Arial" w:cs="Arial"/>
        </w:rPr>
      </w:pPr>
      <w:bookmarkStart w:id="44" w:name="3aaa0692c4a0317cb438d8f0d7c5f4a1_ref"/>
      <w:r w:rsidRPr="00B75F7D">
        <w:rPr>
          <w:rFonts w:ascii="Arial" w:hAnsi="Arial" w:cs="Arial"/>
        </w:rPr>
        <w:t xml:space="preserve">Misko, A. L., Sasaki, Y., Baloh, R. H., Milbrandt, J., &amp; Tuck, E. (2012). Mitofusin2 Mutations Disrupt Axonal Mitochondrial Positioning and Promote Axon Degeneration. </w:t>
      </w:r>
      <w:r w:rsidRPr="00B75F7D">
        <w:rPr>
          <w:rFonts w:ascii="Arial" w:hAnsi="Arial" w:cs="Arial"/>
          <w:i/>
          <w:iCs/>
        </w:rPr>
        <w:t>The Journal of Neuroscience</w:t>
      </w:r>
      <w:r w:rsidRPr="00B75F7D">
        <w:rPr>
          <w:rFonts w:ascii="Arial" w:hAnsi="Arial" w:cs="Arial"/>
        </w:rPr>
        <w:t xml:space="preserve">, </w:t>
      </w:r>
      <w:r w:rsidRPr="00B75F7D">
        <w:rPr>
          <w:rFonts w:ascii="Arial" w:hAnsi="Arial" w:cs="Arial"/>
          <w:i/>
          <w:iCs/>
        </w:rPr>
        <w:t>32</w:t>
      </w:r>
      <w:r w:rsidRPr="00B75F7D">
        <w:rPr>
          <w:rFonts w:ascii="Arial" w:hAnsi="Arial" w:cs="Arial"/>
        </w:rPr>
        <w:t>(12), 4145–4155. https://doi.org/10.1523/jneurosci.6338-11.2012</w:t>
      </w:r>
    </w:p>
    <w:bookmarkEnd w:id="44"/>
    <w:p w14:paraId="310C3F7A" w14:textId="77777777" w:rsidR="00991202" w:rsidRPr="00B75F7D" w:rsidRDefault="00991202" w:rsidP="00991202">
      <w:pPr>
        <w:jc w:val="both"/>
        <w:rPr>
          <w:rFonts w:ascii="Arial" w:hAnsi="Arial" w:cs="Arial"/>
        </w:rPr>
      </w:pPr>
    </w:p>
    <w:p w14:paraId="3DEBEDB5" w14:textId="77777777" w:rsidR="00991202" w:rsidRPr="00B75F7D" w:rsidRDefault="00991202" w:rsidP="00991202">
      <w:pPr>
        <w:jc w:val="both"/>
        <w:rPr>
          <w:rFonts w:ascii="Arial" w:hAnsi="Arial" w:cs="Arial"/>
        </w:rPr>
      </w:pPr>
      <w:bookmarkStart w:id="45" w:name="6afa052e94033a15a94fc42057136987_ref"/>
      <w:proofErr w:type="spellStart"/>
      <w:r w:rsidRPr="00B75F7D">
        <w:rPr>
          <w:rFonts w:ascii="Arial" w:hAnsi="Arial" w:cs="Arial"/>
        </w:rPr>
        <w:t>Pareyson</w:t>
      </w:r>
      <w:proofErr w:type="spellEnd"/>
      <w:r w:rsidRPr="00B75F7D">
        <w:rPr>
          <w:rFonts w:ascii="Arial" w:hAnsi="Arial" w:cs="Arial"/>
        </w:rPr>
        <w:t xml:space="preserve">, D. (2004). Differential diagnosis of Charcot-Marie-Tooth disease and related neuropathies. </w:t>
      </w:r>
      <w:r w:rsidRPr="00B75F7D">
        <w:rPr>
          <w:rFonts w:ascii="Arial" w:hAnsi="Arial" w:cs="Arial"/>
          <w:i/>
          <w:iCs/>
        </w:rPr>
        <w:t xml:space="preserve">Neurological </w:t>
      </w:r>
      <w:proofErr w:type="gramStart"/>
      <w:r w:rsidRPr="00B75F7D">
        <w:rPr>
          <w:rFonts w:ascii="Arial" w:hAnsi="Arial" w:cs="Arial"/>
          <w:i/>
          <w:iCs/>
        </w:rPr>
        <w:t>Sciences :</w:t>
      </w:r>
      <w:proofErr w:type="gramEnd"/>
      <w:r w:rsidRPr="00B75F7D">
        <w:rPr>
          <w:rFonts w:ascii="Arial" w:hAnsi="Arial" w:cs="Arial"/>
          <w:i/>
          <w:iCs/>
        </w:rPr>
        <w:t xml:space="preserve"> Official Journal of the Italian Neurological Society and of the Italian Society of Clinical Neurophysiology</w:t>
      </w:r>
      <w:r w:rsidRPr="00B75F7D">
        <w:rPr>
          <w:rFonts w:ascii="Arial" w:hAnsi="Arial" w:cs="Arial"/>
        </w:rPr>
        <w:t xml:space="preserve">, </w:t>
      </w:r>
      <w:r w:rsidRPr="00B75F7D">
        <w:rPr>
          <w:rFonts w:ascii="Arial" w:hAnsi="Arial" w:cs="Arial"/>
          <w:i/>
          <w:iCs/>
        </w:rPr>
        <w:t>25</w:t>
      </w:r>
      <w:r w:rsidRPr="00B75F7D">
        <w:rPr>
          <w:rFonts w:ascii="Arial" w:hAnsi="Arial" w:cs="Arial"/>
        </w:rPr>
        <w:t>(2). https://doi.org/10.1007/s10072-004-0233-4</w:t>
      </w:r>
    </w:p>
    <w:bookmarkEnd w:id="45"/>
    <w:p w14:paraId="1F0B100C" w14:textId="77777777" w:rsidR="00991202" w:rsidRPr="00B75F7D" w:rsidRDefault="00991202" w:rsidP="00991202">
      <w:pPr>
        <w:jc w:val="both"/>
        <w:rPr>
          <w:rFonts w:ascii="Arial" w:hAnsi="Arial" w:cs="Arial"/>
        </w:rPr>
      </w:pPr>
    </w:p>
    <w:p w14:paraId="0673674B" w14:textId="77777777" w:rsidR="00991202" w:rsidRPr="00B75F7D" w:rsidRDefault="00991202" w:rsidP="00991202">
      <w:pPr>
        <w:jc w:val="both"/>
        <w:rPr>
          <w:rFonts w:ascii="Arial" w:hAnsi="Arial" w:cs="Arial"/>
        </w:rPr>
      </w:pPr>
      <w:bookmarkStart w:id="46" w:name="8578f8c3299a32cf84528d865a2d7410_ref"/>
      <w:proofErr w:type="spellStart"/>
      <w:r w:rsidRPr="00B75F7D">
        <w:rPr>
          <w:rFonts w:ascii="Arial" w:hAnsi="Arial" w:cs="Arial"/>
        </w:rPr>
        <w:t>Pareyson</w:t>
      </w:r>
      <w:proofErr w:type="spellEnd"/>
      <w:r w:rsidRPr="00B75F7D">
        <w:rPr>
          <w:rFonts w:ascii="Arial" w:hAnsi="Arial" w:cs="Arial"/>
        </w:rPr>
        <w:t xml:space="preserve">, D., Saveri, P., &amp; Pisciotta, C. (2017). New developments in Charcot-Marie-Tooth neuropathy and related diseases. </w:t>
      </w:r>
      <w:r w:rsidRPr="00B75F7D">
        <w:rPr>
          <w:rFonts w:ascii="Arial" w:hAnsi="Arial" w:cs="Arial"/>
          <w:i/>
          <w:iCs/>
        </w:rPr>
        <w:t>Current Opinion in Neurology</w:t>
      </w:r>
      <w:r w:rsidRPr="00B75F7D">
        <w:rPr>
          <w:rFonts w:ascii="Arial" w:hAnsi="Arial" w:cs="Arial"/>
        </w:rPr>
        <w:t xml:space="preserve">, </w:t>
      </w:r>
      <w:r w:rsidRPr="00B75F7D">
        <w:rPr>
          <w:rFonts w:ascii="Arial" w:hAnsi="Arial" w:cs="Arial"/>
          <w:i/>
          <w:iCs/>
        </w:rPr>
        <w:t>30</w:t>
      </w:r>
      <w:r w:rsidRPr="00B75F7D">
        <w:rPr>
          <w:rFonts w:ascii="Arial" w:hAnsi="Arial" w:cs="Arial"/>
        </w:rPr>
        <w:t>(5), 471–480. https://doi.org/10.1097/wco.0000000000000474</w:t>
      </w:r>
    </w:p>
    <w:bookmarkEnd w:id="46"/>
    <w:p w14:paraId="144E4DF0" w14:textId="77777777" w:rsidR="00991202" w:rsidRPr="00B75F7D" w:rsidRDefault="00991202" w:rsidP="00991202">
      <w:pPr>
        <w:jc w:val="both"/>
        <w:rPr>
          <w:rFonts w:ascii="Arial" w:hAnsi="Arial" w:cs="Arial"/>
        </w:rPr>
      </w:pPr>
    </w:p>
    <w:p w14:paraId="1B10B1AD" w14:textId="77777777" w:rsidR="00991202" w:rsidRPr="00B75F7D" w:rsidRDefault="00991202" w:rsidP="00991202">
      <w:pPr>
        <w:jc w:val="both"/>
        <w:rPr>
          <w:rFonts w:ascii="Arial" w:hAnsi="Arial" w:cs="Arial"/>
        </w:rPr>
      </w:pPr>
      <w:bookmarkStart w:id="47" w:name="4ae5bb3dcb2d39f98756d3694e40c728_ref"/>
      <w:proofErr w:type="spellStart"/>
      <w:r w:rsidRPr="00B75F7D">
        <w:rPr>
          <w:rFonts w:ascii="Arial" w:hAnsi="Arial" w:cs="Arial"/>
        </w:rPr>
        <w:t>Pareyson</w:t>
      </w:r>
      <w:proofErr w:type="spellEnd"/>
      <w:r w:rsidRPr="00B75F7D">
        <w:rPr>
          <w:rFonts w:ascii="Arial" w:hAnsi="Arial" w:cs="Arial"/>
        </w:rPr>
        <w:t xml:space="preserve">, D., </w:t>
      </w:r>
      <w:proofErr w:type="spellStart"/>
      <w:r w:rsidRPr="00B75F7D">
        <w:rPr>
          <w:rFonts w:ascii="Arial" w:hAnsi="Arial" w:cs="Arial"/>
        </w:rPr>
        <w:t>Scaioli</w:t>
      </w:r>
      <w:proofErr w:type="spellEnd"/>
      <w:r w:rsidRPr="00B75F7D">
        <w:rPr>
          <w:rFonts w:ascii="Arial" w:hAnsi="Arial" w:cs="Arial"/>
        </w:rPr>
        <w:t xml:space="preserve">, V., &amp; </w:t>
      </w:r>
      <w:proofErr w:type="spellStart"/>
      <w:r w:rsidRPr="00B75F7D">
        <w:rPr>
          <w:rFonts w:ascii="Arial" w:hAnsi="Arial" w:cs="Arial"/>
        </w:rPr>
        <w:t>Laurà</w:t>
      </w:r>
      <w:proofErr w:type="spellEnd"/>
      <w:r w:rsidRPr="00B75F7D">
        <w:rPr>
          <w:rFonts w:ascii="Arial" w:hAnsi="Arial" w:cs="Arial"/>
        </w:rPr>
        <w:t xml:space="preserve">, M. (2006). Clinical and electrophysiological aspects of Charcot-Marie-Tooth disease. </w:t>
      </w:r>
      <w:proofErr w:type="spellStart"/>
      <w:r w:rsidRPr="00B75F7D">
        <w:rPr>
          <w:rFonts w:ascii="Arial" w:hAnsi="Arial" w:cs="Arial"/>
          <w:i/>
          <w:iCs/>
        </w:rPr>
        <w:t>NeuroMolecular</w:t>
      </w:r>
      <w:proofErr w:type="spellEnd"/>
      <w:r w:rsidRPr="00B75F7D">
        <w:rPr>
          <w:rFonts w:ascii="Arial" w:hAnsi="Arial" w:cs="Arial"/>
          <w:i/>
          <w:iCs/>
        </w:rPr>
        <w:t xml:space="preserve"> Medicine</w:t>
      </w:r>
      <w:r w:rsidRPr="00B75F7D">
        <w:rPr>
          <w:rFonts w:ascii="Arial" w:hAnsi="Arial" w:cs="Arial"/>
        </w:rPr>
        <w:t xml:space="preserve">, </w:t>
      </w:r>
      <w:r w:rsidRPr="00B75F7D">
        <w:rPr>
          <w:rFonts w:ascii="Arial" w:hAnsi="Arial" w:cs="Arial"/>
          <w:i/>
          <w:iCs/>
        </w:rPr>
        <w:t>8</w:t>
      </w:r>
      <w:r w:rsidRPr="00B75F7D">
        <w:rPr>
          <w:rFonts w:ascii="Arial" w:hAnsi="Arial" w:cs="Arial"/>
        </w:rPr>
        <w:t>(1–2), 3–22. https://doi.org/10.1385/nmm:8:1-2:3</w:t>
      </w:r>
    </w:p>
    <w:bookmarkEnd w:id="47"/>
    <w:p w14:paraId="6A7D0A3E" w14:textId="77777777" w:rsidR="00991202" w:rsidRPr="00B75F7D" w:rsidRDefault="00991202" w:rsidP="00991202">
      <w:pPr>
        <w:jc w:val="both"/>
        <w:rPr>
          <w:rFonts w:ascii="Arial" w:hAnsi="Arial" w:cs="Arial"/>
        </w:rPr>
      </w:pPr>
    </w:p>
    <w:p w14:paraId="59FEE8E7" w14:textId="77777777" w:rsidR="00991202" w:rsidRPr="00B75F7D" w:rsidRDefault="00991202" w:rsidP="00991202">
      <w:pPr>
        <w:jc w:val="both"/>
        <w:rPr>
          <w:rFonts w:ascii="Arial" w:hAnsi="Arial" w:cs="Arial"/>
        </w:rPr>
      </w:pPr>
      <w:bookmarkStart w:id="48" w:name="d17075f4ea8037a4a39f9f7e5fd4bf34_ref"/>
      <w:proofErr w:type="spellStart"/>
      <w:r w:rsidRPr="00B75F7D">
        <w:rPr>
          <w:rFonts w:ascii="Arial" w:hAnsi="Arial" w:cs="Arial"/>
        </w:rPr>
        <w:t>Patzkó</w:t>
      </w:r>
      <w:proofErr w:type="spellEnd"/>
      <w:r w:rsidRPr="00B75F7D">
        <w:rPr>
          <w:rFonts w:ascii="Arial" w:hAnsi="Arial" w:cs="Arial"/>
        </w:rPr>
        <w:t xml:space="preserve">, Á., &amp; Shy, M. E. (2010). Update on Charcot-Marie-Tooth Disease. </w:t>
      </w:r>
      <w:r w:rsidRPr="00B75F7D">
        <w:rPr>
          <w:rFonts w:ascii="Arial" w:hAnsi="Arial" w:cs="Arial"/>
          <w:i/>
          <w:iCs/>
        </w:rPr>
        <w:t>Current Neurology and Neuroscience Reports</w:t>
      </w:r>
      <w:r w:rsidRPr="00B75F7D">
        <w:rPr>
          <w:rFonts w:ascii="Arial" w:hAnsi="Arial" w:cs="Arial"/>
        </w:rPr>
        <w:t xml:space="preserve">, </w:t>
      </w:r>
      <w:r w:rsidRPr="00B75F7D">
        <w:rPr>
          <w:rFonts w:ascii="Arial" w:hAnsi="Arial" w:cs="Arial"/>
          <w:i/>
          <w:iCs/>
        </w:rPr>
        <w:t>11</w:t>
      </w:r>
      <w:r w:rsidRPr="00B75F7D">
        <w:rPr>
          <w:rFonts w:ascii="Arial" w:hAnsi="Arial" w:cs="Arial"/>
        </w:rPr>
        <w:t>(1), 78–88. https://doi.org/10.1007/s11910-010-0158-7</w:t>
      </w:r>
    </w:p>
    <w:bookmarkEnd w:id="48"/>
    <w:p w14:paraId="2339D3D7" w14:textId="77777777" w:rsidR="00991202" w:rsidRPr="00B75F7D" w:rsidRDefault="00991202" w:rsidP="00991202">
      <w:pPr>
        <w:jc w:val="both"/>
        <w:rPr>
          <w:rFonts w:ascii="Arial" w:hAnsi="Arial" w:cs="Arial"/>
        </w:rPr>
      </w:pPr>
    </w:p>
    <w:p w14:paraId="7C80A47C" w14:textId="77777777" w:rsidR="00991202" w:rsidRPr="00B75F7D" w:rsidRDefault="00991202" w:rsidP="00991202">
      <w:pPr>
        <w:jc w:val="both"/>
        <w:rPr>
          <w:rFonts w:ascii="Arial" w:hAnsi="Arial" w:cs="Arial"/>
        </w:rPr>
      </w:pPr>
      <w:bookmarkStart w:id="49" w:name="40296daf4f9f3eab9481c39b5ebde45b_ref"/>
      <w:r w:rsidRPr="00B75F7D">
        <w:rPr>
          <w:rFonts w:ascii="Arial" w:hAnsi="Arial" w:cs="Arial"/>
        </w:rPr>
        <w:t xml:space="preserve">Polke, J. M., </w:t>
      </w:r>
      <w:proofErr w:type="spellStart"/>
      <w:r w:rsidRPr="00B75F7D">
        <w:rPr>
          <w:rFonts w:ascii="Arial" w:hAnsi="Arial" w:cs="Arial"/>
        </w:rPr>
        <w:t>Laurá</w:t>
      </w:r>
      <w:proofErr w:type="spellEnd"/>
      <w:r w:rsidRPr="00B75F7D">
        <w:rPr>
          <w:rFonts w:ascii="Arial" w:hAnsi="Arial" w:cs="Arial"/>
        </w:rPr>
        <w:t xml:space="preserve">, M., Houlden, H., Gibbons, V. S., Sandford, R., Taroni, F., Milani, M., Bergamin, G., Davis, M. B., Chamley, S. C., </w:t>
      </w:r>
      <w:proofErr w:type="spellStart"/>
      <w:r w:rsidRPr="00B75F7D">
        <w:rPr>
          <w:rFonts w:ascii="Arial" w:hAnsi="Arial" w:cs="Arial"/>
        </w:rPr>
        <w:t>Devile</w:t>
      </w:r>
      <w:proofErr w:type="spellEnd"/>
      <w:r w:rsidRPr="00B75F7D">
        <w:rPr>
          <w:rFonts w:ascii="Arial" w:hAnsi="Arial" w:cs="Arial"/>
        </w:rPr>
        <w:t xml:space="preserve">, C., Sweeney, M. G., </w:t>
      </w:r>
      <w:proofErr w:type="spellStart"/>
      <w:r w:rsidRPr="00B75F7D">
        <w:rPr>
          <w:rFonts w:ascii="Arial" w:hAnsi="Arial" w:cs="Arial"/>
        </w:rPr>
        <w:t>Pareyson</w:t>
      </w:r>
      <w:proofErr w:type="spellEnd"/>
      <w:r w:rsidRPr="00B75F7D">
        <w:rPr>
          <w:rFonts w:ascii="Arial" w:hAnsi="Arial" w:cs="Arial"/>
        </w:rPr>
        <w:t xml:space="preserve">, D., Blake, J., &amp; Reilly, M. M. (2011). Recessive axonal Charcot-Marie-Tooth disease due to compound heterozygous </w:t>
      </w:r>
      <w:proofErr w:type="spellStart"/>
      <w:r w:rsidRPr="00B75F7D">
        <w:rPr>
          <w:rFonts w:ascii="Arial" w:hAnsi="Arial" w:cs="Arial"/>
        </w:rPr>
        <w:t>mitofusin</w:t>
      </w:r>
      <w:proofErr w:type="spellEnd"/>
      <w:r w:rsidRPr="00B75F7D">
        <w:rPr>
          <w:rFonts w:ascii="Arial" w:hAnsi="Arial" w:cs="Arial"/>
        </w:rPr>
        <w:t xml:space="preserve"> 2 mutations. </w:t>
      </w:r>
      <w:r w:rsidRPr="00B75F7D">
        <w:rPr>
          <w:rFonts w:ascii="Arial" w:hAnsi="Arial" w:cs="Arial"/>
          <w:i/>
          <w:iCs/>
        </w:rPr>
        <w:t>Neurology</w:t>
      </w:r>
      <w:r w:rsidRPr="00B75F7D">
        <w:rPr>
          <w:rFonts w:ascii="Arial" w:hAnsi="Arial" w:cs="Arial"/>
        </w:rPr>
        <w:t xml:space="preserve">, </w:t>
      </w:r>
      <w:r w:rsidRPr="00B75F7D">
        <w:rPr>
          <w:rFonts w:ascii="Arial" w:hAnsi="Arial" w:cs="Arial"/>
          <w:i/>
          <w:iCs/>
        </w:rPr>
        <w:t>77</w:t>
      </w:r>
      <w:r w:rsidRPr="00B75F7D">
        <w:rPr>
          <w:rFonts w:ascii="Arial" w:hAnsi="Arial" w:cs="Arial"/>
        </w:rPr>
        <w:t>(2), 168–173. https://doi.org/10.1212/wnl.0b013e3182242d4d</w:t>
      </w:r>
    </w:p>
    <w:bookmarkEnd w:id="49"/>
    <w:p w14:paraId="6E3330E4" w14:textId="77777777" w:rsidR="00991202" w:rsidRPr="00B75F7D" w:rsidRDefault="00991202" w:rsidP="00991202">
      <w:pPr>
        <w:jc w:val="both"/>
        <w:rPr>
          <w:rFonts w:ascii="Arial" w:hAnsi="Arial" w:cs="Arial"/>
        </w:rPr>
      </w:pPr>
    </w:p>
    <w:p w14:paraId="3CE780CE" w14:textId="77777777" w:rsidR="00991202" w:rsidRPr="00B75F7D" w:rsidRDefault="00991202" w:rsidP="00991202">
      <w:pPr>
        <w:jc w:val="both"/>
        <w:rPr>
          <w:rFonts w:ascii="Arial" w:hAnsi="Arial" w:cs="Arial"/>
        </w:rPr>
      </w:pPr>
      <w:bookmarkStart w:id="50" w:name="bd045ddd8a5d3395993d44056cd960e5_ref"/>
      <w:r w:rsidRPr="00B75F7D">
        <w:rPr>
          <w:rFonts w:ascii="Arial" w:hAnsi="Arial" w:cs="Arial"/>
        </w:rPr>
        <w:t xml:space="preserve">Sadjadi, R., Shy, M. E., </w:t>
      </w:r>
      <w:proofErr w:type="spellStart"/>
      <w:r w:rsidRPr="00B75F7D">
        <w:rPr>
          <w:rFonts w:ascii="Arial" w:hAnsi="Arial" w:cs="Arial"/>
        </w:rPr>
        <w:t>Dicamillo</w:t>
      </w:r>
      <w:proofErr w:type="spellEnd"/>
      <w:r w:rsidRPr="00B75F7D">
        <w:rPr>
          <w:rFonts w:ascii="Arial" w:hAnsi="Arial" w:cs="Arial"/>
        </w:rPr>
        <w:t xml:space="preserve">, P. A., </w:t>
      </w:r>
      <w:proofErr w:type="spellStart"/>
      <w:r w:rsidRPr="00B75F7D">
        <w:rPr>
          <w:rFonts w:ascii="Arial" w:hAnsi="Arial" w:cs="Arial"/>
        </w:rPr>
        <w:t>Mccray</w:t>
      </w:r>
      <w:proofErr w:type="spellEnd"/>
      <w:r w:rsidRPr="00B75F7D">
        <w:rPr>
          <w:rFonts w:ascii="Arial" w:hAnsi="Arial" w:cs="Arial"/>
        </w:rPr>
        <w:t xml:space="preserve">, B. A., </w:t>
      </w:r>
      <w:proofErr w:type="spellStart"/>
      <w:r w:rsidRPr="00B75F7D">
        <w:rPr>
          <w:rFonts w:ascii="Arial" w:hAnsi="Arial" w:cs="Arial"/>
        </w:rPr>
        <w:t>Pareyson</w:t>
      </w:r>
      <w:proofErr w:type="spellEnd"/>
      <w:r w:rsidRPr="00B75F7D">
        <w:rPr>
          <w:rFonts w:ascii="Arial" w:hAnsi="Arial" w:cs="Arial"/>
        </w:rPr>
        <w:t xml:space="preserve">, D., Thedens, D., Morrow, J. M., Reilly, M. M., Li, J., Castro, D., Herrmann, D. N., &amp; Picher-Martel, V. (2024). Clinical Characteristics of Charcot-Marie-Tooth Disease Type 4J. </w:t>
      </w:r>
      <w:r w:rsidRPr="00B75F7D">
        <w:rPr>
          <w:rFonts w:ascii="Arial" w:hAnsi="Arial" w:cs="Arial"/>
          <w:i/>
          <w:iCs/>
        </w:rPr>
        <w:t>Neurology</w:t>
      </w:r>
      <w:r w:rsidRPr="00B75F7D">
        <w:rPr>
          <w:rFonts w:ascii="Arial" w:hAnsi="Arial" w:cs="Arial"/>
        </w:rPr>
        <w:t xml:space="preserve">, </w:t>
      </w:r>
      <w:r w:rsidRPr="00B75F7D">
        <w:rPr>
          <w:rFonts w:ascii="Arial" w:hAnsi="Arial" w:cs="Arial"/>
          <w:i/>
          <w:iCs/>
        </w:rPr>
        <w:t>103</w:t>
      </w:r>
      <w:r w:rsidRPr="00B75F7D">
        <w:rPr>
          <w:rFonts w:ascii="Arial" w:hAnsi="Arial" w:cs="Arial"/>
        </w:rPr>
        <w:t>(5). https://doi.org/10.1212/wnl.0000000000209763</w:t>
      </w:r>
    </w:p>
    <w:bookmarkEnd w:id="50"/>
    <w:p w14:paraId="184540EB" w14:textId="77777777" w:rsidR="00991202" w:rsidRPr="00B75F7D" w:rsidRDefault="00991202" w:rsidP="00991202">
      <w:pPr>
        <w:jc w:val="both"/>
        <w:rPr>
          <w:rFonts w:ascii="Arial" w:hAnsi="Arial" w:cs="Arial"/>
        </w:rPr>
      </w:pPr>
    </w:p>
    <w:p w14:paraId="33D8484B" w14:textId="77777777" w:rsidR="00991202" w:rsidRPr="00B75F7D" w:rsidRDefault="00991202" w:rsidP="00991202">
      <w:pPr>
        <w:jc w:val="both"/>
        <w:rPr>
          <w:rFonts w:ascii="Arial" w:hAnsi="Arial" w:cs="Arial"/>
        </w:rPr>
      </w:pPr>
      <w:bookmarkStart w:id="51" w:name="9bbca7e3586c34c1b5cade7de53caaf5_ref"/>
      <w:r w:rsidRPr="00B75F7D">
        <w:rPr>
          <w:rFonts w:ascii="Arial" w:hAnsi="Arial" w:cs="Arial"/>
        </w:rPr>
        <w:lastRenderedPageBreak/>
        <w:t>Saporta, A. S. D., Shy, M. E., Miller, L. J., Sottile, S. L., Siskind, C. E., &amp; Feely, S. M. E. (2011). Charcot</w:t>
      </w:r>
      <w:r w:rsidRPr="00B75F7D">
        <w:rPr>
          <w:rFonts w:ascii="Cambria Math" w:hAnsi="Cambria Math" w:cs="Cambria Math"/>
        </w:rPr>
        <w:t>‐</w:t>
      </w:r>
      <w:proofErr w:type="spellStart"/>
      <w:r w:rsidRPr="00B75F7D">
        <w:rPr>
          <w:rFonts w:ascii="Arial" w:hAnsi="Arial" w:cs="Arial"/>
        </w:rPr>
        <w:t>marie</w:t>
      </w:r>
      <w:proofErr w:type="spellEnd"/>
      <w:r w:rsidRPr="00B75F7D">
        <w:rPr>
          <w:rFonts w:ascii="Cambria Math" w:hAnsi="Cambria Math" w:cs="Cambria Math"/>
        </w:rPr>
        <w:t>‐</w:t>
      </w:r>
      <w:r w:rsidRPr="00B75F7D">
        <w:rPr>
          <w:rFonts w:ascii="Arial" w:hAnsi="Arial" w:cs="Arial"/>
        </w:rPr>
        <w:t xml:space="preserve">tooth disease subtypes and genetic testing strategies. </w:t>
      </w:r>
      <w:r w:rsidRPr="00B75F7D">
        <w:rPr>
          <w:rFonts w:ascii="Arial" w:hAnsi="Arial" w:cs="Arial"/>
          <w:i/>
          <w:iCs/>
        </w:rPr>
        <w:t>Annals of Neurology</w:t>
      </w:r>
      <w:r w:rsidRPr="00B75F7D">
        <w:rPr>
          <w:rFonts w:ascii="Arial" w:hAnsi="Arial" w:cs="Arial"/>
        </w:rPr>
        <w:t xml:space="preserve">, </w:t>
      </w:r>
      <w:r w:rsidRPr="00B75F7D">
        <w:rPr>
          <w:rFonts w:ascii="Arial" w:hAnsi="Arial" w:cs="Arial"/>
          <w:i/>
          <w:iCs/>
        </w:rPr>
        <w:t>69</w:t>
      </w:r>
      <w:r w:rsidRPr="00B75F7D">
        <w:rPr>
          <w:rFonts w:ascii="Arial" w:hAnsi="Arial" w:cs="Arial"/>
        </w:rPr>
        <w:t>(1), 22–33. https://doi.org/10.1002/ana.22166</w:t>
      </w:r>
    </w:p>
    <w:bookmarkEnd w:id="51"/>
    <w:p w14:paraId="0B5A45AF" w14:textId="77777777" w:rsidR="00991202" w:rsidRPr="00B75F7D" w:rsidRDefault="00991202" w:rsidP="00991202">
      <w:pPr>
        <w:jc w:val="both"/>
        <w:rPr>
          <w:rFonts w:ascii="Arial" w:hAnsi="Arial" w:cs="Arial"/>
        </w:rPr>
      </w:pPr>
    </w:p>
    <w:p w14:paraId="212FF549" w14:textId="77777777" w:rsidR="00991202" w:rsidRPr="00B75F7D" w:rsidRDefault="00991202" w:rsidP="00991202">
      <w:pPr>
        <w:jc w:val="both"/>
        <w:rPr>
          <w:rFonts w:ascii="Arial" w:hAnsi="Arial" w:cs="Arial"/>
        </w:rPr>
      </w:pPr>
      <w:bookmarkStart w:id="52" w:name="30140ae86b6f32448ea95ecf66959508_ref"/>
      <w:r w:rsidRPr="00B75F7D">
        <w:rPr>
          <w:rFonts w:ascii="Arial" w:hAnsi="Arial" w:cs="Arial"/>
        </w:rPr>
        <w:t xml:space="preserve">Sman, A. D., Hackett, D., </w:t>
      </w:r>
      <w:proofErr w:type="spellStart"/>
      <w:r w:rsidRPr="00B75F7D">
        <w:rPr>
          <w:rFonts w:ascii="Arial" w:hAnsi="Arial" w:cs="Arial"/>
        </w:rPr>
        <w:t>Fiatarone</w:t>
      </w:r>
      <w:proofErr w:type="spellEnd"/>
      <w:r w:rsidRPr="00B75F7D">
        <w:rPr>
          <w:rFonts w:ascii="Arial" w:hAnsi="Arial" w:cs="Arial"/>
        </w:rPr>
        <w:t xml:space="preserve"> Singh, M., Fornusek, C., Menezes, M. P., &amp; Burns, J. (2015). Systematic review of exercise for Charcot-Marie-Tooth disease. </w:t>
      </w:r>
      <w:r w:rsidRPr="00B75F7D">
        <w:rPr>
          <w:rFonts w:ascii="Arial" w:hAnsi="Arial" w:cs="Arial"/>
          <w:i/>
          <w:iCs/>
        </w:rPr>
        <w:t xml:space="preserve">Journal of the Peripheral Nervous </w:t>
      </w:r>
      <w:proofErr w:type="gramStart"/>
      <w:r w:rsidRPr="00B75F7D">
        <w:rPr>
          <w:rFonts w:ascii="Arial" w:hAnsi="Arial" w:cs="Arial"/>
          <w:i/>
          <w:iCs/>
        </w:rPr>
        <w:t>System :</w:t>
      </w:r>
      <w:proofErr w:type="gramEnd"/>
      <w:r w:rsidRPr="00B75F7D">
        <w:rPr>
          <w:rFonts w:ascii="Arial" w:hAnsi="Arial" w:cs="Arial"/>
          <w:i/>
          <w:iCs/>
        </w:rPr>
        <w:t xml:space="preserve"> JPNS</w:t>
      </w:r>
      <w:r w:rsidRPr="00B75F7D">
        <w:rPr>
          <w:rFonts w:ascii="Arial" w:hAnsi="Arial" w:cs="Arial"/>
        </w:rPr>
        <w:t xml:space="preserve">, </w:t>
      </w:r>
      <w:r w:rsidRPr="00B75F7D">
        <w:rPr>
          <w:rFonts w:ascii="Arial" w:hAnsi="Arial" w:cs="Arial"/>
          <w:i/>
          <w:iCs/>
        </w:rPr>
        <w:t>20</w:t>
      </w:r>
      <w:r w:rsidRPr="00B75F7D">
        <w:rPr>
          <w:rFonts w:ascii="Arial" w:hAnsi="Arial" w:cs="Arial"/>
        </w:rPr>
        <w:t>(4), 347–362. https://doi.org/10.1111/jns.12116</w:t>
      </w:r>
    </w:p>
    <w:bookmarkEnd w:id="52"/>
    <w:p w14:paraId="47E1B987" w14:textId="77777777" w:rsidR="00991202" w:rsidRPr="00B75F7D" w:rsidRDefault="00991202" w:rsidP="00991202">
      <w:pPr>
        <w:jc w:val="both"/>
        <w:rPr>
          <w:rFonts w:ascii="Arial" w:hAnsi="Arial" w:cs="Arial"/>
        </w:rPr>
      </w:pPr>
    </w:p>
    <w:p w14:paraId="399738E0" w14:textId="77777777" w:rsidR="00991202" w:rsidRPr="00B75F7D" w:rsidRDefault="00991202" w:rsidP="00991202">
      <w:pPr>
        <w:jc w:val="both"/>
        <w:rPr>
          <w:rFonts w:ascii="Arial" w:hAnsi="Arial" w:cs="Arial"/>
        </w:rPr>
      </w:pPr>
      <w:bookmarkStart w:id="53" w:name="1b48186ea8f83c698c48d138e4f1e293_ref"/>
      <w:r w:rsidRPr="00B75F7D">
        <w:rPr>
          <w:rFonts w:ascii="Arial" w:hAnsi="Arial" w:cs="Arial"/>
        </w:rPr>
        <w:t xml:space="preserve">Stavrou, M., </w:t>
      </w:r>
      <w:proofErr w:type="spellStart"/>
      <w:r w:rsidRPr="00B75F7D">
        <w:rPr>
          <w:rFonts w:ascii="Arial" w:hAnsi="Arial" w:cs="Arial"/>
        </w:rPr>
        <w:t>Sargiannidou</w:t>
      </w:r>
      <w:proofErr w:type="spellEnd"/>
      <w:r w:rsidRPr="00B75F7D">
        <w:rPr>
          <w:rFonts w:ascii="Arial" w:hAnsi="Arial" w:cs="Arial"/>
        </w:rPr>
        <w:t xml:space="preserve">, I., Georgiou, E., </w:t>
      </w:r>
      <w:proofErr w:type="spellStart"/>
      <w:r w:rsidRPr="00B75F7D">
        <w:rPr>
          <w:rFonts w:ascii="Arial" w:hAnsi="Arial" w:cs="Arial"/>
        </w:rPr>
        <w:t>Kagiava</w:t>
      </w:r>
      <w:proofErr w:type="spellEnd"/>
      <w:r w:rsidRPr="00B75F7D">
        <w:rPr>
          <w:rFonts w:ascii="Arial" w:hAnsi="Arial" w:cs="Arial"/>
        </w:rPr>
        <w:t xml:space="preserve">, A., &amp; </w:t>
      </w:r>
      <w:proofErr w:type="spellStart"/>
      <w:r w:rsidRPr="00B75F7D">
        <w:rPr>
          <w:rFonts w:ascii="Arial" w:hAnsi="Arial" w:cs="Arial"/>
        </w:rPr>
        <w:t>Kleopa</w:t>
      </w:r>
      <w:proofErr w:type="spellEnd"/>
      <w:r w:rsidRPr="00B75F7D">
        <w:rPr>
          <w:rFonts w:ascii="Arial" w:hAnsi="Arial" w:cs="Arial"/>
        </w:rPr>
        <w:t xml:space="preserve">, K. A. (2021). Emerging Therapies for Charcot-Marie-Tooth Inherited Neuropathies. </w:t>
      </w:r>
      <w:r w:rsidRPr="00B75F7D">
        <w:rPr>
          <w:rFonts w:ascii="Arial" w:hAnsi="Arial" w:cs="Arial"/>
          <w:i/>
          <w:iCs/>
        </w:rPr>
        <w:t>International Journal of Molecular Sciences</w:t>
      </w:r>
      <w:r w:rsidRPr="00B75F7D">
        <w:rPr>
          <w:rFonts w:ascii="Arial" w:hAnsi="Arial" w:cs="Arial"/>
        </w:rPr>
        <w:t xml:space="preserve">, </w:t>
      </w:r>
      <w:r w:rsidRPr="00B75F7D">
        <w:rPr>
          <w:rFonts w:ascii="Arial" w:hAnsi="Arial" w:cs="Arial"/>
          <w:i/>
          <w:iCs/>
        </w:rPr>
        <w:t>22</w:t>
      </w:r>
      <w:r w:rsidRPr="00B75F7D">
        <w:rPr>
          <w:rFonts w:ascii="Arial" w:hAnsi="Arial" w:cs="Arial"/>
        </w:rPr>
        <w:t>(11), 6048. https://doi.org/10.3390/ijms22116048</w:t>
      </w:r>
    </w:p>
    <w:bookmarkEnd w:id="53"/>
    <w:p w14:paraId="796DB221" w14:textId="77777777" w:rsidR="00991202" w:rsidRPr="00B75F7D" w:rsidRDefault="00991202" w:rsidP="00991202">
      <w:pPr>
        <w:jc w:val="both"/>
        <w:rPr>
          <w:rFonts w:ascii="Arial" w:hAnsi="Arial" w:cs="Arial"/>
        </w:rPr>
      </w:pPr>
    </w:p>
    <w:p w14:paraId="00578425" w14:textId="77777777" w:rsidR="00991202" w:rsidRPr="00B75F7D" w:rsidRDefault="00991202" w:rsidP="00991202">
      <w:pPr>
        <w:jc w:val="both"/>
        <w:rPr>
          <w:rFonts w:ascii="Arial" w:hAnsi="Arial" w:cs="Arial"/>
        </w:rPr>
      </w:pPr>
      <w:bookmarkStart w:id="54" w:name="b65d26954e9e39d1a825c30437b77ef5_ref"/>
      <w:r w:rsidRPr="00B75F7D">
        <w:rPr>
          <w:rFonts w:ascii="Arial" w:hAnsi="Arial" w:cs="Arial"/>
        </w:rPr>
        <w:t xml:space="preserve">Volodarsky, M., Tarnopolsky, M., Levy, M., Lin, H., Ainsworth, P., Kerkhof, J., Sadikovic, B., Stuart, A., &amp; Brady, L. I. (2020). Comprehensive genetic sequence and copy number analysis for Charcot-Marie-Tooth disease in a Canadian cohort of 2517 patients. </w:t>
      </w:r>
      <w:r w:rsidRPr="00B75F7D">
        <w:rPr>
          <w:rFonts w:ascii="Arial" w:hAnsi="Arial" w:cs="Arial"/>
          <w:i/>
          <w:iCs/>
        </w:rPr>
        <w:t>Journal of Medical Genetics</w:t>
      </w:r>
      <w:r w:rsidRPr="00B75F7D">
        <w:rPr>
          <w:rFonts w:ascii="Arial" w:hAnsi="Arial" w:cs="Arial"/>
        </w:rPr>
        <w:t xml:space="preserve">, </w:t>
      </w:r>
      <w:r w:rsidRPr="00B75F7D">
        <w:rPr>
          <w:rFonts w:ascii="Arial" w:hAnsi="Arial" w:cs="Arial"/>
          <w:i/>
          <w:iCs/>
        </w:rPr>
        <w:t>58</w:t>
      </w:r>
      <w:r w:rsidRPr="00B75F7D">
        <w:rPr>
          <w:rFonts w:ascii="Arial" w:hAnsi="Arial" w:cs="Arial"/>
        </w:rPr>
        <w:t>(4), 284–288. https://doi.org/10.1136/jmedgenet-2019-106641</w:t>
      </w:r>
    </w:p>
    <w:bookmarkEnd w:id="54"/>
    <w:p w14:paraId="38751F23" w14:textId="77777777" w:rsidR="00991202" w:rsidRPr="00B75F7D" w:rsidRDefault="00991202" w:rsidP="00991202">
      <w:pPr>
        <w:jc w:val="both"/>
        <w:rPr>
          <w:rFonts w:ascii="Arial" w:hAnsi="Arial" w:cs="Arial"/>
        </w:rPr>
      </w:pPr>
    </w:p>
    <w:p w14:paraId="00385531" w14:textId="77777777" w:rsidR="00991202" w:rsidRPr="00B75F7D" w:rsidRDefault="00991202" w:rsidP="00991202">
      <w:pPr>
        <w:jc w:val="both"/>
        <w:rPr>
          <w:rFonts w:ascii="Arial" w:hAnsi="Arial" w:cs="Arial"/>
        </w:rPr>
      </w:pPr>
      <w:bookmarkStart w:id="55" w:name="5fc75e9275fd32348985ecbaf9262d3c_ref"/>
      <w:r w:rsidRPr="00B75F7D">
        <w:rPr>
          <w:rFonts w:ascii="Arial" w:hAnsi="Arial" w:cs="Arial"/>
        </w:rPr>
        <w:t xml:space="preserve">Yiu, E. M., Burns, J., </w:t>
      </w:r>
      <w:proofErr w:type="spellStart"/>
      <w:r w:rsidRPr="00B75F7D">
        <w:rPr>
          <w:rFonts w:ascii="Arial" w:hAnsi="Arial" w:cs="Arial"/>
        </w:rPr>
        <w:t>Ouvrier</w:t>
      </w:r>
      <w:proofErr w:type="spellEnd"/>
      <w:r w:rsidRPr="00B75F7D">
        <w:rPr>
          <w:rFonts w:ascii="Arial" w:hAnsi="Arial" w:cs="Arial"/>
        </w:rPr>
        <w:t>, R. A., &amp; Ryan, M. M. (2008). Neurophysiologic abnormalities in children with Charcot</w:t>
      </w:r>
      <w:r w:rsidRPr="00B75F7D">
        <w:rPr>
          <w:rFonts w:ascii="Cambria Math" w:hAnsi="Cambria Math" w:cs="Cambria Math"/>
        </w:rPr>
        <w:t>‐</w:t>
      </w:r>
      <w:r w:rsidRPr="00B75F7D">
        <w:rPr>
          <w:rFonts w:ascii="Arial" w:hAnsi="Arial" w:cs="Arial"/>
        </w:rPr>
        <w:t>Marie</w:t>
      </w:r>
      <w:r w:rsidRPr="00B75F7D">
        <w:rPr>
          <w:rFonts w:ascii="Cambria Math" w:hAnsi="Cambria Math" w:cs="Cambria Math"/>
        </w:rPr>
        <w:t>‐</w:t>
      </w:r>
      <w:r w:rsidRPr="00B75F7D">
        <w:rPr>
          <w:rFonts w:ascii="Arial" w:hAnsi="Arial" w:cs="Arial"/>
        </w:rPr>
        <w:t xml:space="preserve">Tooth disease type 1A. </w:t>
      </w:r>
      <w:r w:rsidRPr="00B75F7D">
        <w:rPr>
          <w:rFonts w:ascii="Arial" w:hAnsi="Arial" w:cs="Arial"/>
          <w:i/>
          <w:iCs/>
        </w:rPr>
        <w:t>Journal of the Peripheral Nervous System</w:t>
      </w:r>
      <w:r w:rsidRPr="00B75F7D">
        <w:rPr>
          <w:rFonts w:ascii="Arial" w:hAnsi="Arial" w:cs="Arial"/>
        </w:rPr>
        <w:t xml:space="preserve">, </w:t>
      </w:r>
      <w:r w:rsidRPr="00B75F7D">
        <w:rPr>
          <w:rFonts w:ascii="Arial" w:hAnsi="Arial" w:cs="Arial"/>
          <w:i/>
          <w:iCs/>
        </w:rPr>
        <w:t>13</w:t>
      </w:r>
      <w:r w:rsidRPr="00B75F7D">
        <w:rPr>
          <w:rFonts w:ascii="Arial" w:hAnsi="Arial" w:cs="Arial"/>
        </w:rPr>
        <w:t>(3), 236–241. https://doi.org/10.1111/j.1529-8027.2008.00182.x</w:t>
      </w:r>
    </w:p>
    <w:bookmarkEnd w:id="55"/>
    <w:p w14:paraId="0C28E1A4" w14:textId="77777777" w:rsidR="00991202" w:rsidRPr="00B75F7D" w:rsidRDefault="00991202" w:rsidP="00991202">
      <w:pPr>
        <w:jc w:val="both"/>
        <w:rPr>
          <w:rFonts w:ascii="Arial" w:hAnsi="Arial" w:cs="Arial"/>
        </w:rPr>
      </w:pPr>
    </w:p>
    <w:p w14:paraId="176503D5" w14:textId="77777777" w:rsidR="00B01FCD" w:rsidRPr="00B75F7D" w:rsidRDefault="00991202" w:rsidP="00D02E20">
      <w:pPr>
        <w:jc w:val="both"/>
        <w:rPr>
          <w:rFonts w:ascii="Arial" w:hAnsi="Arial" w:cs="Arial"/>
        </w:rPr>
      </w:pPr>
      <w:bookmarkStart w:id="56" w:name="96075d88ad3c3905ae364b4bd5ed2e8c_ref"/>
      <w:proofErr w:type="spellStart"/>
      <w:r w:rsidRPr="00B75F7D">
        <w:rPr>
          <w:rFonts w:ascii="Arial" w:hAnsi="Arial" w:cs="Arial"/>
        </w:rPr>
        <w:t>Züchner</w:t>
      </w:r>
      <w:proofErr w:type="spellEnd"/>
      <w:r w:rsidRPr="00B75F7D">
        <w:rPr>
          <w:rFonts w:ascii="Arial" w:hAnsi="Arial" w:cs="Arial"/>
        </w:rPr>
        <w:t xml:space="preserve">, S., &amp; Vance, J. M. (2006). Molecular genetics of autosomal-dominant axonal Charcot-Marie-Tooth disease. </w:t>
      </w:r>
      <w:proofErr w:type="spellStart"/>
      <w:r w:rsidRPr="00B75F7D">
        <w:rPr>
          <w:rFonts w:ascii="Arial" w:hAnsi="Arial" w:cs="Arial"/>
          <w:i/>
          <w:iCs/>
        </w:rPr>
        <w:t>NeuroMolecular</w:t>
      </w:r>
      <w:proofErr w:type="spellEnd"/>
      <w:r w:rsidRPr="00B75F7D">
        <w:rPr>
          <w:rFonts w:ascii="Arial" w:hAnsi="Arial" w:cs="Arial"/>
          <w:i/>
          <w:iCs/>
        </w:rPr>
        <w:t xml:space="preserve"> Medicine</w:t>
      </w:r>
      <w:r w:rsidRPr="00B75F7D">
        <w:rPr>
          <w:rFonts w:ascii="Arial" w:hAnsi="Arial" w:cs="Arial"/>
        </w:rPr>
        <w:t xml:space="preserve">, </w:t>
      </w:r>
      <w:r w:rsidRPr="00B75F7D">
        <w:rPr>
          <w:rFonts w:ascii="Arial" w:hAnsi="Arial" w:cs="Arial"/>
          <w:i/>
          <w:iCs/>
        </w:rPr>
        <w:t>8</w:t>
      </w:r>
      <w:r w:rsidRPr="00B75F7D">
        <w:rPr>
          <w:rFonts w:ascii="Arial" w:hAnsi="Arial" w:cs="Arial"/>
        </w:rPr>
        <w:t>(1–2), 63–74. https://doi.org/10.1385/nmm:8:1-2:63</w:t>
      </w:r>
      <w:bookmarkEnd w:id="56"/>
    </w:p>
    <w:sectPr w:rsidR="00B01FCD" w:rsidRPr="00B75F7D" w:rsidSect="00D62130">
      <w:headerReference w:type="even" r:id="rId21"/>
      <w:headerReference w:type="default" r:id="rId22"/>
      <w:footerReference w:type="default" r:id="rId23"/>
      <w:headerReference w:type="first" r:id="rId2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82CD41" w14:textId="77777777" w:rsidR="00CA6E7F" w:rsidRDefault="00CA6E7F" w:rsidP="00C37E61">
      <w:r>
        <w:separator/>
      </w:r>
    </w:p>
  </w:endnote>
  <w:endnote w:type="continuationSeparator" w:id="0">
    <w:p w14:paraId="65701354" w14:textId="77777777" w:rsidR="00CA6E7F" w:rsidRDefault="00CA6E7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E8FFB" w14:textId="77777777" w:rsidR="00601225" w:rsidRDefault="006012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D5C0D" w14:textId="77777777" w:rsidR="00601225" w:rsidRDefault="006012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B0724" w14:textId="77777777" w:rsidR="00601225" w:rsidRDefault="00601225">
    <w:pPr>
      <w:pStyle w:val="Footer"/>
      <w:rPr>
        <w:rFonts w:ascii="Arial" w:hAnsi="Arial" w:cs="Arial"/>
        <w:sz w:val="16"/>
      </w:rPr>
    </w:pPr>
  </w:p>
  <w:p w14:paraId="3B0DF24E" w14:textId="77777777" w:rsidR="00601225" w:rsidRDefault="00601225"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2115687D" w14:textId="77777777" w:rsidR="00601225" w:rsidRDefault="00601225">
    <w:pPr>
      <w:pStyle w:val="Footer"/>
      <w:rPr>
        <w:rFonts w:ascii="Arial" w:hAnsi="Arial" w:cs="Arial"/>
        <w:sz w:val="16"/>
      </w:rPr>
    </w:pPr>
  </w:p>
  <w:p w14:paraId="4D564832" w14:textId="77777777" w:rsidR="00601225" w:rsidRPr="009E048A" w:rsidRDefault="00601225">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1C8DA" w14:textId="77777777" w:rsidR="00601225" w:rsidRPr="00C37E61" w:rsidRDefault="00601225"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3C12FD" w14:textId="77777777" w:rsidR="00CA6E7F" w:rsidRDefault="00CA6E7F" w:rsidP="00C37E61">
      <w:r>
        <w:separator/>
      </w:r>
    </w:p>
  </w:footnote>
  <w:footnote w:type="continuationSeparator" w:id="0">
    <w:p w14:paraId="152C3104" w14:textId="77777777" w:rsidR="00CA6E7F" w:rsidRDefault="00CA6E7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B5D6C" w14:textId="070A05CB" w:rsidR="00601225" w:rsidRDefault="00CA6E7F">
    <w:pPr>
      <w:pStyle w:val="Header"/>
    </w:pPr>
    <w:r>
      <w:rPr>
        <w:noProof/>
      </w:rPr>
      <w:pict w14:anchorId="3E315E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215626"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09D7F" w14:textId="24071F26" w:rsidR="00601225" w:rsidRDefault="00CA6E7F">
    <w:pPr>
      <w:pStyle w:val="Header"/>
    </w:pPr>
    <w:r>
      <w:rPr>
        <w:noProof/>
      </w:rPr>
      <w:pict w14:anchorId="3F5111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215627"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BD4B3" w14:textId="7E1D15AB" w:rsidR="00601225" w:rsidRPr="00296529" w:rsidRDefault="00CA6E7F" w:rsidP="00296529">
    <w:pPr>
      <w:ind w:left="2160"/>
      <w:jc w:val="center"/>
      <w:rPr>
        <w:rFonts w:ascii="Times New Roman" w:eastAsia="Calibri" w:hAnsi="Times New Roman"/>
        <w:i/>
        <w:sz w:val="18"/>
        <w:szCs w:val="22"/>
      </w:rPr>
    </w:pPr>
    <w:r>
      <w:rPr>
        <w:noProof/>
      </w:rPr>
      <w:pict w14:anchorId="39333F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215625"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F5B931F" w14:textId="77777777" w:rsidR="00601225" w:rsidRPr="00296529" w:rsidRDefault="00601225"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727D9AA" w14:textId="77777777" w:rsidR="00601225" w:rsidRPr="00296529" w:rsidRDefault="00601225"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ED61A97" w14:textId="77777777" w:rsidR="00601225" w:rsidRPr="00296529" w:rsidRDefault="00601225"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6C6BF70" w14:textId="77777777" w:rsidR="00601225" w:rsidRDefault="00601225"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1AB0873" w14:textId="77777777" w:rsidR="00601225" w:rsidRDefault="00601225"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96FF8AC" w14:textId="77777777" w:rsidR="00601225" w:rsidRDefault="00601225">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A8B53" w14:textId="3DF21E18" w:rsidR="00601225" w:rsidRDefault="00CA6E7F">
    <w:pPr>
      <w:pStyle w:val="Header"/>
    </w:pPr>
    <w:r>
      <w:rPr>
        <w:noProof/>
      </w:rPr>
      <w:pict w14:anchorId="73B9E7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215629"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B823A" w14:textId="65F0FB97" w:rsidR="00601225" w:rsidRDefault="00CA6E7F">
    <w:pPr>
      <w:pStyle w:val="Header"/>
    </w:pPr>
    <w:r>
      <w:rPr>
        <w:noProof/>
      </w:rPr>
      <w:pict w14:anchorId="760982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215630"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F0FA7" w14:textId="759DD9FE" w:rsidR="00601225" w:rsidRDefault="00CA6E7F">
    <w:pPr>
      <w:pStyle w:val="Header"/>
    </w:pPr>
    <w:r>
      <w:rPr>
        <w:noProof/>
      </w:rPr>
      <w:pict w14:anchorId="279762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215628"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6"/>
    <w:multiLevelType w:val="hybridMultilevel"/>
    <w:tmpl w:val="00000006"/>
    <w:lvl w:ilvl="0" w:tplc="BEAC4FF2">
      <w:start w:val="1"/>
      <w:numFmt w:val="bullet"/>
      <w:lvlText w:val="•"/>
      <w:lvlJc w:val="left"/>
      <w:pPr>
        <w:tabs>
          <w:tab w:val="num" w:pos="180"/>
        </w:tabs>
        <w:ind w:left="180" w:hanging="180"/>
      </w:pPr>
      <w:rPr>
        <w:rFonts w:ascii="Symbol" w:eastAsia="Symbol" w:hAnsi="Symbol" w:cs="Symbol"/>
      </w:rPr>
    </w:lvl>
    <w:lvl w:ilvl="1" w:tplc="5232DBEA">
      <w:start w:val="1"/>
      <w:numFmt w:val="bullet"/>
      <w:lvlText w:val="•"/>
      <w:lvlJc w:val="left"/>
      <w:pPr>
        <w:tabs>
          <w:tab w:val="num" w:pos="540"/>
        </w:tabs>
        <w:ind w:left="540" w:hanging="180"/>
      </w:pPr>
      <w:rPr>
        <w:rFonts w:ascii="Symbol" w:eastAsia="Symbol" w:hAnsi="Symbol" w:cs="Symbol"/>
      </w:rPr>
    </w:lvl>
    <w:lvl w:ilvl="2" w:tplc="3F2A9D68">
      <w:start w:val="1"/>
      <w:numFmt w:val="bullet"/>
      <w:lvlText w:val="•"/>
      <w:lvlJc w:val="left"/>
      <w:pPr>
        <w:tabs>
          <w:tab w:val="num" w:pos="900"/>
        </w:tabs>
        <w:ind w:left="900" w:hanging="180"/>
      </w:pPr>
      <w:rPr>
        <w:rFonts w:ascii="Symbol" w:eastAsia="Symbol" w:hAnsi="Symbol" w:cs="Symbol"/>
      </w:rPr>
    </w:lvl>
    <w:lvl w:ilvl="3" w:tplc="47A84628">
      <w:start w:val="1"/>
      <w:numFmt w:val="bullet"/>
      <w:lvlText w:val="•"/>
      <w:lvlJc w:val="left"/>
      <w:pPr>
        <w:tabs>
          <w:tab w:val="num" w:pos="1260"/>
        </w:tabs>
        <w:ind w:left="1260" w:hanging="180"/>
      </w:pPr>
      <w:rPr>
        <w:rFonts w:ascii="Symbol" w:eastAsia="Symbol" w:hAnsi="Symbol" w:cs="Symbol"/>
      </w:rPr>
    </w:lvl>
    <w:lvl w:ilvl="4" w:tplc="D0ACF754">
      <w:start w:val="1"/>
      <w:numFmt w:val="bullet"/>
      <w:lvlText w:val="•"/>
      <w:lvlJc w:val="left"/>
      <w:pPr>
        <w:tabs>
          <w:tab w:val="num" w:pos="1620"/>
        </w:tabs>
        <w:ind w:left="1620" w:hanging="180"/>
      </w:pPr>
      <w:rPr>
        <w:rFonts w:ascii="Symbol" w:eastAsia="Symbol" w:hAnsi="Symbol" w:cs="Symbol"/>
      </w:rPr>
    </w:lvl>
    <w:lvl w:ilvl="5" w:tplc="116A57F2">
      <w:start w:val="1"/>
      <w:numFmt w:val="bullet"/>
      <w:lvlText w:val="•"/>
      <w:lvlJc w:val="left"/>
      <w:pPr>
        <w:tabs>
          <w:tab w:val="num" w:pos="1980"/>
        </w:tabs>
        <w:ind w:left="1980" w:hanging="180"/>
      </w:pPr>
      <w:rPr>
        <w:rFonts w:ascii="Symbol" w:eastAsia="Symbol" w:hAnsi="Symbol" w:cs="Symbol"/>
      </w:rPr>
    </w:lvl>
    <w:lvl w:ilvl="6" w:tplc="4C4A3282">
      <w:start w:val="1"/>
      <w:numFmt w:val="bullet"/>
      <w:lvlText w:val="•"/>
      <w:lvlJc w:val="left"/>
      <w:pPr>
        <w:tabs>
          <w:tab w:val="num" w:pos="2340"/>
        </w:tabs>
        <w:ind w:left="2340" w:hanging="180"/>
      </w:pPr>
      <w:rPr>
        <w:rFonts w:ascii="Symbol" w:eastAsia="Symbol" w:hAnsi="Symbol" w:cs="Symbol"/>
      </w:rPr>
    </w:lvl>
    <w:lvl w:ilvl="7" w:tplc="0E8096F6">
      <w:start w:val="1"/>
      <w:numFmt w:val="bullet"/>
      <w:lvlText w:val="•"/>
      <w:lvlJc w:val="left"/>
      <w:pPr>
        <w:tabs>
          <w:tab w:val="num" w:pos="2700"/>
        </w:tabs>
        <w:ind w:left="2700" w:hanging="180"/>
      </w:pPr>
      <w:rPr>
        <w:rFonts w:ascii="Symbol" w:eastAsia="Symbol" w:hAnsi="Symbol" w:cs="Symbol"/>
      </w:rPr>
    </w:lvl>
    <w:lvl w:ilvl="8" w:tplc="0AB89302">
      <w:start w:val="1"/>
      <w:numFmt w:val="bullet"/>
      <w:lvlText w:val="•"/>
      <w:lvlJc w:val="left"/>
      <w:pPr>
        <w:tabs>
          <w:tab w:val="num" w:pos="3060"/>
        </w:tabs>
        <w:ind w:left="3060" w:hanging="180"/>
      </w:pPr>
      <w:rPr>
        <w:rFonts w:ascii="Symbol" w:eastAsia="Symbol" w:hAnsi="Symbol" w:cs="Symbol"/>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BC217FC"/>
    <w:multiLevelType w:val="hybridMultilevel"/>
    <w:tmpl w:val="AC5CC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8F68EA"/>
    <w:multiLevelType w:val="multilevel"/>
    <w:tmpl w:val="774AD906"/>
    <w:lvl w:ilvl="0">
      <w:start w:val="3"/>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6E430EE"/>
    <w:multiLevelType w:val="hybridMultilevel"/>
    <w:tmpl w:val="A4FA7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4ED19B9"/>
    <w:multiLevelType w:val="hybridMultilevel"/>
    <w:tmpl w:val="0498B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FE34C2"/>
    <w:multiLevelType w:val="hybridMultilevel"/>
    <w:tmpl w:val="4F2A8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2A0511"/>
    <w:multiLevelType w:val="hybridMultilevel"/>
    <w:tmpl w:val="09B23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0817A1"/>
    <w:multiLevelType w:val="hybridMultilevel"/>
    <w:tmpl w:val="56C66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06146F5"/>
    <w:multiLevelType w:val="hybridMultilevel"/>
    <w:tmpl w:val="287473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3" w15:restartNumberingAfterBreak="0">
    <w:nsid w:val="75243F48"/>
    <w:multiLevelType w:val="hybridMultilevel"/>
    <w:tmpl w:val="2FA2A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A073525"/>
    <w:multiLevelType w:val="hybridMultilevel"/>
    <w:tmpl w:val="3104B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2"/>
  </w:num>
  <w:num w:numId="3">
    <w:abstractNumId w:val="32"/>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6"/>
  </w:num>
  <w:num w:numId="9">
    <w:abstractNumId w:val="35"/>
  </w:num>
  <w:num w:numId="10">
    <w:abstractNumId w:val="3"/>
  </w:num>
  <w:num w:numId="11">
    <w:abstractNumId w:val="27"/>
  </w:num>
  <w:num w:numId="12">
    <w:abstractNumId w:val="4"/>
  </w:num>
  <w:num w:numId="13">
    <w:abstractNumId w:val="25"/>
  </w:num>
  <w:num w:numId="14">
    <w:abstractNumId w:val="10"/>
  </w:num>
  <w:num w:numId="15">
    <w:abstractNumId w:val="30"/>
  </w:num>
  <w:num w:numId="16">
    <w:abstractNumId w:val="6"/>
  </w:num>
  <w:num w:numId="17">
    <w:abstractNumId w:val="31"/>
  </w:num>
  <w:num w:numId="18">
    <w:abstractNumId w:val="18"/>
  </w:num>
  <w:num w:numId="19">
    <w:abstractNumId w:val="39"/>
  </w:num>
  <w:num w:numId="20">
    <w:abstractNumId w:val="15"/>
  </w:num>
  <w:num w:numId="21">
    <w:abstractNumId w:val="11"/>
  </w:num>
  <w:num w:numId="22">
    <w:abstractNumId w:val="17"/>
  </w:num>
  <w:num w:numId="23">
    <w:abstractNumId w:val="28"/>
  </w:num>
  <w:num w:numId="24">
    <w:abstractNumId w:val="37"/>
  </w:num>
  <w:num w:numId="25">
    <w:abstractNumId w:val="5"/>
  </w:num>
  <w:num w:numId="26">
    <w:abstractNumId w:val="23"/>
  </w:num>
  <w:num w:numId="27">
    <w:abstractNumId w:val="29"/>
  </w:num>
  <w:num w:numId="28">
    <w:abstractNumId w:val="38"/>
  </w:num>
  <w:num w:numId="29">
    <w:abstractNumId w:val="34"/>
  </w:num>
  <w:num w:numId="30">
    <w:abstractNumId w:val="12"/>
  </w:num>
  <w:num w:numId="31">
    <w:abstractNumId w:val="36"/>
  </w:num>
  <w:num w:numId="32">
    <w:abstractNumId w:val="14"/>
  </w:num>
  <w:num w:numId="33">
    <w:abstractNumId w:val="24"/>
  </w:num>
  <w:num w:numId="34">
    <w:abstractNumId w:val="9"/>
  </w:num>
  <w:num w:numId="35">
    <w:abstractNumId w:val="21"/>
  </w:num>
  <w:num w:numId="36">
    <w:abstractNumId w:val="1"/>
  </w:num>
  <w:num w:numId="37">
    <w:abstractNumId w:val="20"/>
  </w:num>
  <w:num w:numId="38">
    <w:abstractNumId w:val="19"/>
  </w:num>
  <w:num w:numId="39">
    <w:abstractNumId w:val="33"/>
  </w:num>
  <w:num w:numId="40">
    <w:abstractNumId w:val="13"/>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1362"/>
    <w:rsid w:val="0004579C"/>
    <w:rsid w:val="0008601C"/>
    <w:rsid w:val="000A47FA"/>
    <w:rsid w:val="000A65D3"/>
    <w:rsid w:val="000B1E33"/>
    <w:rsid w:val="000B46C1"/>
    <w:rsid w:val="000D689F"/>
    <w:rsid w:val="000E7B7B"/>
    <w:rsid w:val="000E7D62"/>
    <w:rsid w:val="000F7344"/>
    <w:rsid w:val="00103357"/>
    <w:rsid w:val="001139A2"/>
    <w:rsid w:val="0012068F"/>
    <w:rsid w:val="00123C9F"/>
    <w:rsid w:val="00126190"/>
    <w:rsid w:val="00130F17"/>
    <w:rsid w:val="001320BF"/>
    <w:rsid w:val="00163BC4"/>
    <w:rsid w:val="001645F4"/>
    <w:rsid w:val="00172ECF"/>
    <w:rsid w:val="00182574"/>
    <w:rsid w:val="00191062"/>
    <w:rsid w:val="00192B72"/>
    <w:rsid w:val="001A1C10"/>
    <w:rsid w:val="001A29D8"/>
    <w:rsid w:val="001A5CAA"/>
    <w:rsid w:val="001B0427"/>
    <w:rsid w:val="001C6AC7"/>
    <w:rsid w:val="001C7E51"/>
    <w:rsid w:val="001D3A51"/>
    <w:rsid w:val="001E10D2"/>
    <w:rsid w:val="001E25B4"/>
    <w:rsid w:val="001E44FE"/>
    <w:rsid w:val="00200595"/>
    <w:rsid w:val="00204835"/>
    <w:rsid w:val="00231920"/>
    <w:rsid w:val="0023195C"/>
    <w:rsid w:val="0024282C"/>
    <w:rsid w:val="002460DC"/>
    <w:rsid w:val="0025048E"/>
    <w:rsid w:val="00250985"/>
    <w:rsid w:val="002556F6"/>
    <w:rsid w:val="00263F7D"/>
    <w:rsid w:val="00274392"/>
    <w:rsid w:val="00283105"/>
    <w:rsid w:val="00284C4C"/>
    <w:rsid w:val="00287E68"/>
    <w:rsid w:val="00296529"/>
    <w:rsid w:val="002A69D2"/>
    <w:rsid w:val="002A6DA5"/>
    <w:rsid w:val="002B27FB"/>
    <w:rsid w:val="002B685A"/>
    <w:rsid w:val="002C57D2"/>
    <w:rsid w:val="002E0D56"/>
    <w:rsid w:val="00315186"/>
    <w:rsid w:val="0033343E"/>
    <w:rsid w:val="00340966"/>
    <w:rsid w:val="003512C2"/>
    <w:rsid w:val="00371FB6"/>
    <w:rsid w:val="003763C1"/>
    <w:rsid w:val="00376BBE"/>
    <w:rsid w:val="0039224F"/>
    <w:rsid w:val="003A43A4"/>
    <w:rsid w:val="003A7E18"/>
    <w:rsid w:val="003C4C86"/>
    <w:rsid w:val="003C6258"/>
    <w:rsid w:val="003E2904"/>
    <w:rsid w:val="00401927"/>
    <w:rsid w:val="0041027F"/>
    <w:rsid w:val="00412475"/>
    <w:rsid w:val="00417699"/>
    <w:rsid w:val="00423789"/>
    <w:rsid w:val="00440F43"/>
    <w:rsid w:val="00441B6F"/>
    <w:rsid w:val="00446221"/>
    <w:rsid w:val="00447CA3"/>
    <w:rsid w:val="00450E62"/>
    <w:rsid w:val="004539DB"/>
    <w:rsid w:val="004608FF"/>
    <w:rsid w:val="00471A80"/>
    <w:rsid w:val="00472C12"/>
    <w:rsid w:val="004B0896"/>
    <w:rsid w:val="004D26BE"/>
    <w:rsid w:val="004D305E"/>
    <w:rsid w:val="004D4277"/>
    <w:rsid w:val="004E2C17"/>
    <w:rsid w:val="004E5655"/>
    <w:rsid w:val="004E5772"/>
    <w:rsid w:val="00502516"/>
    <w:rsid w:val="00505F06"/>
    <w:rsid w:val="00506828"/>
    <w:rsid w:val="0053056E"/>
    <w:rsid w:val="00535A58"/>
    <w:rsid w:val="00536996"/>
    <w:rsid w:val="00545410"/>
    <w:rsid w:val="00554FDA"/>
    <w:rsid w:val="00575BE3"/>
    <w:rsid w:val="005A4B3C"/>
    <w:rsid w:val="005B5C79"/>
    <w:rsid w:val="005C784C"/>
    <w:rsid w:val="005D17F6"/>
    <w:rsid w:val="005D7A82"/>
    <w:rsid w:val="005E5539"/>
    <w:rsid w:val="00601225"/>
    <w:rsid w:val="00602BF5"/>
    <w:rsid w:val="00617FDD"/>
    <w:rsid w:val="00633614"/>
    <w:rsid w:val="00633F68"/>
    <w:rsid w:val="00636EB2"/>
    <w:rsid w:val="006375B8"/>
    <w:rsid w:val="00644376"/>
    <w:rsid w:val="0066510A"/>
    <w:rsid w:val="00673F9F"/>
    <w:rsid w:val="00686953"/>
    <w:rsid w:val="00687DEA"/>
    <w:rsid w:val="00687E67"/>
    <w:rsid w:val="006967F7"/>
    <w:rsid w:val="006A250C"/>
    <w:rsid w:val="006B21D3"/>
    <w:rsid w:val="006B57D0"/>
    <w:rsid w:val="006D30FF"/>
    <w:rsid w:val="006D6380"/>
    <w:rsid w:val="006D6940"/>
    <w:rsid w:val="006F11EC"/>
    <w:rsid w:val="0070082C"/>
    <w:rsid w:val="007369E6"/>
    <w:rsid w:val="007424F2"/>
    <w:rsid w:val="00746E59"/>
    <w:rsid w:val="00750129"/>
    <w:rsid w:val="00754C9A"/>
    <w:rsid w:val="0075599A"/>
    <w:rsid w:val="00761D52"/>
    <w:rsid w:val="0076381B"/>
    <w:rsid w:val="007768C7"/>
    <w:rsid w:val="0077749E"/>
    <w:rsid w:val="00790ADA"/>
    <w:rsid w:val="007D2288"/>
    <w:rsid w:val="007E088F"/>
    <w:rsid w:val="007F350B"/>
    <w:rsid w:val="007F38B3"/>
    <w:rsid w:val="007F7B32"/>
    <w:rsid w:val="00804BC2"/>
    <w:rsid w:val="0081431A"/>
    <w:rsid w:val="0083216F"/>
    <w:rsid w:val="00860000"/>
    <w:rsid w:val="00863BD3"/>
    <w:rsid w:val="008641ED"/>
    <w:rsid w:val="00866D66"/>
    <w:rsid w:val="008671C6"/>
    <w:rsid w:val="00875803"/>
    <w:rsid w:val="0088737D"/>
    <w:rsid w:val="008B459E"/>
    <w:rsid w:val="008C15DF"/>
    <w:rsid w:val="008D6353"/>
    <w:rsid w:val="008E13AE"/>
    <w:rsid w:val="008E1506"/>
    <w:rsid w:val="008E710C"/>
    <w:rsid w:val="008F69D6"/>
    <w:rsid w:val="00902823"/>
    <w:rsid w:val="00912DAD"/>
    <w:rsid w:val="00915CA6"/>
    <w:rsid w:val="00925266"/>
    <w:rsid w:val="00927834"/>
    <w:rsid w:val="009500A6"/>
    <w:rsid w:val="00957C18"/>
    <w:rsid w:val="009659BA"/>
    <w:rsid w:val="00983040"/>
    <w:rsid w:val="0098647A"/>
    <w:rsid w:val="00991202"/>
    <w:rsid w:val="00993384"/>
    <w:rsid w:val="009B3FB9"/>
    <w:rsid w:val="009C14DC"/>
    <w:rsid w:val="009C2465"/>
    <w:rsid w:val="009D35A0"/>
    <w:rsid w:val="009D4B57"/>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449B"/>
    <w:rsid w:val="00AA6219"/>
    <w:rsid w:val="00AA6BB6"/>
    <w:rsid w:val="00AA74E0"/>
    <w:rsid w:val="00AB703F"/>
    <w:rsid w:val="00AC44D1"/>
    <w:rsid w:val="00AC6BB8"/>
    <w:rsid w:val="00AE008F"/>
    <w:rsid w:val="00AE57CF"/>
    <w:rsid w:val="00AF79B4"/>
    <w:rsid w:val="00B01FCD"/>
    <w:rsid w:val="00B0340F"/>
    <w:rsid w:val="00B03B7E"/>
    <w:rsid w:val="00B05AAE"/>
    <w:rsid w:val="00B1776C"/>
    <w:rsid w:val="00B32825"/>
    <w:rsid w:val="00B34D9A"/>
    <w:rsid w:val="00B35D36"/>
    <w:rsid w:val="00B44E71"/>
    <w:rsid w:val="00B52583"/>
    <w:rsid w:val="00B52896"/>
    <w:rsid w:val="00B67174"/>
    <w:rsid w:val="00B75F7D"/>
    <w:rsid w:val="00B773EE"/>
    <w:rsid w:val="00B95236"/>
    <w:rsid w:val="00B96BD9"/>
    <w:rsid w:val="00BA1B01"/>
    <w:rsid w:val="00BA2641"/>
    <w:rsid w:val="00BA2FDB"/>
    <w:rsid w:val="00BB37AA"/>
    <w:rsid w:val="00BC2116"/>
    <w:rsid w:val="00BC53A0"/>
    <w:rsid w:val="00BC68B1"/>
    <w:rsid w:val="00BE15B5"/>
    <w:rsid w:val="00BE62AD"/>
    <w:rsid w:val="00BF121F"/>
    <w:rsid w:val="00BF1F80"/>
    <w:rsid w:val="00C035D1"/>
    <w:rsid w:val="00C166EF"/>
    <w:rsid w:val="00C17EB0"/>
    <w:rsid w:val="00C27F5F"/>
    <w:rsid w:val="00C30A0F"/>
    <w:rsid w:val="00C37E61"/>
    <w:rsid w:val="00C70F1B"/>
    <w:rsid w:val="00C71A47"/>
    <w:rsid w:val="00C7464C"/>
    <w:rsid w:val="00C83D61"/>
    <w:rsid w:val="00C85588"/>
    <w:rsid w:val="00C919C8"/>
    <w:rsid w:val="00CA6E7F"/>
    <w:rsid w:val="00CB1885"/>
    <w:rsid w:val="00CD6755"/>
    <w:rsid w:val="00CD6856"/>
    <w:rsid w:val="00CE0089"/>
    <w:rsid w:val="00CE793C"/>
    <w:rsid w:val="00CF193C"/>
    <w:rsid w:val="00D02E20"/>
    <w:rsid w:val="00D173F1"/>
    <w:rsid w:val="00D275EA"/>
    <w:rsid w:val="00D40B91"/>
    <w:rsid w:val="00D44123"/>
    <w:rsid w:val="00D62130"/>
    <w:rsid w:val="00D74CB0"/>
    <w:rsid w:val="00D8295D"/>
    <w:rsid w:val="00D87EC5"/>
    <w:rsid w:val="00DB73CD"/>
    <w:rsid w:val="00DC2A65"/>
    <w:rsid w:val="00DD112F"/>
    <w:rsid w:val="00DE15F0"/>
    <w:rsid w:val="00DE5663"/>
    <w:rsid w:val="00DE78AA"/>
    <w:rsid w:val="00DF2E9F"/>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E66E9"/>
    <w:rsid w:val="00EF581D"/>
    <w:rsid w:val="00EF7FD8"/>
    <w:rsid w:val="00F01202"/>
    <w:rsid w:val="00F06F59"/>
    <w:rsid w:val="00F17988"/>
    <w:rsid w:val="00F2200C"/>
    <w:rsid w:val="00F469F0"/>
    <w:rsid w:val="00F53273"/>
    <w:rsid w:val="00F755E4"/>
    <w:rsid w:val="00F77D02"/>
    <w:rsid w:val="00FA3FE4"/>
    <w:rsid w:val="00FB3A86"/>
    <w:rsid w:val="00FC4771"/>
    <w:rsid w:val="00FD36C8"/>
    <w:rsid w:val="00FE012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7BF0348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99120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99120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991202"/>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semiHidden/>
    <w:rsid w:val="0099120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1C7E51"/>
    <w:rPr>
      <w:rFonts w:asciiTheme="minorHAnsi" w:eastAsiaTheme="minorHAnsi" w:hAnsiTheme="minorHAnsi" w:cstheme="minorBidi"/>
      <w:sz w:val="22"/>
      <w:szCs w:val="22"/>
      <w:lang w:val="en-GB"/>
    </w:rPr>
  </w:style>
  <w:style w:type="paragraph" w:styleId="NormalWeb">
    <w:name w:val="Normal (Web)"/>
    <w:basedOn w:val="Normal"/>
    <w:uiPriority w:val="99"/>
    <w:semiHidden/>
    <w:unhideWhenUsed/>
    <w:rsid w:val="00172ECF"/>
    <w:pPr>
      <w:spacing w:before="100" w:beforeAutospacing="1" w:after="100" w:afterAutospacing="1"/>
    </w:pPr>
    <w:rPr>
      <w:rFonts w:ascii="Times New Roman" w:hAnsi="Times New Roman"/>
      <w:sz w:val="24"/>
      <w:szCs w:val="24"/>
      <w:lang w:bidi="hi-IN"/>
    </w:rPr>
  </w:style>
  <w:style w:type="paragraph" w:styleId="CommentSubject">
    <w:name w:val="annotation subject"/>
    <w:basedOn w:val="CommentText"/>
    <w:next w:val="CommentText"/>
    <w:link w:val="CommentSubjectChar"/>
    <w:semiHidden/>
    <w:unhideWhenUsed/>
    <w:rsid w:val="00601225"/>
    <w:rPr>
      <w:rFonts w:ascii="Helvetica" w:hAnsi="Helvetica"/>
      <w:b/>
      <w:bCs/>
      <w:lang w:val="en-US" w:eastAsia="en-US"/>
    </w:rPr>
  </w:style>
  <w:style w:type="character" w:customStyle="1" w:styleId="CommentSubjectChar">
    <w:name w:val="Comment Subject Char"/>
    <w:basedOn w:val="CommentTextChar"/>
    <w:link w:val="CommentSubject"/>
    <w:semiHidden/>
    <w:rsid w:val="00601225"/>
    <w:rPr>
      <w:rFonts w:ascii="Helvetica" w:hAnsi="Helvetica"/>
      <w:b/>
      <w:bCs/>
      <w:lang w:val="nb-NO" w:eastAsia="nb-NO"/>
    </w:rPr>
  </w:style>
  <w:style w:type="paragraph" w:styleId="ListParagraph">
    <w:name w:val="List Paragraph"/>
    <w:basedOn w:val="Normal"/>
    <w:uiPriority w:val="34"/>
    <w:qFormat/>
    <w:rsid w:val="00601225"/>
    <w:pPr>
      <w:ind w:left="720"/>
      <w:contextualSpacing/>
    </w:pPr>
    <w:rPr>
      <w:rFonts w:ascii="Times New Roman" w:hAnsi="Times New Roman"/>
      <w:sz w:val="24"/>
      <w:szCs w:val="24"/>
    </w:rPr>
  </w:style>
  <w:style w:type="character" w:styleId="Strong">
    <w:name w:val="Strong"/>
    <w:basedOn w:val="DefaultParagraphFont"/>
    <w:uiPriority w:val="22"/>
    <w:qFormat/>
    <w:rsid w:val="0034096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085678">
      <w:bodyDiv w:val="1"/>
      <w:marLeft w:val="0"/>
      <w:marRight w:val="0"/>
      <w:marTop w:val="0"/>
      <w:marBottom w:val="0"/>
      <w:divBdr>
        <w:top w:val="none" w:sz="0" w:space="0" w:color="auto"/>
        <w:left w:val="none" w:sz="0" w:space="0" w:color="auto"/>
        <w:bottom w:val="none" w:sz="0" w:space="0" w:color="auto"/>
        <w:right w:val="none" w:sz="0" w:space="0" w:color="auto"/>
      </w:divBdr>
    </w:div>
    <w:div w:id="144709631">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2475559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89960896">
      <w:bodyDiv w:val="1"/>
      <w:marLeft w:val="0"/>
      <w:marRight w:val="0"/>
      <w:marTop w:val="0"/>
      <w:marBottom w:val="0"/>
      <w:divBdr>
        <w:top w:val="none" w:sz="0" w:space="0" w:color="auto"/>
        <w:left w:val="none" w:sz="0" w:space="0" w:color="auto"/>
        <w:bottom w:val="none" w:sz="0" w:space="0" w:color="auto"/>
        <w:right w:val="none" w:sz="0" w:space="0" w:color="auto"/>
      </w:divBdr>
    </w:div>
    <w:div w:id="553663682">
      <w:bodyDiv w:val="1"/>
      <w:marLeft w:val="0"/>
      <w:marRight w:val="0"/>
      <w:marTop w:val="0"/>
      <w:marBottom w:val="0"/>
      <w:divBdr>
        <w:top w:val="none" w:sz="0" w:space="0" w:color="auto"/>
        <w:left w:val="none" w:sz="0" w:space="0" w:color="auto"/>
        <w:bottom w:val="none" w:sz="0" w:space="0" w:color="auto"/>
        <w:right w:val="none" w:sz="0" w:space="0" w:color="auto"/>
      </w:divBdr>
      <w:divsChild>
        <w:div w:id="914510521">
          <w:marLeft w:val="0"/>
          <w:marRight w:val="0"/>
          <w:marTop w:val="0"/>
          <w:marBottom w:val="0"/>
          <w:divBdr>
            <w:top w:val="none" w:sz="0" w:space="0" w:color="auto"/>
            <w:left w:val="none" w:sz="0" w:space="0" w:color="auto"/>
            <w:bottom w:val="none" w:sz="0" w:space="0" w:color="auto"/>
            <w:right w:val="none" w:sz="0" w:space="0" w:color="auto"/>
          </w:divBdr>
          <w:divsChild>
            <w:div w:id="96477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10193752">
      <w:bodyDiv w:val="1"/>
      <w:marLeft w:val="0"/>
      <w:marRight w:val="0"/>
      <w:marTop w:val="0"/>
      <w:marBottom w:val="0"/>
      <w:divBdr>
        <w:top w:val="none" w:sz="0" w:space="0" w:color="auto"/>
        <w:left w:val="none" w:sz="0" w:space="0" w:color="auto"/>
        <w:bottom w:val="none" w:sz="0" w:space="0" w:color="auto"/>
        <w:right w:val="none" w:sz="0" w:space="0" w:color="auto"/>
      </w:divBdr>
    </w:div>
    <w:div w:id="92715286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0719608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42313133">
      <w:bodyDiv w:val="1"/>
      <w:marLeft w:val="0"/>
      <w:marRight w:val="0"/>
      <w:marTop w:val="0"/>
      <w:marBottom w:val="0"/>
      <w:divBdr>
        <w:top w:val="none" w:sz="0" w:space="0" w:color="auto"/>
        <w:left w:val="none" w:sz="0" w:space="0" w:color="auto"/>
        <w:bottom w:val="none" w:sz="0" w:space="0" w:color="auto"/>
        <w:right w:val="none" w:sz="0" w:space="0" w:color="auto"/>
      </w:divBdr>
    </w:div>
    <w:div w:id="1425108203">
      <w:bodyDiv w:val="1"/>
      <w:marLeft w:val="0"/>
      <w:marRight w:val="0"/>
      <w:marTop w:val="0"/>
      <w:marBottom w:val="0"/>
      <w:divBdr>
        <w:top w:val="none" w:sz="0" w:space="0" w:color="auto"/>
        <w:left w:val="none" w:sz="0" w:space="0" w:color="auto"/>
        <w:bottom w:val="none" w:sz="0" w:space="0" w:color="auto"/>
        <w:right w:val="none" w:sz="0" w:space="0" w:color="auto"/>
      </w:divBdr>
    </w:div>
    <w:div w:id="1502889527">
      <w:bodyDiv w:val="1"/>
      <w:marLeft w:val="0"/>
      <w:marRight w:val="0"/>
      <w:marTop w:val="0"/>
      <w:marBottom w:val="0"/>
      <w:divBdr>
        <w:top w:val="none" w:sz="0" w:space="0" w:color="auto"/>
        <w:left w:val="none" w:sz="0" w:space="0" w:color="auto"/>
        <w:bottom w:val="none" w:sz="0" w:space="0" w:color="auto"/>
        <w:right w:val="none" w:sz="0" w:space="0" w:color="auto"/>
      </w:divBdr>
    </w:div>
    <w:div w:id="1551843325">
      <w:bodyDiv w:val="1"/>
      <w:marLeft w:val="0"/>
      <w:marRight w:val="0"/>
      <w:marTop w:val="0"/>
      <w:marBottom w:val="0"/>
      <w:divBdr>
        <w:top w:val="none" w:sz="0" w:space="0" w:color="auto"/>
        <w:left w:val="none" w:sz="0" w:space="0" w:color="auto"/>
        <w:bottom w:val="none" w:sz="0" w:space="0" w:color="auto"/>
        <w:right w:val="none" w:sz="0" w:space="0" w:color="auto"/>
      </w:divBdr>
    </w:div>
    <w:div w:id="1680355303">
      <w:bodyDiv w:val="1"/>
      <w:marLeft w:val="0"/>
      <w:marRight w:val="0"/>
      <w:marTop w:val="0"/>
      <w:marBottom w:val="0"/>
      <w:divBdr>
        <w:top w:val="none" w:sz="0" w:space="0" w:color="auto"/>
        <w:left w:val="none" w:sz="0" w:space="0" w:color="auto"/>
        <w:bottom w:val="none" w:sz="0" w:space="0" w:color="auto"/>
        <w:right w:val="none" w:sz="0" w:space="0" w:color="auto"/>
      </w:divBdr>
    </w:div>
    <w:div w:id="168639963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37402453">
      <w:bodyDiv w:val="1"/>
      <w:marLeft w:val="0"/>
      <w:marRight w:val="0"/>
      <w:marTop w:val="0"/>
      <w:marBottom w:val="0"/>
      <w:divBdr>
        <w:top w:val="none" w:sz="0" w:space="0" w:color="auto"/>
        <w:left w:val="none" w:sz="0" w:space="0" w:color="auto"/>
        <w:bottom w:val="none" w:sz="0" w:space="0" w:color="auto"/>
        <w:right w:val="none" w:sz="0" w:space="0" w:color="auto"/>
      </w:divBdr>
    </w:div>
    <w:div w:id="194014245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05814744">
      <w:bodyDiv w:val="1"/>
      <w:marLeft w:val="0"/>
      <w:marRight w:val="0"/>
      <w:marTop w:val="0"/>
      <w:marBottom w:val="0"/>
      <w:divBdr>
        <w:top w:val="none" w:sz="0" w:space="0" w:color="auto"/>
        <w:left w:val="none" w:sz="0" w:space="0" w:color="auto"/>
        <w:bottom w:val="none" w:sz="0" w:space="0" w:color="auto"/>
        <w:right w:val="none" w:sz="0" w:space="0" w:color="auto"/>
      </w:divBdr>
    </w:div>
    <w:div w:id="205248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https://doi.org/10.1002/mus.265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doi.org/10.2147/tacg.s69969"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E1EBB-5E5F-4B69-BFA0-7C9FE6427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392</TotalTime>
  <Pages>19</Pages>
  <Words>8198</Words>
  <Characters>46734</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54823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1158</cp:lastModifiedBy>
  <cp:revision>89</cp:revision>
  <cp:lastPrinted>1999-07-06T11:00:00Z</cp:lastPrinted>
  <dcterms:created xsi:type="dcterms:W3CDTF">2014-10-25T14:34:00Z</dcterms:created>
  <dcterms:modified xsi:type="dcterms:W3CDTF">2026-02-07T12:57:00Z</dcterms:modified>
</cp:coreProperties>
</file>