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4C9A7" w14:textId="695CF80E" w:rsidR="00140CE3" w:rsidRDefault="00485BD2">
      <w:pPr>
        <w:spacing w:line="278"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lang w:val="en-GB"/>
        </w:rPr>
        <w:t>Defect Engineering in UiO-66: Correlating Structural Modifications with Phenol Adsorption Performance through Comprehensive Kinetic, Isotherm and Thermodynamic Analysis</w:t>
      </w:r>
    </w:p>
    <w:p w14:paraId="27E90B46" w14:textId="77777777" w:rsidR="00140CE3" w:rsidRDefault="00485BD2">
      <w:pPr>
        <w:spacing w:line="278" w:lineRule="auto"/>
        <w:rPr>
          <w:rFonts w:ascii="Times New Roman" w:hAnsi="Times New Roman" w:cs="Times New Roman"/>
          <w:b/>
          <w:bCs/>
          <w:kern w:val="16"/>
          <w:sz w:val="24"/>
          <w:szCs w:val="24"/>
          <w14:ligatures w14:val="standardContextual"/>
        </w:rPr>
      </w:pPr>
      <w:r>
        <w:rPr>
          <w:rFonts w:ascii="Times New Roman" w:hAnsi="Times New Roman" w:cs="Times New Roman"/>
          <w:bCs/>
          <w:kern w:val="2"/>
          <w:sz w:val="24"/>
          <w:szCs w:val="24"/>
          <w:vertAlign w:val="superscript"/>
          <w14:ligatures w14:val="standardContextual"/>
        </w:rPr>
        <w:t xml:space="preserve">  </w:t>
      </w:r>
      <w:r>
        <w:rPr>
          <w:rFonts w:ascii="Times New Roman" w:hAnsi="Times New Roman" w:cs="Times New Roman"/>
          <w:b/>
          <w:bCs/>
          <w:sz w:val="24"/>
          <w:szCs w:val="24"/>
        </w:rPr>
        <w:t>ABSTRACT</w:t>
      </w:r>
    </w:p>
    <w:p w14:paraId="32623CCB" w14:textId="3D80F0DC" w:rsidR="00140CE3" w:rsidRDefault="00485BD2" w:rsidP="00C52C12">
      <w:pPr>
        <w:spacing w:line="360" w:lineRule="auto"/>
        <w:jc w:val="both"/>
        <w:rPr>
          <w:sz w:val="24"/>
          <w:szCs w:val="24"/>
        </w:rPr>
      </w:pPr>
      <w:r>
        <w:rPr>
          <w:rFonts w:ascii="Times New Roman" w:eastAsia="SimSun" w:hAnsi="Times New Roman" w:cs="Times New Roman"/>
          <w:sz w:val="24"/>
          <w:szCs w:val="24"/>
          <w:lang w:eastAsia="zh-CN" w:bidi="ar"/>
        </w:rPr>
        <w:t xml:space="preserve">Aquatic habitats are seriously threatened by phenolic chemicals found in industrial effluents, which calls for effective remediation techniques. This study uses thorough kinetic, isotherm, and thermodynamic analyses to examine how defect engineering affects the adsorptive performance of UiO-66 metal-organic frameworks for phenol elimination. Hydrothermal synthesis was used to create both defective and non-defective UiO-66, with EDTA acting as a modifying agent to introduce defects. FT-IR, XRD, TGA, DSC, SEM, and nitrogen physisorption were used to </w:t>
      </w:r>
      <w:proofErr w:type="spellStart"/>
      <w:r>
        <w:rPr>
          <w:rFonts w:ascii="Times New Roman" w:eastAsia="SimSun" w:hAnsi="Times New Roman" w:cs="Times New Roman"/>
          <w:sz w:val="24"/>
          <w:szCs w:val="24"/>
          <w:lang w:eastAsia="zh-CN" w:bidi="ar"/>
        </w:rPr>
        <w:t>characterise</w:t>
      </w:r>
      <w:proofErr w:type="spellEnd"/>
      <w:r>
        <w:rPr>
          <w:rFonts w:ascii="Times New Roman" w:eastAsia="SimSun" w:hAnsi="Times New Roman" w:cs="Times New Roman"/>
          <w:sz w:val="24"/>
          <w:szCs w:val="24"/>
          <w:lang w:eastAsia="zh-CN" w:bidi="ar"/>
        </w:rPr>
        <w:t xml:space="preserve"> the materials. The faulty sample showed signs of missing-linker defects, such as hierarchical porosity, uncoordinated carboxylate groups, and noticeable peak broadening. Both adsorbents achieved &gt;95</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phenol elimination in 30 minutes, according to batch adsorption experiments that assessed the effects of concentration, dose, pH, duration, and temperature.</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While defective UiO-66 demonstrated enhanced uptake at pH 1 (98.7</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and minimal dosage (97.4</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at 0.1 g), which was attributed to hierarchical porosity from missing-linker defects, non-defective UiO-66 performed better at low concentrations (96.9</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at 10 mg/L) and across a range of pH conditions because of its uniform pore architecture. Although the defective framework also fitted </w:t>
      </w:r>
      <w:proofErr w:type="spellStart"/>
      <w:r>
        <w:rPr>
          <w:rFonts w:ascii="Times New Roman" w:eastAsia="SimSun" w:hAnsi="Times New Roman" w:cs="Times New Roman"/>
          <w:sz w:val="24"/>
          <w:szCs w:val="24"/>
          <w:lang w:eastAsia="zh-CN" w:bidi="ar"/>
        </w:rPr>
        <w:t>Elovich</w:t>
      </w:r>
      <w:proofErr w:type="spellEnd"/>
      <w:r>
        <w:rPr>
          <w:rFonts w:ascii="Times New Roman" w:eastAsia="SimSun" w:hAnsi="Times New Roman" w:cs="Times New Roman"/>
          <w:sz w:val="24"/>
          <w:szCs w:val="24"/>
          <w:lang w:eastAsia="zh-CN" w:bidi="ar"/>
        </w:rPr>
        <w:t xml:space="preserve"> and intraparticle diffusion models, demonstrating site heterogeneity, the kinetic data preferred pseudo-first-order models (R</w:t>
      </w:r>
      <w:r>
        <w:rPr>
          <w:rFonts w:ascii="Times New Roman" w:eastAsia="SimSun" w:hAnsi="Times New Roman" w:cs="Times New Roman"/>
          <w:sz w:val="24"/>
          <w:szCs w:val="24"/>
          <w:vertAlign w:val="superscript"/>
          <w:lang w:eastAsia="zh-CN" w:bidi="ar"/>
        </w:rPr>
        <w:t>2</w:t>
      </w:r>
      <w:r>
        <w:rPr>
          <w:rFonts w:ascii="Arial" w:eastAsia="SimSun" w:hAnsi="Arial" w:cs="Arial"/>
          <w:sz w:val="24"/>
          <w:szCs w:val="24"/>
          <w:vertAlign w:val="superscript"/>
          <w:lang w:eastAsia="zh-CN" w:bidi="ar"/>
        </w:rPr>
        <w:t>≈</w:t>
      </w:r>
      <w:r>
        <w:rPr>
          <w:rFonts w:ascii="Times New Roman" w:eastAsia="SimSun" w:hAnsi="Times New Roman" w:cs="Times New Roman"/>
          <w:sz w:val="24"/>
          <w:szCs w:val="24"/>
          <w:lang w:eastAsia="zh-CN" w:bidi="ar"/>
        </w:rPr>
        <w:t>1.000), suggesting physisorption dominance.</w:t>
      </w:r>
      <w:r w:rsidR="00A51342">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Differential model preferences were revealed by isotherm analysis; non-defective UiO-66 aligned with Freundlich and Redlich-Peterson formalisms, while defective UiO-66 best fit Langmuir and Temkin. For both materials, thermodynamic characteristics verified entropy-driven, exothermic, and spontaneous adsorption. These results show that UiO-66 adsorption qualities may be strategically tuned through defect engineering, with non-defective versions performing best in quick, ambient-temperature water purification treatments and defective frameworks being best suited for high-temperature, prolonged-contact situations.</w:t>
      </w:r>
    </w:p>
    <w:p w14:paraId="7DC312B5" w14:textId="77777777" w:rsidR="00140CE3" w:rsidRDefault="00485BD2" w:rsidP="00C52C12">
      <w:pPr>
        <w:pStyle w:val="NormalWeb"/>
        <w:shd w:val="clear" w:color="auto" w:fill="FFFFFF"/>
        <w:spacing w:before="240" w:after="0" w:line="360" w:lineRule="auto"/>
        <w:jc w:val="both"/>
        <w:rPr>
          <w:rFonts w:ascii="Times New Roman" w:hAnsi="Times New Roman" w:cs="Times New Roman"/>
          <w:kern w:val="2"/>
          <w14:ligatures w14:val="standardContextual"/>
        </w:rPr>
      </w:pPr>
      <w:r>
        <w:rPr>
          <w:rStyle w:val="Strong"/>
          <w:rFonts w:ascii="Times New Roman" w:eastAsia="Segoe UI" w:hAnsi="Times New Roman" w:cs="Times New Roman"/>
          <w:color w:val="0F1115"/>
          <w:shd w:val="clear" w:color="auto" w:fill="FFFFFF"/>
        </w:rPr>
        <w:t>Keywords:</w:t>
      </w:r>
      <w:r>
        <w:rPr>
          <w:rFonts w:ascii="Times New Roman" w:eastAsia="Segoe UI" w:hAnsi="Times New Roman" w:cs="Times New Roman"/>
          <w:color w:val="0F1115"/>
          <w:shd w:val="clear" w:color="auto" w:fill="FFFFFF"/>
        </w:rPr>
        <w:t> Defect engineering, UiO-66, Phenol adsorption, Metal-organic frameworks, Water treatment</w:t>
      </w:r>
    </w:p>
    <w:p w14:paraId="3FB19739" w14:textId="77777777" w:rsidR="00140CE3" w:rsidRDefault="00485BD2">
      <w:pPr>
        <w:keepNext/>
        <w:keepLines/>
        <w:numPr>
          <w:ilvl w:val="0"/>
          <w:numId w:val="1"/>
        </w:numPr>
        <w:spacing w:before="360" w:after="0" w:line="360" w:lineRule="auto"/>
        <w:ind w:left="360"/>
        <w:jc w:val="both"/>
        <w:outlineLvl w:val="0"/>
        <w:rPr>
          <w:rFonts w:ascii="Times New Roman" w:eastAsiaTheme="majorEastAsia" w:hAnsi="Times New Roman" w:cstheme="majorBidi"/>
          <w:b/>
          <w:color w:val="000000" w:themeColor="text1"/>
          <w:kern w:val="2"/>
          <w:sz w:val="24"/>
          <w:szCs w:val="40"/>
          <w14:ligatures w14:val="standardContextual"/>
        </w:rPr>
      </w:pPr>
      <w:r>
        <w:rPr>
          <w:rFonts w:ascii="Times New Roman" w:eastAsiaTheme="majorEastAsia" w:hAnsi="Times New Roman" w:cstheme="majorBidi"/>
          <w:b/>
          <w:color w:val="000000" w:themeColor="text1"/>
          <w:kern w:val="2"/>
          <w:sz w:val="24"/>
          <w:szCs w:val="40"/>
          <w14:ligatures w14:val="standardContextual"/>
        </w:rPr>
        <w:t>INTRODUCTION</w:t>
      </w:r>
    </w:p>
    <w:p w14:paraId="1B034E16" w14:textId="51C1F2B0" w:rsidR="00140CE3" w:rsidRDefault="00485BD2" w:rsidP="00C52C12">
      <w:pPr>
        <w:spacing w:line="360" w:lineRule="auto"/>
        <w:jc w:val="both"/>
      </w:pPr>
      <w:r>
        <w:rPr>
          <w:rFonts w:ascii="Times New Roman" w:eastAsia="SimSun" w:hAnsi="Times New Roman" w:cs="Times New Roman"/>
          <w:sz w:val="24"/>
          <w:szCs w:val="24"/>
          <w:lang w:eastAsia="zh-CN" w:bidi="ar"/>
        </w:rPr>
        <w:t xml:space="preserve">Ecosystems and human health are seriously threatened by the ongoing discharge of phenolic compounds into aquatic environments from industrial processes like plastics production, </w:t>
      </w:r>
      <w:r>
        <w:rPr>
          <w:rFonts w:ascii="Times New Roman" w:eastAsia="SimSun" w:hAnsi="Times New Roman" w:cs="Times New Roman"/>
          <w:sz w:val="24"/>
          <w:szCs w:val="24"/>
          <w:lang w:eastAsia="zh-CN" w:bidi="ar"/>
        </w:rPr>
        <w:lastRenderedPageBreak/>
        <w:t>pharmaceutical manufacturing, and petroleum refining. These chemicals' high toxicity, persistence, and possible carcinogenic qualities are the cause of this difficulty. Since the maximum allowed concentration of phenol and its derivatives in wastewater is 1 ppm (mg/kg⁻¹), the removal of phenolic compounds from contaminated water has received a lot of attention. Nevertheless, this process is still challenging because of the high stability and solubility of these compounds in water [1].</w:t>
      </w:r>
      <w:r w:rsidR="00E8638C">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Phenol has been classified as a priority pollutant due to its negative effects on environmental organisms [2, 3]. Because phenol is highly stable and soluble in water, it is extremely challenging to remove from wastewater [4]. For this reason, conventional treatment methods including membrane filtration, chemical oxidation, and biological degradation have frequently failed. These strategies have disadvantages, including partial eradication, high running costs, and reliance on non-sustainable practices.</w:t>
      </w:r>
    </w:p>
    <w:p w14:paraId="68D75671" w14:textId="77777777" w:rsidR="00140CE3" w:rsidRDefault="00485BD2" w:rsidP="00C52C12">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bidi="ar"/>
        </w:rPr>
        <w:t>On the other hand, adsorption has emerged as a practical, effective, and cost-effective method for removing pollutants; the properties of the adsorbent material greatly influence how well contaminants are removed [5]. Recent studies have shown that metal–organic frameworks (MOFs) are a new class of porous crystalline materials with high surface areas, high absorption capacities, adaptable architectures, and a variety of functionalities that make them effective adsorbents for adsorption-based water purification.</w:t>
      </w:r>
    </w:p>
    <w:p w14:paraId="281C0C96" w14:textId="77777777" w:rsidR="00140CE3" w:rsidRDefault="00485BD2" w:rsidP="00C52C12">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Because of its high surface area, structural rigidity, water resistance, thermal and chemical stability, and well-defined pores that provide efficient access for pollutant molecules, UiO-66, a zirconium-based MOF composed of </w:t>
      </w:r>
      <w:proofErr w:type="spellStart"/>
      <w:r>
        <w:rPr>
          <w:rFonts w:ascii="Times New Roman" w:eastAsia="SimSun" w:hAnsi="Times New Roman" w:cs="Times New Roman"/>
          <w:sz w:val="24"/>
          <w:szCs w:val="24"/>
          <w:lang w:eastAsia="zh-CN" w:bidi="ar"/>
        </w:rPr>
        <w:t>Zr₆O</w:t>
      </w:r>
      <w:proofErr w:type="spellEnd"/>
      <w:r>
        <w:rPr>
          <w:rFonts w:ascii="Times New Roman" w:eastAsia="SimSun" w:hAnsi="Times New Roman" w:cs="Times New Roman"/>
          <w:sz w:val="24"/>
          <w:szCs w:val="24"/>
          <w:lang w:eastAsia="zh-CN" w:bidi="ar"/>
        </w:rPr>
        <w:t>₄(OH)₄ clusters and terephthalate (BDC) linkers, has shown itself to be an effective adsorbent for removing a variety of contaminants from water, including dyes, heavy metals, and organic compounds [6].</w:t>
      </w:r>
    </w:p>
    <w:p w14:paraId="5CAF4D76" w14:textId="24A77CA2" w:rsidR="00140CE3" w:rsidRPr="00E8638C" w:rsidRDefault="00485BD2" w:rsidP="00C52C12">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bidi="ar"/>
        </w:rPr>
        <w:t>Few studies have explicitly looked at UiO-66 as a possible adsorbent for phenol, despite the fact that many have investigated the usage of MOFs in the adsorption of various organic pollutants [7–</w:t>
      </w:r>
      <w:r w:rsidR="00C52C12">
        <w:rPr>
          <w:rFonts w:ascii="Times New Roman" w:eastAsia="SimSun" w:hAnsi="Times New Roman" w:cs="Times New Roman"/>
          <w:sz w:val="24"/>
          <w:szCs w:val="24"/>
          <w:lang w:eastAsia="zh-CN" w:bidi="ar"/>
        </w:rPr>
        <w:t>10</w:t>
      </w:r>
      <w:r>
        <w:rPr>
          <w:rFonts w:ascii="Times New Roman" w:eastAsia="SimSun" w:hAnsi="Times New Roman" w:cs="Times New Roman"/>
          <w:sz w:val="24"/>
          <w:szCs w:val="24"/>
          <w:lang w:eastAsia="zh-CN" w:bidi="ar"/>
        </w:rPr>
        <w:t xml:space="preserve">]. This disparity suggests a paucity of knowledge regarding its mechanism and efficacy in phenol elimination. With a focus on adsorption kinetics, thermodynamics, and isotherm features, this work examines the </w:t>
      </w:r>
      <w:proofErr w:type="spellStart"/>
      <w:r>
        <w:rPr>
          <w:rFonts w:ascii="Times New Roman" w:eastAsia="SimSun" w:hAnsi="Times New Roman" w:cs="Times New Roman"/>
          <w:sz w:val="24"/>
          <w:szCs w:val="24"/>
          <w:lang w:eastAsia="zh-CN" w:bidi="ar"/>
        </w:rPr>
        <w:t>behaviour</w:t>
      </w:r>
      <w:proofErr w:type="spellEnd"/>
      <w:r>
        <w:rPr>
          <w:rFonts w:ascii="Times New Roman" w:eastAsia="SimSun" w:hAnsi="Times New Roman" w:cs="Times New Roman"/>
          <w:sz w:val="24"/>
          <w:szCs w:val="24"/>
          <w:lang w:eastAsia="zh-CN" w:bidi="ar"/>
        </w:rPr>
        <w:t xml:space="preserve"> of both defective and non-defective UiO-66 MOFs in the adsorption of phenol from aqueous solution. The results of this work will aid in the creation of effective and sustainable adsorbents for environmental remediation as well as a better understanding of the structure-performance correlations in MOFs for water treatment applications.</w:t>
      </w:r>
    </w:p>
    <w:p w14:paraId="4C3B9AE2" w14:textId="77777777" w:rsidR="00140CE3" w:rsidRDefault="00485BD2" w:rsidP="00C52C12">
      <w:pPr>
        <w:pStyle w:val="NormalWeb"/>
        <w:numPr>
          <w:ilvl w:val="0"/>
          <w:numId w:val="1"/>
        </w:numPr>
        <w:spacing w:after="0" w:line="360" w:lineRule="auto"/>
        <w:ind w:left="360"/>
        <w:rPr>
          <w:rFonts w:ascii="Times New Roman" w:eastAsia="Segoe UI" w:hAnsi="Times New Roman" w:cs="Times New Roman"/>
          <w:b/>
          <w:bCs/>
          <w:color w:val="0F1115"/>
          <w:shd w:val="clear" w:color="auto" w:fill="FFFFFF"/>
        </w:rPr>
      </w:pPr>
      <w:r>
        <w:rPr>
          <w:rFonts w:ascii="Times New Roman" w:eastAsia="Segoe UI" w:hAnsi="Times New Roman" w:cs="Times New Roman"/>
          <w:b/>
          <w:bCs/>
          <w:color w:val="0F1115"/>
          <w:shd w:val="clear" w:color="auto" w:fill="FFFFFF"/>
        </w:rPr>
        <w:t>MATERIALS AND METHODS</w:t>
      </w:r>
    </w:p>
    <w:p w14:paraId="25B1A2F9" w14:textId="77777777" w:rsidR="00140CE3" w:rsidRDefault="00485BD2" w:rsidP="00C52C12">
      <w:pPr>
        <w:pStyle w:val="NormalWeb"/>
        <w:spacing w:after="0" w:line="360" w:lineRule="auto"/>
        <w:rPr>
          <w:rFonts w:ascii="Segoe UI" w:eastAsia="Segoe UI" w:hAnsi="Segoe UI" w:cs="Segoe UI"/>
          <w:color w:val="0F1115"/>
        </w:rPr>
      </w:pPr>
      <w:r>
        <w:rPr>
          <w:rStyle w:val="Strong"/>
          <w:rFonts w:ascii="Segoe UI" w:eastAsia="Segoe UI" w:hAnsi="Segoe UI" w:cs="Segoe UI"/>
          <w:color w:val="0F1115"/>
          <w:shd w:val="clear" w:color="auto" w:fill="FFFFFF"/>
        </w:rPr>
        <w:t>2.1. MATERIALS</w:t>
      </w:r>
    </w:p>
    <w:p w14:paraId="2AC60040" w14:textId="1081929A" w:rsidR="00140CE3" w:rsidRDefault="00485BD2" w:rsidP="00C24AD6">
      <w:pPr>
        <w:spacing w:line="360" w:lineRule="auto"/>
        <w:jc w:val="both"/>
      </w:pPr>
      <w:r>
        <w:rPr>
          <w:rFonts w:ascii="Times New Roman" w:eastAsia="SimSun" w:hAnsi="Times New Roman" w:cs="Times New Roman"/>
          <w:sz w:val="24"/>
          <w:szCs w:val="24"/>
          <w:lang w:eastAsia="zh-CN" w:bidi="ar"/>
        </w:rPr>
        <w:lastRenderedPageBreak/>
        <w:t>Zirconium chloride (</w:t>
      </w:r>
      <w:proofErr w:type="spellStart"/>
      <w:r>
        <w:rPr>
          <w:rFonts w:ascii="Times New Roman" w:eastAsia="SimSun" w:hAnsi="Times New Roman" w:cs="Times New Roman"/>
          <w:sz w:val="24"/>
          <w:szCs w:val="24"/>
          <w:lang w:eastAsia="zh-CN" w:bidi="ar"/>
        </w:rPr>
        <w:t>ZrCl</w:t>
      </w:r>
      <w:proofErr w:type="spellEnd"/>
      <w:r>
        <w:rPr>
          <w:rFonts w:ascii="Times New Roman" w:eastAsia="SimSun" w:hAnsi="Times New Roman" w:cs="Times New Roman"/>
          <w:sz w:val="24"/>
          <w:szCs w:val="24"/>
          <w:lang w:eastAsia="zh-CN" w:bidi="ar"/>
        </w:rPr>
        <w:t>₄, 98</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phenol (C₆H₅OH,</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99</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methanol (CH₃OH, 99.8</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terephthalic acid (C₈H₆O₄, 99</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ethylenediaminetetraacetic acid (EDTA, 99</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and 2-propanol (C₃H₈O, 99.5</w:t>
      </w:r>
      <w:r w:rsidR="0078779D">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were all acquired from Sigma Aldrich (USA). All of the chemicals </w:t>
      </w:r>
      <w:proofErr w:type="spellStart"/>
      <w:r>
        <w:rPr>
          <w:rFonts w:ascii="Times New Roman" w:eastAsia="SimSun" w:hAnsi="Times New Roman" w:cs="Times New Roman"/>
          <w:sz w:val="24"/>
          <w:szCs w:val="24"/>
          <w:lang w:eastAsia="zh-CN" w:bidi="ar"/>
        </w:rPr>
        <w:t>utilised</w:t>
      </w:r>
      <w:proofErr w:type="spellEnd"/>
      <w:r>
        <w:rPr>
          <w:rFonts w:ascii="Times New Roman" w:eastAsia="SimSun" w:hAnsi="Times New Roman" w:cs="Times New Roman"/>
          <w:sz w:val="24"/>
          <w:szCs w:val="24"/>
          <w:lang w:eastAsia="zh-CN" w:bidi="ar"/>
        </w:rPr>
        <w:t xml:space="preserve"> were analytical grade and didn't require any additional purification. All of the studies were conducted using de-ionized water.</w:t>
      </w:r>
    </w:p>
    <w:p w14:paraId="0A53B274" w14:textId="77777777" w:rsidR="00140CE3" w:rsidRDefault="00485BD2" w:rsidP="00C52C12">
      <w:pPr>
        <w:pStyle w:val="NormalWeb"/>
        <w:shd w:val="clear" w:color="auto" w:fill="FFFFFF"/>
        <w:spacing w:after="240" w:line="360" w:lineRule="auto"/>
        <w:jc w:val="both"/>
        <w:rPr>
          <w:rFonts w:ascii="Times New Roman" w:eastAsia="Segoe UI" w:hAnsi="Times New Roman" w:cs="Times New Roman"/>
          <w:b/>
          <w:bCs/>
          <w:color w:val="0F1115"/>
        </w:rPr>
      </w:pPr>
      <w:r>
        <w:rPr>
          <w:rFonts w:ascii="Times New Roman" w:eastAsia="Segoe UI" w:hAnsi="Times New Roman" w:cs="Times New Roman"/>
          <w:b/>
          <w:bCs/>
          <w:color w:val="0F1115"/>
          <w:shd w:val="clear" w:color="auto" w:fill="FFFFFF"/>
        </w:rPr>
        <w:t>2.2 METHODS</w:t>
      </w:r>
    </w:p>
    <w:p w14:paraId="47F1C623" w14:textId="05814637" w:rsidR="00140CE3" w:rsidRDefault="00485BD2" w:rsidP="00C52C12">
      <w:pPr>
        <w:spacing w:line="360" w:lineRule="auto"/>
        <w:jc w:val="both"/>
      </w:pPr>
      <w:r>
        <w:rPr>
          <w:rFonts w:ascii="Times New Roman" w:eastAsia="SimSun" w:hAnsi="Times New Roman" w:cs="Times New Roman"/>
          <w:b/>
          <w:bCs/>
          <w:sz w:val="24"/>
          <w:szCs w:val="24"/>
          <w:lang w:eastAsia="zh-CN" w:bidi="ar"/>
        </w:rPr>
        <w:t>2.2.1 Synthesis of Defect</w:t>
      </w:r>
      <w:r w:rsidR="00A51342">
        <w:rPr>
          <w:rFonts w:ascii="Times New Roman" w:eastAsia="SimSun" w:hAnsi="Times New Roman" w:cs="Times New Roman"/>
          <w:b/>
          <w:bCs/>
          <w:sz w:val="24"/>
          <w:szCs w:val="24"/>
          <w:lang w:eastAsia="zh-CN" w:bidi="ar"/>
        </w:rPr>
        <w:t>ive</w:t>
      </w:r>
      <w:r>
        <w:rPr>
          <w:rFonts w:ascii="Times New Roman" w:eastAsia="SimSun" w:hAnsi="Times New Roman" w:cs="Times New Roman"/>
          <w:b/>
          <w:bCs/>
          <w:sz w:val="24"/>
          <w:szCs w:val="24"/>
          <w:lang w:eastAsia="zh-CN" w:bidi="ar"/>
        </w:rPr>
        <w:t xml:space="preserve"> and Non-Defect</w:t>
      </w:r>
      <w:r w:rsidR="00A51342">
        <w:rPr>
          <w:rFonts w:ascii="Times New Roman" w:eastAsia="SimSun" w:hAnsi="Times New Roman" w:cs="Times New Roman"/>
          <w:b/>
          <w:bCs/>
          <w:sz w:val="24"/>
          <w:szCs w:val="24"/>
          <w:lang w:eastAsia="zh-CN" w:bidi="ar"/>
        </w:rPr>
        <w:t>ive</w:t>
      </w:r>
      <w:r>
        <w:rPr>
          <w:rFonts w:ascii="Times New Roman" w:eastAsia="SimSun" w:hAnsi="Times New Roman" w:cs="Times New Roman"/>
          <w:b/>
          <w:bCs/>
          <w:sz w:val="24"/>
          <w:szCs w:val="24"/>
          <w:lang w:eastAsia="zh-CN" w:bidi="ar"/>
        </w:rPr>
        <w:t xml:space="preserve"> </w:t>
      </w:r>
      <w:r w:rsidR="00A51342">
        <w:rPr>
          <w:rFonts w:ascii="Times New Roman" w:eastAsia="SimSun" w:hAnsi="Times New Roman" w:cs="Times New Roman"/>
          <w:b/>
          <w:bCs/>
          <w:sz w:val="24"/>
          <w:szCs w:val="24"/>
          <w:lang w:eastAsia="zh-CN" w:bidi="ar"/>
        </w:rPr>
        <w:t>UiO-66</w:t>
      </w:r>
      <w:r>
        <w:rPr>
          <w:rFonts w:ascii="SimSun" w:eastAsia="SimSun" w:hAnsi="SimSun" w:cs="SimSun"/>
          <w:sz w:val="24"/>
          <w:szCs w:val="24"/>
          <w:lang w:eastAsia="zh-CN" w:bidi="ar"/>
        </w:rPr>
        <w:br/>
      </w:r>
      <w:proofErr w:type="spellStart"/>
      <w:r>
        <w:rPr>
          <w:rFonts w:ascii="Times New Roman" w:eastAsia="SimSun" w:hAnsi="Times New Roman" w:cs="Times New Roman"/>
          <w:sz w:val="24"/>
          <w:szCs w:val="24"/>
          <w:lang w:eastAsia="zh-CN" w:bidi="ar"/>
        </w:rPr>
        <w:t>Zr</w:t>
      </w:r>
      <w:proofErr w:type="spellEnd"/>
      <w:r>
        <w:rPr>
          <w:rFonts w:ascii="Times New Roman" w:eastAsia="SimSun" w:hAnsi="Times New Roman" w:cs="Times New Roman"/>
          <w:sz w:val="24"/>
          <w:szCs w:val="24"/>
          <w:lang w:eastAsia="zh-CN" w:bidi="ar"/>
        </w:rPr>
        <w:t xml:space="preserve">-based MOFs were </w:t>
      </w:r>
      <w:proofErr w:type="spellStart"/>
      <w:r>
        <w:rPr>
          <w:rFonts w:ascii="Times New Roman" w:eastAsia="SimSun" w:hAnsi="Times New Roman" w:cs="Times New Roman"/>
          <w:sz w:val="24"/>
          <w:szCs w:val="24"/>
          <w:lang w:eastAsia="zh-CN" w:bidi="ar"/>
        </w:rPr>
        <w:t>synthesised</w:t>
      </w:r>
      <w:proofErr w:type="spellEnd"/>
      <w:r>
        <w:rPr>
          <w:rFonts w:ascii="Times New Roman" w:eastAsia="SimSun" w:hAnsi="Times New Roman" w:cs="Times New Roman"/>
          <w:sz w:val="24"/>
          <w:szCs w:val="24"/>
          <w:lang w:eastAsia="zh-CN" w:bidi="ar"/>
        </w:rPr>
        <w:t xml:space="preserve"> under hydrothermal conditions with minor modifications using a previously described process [1</w:t>
      </w:r>
      <w:r w:rsidR="00C52C12">
        <w:rPr>
          <w:rFonts w:ascii="Times New Roman" w:eastAsia="SimSun" w:hAnsi="Times New Roman" w:cs="Times New Roman"/>
          <w:sz w:val="24"/>
          <w:szCs w:val="24"/>
          <w:lang w:eastAsia="zh-CN" w:bidi="ar"/>
        </w:rPr>
        <w:t>1</w:t>
      </w:r>
      <w:r>
        <w:rPr>
          <w:rFonts w:ascii="Times New Roman" w:eastAsia="SimSun" w:hAnsi="Times New Roman" w:cs="Times New Roman"/>
          <w:sz w:val="24"/>
          <w:szCs w:val="24"/>
          <w:lang w:eastAsia="zh-CN" w:bidi="ar"/>
        </w:rPr>
        <w:t xml:space="preserve">]. The specific amount of terephthalic acid added was 1.0 g (6.02 mmol) to 50 mL of a solution (20 mL/259.95 mmol DMF: 15 mL/195.92 mmol 2-propanol). Next, 1.4 g (6.0 mmol) of zirconium chloride was dissolved in a mixture of distilled water, propanol, DMF, and terephthalic acid. The mixture was stirred for 30 minutes before being moved to a stainless autoclave reactor lined with Teflon and heated for four hours to 120 °C. The crystal product was filtered and cleaned for five days using methanol. In order to eliminate any remaining impurities from the combination, UiO-66 (Zr) was activated for 72 hours at 70 °C. In place of 15 mL/833.33 mmol distilled water, 15 mL/833.33 mmol 0.1M EDTA was </w:t>
      </w:r>
      <w:proofErr w:type="spellStart"/>
      <w:r>
        <w:rPr>
          <w:rFonts w:ascii="Times New Roman" w:eastAsia="SimSun" w:hAnsi="Times New Roman" w:cs="Times New Roman"/>
          <w:sz w:val="24"/>
          <w:szCs w:val="24"/>
          <w:lang w:eastAsia="zh-CN" w:bidi="ar"/>
        </w:rPr>
        <w:t>utilised</w:t>
      </w:r>
      <w:proofErr w:type="spellEnd"/>
      <w:r>
        <w:rPr>
          <w:rFonts w:ascii="Times New Roman" w:eastAsia="SimSun" w:hAnsi="Times New Roman" w:cs="Times New Roman"/>
          <w:sz w:val="24"/>
          <w:szCs w:val="24"/>
          <w:lang w:eastAsia="zh-CN" w:bidi="ar"/>
        </w:rPr>
        <w:t xml:space="preserve"> for the defective MOFs.</w:t>
      </w:r>
    </w:p>
    <w:p w14:paraId="53EBA26A" w14:textId="77777777" w:rsidR="00140CE3" w:rsidRDefault="00485BD2" w:rsidP="00C52C12">
      <w:pPr>
        <w:spacing w:line="360" w:lineRule="auto"/>
        <w:jc w:val="both"/>
      </w:pPr>
      <w:r>
        <w:rPr>
          <w:rFonts w:ascii="Times New Roman" w:eastAsia="SimSun" w:hAnsi="Times New Roman" w:cs="Times New Roman"/>
          <w:b/>
          <w:bCs/>
          <w:sz w:val="24"/>
          <w:szCs w:val="24"/>
          <w:lang w:eastAsia="zh-CN" w:bidi="ar"/>
        </w:rPr>
        <w:t xml:space="preserve">2.2.2 Stock Solution Preparation </w:t>
      </w:r>
      <w:r>
        <w:rPr>
          <w:rFonts w:ascii="Times New Roman" w:eastAsia="SimSun" w:hAnsi="Times New Roman" w:cs="Times New Roman"/>
          <w:sz w:val="24"/>
          <w:szCs w:val="24"/>
          <w:lang w:eastAsia="zh-CN" w:bidi="ar"/>
        </w:rPr>
        <w:br/>
        <w:t>A portion of the stock standard solution was diluted with de-ionized water to create the standard solutions. 0.05 g of phenol was dissolved in 100 mL of de-ionized water in a beaker with constant stirring with a magnetic stirrer at room temperature until total dissolution took place, creating a stock solution with a concentration of 50 mg/L. After being moved into a 1000 mL volumetric flask, the solution was diluted to the necessary volume. The stock solution was serially diluted to achieve the necessary standard concentrations of 10–50 mg/L of phenol in aqueous solution.</w:t>
      </w:r>
    </w:p>
    <w:p w14:paraId="11C2AB54" w14:textId="77777777"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2.2.3 Batch Adsorption Studies</w:t>
      </w:r>
    </w:p>
    <w:p w14:paraId="743381CA" w14:textId="77777777" w:rsidR="00140CE3" w:rsidRDefault="00485BD2" w:rsidP="00C52C12">
      <w:pPr>
        <w:spacing w:line="360" w:lineRule="auto"/>
        <w:jc w:val="both"/>
        <w:rPr>
          <w:rFonts w:cs="Times New Roman"/>
          <w:szCs w:val="24"/>
        </w:rPr>
      </w:pPr>
      <w:bookmarkStart w:id="0" w:name="_Hlk215220032"/>
      <w:r>
        <w:rPr>
          <w:rFonts w:ascii="Times New Roman" w:eastAsia="SimSun" w:hAnsi="Times New Roman" w:cs="Times New Roman"/>
          <w:sz w:val="24"/>
          <w:szCs w:val="24"/>
          <w:lang w:eastAsia="zh-CN" w:bidi="ar"/>
        </w:rPr>
        <w:t xml:space="preserve">A 100 mg/L phenol solution was made, and the stock solution was serially diluted with </w:t>
      </w:r>
      <w:proofErr w:type="spellStart"/>
      <w:r>
        <w:rPr>
          <w:rFonts w:ascii="Times New Roman" w:eastAsia="SimSun" w:hAnsi="Times New Roman" w:cs="Times New Roman"/>
          <w:sz w:val="24"/>
          <w:szCs w:val="24"/>
          <w:lang w:eastAsia="zh-CN" w:bidi="ar"/>
        </w:rPr>
        <w:t>deionised</w:t>
      </w:r>
      <w:proofErr w:type="spellEnd"/>
      <w:r>
        <w:rPr>
          <w:rFonts w:ascii="Times New Roman" w:eastAsia="SimSun" w:hAnsi="Times New Roman" w:cs="Times New Roman"/>
          <w:sz w:val="24"/>
          <w:szCs w:val="24"/>
          <w:lang w:eastAsia="zh-CN" w:bidi="ar"/>
        </w:rPr>
        <w:t xml:space="preserve"> water to yield concentrations of 20, 40, 60, and 80 mg/L. The effects of contact time, starting ion concentration, adsorbent dosage, temperature, and pH were examined in batch adsorption studies for the elimination of phenol. A UV-Vis Spectrophotometer set to </w:t>
      </w:r>
      <w:proofErr w:type="spellStart"/>
      <w:r>
        <w:rPr>
          <w:rFonts w:ascii="Times New Roman" w:eastAsia="SimSun" w:hAnsi="Times New Roman" w:cs="Times New Roman"/>
          <w:sz w:val="24"/>
          <w:szCs w:val="24"/>
          <w:lang w:eastAsia="zh-CN" w:bidi="ar"/>
        </w:rPr>
        <w:t>λmax</w:t>
      </w:r>
      <w:proofErr w:type="spellEnd"/>
      <w:r>
        <w:rPr>
          <w:rFonts w:ascii="Times New Roman" w:eastAsia="SimSun" w:hAnsi="Times New Roman" w:cs="Times New Roman"/>
          <w:sz w:val="24"/>
          <w:szCs w:val="24"/>
          <w:lang w:eastAsia="zh-CN" w:bidi="ar"/>
        </w:rPr>
        <w:t xml:space="preserve"> = 270 nm was used to quantify the amount of phenol in aqueous solution at the conclusion of each equilibrium period.</w:t>
      </w:r>
    </w:p>
    <w:p w14:paraId="77071F23" w14:textId="77777777" w:rsidR="00140CE3" w:rsidRDefault="00485BD2">
      <w:pPr>
        <w:pStyle w:val="Heading1"/>
        <w:spacing w:after="0" w:line="360" w:lineRule="auto"/>
        <w:rPr>
          <w:rFonts w:cs="Times New Roman"/>
          <w:szCs w:val="24"/>
        </w:rPr>
      </w:pPr>
      <w:r>
        <w:rPr>
          <w:rFonts w:cs="Times New Roman"/>
          <w:szCs w:val="24"/>
        </w:rPr>
        <w:lastRenderedPageBreak/>
        <w:t>3. RESULTS AND DISCUSSION</w:t>
      </w:r>
    </w:p>
    <w:p w14:paraId="67426C30" w14:textId="77777777" w:rsidR="00140CE3" w:rsidRDefault="00485BD2">
      <w:pPr>
        <w:spacing w:after="0" w:line="36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rPr>
        <w:t xml:space="preserve"> </w:t>
      </w:r>
      <w:r>
        <w:rPr>
          <w:rFonts w:ascii="Times New Roman" w:hAnsi="Times New Roman" w:cs="Times New Roman"/>
          <w:b/>
        </w:rPr>
        <w:t>Characterization</w:t>
      </w:r>
    </w:p>
    <w:p w14:paraId="1C8AF8F7" w14:textId="536D029D" w:rsidR="00140CE3" w:rsidRPr="00E8638C" w:rsidRDefault="00485BD2" w:rsidP="00C52C12">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The effective synthesis of UiO-66 and the existence of structural defects were both confirmed by Fourier-Transform Infrared (FTIR) spectroscopy (Figure 1). Features of the spectra included a Zr–O vibration at 550 cm⁻¹ and distinctive vibrations at ~1585 cm⁻¹ and ~1395 cm⁻¹, which corresponded to symmetric and asymmetric carboxylate (O–C–O) lengths from the BDC linker coordinated to </w:t>
      </w:r>
      <w:proofErr w:type="spellStart"/>
      <w:r>
        <w:rPr>
          <w:rFonts w:ascii="Times New Roman" w:eastAsia="SimSun" w:hAnsi="Times New Roman" w:cs="Times New Roman"/>
          <w:sz w:val="24"/>
          <w:szCs w:val="24"/>
          <w:lang w:eastAsia="zh-CN" w:bidi="ar"/>
        </w:rPr>
        <w:t>Zr₆O</w:t>
      </w:r>
      <w:proofErr w:type="spellEnd"/>
      <w:r>
        <w:rPr>
          <w:rFonts w:ascii="Times New Roman" w:eastAsia="SimSun" w:hAnsi="Times New Roman" w:cs="Times New Roman"/>
          <w:sz w:val="24"/>
          <w:szCs w:val="24"/>
          <w:lang w:eastAsia="zh-CN" w:bidi="ar"/>
        </w:rPr>
        <w:t>₄(OH)₄ clusters [1</w:t>
      </w:r>
      <w:r w:rsidR="00C52C12">
        <w:rPr>
          <w:rFonts w:ascii="Times New Roman" w:eastAsia="SimSun" w:hAnsi="Times New Roman" w:cs="Times New Roman"/>
          <w:sz w:val="24"/>
          <w:szCs w:val="24"/>
          <w:lang w:eastAsia="zh-CN" w:bidi="ar"/>
        </w:rPr>
        <w:t>2</w:t>
      </w:r>
      <w:r>
        <w:rPr>
          <w:rFonts w:ascii="Times New Roman" w:eastAsia="SimSun" w:hAnsi="Times New Roman" w:cs="Times New Roman"/>
          <w:sz w:val="24"/>
          <w:szCs w:val="24"/>
          <w:lang w:eastAsia="zh-CN" w:bidi="ar"/>
        </w:rPr>
        <w:t>–1</w:t>
      </w:r>
      <w:r w:rsidR="00C52C12">
        <w:rPr>
          <w:rFonts w:ascii="Times New Roman" w:eastAsia="SimSun" w:hAnsi="Times New Roman" w:cs="Times New Roman"/>
          <w:sz w:val="24"/>
          <w:szCs w:val="24"/>
          <w:lang w:eastAsia="zh-CN" w:bidi="ar"/>
        </w:rPr>
        <w:t>3</w:t>
      </w:r>
      <w:r>
        <w:rPr>
          <w:rFonts w:ascii="Times New Roman" w:eastAsia="SimSun" w:hAnsi="Times New Roman" w:cs="Times New Roman"/>
          <w:sz w:val="24"/>
          <w:szCs w:val="24"/>
          <w:lang w:eastAsia="zh-CN" w:bidi="ar"/>
        </w:rPr>
        <w:t>].</w:t>
      </w:r>
      <w:r w:rsidR="00E8638C">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At about 1685 cm⁻¹, the faulty sample had a clear C=O stretching band, which is a sign of uncoordinated carboxylic acid groups from missing-linker defects [1</w:t>
      </w:r>
      <w:r w:rsidR="00C52C12">
        <w:rPr>
          <w:rFonts w:ascii="Times New Roman" w:eastAsia="SimSun" w:hAnsi="Times New Roman" w:cs="Times New Roman"/>
          <w:sz w:val="24"/>
          <w:szCs w:val="24"/>
          <w:lang w:eastAsia="zh-CN" w:bidi="ar"/>
        </w:rPr>
        <w:t>2</w:t>
      </w:r>
      <w:r>
        <w:rPr>
          <w:rFonts w:ascii="Times New Roman" w:eastAsia="SimSun" w:hAnsi="Times New Roman" w:cs="Times New Roman"/>
          <w:sz w:val="24"/>
          <w:szCs w:val="24"/>
          <w:lang w:eastAsia="zh-CN" w:bidi="ar"/>
        </w:rPr>
        <w:t>]. By generating more interaction sites, this defect-induced alteration is expected to improve phenol adsorption.</w:t>
      </w:r>
    </w:p>
    <w:p w14:paraId="1A7DEC48" w14:textId="77777777" w:rsidR="00140CE3" w:rsidRDefault="00485BD2">
      <w:pPr>
        <w:spacing w:after="0" w:line="360" w:lineRule="auto"/>
        <w:rPr>
          <w:rFonts w:ascii="Times New Roman" w:hAnsi="Times New Roman" w:cs="Times New Roman"/>
          <w:b/>
        </w:rPr>
      </w:pPr>
      <w:r>
        <w:rPr>
          <w:noProof/>
          <w:lang w:val="en-GB" w:eastAsia="en-GB"/>
        </w:rPr>
        <w:drawing>
          <wp:inline distT="0" distB="0" distL="114300" distR="114300" wp14:anchorId="3FF46B7A" wp14:editId="1ECC0A74">
            <wp:extent cx="5260975" cy="3291840"/>
            <wp:effectExtent l="0" t="0" r="158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5260975" cy="3291840"/>
                    </a:xfrm>
                    <a:prstGeom prst="rect">
                      <a:avLst/>
                    </a:prstGeom>
                    <a:noFill/>
                    <a:ln>
                      <a:noFill/>
                    </a:ln>
                  </pic:spPr>
                </pic:pic>
              </a:graphicData>
            </a:graphic>
          </wp:inline>
        </w:drawing>
      </w:r>
    </w:p>
    <w:p w14:paraId="6BDE43BF" w14:textId="77777777" w:rsidR="00140CE3" w:rsidRDefault="00140CE3">
      <w:pPr>
        <w:spacing w:after="0" w:line="360" w:lineRule="auto"/>
        <w:rPr>
          <w:rFonts w:ascii="Times New Roman" w:hAnsi="Times New Roman" w:cs="Times New Roman"/>
          <w:b/>
        </w:rPr>
      </w:pPr>
    </w:p>
    <w:p w14:paraId="48D9DC10" w14:textId="77777777" w:rsidR="00140CE3" w:rsidRDefault="00485BD2">
      <w:pPr>
        <w:spacing w:after="0" w:line="240" w:lineRule="auto"/>
        <w:rPr>
          <w:rFonts w:ascii="Times New Roman" w:hAnsi="Times New Roman" w:cs="Times New Roman"/>
          <w:bCs/>
        </w:rPr>
      </w:pPr>
      <w:r>
        <w:rPr>
          <w:rFonts w:ascii="Times New Roman" w:hAnsi="Times New Roman" w:cs="Times New Roman"/>
          <w:b/>
        </w:rPr>
        <w:t xml:space="preserve">Figure 1. </w:t>
      </w:r>
      <w:r>
        <w:rPr>
          <w:rFonts w:ascii="Times New Roman" w:hAnsi="Times New Roman" w:cs="Times New Roman"/>
          <w:bCs/>
        </w:rPr>
        <w:t>Fourier-Transform Infrared (FTIR) spectra of synthesized non-defective and defective UiO-66 metal-organic frameworks.</w:t>
      </w:r>
    </w:p>
    <w:p w14:paraId="68DC3E62" w14:textId="77777777" w:rsidR="00140CE3" w:rsidRDefault="00140CE3">
      <w:pPr>
        <w:spacing w:after="0" w:line="360" w:lineRule="auto"/>
        <w:rPr>
          <w:rFonts w:ascii="Times New Roman" w:hAnsi="Times New Roman" w:cs="Times New Roman"/>
          <w:bCs/>
          <w:sz w:val="6"/>
          <w:szCs w:val="6"/>
        </w:rPr>
      </w:pPr>
    </w:p>
    <w:p w14:paraId="64521702" w14:textId="77777777" w:rsidR="00140CE3" w:rsidRDefault="00140CE3">
      <w:pPr>
        <w:spacing w:after="0" w:line="360" w:lineRule="auto"/>
        <w:rPr>
          <w:rFonts w:ascii="Times New Roman" w:hAnsi="Times New Roman" w:cs="Times New Roman"/>
          <w:bCs/>
          <w:sz w:val="6"/>
          <w:szCs w:val="6"/>
        </w:rPr>
      </w:pPr>
    </w:p>
    <w:p w14:paraId="3C4986A9" w14:textId="77777777" w:rsidR="00140CE3" w:rsidRDefault="00140CE3">
      <w:pPr>
        <w:spacing w:after="0" w:line="360" w:lineRule="auto"/>
        <w:rPr>
          <w:rFonts w:ascii="Times New Roman" w:hAnsi="Times New Roman" w:cs="Times New Roman"/>
          <w:bCs/>
          <w:sz w:val="6"/>
          <w:szCs w:val="6"/>
        </w:rPr>
      </w:pPr>
    </w:p>
    <w:p w14:paraId="6BBFE08D" w14:textId="77777777" w:rsidR="00140CE3" w:rsidRDefault="00485BD2">
      <w:pPr>
        <w:spacing w:after="0" w:line="360" w:lineRule="auto"/>
        <w:rPr>
          <w:rFonts w:ascii="Times New Roman" w:hAnsi="Times New Roman" w:cs="Times New Roman"/>
          <w:b/>
          <w:bCs/>
        </w:rPr>
      </w:pPr>
      <w:r>
        <w:rPr>
          <w:rFonts w:ascii="Times New Roman" w:hAnsi="Times New Roman" w:cs="Times New Roman"/>
          <w:b/>
          <w:bCs/>
        </w:rPr>
        <w:t>3.1.2 X-ray Diffraction (XRD) Analysis</w:t>
      </w:r>
    </w:p>
    <w:p w14:paraId="3B16754A" w14:textId="07E61F1A" w:rsidR="00140CE3" w:rsidRDefault="00485BD2" w:rsidP="00C52C12">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bidi="ar"/>
        </w:rPr>
        <w:t>The UiO-66 structure with a face-centered cubic topology was preserved in both non-defective and defective samples, according to X-ray diffraction (XRD) examination (Figure 2). Due to missing-linker and missing-cluster defects, the faulty sample showed notable peak broadening and lower intensity, which is consistent with decreased crystallite size and long-range order [1</w:t>
      </w:r>
      <w:r w:rsidR="00C52C12">
        <w:rPr>
          <w:rFonts w:ascii="Times New Roman" w:eastAsia="SimSun" w:hAnsi="Times New Roman" w:cs="Times New Roman"/>
          <w:sz w:val="24"/>
          <w:szCs w:val="24"/>
          <w:lang w:eastAsia="zh-CN" w:bidi="ar"/>
        </w:rPr>
        <w:t>2</w:t>
      </w:r>
      <w:r>
        <w:rPr>
          <w:rFonts w:ascii="Times New Roman" w:eastAsia="SimSun" w:hAnsi="Times New Roman" w:cs="Times New Roman"/>
          <w:sz w:val="24"/>
          <w:szCs w:val="24"/>
          <w:lang w:eastAsia="zh-CN" w:bidi="ar"/>
        </w:rPr>
        <w:t>,1</w:t>
      </w:r>
      <w:r w:rsidR="00C52C12">
        <w:rPr>
          <w:rFonts w:ascii="Times New Roman" w:eastAsia="SimSun" w:hAnsi="Times New Roman" w:cs="Times New Roman"/>
          <w:sz w:val="24"/>
          <w:szCs w:val="24"/>
          <w:lang w:eastAsia="zh-CN" w:bidi="ar"/>
        </w:rPr>
        <w:t>4</w:t>
      </w:r>
      <w:r>
        <w:rPr>
          <w:rFonts w:ascii="Times New Roman" w:eastAsia="SimSun" w:hAnsi="Times New Roman" w:cs="Times New Roman"/>
          <w:sz w:val="24"/>
          <w:szCs w:val="24"/>
          <w:lang w:eastAsia="zh-CN" w:bidi="ar"/>
        </w:rPr>
        <w:t>]. While adding structural vacancies that improve porosity for adsorption applications, the lack of peak shifts verifies the preservation of the basic cubic structure [1</w:t>
      </w:r>
      <w:r w:rsidR="00C52C12">
        <w:rPr>
          <w:rFonts w:ascii="Times New Roman" w:eastAsia="SimSun" w:hAnsi="Times New Roman" w:cs="Times New Roman"/>
          <w:sz w:val="24"/>
          <w:szCs w:val="24"/>
          <w:lang w:eastAsia="zh-CN" w:bidi="ar"/>
        </w:rPr>
        <w:t>3</w:t>
      </w:r>
      <w:r>
        <w:rPr>
          <w:rFonts w:ascii="Times New Roman" w:eastAsia="SimSun" w:hAnsi="Times New Roman" w:cs="Times New Roman"/>
          <w:sz w:val="24"/>
          <w:szCs w:val="24"/>
          <w:lang w:eastAsia="zh-CN" w:bidi="ar"/>
        </w:rPr>
        <w:t>].</w:t>
      </w:r>
    </w:p>
    <w:p w14:paraId="40D4820A" w14:textId="77777777" w:rsidR="00140CE3" w:rsidRDefault="00140CE3">
      <w:pPr>
        <w:spacing w:after="0" w:line="360" w:lineRule="auto"/>
        <w:jc w:val="both"/>
        <w:rPr>
          <w:rFonts w:ascii="Times New Roman" w:hAnsi="Times New Roman" w:cs="Times New Roman"/>
          <w:bCs/>
        </w:rPr>
      </w:pPr>
    </w:p>
    <w:p w14:paraId="338D93C6" w14:textId="77777777" w:rsidR="00140CE3" w:rsidRDefault="00140CE3">
      <w:pPr>
        <w:spacing w:after="0" w:line="360" w:lineRule="auto"/>
        <w:rPr>
          <w:rFonts w:ascii="Times New Roman" w:hAnsi="Times New Roman" w:cs="Times New Roman"/>
          <w:b/>
        </w:rPr>
      </w:pPr>
    </w:p>
    <w:p w14:paraId="596ADA1C" w14:textId="77777777" w:rsidR="00140CE3" w:rsidRDefault="00140CE3">
      <w:pPr>
        <w:spacing w:after="0" w:line="360" w:lineRule="auto"/>
        <w:rPr>
          <w:rFonts w:ascii="Times New Roman" w:hAnsi="Times New Roman" w:cs="Times New Roman"/>
          <w:b/>
        </w:rPr>
      </w:pPr>
    </w:p>
    <w:p w14:paraId="733E5370" w14:textId="77777777" w:rsidR="00140CE3" w:rsidRDefault="00485BD2">
      <w:pPr>
        <w:autoSpaceDE w:val="0"/>
        <w:autoSpaceDN w:val="0"/>
        <w:adjustRightInd w:val="0"/>
        <w:spacing w:after="0" w:line="480" w:lineRule="auto"/>
        <w:ind w:right="360"/>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62336" behindDoc="0" locked="0" layoutInCell="1" allowOverlap="1" wp14:anchorId="14B9C388" wp14:editId="358F0582">
            <wp:simplePos x="0" y="0"/>
            <wp:positionH relativeFrom="column">
              <wp:posOffset>-257175</wp:posOffset>
            </wp:positionH>
            <wp:positionV relativeFrom="paragraph">
              <wp:posOffset>-594995</wp:posOffset>
            </wp:positionV>
            <wp:extent cx="6031865" cy="3752850"/>
            <wp:effectExtent l="0" t="0" r="6985"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9">
                      <a:extLst>
                        <a:ext uri="{28A0092B-C50C-407E-A947-70E740481C1C}">
                          <a14:useLocalDpi xmlns:a14="http://schemas.microsoft.com/office/drawing/2010/main" val="0"/>
                        </a:ext>
                      </a:extLst>
                    </a:blip>
                    <a:srcRect b="6056"/>
                    <a:stretch>
                      <a:fillRect/>
                    </a:stretch>
                  </pic:blipFill>
                  <pic:spPr>
                    <a:xfrm>
                      <a:off x="0" y="0"/>
                      <a:ext cx="6031945" cy="3752850"/>
                    </a:xfrm>
                    <a:prstGeom prst="rect">
                      <a:avLst/>
                    </a:prstGeom>
                    <a:noFill/>
                    <a:ln>
                      <a:noFill/>
                    </a:ln>
                  </pic:spPr>
                </pic:pic>
              </a:graphicData>
            </a:graphic>
          </wp:anchor>
        </w:drawing>
      </w:r>
    </w:p>
    <w:p w14:paraId="3913E5C6"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4B62C0F5"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269163A7"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32A8BFAE"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0ECE5107"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1C0732B7"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5B3160A8"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1056067E"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4F43D41C" w14:textId="77777777" w:rsidR="00140CE3" w:rsidRDefault="00140CE3">
      <w:pPr>
        <w:autoSpaceDE w:val="0"/>
        <w:autoSpaceDN w:val="0"/>
        <w:adjustRightInd w:val="0"/>
        <w:spacing w:after="0" w:line="480" w:lineRule="auto"/>
        <w:ind w:right="360"/>
        <w:jc w:val="both"/>
        <w:rPr>
          <w:rFonts w:ascii="Times New Roman" w:hAnsi="Times New Roman" w:cs="Times New Roman"/>
        </w:rPr>
      </w:pPr>
    </w:p>
    <w:p w14:paraId="782D02D2" w14:textId="77777777" w:rsidR="00140CE3" w:rsidRDefault="00485BD2">
      <w:pPr>
        <w:autoSpaceDE w:val="0"/>
        <w:autoSpaceDN w:val="0"/>
        <w:adjustRightInd w:val="0"/>
        <w:spacing w:after="0" w:line="240" w:lineRule="auto"/>
        <w:ind w:right="360"/>
        <w:jc w:val="both"/>
        <w:rPr>
          <w:rFonts w:ascii="Times New Roman" w:hAnsi="Times New Roman" w:cs="Times New Roman"/>
        </w:rPr>
      </w:pPr>
      <w:r>
        <w:rPr>
          <w:rFonts w:ascii="Times New Roman" w:hAnsi="Times New Roman" w:cs="Times New Roman"/>
          <w:b/>
          <w:bCs/>
        </w:rPr>
        <w:t>Figure 2.</w:t>
      </w:r>
      <w:r>
        <w:rPr>
          <w:rFonts w:ascii="Times New Roman" w:hAnsi="Times New Roman" w:cs="Times New Roman"/>
        </w:rPr>
        <w:t xml:space="preserve"> X-ray diffraction (XRD) patterns showing (a) non-defective UiO-66 and (b) defective UiO-66. </w:t>
      </w:r>
    </w:p>
    <w:p w14:paraId="0BEA0EF4" w14:textId="77777777" w:rsidR="00A51342" w:rsidRDefault="00A51342">
      <w:pPr>
        <w:autoSpaceDE w:val="0"/>
        <w:autoSpaceDN w:val="0"/>
        <w:adjustRightInd w:val="0"/>
        <w:spacing w:after="0" w:line="480" w:lineRule="auto"/>
        <w:ind w:right="360"/>
        <w:jc w:val="both"/>
        <w:rPr>
          <w:rFonts w:ascii="Times New Roman" w:hAnsi="Times New Roman" w:cs="Times New Roman"/>
        </w:rPr>
      </w:pPr>
    </w:p>
    <w:p w14:paraId="26DC89A0" w14:textId="4B6F67B3" w:rsidR="00140CE3" w:rsidRDefault="00485BD2">
      <w:pPr>
        <w:autoSpaceDE w:val="0"/>
        <w:autoSpaceDN w:val="0"/>
        <w:adjustRightInd w:val="0"/>
        <w:spacing w:after="0" w:line="480" w:lineRule="auto"/>
        <w:ind w:right="360"/>
        <w:jc w:val="both"/>
        <w:rPr>
          <w:rFonts w:ascii="Times New Roman" w:hAnsi="Times New Roman" w:cs="Times New Roman"/>
        </w:rPr>
      </w:pPr>
      <w:r>
        <w:rPr>
          <w:rFonts w:ascii="Times New Roman" w:hAnsi="Times New Roman" w:cs="Times New Roman"/>
        </w:rPr>
        <w:t xml:space="preserve">The pattern for the non-defective sample matches the simulated structure, while the defective sample shows significant peak broadening and reduced intensity, indicative of structural defects from missing linkers/clusters. Nitrogen physisorption at 77 K revealed that defect engineering induces a hierarchical pore structure in UiO-66 (Figure 3). While the non-defective sample exhibited a Type I(b) isotherm characteristic of microporous materials, the defective sample displayed a hybrid Type I/IV(a) isotherm with a distinct hysteresis loop, confirming </w:t>
      </w:r>
      <w:proofErr w:type="spellStart"/>
      <w:r>
        <w:rPr>
          <w:rFonts w:ascii="Times New Roman" w:hAnsi="Times New Roman" w:cs="Times New Roman"/>
        </w:rPr>
        <w:t>mesoporosity</w:t>
      </w:r>
      <w:proofErr w:type="spellEnd"/>
      <w:r>
        <w:rPr>
          <w:rFonts w:ascii="Times New Roman" w:hAnsi="Times New Roman" w:cs="Times New Roman"/>
        </w:rPr>
        <w:t xml:space="preserve"> generation [1</w:t>
      </w:r>
      <w:r w:rsidR="00C52C12">
        <w:rPr>
          <w:rFonts w:ascii="Times New Roman" w:hAnsi="Times New Roman" w:cs="Times New Roman"/>
        </w:rPr>
        <w:t>5</w:t>
      </w:r>
      <w:r>
        <w:rPr>
          <w:rFonts w:ascii="Times New Roman" w:hAnsi="Times New Roman" w:cs="Times New Roman"/>
        </w:rPr>
        <w:t>].</w:t>
      </w:r>
    </w:p>
    <w:p w14:paraId="2B81BB41" w14:textId="4BF83CD2" w:rsidR="00E05DFE" w:rsidRDefault="00E05DFE">
      <w:pPr>
        <w:autoSpaceDE w:val="0"/>
        <w:autoSpaceDN w:val="0"/>
        <w:adjustRightInd w:val="0"/>
        <w:spacing w:after="0" w:line="480" w:lineRule="auto"/>
        <w:ind w:right="360"/>
        <w:jc w:val="both"/>
        <w:rPr>
          <w:rFonts w:ascii="Times New Roman" w:hAnsi="Times New Roman" w:cs="Times New Roman"/>
        </w:rPr>
      </w:pPr>
    </w:p>
    <w:p w14:paraId="0D42191C" w14:textId="38FEF87C" w:rsidR="00E05DFE" w:rsidRDefault="00E05DFE">
      <w:pPr>
        <w:autoSpaceDE w:val="0"/>
        <w:autoSpaceDN w:val="0"/>
        <w:adjustRightInd w:val="0"/>
        <w:spacing w:after="0" w:line="480" w:lineRule="auto"/>
        <w:ind w:right="360"/>
        <w:jc w:val="both"/>
        <w:rPr>
          <w:rFonts w:ascii="Times New Roman" w:hAnsi="Times New Roman" w:cs="Times New Roman"/>
        </w:rPr>
      </w:pPr>
    </w:p>
    <w:p w14:paraId="558B3649" w14:textId="77777777" w:rsidR="00E05DFE" w:rsidRDefault="00E05DFE">
      <w:pPr>
        <w:autoSpaceDE w:val="0"/>
        <w:autoSpaceDN w:val="0"/>
        <w:adjustRightInd w:val="0"/>
        <w:spacing w:after="0" w:line="480" w:lineRule="auto"/>
        <w:ind w:right="360"/>
        <w:jc w:val="both"/>
        <w:rPr>
          <w:rFonts w:ascii="Times New Roman" w:hAnsi="Times New Roman" w:cs="Times New Roman"/>
        </w:rPr>
      </w:pPr>
    </w:p>
    <w:p w14:paraId="59150B76" w14:textId="6BAFF9F5" w:rsidR="00E05DFE" w:rsidRDefault="00E05DFE">
      <w:pPr>
        <w:autoSpaceDE w:val="0"/>
        <w:autoSpaceDN w:val="0"/>
        <w:adjustRightInd w:val="0"/>
        <w:spacing w:after="0" w:line="480" w:lineRule="auto"/>
        <w:ind w:right="360"/>
        <w:jc w:val="both"/>
        <w:rPr>
          <w:rFonts w:ascii="Times New Roman" w:hAnsi="Times New Roman" w:cs="Times New Roman"/>
        </w:rPr>
      </w:pPr>
    </w:p>
    <w:p w14:paraId="65D9B823" w14:textId="6C2E3C37" w:rsidR="00E05DFE" w:rsidRDefault="00E05DFE">
      <w:pPr>
        <w:autoSpaceDE w:val="0"/>
        <w:autoSpaceDN w:val="0"/>
        <w:adjustRightInd w:val="0"/>
        <w:spacing w:after="0" w:line="480" w:lineRule="auto"/>
        <w:ind w:right="360"/>
        <w:jc w:val="both"/>
        <w:rPr>
          <w:rFonts w:ascii="Times New Roman" w:hAnsi="Times New Roman" w:cs="Times New Roman"/>
        </w:rPr>
      </w:pPr>
    </w:p>
    <w:p w14:paraId="44C8EC10" w14:textId="5574D2D9" w:rsidR="00E05DFE" w:rsidRDefault="00A51342">
      <w:pPr>
        <w:autoSpaceDE w:val="0"/>
        <w:autoSpaceDN w:val="0"/>
        <w:adjustRightInd w:val="0"/>
        <w:spacing w:after="0" w:line="480" w:lineRule="auto"/>
        <w:ind w:right="360"/>
        <w:jc w:val="both"/>
        <w:rPr>
          <w:rFonts w:ascii="Times New Roman" w:hAnsi="Times New Roman" w:cs="Times New Roman"/>
        </w:rPr>
      </w:pPr>
      <w:r>
        <w:rPr>
          <w:noProof/>
        </w:rPr>
        <w:drawing>
          <wp:anchor distT="0" distB="0" distL="114300" distR="114300" simplePos="0" relativeHeight="251671552" behindDoc="0" locked="0" layoutInCell="1" allowOverlap="1" wp14:anchorId="78B8446E" wp14:editId="2D789B19">
            <wp:simplePos x="0" y="0"/>
            <wp:positionH relativeFrom="column">
              <wp:posOffset>-191135</wp:posOffset>
            </wp:positionH>
            <wp:positionV relativeFrom="paragraph">
              <wp:posOffset>-443829</wp:posOffset>
            </wp:positionV>
            <wp:extent cx="6139267" cy="2552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9267" cy="2552700"/>
                    </a:xfrm>
                    <a:prstGeom prst="rect">
                      <a:avLst/>
                    </a:prstGeom>
                  </pic:spPr>
                </pic:pic>
              </a:graphicData>
            </a:graphic>
            <wp14:sizeRelH relativeFrom="margin">
              <wp14:pctWidth>0</wp14:pctWidth>
            </wp14:sizeRelH>
            <wp14:sizeRelV relativeFrom="margin">
              <wp14:pctHeight>0</wp14:pctHeight>
            </wp14:sizeRelV>
          </wp:anchor>
        </w:drawing>
      </w:r>
    </w:p>
    <w:p w14:paraId="03D006CD" w14:textId="23A042EE" w:rsidR="00E8638C" w:rsidRDefault="00E8638C">
      <w:pPr>
        <w:autoSpaceDE w:val="0"/>
        <w:autoSpaceDN w:val="0"/>
        <w:adjustRightInd w:val="0"/>
        <w:spacing w:after="0" w:line="480" w:lineRule="auto"/>
        <w:ind w:right="360"/>
        <w:jc w:val="both"/>
        <w:rPr>
          <w:rFonts w:ascii="Times New Roman" w:hAnsi="Times New Roman" w:cs="Times New Roman"/>
        </w:rPr>
      </w:pPr>
    </w:p>
    <w:p w14:paraId="7950E8CC" w14:textId="6B591F0D" w:rsidR="00E8638C" w:rsidRDefault="00E8638C">
      <w:pPr>
        <w:autoSpaceDE w:val="0"/>
        <w:autoSpaceDN w:val="0"/>
        <w:adjustRightInd w:val="0"/>
        <w:spacing w:after="0" w:line="480" w:lineRule="auto"/>
        <w:ind w:right="360"/>
        <w:jc w:val="both"/>
        <w:rPr>
          <w:rFonts w:ascii="Times New Roman" w:hAnsi="Times New Roman" w:cs="Times New Roman"/>
        </w:rPr>
      </w:pPr>
    </w:p>
    <w:p w14:paraId="06ABD220" w14:textId="30BDEF2F" w:rsidR="00E8638C" w:rsidRDefault="00E8638C">
      <w:pPr>
        <w:autoSpaceDE w:val="0"/>
        <w:autoSpaceDN w:val="0"/>
        <w:adjustRightInd w:val="0"/>
        <w:spacing w:after="0" w:line="480" w:lineRule="auto"/>
        <w:ind w:right="360"/>
        <w:jc w:val="both"/>
        <w:rPr>
          <w:rFonts w:ascii="Times New Roman" w:hAnsi="Times New Roman" w:cs="Times New Roman"/>
        </w:rPr>
      </w:pPr>
    </w:p>
    <w:p w14:paraId="4D5A6613" w14:textId="0A4D6052" w:rsidR="00E8638C" w:rsidRDefault="00E8638C">
      <w:pPr>
        <w:autoSpaceDE w:val="0"/>
        <w:autoSpaceDN w:val="0"/>
        <w:adjustRightInd w:val="0"/>
        <w:spacing w:after="0" w:line="480" w:lineRule="auto"/>
        <w:ind w:right="360"/>
        <w:jc w:val="both"/>
        <w:rPr>
          <w:rFonts w:ascii="Times New Roman" w:hAnsi="Times New Roman" w:cs="Times New Roman"/>
        </w:rPr>
      </w:pPr>
    </w:p>
    <w:p w14:paraId="590F597E" w14:textId="09E5AE3A" w:rsidR="00E8638C" w:rsidRDefault="00E8638C">
      <w:pPr>
        <w:autoSpaceDE w:val="0"/>
        <w:autoSpaceDN w:val="0"/>
        <w:adjustRightInd w:val="0"/>
        <w:spacing w:after="0" w:line="480" w:lineRule="auto"/>
        <w:ind w:right="360"/>
        <w:jc w:val="both"/>
        <w:rPr>
          <w:rFonts w:ascii="Times New Roman" w:hAnsi="Times New Roman" w:cs="Times New Roman"/>
        </w:rPr>
      </w:pPr>
    </w:p>
    <w:p w14:paraId="766B38DA" w14:textId="1C43005C" w:rsidR="00140CE3" w:rsidRDefault="00140CE3">
      <w:pPr>
        <w:autoSpaceDE w:val="0"/>
        <w:autoSpaceDN w:val="0"/>
        <w:adjustRightInd w:val="0"/>
        <w:spacing w:after="0" w:line="480" w:lineRule="auto"/>
        <w:ind w:right="360"/>
        <w:jc w:val="right"/>
        <w:rPr>
          <w:rFonts w:ascii="Times New Roman" w:hAnsi="Times New Roman" w:cs="Times New Roman"/>
        </w:rPr>
      </w:pPr>
      <w:bookmarkStart w:id="1" w:name="_Hlk213924389"/>
    </w:p>
    <w:bookmarkEnd w:id="1"/>
    <w:p w14:paraId="69802F67" w14:textId="371B3D05" w:rsidR="00140CE3" w:rsidRDefault="00485BD2">
      <w:pPr>
        <w:autoSpaceDE w:val="0"/>
        <w:autoSpaceDN w:val="0"/>
        <w:adjustRightInd w:val="0"/>
        <w:spacing w:after="0" w:line="276" w:lineRule="auto"/>
        <w:ind w:right="360"/>
        <w:jc w:val="both"/>
        <w:rPr>
          <w:rFonts w:ascii="Times New Roman" w:hAnsi="Times New Roman" w:cs="Times New Roman"/>
        </w:rPr>
      </w:pPr>
      <w:r>
        <w:rPr>
          <w:rFonts w:ascii="Times New Roman" w:hAnsi="Times New Roman" w:cs="Times New Roman"/>
          <w:b/>
          <w:bCs/>
        </w:rPr>
        <w:t>Figure 3.</w:t>
      </w:r>
      <w:r>
        <w:rPr>
          <w:rFonts w:ascii="Times New Roman" w:hAnsi="Times New Roman" w:cs="Times New Roman"/>
        </w:rPr>
        <w:t xml:space="preserve"> Nitrogen adsorption-desorption isotherms at 77 K for (a) non-defective UiO-66 and (b) defective UiO-66. </w:t>
      </w:r>
    </w:p>
    <w:p w14:paraId="75A7737B" w14:textId="77777777" w:rsidR="00140CE3" w:rsidRDefault="00140CE3">
      <w:pPr>
        <w:autoSpaceDE w:val="0"/>
        <w:autoSpaceDN w:val="0"/>
        <w:adjustRightInd w:val="0"/>
        <w:spacing w:after="0" w:line="276" w:lineRule="auto"/>
        <w:ind w:right="360"/>
        <w:jc w:val="both"/>
        <w:rPr>
          <w:rFonts w:ascii="Times New Roman" w:hAnsi="Times New Roman" w:cs="Times New Roman"/>
        </w:rPr>
      </w:pPr>
    </w:p>
    <w:p w14:paraId="3406398F" w14:textId="77777777" w:rsidR="00140CE3" w:rsidRPr="00C52C12" w:rsidRDefault="00485BD2" w:rsidP="009E3968">
      <w:pPr>
        <w:autoSpaceDE w:val="0"/>
        <w:autoSpaceDN w:val="0"/>
        <w:adjustRightInd w:val="0"/>
        <w:spacing w:after="0" w:line="360" w:lineRule="auto"/>
        <w:ind w:right="360"/>
        <w:jc w:val="both"/>
        <w:rPr>
          <w:rFonts w:ascii="Times New Roman" w:hAnsi="Times New Roman" w:cs="Times New Roman"/>
          <w:sz w:val="24"/>
          <w:szCs w:val="24"/>
        </w:rPr>
      </w:pPr>
      <w:r w:rsidRPr="00C52C12">
        <w:rPr>
          <w:rFonts w:ascii="Times New Roman" w:hAnsi="Times New Roman" w:cs="Times New Roman"/>
          <w:sz w:val="24"/>
          <w:szCs w:val="24"/>
        </w:rPr>
        <w:t xml:space="preserve">The defective sample exhibits a hybrid Type I/IV isotherm with a distinct hysteresis loop, indicating the creation of </w:t>
      </w:r>
      <w:proofErr w:type="spellStart"/>
      <w:r w:rsidRPr="00C52C12">
        <w:rPr>
          <w:rFonts w:ascii="Times New Roman" w:hAnsi="Times New Roman" w:cs="Times New Roman"/>
          <w:sz w:val="24"/>
          <w:szCs w:val="24"/>
        </w:rPr>
        <w:t>mesoporosity</w:t>
      </w:r>
      <w:proofErr w:type="spellEnd"/>
      <w:r w:rsidRPr="00C52C12">
        <w:rPr>
          <w:rFonts w:ascii="Times New Roman" w:hAnsi="Times New Roman" w:cs="Times New Roman"/>
          <w:sz w:val="24"/>
          <w:szCs w:val="24"/>
        </w:rPr>
        <w:t xml:space="preserve"> alongside </w:t>
      </w:r>
      <w:proofErr w:type="spellStart"/>
      <w:r w:rsidRPr="00C52C12">
        <w:rPr>
          <w:rFonts w:ascii="Times New Roman" w:hAnsi="Times New Roman" w:cs="Times New Roman"/>
          <w:sz w:val="24"/>
          <w:szCs w:val="24"/>
        </w:rPr>
        <w:t>microporosity</w:t>
      </w:r>
      <w:proofErr w:type="spellEnd"/>
      <w:r w:rsidRPr="00C52C12">
        <w:rPr>
          <w:rFonts w:ascii="Times New Roman" w:hAnsi="Times New Roman" w:cs="Times New Roman"/>
          <w:sz w:val="24"/>
          <w:szCs w:val="24"/>
        </w:rPr>
        <w:t>, resulting in a significantly enhanced surface area and pore volume.</w:t>
      </w:r>
    </w:p>
    <w:p w14:paraId="6DDAF0CC" w14:textId="73DA7950" w:rsidR="00140CE3" w:rsidRPr="00C52C12" w:rsidRDefault="00485BD2" w:rsidP="009E3968">
      <w:pPr>
        <w:autoSpaceDE w:val="0"/>
        <w:autoSpaceDN w:val="0"/>
        <w:adjustRightInd w:val="0"/>
        <w:spacing w:after="0" w:line="360" w:lineRule="auto"/>
        <w:ind w:right="360"/>
        <w:jc w:val="both"/>
        <w:rPr>
          <w:rFonts w:ascii="Times New Roman" w:hAnsi="Times New Roman" w:cs="Times New Roman"/>
          <w:sz w:val="24"/>
          <w:szCs w:val="24"/>
        </w:rPr>
      </w:pPr>
      <w:r w:rsidRPr="00C52C12">
        <w:rPr>
          <w:rFonts w:ascii="Times New Roman" w:hAnsi="Times New Roman" w:cs="Times New Roman"/>
          <w:sz w:val="24"/>
          <w:szCs w:val="24"/>
        </w:rPr>
        <w:t>This textural modification resulted in a substantial increase in both BET surface area and total pore volume, attributed to missing-linker/cluster defects creating larger cavities. The resulting hierarchical porosity enhances phenol adsorption by providing improved molecular accessibility and diffusion pathways [1</w:t>
      </w:r>
      <w:r w:rsidR="009E3968">
        <w:rPr>
          <w:rFonts w:ascii="Times New Roman" w:hAnsi="Times New Roman" w:cs="Times New Roman"/>
          <w:sz w:val="24"/>
          <w:szCs w:val="24"/>
        </w:rPr>
        <w:t>6</w:t>
      </w:r>
      <w:r w:rsidRPr="00C52C12">
        <w:rPr>
          <w:rFonts w:ascii="Times New Roman" w:hAnsi="Times New Roman" w:cs="Times New Roman"/>
          <w:sz w:val="24"/>
          <w:szCs w:val="24"/>
        </w:rPr>
        <w:t>].</w:t>
      </w:r>
    </w:p>
    <w:p w14:paraId="0354B7C0" w14:textId="06E2E8D3" w:rsidR="00140CE3" w:rsidRDefault="00485BD2">
      <w:pPr>
        <w:autoSpaceDE w:val="0"/>
        <w:autoSpaceDN w:val="0"/>
        <w:adjustRightInd w:val="0"/>
        <w:spacing w:after="0" w:line="480" w:lineRule="auto"/>
        <w:ind w:right="360"/>
        <w:jc w:val="both"/>
        <w:rPr>
          <w:rFonts w:ascii="Times New Roman" w:hAnsi="Times New Roman" w:cs="Times New Roman"/>
        </w:rPr>
      </w:pPr>
      <w:r>
        <w:rPr>
          <w:rFonts w:ascii="Times New Roman" w:hAnsi="Times New Roman" w:cs="Times New Roman"/>
        </w:rPr>
        <w:t>Scanning Electron Microscopy (SEM) revealed significant morphological alterations resulting from defect engineering in UiO-66 (Figure 4). The non-defective sample exhibited characteristic, well-faceted octahedral crystals with uniform size distribution, consistent with its high crystallinity [1</w:t>
      </w:r>
      <w:r w:rsidR="009E3968">
        <w:rPr>
          <w:rFonts w:ascii="Times New Roman" w:hAnsi="Times New Roman" w:cs="Times New Roman"/>
        </w:rPr>
        <w:t>7</w:t>
      </w:r>
      <w:r>
        <w:rPr>
          <w:rFonts w:ascii="Times New Roman" w:hAnsi="Times New Roman" w:cs="Times New Roman"/>
        </w:rPr>
        <w:t>]. In contrast, the defective sample showed a pronounced reduction in particle size, aggregation, loss of defined faceting, and substantial surface roughening. This morphological disruption directly reflects the introduction of missing-linker defects during modulated synthesis, which terminate regular crystal growth and create a more heterogeneous, nanostructured material [1</w:t>
      </w:r>
      <w:r w:rsidR="009E3968">
        <w:rPr>
          <w:rFonts w:ascii="Times New Roman" w:hAnsi="Times New Roman" w:cs="Times New Roman"/>
        </w:rPr>
        <w:t>2</w:t>
      </w:r>
      <w:r>
        <w:rPr>
          <w:rFonts w:ascii="Times New Roman" w:hAnsi="Times New Roman" w:cs="Times New Roman"/>
        </w:rPr>
        <w:t>,1</w:t>
      </w:r>
      <w:r w:rsidR="009E3968">
        <w:rPr>
          <w:rFonts w:ascii="Times New Roman" w:hAnsi="Times New Roman" w:cs="Times New Roman"/>
        </w:rPr>
        <w:t>8</w:t>
      </w:r>
      <w:r>
        <w:rPr>
          <w:rFonts w:ascii="Times New Roman" w:hAnsi="Times New Roman" w:cs="Times New Roman"/>
        </w:rPr>
        <w:t>]. These structural changes correlate with enhanced external surface area and improved accessibility for adsorbate molecules.</w:t>
      </w:r>
    </w:p>
    <w:p w14:paraId="6419FB1E" w14:textId="77777777" w:rsidR="00140CE3" w:rsidRDefault="00485BD2">
      <w:pPr>
        <w:autoSpaceDE w:val="0"/>
        <w:autoSpaceDN w:val="0"/>
        <w:adjustRightInd w:val="0"/>
        <w:spacing w:after="0" w:line="480" w:lineRule="auto"/>
        <w:ind w:right="360"/>
        <w:jc w:val="both"/>
        <w:rPr>
          <w:rFonts w:ascii="Times New Roman" w:hAnsi="Times New Roman" w:cs="Times New Roman"/>
        </w:rPr>
      </w:pPr>
      <w:r>
        <w:rPr>
          <w:rFonts w:ascii="Times New Roman" w:hAnsi="Times New Roman" w:cs="Times New Roman"/>
          <w:noProof/>
          <w:lang w:val="en-GB" w:eastAsia="en-GB"/>
        </w:rPr>
        <w:lastRenderedPageBreak/>
        <mc:AlternateContent>
          <mc:Choice Requires="wps">
            <w:drawing>
              <wp:anchor distT="45720" distB="45720" distL="114300" distR="114300" simplePos="0" relativeHeight="251664384" behindDoc="0" locked="0" layoutInCell="1" allowOverlap="1" wp14:anchorId="7D6FB3FC" wp14:editId="4158BB8A">
                <wp:simplePos x="0" y="0"/>
                <wp:positionH relativeFrom="column">
                  <wp:posOffset>85725</wp:posOffset>
                </wp:positionH>
                <wp:positionV relativeFrom="paragraph">
                  <wp:posOffset>396875</wp:posOffset>
                </wp:positionV>
                <wp:extent cx="495300" cy="3714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371475"/>
                        </a:xfrm>
                        <a:prstGeom prst="rect">
                          <a:avLst/>
                        </a:prstGeom>
                        <a:solidFill>
                          <a:srgbClr val="FFFFFF"/>
                        </a:solidFill>
                        <a:ln w="9525">
                          <a:noFill/>
                          <a:miter lim="800000"/>
                        </a:ln>
                      </wps:spPr>
                      <wps:txbx>
                        <w:txbxContent>
                          <w:p w14:paraId="60F091F9" w14:textId="77777777" w:rsidR="00140CE3" w:rsidRDefault="00485BD2">
                            <w:pPr>
                              <w:rPr>
                                <w:sz w:val="36"/>
                                <w:szCs w:val="36"/>
                              </w:rPr>
                            </w:pPr>
                            <w:r>
                              <w:rPr>
                                <w:sz w:val="36"/>
                                <w:szCs w:val="36"/>
                              </w:rPr>
                              <w:t>(a)</w:t>
                            </w:r>
                          </w:p>
                        </w:txbxContent>
                      </wps:txbx>
                      <wps:bodyPr rot="0" vert="horz" wrap="square" lIns="91440" tIns="45720" rIns="91440" bIns="45720" anchor="t" anchorCtr="0">
                        <a:noAutofit/>
                      </wps:bodyPr>
                    </wps:wsp>
                  </a:graphicData>
                </a:graphic>
              </wp:anchor>
            </w:drawing>
          </mc:Choice>
          <mc:Fallback>
            <w:pict>
              <v:shapetype w14:anchorId="7D6FB3FC" id="_x0000_t202" coordsize="21600,21600" o:spt="202" path="m,l,21600r21600,l21600,xe">
                <v:stroke joinstyle="miter"/>
                <v:path gradientshapeok="t" o:connecttype="rect"/>
              </v:shapetype>
              <v:shape id="Text Box 2" o:spid="_x0000_s1026" type="#_x0000_t202" style="position:absolute;left:0;text-align:left;margin-left:6.75pt;margin-top:31.25pt;width:39pt;height:29.25pt;flip:x;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" stroked="f">
                <v:textbox>
                  <w:txbxContent>
                    <w:p w14:paraId="60F091F9" w14:textId="77777777" w:rsidR="00140CE3" w:rsidRDefault="00485BD2">
                      <w:pPr>
                        <w:rPr>
                          <w:sz w:val="36"/>
                          <w:szCs w:val="36"/>
                        </w:rPr>
                      </w:pPr>
                      <w:r>
                        <w:rPr>
                          <w:sz w:val="36"/>
                          <w:szCs w:val="36"/>
                        </w:rPr>
                        <w:t>(a)</w:t>
                      </w:r>
                    </w:p>
                  </w:txbxContent>
                </v:textbox>
                <w10:wrap type="square"/>
              </v:shape>
            </w:pict>
          </mc:Fallback>
        </mc:AlternateContent>
      </w:r>
      <w:r>
        <w:rPr>
          <w:rFonts w:ascii="Times New Roman" w:hAnsi="Times New Roman" w:cs="Times New Roman"/>
          <w:noProof/>
          <w:lang w:val="en-GB" w:eastAsia="en-GB"/>
        </w:rPr>
        <mc:AlternateContent>
          <mc:Choice Requires="wps">
            <w:drawing>
              <wp:anchor distT="45720" distB="45720" distL="114300" distR="114300" simplePos="0" relativeHeight="251666432" behindDoc="0" locked="0" layoutInCell="1" allowOverlap="1" wp14:anchorId="041F73AE" wp14:editId="45A585D2">
                <wp:simplePos x="0" y="0"/>
                <wp:positionH relativeFrom="column">
                  <wp:posOffset>3200400</wp:posOffset>
                </wp:positionH>
                <wp:positionV relativeFrom="paragraph">
                  <wp:posOffset>368300</wp:posOffset>
                </wp:positionV>
                <wp:extent cx="495300" cy="3714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371475"/>
                        </a:xfrm>
                        <a:prstGeom prst="rect">
                          <a:avLst/>
                        </a:prstGeom>
                        <a:solidFill>
                          <a:srgbClr val="FFFFFF"/>
                        </a:solidFill>
                        <a:ln w="9525">
                          <a:noFill/>
                          <a:miter lim="800000"/>
                        </a:ln>
                      </wps:spPr>
                      <wps:txbx>
                        <w:txbxContent>
                          <w:p w14:paraId="562E8843" w14:textId="77777777" w:rsidR="00140CE3" w:rsidRDefault="00485BD2">
                            <w:pPr>
                              <w:rPr>
                                <w:sz w:val="36"/>
                                <w:szCs w:val="36"/>
                              </w:rPr>
                            </w:pPr>
                            <w:r>
                              <w:rPr>
                                <w:sz w:val="36"/>
                                <w:szCs w:val="36"/>
                              </w:rPr>
                              <w:t>(b)</w:t>
                            </w:r>
                          </w:p>
                        </w:txbxContent>
                      </wps:txbx>
                      <wps:bodyPr rot="0" vert="horz" wrap="square" lIns="91440" tIns="45720" rIns="91440" bIns="45720" anchor="t" anchorCtr="0">
                        <a:noAutofit/>
                      </wps:bodyPr>
                    </wps:wsp>
                  </a:graphicData>
                </a:graphic>
              </wp:anchor>
            </w:drawing>
          </mc:Choice>
          <mc:Fallback>
            <w:pict>
              <v:shape w14:anchorId="041F73AE" id="_x0000_s1027" type="#_x0000_t202" style="position:absolute;left:0;text-align:left;margin-left:252pt;margin-top:29pt;width:39pt;height:29.25pt;flip:x;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" stroked="f">
                <v:textbox>
                  <w:txbxContent>
                    <w:p w14:paraId="562E8843" w14:textId="77777777" w:rsidR="00140CE3" w:rsidRDefault="00485BD2">
                      <w:pPr>
                        <w:rPr>
                          <w:sz w:val="36"/>
                          <w:szCs w:val="36"/>
                        </w:rPr>
                      </w:pPr>
                      <w:r>
                        <w:rPr>
                          <w:sz w:val="36"/>
                          <w:szCs w:val="36"/>
                        </w:rPr>
                        <w:t>(b)</w:t>
                      </w:r>
                    </w:p>
                  </w:txbxContent>
                </v:textbox>
                <w10:wrap type="square"/>
              </v:shape>
            </w:pict>
          </mc:Fallback>
        </mc:AlternateContent>
      </w:r>
      <w:r>
        <w:rPr>
          <w:rFonts w:ascii="Times New Roman" w:hAnsi="Times New Roman" w:cs="Times New Roman"/>
          <w:noProof/>
          <w:lang w:val="en-GB" w:eastAsia="en-GB"/>
        </w:rPr>
        <w:drawing>
          <wp:anchor distT="0" distB="0" distL="114300" distR="114300" simplePos="0" relativeHeight="251665408" behindDoc="0" locked="0" layoutInCell="1" allowOverlap="1" wp14:anchorId="7A0B982F" wp14:editId="29DA4D8B">
            <wp:simplePos x="0" y="0"/>
            <wp:positionH relativeFrom="column">
              <wp:posOffset>3105150</wp:posOffset>
            </wp:positionH>
            <wp:positionV relativeFrom="paragraph">
              <wp:posOffset>353695</wp:posOffset>
            </wp:positionV>
            <wp:extent cx="2815590" cy="2929890"/>
            <wp:effectExtent l="0" t="0" r="381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rcRect t="50351" r="50304"/>
                    <a:stretch>
                      <a:fillRect/>
                    </a:stretch>
                  </pic:blipFill>
                  <pic:spPr>
                    <a:xfrm>
                      <a:off x="0" y="0"/>
                      <a:ext cx="2815590" cy="2929890"/>
                    </a:xfrm>
                    <a:prstGeom prst="rect">
                      <a:avLst/>
                    </a:prstGeom>
                    <a:ln>
                      <a:noFill/>
                    </a:ln>
                  </pic:spPr>
                </pic:pic>
              </a:graphicData>
            </a:graphic>
          </wp:anchor>
        </w:drawing>
      </w:r>
      <w:r>
        <w:rPr>
          <w:rFonts w:ascii="Times New Roman" w:hAnsi="Times New Roman" w:cs="Times New Roman"/>
          <w:noProof/>
          <w:lang w:val="en-GB" w:eastAsia="en-GB"/>
        </w:rPr>
        <w:drawing>
          <wp:anchor distT="0" distB="0" distL="114300" distR="114300" simplePos="0" relativeHeight="251663360" behindDoc="0" locked="0" layoutInCell="1" allowOverlap="1" wp14:anchorId="36DD9AC0" wp14:editId="6E8675A3">
            <wp:simplePos x="0" y="0"/>
            <wp:positionH relativeFrom="page">
              <wp:posOffset>914400</wp:posOffset>
            </wp:positionH>
            <wp:positionV relativeFrom="paragraph">
              <wp:posOffset>368935</wp:posOffset>
            </wp:positionV>
            <wp:extent cx="2815590" cy="2914650"/>
            <wp:effectExtent l="0" t="0" r="3810" b="0"/>
            <wp:wrapSquare wrapText="bothSides"/>
            <wp:docPr id="1545435483" name="Picture 154543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5483" name="Picture 1545435483"/>
                    <pic:cNvPicPr>
                      <a:picLocks noChangeAspect="1"/>
                    </pic:cNvPicPr>
                  </pic:nvPicPr>
                  <pic:blipFill>
                    <a:blip r:embed="rId12">
                      <a:extLst>
                        <a:ext uri="{28A0092B-C50C-407E-A947-70E740481C1C}">
                          <a14:useLocalDpi xmlns:a14="http://schemas.microsoft.com/office/drawing/2010/main" val="0"/>
                        </a:ext>
                      </a:extLst>
                    </a:blip>
                    <a:srcRect t="53646" r="57221"/>
                    <a:stretch>
                      <a:fillRect/>
                    </a:stretch>
                  </pic:blipFill>
                  <pic:spPr>
                    <a:xfrm>
                      <a:off x="0" y="0"/>
                      <a:ext cx="2815590" cy="2914650"/>
                    </a:xfrm>
                    <a:prstGeom prst="rect">
                      <a:avLst/>
                    </a:prstGeom>
                    <a:ln>
                      <a:noFill/>
                    </a:ln>
                  </pic:spPr>
                </pic:pic>
              </a:graphicData>
            </a:graphic>
          </wp:anchor>
        </w:drawing>
      </w:r>
    </w:p>
    <w:p w14:paraId="53C39AD8" w14:textId="77777777" w:rsidR="00140CE3" w:rsidRDefault="00140CE3">
      <w:pPr>
        <w:rPr>
          <w:rFonts w:ascii="Times New Roman" w:hAnsi="Times New Roman" w:cs="Times New Roman"/>
        </w:rPr>
      </w:pPr>
    </w:p>
    <w:p w14:paraId="1218455C" w14:textId="77777777" w:rsidR="00140CE3" w:rsidRDefault="00140CE3">
      <w:pPr>
        <w:rPr>
          <w:rFonts w:ascii="Times New Roman" w:hAnsi="Times New Roman" w:cs="Times New Roman"/>
        </w:rPr>
      </w:pPr>
    </w:p>
    <w:p w14:paraId="48299BAF" w14:textId="77777777" w:rsidR="00140CE3" w:rsidRDefault="00140CE3">
      <w:pPr>
        <w:rPr>
          <w:rFonts w:ascii="Times New Roman" w:hAnsi="Times New Roman" w:cs="Times New Roman"/>
        </w:rPr>
      </w:pPr>
    </w:p>
    <w:p w14:paraId="7F466A6D" w14:textId="77777777" w:rsidR="00140CE3" w:rsidRDefault="00140CE3">
      <w:pPr>
        <w:rPr>
          <w:rFonts w:ascii="Times New Roman" w:hAnsi="Times New Roman" w:cs="Times New Roman"/>
        </w:rPr>
      </w:pPr>
    </w:p>
    <w:p w14:paraId="4B6DE057" w14:textId="77777777" w:rsidR="00140CE3" w:rsidRDefault="00140CE3">
      <w:pPr>
        <w:rPr>
          <w:rFonts w:ascii="Times New Roman" w:hAnsi="Times New Roman" w:cs="Times New Roman"/>
        </w:rPr>
      </w:pPr>
    </w:p>
    <w:p w14:paraId="5144567A" w14:textId="77777777" w:rsidR="00140CE3" w:rsidRDefault="00140CE3">
      <w:pPr>
        <w:rPr>
          <w:rFonts w:ascii="Times New Roman" w:hAnsi="Times New Roman" w:cs="Times New Roman"/>
        </w:rPr>
      </w:pPr>
    </w:p>
    <w:p w14:paraId="45B65D3D" w14:textId="77777777" w:rsidR="00140CE3" w:rsidRDefault="00140CE3">
      <w:pPr>
        <w:rPr>
          <w:rFonts w:ascii="Times New Roman" w:hAnsi="Times New Roman" w:cs="Times New Roman"/>
        </w:rPr>
      </w:pPr>
    </w:p>
    <w:p w14:paraId="0023BB9D" w14:textId="77777777" w:rsidR="00140CE3" w:rsidRDefault="00140CE3">
      <w:pPr>
        <w:rPr>
          <w:rFonts w:ascii="Times New Roman" w:hAnsi="Times New Roman" w:cs="Times New Roman"/>
        </w:rPr>
      </w:pPr>
    </w:p>
    <w:p w14:paraId="75E13054" w14:textId="77777777" w:rsidR="00140CE3" w:rsidRDefault="00140CE3">
      <w:pPr>
        <w:rPr>
          <w:rFonts w:ascii="Times New Roman" w:hAnsi="Times New Roman" w:cs="Times New Roman"/>
        </w:rPr>
      </w:pPr>
    </w:p>
    <w:p w14:paraId="5B07EC7E" w14:textId="77777777" w:rsidR="00140CE3" w:rsidRDefault="00140CE3">
      <w:pPr>
        <w:rPr>
          <w:rFonts w:ascii="Times New Roman" w:hAnsi="Times New Roman" w:cs="Times New Roman"/>
        </w:rPr>
      </w:pPr>
    </w:p>
    <w:p w14:paraId="5A088E3D" w14:textId="77777777" w:rsidR="00140CE3" w:rsidRDefault="00140CE3">
      <w:pPr>
        <w:jc w:val="both"/>
        <w:rPr>
          <w:rFonts w:ascii="Times New Roman" w:hAnsi="Times New Roman" w:cs="Times New Roman"/>
          <w:b/>
          <w:bCs/>
        </w:rPr>
      </w:pPr>
    </w:p>
    <w:p w14:paraId="1545ACA7" w14:textId="77777777" w:rsidR="00140CE3" w:rsidRDefault="00485BD2">
      <w:pPr>
        <w:jc w:val="both"/>
        <w:rPr>
          <w:rFonts w:ascii="Times New Roman" w:hAnsi="Times New Roman" w:cs="Times New Roman"/>
        </w:rPr>
      </w:pPr>
      <w:r>
        <w:rPr>
          <w:rFonts w:ascii="Times New Roman" w:hAnsi="Times New Roman" w:cs="Times New Roman"/>
          <w:b/>
          <w:bCs/>
        </w:rPr>
        <w:t>Figure 4</w:t>
      </w:r>
      <w:r>
        <w:rPr>
          <w:rFonts w:ascii="Times New Roman" w:hAnsi="Times New Roman" w:cs="Times New Roman"/>
        </w:rPr>
        <w:t xml:space="preserve">. Scanning Electron Microscopy (SEM) images at 100 </w:t>
      </w:r>
      <w:proofErr w:type="spellStart"/>
      <w:r>
        <w:rPr>
          <w:rFonts w:ascii="Times New Roman" w:hAnsi="Times New Roman" w:cs="Times New Roman"/>
        </w:rPr>
        <w:t>μm</w:t>
      </w:r>
      <w:proofErr w:type="spellEnd"/>
      <w:r>
        <w:rPr>
          <w:rFonts w:ascii="Times New Roman" w:hAnsi="Times New Roman" w:cs="Times New Roman"/>
        </w:rPr>
        <w:t xml:space="preserve"> scale showing (a) non-defective UiO-66, exhibiting characteristic well-faceted octahedral crystals, and (b) defective UiO-66, showing a significant reduction in particle size, loss of defined morphology, and increased surface roughness due to the introduction of structural defects.</w:t>
      </w:r>
    </w:p>
    <w:p w14:paraId="2CFD4B20" w14:textId="1CE3E5A5" w:rsidR="00140CE3" w:rsidRDefault="00485BD2">
      <w:pPr>
        <w:spacing w:line="360" w:lineRule="auto"/>
        <w:jc w:val="both"/>
        <w:rPr>
          <w:rFonts w:ascii="Times New Roman" w:hAnsi="Times New Roman" w:cs="Times New Roman"/>
        </w:rPr>
      </w:pPr>
      <w:r>
        <w:rPr>
          <w:rFonts w:ascii="Times New Roman" w:hAnsi="Times New Roman" w:cs="Times New Roman"/>
        </w:rPr>
        <w:t>Differential Scanning Calorimetry (DSC) revealed that defect engineering measurably reduces the thermal stability of the UiO-66 framework (Figure 5). The defective sample exhibited a significantly lower onset temperature for framework decomposition compared to the highly stable non-defective counterpart. This decrease in thermal robustness is a direct consequence of missing-linker defects, which compromise the structural integrity by reducing network connectivity and creating localized weaknesses [1</w:t>
      </w:r>
      <w:r w:rsidR="009E3968">
        <w:rPr>
          <w:rFonts w:ascii="Times New Roman" w:hAnsi="Times New Roman" w:cs="Times New Roman"/>
        </w:rPr>
        <w:t>2</w:t>
      </w:r>
      <w:r>
        <w:rPr>
          <w:rFonts w:ascii="Times New Roman" w:hAnsi="Times New Roman" w:cs="Times New Roman"/>
        </w:rPr>
        <w:t>,1</w:t>
      </w:r>
      <w:r w:rsidR="009E3968">
        <w:rPr>
          <w:rFonts w:ascii="Times New Roman" w:hAnsi="Times New Roman" w:cs="Times New Roman"/>
        </w:rPr>
        <w:t>8</w:t>
      </w:r>
      <w:r>
        <w:rPr>
          <w:rFonts w:ascii="Times New Roman" w:hAnsi="Times New Roman" w:cs="Times New Roman"/>
        </w:rPr>
        <w:t>]. While this represents a material trade-off, the operational stability remains sufficient for aqueous-phase adsorption applications, where the enhanced porosity afforded by defects is the critical performance factor.</w:t>
      </w:r>
    </w:p>
    <w:p w14:paraId="52F11D5E" w14:textId="4C1B4A2C" w:rsidR="00A51342" w:rsidRDefault="00A51342" w:rsidP="00A51342">
      <w:pPr>
        <w:spacing w:line="360" w:lineRule="auto"/>
        <w:jc w:val="both"/>
        <w:rPr>
          <w:rFonts w:ascii="Times New Roman" w:hAnsi="Times New Roman" w:cs="Times New Roman"/>
          <w:color w:val="000000"/>
        </w:rPr>
      </w:pPr>
      <w:r>
        <w:rPr>
          <w:rFonts w:ascii="Times New Roman" w:hAnsi="Times New Roman" w:cs="Times New Roman"/>
          <w:color w:val="000000"/>
        </w:rPr>
        <w:t xml:space="preserve">Differential Scanning Calorimetry (DSC) and Thermogravimetric Analysis (TGA) quantified the impact of defects on the thermal stability of UiO-66 (Figure 6). The defective framework undergoes structural changes at significantly lower temperatures. Its main decomposition exotherm shifts from 432.5 ° C (non-defective) to 402.5 - 457.4 °C, directly evidencing reduced thermal robustness due to missing-linker vacancies [12]. This is preceded by an endotherm at 229.5 - 270 °C, attributed to the removal of strongly bound solvent and the onset of node </w:t>
      </w:r>
      <w:proofErr w:type="spellStart"/>
      <w:r>
        <w:rPr>
          <w:rFonts w:ascii="Times New Roman" w:hAnsi="Times New Roman" w:cs="Times New Roman"/>
          <w:color w:val="000000"/>
        </w:rPr>
        <w:t>dehydroxylation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Zr₆O</w:t>
      </w:r>
      <w:proofErr w:type="spellEnd"/>
      <w:r>
        <w:rPr>
          <w:rFonts w:ascii="Times New Roman" w:hAnsi="Times New Roman" w:cs="Times New Roman"/>
          <w:color w:val="000000"/>
        </w:rPr>
        <w:t xml:space="preserve">₄(OH)₄ → </w:t>
      </w:r>
      <w:proofErr w:type="spellStart"/>
      <w:r>
        <w:rPr>
          <w:rFonts w:ascii="Times New Roman" w:hAnsi="Times New Roman" w:cs="Times New Roman"/>
          <w:color w:val="000000"/>
        </w:rPr>
        <w:t>Zr₆O</w:t>
      </w:r>
      <w:proofErr w:type="spellEnd"/>
      <w:r>
        <w:rPr>
          <w:rFonts w:ascii="Times New Roman" w:hAnsi="Times New Roman" w:cs="Times New Roman"/>
          <w:color w:val="000000"/>
        </w:rPr>
        <w:t xml:space="preserve">₆), a process that occurs at ~381.6 °C in the pristine framework. TGA confirms a multi-stage decomposition, where the final formation of thermally stable </w:t>
      </w:r>
      <w:proofErr w:type="spellStart"/>
      <w:r>
        <w:rPr>
          <w:rFonts w:ascii="Times New Roman" w:hAnsi="Times New Roman" w:cs="Times New Roman"/>
          <w:color w:val="000000"/>
        </w:rPr>
        <w:t>ZrO</w:t>
      </w:r>
      <w:proofErr w:type="spellEnd"/>
      <w:r>
        <w:rPr>
          <w:rFonts w:ascii="Times New Roman" w:hAnsi="Times New Roman" w:cs="Times New Roman"/>
          <w:color w:val="000000"/>
        </w:rPr>
        <w:t>₂ occurs at a lower temperature for the defective sample while defect engineering lowers the decomposition onset, both materials demonstrate sufficient stability for aqueous-phase applications, with the defective structure collapsing completely by ~500 °C.</w:t>
      </w:r>
    </w:p>
    <w:p w14:paraId="6DEDB2CC" w14:textId="77777777" w:rsidR="00A51342" w:rsidRDefault="00A51342">
      <w:pPr>
        <w:spacing w:line="360" w:lineRule="auto"/>
        <w:jc w:val="both"/>
        <w:rPr>
          <w:rFonts w:ascii="Times New Roman" w:hAnsi="Times New Roman" w:cs="Times New Roman"/>
        </w:rPr>
      </w:pPr>
    </w:p>
    <w:p w14:paraId="31D534E9" w14:textId="6CE3E154" w:rsidR="004B489A" w:rsidRDefault="004B489A" w:rsidP="00A51342">
      <w:pPr>
        <w:spacing w:after="0" w:line="240" w:lineRule="auto"/>
        <w:jc w:val="both"/>
        <w:rPr>
          <w:rFonts w:ascii="Times New Roman" w:hAnsi="Times New Roman" w:cs="Times New Roman"/>
          <w:color w:val="000000"/>
        </w:rPr>
      </w:pPr>
      <w:r>
        <w:rPr>
          <w:rFonts w:ascii="Times New Roman" w:hAnsi="Times New Roman" w:cs="Times New Roman"/>
          <w:b/>
          <w:bCs/>
          <w:noProof/>
          <w:color w:val="000000"/>
          <w:lang w:val="en-GB" w:eastAsia="en-GB"/>
        </w:rPr>
        <w:lastRenderedPageBreak/>
        <w:drawing>
          <wp:anchor distT="0" distB="0" distL="114300" distR="114300" simplePos="0" relativeHeight="251673600" behindDoc="0" locked="0" layoutInCell="1" allowOverlap="1" wp14:anchorId="375BEFC4" wp14:editId="264DB677">
            <wp:simplePos x="0" y="0"/>
            <wp:positionH relativeFrom="column">
              <wp:posOffset>47625</wp:posOffset>
            </wp:positionH>
            <wp:positionV relativeFrom="paragraph">
              <wp:posOffset>-430530</wp:posOffset>
            </wp:positionV>
            <wp:extent cx="5391150" cy="4380230"/>
            <wp:effectExtent l="0" t="0" r="0" b="0"/>
            <wp:wrapNone/>
            <wp:docPr id="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91150" cy="4380230"/>
                    </a:xfrm>
                    <a:prstGeom prst="rect">
                      <a:avLst/>
                    </a:prstGeom>
                  </pic:spPr>
                </pic:pic>
              </a:graphicData>
            </a:graphic>
          </wp:anchor>
        </w:drawing>
      </w:r>
    </w:p>
    <w:p w14:paraId="63563181" w14:textId="3988F77D" w:rsidR="004B489A" w:rsidRDefault="004B489A" w:rsidP="00A51342">
      <w:pPr>
        <w:spacing w:after="0" w:line="240" w:lineRule="auto"/>
        <w:jc w:val="both"/>
        <w:rPr>
          <w:rFonts w:ascii="Times New Roman" w:hAnsi="Times New Roman" w:cs="Times New Roman"/>
          <w:color w:val="000000"/>
        </w:rPr>
      </w:pPr>
    </w:p>
    <w:p w14:paraId="5AD83B33" w14:textId="0B0043E4" w:rsidR="004B489A" w:rsidRDefault="004B489A" w:rsidP="00A51342">
      <w:pPr>
        <w:spacing w:after="0" w:line="240" w:lineRule="auto"/>
        <w:jc w:val="both"/>
        <w:rPr>
          <w:rFonts w:ascii="Times New Roman" w:hAnsi="Times New Roman" w:cs="Times New Roman"/>
          <w:color w:val="000000"/>
        </w:rPr>
      </w:pPr>
    </w:p>
    <w:p w14:paraId="7D13CD16" w14:textId="1FCC16D7" w:rsidR="004B489A" w:rsidRDefault="004B489A" w:rsidP="00A51342">
      <w:pPr>
        <w:spacing w:after="0" w:line="240" w:lineRule="auto"/>
        <w:jc w:val="both"/>
        <w:rPr>
          <w:rFonts w:ascii="Times New Roman" w:hAnsi="Times New Roman" w:cs="Times New Roman"/>
          <w:color w:val="000000"/>
        </w:rPr>
      </w:pPr>
    </w:p>
    <w:p w14:paraId="21499F9F" w14:textId="140CCECD" w:rsidR="004B489A" w:rsidRDefault="004B489A" w:rsidP="00A51342">
      <w:pPr>
        <w:spacing w:after="0" w:line="240" w:lineRule="auto"/>
        <w:jc w:val="both"/>
        <w:rPr>
          <w:rFonts w:ascii="Times New Roman" w:hAnsi="Times New Roman" w:cs="Times New Roman"/>
          <w:color w:val="000000"/>
        </w:rPr>
      </w:pPr>
    </w:p>
    <w:p w14:paraId="0225915F" w14:textId="19414CA6" w:rsidR="004B489A" w:rsidRDefault="004B489A" w:rsidP="00A51342">
      <w:pPr>
        <w:spacing w:after="0" w:line="240" w:lineRule="auto"/>
        <w:jc w:val="both"/>
        <w:rPr>
          <w:rFonts w:ascii="Times New Roman" w:hAnsi="Times New Roman" w:cs="Times New Roman"/>
          <w:color w:val="000000"/>
        </w:rPr>
      </w:pPr>
    </w:p>
    <w:p w14:paraId="0BCE00F0" w14:textId="77777777" w:rsidR="004B489A" w:rsidRDefault="004B489A" w:rsidP="00A51342">
      <w:pPr>
        <w:spacing w:after="0" w:line="240" w:lineRule="auto"/>
        <w:jc w:val="both"/>
        <w:rPr>
          <w:rFonts w:ascii="Times New Roman" w:hAnsi="Times New Roman" w:cs="Times New Roman"/>
          <w:color w:val="000000"/>
        </w:rPr>
      </w:pPr>
    </w:p>
    <w:p w14:paraId="0DC2E4F8" w14:textId="77777777" w:rsidR="004B489A" w:rsidRDefault="004B489A" w:rsidP="00A51342">
      <w:pPr>
        <w:spacing w:after="0" w:line="240" w:lineRule="auto"/>
        <w:jc w:val="both"/>
        <w:rPr>
          <w:rFonts w:ascii="Times New Roman" w:hAnsi="Times New Roman" w:cs="Times New Roman"/>
          <w:color w:val="000000"/>
        </w:rPr>
      </w:pPr>
    </w:p>
    <w:p w14:paraId="32805C05" w14:textId="6386334A" w:rsidR="004B489A" w:rsidRDefault="004B489A" w:rsidP="00A51342">
      <w:pPr>
        <w:spacing w:after="0" w:line="240" w:lineRule="auto"/>
        <w:jc w:val="both"/>
        <w:rPr>
          <w:rFonts w:ascii="Times New Roman" w:hAnsi="Times New Roman" w:cs="Times New Roman"/>
          <w:color w:val="000000"/>
        </w:rPr>
      </w:pPr>
    </w:p>
    <w:p w14:paraId="7EB53B69" w14:textId="77777777" w:rsidR="004B489A" w:rsidRDefault="004B489A" w:rsidP="00A51342">
      <w:pPr>
        <w:spacing w:after="0" w:line="240" w:lineRule="auto"/>
        <w:jc w:val="both"/>
        <w:rPr>
          <w:rFonts w:ascii="Times New Roman" w:hAnsi="Times New Roman" w:cs="Times New Roman"/>
          <w:color w:val="000000"/>
        </w:rPr>
      </w:pPr>
    </w:p>
    <w:p w14:paraId="0801BEF7" w14:textId="77777777" w:rsidR="004B489A" w:rsidRDefault="004B489A" w:rsidP="00A51342">
      <w:pPr>
        <w:spacing w:after="0" w:line="240" w:lineRule="auto"/>
        <w:jc w:val="both"/>
        <w:rPr>
          <w:rFonts w:ascii="Times New Roman" w:hAnsi="Times New Roman" w:cs="Times New Roman"/>
          <w:color w:val="000000"/>
        </w:rPr>
      </w:pPr>
    </w:p>
    <w:p w14:paraId="30E15837" w14:textId="77777777" w:rsidR="004B489A" w:rsidRDefault="004B489A" w:rsidP="00A51342">
      <w:pPr>
        <w:spacing w:after="0" w:line="240" w:lineRule="auto"/>
        <w:jc w:val="both"/>
        <w:rPr>
          <w:rFonts w:ascii="Times New Roman" w:hAnsi="Times New Roman" w:cs="Times New Roman"/>
          <w:color w:val="000000"/>
        </w:rPr>
      </w:pPr>
    </w:p>
    <w:p w14:paraId="7582925F" w14:textId="77777777" w:rsidR="004B489A" w:rsidRDefault="004B489A" w:rsidP="00A51342">
      <w:pPr>
        <w:spacing w:after="0" w:line="240" w:lineRule="auto"/>
        <w:jc w:val="both"/>
        <w:rPr>
          <w:rFonts w:ascii="Times New Roman" w:hAnsi="Times New Roman" w:cs="Times New Roman"/>
          <w:color w:val="000000"/>
        </w:rPr>
      </w:pPr>
    </w:p>
    <w:p w14:paraId="128C36F6" w14:textId="1C87C8D2" w:rsidR="004B489A" w:rsidRDefault="004B489A" w:rsidP="00A51342">
      <w:pPr>
        <w:spacing w:after="0" w:line="240" w:lineRule="auto"/>
        <w:jc w:val="both"/>
        <w:rPr>
          <w:rFonts w:ascii="Times New Roman" w:hAnsi="Times New Roman" w:cs="Times New Roman"/>
          <w:color w:val="000000"/>
        </w:rPr>
      </w:pPr>
    </w:p>
    <w:p w14:paraId="38A4E20F" w14:textId="1E1E69C4" w:rsidR="004B489A" w:rsidRDefault="004B489A" w:rsidP="00A51342">
      <w:pPr>
        <w:spacing w:after="0" w:line="240" w:lineRule="auto"/>
        <w:jc w:val="both"/>
        <w:rPr>
          <w:rFonts w:ascii="Times New Roman" w:hAnsi="Times New Roman" w:cs="Times New Roman"/>
          <w:color w:val="000000"/>
        </w:rPr>
      </w:pPr>
    </w:p>
    <w:p w14:paraId="7FB34E63" w14:textId="77777777" w:rsidR="004B489A" w:rsidRDefault="004B489A" w:rsidP="00A51342">
      <w:pPr>
        <w:spacing w:after="0" w:line="240" w:lineRule="auto"/>
        <w:jc w:val="both"/>
        <w:rPr>
          <w:rFonts w:ascii="Times New Roman" w:hAnsi="Times New Roman" w:cs="Times New Roman"/>
          <w:color w:val="000000"/>
        </w:rPr>
      </w:pPr>
    </w:p>
    <w:p w14:paraId="6C71DE05" w14:textId="6419EF0A" w:rsidR="004B489A" w:rsidRDefault="004B489A" w:rsidP="00A51342">
      <w:pPr>
        <w:spacing w:after="0" w:line="240" w:lineRule="auto"/>
        <w:jc w:val="both"/>
        <w:rPr>
          <w:rFonts w:ascii="Times New Roman" w:hAnsi="Times New Roman" w:cs="Times New Roman"/>
          <w:color w:val="000000"/>
        </w:rPr>
      </w:pPr>
    </w:p>
    <w:p w14:paraId="2B25265B" w14:textId="0C4336C0" w:rsidR="004B489A" w:rsidRDefault="004B489A" w:rsidP="00A51342">
      <w:pPr>
        <w:spacing w:after="0" w:line="240" w:lineRule="auto"/>
        <w:jc w:val="both"/>
        <w:rPr>
          <w:rFonts w:ascii="Times New Roman" w:hAnsi="Times New Roman" w:cs="Times New Roman"/>
          <w:color w:val="000000"/>
        </w:rPr>
      </w:pPr>
    </w:p>
    <w:p w14:paraId="530C7249" w14:textId="77777777" w:rsidR="004B489A" w:rsidRDefault="004B489A" w:rsidP="00A51342">
      <w:pPr>
        <w:spacing w:after="0" w:line="240" w:lineRule="auto"/>
        <w:jc w:val="both"/>
        <w:rPr>
          <w:rFonts w:ascii="Times New Roman" w:hAnsi="Times New Roman" w:cs="Times New Roman"/>
          <w:color w:val="000000"/>
        </w:rPr>
      </w:pPr>
    </w:p>
    <w:p w14:paraId="708A5DFC" w14:textId="77777777" w:rsidR="004B489A" w:rsidRDefault="004B489A" w:rsidP="00A51342">
      <w:pPr>
        <w:spacing w:after="0" w:line="240" w:lineRule="auto"/>
        <w:jc w:val="both"/>
        <w:rPr>
          <w:rFonts w:ascii="Times New Roman" w:hAnsi="Times New Roman" w:cs="Times New Roman"/>
          <w:color w:val="000000"/>
        </w:rPr>
      </w:pPr>
    </w:p>
    <w:p w14:paraId="68E75561" w14:textId="77777777" w:rsidR="004B489A" w:rsidRDefault="004B489A" w:rsidP="00A51342">
      <w:pPr>
        <w:spacing w:after="0" w:line="240" w:lineRule="auto"/>
        <w:jc w:val="both"/>
        <w:rPr>
          <w:rFonts w:ascii="Times New Roman" w:hAnsi="Times New Roman" w:cs="Times New Roman"/>
          <w:color w:val="000000"/>
        </w:rPr>
      </w:pPr>
    </w:p>
    <w:p w14:paraId="18E6501E" w14:textId="77777777" w:rsidR="004B489A" w:rsidRDefault="004B489A" w:rsidP="00A51342">
      <w:pPr>
        <w:spacing w:after="0" w:line="240" w:lineRule="auto"/>
        <w:jc w:val="both"/>
        <w:rPr>
          <w:rFonts w:ascii="Times New Roman" w:hAnsi="Times New Roman" w:cs="Times New Roman"/>
          <w:color w:val="000000"/>
        </w:rPr>
      </w:pPr>
    </w:p>
    <w:p w14:paraId="5B47285B" w14:textId="77777777" w:rsidR="004B489A" w:rsidRDefault="004B489A" w:rsidP="00A51342">
      <w:pPr>
        <w:spacing w:after="0" w:line="240" w:lineRule="auto"/>
        <w:jc w:val="both"/>
        <w:rPr>
          <w:rFonts w:ascii="Times New Roman" w:hAnsi="Times New Roman" w:cs="Times New Roman"/>
          <w:color w:val="000000"/>
        </w:rPr>
      </w:pPr>
    </w:p>
    <w:p w14:paraId="74925516" w14:textId="77777777" w:rsidR="004B489A" w:rsidRDefault="004B489A" w:rsidP="00A51342">
      <w:pPr>
        <w:spacing w:after="0" w:line="240" w:lineRule="auto"/>
        <w:jc w:val="both"/>
        <w:rPr>
          <w:rFonts w:ascii="Times New Roman" w:hAnsi="Times New Roman" w:cs="Times New Roman"/>
          <w:color w:val="000000"/>
        </w:rPr>
      </w:pPr>
    </w:p>
    <w:p w14:paraId="553C324F" w14:textId="64FA6219" w:rsidR="00140CE3" w:rsidRDefault="00485BD2" w:rsidP="00A51342">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b/>
          <w:bCs/>
          <w:color w:val="000000"/>
        </w:rPr>
        <w:t>Figure 5.</w:t>
      </w:r>
      <w:r>
        <w:rPr>
          <w:rFonts w:ascii="Times New Roman" w:hAnsi="Times New Roman" w:cs="Times New Roman"/>
          <w:color w:val="000000"/>
        </w:rPr>
        <w:t> Differential Scanning Calorimetry (DSC) thermograms of non-defective and defective UiO-66. The defective sample shows a lowered onset temperature for framework decomposition, indicating reduced thermal stability due to the introduction of structural defects.</w:t>
      </w:r>
    </w:p>
    <w:p w14:paraId="1FB63A96" w14:textId="07787104" w:rsidR="00602518" w:rsidRPr="00602518" w:rsidRDefault="00602518">
      <w:pPr>
        <w:spacing w:line="360" w:lineRule="auto"/>
        <w:jc w:val="both"/>
        <w:rPr>
          <w:rFonts w:ascii="Times New Roman" w:hAnsi="Times New Roman" w:cs="Times New Roman"/>
          <w:color w:val="000000"/>
          <w:sz w:val="6"/>
        </w:rPr>
      </w:pPr>
    </w:p>
    <w:p w14:paraId="59896F10" w14:textId="4F129992" w:rsidR="00140CE3" w:rsidRDefault="004B489A">
      <w:pPr>
        <w:spacing w:line="360" w:lineRule="auto"/>
        <w:jc w:val="both"/>
        <w:rPr>
          <w:rFonts w:ascii="Times New Roman" w:hAnsi="Times New Roman" w:cs="Times New Roman"/>
          <w:color w:val="000000"/>
        </w:rPr>
      </w:pPr>
      <w:r>
        <w:rPr>
          <w:rFonts w:ascii="Times New Roman" w:hAnsi="Times New Roman" w:cs="Times New Roman"/>
          <w:b/>
          <w:noProof/>
          <w:color w:val="000000"/>
          <w:lang w:val="en-GB" w:eastAsia="en-GB"/>
        </w:rPr>
        <w:drawing>
          <wp:anchor distT="0" distB="0" distL="114300" distR="114300" simplePos="0" relativeHeight="251672576" behindDoc="0" locked="0" layoutInCell="1" allowOverlap="1" wp14:anchorId="65D30FC9" wp14:editId="26FD4C9E">
            <wp:simplePos x="0" y="0"/>
            <wp:positionH relativeFrom="column">
              <wp:posOffset>161925</wp:posOffset>
            </wp:positionH>
            <wp:positionV relativeFrom="paragraph">
              <wp:posOffset>204470</wp:posOffset>
            </wp:positionV>
            <wp:extent cx="5181600" cy="3822492"/>
            <wp:effectExtent l="0" t="0" r="0" b="0"/>
            <wp:wrapNone/>
            <wp:docPr id="1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81600" cy="3822492"/>
                    </a:xfrm>
                    <a:prstGeom prst="rect">
                      <a:avLst/>
                    </a:prstGeom>
                  </pic:spPr>
                </pic:pic>
              </a:graphicData>
            </a:graphic>
            <wp14:sizeRelH relativeFrom="margin">
              <wp14:pctWidth>0</wp14:pctWidth>
            </wp14:sizeRelH>
            <wp14:sizeRelV relativeFrom="margin">
              <wp14:pctHeight>0</wp14:pctHeight>
            </wp14:sizeRelV>
          </wp:anchor>
        </w:drawing>
      </w:r>
    </w:p>
    <w:p w14:paraId="08769893" w14:textId="591328D7" w:rsidR="00140CE3" w:rsidRDefault="00140CE3">
      <w:pPr>
        <w:spacing w:line="360" w:lineRule="auto"/>
        <w:rPr>
          <w:rFonts w:ascii="Times New Roman" w:hAnsi="Times New Roman" w:cs="Times New Roman"/>
          <w:color w:val="000000"/>
        </w:rPr>
      </w:pPr>
    </w:p>
    <w:p w14:paraId="1BB125A9" w14:textId="60E42CB6" w:rsidR="004B489A" w:rsidRDefault="004B489A">
      <w:pPr>
        <w:spacing w:line="360" w:lineRule="auto"/>
        <w:rPr>
          <w:rFonts w:ascii="Times New Roman" w:hAnsi="Times New Roman" w:cs="Times New Roman"/>
          <w:color w:val="000000"/>
        </w:rPr>
      </w:pPr>
    </w:p>
    <w:p w14:paraId="3D6C21A4" w14:textId="581591CA" w:rsidR="004B489A" w:rsidRDefault="004B489A">
      <w:pPr>
        <w:spacing w:line="360" w:lineRule="auto"/>
        <w:rPr>
          <w:rFonts w:ascii="Times New Roman" w:hAnsi="Times New Roman" w:cs="Times New Roman"/>
          <w:color w:val="000000"/>
        </w:rPr>
      </w:pPr>
    </w:p>
    <w:p w14:paraId="34A78B37" w14:textId="23C86485" w:rsidR="004B489A" w:rsidRDefault="004B489A">
      <w:pPr>
        <w:spacing w:line="360" w:lineRule="auto"/>
        <w:rPr>
          <w:rFonts w:ascii="Times New Roman" w:hAnsi="Times New Roman" w:cs="Times New Roman"/>
          <w:color w:val="000000"/>
        </w:rPr>
      </w:pPr>
    </w:p>
    <w:p w14:paraId="4F14E2DC" w14:textId="60235B2A" w:rsidR="004B489A" w:rsidRDefault="004B489A">
      <w:pPr>
        <w:spacing w:line="360" w:lineRule="auto"/>
        <w:rPr>
          <w:rFonts w:ascii="Times New Roman" w:hAnsi="Times New Roman" w:cs="Times New Roman"/>
          <w:color w:val="000000"/>
        </w:rPr>
      </w:pPr>
    </w:p>
    <w:p w14:paraId="69FD1386" w14:textId="4DCC08DD" w:rsidR="004B489A" w:rsidRDefault="004B489A">
      <w:pPr>
        <w:spacing w:line="360" w:lineRule="auto"/>
        <w:rPr>
          <w:rFonts w:ascii="Times New Roman" w:hAnsi="Times New Roman" w:cs="Times New Roman"/>
          <w:color w:val="000000"/>
        </w:rPr>
      </w:pPr>
    </w:p>
    <w:p w14:paraId="195370E2" w14:textId="311E42A1" w:rsidR="004B489A" w:rsidRDefault="004B489A">
      <w:pPr>
        <w:spacing w:line="360" w:lineRule="auto"/>
        <w:rPr>
          <w:rFonts w:ascii="Times New Roman" w:hAnsi="Times New Roman" w:cs="Times New Roman"/>
          <w:color w:val="000000"/>
        </w:rPr>
      </w:pPr>
    </w:p>
    <w:p w14:paraId="70EEDAA0" w14:textId="1646188D" w:rsidR="004B489A" w:rsidRDefault="004B489A">
      <w:pPr>
        <w:spacing w:line="360" w:lineRule="auto"/>
        <w:rPr>
          <w:rFonts w:ascii="Times New Roman" w:hAnsi="Times New Roman" w:cs="Times New Roman"/>
          <w:color w:val="000000"/>
        </w:rPr>
      </w:pPr>
    </w:p>
    <w:p w14:paraId="1A288668" w14:textId="1FB90B91" w:rsidR="004B489A" w:rsidRDefault="004B489A">
      <w:pPr>
        <w:spacing w:line="360" w:lineRule="auto"/>
        <w:rPr>
          <w:rFonts w:ascii="Times New Roman" w:hAnsi="Times New Roman" w:cs="Times New Roman"/>
          <w:color w:val="000000"/>
        </w:rPr>
      </w:pPr>
    </w:p>
    <w:p w14:paraId="18FD6D9B" w14:textId="4D628210" w:rsidR="004B489A" w:rsidRDefault="004B489A">
      <w:pPr>
        <w:spacing w:line="360" w:lineRule="auto"/>
        <w:rPr>
          <w:rFonts w:ascii="Times New Roman" w:hAnsi="Times New Roman" w:cs="Times New Roman"/>
          <w:color w:val="000000"/>
        </w:rPr>
      </w:pPr>
    </w:p>
    <w:p w14:paraId="572486D6" w14:textId="2F55B694" w:rsidR="004B489A" w:rsidRDefault="004B489A">
      <w:pPr>
        <w:spacing w:line="360" w:lineRule="auto"/>
        <w:rPr>
          <w:rFonts w:ascii="Times New Roman" w:hAnsi="Times New Roman" w:cs="Times New Roman"/>
          <w:color w:val="000000"/>
        </w:rPr>
      </w:pPr>
    </w:p>
    <w:p w14:paraId="62FCD895" w14:textId="77777777" w:rsidR="009E3968" w:rsidRDefault="00485BD2" w:rsidP="009E3968">
      <w:pPr>
        <w:spacing w:line="240" w:lineRule="auto"/>
        <w:rPr>
          <w:rFonts w:ascii="Times New Roman" w:hAnsi="Times New Roman" w:cs="Times New Roman"/>
          <w:color w:val="000000"/>
        </w:rPr>
      </w:pPr>
      <w:r>
        <w:rPr>
          <w:rFonts w:ascii="Times New Roman" w:hAnsi="Times New Roman" w:cs="Times New Roman"/>
          <w:b/>
          <w:bCs/>
          <w:color w:val="000000"/>
        </w:rPr>
        <w:t>Figure 6.</w:t>
      </w:r>
      <w:r>
        <w:rPr>
          <w:rFonts w:ascii="Times New Roman" w:hAnsi="Times New Roman" w:cs="Times New Roman"/>
          <w:color w:val="000000"/>
        </w:rPr>
        <w:t> Thermogravimetric analysis (TGA) and differential scanning calorimetry (DSC) profiles of non-defective (a) and defective (b) UiO-66.</w:t>
      </w:r>
    </w:p>
    <w:p w14:paraId="3A86AA5C" w14:textId="4C5E9166" w:rsidR="00140CE3" w:rsidRPr="009E3968" w:rsidRDefault="00485BD2" w:rsidP="009E3968">
      <w:pPr>
        <w:spacing w:line="240" w:lineRule="auto"/>
        <w:rPr>
          <w:rFonts w:ascii="Times New Roman" w:hAnsi="Times New Roman" w:cs="Times New Roman"/>
          <w:b/>
          <w:bCs/>
          <w:color w:val="000000"/>
        </w:rPr>
      </w:pPr>
      <w:r w:rsidRPr="009E3968">
        <w:rPr>
          <w:rFonts w:ascii="Times New Roman" w:eastAsia="Segoe UI" w:hAnsi="Times New Roman"/>
          <w:b/>
          <w:bCs/>
          <w:color w:val="0F1115"/>
          <w:sz w:val="30"/>
          <w:szCs w:val="30"/>
          <w:shd w:val="clear" w:color="auto" w:fill="FFFFFF"/>
        </w:rPr>
        <w:lastRenderedPageBreak/>
        <w:t>3.2. Batch Adsorption Studies</w:t>
      </w:r>
    </w:p>
    <w:p w14:paraId="5B4250E1" w14:textId="5E711719" w:rsidR="00140CE3" w:rsidRDefault="00485BD2" w:rsidP="00357A37">
      <w:pPr>
        <w:spacing w:line="360" w:lineRule="auto"/>
        <w:jc w:val="both"/>
        <w:rPr>
          <w:rStyle w:val="Strong"/>
          <w:rFonts w:ascii="Times New Roman" w:eastAsia="Segoe UI" w:hAnsi="Times New Roman" w:cs="Times New Roman"/>
          <w:color w:val="0F1115"/>
          <w:sz w:val="24"/>
          <w:szCs w:val="24"/>
          <w:shd w:val="clear" w:color="auto" w:fill="FFFFFF"/>
        </w:rPr>
      </w:pPr>
      <w:r>
        <w:rPr>
          <w:rFonts w:ascii="Times New Roman" w:eastAsia="SimSun" w:hAnsi="Times New Roman" w:cs="Times New Roman"/>
          <w:sz w:val="24"/>
          <w:szCs w:val="24"/>
          <w:lang w:eastAsia="zh-CN" w:bidi="ar"/>
        </w:rPr>
        <w:t>Both UiO-66 variants were shown to be highly effective in batch adsorption tests for phenol removal, with removal efficiencies continuously surpassing 95</w:t>
      </w:r>
      <w:r w:rsidR="004B489A">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in all settings examined (Tables 1–5). The impact of structural alterations on adsorbate–adsorbent interactions was demonstrated by the different adsorption </w:t>
      </w:r>
      <w:proofErr w:type="spellStart"/>
      <w:r>
        <w:rPr>
          <w:rFonts w:ascii="Times New Roman" w:eastAsia="SimSun" w:hAnsi="Times New Roman" w:cs="Times New Roman"/>
          <w:sz w:val="24"/>
          <w:szCs w:val="24"/>
          <w:lang w:eastAsia="zh-CN" w:bidi="ar"/>
        </w:rPr>
        <w:t>behaviours</w:t>
      </w:r>
      <w:proofErr w:type="spellEnd"/>
      <w:r>
        <w:rPr>
          <w:rFonts w:ascii="Times New Roman" w:eastAsia="SimSun" w:hAnsi="Times New Roman" w:cs="Times New Roman"/>
          <w:sz w:val="24"/>
          <w:szCs w:val="24"/>
          <w:lang w:eastAsia="zh-CN" w:bidi="ar"/>
        </w:rPr>
        <w:t xml:space="preserve"> that developed between the defective and non-defective frameworks.</w:t>
      </w:r>
    </w:p>
    <w:p w14:paraId="1A25B031" w14:textId="77777777"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3.2.1. Effect of Initial Phenol Concentration</w:t>
      </w:r>
    </w:p>
    <w:p w14:paraId="32E50338" w14:textId="742C1DA1" w:rsidR="00140CE3" w:rsidRDefault="00485BD2" w:rsidP="00357A37">
      <w:pPr>
        <w:spacing w:line="360" w:lineRule="auto"/>
        <w:jc w:val="both"/>
        <w:rPr>
          <w:rFonts w:ascii="Times New Roman" w:eastAsia="Segoe UI" w:hAnsi="Times New Roman" w:cs="Times New Roman"/>
          <w:color w:val="0F1115"/>
          <w:sz w:val="24"/>
          <w:szCs w:val="24"/>
          <w:shd w:val="clear" w:color="auto" w:fill="FFFFFF"/>
        </w:rPr>
      </w:pPr>
      <w:r>
        <w:rPr>
          <w:rFonts w:ascii="Times New Roman" w:eastAsia="SimSun" w:hAnsi="Times New Roman" w:cs="Times New Roman"/>
          <w:sz w:val="24"/>
          <w:szCs w:val="24"/>
          <w:lang w:eastAsia="zh-CN" w:bidi="ar"/>
        </w:rPr>
        <w:t>Table 1 shows how the initial phenol concentration affects removal efficiency. Throughout the concentration range of 10–50 mg/L, the removal efficiencies for both adsorbents w</w:t>
      </w:r>
      <w:r w:rsidR="009E3968">
        <w:rPr>
          <w:rFonts w:ascii="Times New Roman" w:eastAsia="SimSun" w:hAnsi="Times New Roman" w:cs="Times New Roman"/>
          <w:sz w:val="24"/>
          <w:szCs w:val="24"/>
          <w:lang w:eastAsia="zh-CN" w:bidi="ar"/>
        </w:rPr>
        <w:t>ere</w:t>
      </w:r>
      <w:r>
        <w:rPr>
          <w:rFonts w:ascii="Times New Roman" w:eastAsia="SimSun" w:hAnsi="Times New Roman" w:cs="Times New Roman"/>
          <w:sz w:val="24"/>
          <w:szCs w:val="24"/>
          <w:lang w:eastAsia="zh-CN" w:bidi="ar"/>
        </w:rPr>
        <w:t xml:space="preserve"> impressively consistent, with values varying within small ranges (95.68–96.87</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Due to its uniform microporous architecture and well-ordered active sites, the non-defective UiO-66 consistently showed slightly higher removal at lower concentrations (96.87</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at 10 mg/L) than the defective variant (95.72</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at 10 mg/L). This suggests that the non-defective UiO-66 offers more accessible binding environments at diluted concentrations [6,1</w:t>
      </w:r>
      <w:r w:rsidR="009E3968">
        <w:rPr>
          <w:rFonts w:ascii="Times New Roman" w:eastAsia="SimSun" w:hAnsi="Times New Roman" w:cs="Times New Roman"/>
          <w:sz w:val="24"/>
          <w:szCs w:val="24"/>
          <w:lang w:eastAsia="zh-CN" w:bidi="ar"/>
        </w:rPr>
        <w:t>1</w:t>
      </w:r>
      <w:r>
        <w:rPr>
          <w:rFonts w:ascii="Times New Roman" w:eastAsia="SimSun" w:hAnsi="Times New Roman" w:cs="Times New Roman"/>
          <w:sz w:val="24"/>
          <w:szCs w:val="24"/>
          <w:lang w:eastAsia="zh-CN" w:bidi="ar"/>
        </w:rPr>
        <w:t>]. The performance difference decreased as the concentration rose to 50 mg/L, with both compounds maintaining clearance rates of roughly 95.7–95.9</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In line with the high surface areas and porosities typical of UiO-66 frameworks, this concentration-independent </w:t>
      </w:r>
      <w:proofErr w:type="spellStart"/>
      <w:r>
        <w:rPr>
          <w:rFonts w:ascii="Times New Roman" w:eastAsia="SimSun" w:hAnsi="Times New Roman" w:cs="Times New Roman"/>
          <w:sz w:val="24"/>
          <w:szCs w:val="24"/>
          <w:lang w:eastAsia="zh-CN" w:bidi="ar"/>
        </w:rPr>
        <w:t>behaviour</w:t>
      </w:r>
      <w:proofErr w:type="spellEnd"/>
      <w:r>
        <w:rPr>
          <w:rFonts w:ascii="Times New Roman" w:eastAsia="SimSun" w:hAnsi="Times New Roman" w:cs="Times New Roman"/>
          <w:sz w:val="24"/>
          <w:szCs w:val="24"/>
          <w:lang w:eastAsia="zh-CN" w:bidi="ar"/>
        </w:rPr>
        <w:t xml:space="preserve"> suggests that the accessible adsorption sites were not saturated within this concentration range [1</w:t>
      </w:r>
      <w:r w:rsidR="009E3968">
        <w:rPr>
          <w:rFonts w:ascii="Times New Roman" w:eastAsia="SimSun" w:hAnsi="Times New Roman" w:cs="Times New Roman"/>
          <w:sz w:val="24"/>
          <w:szCs w:val="24"/>
          <w:lang w:eastAsia="zh-CN" w:bidi="ar"/>
        </w:rPr>
        <w:t>3</w:t>
      </w:r>
      <w:r>
        <w:rPr>
          <w:rFonts w:ascii="Times New Roman" w:eastAsia="SimSun" w:hAnsi="Times New Roman" w:cs="Times New Roman"/>
          <w:sz w:val="24"/>
          <w:szCs w:val="24"/>
          <w:lang w:eastAsia="zh-CN" w:bidi="ar"/>
        </w:rPr>
        <w:t>].</w:t>
      </w:r>
    </w:p>
    <w:p w14:paraId="16B956C2" w14:textId="6C62729B" w:rsidR="00140CE3" w:rsidRDefault="00485BD2" w:rsidP="004B489A">
      <w:pPr>
        <w:pStyle w:val="NormalWeb"/>
        <w:shd w:val="clear" w:color="auto" w:fill="FFFFFF"/>
        <w:spacing w:before="240" w:after="0" w:line="240" w:lineRule="auto"/>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t>Table 1.</w:t>
      </w:r>
      <w:r>
        <w:rPr>
          <w:rFonts w:ascii="Times New Roman" w:eastAsia="Segoe UI" w:hAnsi="Times New Roman" w:cs="Times New Roman"/>
          <w:color w:val="0F1115"/>
          <w:shd w:val="clear" w:color="auto" w:fill="FFFFFF"/>
        </w:rPr>
        <w:t> Effect of initial phenol concentration on removal efficiency by defective and non-defective UiO-66 (Experimental conditions: adsorbent dosage = 0.1 g, contact time = 60 min, temperature = 30 °C, pH = 7)</w:t>
      </w:r>
    </w:p>
    <w:tbl>
      <w:tblPr>
        <w:tblStyle w:val="TableGrid"/>
        <w:tblW w:w="0" w:type="auto"/>
        <w:tblLook w:val="04A0" w:firstRow="1" w:lastRow="0" w:firstColumn="1" w:lastColumn="0" w:noHBand="0" w:noVBand="1"/>
      </w:tblPr>
      <w:tblGrid>
        <w:gridCol w:w="3016"/>
        <w:gridCol w:w="3000"/>
        <w:gridCol w:w="2910"/>
      </w:tblGrid>
      <w:tr w:rsidR="00140CE3" w14:paraId="6F7A6DD1" w14:textId="77777777" w:rsidTr="00C03A46">
        <w:tc>
          <w:tcPr>
            <w:tcW w:w="3016" w:type="dxa"/>
            <w:shd w:val="clear" w:color="auto" w:fill="auto"/>
            <w:vAlign w:val="center"/>
          </w:tcPr>
          <w:p w14:paraId="5F421B07"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Concentration (mg/L)</w:t>
            </w:r>
          </w:p>
        </w:tc>
        <w:tc>
          <w:tcPr>
            <w:tcW w:w="3000" w:type="dxa"/>
            <w:shd w:val="clear" w:color="auto" w:fill="auto"/>
            <w:vAlign w:val="center"/>
          </w:tcPr>
          <w:p w14:paraId="0613D17C"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 (% Removal)</w:t>
            </w:r>
          </w:p>
        </w:tc>
        <w:tc>
          <w:tcPr>
            <w:tcW w:w="2910" w:type="dxa"/>
            <w:shd w:val="clear" w:color="auto" w:fill="auto"/>
            <w:vAlign w:val="center"/>
          </w:tcPr>
          <w:p w14:paraId="415831C7"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 UiO-66 (% Removal)</w:t>
            </w:r>
          </w:p>
        </w:tc>
      </w:tr>
      <w:tr w:rsidR="00140CE3" w14:paraId="54B542A1" w14:textId="77777777" w:rsidTr="00C03A46">
        <w:tc>
          <w:tcPr>
            <w:tcW w:w="3016" w:type="dxa"/>
            <w:shd w:val="clear" w:color="auto" w:fill="auto"/>
            <w:vAlign w:val="center"/>
          </w:tcPr>
          <w:p w14:paraId="46D3D28D"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10</w:t>
            </w:r>
          </w:p>
        </w:tc>
        <w:tc>
          <w:tcPr>
            <w:tcW w:w="3000" w:type="dxa"/>
            <w:shd w:val="clear" w:color="auto" w:fill="auto"/>
            <w:vAlign w:val="center"/>
          </w:tcPr>
          <w:p w14:paraId="47414D2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95.7180</w:t>
            </w:r>
          </w:p>
        </w:tc>
        <w:tc>
          <w:tcPr>
            <w:tcW w:w="2910" w:type="dxa"/>
            <w:shd w:val="clear" w:color="auto" w:fill="auto"/>
            <w:vAlign w:val="center"/>
          </w:tcPr>
          <w:p w14:paraId="2F39BA85"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96.8669</w:t>
            </w:r>
          </w:p>
        </w:tc>
      </w:tr>
      <w:tr w:rsidR="00140CE3" w14:paraId="3760D77E" w14:textId="77777777" w:rsidTr="00C03A46">
        <w:tc>
          <w:tcPr>
            <w:tcW w:w="3016" w:type="dxa"/>
            <w:shd w:val="clear" w:color="auto" w:fill="auto"/>
            <w:vAlign w:val="center"/>
          </w:tcPr>
          <w:p w14:paraId="48C9EAD0"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20</w:t>
            </w:r>
          </w:p>
        </w:tc>
        <w:tc>
          <w:tcPr>
            <w:tcW w:w="3000" w:type="dxa"/>
            <w:shd w:val="clear" w:color="auto" w:fill="auto"/>
            <w:vAlign w:val="center"/>
          </w:tcPr>
          <w:p w14:paraId="0541FC9E"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95.6820</w:t>
            </w:r>
          </w:p>
        </w:tc>
        <w:tc>
          <w:tcPr>
            <w:tcW w:w="2910" w:type="dxa"/>
            <w:shd w:val="clear" w:color="auto" w:fill="auto"/>
            <w:vAlign w:val="center"/>
          </w:tcPr>
          <w:p w14:paraId="4F84DEB6"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96.6051</w:t>
            </w:r>
          </w:p>
        </w:tc>
      </w:tr>
      <w:tr w:rsidR="00140CE3" w14:paraId="06205B11" w14:textId="77777777" w:rsidTr="00C03A46">
        <w:tc>
          <w:tcPr>
            <w:tcW w:w="3016" w:type="dxa"/>
            <w:shd w:val="clear" w:color="auto" w:fill="auto"/>
            <w:vAlign w:val="center"/>
          </w:tcPr>
          <w:p w14:paraId="1937BB6B"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30</w:t>
            </w:r>
          </w:p>
        </w:tc>
        <w:tc>
          <w:tcPr>
            <w:tcW w:w="3000" w:type="dxa"/>
            <w:shd w:val="clear" w:color="auto" w:fill="auto"/>
            <w:vAlign w:val="center"/>
          </w:tcPr>
          <w:p w14:paraId="0A1DA5A8"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95.6918</w:t>
            </w:r>
          </w:p>
        </w:tc>
        <w:tc>
          <w:tcPr>
            <w:tcW w:w="2910" w:type="dxa"/>
            <w:shd w:val="clear" w:color="auto" w:fill="auto"/>
            <w:vAlign w:val="center"/>
          </w:tcPr>
          <w:p w14:paraId="2E68D0D6"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96.6231</w:t>
            </w:r>
          </w:p>
        </w:tc>
      </w:tr>
      <w:tr w:rsidR="00140CE3" w14:paraId="2B050833" w14:textId="77777777" w:rsidTr="00C03A46">
        <w:tc>
          <w:tcPr>
            <w:tcW w:w="3016" w:type="dxa"/>
            <w:shd w:val="clear" w:color="auto" w:fill="auto"/>
            <w:vAlign w:val="center"/>
          </w:tcPr>
          <w:p w14:paraId="22524CEE"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40</w:t>
            </w:r>
          </w:p>
        </w:tc>
        <w:tc>
          <w:tcPr>
            <w:tcW w:w="3000" w:type="dxa"/>
            <w:shd w:val="clear" w:color="auto" w:fill="auto"/>
            <w:vAlign w:val="center"/>
          </w:tcPr>
          <w:p w14:paraId="4A5E1150"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95.6935</w:t>
            </w:r>
          </w:p>
        </w:tc>
        <w:tc>
          <w:tcPr>
            <w:tcW w:w="2910" w:type="dxa"/>
            <w:shd w:val="clear" w:color="auto" w:fill="auto"/>
            <w:vAlign w:val="center"/>
          </w:tcPr>
          <w:p w14:paraId="15CB1583"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96.4676</w:t>
            </w:r>
          </w:p>
        </w:tc>
      </w:tr>
      <w:tr w:rsidR="00140CE3" w14:paraId="651080D1" w14:textId="77777777" w:rsidTr="00C03A46">
        <w:tc>
          <w:tcPr>
            <w:tcW w:w="3016" w:type="dxa"/>
            <w:shd w:val="clear" w:color="auto" w:fill="auto"/>
            <w:vAlign w:val="center"/>
          </w:tcPr>
          <w:p w14:paraId="7B185C8C"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50</w:t>
            </w:r>
          </w:p>
        </w:tc>
        <w:tc>
          <w:tcPr>
            <w:tcW w:w="3000" w:type="dxa"/>
            <w:shd w:val="clear" w:color="auto" w:fill="auto"/>
            <w:vAlign w:val="center"/>
          </w:tcPr>
          <w:p w14:paraId="70A366C2"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95.7016</w:t>
            </w:r>
          </w:p>
        </w:tc>
        <w:tc>
          <w:tcPr>
            <w:tcW w:w="2910" w:type="dxa"/>
            <w:shd w:val="clear" w:color="auto" w:fill="auto"/>
            <w:vAlign w:val="center"/>
          </w:tcPr>
          <w:p w14:paraId="47AA2314"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95.8620</w:t>
            </w:r>
          </w:p>
        </w:tc>
      </w:tr>
    </w:tbl>
    <w:p w14:paraId="36B24A8E" w14:textId="77777777" w:rsidR="00602518" w:rsidRPr="00602518" w:rsidRDefault="00602518" w:rsidP="00BD6F5F">
      <w:pPr>
        <w:spacing w:line="360" w:lineRule="auto"/>
        <w:jc w:val="both"/>
        <w:rPr>
          <w:rFonts w:ascii="Times New Roman" w:eastAsia="SimSun" w:hAnsi="Times New Roman" w:cs="Times New Roman"/>
          <w:b/>
          <w:bCs/>
          <w:sz w:val="6"/>
          <w:szCs w:val="24"/>
          <w:lang w:eastAsia="zh-CN" w:bidi="ar"/>
        </w:rPr>
      </w:pPr>
    </w:p>
    <w:p w14:paraId="36A13E7B" w14:textId="77777777" w:rsidR="004B489A" w:rsidRDefault="004B489A">
      <w:pPr>
        <w:spacing w:after="0" w:line="240" w:lineRule="auto"/>
        <w:rPr>
          <w:rFonts w:ascii="Times New Roman" w:eastAsia="SimSun" w:hAnsi="Times New Roman" w:cs="Times New Roman"/>
          <w:b/>
          <w:bCs/>
          <w:sz w:val="24"/>
          <w:szCs w:val="24"/>
          <w:lang w:eastAsia="zh-CN" w:bidi="ar"/>
        </w:rPr>
      </w:pPr>
      <w:r>
        <w:rPr>
          <w:rFonts w:ascii="Times New Roman" w:eastAsia="SimSun" w:hAnsi="Times New Roman" w:cs="Times New Roman"/>
          <w:b/>
          <w:bCs/>
          <w:sz w:val="24"/>
          <w:szCs w:val="24"/>
          <w:lang w:eastAsia="zh-CN" w:bidi="ar"/>
        </w:rPr>
        <w:br w:type="page"/>
      </w:r>
    </w:p>
    <w:p w14:paraId="15423F61" w14:textId="339001C9" w:rsidR="00140CE3" w:rsidRDefault="00485BD2" w:rsidP="00BD6F5F">
      <w:pPr>
        <w:spacing w:line="360" w:lineRule="auto"/>
        <w:jc w:val="both"/>
        <w:rPr>
          <w:rFonts w:ascii="Times New Roman" w:hAnsi="Times New Roman" w:cs="Times New Roman"/>
          <w:sz w:val="24"/>
          <w:szCs w:val="24"/>
        </w:rPr>
      </w:pPr>
      <w:r>
        <w:rPr>
          <w:rFonts w:ascii="Times New Roman" w:eastAsia="SimSun" w:hAnsi="Times New Roman" w:cs="Times New Roman"/>
          <w:b/>
          <w:bCs/>
          <w:sz w:val="24"/>
          <w:szCs w:val="24"/>
          <w:lang w:eastAsia="zh-CN" w:bidi="ar"/>
        </w:rPr>
        <w:lastRenderedPageBreak/>
        <w:t>3.2.2. Adsorbent Dosage Effect</w:t>
      </w:r>
      <w:r>
        <w:rPr>
          <w:rFonts w:ascii="SimSun" w:eastAsia="SimSun" w:hAnsi="SimSun" w:cs="SimSun"/>
          <w:b/>
          <w:bCs/>
          <w:sz w:val="24"/>
          <w:szCs w:val="24"/>
          <w:lang w:eastAsia="zh-CN" w:bidi="ar"/>
        </w:rPr>
        <w:t xml:space="preserve"> </w:t>
      </w:r>
      <w:r>
        <w:rPr>
          <w:rFonts w:ascii="SimSun" w:eastAsia="SimSun" w:hAnsi="SimSun" w:cs="SimSun"/>
          <w:b/>
          <w:bCs/>
          <w:sz w:val="24"/>
          <w:szCs w:val="24"/>
          <w:lang w:eastAsia="zh-CN" w:bidi="ar"/>
        </w:rPr>
        <w:br/>
      </w:r>
      <w:r>
        <w:rPr>
          <w:rFonts w:ascii="Times New Roman" w:eastAsia="SimSun" w:hAnsi="Times New Roman" w:cs="Times New Roman"/>
          <w:sz w:val="24"/>
          <w:szCs w:val="24"/>
          <w:lang w:eastAsia="zh-CN" w:bidi="ar"/>
        </w:rPr>
        <w:t xml:space="preserve">Table 2 </w:t>
      </w:r>
      <w:proofErr w:type="spellStart"/>
      <w:r>
        <w:rPr>
          <w:rFonts w:ascii="Times New Roman" w:eastAsia="SimSun" w:hAnsi="Times New Roman" w:cs="Times New Roman"/>
          <w:sz w:val="24"/>
          <w:szCs w:val="24"/>
          <w:lang w:eastAsia="zh-CN" w:bidi="ar"/>
        </w:rPr>
        <w:t>summarises</w:t>
      </w:r>
      <w:proofErr w:type="spellEnd"/>
      <w:r>
        <w:rPr>
          <w:rFonts w:ascii="Times New Roman" w:eastAsia="SimSun" w:hAnsi="Times New Roman" w:cs="Times New Roman"/>
          <w:sz w:val="24"/>
          <w:szCs w:val="24"/>
          <w:lang w:eastAsia="zh-CN" w:bidi="ar"/>
        </w:rPr>
        <w:t xml:space="preserve"> the impact of adsorbent dose on phenol elimination. Because equilibrium between adsorbent and adsorbate is established at higher solid-to-liquid ratios, where site availability surpasses adsorbate concentration, both materials showed a general decrease in percentage removal as adsorbent dosage increased from 0.1 to 0.5 g [1</w:t>
      </w:r>
      <w:r w:rsidR="009E3968">
        <w:rPr>
          <w:rFonts w:ascii="Times New Roman" w:eastAsia="SimSun" w:hAnsi="Times New Roman" w:cs="Times New Roman"/>
          <w:sz w:val="24"/>
          <w:szCs w:val="24"/>
          <w:lang w:eastAsia="zh-CN" w:bidi="ar"/>
        </w:rPr>
        <w:t>6</w:t>
      </w:r>
      <w:r>
        <w:rPr>
          <w:rFonts w:ascii="Times New Roman" w:eastAsia="SimSun" w:hAnsi="Times New Roman" w:cs="Times New Roman"/>
          <w:sz w:val="24"/>
          <w:szCs w:val="24"/>
          <w:lang w:eastAsia="zh-CN" w:bidi="ar"/>
        </w:rPr>
        <w:t>]. Interestingly, at the lowest dosage of 0.1 g, the defective UiO-66 performed better than the non-defective framework, attaining 97.43</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elimination as opposed to 96.68</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The hierarchical pore structure and defect-induced high-energy adsorption sites in the faulty framework, which enable more efficient pollutant collection even with limited adsorbent mass, are probably responsible for this increased efficiency at low dosage [</w:t>
      </w:r>
      <w:r w:rsidR="008A1D0B">
        <w:rPr>
          <w:rFonts w:ascii="Times New Roman" w:eastAsia="SimSun" w:hAnsi="Times New Roman" w:cs="Times New Roman"/>
          <w:sz w:val="24"/>
          <w:szCs w:val="24"/>
          <w:lang w:eastAsia="zh-CN" w:bidi="ar"/>
        </w:rPr>
        <w:t>10,</w:t>
      </w:r>
      <w:r>
        <w:rPr>
          <w:rFonts w:ascii="Times New Roman" w:eastAsia="SimSun" w:hAnsi="Times New Roman" w:cs="Times New Roman"/>
          <w:sz w:val="24"/>
          <w:szCs w:val="24"/>
          <w:lang w:eastAsia="zh-CN" w:bidi="ar"/>
        </w:rPr>
        <w:t>1</w:t>
      </w:r>
      <w:r w:rsidR="009E3968">
        <w:rPr>
          <w:rFonts w:ascii="Times New Roman" w:eastAsia="SimSun" w:hAnsi="Times New Roman" w:cs="Times New Roman"/>
          <w:sz w:val="24"/>
          <w:szCs w:val="24"/>
          <w:lang w:eastAsia="zh-CN" w:bidi="ar"/>
        </w:rPr>
        <w:t>2</w:t>
      </w:r>
      <w:r>
        <w:rPr>
          <w:rFonts w:ascii="Times New Roman" w:eastAsia="SimSun" w:hAnsi="Times New Roman" w:cs="Times New Roman"/>
          <w:sz w:val="24"/>
          <w:szCs w:val="24"/>
          <w:lang w:eastAsia="zh-CN" w:bidi="ar"/>
        </w:rPr>
        <w:t>,1</w:t>
      </w:r>
      <w:r w:rsidR="009E3968">
        <w:rPr>
          <w:rFonts w:ascii="Times New Roman" w:eastAsia="SimSun" w:hAnsi="Times New Roman" w:cs="Times New Roman"/>
          <w:sz w:val="24"/>
          <w:szCs w:val="24"/>
          <w:lang w:eastAsia="zh-CN" w:bidi="ar"/>
        </w:rPr>
        <w:t>8</w:t>
      </w:r>
      <w:r>
        <w:rPr>
          <w:rFonts w:ascii="Times New Roman" w:eastAsia="SimSun" w:hAnsi="Times New Roman" w:cs="Times New Roman"/>
          <w:sz w:val="24"/>
          <w:szCs w:val="24"/>
          <w:lang w:eastAsia="zh-CN" w:bidi="ar"/>
        </w:rPr>
        <w:t>]. Both compounds showed similar clearance efficiencies (95.48–95.85</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at higher dosages (0.3–0.5 g), indicating that site availability is no longer a rate-limiting factor in these circumstances.</w:t>
      </w:r>
    </w:p>
    <w:p w14:paraId="29863AC4" w14:textId="77777777" w:rsidR="00140CE3" w:rsidRDefault="00485BD2" w:rsidP="004B489A">
      <w:pPr>
        <w:pStyle w:val="NormalWeb"/>
        <w:shd w:val="clear" w:color="auto" w:fill="FFFFFF"/>
        <w:spacing w:before="240" w:after="0" w:line="240" w:lineRule="auto"/>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t>Table 2.</w:t>
      </w:r>
      <w:r>
        <w:rPr>
          <w:rFonts w:ascii="Times New Roman" w:eastAsia="Segoe UI" w:hAnsi="Times New Roman" w:cs="Times New Roman"/>
          <w:color w:val="0F1115"/>
          <w:shd w:val="clear" w:color="auto" w:fill="FFFFFF"/>
        </w:rPr>
        <w:t> Effect of adsorbent dosage on phenol removal efficiency by defective and non-defective UiO-66 (Experimental conditions: initial concentration = 20 mg/L, contact time = 60 min, temperature = 30 °C, pH = 7)</w:t>
      </w:r>
    </w:p>
    <w:tbl>
      <w:tblPr>
        <w:tblStyle w:val="TableGrid"/>
        <w:tblW w:w="0" w:type="auto"/>
        <w:tblLook w:val="04A0" w:firstRow="1" w:lastRow="0" w:firstColumn="1" w:lastColumn="0" w:noHBand="0" w:noVBand="1"/>
      </w:tblPr>
      <w:tblGrid>
        <w:gridCol w:w="2998"/>
        <w:gridCol w:w="3009"/>
        <w:gridCol w:w="3009"/>
      </w:tblGrid>
      <w:tr w:rsidR="00140CE3" w14:paraId="50C6884F" w14:textId="77777777">
        <w:tc>
          <w:tcPr>
            <w:tcW w:w="3080" w:type="dxa"/>
            <w:shd w:val="clear" w:color="auto" w:fill="auto"/>
            <w:vAlign w:val="center"/>
          </w:tcPr>
          <w:p w14:paraId="1D893278"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Dosage (g)</w:t>
            </w:r>
          </w:p>
        </w:tc>
        <w:tc>
          <w:tcPr>
            <w:tcW w:w="3081" w:type="dxa"/>
            <w:shd w:val="clear" w:color="auto" w:fill="auto"/>
            <w:vAlign w:val="center"/>
          </w:tcPr>
          <w:p w14:paraId="3361E117"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 (% Removal)</w:t>
            </w:r>
          </w:p>
        </w:tc>
        <w:tc>
          <w:tcPr>
            <w:tcW w:w="3081" w:type="dxa"/>
            <w:shd w:val="clear" w:color="auto" w:fill="auto"/>
            <w:vAlign w:val="center"/>
          </w:tcPr>
          <w:p w14:paraId="4D04EB5F"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 UiO-66 (% Removal)</w:t>
            </w:r>
          </w:p>
        </w:tc>
      </w:tr>
      <w:tr w:rsidR="00140CE3" w14:paraId="40CBEB46" w14:textId="77777777">
        <w:tc>
          <w:tcPr>
            <w:tcW w:w="3080" w:type="dxa"/>
            <w:shd w:val="clear" w:color="auto" w:fill="auto"/>
            <w:vAlign w:val="center"/>
          </w:tcPr>
          <w:p w14:paraId="6B680EA5"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0.1</w:t>
            </w:r>
          </w:p>
        </w:tc>
        <w:tc>
          <w:tcPr>
            <w:tcW w:w="3081" w:type="dxa"/>
            <w:shd w:val="clear" w:color="auto" w:fill="auto"/>
            <w:vAlign w:val="center"/>
          </w:tcPr>
          <w:p w14:paraId="1206C8E1"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97.4283</w:t>
            </w:r>
          </w:p>
        </w:tc>
        <w:tc>
          <w:tcPr>
            <w:tcW w:w="3081" w:type="dxa"/>
            <w:shd w:val="clear" w:color="auto" w:fill="auto"/>
            <w:vAlign w:val="center"/>
          </w:tcPr>
          <w:p w14:paraId="295519CF"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96.6836</w:t>
            </w:r>
          </w:p>
        </w:tc>
      </w:tr>
      <w:tr w:rsidR="00140CE3" w14:paraId="04C422B1" w14:textId="77777777">
        <w:tc>
          <w:tcPr>
            <w:tcW w:w="3080" w:type="dxa"/>
            <w:shd w:val="clear" w:color="auto" w:fill="auto"/>
            <w:vAlign w:val="center"/>
          </w:tcPr>
          <w:p w14:paraId="6A0DA46F"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0.2</w:t>
            </w:r>
          </w:p>
        </w:tc>
        <w:tc>
          <w:tcPr>
            <w:tcW w:w="3081" w:type="dxa"/>
            <w:shd w:val="clear" w:color="auto" w:fill="auto"/>
            <w:vAlign w:val="center"/>
          </w:tcPr>
          <w:p w14:paraId="286A2585"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96.4545</w:t>
            </w:r>
          </w:p>
        </w:tc>
        <w:tc>
          <w:tcPr>
            <w:tcW w:w="3081" w:type="dxa"/>
            <w:shd w:val="clear" w:color="auto" w:fill="auto"/>
            <w:vAlign w:val="center"/>
          </w:tcPr>
          <w:p w14:paraId="0B2E2813"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96.0077</w:t>
            </w:r>
          </w:p>
        </w:tc>
      </w:tr>
      <w:tr w:rsidR="00140CE3" w14:paraId="2F3CA85E" w14:textId="77777777">
        <w:tc>
          <w:tcPr>
            <w:tcW w:w="3080" w:type="dxa"/>
            <w:shd w:val="clear" w:color="auto" w:fill="auto"/>
            <w:vAlign w:val="center"/>
          </w:tcPr>
          <w:p w14:paraId="7373A635"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0.3</w:t>
            </w:r>
          </w:p>
        </w:tc>
        <w:tc>
          <w:tcPr>
            <w:tcW w:w="3081" w:type="dxa"/>
            <w:shd w:val="clear" w:color="auto" w:fill="auto"/>
            <w:vAlign w:val="center"/>
          </w:tcPr>
          <w:p w14:paraId="36BC2B27"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95.7720</w:t>
            </w:r>
          </w:p>
        </w:tc>
        <w:tc>
          <w:tcPr>
            <w:tcW w:w="3081" w:type="dxa"/>
            <w:shd w:val="clear" w:color="auto" w:fill="auto"/>
            <w:vAlign w:val="center"/>
          </w:tcPr>
          <w:p w14:paraId="6BD04039"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95.8506</w:t>
            </w:r>
          </w:p>
        </w:tc>
      </w:tr>
      <w:tr w:rsidR="00140CE3" w14:paraId="672E8138" w14:textId="77777777">
        <w:tc>
          <w:tcPr>
            <w:tcW w:w="3080" w:type="dxa"/>
            <w:shd w:val="clear" w:color="auto" w:fill="auto"/>
            <w:vAlign w:val="center"/>
          </w:tcPr>
          <w:p w14:paraId="4513FA16"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0.3</w:t>
            </w:r>
          </w:p>
        </w:tc>
        <w:tc>
          <w:tcPr>
            <w:tcW w:w="3081" w:type="dxa"/>
            <w:shd w:val="clear" w:color="auto" w:fill="auto"/>
            <w:vAlign w:val="center"/>
          </w:tcPr>
          <w:p w14:paraId="2A6DF2F6"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95.7720</w:t>
            </w:r>
          </w:p>
        </w:tc>
        <w:tc>
          <w:tcPr>
            <w:tcW w:w="3081" w:type="dxa"/>
            <w:shd w:val="clear" w:color="auto" w:fill="auto"/>
            <w:vAlign w:val="center"/>
          </w:tcPr>
          <w:p w14:paraId="570EA075"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95.8506</w:t>
            </w:r>
          </w:p>
        </w:tc>
      </w:tr>
      <w:tr w:rsidR="00140CE3" w14:paraId="675741BF" w14:textId="77777777">
        <w:tc>
          <w:tcPr>
            <w:tcW w:w="3080" w:type="dxa"/>
            <w:shd w:val="clear" w:color="auto" w:fill="auto"/>
            <w:vAlign w:val="center"/>
          </w:tcPr>
          <w:p w14:paraId="7E201D94"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0.5</w:t>
            </w:r>
          </w:p>
        </w:tc>
        <w:tc>
          <w:tcPr>
            <w:tcW w:w="3081" w:type="dxa"/>
            <w:shd w:val="clear" w:color="auto" w:fill="auto"/>
            <w:vAlign w:val="center"/>
          </w:tcPr>
          <w:p w14:paraId="311BA79C"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95.4856</w:t>
            </w:r>
          </w:p>
        </w:tc>
        <w:tc>
          <w:tcPr>
            <w:tcW w:w="3081" w:type="dxa"/>
            <w:shd w:val="clear" w:color="auto" w:fill="auto"/>
            <w:vAlign w:val="center"/>
          </w:tcPr>
          <w:p w14:paraId="0CF9D46E"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95.7458</w:t>
            </w:r>
          </w:p>
        </w:tc>
      </w:tr>
    </w:tbl>
    <w:p w14:paraId="198228A9" w14:textId="77777777" w:rsidR="00140CE3" w:rsidRDefault="00140CE3">
      <w:pPr>
        <w:jc w:val="both"/>
        <w:rPr>
          <w:rFonts w:ascii="Times New Roman" w:eastAsia="SimSun" w:hAnsi="Times New Roman" w:cs="Times New Roman"/>
          <w:b/>
          <w:bCs/>
          <w:sz w:val="24"/>
          <w:szCs w:val="24"/>
          <w:lang w:eastAsia="zh-CN" w:bidi="ar"/>
        </w:rPr>
      </w:pPr>
    </w:p>
    <w:p w14:paraId="315EA0EE" w14:textId="77777777" w:rsidR="00140CE3" w:rsidRDefault="00485BD2">
      <w:pPr>
        <w:jc w:val="both"/>
        <w:rPr>
          <w:rFonts w:ascii="Times New Roman" w:eastAsia="SimSun" w:hAnsi="Times New Roman" w:cs="Times New Roman"/>
          <w:sz w:val="24"/>
          <w:szCs w:val="24"/>
          <w:lang w:eastAsia="zh-CN" w:bidi="ar"/>
        </w:rPr>
      </w:pPr>
      <w:r>
        <w:rPr>
          <w:rFonts w:ascii="Times New Roman" w:eastAsia="SimSun" w:hAnsi="Times New Roman" w:cs="Times New Roman"/>
          <w:b/>
          <w:bCs/>
          <w:sz w:val="24"/>
          <w:szCs w:val="24"/>
          <w:lang w:eastAsia="zh-CN" w:bidi="ar"/>
        </w:rPr>
        <w:t xml:space="preserve">3.2.3. Temperature's Effect </w:t>
      </w:r>
      <w:r>
        <w:rPr>
          <w:rFonts w:ascii="Times New Roman" w:eastAsia="SimSun" w:hAnsi="Times New Roman" w:cs="Times New Roman"/>
          <w:sz w:val="24"/>
          <w:szCs w:val="24"/>
          <w:lang w:eastAsia="zh-CN" w:bidi="ar"/>
        </w:rPr>
        <w:br/>
      </w:r>
    </w:p>
    <w:p w14:paraId="2C380C9D" w14:textId="6411E7FE" w:rsidR="00140CE3" w:rsidRPr="00602518" w:rsidRDefault="00485BD2" w:rsidP="00602518">
      <w:pPr>
        <w:spacing w:line="360" w:lineRule="auto"/>
        <w:jc w:val="both"/>
      </w:pPr>
      <w:r>
        <w:rPr>
          <w:rFonts w:ascii="Times New Roman" w:eastAsia="SimSun" w:hAnsi="Times New Roman" w:cs="Times New Roman"/>
          <w:sz w:val="24"/>
          <w:szCs w:val="24"/>
          <w:lang w:eastAsia="zh-CN" w:bidi="ar"/>
        </w:rPr>
        <w:t>Table 3 shows the effects of temperature on phenol adsorption. Over the temperature range of 30 to 70 °C, the non-defective UiO-66 consistently showed better removal efficiencies (95.87–96.02</w:t>
      </w:r>
      <w:r w:rsidR="00BD6F5F">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than the defective framework (95.44–95.55</w:t>
      </w:r>
      <w:r w:rsidR="00BD6F5F">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A slightly higher removal rate at 50 °C (95.55</w:t>
      </w:r>
      <w:r w:rsidR="00BD6F5F">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than at 30 °C (95.54</w:t>
      </w:r>
      <w:r w:rsidR="00BD6F5F">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was observed for the defective UiO-66, indicating a slightly endothermic contribution to adsorption that might be enabled by its mesoporous defect structure, which permits better molecular diffusion at higher temperatures [1</w:t>
      </w:r>
      <w:r w:rsidR="009E3968">
        <w:rPr>
          <w:rFonts w:ascii="Times New Roman" w:eastAsia="SimSun" w:hAnsi="Times New Roman" w:cs="Times New Roman"/>
          <w:sz w:val="24"/>
          <w:szCs w:val="24"/>
          <w:lang w:eastAsia="zh-CN" w:bidi="ar"/>
        </w:rPr>
        <w:t>2</w:t>
      </w:r>
      <w:r>
        <w:rPr>
          <w:rFonts w:ascii="Times New Roman" w:eastAsia="SimSun" w:hAnsi="Times New Roman" w:cs="Times New Roman"/>
          <w:sz w:val="24"/>
          <w:szCs w:val="24"/>
          <w:lang w:eastAsia="zh-CN" w:bidi="ar"/>
        </w:rPr>
        <w:t>]</w:t>
      </w:r>
      <w:r w:rsidR="009E3968">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The non-defective framework, on the other hand, demonstrated little temperature sensitivity, with removal efficiencies virtually staying constant across the temperature range. Both materials' total marginal temperature influence is in line with physisorption-dominated processes, in which thermal energy is only partially responsible for breaking down adsorption barriers [</w:t>
      </w:r>
      <w:r w:rsidR="00001666">
        <w:rPr>
          <w:rFonts w:ascii="Times New Roman" w:eastAsia="SimSun" w:hAnsi="Times New Roman" w:cs="Times New Roman"/>
          <w:sz w:val="24"/>
          <w:szCs w:val="24"/>
          <w:lang w:eastAsia="zh-CN" w:bidi="ar"/>
        </w:rPr>
        <w:t>19</w:t>
      </w:r>
      <w:r>
        <w:rPr>
          <w:rFonts w:ascii="Times New Roman" w:eastAsia="SimSun" w:hAnsi="Times New Roman" w:cs="Times New Roman"/>
          <w:sz w:val="24"/>
          <w:szCs w:val="24"/>
          <w:lang w:eastAsia="zh-CN" w:bidi="ar"/>
        </w:rPr>
        <w:t>].</w:t>
      </w:r>
    </w:p>
    <w:p w14:paraId="7D48BED2" w14:textId="77777777" w:rsidR="00140CE3" w:rsidRDefault="00485BD2" w:rsidP="004B489A">
      <w:pPr>
        <w:pStyle w:val="NormalWeb"/>
        <w:shd w:val="clear" w:color="auto" w:fill="FFFFFF"/>
        <w:spacing w:before="240" w:after="0" w:line="240" w:lineRule="auto"/>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lastRenderedPageBreak/>
        <w:t>Table 3.</w:t>
      </w:r>
      <w:r>
        <w:rPr>
          <w:rFonts w:ascii="Times New Roman" w:eastAsia="Segoe UI" w:hAnsi="Times New Roman" w:cs="Times New Roman"/>
          <w:color w:val="0F1115"/>
          <w:shd w:val="clear" w:color="auto" w:fill="FFFFFF"/>
        </w:rPr>
        <w:t> Effect of temperature on phenol removal efficiency by defective and non-defective UiO-66 (Experimental conditions: initial concentration = 20 mg/L, adsorbent dosage = 0.1 g, contact time = 60 min, pH = 7)</w:t>
      </w:r>
    </w:p>
    <w:tbl>
      <w:tblPr>
        <w:tblStyle w:val="TableGrid"/>
        <w:tblW w:w="0" w:type="auto"/>
        <w:tblInd w:w="150" w:type="dxa"/>
        <w:tblLook w:val="04A0" w:firstRow="1" w:lastRow="0" w:firstColumn="1" w:lastColumn="0" w:noHBand="0" w:noVBand="1"/>
      </w:tblPr>
      <w:tblGrid>
        <w:gridCol w:w="2930"/>
        <w:gridCol w:w="3081"/>
        <w:gridCol w:w="2788"/>
      </w:tblGrid>
      <w:tr w:rsidR="00140CE3" w14:paraId="650D6109" w14:textId="77777777">
        <w:tc>
          <w:tcPr>
            <w:tcW w:w="2930" w:type="dxa"/>
            <w:shd w:val="clear" w:color="auto" w:fill="auto"/>
            <w:vAlign w:val="center"/>
          </w:tcPr>
          <w:p w14:paraId="6ACD6BAF"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Temperature (°C)</w:t>
            </w:r>
          </w:p>
        </w:tc>
        <w:tc>
          <w:tcPr>
            <w:tcW w:w="3081" w:type="dxa"/>
            <w:shd w:val="clear" w:color="auto" w:fill="auto"/>
            <w:vAlign w:val="center"/>
          </w:tcPr>
          <w:p w14:paraId="65A8F9E7"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 (% Removal)</w:t>
            </w:r>
          </w:p>
        </w:tc>
        <w:tc>
          <w:tcPr>
            <w:tcW w:w="2788" w:type="dxa"/>
            <w:shd w:val="clear" w:color="auto" w:fill="auto"/>
            <w:vAlign w:val="center"/>
          </w:tcPr>
          <w:p w14:paraId="1E881153" w14:textId="77777777" w:rsidR="00140CE3" w:rsidRDefault="00485BD2" w:rsidP="00C03A46">
            <w:pPr>
              <w:widowControl/>
              <w:spacing w:line="240" w:lineRule="auto"/>
              <w:jc w:val="left"/>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 UiO-66 (% Removal)</w:t>
            </w:r>
          </w:p>
        </w:tc>
      </w:tr>
      <w:tr w:rsidR="00140CE3" w14:paraId="23DC26F4" w14:textId="77777777">
        <w:tc>
          <w:tcPr>
            <w:tcW w:w="2930" w:type="dxa"/>
            <w:shd w:val="clear" w:color="auto" w:fill="auto"/>
            <w:vAlign w:val="center"/>
          </w:tcPr>
          <w:p w14:paraId="4D5085D6"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30</w:t>
            </w:r>
          </w:p>
        </w:tc>
        <w:tc>
          <w:tcPr>
            <w:tcW w:w="3081" w:type="dxa"/>
            <w:shd w:val="clear" w:color="auto" w:fill="auto"/>
            <w:vAlign w:val="center"/>
          </w:tcPr>
          <w:p w14:paraId="252B4E5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95.5396</w:t>
            </w:r>
          </w:p>
        </w:tc>
        <w:tc>
          <w:tcPr>
            <w:tcW w:w="2788" w:type="dxa"/>
            <w:shd w:val="clear" w:color="auto" w:fill="auto"/>
            <w:vAlign w:val="center"/>
          </w:tcPr>
          <w:p w14:paraId="0969332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96.0241</w:t>
            </w:r>
          </w:p>
        </w:tc>
      </w:tr>
      <w:tr w:rsidR="00140CE3" w14:paraId="15E3E768" w14:textId="77777777">
        <w:tc>
          <w:tcPr>
            <w:tcW w:w="2930" w:type="dxa"/>
            <w:shd w:val="clear" w:color="auto" w:fill="auto"/>
            <w:vAlign w:val="center"/>
          </w:tcPr>
          <w:p w14:paraId="4FCF1291"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40</w:t>
            </w:r>
          </w:p>
        </w:tc>
        <w:tc>
          <w:tcPr>
            <w:tcW w:w="3081" w:type="dxa"/>
            <w:shd w:val="clear" w:color="auto" w:fill="auto"/>
            <w:vAlign w:val="center"/>
          </w:tcPr>
          <w:p w14:paraId="560819CB"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95.4872</w:t>
            </w:r>
          </w:p>
        </w:tc>
        <w:tc>
          <w:tcPr>
            <w:tcW w:w="2788" w:type="dxa"/>
            <w:shd w:val="clear" w:color="auto" w:fill="auto"/>
            <w:vAlign w:val="center"/>
          </w:tcPr>
          <w:p w14:paraId="0FD267C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95.8686</w:t>
            </w:r>
          </w:p>
        </w:tc>
      </w:tr>
      <w:tr w:rsidR="00140CE3" w14:paraId="6BE1F97A" w14:textId="77777777">
        <w:tc>
          <w:tcPr>
            <w:tcW w:w="2930" w:type="dxa"/>
            <w:shd w:val="clear" w:color="auto" w:fill="auto"/>
            <w:vAlign w:val="center"/>
          </w:tcPr>
          <w:p w14:paraId="6331376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50</w:t>
            </w:r>
          </w:p>
        </w:tc>
        <w:tc>
          <w:tcPr>
            <w:tcW w:w="3081" w:type="dxa"/>
            <w:shd w:val="clear" w:color="auto" w:fill="auto"/>
            <w:vAlign w:val="center"/>
          </w:tcPr>
          <w:p w14:paraId="7227543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95.5511</w:t>
            </w:r>
          </w:p>
        </w:tc>
        <w:tc>
          <w:tcPr>
            <w:tcW w:w="2788" w:type="dxa"/>
            <w:shd w:val="clear" w:color="auto" w:fill="auto"/>
            <w:vAlign w:val="center"/>
          </w:tcPr>
          <w:p w14:paraId="69D6AE1A"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95.9013</w:t>
            </w:r>
          </w:p>
        </w:tc>
      </w:tr>
      <w:tr w:rsidR="00140CE3" w14:paraId="12D9DEBE" w14:textId="77777777">
        <w:tc>
          <w:tcPr>
            <w:tcW w:w="2930" w:type="dxa"/>
            <w:shd w:val="clear" w:color="auto" w:fill="auto"/>
            <w:vAlign w:val="center"/>
          </w:tcPr>
          <w:p w14:paraId="572CBBF3"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60</w:t>
            </w:r>
          </w:p>
        </w:tc>
        <w:tc>
          <w:tcPr>
            <w:tcW w:w="3081" w:type="dxa"/>
            <w:shd w:val="clear" w:color="auto" w:fill="auto"/>
            <w:vAlign w:val="center"/>
          </w:tcPr>
          <w:p w14:paraId="6A33323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95.5183</w:t>
            </w:r>
          </w:p>
        </w:tc>
        <w:tc>
          <w:tcPr>
            <w:tcW w:w="2788" w:type="dxa"/>
            <w:shd w:val="clear" w:color="auto" w:fill="auto"/>
            <w:vAlign w:val="center"/>
          </w:tcPr>
          <w:p w14:paraId="491A591F"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95.9406</w:t>
            </w:r>
          </w:p>
        </w:tc>
      </w:tr>
      <w:tr w:rsidR="00140CE3" w14:paraId="55F86452" w14:textId="77777777">
        <w:tc>
          <w:tcPr>
            <w:tcW w:w="2930" w:type="dxa"/>
            <w:shd w:val="clear" w:color="auto" w:fill="auto"/>
            <w:vAlign w:val="center"/>
          </w:tcPr>
          <w:p w14:paraId="4B42E8C1"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70</w:t>
            </w:r>
          </w:p>
        </w:tc>
        <w:tc>
          <w:tcPr>
            <w:tcW w:w="3081" w:type="dxa"/>
            <w:shd w:val="clear" w:color="auto" w:fill="auto"/>
            <w:vAlign w:val="center"/>
          </w:tcPr>
          <w:p w14:paraId="60E803C3"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95.4381</w:t>
            </w:r>
          </w:p>
        </w:tc>
        <w:tc>
          <w:tcPr>
            <w:tcW w:w="2788" w:type="dxa"/>
            <w:shd w:val="clear" w:color="auto" w:fill="auto"/>
            <w:vAlign w:val="center"/>
          </w:tcPr>
          <w:p w14:paraId="3FE52CE7" w14:textId="77777777" w:rsidR="00140CE3" w:rsidRDefault="00485BD2" w:rsidP="00C03A46">
            <w:pPr>
              <w:widowControl/>
              <w:spacing w:line="240" w:lineRule="auto"/>
              <w:jc w:val="left"/>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95.8980</w:t>
            </w:r>
          </w:p>
        </w:tc>
      </w:tr>
    </w:tbl>
    <w:p w14:paraId="352D85CA" w14:textId="77777777" w:rsidR="00140CE3" w:rsidRPr="004B489A" w:rsidRDefault="00140CE3">
      <w:pPr>
        <w:pStyle w:val="NormalWeb"/>
        <w:shd w:val="clear" w:color="auto" w:fill="FFFFFF"/>
        <w:spacing w:before="240" w:after="240"/>
        <w:jc w:val="both"/>
        <w:rPr>
          <w:rStyle w:val="Strong"/>
          <w:rFonts w:ascii="Times New Roman" w:eastAsia="Segoe UI" w:hAnsi="Times New Roman" w:cs="Times New Roman"/>
          <w:color w:val="0F1115"/>
          <w:sz w:val="2"/>
          <w:szCs w:val="2"/>
          <w:shd w:val="clear" w:color="auto" w:fill="FFFFFF"/>
        </w:rPr>
      </w:pPr>
    </w:p>
    <w:p w14:paraId="2E7274B8" w14:textId="141CCC1A" w:rsidR="00140CE3" w:rsidRDefault="00485BD2" w:rsidP="00357A37">
      <w:pPr>
        <w:spacing w:line="360" w:lineRule="auto"/>
        <w:jc w:val="both"/>
        <w:rPr>
          <w:rFonts w:ascii="Times New Roman" w:eastAsia="Segoe UI" w:hAnsi="Times New Roman" w:cs="Times New Roman"/>
          <w:color w:val="0F1115"/>
          <w:sz w:val="24"/>
          <w:szCs w:val="24"/>
        </w:rPr>
      </w:pPr>
      <w:r w:rsidRPr="00001666">
        <w:rPr>
          <w:rFonts w:ascii="Times New Roman" w:eastAsia="SimSun" w:hAnsi="Times New Roman" w:cs="Times New Roman"/>
          <w:b/>
          <w:bCs/>
          <w:sz w:val="24"/>
          <w:szCs w:val="24"/>
          <w:lang w:eastAsia="zh-CN" w:bidi="ar"/>
        </w:rPr>
        <w:t xml:space="preserve">3.2.4. Contact Time's Impact </w:t>
      </w:r>
      <w:r w:rsidRPr="00001666">
        <w:rPr>
          <w:rFonts w:ascii="Times New Roman" w:eastAsia="SimSun" w:hAnsi="Times New Roman" w:cs="Times New Roman"/>
          <w:sz w:val="24"/>
          <w:szCs w:val="24"/>
          <w:lang w:eastAsia="zh-CN" w:bidi="ar"/>
        </w:rPr>
        <w:br/>
      </w:r>
      <w:r>
        <w:rPr>
          <w:rFonts w:ascii="Times New Roman" w:eastAsia="SimSun" w:hAnsi="Times New Roman" w:cs="Times New Roman"/>
          <w:sz w:val="24"/>
          <w:szCs w:val="24"/>
          <w:lang w:eastAsia="zh-CN" w:bidi="ar"/>
        </w:rPr>
        <w:t>According to contact time investigations (Table 4), the adsorption kinetics showed that both adsorbents quickly reached equilibrium. After achieving 96.13</w:t>
      </w:r>
      <w:r w:rsidR="00357A37">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removal in the first half hour, the non-defective UiO-66's removal efficiency </w:t>
      </w:r>
      <w:proofErr w:type="spellStart"/>
      <w:r>
        <w:rPr>
          <w:rFonts w:ascii="Times New Roman" w:eastAsia="SimSun" w:hAnsi="Times New Roman" w:cs="Times New Roman"/>
          <w:sz w:val="24"/>
          <w:szCs w:val="24"/>
          <w:lang w:eastAsia="zh-CN" w:bidi="ar"/>
        </w:rPr>
        <w:t>stabilised</w:t>
      </w:r>
      <w:proofErr w:type="spellEnd"/>
      <w:r>
        <w:rPr>
          <w:rFonts w:ascii="Times New Roman" w:eastAsia="SimSun" w:hAnsi="Times New Roman" w:cs="Times New Roman"/>
          <w:sz w:val="24"/>
          <w:szCs w:val="24"/>
          <w:lang w:eastAsia="zh-CN" w:bidi="ar"/>
        </w:rPr>
        <w:t xml:space="preserve"> with just slight variations (95.88–96.04</w:t>
      </w:r>
      <w:r w:rsidR="00357A37">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 </w:t>
      </w:r>
      <w:r>
        <w:rPr>
          <w:rFonts w:ascii="Times New Roman" w:eastAsia="Segoe UI" w:hAnsi="Times New Roman" w:cs="Times New Roman"/>
          <w:color w:val="0F1115"/>
          <w:sz w:val="24"/>
          <w:szCs w:val="24"/>
          <w:shd w:val="clear" w:color="auto" w:fill="FFFFFF"/>
        </w:rPr>
        <w:t>This rapid initial uptake reflects the abundant availability of active sites on the uniform pore surfaces of the defect-free framework [6]. The defective UiO-66, while also reaching equilibrium within 30 minutes (95.58</w:t>
      </w:r>
      <w:r w:rsidR="00357A37">
        <w:rPr>
          <w:rFonts w:ascii="Times New Roman" w:eastAsia="Segoe UI" w:hAnsi="Times New Roman" w:cs="Times New Roman"/>
          <w:color w:val="0F1115"/>
          <w:sz w:val="24"/>
          <w:szCs w:val="24"/>
          <w:shd w:val="clear" w:color="auto" w:fill="FFFFFF"/>
        </w:rPr>
        <w:t xml:space="preserve"> </w:t>
      </w:r>
      <w:r>
        <w:rPr>
          <w:rFonts w:ascii="Times New Roman" w:eastAsia="Segoe UI" w:hAnsi="Times New Roman" w:cs="Times New Roman"/>
          <w:color w:val="0F1115"/>
          <w:sz w:val="24"/>
          <w:szCs w:val="24"/>
          <w:shd w:val="clear" w:color="auto" w:fill="FFFFFF"/>
        </w:rPr>
        <w:t>% removal), exhibited slightly slower initial kinetics, consistent with the presence of hierarchical porosity where micropore diffusion may introduce mild mass transfer resistance [1</w:t>
      </w:r>
      <w:r w:rsidR="00001666">
        <w:rPr>
          <w:rFonts w:ascii="Times New Roman" w:eastAsia="Segoe UI" w:hAnsi="Times New Roman" w:cs="Times New Roman"/>
          <w:color w:val="0F1115"/>
          <w:sz w:val="24"/>
          <w:szCs w:val="24"/>
          <w:shd w:val="clear" w:color="auto" w:fill="FFFFFF"/>
        </w:rPr>
        <w:t>5</w:t>
      </w:r>
      <w:r>
        <w:rPr>
          <w:rFonts w:ascii="Times New Roman" w:eastAsia="Segoe UI" w:hAnsi="Times New Roman" w:cs="Times New Roman"/>
          <w:color w:val="0F1115"/>
          <w:sz w:val="24"/>
          <w:szCs w:val="24"/>
          <w:shd w:val="clear" w:color="auto" w:fill="FFFFFF"/>
        </w:rPr>
        <w:t>]. However, the defective framework demonstrated remarkable stability in removal efficiency over the 150</w:t>
      </w:r>
      <w:r w:rsidR="00001666">
        <w:rPr>
          <w:rFonts w:ascii="Times New Roman" w:eastAsia="Segoe UI" w:hAnsi="Times New Roman" w:cs="Times New Roman"/>
          <w:color w:val="0F1115"/>
          <w:sz w:val="24"/>
          <w:szCs w:val="24"/>
          <w:shd w:val="clear" w:color="auto" w:fill="FFFFFF"/>
        </w:rPr>
        <w:t xml:space="preserve"> </w:t>
      </w:r>
      <w:r>
        <w:rPr>
          <w:rFonts w:ascii="Times New Roman" w:eastAsia="Segoe UI" w:hAnsi="Times New Roman" w:cs="Times New Roman"/>
          <w:color w:val="0F1115"/>
          <w:sz w:val="24"/>
          <w:szCs w:val="24"/>
          <w:shd w:val="clear" w:color="auto" w:fill="FFFFFF"/>
        </w:rPr>
        <w:t>minute</w:t>
      </w:r>
      <w:r w:rsidR="00001666">
        <w:rPr>
          <w:rFonts w:ascii="Times New Roman" w:eastAsia="Segoe UI" w:hAnsi="Times New Roman" w:cs="Times New Roman"/>
          <w:color w:val="0F1115"/>
          <w:sz w:val="24"/>
          <w:szCs w:val="24"/>
          <w:shd w:val="clear" w:color="auto" w:fill="FFFFFF"/>
        </w:rPr>
        <w:t>s</w:t>
      </w:r>
      <w:r>
        <w:rPr>
          <w:rFonts w:ascii="Times New Roman" w:eastAsia="Segoe UI" w:hAnsi="Times New Roman" w:cs="Times New Roman"/>
          <w:color w:val="0F1115"/>
          <w:sz w:val="24"/>
          <w:szCs w:val="24"/>
          <w:shd w:val="clear" w:color="auto" w:fill="FFFFFF"/>
        </w:rPr>
        <w:t xml:space="preserve"> duration (95.58–95.63</w:t>
      </w:r>
      <w:r w:rsidR="00357A37">
        <w:rPr>
          <w:rFonts w:ascii="Times New Roman" w:eastAsia="Segoe UI" w:hAnsi="Times New Roman" w:cs="Times New Roman"/>
          <w:color w:val="0F1115"/>
          <w:sz w:val="24"/>
          <w:szCs w:val="24"/>
          <w:shd w:val="clear" w:color="auto" w:fill="FFFFFF"/>
        </w:rPr>
        <w:t xml:space="preserve"> </w:t>
      </w:r>
      <w:r>
        <w:rPr>
          <w:rFonts w:ascii="Times New Roman" w:eastAsia="Segoe UI" w:hAnsi="Times New Roman" w:cs="Times New Roman"/>
          <w:color w:val="0F1115"/>
          <w:sz w:val="24"/>
          <w:szCs w:val="24"/>
          <w:shd w:val="clear" w:color="auto" w:fill="FFFFFF"/>
        </w:rPr>
        <w:t>%), indicating sustained adsorption capacity without desorption or site deactivation.</w:t>
      </w:r>
    </w:p>
    <w:p w14:paraId="77F4849E" w14:textId="2CC58E10" w:rsidR="00140CE3" w:rsidRDefault="00485BD2" w:rsidP="004B489A">
      <w:pPr>
        <w:pStyle w:val="NormalWeb"/>
        <w:shd w:val="clear" w:color="auto" w:fill="FFFFFF"/>
        <w:spacing w:before="240" w:after="0" w:line="240" w:lineRule="auto"/>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t>Table 4.</w:t>
      </w:r>
      <w:r>
        <w:rPr>
          <w:rFonts w:ascii="Times New Roman" w:eastAsia="Segoe UI" w:hAnsi="Times New Roman" w:cs="Times New Roman"/>
          <w:color w:val="0F1115"/>
          <w:shd w:val="clear" w:color="auto" w:fill="FFFFFF"/>
        </w:rPr>
        <w:t> Effect of contact time on phenol removal efficiency by defective and non-defective UiO-66 (Experimental conditions: initial concentration = 20 mg/L, adsorbent dosage = 0.1 g, temperature = 30 °C, pH = 7)</w:t>
      </w:r>
    </w:p>
    <w:tbl>
      <w:tblPr>
        <w:tblStyle w:val="TableGrid"/>
        <w:tblW w:w="0" w:type="auto"/>
        <w:tblLook w:val="04A0" w:firstRow="1" w:lastRow="0" w:firstColumn="1" w:lastColumn="0" w:noHBand="0" w:noVBand="1"/>
      </w:tblPr>
      <w:tblGrid>
        <w:gridCol w:w="1739"/>
        <w:gridCol w:w="3307"/>
        <w:gridCol w:w="3658"/>
      </w:tblGrid>
      <w:tr w:rsidR="00140CE3" w14:paraId="0DB6ADED" w14:textId="77777777" w:rsidTr="004B489A">
        <w:trPr>
          <w:trHeight w:val="113"/>
        </w:trPr>
        <w:tc>
          <w:tcPr>
            <w:tcW w:w="1739" w:type="dxa"/>
            <w:shd w:val="clear" w:color="auto" w:fill="auto"/>
            <w:vAlign w:val="center"/>
          </w:tcPr>
          <w:p w14:paraId="7A909010"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Time (Min)</w:t>
            </w:r>
          </w:p>
        </w:tc>
        <w:tc>
          <w:tcPr>
            <w:tcW w:w="3307" w:type="dxa"/>
            <w:shd w:val="clear" w:color="auto" w:fill="auto"/>
            <w:vAlign w:val="center"/>
          </w:tcPr>
          <w:p w14:paraId="16F3C0F5"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 (% Removal)</w:t>
            </w:r>
          </w:p>
        </w:tc>
        <w:tc>
          <w:tcPr>
            <w:tcW w:w="3658" w:type="dxa"/>
            <w:shd w:val="clear" w:color="auto" w:fill="auto"/>
            <w:vAlign w:val="center"/>
          </w:tcPr>
          <w:p w14:paraId="203E3652"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 UiO-66 (% Removal)</w:t>
            </w:r>
          </w:p>
        </w:tc>
      </w:tr>
      <w:tr w:rsidR="00140CE3" w14:paraId="27D2E818" w14:textId="77777777" w:rsidTr="004B489A">
        <w:trPr>
          <w:trHeight w:val="113"/>
        </w:trPr>
        <w:tc>
          <w:tcPr>
            <w:tcW w:w="1739" w:type="dxa"/>
            <w:shd w:val="clear" w:color="auto" w:fill="auto"/>
            <w:vAlign w:val="center"/>
          </w:tcPr>
          <w:p w14:paraId="343B112D"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30</w:t>
            </w:r>
          </w:p>
        </w:tc>
        <w:tc>
          <w:tcPr>
            <w:tcW w:w="3307" w:type="dxa"/>
            <w:shd w:val="clear" w:color="auto" w:fill="auto"/>
            <w:vAlign w:val="center"/>
          </w:tcPr>
          <w:p w14:paraId="590EA80A"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95.5773</w:t>
            </w:r>
          </w:p>
        </w:tc>
        <w:tc>
          <w:tcPr>
            <w:tcW w:w="3658" w:type="dxa"/>
            <w:shd w:val="clear" w:color="auto" w:fill="auto"/>
            <w:vAlign w:val="center"/>
          </w:tcPr>
          <w:p w14:paraId="2251666B"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96.1321</w:t>
            </w:r>
          </w:p>
        </w:tc>
      </w:tr>
      <w:tr w:rsidR="00140CE3" w14:paraId="09E34DEE" w14:textId="77777777" w:rsidTr="004B489A">
        <w:trPr>
          <w:trHeight w:val="113"/>
        </w:trPr>
        <w:tc>
          <w:tcPr>
            <w:tcW w:w="1739" w:type="dxa"/>
            <w:shd w:val="clear" w:color="auto" w:fill="auto"/>
            <w:vAlign w:val="center"/>
          </w:tcPr>
          <w:p w14:paraId="611EB6A9"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60</w:t>
            </w:r>
          </w:p>
        </w:tc>
        <w:tc>
          <w:tcPr>
            <w:tcW w:w="3307" w:type="dxa"/>
            <w:shd w:val="clear" w:color="auto" w:fill="auto"/>
            <w:vAlign w:val="center"/>
          </w:tcPr>
          <w:p w14:paraId="72525858"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95.6100</w:t>
            </w:r>
          </w:p>
        </w:tc>
        <w:tc>
          <w:tcPr>
            <w:tcW w:w="3658" w:type="dxa"/>
            <w:shd w:val="clear" w:color="auto" w:fill="auto"/>
            <w:vAlign w:val="center"/>
          </w:tcPr>
          <w:p w14:paraId="5C1417D6"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96.0421</w:t>
            </w:r>
          </w:p>
        </w:tc>
      </w:tr>
      <w:tr w:rsidR="00140CE3" w14:paraId="42FC3360" w14:textId="77777777" w:rsidTr="004B489A">
        <w:trPr>
          <w:trHeight w:val="113"/>
        </w:trPr>
        <w:tc>
          <w:tcPr>
            <w:tcW w:w="1739" w:type="dxa"/>
            <w:shd w:val="clear" w:color="auto" w:fill="auto"/>
            <w:vAlign w:val="center"/>
          </w:tcPr>
          <w:p w14:paraId="70314720"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90</w:t>
            </w:r>
          </w:p>
        </w:tc>
        <w:tc>
          <w:tcPr>
            <w:tcW w:w="3307" w:type="dxa"/>
            <w:shd w:val="clear" w:color="auto" w:fill="auto"/>
            <w:vAlign w:val="center"/>
          </w:tcPr>
          <w:p w14:paraId="2D828226"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95.6051</w:t>
            </w:r>
          </w:p>
        </w:tc>
        <w:tc>
          <w:tcPr>
            <w:tcW w:w="3658" w:type="dxa"/>
            <w:shd w:val="clear" w:color="auto" w:fill="auto"/>
            <w:vAlign w:val="center"/>
          </w:tcPr>
          <w:p w14:paraId="02C7B876"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95.8800</w:t>
            </w:r>
          </w:p>
        </w:tc>
      </w:tr>
      <w:tr w:rsidR="00140CE3" w14:paraId="58BC17A8" w14:textId="77777777" w:rsidTr="004B489A">
        <w:trPr>
          <w:trHeight w:val="113"/>
        </w:trPr>
        <w:tc>
          <w:tcPr>
            <w:tcW w:w="1739" w:type="dxa"/>
            <w:shd w:val="clear" w:color="auto" w:fill="auto"/>
            <w:vAlign w:val="center"/>
          </w:tcPr>
          <w:p w14:paraId="604BBFAB"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120</w:t>
            </w:r>
          </w:p>
        </w:tc>
        <w:tc>
          <w:tcPr>
            <w:tcW w:w="3307" w:type="dxa"/>
            <w:shd w:val="clear" w:color="auto" w:fill="auto"/>
            <w:vAlign w:val="center"/>
          </w:tcPr>
          <w:p w14:paraId="5504F323"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95.6329</w:t>
            </w:r>
          </w:p>
        </w:tc>
        <w:tc>
          <w:tcPr>
            <w:tcW w:w="3658" w:type="dxa"/>
            <w:shd w:val="clear" w:color="auto" w:fill="auto"/>
            <w:vAlign w:val="center"/>
          </w:tcPr>
          <w:p w14:paraId="39F074C2"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95.9439</w:t>
            </w:r>
          </w:p>
        </w:tc>
      </w:tr>
      <w:tr w:rsidR="00140CE3" w14:paraId="10A0A9FE" w14:textId="77777777" w:rsidTr="004B489A">
        <w:trPr>
          <w:trHeight w:val="113"/>
        </w:trPr>
        <w:tc>
          <w:tcPr>
            <w:tcW w:w="1739" w:type="dxa"/>
            <w:shd w:val="clear" w:color="auto" w:fill="auto"/>
            <w:vAlign w:val="center"/>
          </w:tcPr>
          <w:p w14:paraId="42E4786D"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150</w:t>
            </w:r>
          </w:p>
        </w:tc>
        <w:tc>
          <w:tcPr>
            <w:tcW w:w="3307" w:type="dxa"/>
            <w:shd w:val="clear" w:color="auto" w:fill="auto"/>
            <w:vAlign w:val="center"/>
          </w:tcPr>
          <w:p w14:paraId="51ECB2C1"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95.6133</w:t>
            </w:r>
          </w:p>
        </w:tc>
        <w:tc>
          <w:tcPr>
            <w:tcW w:w="3658" w:type="dxa"/>
            <w:shd w:val="clear" w:color="auto" w:fill="auto"/>
            <w:vAlign w:val="center"/>
          </w:tcPr>
          <w:p w14:paraId="0092890F" w14:textId="77777777" w:rsidR="00140CE3" w:rsidRDefault="00485BD2" w:rsidP="004B489A">
            <w:pPr>
              <w:widowControl/>
              <w:spacing w:line="240" w:lineRule="auto"/>
              <w:rPr>
                <w:rFonts w:ascii="Times New Roman" w:eastAsia="Segoe UI" w:hAnsi="Times New Roman" w:cs="Times New Roman"/>
                <w:sz w:val="24"/>
                <w:szCs w:val="24"/>
                <w:lang w:eastAsia="zh-CN"/>
              </w:rPr>
            </w:pPr>
            <w:r>
              <w:rPr>
                <w:rFonts w:ascii="Times New Roman" w:eastAsia="Segoe UI" w:hAnsi="Times New Roman" w:cs="Times New Roman"/>
                <w:sz w:val="24"/>
                <w:szCs w:val="24"/>
                <w:lang w:eastAsia="zh-CN" w:bidi="ar"/>
              </w:rPr>
              <w:t>95.8751</w:t>
            </w:r>
          </w:p>
        </w:tc>
      </w:tr>
    </w:tbl>
    <w:p w14:paraId="7EA628D2" w14:textId="77777777" w:rsidR="00140CE3" w:rsidRDefault="00485BD2" w:rsidP="00357A37">
      <w:pPr>
        <w:pStyle w:val="NormalWeb"/>
        <w:shd w:val="clear" w:color="auto" w:fill="FFFFFF"/>
        <w:spacing w:before="240" w:after="240" w:line="360" w:lineRule="auto"/>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3.2.5. Effect of pH</w:t>
      </w:r>
    </w:p>
    <w:p w14:paraId="47790ACB" w14:textId="438384D7" w:rsidR="00140CE3" w:rsidRDefault="00485BD2" w:rsidP="00357A37">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Solution pH exerted the most pronounced influence on adsorption performance, as shown in Table 5. Both materials exhibited maximum removal efficiencies under strongly acidic </w:t>
      </w:r>
      <w:r>
        <w:rPr>
          <w:rFonts w:ascii="Times New Roman" w:eastAsia="Segoe UI" w:hAnsi="Times New Roman" w:cs="Times New Roman"/>
          <w:color w:val="0F1115"/>
          <w:shd w:val="clear" w:color="auto" w:fill="FFFFFF"/>
        </w:rPr>
        <w:lastRenderedPageBreak/>
        <w:t>conditions (pH 1), with defective UiO-66 achieving 98.65</w:t>
      </w:r>
      <w:r w:rsidR="00001666">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and non-defective UiO-66 attaining 98.62</w:t>
      </w:r>
      <w:r w:rsidR="00001666">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removal. This enhanced performance at low pH is attributable to the protonation state of phenol (</w:t>
      </w:r>
      <w:proofErr w:type="spellStart"/>
      <w:r>
        <w:rPr>
          <w:rFonts w:ascii="Times New Roman" w:eastAsia="Segoe UI" w:hAnsi="Times New Roman" w:cs="Times New Roman"/>
          <w:color w:val="0F1115"/>
          <w:shd w:val="clear" w:color="auto" w:fill="FFFFFF"/>
        </w:rPr>
        <w:t>pKa</w:t>
      </w:r>
      <w:proofErr w:type="spellEnd"/>
      <w:r>
        <w:rPr>
          <w:rFonts w:ascii="Times New Roman" w:eastAsia="Segoe UI" w:hAnsi="Times New Roman" w:cs="Times New Roman"/>
          <w:color w:val="0F1115"/>
          <w:shd w:val="clear" w:color="auto" w:fill="FFFFFF"/>
        </w:rPr>
        <w:t xml:space="preserve"> ≈ 9.95), which exists predominantly in its neutral molecular form under acidic conditions, facilitating hydrogen bonding interactions with the </w:t>
      </w:r>
      <w:proofErr w:type="spellStart"/>
      <w:r>
        <w:rPr>
          <w:rFonts w:ascii="Times New Roman" w:eastAsia="Segoe UI" w:hAnsi="Times New Roman" w:cs="Times New Roman"/>
          <w:color w:val="0F1115"/>
          <w:shd w:val="clear" w:color="auto" w:fill="FFFFFF"/>
        </w:rPr>
        <w:t>Zr₆O</w:t>
      </w:r>
      <w:proofErr w:type="spellEnd"/>
      <w:r>
        <w:rPr>
          <w:rFonts w:ascii="Times New Roman" w:eastAsia="Segoe UI" w:hAnsi="Times New Roman" w:cs="Times New Roman"/>
          <w:color w:val="0F1115"/>
          <w:shd w:val="clear" w:color="auto" w:fill="FFFFFF"/>
        </w:rPr>
        <w:t>₄(OH)₄ clusters and carboxylate groups of the framework [1</w:t>
      </w:r>
      <w:r w:rsidR="00001666">
        <w:rPr>
          <w:rFonts w:ascii="Times New Roman" w:eastAsia="Segoe UI" w:hAnsi="Times New Roman" w:cs="Times New Roman"/>
          <w:color w:val="0F1115"/>
          <w:shd w:val="clear" w:color="auto" w:fill="FFFFFF"/>
        </w:rPr>
        <w:t>6</w:t>
      </w:r>
      <w:r>
        <w:rPr>
          <w:rFonts w:ascii="Times New Roman" w:eastAsia="Segoe UI" w:hAnsi="Times New Roman" w:cs="Times New Roman"/>
          <w:color w:val="0F1115"/>
          <w:shd w:val="clear" w:color="auto" w:fill="FFFFFF"/>
        </w:rPr>
        <w:t>]. Additionally, under highly acidic conditions, the UiO-66 surface becomes positively charged, potentially enhancing electrostatic attractions with phenol's electron-rich aromatic ring [4]. As pH increased from 3 to 11, removal efficiencies decreased for both materials, with the non-defective framework maintaining slightly higher performance (95.65–96.70%) compared to the defective variant (95.59–95.7</w:t>
      </w:r>
      <w:r w:rsidR="00357A3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0</w:t>
      </w:r>
      <w:r w:rsidR="00001666">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across this range. The sharper decline for defective UiO-66 at pH 3 (from 98.65</w:t>
      </w:r>
      <w:r w:rsidR="00357A3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at pH 1 to 95.59</w:t>
      </w:r>
      <w:r w:rsidR="00357A3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at pH 3) suggests that its defect sites may be more sensitive to changes in surface charge distribution and protonation states [</w:t>
      </w:r>
      <w:r w:rsidR="00BD6F5F">
        <w:rPr>
          <w:rFonts w:ascii="Times New Roman" w:eastAsia="Segoe UI" w:hAnsi="Times New Roman" w:cs="Times New Roman"/>
          <w:color w:val="0F1115"/>
          <w:shd w:val="clear" w:color="auto" w:fill="FFFFFF"/>
        </w:rPr>
        <w:t>10,</w:t>
      </w:r>
      <w:r w:rsidR="008A1D0B">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1</w:t>
      </w:r>
      <w:r w:rsidR="00001666">
        <w:rPr>
          <w:rFonts w:ascii="Times New Roman" w:eastAsia="Segoe UI" w:hAnsi="Times New Roman" w:cs="Times New Roman"/>
          <w:color w:val="0F1115"/>
          <w:shd w:val="clear" w:color="auto" w:fill="FFFFFF"/>
        </w:rPr>
        <w:t>2</w:t>
      </w:r>
      <w:r>
        <w:rPr>
          <w:rFonts w:ascii="Times New Roman" w:eastAsia="Segoe UI" w:hAnsi="Times New Roman" w:cs="Times New Roman"/>
          <w:color w:val="0F1115"/>
          <w:shd w:val="clear" w:color="auto" w:fill="FFFFFF"/>
        </w:rPr>
        <w:t>]. At alkaline pH (9–11), phenol deprotonates to phenolate ions, which experience electrostatic repulsion from the negatively charged MOF surface, reducing adsorption affinity [1</w:t>
      </w:r>
      <w:r w:rsidR="00001666">
        <w:rPr>
          <w:rFonts w:ascii="Times New Roman" w:eastAsia="Segoe UI" w:hAnsi="Times New Roman" w:cs="Times New Roman"/>
          <w:color w:val="0F1115"/>
          <w:shd w:val="clear" w:color="auto" w:fill="FFFFFF"/>
        </w:rPr>
        <w:t>6</w:t>
      </w:r>
      <w:r>
        <w:rPr>
          <w:rFonts w:ascii="Times New Roman" w:eastAsia="Segoe UI" w:hAnsi="Times New Roman" w:cs="Times New Roman"/>
          <w:color w:val="0F1115"/>
          <w:shd w:val="clear" w:color="auto" w:fill="FFFFFF"/>
        </w:rPr>
        <w:t>].</w:t>
      </w:r>
    </w:p>
    <w:p w14:paraId="099FF1C7" w14:textId="77777777" w:rsidR="00140CE3" w:rsidRDefault="00485BD2">
      <w:pPr>
        <w:pStyle w:val="NormalWeb"/>
        <w:shd w:val="clear" w:color="auto" w:fill="FFFFFF"/>
        <w:spacing w:before="240" w:after="240"/>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t>Table 5.</w:t>
      </w:r>
      <w:r>
        <w:rPr>
          <w:rFonts w:ascii="Times New Roman" w:eastAsia="Segoe UI" w:hAnsi="Times New Roman" w:cs="Times New Roman"/>
          <w:color w:val="0F1115"/>
          <w:shd w:val="clear" w:color="auto" w:fill="FFFFFF"/>
        </w:rPr>
        <w:t> Effect of pH on phenol removal efficiency by defective and non-defective UiO-66 (Experimental conditions: initial concentration = 20 mg/L, adsorbent dosage = 0.1 g, contact time = 60 min, temperature = 30 °C).</w:t>
      </w:r>
    </w:p>
    <w:tbl>
      <w:tblPr>
        <w:tblStyle w:val="TableGrid"/>
        <w:tblW w:w="0" w:type="auto"/>
        <w:tblLook w:val="04A0" w:firstRow="1" w:lastRow="0" w:firstColumn="1" w:lastColumn="0" w:noHBand="0" w:noVBand="1"/>
      </w:tblPr>
      <w:tblGrid>
        <w:gridCol w:w="1146"/>
        <w:gridCol w:w="3268"/>
        <w:gridCol w:w="3803"/>
      </w:tblGrid>
      <w:tr w:rsidR="00140CE3" w14:paraId="25402458" w14:textId="77777777" w:rsidTr="004B489A">
        <w:tc>
          <w:tcPr>
            <w:tcW w:w="1146" w:type="dxa"/>
            <w:shd w:val="clear" w:color="auto" w:fill="auto"/>
            <w:vAlign w:val="center"/>
          </w:tcPr>
          <w:p w14:paraId="580B2593"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pH</w:t>
            </w:r>
          </w:p>
        </w:tc>
        <w:tc>
          <w:tcPr>
            <w:tcW w:w="3268" w:type="dxa"/>
            <w:shd w:val="clear" w:color="auto" w:fill="auto"/>
            <w:vAlign w:val="center"/>
          </w:tcPr>
          <w:p w14:paraId="3EAD60C7"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 (% Removal)</w:t>
            </w:r>
          </w:p>
        </w:tc>
        <w:tc>
          <w:tcPr>
            <w:tcW w:w="3803" w:type="dxa"/>
            <w:shd w:val="clear" w:color="auto" w:fill="auto"/>
            <w:vAlign w:val="center"/>
          </w:tcPr>
          <w:p w14:paraId="1C668D1C" w14:textId="1BEEA2B8"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w:t>
            </w:r>
            <w:r w:rsidR="00BD6F5F">
              <w:rPr>
                <w:rFonts w:ascii="Times New Roman" w:eastAsia="Segoe UI" w:hAnsi="Times New Roman" w:cs="Times New Roman"/>
                <w:sz w:val="24"/>
                <w:szCs w:val="24"/>
                <w:lang w:eastAsia="zh-CN" w:bidi="ar"/>
              </w:rPr>
              <w:t xml:space="preserve"> </w:t>
            </w:r>
            <w:r>
              <w:rPr>
                <w:rFonts w:ascii="Times New Roman" w:eastAsia="Segoe UI" w:hAnsi="Times New Roman" w:cs="Times New Roman"/>
                <w:sz w:val="24"/>
                <w:szCs w:val="24"/>
                <w:lang w:eastAsia="zh-CN" w:bidi="ar"/>
              </w:rPr>
              <w:t>UiO-66 (% Removal)</w:t>
            </w:r>
          </w:p>
        </w:tc>
      </w:tr>
      <w:tr w:rsidR="00140CE3" w14:paraId="05820E45" w14:textId="77777777" w:rsidTr="004B489A">
        <w:tc>
          <w:tcPr>
            <w:tcW w:w="1146" w:type="dxa"/>
            <w:shd w:val="clear" w:color="auto" w:fill="auto"/>
            <w:vAlign w:val="center"/>
          </w:tcPr>
          <w:p w14:paraId="28BF0E26"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w:t>
            </w:r>
          </w:p>
        </w:tc>
        <w:tc>
          <w:tcPr>
            <w:tcW w:w="3268" w:type="dxa"/>
            <w:shd w:val="clear" w:color="auto" w:fill="auto"/>
            <w:vAlign w:val="center"/>
          </w:tcPr>
          <w:p w14:paraId="448E9AE6"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98.6525</w:t>
            </w:r>
          </w:p>
        </w:tc>
        <w:tc>
          <w:tcPr>
            <w:tcW w:w="3803" w:type="dxa"/>
            <w:shd w:val="clear" w:color="auto" w:fill="auto"/>
            <w:vAlign w:val="center"/>
          </w:tcPr>
          <w:p w14:paraId="2DD95441"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98.6182</w:t>
            </w:r>
          </w:p>
        </w:tc>
      </w:tr>
      <w:tr w:rsidR="00140CE3" w14:paraId="72845374" w14:textId="77777777" w:rsidTr="004B489A">
        <w:tc>
          <w:tcPr>
            <w:tcW w:w="1146" w:type="dxa"/>
            <w:shd w:val="clear" w:color="auto" w:fill="auto"/>
            <w:vAlign w:val="center"/>
          </w:tcPr>
          <w:p w14:paraId="696A1992"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w:t>
            </w:r>
          </w:p>
        </w:tc>
        <w:tc>
          <w:tcPr>
            <w:tcW w:w="3268" w:type="dxa"/>
            <w:shd w:val="clear" w:color="auto" w:fill="auto"/>
            <w:vAlign w:val="center"/>
          </w:tcPr>
          <w:p w14:paraId="2663F232"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95.5903</w:t>
            </w:r>
          </w:p>
        </w:tc>
        <w:tc>
          <w:tcPr>
            <w:tcW w:w="3803" w:type="dxa"/>
            <w:shd w:val="clear" w:color="auto" w:fill="auto"/>
            <w:vAlign w:val="center"/>
          </w:tcPr>
          <w:p w14:paraId="634F412D"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96.6951</w:t>
            </w:r>
          </w:p>
        </w:tc>
      </w:tr>
      <w:tr w:rsidR="00140CE3" w14:paraId="600ABFBE" w14:textId="77777777" w:rsidTr="004B489A">
        <w:tc>
          <w:tcPr>
            <w:tcW w:w="1146" w:type="dxa"/>
            <w:shd w:val="clear" w:color="auto" w:fill="auto"/>
            <w:vAlign w:val="center"/>
          </w:tcPr>
          <w:p w14:paraId="59828FDC"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5</w:t>
            </w:r>
          </w:p>
        </w:tc>
        <w:tc>
          <w:tcPr>
            <w:tcW w:w="3268" w:type="dxa"/>
            <w:shd w:val="clear" w:color="auto" w:fill="auto"/>
            <w:vAlign w:val="center"/>
          </w:tcPr>
          <w:p w14:paraId="00D5DB8B"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95.6083</w:t>
            </w:r>
          </w:p>
        </w:tc>
        <w:tc>
          <w:tcPr>
            <w:tcW w:w="3803" w:type="dxa"/>
            <w:shd w:val="clear" w:color="auto" w:fill="auto"/>
            <w:vAlign w:val="center"/>
          </w:tcPr>
          <w:p w14:paraId="27541733"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96.0568</w:t>
            </w:r>
          </w:p>
        </w:tc>
      </w:tr>
      <w:tr w:rsidR="00140CE3" w14:paraId="39A3C080" w14:textId="77777777" w:rsidTr="004B489A">
        <w:tc>
          <w:tcPr>
            <w:tcW w:w="1146" w:type="dxa"/>
            <w:shd w:val="clear" w:color="auto" w:fill="auto"/>
            <w:vAlign w:val="center"/>
          </w:tcPr>
          <w:p w14:paraId="176AB48E"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7</w:t>
            </w:r>
          </w:p>
        </w:tc>
        <w:tc>
          <w:tcPr>
            <w:tcW w:w="3268" w:type="dxa"/>
            <w:shd w:val="clear" w:color="auto" w:fill="auto"/>
            <w:vAlign w:val="center"/>
          </w:tcPr>
          <w:p w14:paraId="739D632E"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95.6967</w:t>
            </w:r>
          </w:p>
        </w:tc>
        <w:tc>
          <w:tcPr>
            <w:tcW w:w="3803" w:type="dxa"/>
            <w:shd w:val="clear" w:color="auto" w:fill="auto"/>
            <w:vAlign w:val="center"/>
          </w:tcPr>
          <w:p w14:paraId="77F2D35E"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96.0241</w:t>
            </w:r>
          </w:p>
        </w:tc>
      </w:tr>
      <w:tr w:rsidR="00140CE3" w14:paraId="7220C0DF" w14:textId="77777777" w:rsidTr="004B489A">
        <w:tc>
          <w:tcPr>
            <w:tcW w:w="1146" w:type="dxa"/>
            <w:shd w:val="clear" w:color="auto" w:fill="auto"/>
            <w:vAlign w:val="center"/>
          </w:tcPr>
          <w:p w14:paraId="5A1CB202"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w:t>
            </w:r>
          </w:p>
        </w:tc>
        <w:tc>
          <w:tcPr>
            <w:tcW w:w="3268" w:type="dxa"/>
            <w:shd w:val="clear" w:color="auto" w:fill="auto"/>
            <w:vAlign w:val="center"/>
          </w:tcPr>
          <w:p w14:paraId="19E5E9D2"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95.6231</w:t>
            </w:r>
          </w:p>
        </w:tc>
        <w:tc>
          <w:tcPr>
            <w:tcW w:w="3803" w:type="dxa"/>
            <w:shd w:val="clear" w:color="auto" w:fill="auto"/>
            <w:vAlign w:val="center"/>
          </w:tcPr>
          <w:p w14:paraId="2447D0C4"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95.9291</w:t>
            </w:r>
          </w:p>
        </w:tc>
      </w:tr>
      <w:tr w:rsidR="00140CE3" w14:paraId="48A97438" w14:textId="77777777" w:rsidTr="004B489A">
        <w:tc>
          <w:tcPr>
            <w:tcW w:w="1146" w:type="dxa"/>
            <w:shd w:val="clear" w:color="auto" w:fill="auto"/>
            <w:vAlign w:val="center"/>
          </w:tcPr>
          <w:p w14:paraId="6D942AC3"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11</w:t>
            </w:r>
          </w:p>
        </w:tc>
        <w:tc>
          <w:tcPr>
            <w:tcW w:w="3268" w:type="dxa"/>
            <w:shd w:val="clear" w:color="auto" w:fill="auto"/>
            <w:vAlign w:val="center"/>
          </w:tcPr>
          <w:p w14:paraId="68396F80"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95.6149</w:t>
            </w:r>
          </w:p>
        </w:tc>
        <w:tc>
          <w:tcPr>
            <w:tcW w:w="3803" w:type="dxa"/>
            <w:shd w:val="clear" w:color="auto" w:fill="auto"/>
            <w:vAlign w:val="center"/>
          </w:tcPr>
          <w:p w14:paraId="7E777AA8" w14:textId="77777777" w:rsidR="00140CE3" w:rsidRDefault="00485BD2" w:rsidP="004B489A">
            <w:pPr>
              <w:widowControl/>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95.6525</w:t>
            </w:r>
          </w:p>
        </w:tc>
      </w:tr>
    </w:tbl>
    <w:p w14:paraId="6F2A9E74" w14:textId="77777777" w:rsidR="004B489A" w:rsidRDefault="004B489A">
      <w:pPr>
        <w:pStyle w:val="NormalWeb"/>
        <w:shd w:val="clear" w:color="auto" w:fill="FFFFFF"/>
        <w:spacing w:after="240"/>
        <w:jc w:val="both"/>
        <w:rPr>
          <w:rFonts w:ascii="Times New Roman" w:eastAsia="Segoe UI" w:hAnsi="Times New Roman" w:cs="Times New Roman"/>
          <w:b/>
          <w:bCs/>
          <w:color w:val="0F1115"/>
          <w:shd w:val="clear" w:color="auto" w:fill="FFFFFF"/>
        </w:rPr>
      </w:pPr>
    </w:p>
    <w:p w14:paraId="4D2DF10E" w14:textId="7468AFBB" w:rsidR="00140CE3" w:rsidRDefault="00485BD2">
      <w:pPr>
        <w:pStyle w:val="NormalWeb"/>
        <w:shd w:val="clear" w:color="auto" w:fill="FFFFFF"/>
        <w:spacing w:after="240"/>
        <w:jc w:val="both"/>
        <w:rPr>
          <w:rFonts w:ascii="Times New Roman" w:eastAsia="Segoe UI" w:hAnsi="Times New Roman" w:cs="Times New Roman"/>
          <w:b/>
          <w:bCs/>
          <w:color w:val="0F1115"/>
        </w:rPr>
      </w:pPr>
      <w:r>
        <w:rPr>
          <w:rFonts w:ascii="Times New Roman" w:eastAsia="Segoe UI" w:hAnsi="Times New Roman" w:cs="Times New Roman"/>
          <w:b/>
          <w:bCs/>
          <w:color w:val="0F1115"/>
          <w:shd w:val="clear" w:color="auto" w:fill="FFFFFF"/>
        </w:rPr>
        <w:t>3.3 Adsorption Isotherms</w:t>
      </w:r>
    </w:p>
    <w:p w14:paraId="768589F6"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adsorption equilibrium data were analyzed using several isotherm models to understand the interaction between phenol and the UiO-66 frameworks, with the results summarized in Table 6. The Langmuir model provided an excellent fit for both adsorbents (R² = 0.9987 and 0.9962), suggesting that phenol uptake occurs primarily via monolayer adsorption onto homogeneous surfaces with finite identical sites. The maximum adsorption capacity (</w:t>
      </w:r>
      <w:proofErr w:type="spellStart"/>
      <w:r>
        <w:rPr>
          <w:rFonts w:ascii="Times New Roman" w:eastAsia="Segoe UI" w:hAnsi="Times New Roman" w:cs="Times New Roman"/>
          <w:color w:val="0F1115"/>
          <w:shd w:val="clear" w:color="auto" w:fill="FFFFFF"/>
        </w:rPr>
        <w:t>Qmax</w:t>
      </w:r>
      <w:proofErr w:type="spellEnd"/>
      <w:r>
        <w:rPr>
          <w:rFonts w:ascii="Times New Roman" w:eastAsia="Segoe UI" w:hAnsi="Times New Roman" w:cs="Times New Roman"/>
          <w:color w:val="0F1115"/>
          <w:shd w:val="clear" w:color="auto" w:fill="FFFFFF"/>
        </w:rPr>
        <w:t>) was slightly higher for the non-defect UiO-66 (4.96 mg/g) compared to the defective variant (4.89 mg/g), which is consistent with the marginally higher efficiency observed for the defect-</w:t>
      </w:r>
      <w:r>
        <w:rPr>
          <w:rFonts w:ascii="Times New Roman" w:eastAsia="Segoe UI" w:hAnsi="Times New Roman" w:cs="Times New Roman"/>
          <w:color w:val="0F1115"/>
          <w:shd w:val="clear" w:color="auto" w:fill="FFFFFF"/>
        </w:rPr>
        <w:lastRenderedPageBreak/>
        <w:t>free material in batch studies. The Langmuir constants (K</w:t>
      </w:r>
      <w:r>
        <w:rPr>
          <w:rFonts w:ascii="Times New Roman" w:eastAsia="Segoe UI" w:hAnsi="Times New Roman" w:cs="Times New Roman"/>
          <w:color w:val="0F1115"/>
          <w:shd w:val="clear" w:color="auto" w:fill="FFFFFF"/>
          <w:vertAlign w:val="subscript"/>
        </w:rPr>
        <w:t>L</w:t>
      </w:r>
      <w:r>
        <w:rPr>
          <w:rFonts w:ascii="Times New Roman" w:eastAsia="Segoe UI" w:hAnsi="Times New Roman" w:cs="Times New Roman"/>
          <w:color w:val="0F1115"/>
          <w:shd w:val="clear" w:color="auto" w:fill="FFFFFF"/>
        </w:rPr>
        <w:t>) of 0.2147 L/mg and 0.1834 L/mg further support favorable adsorption affinity for both materials.</w:t>
      </w:r>
    </w:p>
    <w:p w14:paraId="7C0AA770"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Freundlich model also showed good correlation (R² = 0.9923 and 0.9891), with n values greater than unity (1.2845-1.3562) indicating favorable adsorption conditions. The Temkin model, which considers adsorbent-adsorbate interactions, yielded moderate fits (R² = 0.9856-0.9873) with positive binding constants (K</w:t>
      </w:r>
      <w:r>
        <w:rPr>
          <w:rFonts w:ascii="Times New Roman" w:eastAsia="Segoe UI" w:hAnsi="Times New Roman" w:cs="Times New Roman"/>
          <w:color w:val="0F1115"/>
          <w:shd w:val="clear" w:color="auto" w:fill="FFFFFF"/>
          <w:vertAlign w:val="subscript"/>
        </w:rPr>
        <w:t>T</w:t>
      </w:r>
      <w:r>
        <w:rPr>
          <w:rFonts w:ascii="Times New Roman" w:eastAsia="Segoe UI" w:hAnsi="Times New Roman" w:cs="Times New Roman"/>
          <w:color w:val="0F1115"/>
          <w:shd w:val="clear" w:color="auto" w:fill="FFFFFF"/>
        </w:rPr>
        <w:t xml:space="preserve">) and </w:t>
      </w:r>
      <w:proofErr w:type="spellStart"/>
      <w:r>
        <w:rPr>
          <w:rFonts w:ascii="Times New Roman" w:eastAsia="Segoe UI" w:hAnsi="Times New Roman" w:cs="Times New Roman"/>
          <w:color w:val="0F1115"/>
          <w:shd w:val="clear" w:color="auto" w:fill="FFFFFF"/>
        </w:rPr>
        <w:t>b</w:t>
      </w:r>
      <w:r>
        <w:rPr>
          <w:rFonts w:ascii="Times New Roman" w:eastAsia="Segoe UI" w:hAnsi="Times New Roman" w:cs="Times New Roman"/>
          <w:color w:val="0F1115"/>
          <w:shd w:val="clear" w:color="auto" w:fill="FFFFFF"/>
          <w:vertAlign w:val="subscript"/>
        </w:rPr>
        <w:t>T</w:t>
      </w:r>
      <w:proofErr w:type="spellEnd"/>
      <w:r>
        <w:rPr>
          <w:rFonts w:ascii="Times New Roman" w:eastAsia="Segoe UI" w:hAnsi="Times New Roman" w:cs="Times New Roman"/>
          <w:color w:val="0F1115"/>
          <w:shd w:val="clear" w:color="auto" w:fill="FFFFFF"/>
        </w:rPr>
        <w:t xml:space="preserve"> values suggesting physical interactions alongside chemisorption processes.</w:t>
      </w:r>
    </w:p>
    <w:p w14:paraId="3FC6644E"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The Redlich-Peterson three-parameter model demonstrated superior fitting (R² = 0.9991 and 0.9984), with β values approaching unity (0.9978 and 0.9965), confirming that the adsorption behavior closely approximates the Langmuir model. This hybrid isotherm, incorporating features from both Langmuir and Freundlich models, accounts for the heterogeneous nature of the adsorption sites while maintaining monolayer characteristics. The </w:t>
      </w:r>
      <w:proofErr w:type="spellStart"/>
      <w:r>
        <w:rPr>
          <w:rFonts w:ascii="Times New Roman" w:eastAsia="Segoe UI" w:hAnsi="Times New Roman" w:cs="Times New Roman"/>
          <w:color w:val="0F1115"/>
          <w:shd w:val="clear" w:color="auto" w:fill="FFFFFF"/>
        </w:rPr>
        <w:t>Jossen's</w:t>
      </w:r>
      <w:proofErr w:type="spellEnd"/>
      <w:r>
        <w:rPr>
          <w:rFonts w:ascii="Times New Roman" w:eastAsia="Segoe UI" w:hAnsi="Times New Roman" w:cs="Times New Roman"/>
          <w:color w:val="0F1115"/>
          <w:shd w:val="clear" w:color="auto" w:fill="FFFFFF"/>
        </w:rPr>
        <w:t xml:space="preserve"> three-parameter model further corroborated these findings with high correlation coefficients (R² = 0.9947-0.9952).</w:t>
      </w:r>
    </w:p>
    <w:p w14:paraId="3902DE7A"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shd w:val="clear" w:color="auto" w:fill="FFFFFF"/>
        </w:rPr>
      </w:pPr>
      <w:r>
        <w:rPr>
          <w:rFonts w:ascii="Times New Roman" w:eastAsia="Segoe UI" w:hAnsi="Times New Roman" w:cs="Times New Roman"/>
          <w:color w:val="0F1115"/>
          <w:shd w:val="clear" w:color="auto" w:fill="FFFFFF"/>
        </w:rPr>
        <w:t>The high affinity constants across all models support a chemisorption-dominated process, consistent with the strong interactions between phenol molecules and the zirconium clusters or organic linkers of the framework. The slight variations in isotherm parameters between defective and non-defective UiO-66 reflect the influence of structural defects on surface heterogeneity and available binding sites, though the overall adsorption mechanism remains consistent for both variants.</w:t>
      </w:r>
    </w:p>
    <w:p w14:paraId="3E1DB581" w14:textId="77777777" w:rsidR="00140CE3" w:rsidRDefault="00485BD2" w:rsidP="004B489A">
      <w:pPr>
        <w:pStyle w:val="NormalWeb"/>
        <w:shd w:val="clear" w:color="auto" w:fill="FFFFFF"/>
        <w:spacing w:before="240" w:after="0" w:line="240" w:lineRule="auto"/>
        <w:jc w:val="both"/>
        <w:rPr>
          <w:rFonts w:ascii="Times New Roman" w:hAnsi="Times New Roman" w:cs="Times New Roman"/>
          <w:color w:val="000000"/>
        </w:rPr>
      </w:pPr>
      <w:r>
        <w:rPr>
          <w:rStyle w:val="Strong"/>
          <w:rFonts w:ascii="Times New Roman" w:eastAsia="Segoe UI" w:hAnsi="Times New Roman" w:cs="Times New Roman"/>
          <w:color w:val="0F1115"/>
          <w:shd w:val="clear" w:color="auto" w:fill="FFFFFF"/>
        </w:rPr>
        <w:t>Table 6:</w:t>
      </w:r>
      <w:r>
        <w:rPr>
          <w:rFonts w:ascii="Times New Roman" w:eastAsia="Segoe UI" w:hAnsi="Times New Roman" w:cs="Times New Roman"/>
          <w:color w:val="0F1115"/>
          <w:shd w:val="clear" w:color="auto" w:fill="FFFFFF"/>
        </w:rPr>
        <w:t> Isotherm Parameters for Phenol Adsorption onto UiO-66 Frameworks</w:t>
      </w:r>
    </w:p>
    <w:tbl>
      <w:tblPr>
        <w:tblStyle w:val="TableGrid"/>
        <w:tblW w:w="0" w:type="auto"/>
        <w:tblLook w:val="04A0" w:firstRow="1" w:lastRow="0" w:firstColumn="1" w:lastColumn="0" w:noHBand="0" w:noVBand="1"/>
      </w:tblPr>
      <w:tblGrid>
        <w:gridCol w:w="2396"/>
        <w:gridCol w:w="1378"/>
        <w:gridCol w:w="2230"/>
        <w:gridCol w:w="2213"/>
      </w:tblGrid>
      <w:tr w:rsidR="00140CE3" w14:paraId="47562B21" w14:textId="77777777" w:rsidTr="004B489A">
        <w:tc>
          <w:tcPr>
            <w:tcW w:w="0" w:type="auto"/>
          </w:tcPr>
          <w:p w14:paraId="14C8DEC5"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Isotherms</w:t>
            </w:r>
          </w:p>
        </w:tc>
        <w:tc>
          <w:tcPr>
            <w:tcW w:w="0" w:type="auto"/>
          </w:tcPr>
          <w:p w14:paraId="7916FB4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Parameters</w:t>
            </w:r>
          </w:p>
        </w:tc>
        <w:tc>
          <w:tcPr>
            <w:tcW w:w="2230" w:type="dxa"/>
          </w:tcPr>
          <w:p w14:paraId="01B329EB"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Defective UiO-66</w:t>
            </w:r>
          </w:p>
        </w:tc>
        <w:tc>
          <w:tcPr>
            <w:tcW w:w="2213" w:type="dxa"/>
          </w:tcPr>
          <w:p w14:paraId="515BBC5D"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Non-Defect UiO-66</w:t>
            </w:r>
          </w:p>
        </w:tc>
      </w:tr>
      <w:tr w:rsidR="00140CE3" w14:paraId="1036C290" w14:textId="77777777" w:rsidTr="004B489A">
        <w:tc>
          <w:tcPr>
            <w:tcW w:w="0" w:type="auto"/>
          </w:tcPr>
          <w:p w14:paraId="4FC17EAF" w14:textId="77777777" w:rsidR="00140CE3" w:rsidRDefault="00485BD2" w:rsidP="004B489A">
            <w:pPr>
              <w:spacing w:line="240" w:lineRule="auto"/>
              <w:rPr>
                <w:rFonts w:ascii="Times New Roman" w:eastAsia="Segoe UI" w:hAnsi="Times New Roman" w:cs="Times New Roman"/>
                <w:sz w:val="24"/>
                <w:szCs w:val="24"/>
              </w:rPr>
            </w:pPr>
            <w:r>
              <w:rPr>
                <w:rStyle w:val="Strong"/>
                <w:rFonts w:ascii="Times New Roman" w:eastAsia="Segoe UI" w:hAnsi="Times New Roman" w:cs="Times New Roman"/>
                <w:sz w:val="24"/>
                <w:szCs w:val="24"/>
                <w:lang w:eastAsia="zh-CN" w:bidi="ar"/>
              </w:rPr>
              <w:t>Freundlich</w:t>
            </w:r>
          </w:p>
        </w:tc>
        <w:tc>
          <w:tcPr>
            <w:tcW w:w="0" w:type="auto"/>
          </w:tcPr>
          <w:p w14:paraId="4D25D66A"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R²</w:t>
            </w:r>
          </w:p>
        </w:tc>
        <w:tc>
          <w:tcPr>
            <w:tcW w:w="2230" w:type="dxa"/>
          </w:tcPr>
          <w:p w14:paraId="3F9F8E5A"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0.9923</w:t>
            </w:r>
          </w:p>
        </w:tc>
        <w:tc>
          <w:tcPr>
            <w:tcW w:w="2213" w:type="dxa"/>
          </w:tcPr>
          <w:p w14:paraId="6724F77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0.9891</w:t>
            </w:r>
          </w:p>
        </w:tc>
      </w:tr>
      <w:tr w:rsidR="00140CE3" w14:paraId="7FA2E80B" w14:textId="77777777" w:rsidTr="004B489A">
        <w:tc>
          <w:tcPr>
            <w:tcW w:w="0" w:type="auto"/>
          </w:tcPr>
          <w:p w14:paraId="1FD2CD7B"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75219FE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n</w:t>
            </w:r>
          </w:p>
        </w:tc>
        <w:tc>
          <w:tcPr>
            <w:tcW w:w="2230" w:type="dxa"/>
          </w:tcPr>
          <w:p w14:paraId="25FF5D6C"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1.2845</w:t>
            </w:r>
          </w:p>
        </w:tc>
        <w:tc>
          <w:tcPr>
            <w:tcW w:w="2213" w:type="dxa"/>
          </w:tcPr>
          <w:p w14:paraId="50AFB44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1.3562</w:t>
            </w:r>
          </w:p>
        </w:tc>
      </w:tr>
      <w:tr w:rsidR="00140CE3" w14:paraId="58968ED5" w14:textId="77777777" w:rsidTr="004B489A">
        <w:tc>
          <w:tcPr>
            <w:tcW w:w="0" w:type="auto"/>
          </w:tcPr>
          <w:p w14:paraId="27ACE44F"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2EBF7D5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K</w:t>
            </w:r>
            <w:r>
              <w:rPr>
                <w:rFonts w:ascii="Times New Roman" w:eastAsia="Segoe UI" w:hAnsi="Times New Roman" w:cs="Times New Roman"/>
                <w:sz w:val="24"/>
                <w:szCs w:val="24"/>
                <w:vertAlign w:val="subscript"/>
                <w:lang w:eastAsia="zh-CN" w:bidi="ar"/>
              </w:rPr>
              <w:t>F</w:t>
            </w:r>
            <w:r>
              <w:rPr>
                <w:rFonts w:ascii="Times New Roman" w:eastAsia="Segoe UI" w:hAnsi="Times New Roman" w:cs="Times New Roman"/>
                <w:sz w:val="24"/>
                <w:szCs w:val="24"/>
                <w:lang w:eastAsia="zh-CN" w:bidi="ar"/>
              </w:rPr>
              <w:t xml:space="preserve"> (mg/g)</w:t>
            </w:r>
          </w:p>
        </w:tc>
        <w:tc>
          <w:tcPr>
            <w:tcW w:w="2230" w:type="dxa"/>
          </w:tcPr>
          <w:p w14:paraId="0338803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2.8476</w:t>
            </w:r>
          </w:p>
        </w:tc>
        <w:tc>
          <w:tcPr>
            <w:tcW w:w="2213" w:type="dxa"/>
          </w:tcPr>
          <w:p w14:paraId="299BC9B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3.1258</w:t>
            </w:r>
          </w:p>
        </w:tc>
      </w:tr>
      <w:tr w:rsidR="00140CE3" w14:paraId="0657A8E8" w14:textId="77777777" w:rsidTr="004B489A">
        <w:tc>
          <w:tcPr>
            <w:tcW w:w="0" w:type="auto"/>
          </w:tcPr>
          <w:p w14:paraId="22F25CF2" w14:textId="77777777" w:rsidR="00140CE3" w:rsidRDefault="00485BD2" w:rsidP="004B489A">
            <w:pPr>
              <w:spacing w:line="240" w:lineRule="auto"/>
              <w:rPr>
                <w:rFonts w:ascii="Times New Roman" w:eastAsia="Segoe UI" w:hAnsi="Times New Roman" w:cs="Times New Roman"/>
                <w:sz w:val="24"/>
                <w:szCs w:val="24"/>
              </w:rPr>
            </w:pPr>
            <w:r>
              <w:rPr>
                <w:rStyle w:val="Strong"/>
                <w:rFonts w:ascii="Times New Roman" w:eastAsia="Segoe UI" w:hAnsi="Times New Roman" w:cs="Times New Roman"/>
                <w:sz w:val="24"/>
                <w:szCs w:val="24"/>
                <w:lang w:eastAsia="zh-CN" w:bidi="ar"/>
              </w:rPr>
              <w:t>Langmuir</w:t>
            </w:r>
          </w:p>
        </w:tc>
        <w:tc>
          <w:tcPr>
            <w:tcW w:w="0" w:type="auto"/>
          </w:tcPr>
          <w:p w14:paraId="46E4620A"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R²</w:t>
            </w:r>
          </w:p>
        </w:tc>
        <w:tc>
          <w:tcPr>
            <w:tcW w:w="2230" w:type="dxa"/>
          </w:tcPr>
          <w:p w14:paraId="42920754"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0.9987</w:t>
            </w:r>
          </w:p>
        </w:tc>
        <w:tc>
          <w:tcPr>
            <w:tcW w:w="2213" w:type="dxa"/>
          </w:tcPr>
          <w:p w14:paraId="772FF85B"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0.9962</w:t>
            </w:r>
          </w:p>
        </w:tc>
      </w:tr>
      <w:tr w:rsidR="00140CE3" w14:paraId="1494007A" w14:textId="77777777" w:rsidTr="004B489A">
        <w:tc>
          <w:tcPr>
            <w:tcW w:w="0" w:type="auto"/>
          </w:tcPr>
          <w:p w14:paraId="6BF78AD8"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12967403" w14:textId="77777777" w:rsidR="00140CE3" w:rsidRDefault="00485BD2" w:rsidP="004B489A">
            <w:pPr>
              <w:spacing w:line="240" w:lineRule="auto"/>
              <w:rPr>
                <w:rFonts w:ascii="Times New Roman" w:eastAsia="Segoe UI" w:hAnsi="Times New Roman" w:cs="Times New Roman"/>
                <w:sz w:val="24"/>
                <w:szCs w:val="24"/>
              </w:rPr>
            </w:pPr>
            <w:proofErr w:type="spellStart"/>
            <w:r>
              <w:rPr>
                <w:rFonts w:ascii="Times New Roman" w:eastAsia="Segoe UI" w:hAnsi="Times New Roman" w:cs="Times New Roman"/>
                <w:sz w:val="24"/>
                <w:szCs w:val="24"/>
                <w:lang w:eastAsia="zh-CN" w:bidi="ar"/>
              </w:rPr>
              <w:t>Q</w:t>
            </w:r>
            <w:r>
              <w:rPr>
                <w:rFonts w:ascii="Times New Roman" w:eastAsia="Segoe UI" w:hAnsi="Times New Roman" w:cs="Times New Roman"/>
                <w:sz w:val="24"/>
                <w:szCs w:val="24"/>
                <w:vertAlign w:val="subscript"/>
                <w:lang w:eastAsia="zh-CN" w:bidi="ar"/>
              </w:rPr>
              <w:t>max</w:t>
            </w:r>
            <w:proofErr w:type="spellEnd"/>
            <w:r>
              <w:rPr>
                <w:rFonts w:ascii="Times New Roman" w:eastAsia="Segoe UI" w:hAnsi="Times New Roman" w:cs="Times New Roman"/>
                <w:sz w:val="24"/>
                <w:szCs w:val="24"/>
                <w:lang w:eastAsia="zh-CN" w:bidi="ar"/>
              </w:rPr>
              <w:t xml:space="preserve"> (mg/g)</w:t>
            </w:r>
          </w:p>
        </w:tc>
        <w:tc>
          <w:tcPr>
            <w:tcW w:w="2230" w:type="dxa"/>
          </w:tcPr>
          <w:p w14:paraId="30ED4E2A"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4.8923</w:t>
            </w:r>
          </w:p>
        </w:tc>
        <w:tc>
          <w:tcPr>
            <w:tcW w:w="2213" w:type="dxa"/>
          </w:tcPr>
          <w:p w14:paraId="1ADC6824"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4.9571</w:t>
            </w:r>
          </w:p>
        </w:tc>
      </w:tr>
      <w:tr w:rsidR="00140CE3" w14:paraId="2BE0366D" w14:textId="77777777" w:rsidTr="004B489A">
        <w:tc>
          <w:tcPr>
            <w:tcW w:w="0" w:type="auto"/>
          </w:tcPr>
          <w:p w14:paraId="0CE3022B"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7BD6E7C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K</w:t>
            </w:r>
            <w:r>
              <w:rPr>
                <w:rFonts w:ascii="Times New Roman" w:eastAsia="Segoe UI" w:hAnsi="Times New Roman" w:cs="Times New Roman"/>
                <w:sz w:val="24"/>
                <w:szCs w:val="24"/>
                <w:vertAlign w:val="subscript"/>
                <w:lang w:eastAsia="zh-CN" w:bidi="ar"/>
              </w:rPr>
              <w:t>L</w:t>
            </w:r>
            <w:r>
              <w:rPr>
                <w:rFonts w:ascii="Times New Roman" w:eastAsia="Segoe UI" w:hAnsi="Times New Roman" w:cs="Times New Roman"/>
                <w:sz w:val="24"/>
                <w:szCs w:val="24"/>
                <w:lang w:eastAsia="zh-CN" w:bidi="ar"/>
              </w:rPr>
              <w:t xml:space="preserve"> (L/mg)</w:t>
            </w:r>
          </w:p>
        </w:tc>
        <w:tc>
          <w:tcPr>
            <w:tcW w:w="2230" w:type="dxa"/>
          </w:tcPr>
          <w:p w14:paraId="7E8704C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0.1834</w:t>
            </w:r>
          </w:p>
        </w:tc>
        <w:tc>
          <w:tcPr>
            <w:tcW w:w="2213" w:type="dxa"/>
          </w:tcPr>
          <w:p w14:paraId="1CCE27F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0.2147</w:t>
            </w:r>
          </w:p>
        </w:tc>
      </w:tr>
      <w:tr w:rsidR="00140CE3" w14:paraId="7BC30EE9" w14:textId="77777777" w:rsidTr="004B489A">
        <w:tc>
          <w:tcPr>
            <w:tcW w:w="0" w:type="auto"/>
          </w:tcPr>
          <w:p w14:paraId="5394CB90" w14:textId="77777777" w:rsidR="00140CE3" w:rsidRDefault="00485BD2" w:rsidP="004B489A">
            <w:pPr>
              <w:spacing w:line="240" w:lineRule="auto"/>
              <w:rPr>
                <w:rFonts w:ascii="Times New Roman" w:eastAsia="Segoe UI" w:hAnsi="Times New Roman" w:cs="Times New Roman"/>
                <w:sz w:val="24"/>
                <w:szCs w:val="24"/>
              </w:rPr>
            </w:pPr>
            <w:r>
              <w:rPr>
                <w:rStyle w:val="Strong"/>
                <w:rFonts w:ascii="Times New Roman" w:eastAsia="Segoe UI" w:hAnsi="Times New Roman" w:cs="Times New Roman"/>
                <w:sz w:val="24"/>
                <w:szCs w:val="24"/>
                <w:lang w:eastAsia="zh-CN" w:bidi="ar"/>
              </w:rPr>
              <w:t>Temkin</w:t>
            </w:r>
          </w:p>
        </w:tc>
        <w:tc>
          <w:tcPr>
            <w:tcW w:w="0" w:type="auto"/>
          </w:tcPr>
          <w:p w14:paraId="0E52369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R²</w:t>
            </w:r>
          </w:p>
        </w:tc>
        <w:tc>
          <w:tcPr>
            <w:tcW w:w="2230" w:type="dxa"/>
          </w:tcPr>
          <w:p w14:paraId="0305328C"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0.9856</w:t>
            </w:r>
          </w:p>
        </w:tc>
        <w:tc>
          <w:tcPr>
            <w:tcW w:w="2213" w:type="dxa"/>
          </w:tcPr>
          <w:p w14:paraId="7970E9B7"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0.9873</w:t>
            </w:r>
          </w:p>
        </w:tc>
      </w:tr>
      <w:tr w:rsidR="00140CE3" w14:paraId="2BE99A55" w14:textId="77777777" w:rsidTr="004B489A">
        <w:tc>
          <w:tcPr>
            <w:tcW w:w="0" w:type="auto"/>
          </w:tcPr>
          <w:p w14:paraId="051FF41D"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35E4AC91"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KT (L/mg)</w:t>
            </w:r>
          </w:p>
        </w:tc>
        <w:tc>
          <w:tcPr>
            <w:tcW w:w="2230" w:type="dxa"/>
          </w:tcPr>
          <w:p w14:paraId="20BCFAB7"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2.1468</w:t>
            </w:r>
          </w:p>
        </w:tc>
        <w:tc>
          <w:tcPr>
            <w:tcW w:w="2213" w:type="dxa"/>
          </w:tcPr>
          <w:p w14:paraId="0CEAEF43"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2.8925</w:t>
            </w:r>
          </w:p>
        </w:tc>
      </w:tr>
      <w:tr w:rsidR="00140CE3" w14:paraId="74B9B3C2" w14:textId="77777777" w:rsidTr="004B489A">
        <w:tc>
          <w:tcPr>
            <w:tcW w:w="0" w:type="auto"/>
          </w:tcPr>
          <w:p w14:paraId="3BD2832C"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15FF1617" w14:textId="77777777" w:rsidR="00140CE3" w:rsidRDefault="00485BD2" w:rsidP="004B489A">
            <w:pPr>
              <w:spacing w:line="240" w:lineRule="auto"/>
              <w:rPr>
                <w:rFonts w:ascii="Times New Roman" w:eastAsia="Segoe UI" w:hAnsi="Times New Roman" w:cs="Times New Roman"/>
                <w:sz w:val="24"/>
                <w:szCs w:val="24"/>
              </w:rPr>
            </w:pPr>
            <w:proofErr w:type="spellStart"/>
            <w:r>
              <w:rPr>
                <w:rFonts w:ascii="Times New Roman" w:eastAsia="Segoe UI" w:hAnsi="Times New Roman" w:cs="Times New Roman"/>
                <w:sz w:val="24"/>
                <w:szCs w:val="24"/>
                <w:lang w:eastAsia="zh-CN" w:bidi="ar"/>
              </w:rPr>
              <w:t>bT</w:t>
            </w:r>
            <w:proofErr w:type="spellEnd"/>
            <w:r>
              <w:rPr>
                <w:rFonts w:ascii="Times New Roman" w:eastAsia="Segoe UI" w:hAnsi="Times New Roman" w:cs="Times New Roman"/>
                <w:sz w:val="24"/>
                <w:szCs w:val="24"/>
                <w:lang w:eastAsia="zh-CN" w:bidi="ar"/>
              </w:rPr>
              <w:t xml:space="preserve"> (J/mol)</w:t>
            </w:r>
          </w:p>
        </w:tc>
        <w:tc>
          <w:tcPr>
            <w:tcW w:w="2230" w:type="dxa"/>
          </w:tcPr>
          <w:p w14:paraId="75FF216E"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1247.83</w:t>
            </w:r>
          </w:p>
        </w:tc>
        <w:tc>
          <w:tcPr>
            <w:tcW w:w="2213" w:type="dxa"/>
          </w:tcPr>
          <w:p w14:paraId="57B2783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1362.41</w:t>
            </w:r>
          </w:p>
        </w:tc>
      </w:tr>
      <w:tr w:rsidR="00140CE3" w14:paraId="00DC7891" w14:textId="77777777" w:rsidTr="004B489A">
        <w:tc>
          <w:tcPr>
            <w:tcW w:w="0" w:type="auto"/>
          </w:tcPr>
          <w:p w14:paraId="13321004" w14:textId="77777777" w:rsidR="00140CE3" w:rsidRDefault="00485BD2" w:rsidP="004B489A">
            <w:pPr>
              <w:spacing w:line="240" w:lineRule="auto"/>
              <w:rPr>
                <w:rFonts w:ascii="Times New Roman" w:eastAsia="Segoe UI" w:hAnsi="Times New Roman" w:cs="Times New Roman"/>
                <w:sz w:val="24"/>
                <w:szCs w:val="24"/>
              </w:rPr>
            </w:pPr>
            <w:r>
              <w:rPr>
                <w:rStyle w:val="Strong"/>
                <w:rFonts w:ascii="Times New Roman" w:eastAsia="Segoe UI" w:hAnsi="Times New Roman" w:cs="Times New Roman"/>
                <w:sz w:val="24"/>
                <w:szCs w:val="24"/>
                <w:lang w:eastAsia="zh-CN" w:bidi="ar"/>
              </w:rPr>
              <w:t>Redlich-Peterson</w:t>
            </w:r>
          </w:p>
        </w:tc>
        <w:tc>
          <w:tcPr>
            <w:tcW w:w="0" w:type="auto"/>
          </w:tcPr>
          <w:p w14:paraId="029D2AB8"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R²</w:t>
            </w:r>
          </w:p>
        </w:tc>
        <w:tc>
          <w:tcPr>
            <w:tcW w:w="2230" w:type="dxa"/>
          </w:tcPr>
          <w:p w14:paraId="627C9056"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0.9991</w:t>
            </w:r>
          </w:p>
        </w:tc>
        <w:tc>
          <w:tcPr>
            <w:tcW w:w="2213" w:type="dxa"/>
          </w:tcPr>
          <w:p w14:paraId="5FBA15A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0.9984</w:t>
            </w:r>
          </w:p>
        </w:tc>
      </w:tr>
      <w:tr w:rsidR="00140CE3" w14:paraId="78A0AB65" w14:textId="77777777" w:rsidTr="004B489A">
        <w:tc>
          <w:tcPr>
            <w:tcW w:w="0" w:type="auto"/>
          </w:tcPr>
          <w:p w14:paraId="2509F332"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09C39890"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A (L/g)</w:t>
            </w:r>
          </w:p>
        </w:tc>
        <w:tc>
          <w:tcPr>
            <w:tcW w:w="2230" w:type="dxa"/>
          </w:tcPr>
          <w:p w14:paraId="2FC091A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0.8975</w:t>
            </w:r>
          </w:p>
        </w:tc>
        <w:tc>
          <w:tcPr>
            <w:tcW w:w="2213" w:type="dxa"/>
          </w:tcPr>
          <w:p w14:paraId="09A0CB37"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1.0423</w:t>
            </w:r>
          </w:p>
        </w:tc>
      </w:tr>
      <w:tr w:rsidR="00140CE3" w14:paraId="5E371170" w14:textId="77777777" w:rsidTr="004B489A">
        <w:tc>
          <w:tcPr>
            <w:tcW w:w="0" w:type="auto"/>
          </w:tcPr>
          <w:p w14:paraId="46DC42E8"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0AFF8E3C"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B (L/mg)</w:t>
            </w:r>
          </w:p>
        </w:tc>
        <w:tc>
          <w:tcPr>
            <w:tcW w:w="2230" w:type="dxa"/>
          </w:tcPr>
          <w:p w14:paraId="09004002"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0.1839</w:t>
            </w:r>
          </w:p>
        </w:tc>
        <w:tc>
          <w:tcPr>
            <w:tcW w:w="2213" w:type="dxa"/>
          </w:tcPr>
          <w:p w14:paraId="69A446A5"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0.2107</w:t>
            </w:r>
          </w:p>
        </w:tc>
      </w:tr>
      <w:tr w:rsidR="00140CE3" w14:paraId="16BD56C2" w14:textId="77777777" w:rsidTr="004B489A">
        <w:tc>
          <w:tcPr>
            <w:tcW w:w="0" w:type="auto"/>
          </w:tcPr>
          <w:p w14:paraId="01A4EC4E"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2F0A0E0E"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β</w:t>
            </w:r>
          </w:p>
        </w:tc>
        <w:tc>
          <w:tcPr>
            <w:tcW w:w="2230" w:type="dxa"/>
          </w:tcPr>
          <w:p w14:paraId="2FC9FEE3"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0.9978</w:t>
            </w:r>
          </w:p>
        </w:tc>
        <w:tc>
          <w:tcPr>
            <w:tcW w:w="2213" w:type="dxa"/>
          </w:tcPr>
          <w:p w14:paraId="73441A99"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0.9965</w:t>
            </w:r>
          </w:p>
        </w:tc>
      </w:tr>
      <w:tr w:rsidR="00140CE3" w14:paraId="1674E2DD" w14:textId="77777777" w:rsidTr="004B489A">
        <w:tc>
          <w:tcPr>
            <w:tcW w:w="0" w:type="auto"/>
          </w:tcPr>
          <w:p w14:paraId="78B61362" w14:textId="77777777" w:rsidR="00140CE3" w:rsidRDefault="00485BD2" w:rsidP="004B489A">
            <w:pPr>
              <w:spacing w:line="240" w:lineRule="auto"/>
              <w:rPr>
                <w:rFonts w:ascii="Times New Roman" w:eastAsia="Segoe UI" w:hAnsi="Times New Roman" w:cs="Times New Roman"/>
                <w:sz w:val="24"/>
                <w:szCs w:val="24"/>
              </w:rPr>
            </w:pPr>
            <w:proofErr w:type="spellStart"/>
            <w:r>
              <w:rPr>
                <w:rStyle w:val="Strong"/>
                <w:rFonts w:ascii="Times New Roman" w:eastAsia="Segoe UI" w:hAnsi="Times New Roman" w:cs="Times New Roman"/>
                <w:sz w:val="24"/>
                <w:szCs w:val="24"/>
                <w:lang w:eastAsia="zh-CN" w:bidi="ar"/>
              </w:rPr>
              <w:t>Jossen's</w:t>
            </w:r>
            <w:proofErr w:type="spellEnd"/>
            <w:r>
              <w:rPr>
                <w:rStyle w:val="Strong"/>
                <w:rFonts w:ascii="Times New Roman" w:eastAsia="Segoe UI" w:hAnsi="Times New Roman" w:cs="Times New Roman"/>
                <w:sz w:val="24"/>
                <w:szCs w:val="24"/>
                <w:lang w:eastAsia="zh-CN" w:bidi="ar"/>
              </w:rPr>
              <w:t xml:space="preserve"> 3-Parameter</w:t>
            </w:r>
          </w:p>
        </w:tc>
        <w:tc>
          <w:tcPr>
            <w:tcW w:w="0" w:type="auto"/>
          </w:tcPr>
          <w:p w14:paraId="7C129EAB"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R²</w:t>
            </w:r>
          </w:p>
        </w:tc>
        <w:tc>
          <w:tcPr>
            <w:tcW w:w="2230" w:type="dxa"/>
          </w:tcPr>
          <w:p w14:paraId="715E00ED"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0.9947</w:t>
            </w:r>
          </w:p>
        </w:tc>
        <w:tc>
          <w:tcPr>
            <w:tcW w:w="2213" w:type="dxa"/>
          </w:tcPr>
          <w:p w14:paraId="3E567936"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0.9952</w:t>
            </w:r>
          </w:p>
        </w:tc>
      </w:tr>
      <w:tr w:rsidR="00140CE3" w14:paraId="462CAFD0" w14:textId="77777777" w:rsidTr="004B489A">
        <w:tc>
          <w:tcPr>
            <w:tcW w:w="0" w:type="auto"/>
          </w:tcPr>
          <w:p w14:paraId="1D2FEE63"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52D904FC"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F</w:t>
            </w:r>
          </w:p>
        </w:tc>
        <w:tc>
          <w:tcPr>
            <w:tcW w:w="2230" w:type="dxa"/>
          </w:tcPr>
          <w:p w14:paraId="6AA11A26"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4.8261</w:t>
            </w:r>
          </w:p>
        </w:tc>
        <w:tc>
          <w:tcPr>
            <w:tcW w:w="2213" w:type="dxa"/>
          </w:tcPr>
          <w:p w14:paraId="41752581"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5.1037</w:t>
            </w:r>
          </w:p>
        </w:tc>
      </w:tr>
      <w:tr w:rsidR="00140CE3" w14:paraId="282E2F88" w14:textId="77777777" w:rsidTr="004B489A">
        <w:tc>
          <w:tcPr>
            <w:tcW w:w="0" w:type="auto"/>
          </w:tcPr>
          <w:p w14:paraId="3B619242" w14:textId="77777777" w:rsidR="00140CE3" w:rsidRDefault="00140CE3" w:rsidP="004B489A">
            <w:pPr>
              <w:spacing w:line="240" w:lineRule="auto"/>
              <w:rPr>
                <w:rFonts w:ascii="Times New Roman" w:eastAsia="Segoe UI" w:hAnsi="Times New Roman" w:cs="Times New Roman"/>
                <w:sz w:val="24"/>
                <w:szCs w:val="24"/>
              </w:rPr>
            </w:pPr>
          </w:p>
        </w:tc>
        <w:tc>
          <w:tcPr>
            <w:tcW w:w="0" w:type="auto"/>
          </w:tcPr>
          <w:p w14:paraId="2934C3B2"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H</w:t>
            </w:r>
          </w:p>
        </w:tc>
        <w:tc>
          <w:tcPr>
            <w:tcW w:w="2230" w:type="dxa"/>
          </w:tcPr>
          <w:p w14:paraId="684455B5"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0.1978</w:t>
            </w:r>
          </w:p>
        </w:tc>
        <w:tc>
          <w:tcPr>
            <w:tcW w:w="2213" w:type="dxa"/>
          </w:tcPr>
          <w:p w14:paraId="2098FCFD" w14:textId="77777777" w:rsidR="00140CE3" w:rsidRDefault="00485BD2" w:rsidP="004B489A">
            <w:pPr>
              <w:spacing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0.2014</w:t>
            </w:r>
          </w:p>
        </w:tc>
      </w:tr>
    </w:tbl>
    <w:p w14:paraId="0EE24209" w14:textId="77777777" w:rsidR="00140CE3" w:rsidRDefault="00140CE3">
      <w:pPr>
        <w:spacing w:after="0" w:line="240" w:lineRule="auto"/>
        <w:jc w:val="both"/>
        <w:rPr>
          <w:rFonts w:ascii="Times New Roman" w:eastAsia="TimesNewRomanPSMT" w:hAnsi="Times New Roman" w:cs="Times New Roman"/>
          <w:b/>
          <w:bCs/>
          <w:color w:val="000000"/>
        </w:rPr>
      </w:pPr>
    </w:p>
    <w:p w14:paraId="7FCEE3A9" w14:textId="77777777" w:rsidR="00E8638C" w:rsidRPr="001D54ED" w:rsidRDefault="00E8638C">
      <w:pPr>
        <w:pStyle w:val="NormalWeb"/>
        <w:shd w:val="clear" w:color="auto" w:fill="FFFFFF"/>
        <w:spacing w:after="240"/>
        <w:jc w:val="both"/>
        <w:rPr>
          <w:rFonts w:ascii="Times New Roman" w:eastAsia="Segoe UI" w:hAnsi="Times New Roman" w:cs="Times New Roman"/>
          <w:b/>
          <w:bCs/>
          <w:color w:val="0F1115"/>
          <w:sz w:val="4"/>
          <w:shd w:val="clear" w:color="auto" w:fill="FFFFFF"/>
        </w:rPr>
      </w:pPr>
    </w:p>
    <w:p w14:paraId="190C0DA4" w14:textId="2494E982" w:rsidR="00140CE3" w:rsidRDefault="00485BD2">
      <w:pPr>
        <w:pStyle w:val="NormalWeb"/>
        <w:shd w:val="clear" w:color="auto" w:fill="FFFFFF"/>
        <w:spacing w:after="240"/>
        <w:jc w:val="both"/>
        <w:rPr>
          <w:rFonts w:ascii="Times New Roman" w:eastAsia="Segoe UI" w:hAnsi="Times New Roman" w:cs="Times New Roman"/>
          <w:b/>
          <w:bCs/>
          <w:color w:val="0F1115"/>
        </w:rPr>
      </w:pPr>
      <w:r>
        <w:rPr>
          <w:rFonts w:ascii="Times New Roman" w:eastAsia="Segoe UI" w:hAnsi="Times New Roman" w:cs="Times New Roman"/>
          <w:b/>
          <w:bCs/>
          <w:color w:val="0F1115"/>
          <w:shd w:val="clear" w:color="auto" w:fill="FFFFFF"/>
        </w:rPr>
        <w:t>3.4 Kinetics Studies</w:t>
      </w:r>
    </w:p>
    <w:p w14:paraId="7E741328"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Kinetic modeling, detailed in Table 7, was employed to elucidate the adsorption rate and mechanism. The kinetic data for phenol adsorption on UiO-66 frameworks reveal a complex mechanism dominated by surface interactions. The adsorption process for both materials is best described by the pseudo-first-order model (R² = 1.0000 and 0.9998), which typically indicates a physical adsorption process where the adsorption rate is proportional to the number of vacant sites. However, the exceptionally high-rate constants (k₁) suggest a very rapid initial uptake.</w:t>
      </w:r>
    </w:p>
    <w:p w14:paraId="460FE9C8" w14:textId="77777777"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Conversely, the pseudo-second-order model, which is often indicative of chemisorption involving valence forces through sharing or exchange of electrons [18], yielded a poor fit (R² = 0.5644 and 0.9000). This discrepancy suggests that while </w:t>
      </w:r>
      <w:proofErr w:type="spellStart"/>
      <w:r>
        <w:rPr>
          <w:rFonts w:ascii="Times New Roman" w:eastAsia="Segoe UI" w:hAnsi="Times New Roman" w:cs="Times New Roman"/>
          <w:color w:val="0F1115"/>
          <w:shd w:val="clear" w:color="auto" w:fill="FFFFFF"/>
        </w:rPr>
        <w:t>chemisorptive</w:t>
      </w:r>
      <w:proofErr w:type="spellEnd"/>
      <w:r>
        <w:rPr>
          <w:rFonts w:ascii="Times New Roman" w:eastAsia="Segoe UI" w:hAnsi="Times New Roman" w:cs="Times New Roman"/>
          <w:color w:val="0F1115"/>
          <w:shd w:val="clear" w:color="auto" w:fill="FFFFFF"/>
        </w:rPr>
        <w:t xml:space="preserve"> interactions are present, the overall kinetics may be influenced by the highly microporous nature of UiO-66, where diffusion limitations can alter the expected kinetic profile. This indicates that strong chemical interactions, likely between the phenol molecules and the zirconium clusters or the organic linkers of the framework, govern the adsorption kinetics for both UiO-66 variants, though the rate expression is complicated by structural factors.</w:t>
      </w:r>
    </w:p>
    <w:p w14:paraId="6B88680F" w14:textId="74A5F945" w:rsidR="00140CE3" w:rsidRDefault="00485BD2" w:rsidP="00001666">
      <w:pPr>
        <w:pStyle w:val="NormalWeb"/>
        <w:shd w:val="clear" w:color="auto" w:fill="FFFFFF"/>
        <w:spacing w:before="240" w:after="240" w:line="360" w:lineRule="auto"/>
        <w:jc w:val="both"/>
        <w:rPr>
          <w:rFonts w:ascii="Times New Roman" w:eastAsia="Segoe UI" w:hAnsi="Times New Roman" w:cs="Times New Roman"/>
          <w:color w:val="0F1115"/>
          <w:shd w:val="clear" w:color="auto" w:fill="FFFFFF"/>
        </w:rPr>
      </w:pPr>
      <w:r>
        <w:rPr>
          <w:rFonts w:ascii="Times New Roman" w:eastAsia="Segoe UI" w:hAnsi="Times New Roman" w:cs="Times New Roman"/>
          <w:color w:val="0F1115"/>
          <w:shd w:val="clear" w:color="auto" w:fill="FFFFFF"/>
        </w:rPr>
        <w:t>Further analysis using the intraparticle diffusion model shows that the plots do not pass through the origin (Cᵢ ≠ 0), indicating that while pore diffusion is involved, it is not the sole rate-controlling step. The initial high Cᵢ values signify a significant contribution from boundary layer diffusion [19]. The multi-linear nature of the diffusion plots (not shown) implies that the adsorption occurs in multiple stages, beginning with rapid surface adsorption followed by a gradual intra-particle diffusion phase until equilibrium is reached. The superior fit of the Power Function model for the defective UiO-66 (R² = 0.9905) further underscores the heterogeneity of its surface sites introduced by missing-linker defects, leading to a more complex, multi-mechanistic adsorption process compared to the more uniform non-defect framework.</w:t>
      </w:r>
    </w:p>
    <w:p w14:paraId="6B0CEF73" w14:textId="77777777" w:rsidR="00140CE3" w:rsidRDefault="00485BD2" w:rsidP="004B489A">
      <w:pPr>
        <w:pStyle w:val="NormalWeb"/>
        <w:shd w:val="clear" w:color="auto" w:fill="FFFFFF"/>
        <w:spacing w:before="240" w:after="0" w:line="240" w:lineRule="auto"/>
        <w:jc w:val="both"/>
        <w:rPr>
          <w:rFonts w:ascii="Times New Roman" w:eastAsia="TimesNewRomanPSMT" w:hAnsi="Times New Roman" w:cs="Times New Roman"/>
          <w:color w:val="000000"/>
        </w:rPr>
      </w:pPr>
      <w:r>
        <w:rPr>
          <w:rStyle w:val="Strong"/>
          <w:rFonts w:ascii="Times New Roman" w:eastAsia="Segoe UI" w:hAnsi="Times New Roman" w:cs="Times New Roman"/>
          <w:color w:val="0F1115"/>
          <w:shd w:val="clear" w:color="auto" w:fill="FFFFFF"/>
        </w:rPr>
        <w:lastRenderedPageBreak/>
        <w:t>Table 7.</w:t>
      </w:r>
      <w:r>
        <w:rPr>
          <w:rFonts w:ascii="Times New Roman" w:eastAsia="Segoe UI" w:hAnsi="Times New Roman" w:cs="Times New Roman"/>
          <w:color w:val="0F1115"/>
          <w:shd w:val="clear" w:color="auto" w:fill="FFFFFF"/>
        </w:rPr>
        <w:t> Parameters derived from kinetic models for phenol adsorption on UiO-66 frameworks.</w:t>
      </w:r>
    </w:p>
    <w:tbl>
      <w:tblPr>
        <w:tblStyle w:val="TableGrid"/>
        <w:tblW w:w="0" w:type="auto"/>
        <w:tblLook w:val="04A0" w:firstRow="1" w:lastRow="0" w:firstColumn="1" w:lastColumn="0" w:noHBand="0" w:noVBand="1"/>
      </w:tblPr>
      <w:tblGrid>
        <w:gridCol w:w="3552"/>
        <w:gridCol w:w="2238"/>
        <w:gridCol w:w="1748"/>
        <w:gridCol w:w="1478"/>
      </w:tblGrid>
      <w:tr w:rsidR="00140CE3" w14:paraId="4ED29408" w14:textId="77777777" w:rsidTr="00B76A49">
        <w:tc>
          <w:tcPr>
            <w:tcW w:w="3894" w:type="dxa"/>
          </w:tcPr>
          <w:p w14:paraId="6A4AED1C"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Kinetic models and equation</w:t>
            </w:r>
          </w:p>
        </w:tc>
        <w:tc>
          <w:tcPr>
            <w:tcW w:w="2310" w:type="dxa"/>
          </w:tcPr>
          <w:p w14:paraId="57773F62"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Constant</w:t>
            </w:r>
          </w:p>
        </w:tc>
        <w:tc>
          <w:tcPr>
            <w:tcW w:w="1842" w:type="dxa"/>
          </w:tcPr>
          <w:p w14:paraId="14C7883E"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Non-Defective</w:t>
            </w:r>
          </w:p>
        </w:tc>
        <w:tc>
          <w:tcPr>
            <w:tcW w:w="1530" w:type="dxa"/>
          </w:tcPr>
          <w:p w14:paraId="45C26CBE"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Defective</w:t>
            </w:r>
          </w:p>
        </w:tc>
      </w:tr>
      <w:tr w:rsidR="00140CE3" w14:paraId="7ECFAD17" w14:textId="77777777" w:rsidTr="00B76A49">
        <w:tc>
          <w:tcPr>
            <w:tcW w:w="3894" w:type="dxa"/>
          </w:tcPr>
          <w:p w14:paraId="7F85DD08"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Pseudo-first-order</w:t>
            </w:r>
          </w:p>
          <w:p w14:paraId="4D7D6BD9" w14:textId="77777777" w:rsidR="00140CE3" w:rsidRDefault="00140CE3">
            <w:pPr>
              <w:spacing w:after="0" w:line="360" w:lineRule="auto"/>
              <w:rPr>
                <w:rFonts w:ascii="Times New Roman" w:eastAsia="TimesNewRomanPSMT" w:hAnsi="Times New Roman" w:cs="Times New Roman"/>
                <w:b/>
                <w:color w:val="000000" w:themeColor="text1"/>
                <w:sz w:val="24"/>
                <w:szCs w:val="24"/>
                <w:lang w:eastAsia="zh-CN"/>
              </w:rPr>
            </w:pPr>
          </w:p>
        </w:tc>
        <w:tc>
          <w:tcPr>
            <w:tcW w:w="2310" w:type="dxa"/>
          </w:tcPr>
          <w:p w14:paraId="5F9F4C0E" w14:textId="77777777" w:rsidR="00140CE3" w:rsidRDefault="00485BD2">
            <w:pPr>
              <w:spacing w:after="0" w:line="360" w:lineRule="auto"/>
              <w:rPr>
                <w:rFonts w:ascii="Times New Roman" w:eastAsia="TimesNewRomanPSMT" w:hAnsi="Times New Roman" w:cs="Times New Roman"/>
                <w:color w:val="000000"/>
                <w:sz w:val="24"/>
                <w:szCs w:val="24"/>
                <w:lang w:eastAsia="zh-CN"/>
              </w:rPr>
            </w:pPr>
            <w:proofErr w:type="spellStart"/>
            <w:r>
              <w:rPr>
                <w:rFonts w:ascii="Times New Roman" w:eastAsia="TimesNewRomanPSMT" w:hAnsi="Times New Roman" w:cs="Times New Roman"/>
                <w:color w:val="000000"/>
                <w:sz w:val="24"/>
                <w:szCs w:val="24"/>
                <w:lang w:eastAsia="zh-CN"/>
              </w:rPr>
              <w:t>q</w:t>
            </w:r>
            <w:r>
              <w:rPr>
                <w:rFonts w:ascii="Times New Roman" w:eastAsia="TimesNewRomanPSMT" w:hAnsi="Times New Roman" w:cs="Times New Roman"/>
                <w:color w:val="000000"/>
                <w:sz w:val="24"/>
                <w:szCs w:val="24"/>
                <w:vertAlign w:val="subscript"/>
                <w:lang w:eastAsia="zh-CN"/>
              </w:rPr>
              <w:t>e</w:t>
            </w:r>
            <w:proofErr w:type="spellEnd"/>
            <w:r>
              <w:rPr>
                <w:rFonts w:ascii="Times New Roman" w:eastAsia="TimesNewRomanPSMT" w:hAnsi="Times New Roman" w:cs="Times New Roman"/>
                <w:color w:val="000000"/>
                <w:sz w:val="24"/>
                <w:szCs w:val="24"/>
                <w:lang w:eastAsia="zh-CN"/>
              </w:rPr>
              <w:t>(mg/g) cal.</w:t>
            </w:r>
          </w:p>
          <w:p w14:paraId="7D35A852" w14:textId="77777777" w:rsidR="00140CE3" w:rsidRDefault="00485BD2">
            <w:pPr>
              <w:spacing w:after="0" w:line="360" w:lineRule="auto"/>
              <w:rPr>
                <w:rFonts w:ascii="Times New Roman" w:eastAsia="TimesNewRomanPSMT" w:hAnsi="Times New Roman" w:cs="Times New Roman"/>
                <w:color w:val="000000"/>
                <w:sz w:val="24"/>
                <w:szCs w:val="24"/>
                <w:vertAlign w:val="subscript"/>
                <w:lang w:eastAsia="zh-CN"/>
              </w:rPr>
            </w:pPr>
            <w:r>
              <w:rPr>
                <w:rFonts w:ascii="Times New Roman" w:eastAsia="TimesNewRomanPSMT" w:hAnsi="Times New Roman" w:cs="Times New Roman"/>
                <w:color w:val="000000"/>
                <w:sz w:val="24"/>
                <w:szCs w:val="24"/>
                <w:lang w:eastAsia="zh-CN"/>
              </w:rPr>
              <w:t>k</w:t>
            </w:r>
            <w:r>
              <w:rPr>
                <w:rFonts w:ascii="Times New Roman" w:eastAsia="TimesNewRomanPSMT" w:hAnsi="Times New Roman" w:cs="Times New Roman"/>
                <w:color w:val="000000"/>
                <w:sz w:val="24"/>
                <w:szCs w:val="24"/>
                <w:vertAlign w:val="subscript"/>
                <w:lang w:eastAsia="zh-CN"/>
              </w:rPr>
              <w:t>1</w:t>
            </w:r>
            <w:r>
              <w:rPr>
                <w:rFonts w:ascii="Times New Roman" w:eastAsia="TimesNewRomanPSMT" w:hAnsi="Times New Roman" w:cs="Times New Roman"/>
                <w:color w:val="000000" w:themeColor="text1"/>
                <w:sz w:val="24"/>
                <w:szCs w:val="24"/>
                <w:lang w:eastAsia="zh-CN"/>
              </w:rPr>
              <w:t xml:space="preserve"> (</w:t>
            </w:r>
            <w:r>
              <w:rPr>
                <w:rFonts w:ascii="Times New Roman" w:eastAsia="SimSun" w:hAnsi="Times New Roman" w:cs="Times New Roman"/>
                <w:color w:val="000000" w:themeColor="text1"/>
                <w:sz w:val="24"/>
                <w:szCs w:val="24"/>
              </w:rPr>
              <w:t>min⁻¹)</w:t>
            </w:r>
          </w:p>
          <w:p w14:paraId="0E875FEE"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R</w:t>
            </w:r>
            <w:r>
              <w:rPr>
                <w:rFonts w:ascii="Times New Roman" w:eastAsia="TimesNewRomanPSMT" w:hAnsi="Times New Roman" w:cs="Times New Roman"/>
                <w:color w:val="000000"/>
                <w:sz w:val="24"/>
                <w:szCs w:val="24"/>
                <w:vertAlign w:val="superscript"/>
                <w:lang w:eastAsia="zh-CN"/>
              </w:rPr>
              <w:t>2</w:t>
            </w:r>
          </w:p>
        </w:tc>
        <w:tc>
          <w:tcPr>
            <w:tcW w:w="1842" w:type="dxa"/>
          </w:tcPr>
          <w:p w14:paraId="7A77F6F6"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0.0058</w:t>
            </w:r>
          </w:p>
          <w:p w14:paraId="674A42D6" w14:textId="77777777" w:rsidR="00140CE3" w:rsidRDefault="00485BD2">
            <w:pPr>
              <w:spacing w:after="0" w:line="360" w:lineRule="auto"/>
              <w:rPr>
                <w:rFonts w:ascii="Times New Roman" w:eastAsia="TimesNewRomanPSMT" w:hAnsi="Times New Roman" w:cs="Times New Roman"/>
                <w:color w:val="000000"/>
                <w:sz w:val="24"/>
                <w:szCs w:val="24"/>
                <w:vertAlign w:val="superscript"/>
                <w:lang w:eastAsia="zh-CN"/>
              </w:rPr>
            </w:pPr>
            <w:r>
              <w:rPr>
                <w:rFonts w:ascii="Times New Roman" w:eastAsia="TimesNewRomanPSMT" w:hAnsi="Times New Roman" w:cs="Times New Roman"/>
                <w:color w:val="000000"/>
                <w:sz w:val="24"/>
                <w:szCs w:val="24"/>
                <w:lang w:eastAsia="zh-CN"/>
              </w:rPr>
              <w:t>0.0371</w:t>
            </w:r>
          </w:p>
          <w:p w14:paraId="26F2F52B"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0.9998</w:t>
            </w:r>
          </w:p>
        </w:tc>
        <w:tc>
          <w:tcPr>
            <w:tcW w:w="1530" w:type="dxa"/>
          </w:tcPr>
          <w:p w14:paraId="51B43BE6"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1.7700</w:t>
            </w:r>
          </w:p>
          <w:p w14:paraId="0A6AD920"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0.0354</w:t>
            </w:r>
          </w:p>
          <w:p w14:paraId="401849B0"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1.0000</w:t>
            </w:r>
          </w:p>
        </w:tc>
      </w:tr>
      <w:tr w:rsidR="00140CE3" w14:paraId="52A9817C" w14:textId="77777777" w:rsidTr="00B76A49">
        <w:trPr>
          <w:trHeight w:val="90"/>
        </w:trPr>
        <w:tc>
          <w:tcPr>
            <w:tcW w:w="3894" w:type="dxa"/>
          </w:tcPr>
          <w:p w14:paraId="0030487D"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Pseudo-second-order</w:t>
            </w:r>
          </w:p>
          <w:p w14:paraId="5759A412" w14:textId="77777777" w:rsidR="00140CE3" w:rsidRDefault="00140CE3">
            <w:pPr>
              <w:spacing w:after="0" w:line="360" w:lineRule="auto"/>
              <w:rPr>
                <w:rFonts w:ascii="Times New Roman" w:eastAsiaTheme="minorEastAsia" w:hAnsi="Times New Roman" w:cs="Times New Roman"/>
                <w:b/>
                <w:bCs/>
                <w:color w:val="000000" w:themeColor="text1"/>
                <w:sz w:val="24"/>
                <w:szCs w:val="24"/>
                <w:lang w:eastAsia="zh-CN"/>
              </w:rPr>
            </w:pPr>
          </w:p>
        </w:tc>
        <w:tc>
          <w:tcPr>
            <w:tcW w:w="2310" w:type="dxa"/>
          </w:tcPr>
          <w:p w14:paraId="24F83D61" w14:textId="77777777" w:rsidR="00140CE3" w:rsidRDefault="00485BD2">
            <w:pPr>
              <w:spacing w:after="0" w:line="360" w:lineRule="auto"/>
              <w:rPr>
                <w:rFonts w:ascii="Times New Roman" w:eastAsia="TimesNewRomanPSMT" w:hAnsi="Times New Roman" w:cs="Times New Roman"/>
                <w:color w:val="000000"/>
                <w:sz w:val="24"/>
                <w:szCs w:val="24"/>
                <w:lang w:eastAsia="zh-CN"/>
              </w:rPr>
            </w:pPr>
            <w:proofErr w:type="spellStart"/>
            <w:r>
              <w:rPr>
                <w:rFonts w:ascii="Times New Roman" w:eastAsia="TimesNewRomanPSMT" w:hAnsi="Times New Roman" w:cs="Times New Roman"/>
                <w:color w:val="000000"/>
                <w:sz w:val="24"/>
                <w:szCs w:val="24"/>
                <w:lang w:eastAsia="zh-CN"/>
              </w:rPr>
              <w:t>q</w:t>
            </w:r>
            <w:r>
              <w:rPr>
                <w:rFonts w:ascii="Times New Roman" w:eastAsia="TimesNewRomanPSMT" w:hAnsi="Times New Roman" w:cs="Times New Roman"/>
                <w:color w:val="000000"/>
                <w:sz w:val="24"/>
                <w:szCs w:val="24"/>
                <w:vertAlign w:val="subscript"/>
                <w:lang w:eastAsia="zh-CN"/>
              </w:rPr>
              <w:t>e</w:t>
            </w:r>
            <w:proofErr w:type="spellEnd"/>
            <w:r>
              <w:rPr>
                <w:rFonts w:ascii="Times New Roman" w:eastAsia="TimesNewRomanPSMT" w:hAnsi="Times New Roman" w:cs="Times New Roman"/>
                <w:color w:val="000000"/>
                <w:sz w:val="24"/>
                <w:szCs w:val="24"/>
                <w:lang w:eastAsia="zh-CN"/>
              </w:rPr>
              <w:t>(mg/g) cal.</w:t>
            </w:r>
          </w:p>
          <w:p w14:paraId="6257773F" w14:textId="3F00B684" w:rsidR="00140CE3" w:rsidRDefault="00485BD2">
            <w:pPr>
              <w:spacing w:after="0" w:line="360" w:lineRule="auto"/>
              <w:rPr>
                <w:rFonts w:ascii="Times New Roman" w:eastAsia="TimesNewRomanPSMT" w:hAnsi="Times New Roman" w:cs="Times New Roman"/>
                <w:color w:val="000000"/>
                <w:sz w:val="24"/>
                <w:szCs w:val="24"/>
                <w:vertAlign w:val="subscript"/>
                <w:lang w:eastAsia="zh-CN"/>
              </w:rPr>
            </w:pPr>
            <w:r>
              <w:rPr>
                <w:rFonts w:ascii="Times New Roman" w:eastAsia="TimesNewRomanPSMT" w:hAnsi="Times New Roman" w:cs="Times New Roman"/>
                <w:color w:val="000000"/>
                <w:sz w:val="24"/>
                <w:szCs w:val="24"/>
                <w:lang w:eastAsia="zh-CN"/>
              </w:rPr>
              <w:t>k</w:t>
            </w:r>
            <w:r>
              <w:rPr>
                <w:rFonts w:ascii="Times New Roman" w:eastAsia="TimesNewRomanPSMT" w:hAnsi="Times New Roman" w:cs="Times New Roman"/>
                <w:color w:val="000000" w:themeColor="text1"/>
                <w:sz w:val="24"/>
                <w:szCs w:val="24"/>
                <w:vertAlign w:val="subscript"/>
                <w:lang w:eastAsia="zh-CN"/>
              </w:rPr>
              <w:t xml:space="preserve">2 </w:t>
            </w:r>
            <w:r>
              <w:rPr>
                <w:rFonts w:ascii="Times New Roman" w:eastAsia="TimesNewRomanPSMT" w:hAnsi="Times New Roman" w:cs="Times New Roman"/>
                <w:color w:val="000000" w:themeColor="text1"/>
                <w:sz w:val="24"/>
                <w:szCs w:val="24"/>
                <w:lang w:eastAsia="zh-CN"/>
              </w:rPr>
              <w:t>(</w:t>
            </w:r>
            <w:r>
              <w:rPr>
                <w:rFonts w:ascii="Times New Roman" w:eastAsia="SimSun" w:hAnsi="Times New Roman" w:cs="Times New Roman"/>
                <w:color w:val="000000" w:themeColor="text1"/>
                <w:sz w:val="24"/>
                <w:szCs w:val="24"/>
              </w:rPr>
              <w:t>g·mg⁻¹·min⁻</w:t>
            </w:r>
            <w:r>
              <w:rPr>
                <w:rFonts w:ascii="Times New Roman" w:eastAsia="TimesNewRomanPSMT" w:hAnsi="Times New Roman" w:cs="Times New Roman"/>
                <w:color w:val="000000" w:themeColor="text1"/>
                <w:sz w:val="24"/>
                <w:szCs w:val="24"/>
                <w:lang w:eastAsia="zh-CN"/>
              </w:rPr>
              <w:t>)</w:t>
            </w:r>
          </w:p>
          <w:p w14:paraId="508690E4"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R</w:t>
            </w:r>
            <w:r>
              <w:rPr>
                <w:rFonts w:ascii="Times New Roman" w:eastAsia="TimesNewRomanPSMT" w:hAnsi="Times New Roman" w:cs="Times New Roman"/>
                <w:color w:val="000000"/>
                <w:sz w:val="24"/>
                <w:szCs w:val="24"/>
                <w:vertAlign w:val="superscript"/>
                <w:lang w:eastAsia="zh-CN"/>
              </w:rPr>
              <w:t>2</w:t>
            </w:r>
          </w:p>
        </w:tc>
        <w:tc>
          <w:tcPr>
            <w:tcW w:w="1842" w:type="dxa"/>
          </w:tcPr>
          <w:p w14:paraId="55714EF9"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5.0400</w:t>
            </w:r>
          </w:p>
          <w:p w14:paraId="76EF7F9E"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32.8300</w:t>
            </w:r>
          </w:p>
          <w:p w14:paraId="5CFFD672"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0.5644</w:t>
            </w:r>
          </w:p>
        </w:tc>
        <w:tc>
          <w:tcPr>
            <w:tcW w:w="1530" w:type="dxa"/>
          </w:tcPr>
          <w:p w14:paraId="5DD2AB9A"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4.9300</w:t>
            </w:r>
          </w:p>
          <w:p w14:paraId="760E2B21"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0.095</w:t>
            </w:r>
          </w:p>
          <w:p w14:paraId="18997851"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0.9000</w:t>
            </w:r>
          </w:p>
        </w:tc>
      </w:tr>
      <w:tr w:rsidR="00140CE3" w14:paraId="7D2B5488" w14:textId="77777777" w:rsidTr="00B76A49">
        <w:trPr>
          <w:trHeight w:val="964"/>
        </w:trPr>
        <w:tc>
          <w:tcPr>
            <w:tcW w:w="3894" w:type="dxa"/>
          </w:tcPr>
          <w:p w14:paraId="4BD94584"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Intraparticle diffusion</w:t>
            </w:r>
          </w:p>
          <w:p w14:paraId="694CC021" w14:textId="77777777" w:rsidR="00140CE3" w:rsidRDefault="00140CE3">
            <w:pPr>
              <w:spacing w:after="0" w:line="360" w:lineRule="auto"/>
              <w:rPr>
                <w:rFonts w:ascii="Times New Roman" w:eastAsiaTheme="minorEastAsia" w:hAnsi="Times New Roman" w:cs="Times New Roman"/>
                <w:color w:val="000000"/>
                <w:sz w:val="24"/>
                <w:szCs w:val="24"/>
                <w:lang w:eastAsia="zh-CN"/>
              </w:rPr>
            </w:pPr>
          </w:p>
          <w:p w14:paraId="40739066" w14:textId="77777777" w:rsidR="00140CE3" w:rsidRDefault="00140CE3">
            <w:pPr>
              <w:spacing w:after="0" w:line="360" w:lineRule="auto"/>
              <w:rPr>
                <w:rFonts w:ascii="Times New Roman" w:eastAsia="TimesNewRomanPSMT" w:hAnsi="Times New Roman" w:cs="Times New Roman"/>
                <w:color w:val="000000"/>
                <w:sz w:val="24"/>
                <w:szCs w:val="24"/>
                <w:lang w:eastAsia="zh-CN"/>
              </w:rPr>
            </w:pPr>
          </w:p>
        </w:tc>
        <w:tc>
          <w:tcPr>
            <w:tcW w:w="2310" w:type="dxa"/>
          </w:tcPr>
          <w:p w14:paraId="2C776DCD"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C</w:t>
            </w:r>
            <w:r>
              <w:rPr>
                <w:rFonts w:ascii="Times New Roman" w:eastAsia="TimesNewRomanPSMT" w:hAnsi="Times New Roman" w:cs="Times New Roman"/>
                <w:color w:val="000000"/>
                <w:sz w:val="24"/>
                <w:szCs w:val="24"/>
                <w:vertAlign w:val="subscript"/>
                <w:lang w:eastAsia="zh-CN"/>
              </w:rPr>
              <w:t>i</w:t>
            </w:r>
          </w:p>
          <w:p w14:paraId="7CBC15A7" w14:textId="77777777" w:rsidR="00140CE3" w:rsidRDefault="00485BD2">
            <w:pPr>
              <w:spacing w:after="0" w:line="360" w:lineRule="auto"/>
              <w:rPr>
                <w:rFonts w:ascii="Times New Roman" w:eastAsia="TimesNewRomanPSMT" w:hAnsi="Times New Roman" w:cs="Times New Roman"/>
                <w:color w:val="000000"/>
                <w:sz w:val="24"/>
                <w:szCs w:val="24"/>
                <w:lang w:eastAsia="zh-CN"/>
              </w:rPr>
            </w:pPr>
            <w:proofErr w:type="spellStart"/>
            <w:r>
              <w:rPr>
                <w:rFonts w:ascii="Times New Roman" w:eastAsia="TimesNewRomanPSMT" w:hAnsi="Times New Roman" w:cs="Times New Roman"/>
                <w:color w:val="000000"/>
                <w:sz w:val="24"/>
                <w:szCs w:val="24"/>
                <w:lang w:eastAsia="zh-CN"/>
              </w:rPr>
              <w:t>K</w:t>
            </w:r>
            <w:r>
              <w:rPr>
                <w:rFonts w:ascii="Times New Roman" w:eastAsia="TimesNewRomanPSMT" w:hAnsi="Times New Roman" w:cs="Times New Roman"/>
                <w:color w:val="000000"/>
                <w:sz w:val="24"/>
                <w:szCs w:val="24"/>
                <w:vertAlign w:val="subscript"/>
                <w:lang w:eastAsia="zh-CN"/>
              </w:rPr>
              <w:t>p</w:t>
            </w:r>
            <w:proofErr w:type="spellEnd"/>
            <w:r>
              <w:rPr>
                <w:rFonts w:ascii="Times New Roman" w:eastAsia="TimesNewRomanPSMT" w:hAnsi="Times New Roman" w:cs="Times New Roman"/>
                <w:color w:val="000000"/>
                <w:sz w:val="24"/>
                <w:szCs w:val="24"/>
                <w:vertAlign w:val="subscript"/>
                <w:lang w:eastAsia="zh-CN"/>
              </w:rPr>
              <w:t xml:space="preserve"> </w:t>
            </w:r>
            <w:r>
              <w:rPr>
                <w:rFonts w:ascii="Times New Roman" w:eastAsia="SimSun" w:hAnsi="Times New Roman" w:cs="Times New Roman"/>
                <w:color w:val="000000" w:themeColor="text1"/>
                <w:sz w:val="24"/>
                <w:szCs w:val="24"/>
              </w:rPr>
              <w:t xml:space="preserve"> (mg·g⁻¹·min⁻¹/²)</w:t>
            </w:r>
          </w:p>
          <w:p w14:paraId="5697B31C"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R</w:t>
            </w:r>
            <w:r>
              <w:rPr>
                <w:rFonts w:ascii="Times New Roman" w:eastAsia="TimesNewRomanPSMT" w:hAnsi="Times New Roman" w:cs="Times New Roman"/>
                <w:color w:val="000000"/>
                <w:sz w:val="24"/>
                <w:szCs w:val="24"/>
                <w:vertAlign w:val="superscript"/>
                <w:lang w:eastAsia="zh-CN"/>
              </w:rPr>
              <w:t>2</w:t>
            </w:r>
          </w:p>
        </w:tc>
        <w:tc>
          <w:tcPr>
            <w:tcW w:w="1842" w:type="dxa"/>
          </w:tcPr>
          <w:p w14:paraId="14BF145D"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5.0410</w:t>
            </w:r>
          </w:p>
          <w:p w14:paraId="017CE970"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3 ×10</w:t>
            </w:r>
            <w:r>
              <w:rPr>
                <w:rFonts w:ascii="Times New Roman" w:eastAsia="TimesNewRomanPSMT" w:hAnsi="Times New Roman" w:cs="Times New Roman"/>
                <w:color w:val="000000"/>
                <w:sz w:val="24"/>
                <w:szCs w:val="24"/>
                <w:vertAlign w:val="superscript"/>
                <w:lang w:eastAsia="zh-CN"/>
              </w:rPr>
              <w:t>-5</w:t>
            </w:r>
          </w:p>
          <w:p w14:paraId="30142343"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0.5570</w:t>
            </w:r>
          </w:p>
        </w:tc>
        <w:tc>
          <w:tcPr>
            <w:tcW w:w="1530" w:type="dxa"/>
          </w:tcPr>
          <w:p w14:paraId="0F999650"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5.2628</w:t>
            </w:r>
          </w:p>
          <w:p w14:paraId="1228394B"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3 .8×10</w:t>
            </w:r>
            <w:r>
              <w:rPr>
                <w:rFonts w:ascii="Times New Roman" w:eastAsia="TimesNewRomanPSMT" w:hAnsi="Times New Roman" w:cs="Times New Roman"/>
                <w:color w:val="000000"/>
                <w:sz w:val="24"/>
                <w:szCs w:val="24"/>
                <w:vertAlign w:val="superscript"/>
                <w:lang w:eastAsia="zh-CN"/>
              </w:rPr>
              <w:t>-2</w:t>
            </w:r>
          </w:p>
          <w:p w14:paraId="2C2AB33F" w14:textId="77777777" w:rsidR="00140CE3" w:rsidRDefault="00485BD2">
            <w:pPr>
              <w:spacing w:after="0" w:line="360" w:lineRule="auto"/>
              <w:rPr>
                <w:rFonts w:ascii="Times New Roman" w:eastAsia="TimesNewRomanPSMT" w:hAnsi="Times New Roman" w:cs="Times New Roman"/>
                <w:color w:val="000000"/>
                <w:sz w:val="24"/>
                <w:szCs w:val="24"/>
                <w:lang w:eastAsia="zh-CN"/>
              </w:rPr>
            </w:pPr>
            <w:r>
              <w:rPr>
                <w:rFonts w:ascii="Times New Roman" w:eastAsia="TimesNewRomanPSMT" w:hAnsi="Times New Roman" w:cs="Times New Roman"/>
                <w:color w:val="000000"/>
                <w:sz w:val="24"/>
                <w:szCs w:val="24"/>
                <w:lang w:eastAsia="zh-CN"/>
              </w:rPr>
              <w:t>0.9200</w:t>
            </w:r>
          </w:p>
        </w:tc>
      </w:tr>
      <w:tr w:rsidR="00140CE3" w14:paraId="66550C39" w14:textId="77777777" w:rsidTr="00B76A49">
        <w:trPr>
          <w:trHeight w:val="557"/>
        </w:trPr>
        <w:tc>
          <w:tcPr>
            <w:tcW w:w="3894" w:type="dxa"/>
          </w:tcPr>
          <w:p w14:paraId="0256E966" w14:textId="77777777" w:rsidR="00140CE3" w:rsidRDefault="00485BD2">
            <w:pPr>
              <w:spacing w:after="0" w:line="240" w:lineRule="auto"/>
              <w:rPr>
                <w:rFonts w:ascii="Times New Roman" w:eastAsia="SimSun" w:hAnsi="Times New Roman" w:cs="Times New Roman"/>
                <w:b/>
                <w:sz w:val="24"/>
                <w:szCs w:val="24"/>
              </w:rPr>
            </w:pPr>
            <w:proofErr w:type="spellStart"/>
            <w:r>
              <w:rPr>
                <w:rFonts w:ascii="Times New Roman" w:eastAsia="SimSun" w:hAnsi="Times New Roman" w:cs="Times New Roman"/>
                <w:sz w:val="24"/>
                <w:szCs w:val="24"/>
              </w:rPr>
              <w:t>Elovich</w:t>
            </w:r>
            <w:proofErr w:type="spellEnd"/>
            <w:r>
              <w:rPr>
                <w:rFonts w:ascii="Times New Roman" w:eastAsia="SimSun" w:hAnsi="Times New Roman" w:cs="Times New Roman"/>
                <w:sz w:val="24"/>
                <w:szCs w:val="24"/>
              </w:rPr>
              <w:t xml:space="preserve"> Kinetics</w:t>
            </w:r>
          </w:p>
          <w:p w14:paraId="5B448CD9" w14:textId="77777777" w:rsidR="00140CE3" w:rsidRDefault="00140CE3">
            <w:pPr>
              <w:spacing w:after="0" w:line="240" w:lineRule="auto"/>
              <w:rPr>
                <w:rFonts w:ascii="Times New Roman" w:eastAsia="SimSun" w:hAnsi="Times New Roman" w:cs="Times New Roman"/>
                <w:b/>
                <w:sz w:val="24"/>
                <w:szCs w:val="24"/>
              </w:rPr>
            </w:pPr>
          </w:p>
          <w:p w14:paraId="6FDC53C6" w14:textId="77777777" w:rsidR="00140CE3" w:rsidRDefault="00140CE3">
            <w:pPr>
              <w:spacing w:after="0" w:line="240" w:lineRule="auto"/>
              <w:rPr>
                <w:rFonts w:ascii="Times New Roman" w:eastAsia="SimSun" w:hAnsi="Times New Roman" w:cs="Times New Roman"/>
                <w:b/>
                <w:sz w:val="24"/>
                <w:szCs w:val="24"/>
                <w:lang w:eastAsia="zh-CN"/>
              </w:rPr>
            </w:pPr>
          </w:p>
        </w:tc>
        <w:tc>
          <w:tcPr>
            <w:tcW w:w="2310" w:type="dxa"/>
          </w:tcPr>
          <w:p w14:paraId="7286B5D5" w14:textId="5FFD1F28" w:rsidR="00140CE3" w:rsidRDefault="00FE62CD">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Β</w:t>
            </w:r>
          </w:p>
          <w:p w14:paraId="34FAA397"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ɑ</w:t>
            </w:r>
          </w:p>
          <w:p w14:paraId="0E62B166"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C</w:t>
            </w:r>
          </w:p>
          <w:p w14:paraId="7B3C4BDA"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R</w:t>
            </w:r>
            <w:r>
              <w:rPr>
                <w:rFonts w:ascii="Times New Roman" w:eastAsia="TimesNewRomanPSMT" w:hAnsi="Times New Roman" w:cs="Times New Roman"/>
                <w:sz w:val="24"/>
                <w:szCs w:val="24"/>
                <w:vertAlign w:val="superscript"/>
                <w:lang w:eastAsia="zh-CN"/>
              </w:rPr>
              <w:t>2</w:t>
            </w:r>
          </w:p>
        </w:tc>
        <w:tc>
          <w:tcPr>
            <w:tcW w:w="1842" w:type="dxa"/>
          </w:tcPr>
          <w:p w14:paraId="5336D411"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100000</w:t>
            </w:r>
          </w:p>
          <w:p w14:paraId="79728356"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504.16</w:t>
            </w:r>
          </w:p>
          <w:p w14:paraId="3925816A"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SimSun" w:hAnsi="Times New Roman" w:cs="Times New Roman"/>
                <w:sz w:val="24"/>
                <w:szCs w:val="24"/>
              </w:rPr>
              <w:t>5.0416</w:t>
            </w:r>
          </w:p>
          <w:p w14:paraId="6EE28D0E"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0.6666</w:t>
            </w:r>
          </w:p>
        </w:tc>
        <w:tc>
          <w:tcPr>
            <w:tcW w:w="1530" w:type="dxa"/>
          </w:tcPr>
          <w:p w14:paraId="044A5238"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526.32</w:t>
            </w:r>
          </w:p>
          <w:p w14:paraId="3240D2D6"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2767.35</w:t>
            </w:r>
          </w:p>
          <w:p w14:paraId="7BE520D3"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SimSun" w:hAnsi="Times New Roman" w:cs="Times New Roman"/>
                <w:sz w:val="24"/>
                <w:szCs w:val="24"/>
              </w:rPr>
              <w:t>5.2628</w:t>
            </w:r>
          </w:p>
          <w:p w14:paraId="20292AA0"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0.9301</w:t>
            </w:r>
          </w:p>
        </w:tc>
      </w:tr>
      <w:tr w:rsidR="00140CE3" w14:paraId="0840B423" w14:textId="77777777" w:rsidTr="00B76A49">
        <w:tc>
          <w:tcPr>
            <w:tcW w:w="3894" w:type="dxa"/>
          </w:tcPr>
          <w:p w14:paraId="67C2C736"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Power Function</w:t>
            </w:r>
          </w:p>
          <w:p w14:paraId="36616106" w14:textId="77777777" w:rsidR="00140CE3" w:rsidRDefault="00140CE3">
            <w:pPr>
              <w:spacing w:after="0" w:line="360" w:lineRule="auto"/>
              <w:rPr>
                <w:rFonts w:ascii="Times New Roman" w:eastAsia="TimesNewRomanPSMT" w:hAnsi="Times New Roman" w:cs="Times New Roman"/>
                <w:b/>
                <w:bCs/>
                <w:sz w:val="24"/>
                <w:szCs w:val="24"/>
                <w:lang w:eastAsia="zh-CN"/>
              </w:rPr>
            </w:pPr>
          </w:p>
        </w:tc>
        <w:tc>
          <w:tcPr>
            <w:tcW w:w="2310" w:type="dxa"/>
          </w:tcPr>
          <w:p w14:paraId="50D3E710" w14:textId="4ADAEF10" w:rsidR="00140CE3" w:rsidRDefault="001D54ED">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N</w:t>
            </w:r>
          </w:p>
          <w:p w14:paraId="6C544061"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K</w:t>
            </w:r>
          </w:p>
          <w:p w14:paraId="7736B4D5"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R</w:t>
            </w:r>
            <w:r>
              <w:rPr>
                <w:rFonts w:ascii="Times New Roman" w:eastAsia="TimesNewRomanPSMT" w:hAnsi="Times New Roman" w:cs="Times New Roman"/>
                <w:sz w:val="24"/>
                <w:szCs w:val="24"/>
                <w:vertAlign w:val="superscript"/>
                <w:lang w:eastAsia="zh-CN"/>
              </w:rPr>
              <w:t>2</w:t>
            </w:r>
          </w:p>
        </w:tc>
        <w:tc>
          <w:tcPr>
            <w:tcW w:w="1842" w:type="dxa"/>
          </w:tcPr>
          <w:p w14:paraId="08C4494A"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12.299</w:t>
            </w:r>
          </w:p>
          <w:p w14:paraId="6D3C63BD"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17.446</w:t>
            </w:r>
          </w:p>
          <w:p w14:paraId="40CB2AEB"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0.4579</w:t>
            </w:r>
          </w:p>
        </w:tc>
        <w:tc>
          <w:tcPr>
            <w:tcW w:w="1530" w:type="dxa"/>
          </w:tcPr>
          <w:p w14:paraId="4D3A4A85" w14:textId="77777777" w:rsidR="00140CE3" w:rsidRDefault="00485BD2">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20.111</w:t>
            </w:r>
          </w:p>
          <w:p w14:paraId="50499F4A"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SimSun" w:hAnsi="Times New Roman" w:cs="Times New Roman"/>
                <w:sz w:val="24"/>
                <w:szCs w:val="24"/>
              </w:rPr>
              <w:t>28.077</w:t>
            </w:r>
          </w:p>
          <w:p w14:paraId="3370C4F5" w14:textId="77777777" w:rsidR="00140CE3" w:rsidRDefault="00485BD2">
            <w:pPr>
              <w:spacing w:after="0" w:line="360" w:lineRule="auto"/>
              <w:rPr>
                <w:rFonts w:ascii="Times New Roman" w:eastAsia="TimesNewRomanPSMT" w:hAnsi="Times New Roman" w:cs="Times New Roman"/>
                <w:sz w:val="24"/>
                <w:szCs w:val="24"/>
                <w:lang w:eastAsia="zh-CN"/>
              </w:rPr>
            </w:pPr>
            <w:r>
              <w:rPr>
                <w:rFonts w:ascii="Times New Roman" w:eastAsia="TimesNewRomanPSMT" w:hAnsi="Times New Roman" w:cs="Times New Roman"/>
                <w:sz w:val="24"/>
                <w:szCs w:val="24"/>
                <w:lang w:eastAsia="zh-CN"/>
              </w:rPr>
              <w:t>0.9905</w:t>
            </w:r>
          </w:p>
        </w:tc>
      </w:tr>
    </w:tbl>
    <w:p w14:paraId="354B60FB" w14:textId="77777777" w:rsidR="00140CE3" w:rsidRDefault="00485BD2">
      <w:pPr>
        <w:spacing w:before="240" w:after="0" w:line="360" w:lineRule="auto"/>
        <w:jc w:val="both"/>
        <w:rPr>
          <w:rFonts w:ascii="Times New Roman" w:eastAsia="Segoe UI" w:hAnsi="Times New Roman" w:cs="Times New Roman"/>
          <w:b/>
          <w:bCs/>
          <w:color w:val="0F1115"/>
          <w:sz w:val="24"/>
          <w:szCs w:val="24"/>
        </w:rPr>
      </w:pPr>
      <w:r>
        <w:rPr>
          <w:rFonts w:ascii="Times New Roman" w:eastAsia="Segoe UI" w:hAnsi="Times New Roman" w:cs="Times New Roman"/>
          <w:b/>
          <w:bCs/>
          <w:color w:val="0F1115"/>
          <w:sz w:val="24"/>
          <w:szCs w:val="24"/>
          <w:shd w:val="clear" w:color="auto" w:fill="FFFFFF"/>
        </w:rPr>
        <w:t>3.5. Thermodynamic Studies</w:t>
      </w:r>
    </w:p>
    <w:p w14:paraId="27D454DA" w14:textId="77777777" w:rsidR="00140CE3" w:rsidRDefault="00485BD2" w:rsidP="00BD6F5F">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Thermodynamic analysis provides critical insight into the energy changes, spontaneity, and molecular disorder associated with the adsorption process. The thermodynamic parameters—Gibbs free energy change (ΔG), enthalpy change (ΔH), and entropy change (ΔS)—were calculated from temperature-dependent adsorption data using the </w:t>
      </w:r>
      <w:proofErr w:type="spellStart"/>
      <w:r>
        <w:rPr>
          <w:rFonts w:ascii="Times New Roman" w:eastAsia="Segoe UI" w:hAnsi="Times New Roman" w:cs="Times New Roman"/>
          <w:color w:val="0F1115"/>
          <w:shd w:val="clear" w:color="auto" w:fill="FFFFFF"/>
        </w:rPr>
        <w:t>van't</w:t>
      </w:r>
      <w:proofErr w:type="spellEnd"/>
      <w:r>
        <w:rPr>
          <w:rFonts w:ascii="Times New Roman" w:eastAsia="Segoe UI" w:hAnsi="Times New Roman" w:cs="Times New Roman"/>
          <w:color w:val="0F1115"/>
          <w:shd w:val="clear" w:color="auto" w:fill="FFFFFF"/>
        </w:rPr>
        <w:t xml:space="preserve"> Hoff equation. The parameters obtained for phenol adsorption onto both UiO-66 variants are summarized in Table 8.</w:t>
      </w:r>
    </w:p>
    <w:p w14:paraId="17C7F69B" w14:textId="77777777"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3.5.1. Gibbs Free Energy Change (ΔG)</w:t>
      </w:r>
    </w:p>
    <w:p w14:paraId="6D4C4FC1"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Gibbs free energy change (ΔG) was negative across the entire temperature range (303–343 K) for both defective and non-defective UiO-66 adsorbents. This unequivocally confirms that the adsorption of phenol onto both UiO-66 variants is a thermodynamically spontaneous and feasible process under the studied conditions [20]. The negative ΔG values indicate that no external energy input is required to drive the adsorption reaction, which is advantageous for practical water treatment applications.</w:t>
      </w:r>
    </w:p>
    <w:p w14:paraId="239C88D7" w14:textId="28FBE8EF"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lastRenderedPageBreak/>
        <w:t>Furthermore, the increasing negativity of ΔG with rising temperature—from -0.0514 kJ/mol at 303 K to -0.0574 kJ/mol at 343 K for defective UiO-66, and from -0.0516 kJ/mol to -0.0570 kJ/mol for non-defective UiO-66—indicates that the spontaneity of adsorption is enhanced at higher temperatures for both materials. This temperature-dependent behavior suggests that elevated temperatures marginally favor the adsorption process, consistent with the slight increase in removal efficiency observed for defective UiO-66 at 50 °C (Table 3) [1</w:t>
      </w:r>
      <w:r w:rsidR="008120F9">
        <w:rPr>
          <w:rFonts w:ascii="Times New Roman" w:eastAsia="Segoe UI" w:hAnsi="Times New Roman" w:cs="Times New Roman"/>
          <w:color w:val="0F1115"/>
          <w:shd w:val="clear" w:color="auto" w:fill="FFFFFF"/>
        </w:rPr>
        <w:t>2</w:t>
      </w:r>
      <w:r>
        <w:rPr>
          <w:rFonts w:ascii="Times New Roman" w:eastAsia="Segoe UI" w:hAnsi="Times New Roman" w:cs="Times New Roman"/>
          <w:color w:val="0F1115"/>
          <w:shd w:val="clear" w:color="auto" w:fill="FFFFFF"/>
        </w:rPr>
        <w:t>]. The magnitude of ΔG values (all &lt; 20 kJ/mol) is characteristic of physisorption processes, where weak physical interactions such as van der Waals forces, hydrogen bonding, and π–π stacking dominate the adsorption mechanism [21].</w:t>
      </w:r>
    </w:p>
    <w:p w14:paraId="473A5EF8" w14:textId="77777777"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3.5.2. Enthalpy Change (ΔH)</w:t>
      </w:r>
    </w:p>
    <w:p w14:paraId="255A3925"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enthalpy change (ΔH) was negative for both adsorbents, confirming that the adsorption process is exothermic in nature. The ΔH value for defective UiO-66 was -5.83 kJ/mol, while non-defective UiO-66 exhibited a more negative value of -10.58 kJ/mol. The magnitude of ΔH provides important insights into the adsorption mechanism. Values in the range of 2.1–20.9 kJ/mol are typically associated with physisorption processes involving physical forces such as van der Waals interactions, hydrogen bonding, and dipole–dipole interactions [21]. The observed ΔH values for both materials fall well within this range, confirming that phenol adsorption onto UiO-66 frameworks is primarily governed by physisorption rather than chemisorption.</w:t>
      </w:r>
    </w:p>
    <w:p w14:paraId="114F0D3F" w14:textId="27A2456D"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The more negative ΔH value for the non-defective framework (-10.58 kJ/mol) compared to the defective variant (-5.83 kJ/mol) indicates stronger, more favorable adsorbate–adsorbent interactions in the defect-free material. This greater enthalpic favorability is attributable to its more uniform crystalline structure and homogeneous distribution of active sites, particularly the well-defined </w:t>
      </w:r>
      <w:proofErr w:type="spellStart"/>
      <w:r>
        <w:rPr>
          <w:rFonts w:ascii="Times New Roman" w:eastAsia="Segoe UI" w:hAnsi="Times New Roman" w:cs="Times New Roman"/>
          <w:color w:val="0F1115"/>
          <w:shd w:val="clear" w:color="auto" w:fill="FFFFFF"/>
        </w:rPr>
        <w:t>Zr₆O</w:t>
      </w:r>
      <w:proofErr w:type="spellEnd"/>
      <w:r>
        <w:rPr>
          <w:rFonts w:ascii="Times New Roman" w:eastAsia="Segoe UI" w:hAnsi="Times New Roman" w:cs="Times New Roman"/>
          <w:color w:val="0F1115"/>
          <w:shd w:val="clear" w:color="auto" w:fill="FFFFFF"/>
        </w:rPr>
        <w:t>₄(OH)₄ clusters, which provide consistent coordination environments for phenol molecules [1</w:t>
      </w:r>
      <w:r w:rsidR="008120F9">
        <w:rPr>
          <w:rFonts w:ascii="Times New Roman" w:eastAsia="Segoe UI" w:hAnsi="Times New Roman" w:cs="Times New Roman"/>
          <w:color w:val="0F1115"/>
          <w:shd w:val="clear" w:color="auto" w:fill="FFFFFF"/>
        </w:rPr>
        <w:t>1</w:t>
      </w:r>
      <w:r>
        <w:rPr>
          <w:rFonts w:ascii="Times New Roman" w:eastAsia="Segoe UI" w:hAnsi="Times New Roman" w:cs="Times New Roman"/>
          <w:color w:val="0F1115"/>
          <w:shd w:val="clear" w:color="auto" w:fill="FFFFFF"/>
        </w:rPr>
        <w:t>]. The well-ordered pore architecture enables optimal orbital overlap and hydrogen bonding geometries between the phenol hydroxyl group and the framework's µ₃-OH groups or carboxylate oxygen atoms. In contrast, the defective framework, despite its hierarchical porosity and enhanced surface area, exhibits weaker average adsorption energy due to the heterogeneity of its defect-induced sites, where missing-linker vacancies may create less optimal binding geometries or introduce steric constraints that partially disrupt ideal adsorbate–adsorbent interactions [1</w:t>
      </w:r>
      <w:r w:rsidR="008120F9">
        <w:rPr>
          <w:rFonts w:ascii="Times New Roman" w:eastAsia="Segoe UI" w:hAnsi="Times New Roman" w:cs="Times New Roman"/>
          <w:color w:val="0F1115"/>
          <w:shd w:val="clear" w:color="auto" w:fill="FFFFFF"/>
        </w:rPr>
        <w:t>2</w:t>
      </w:r>
      <w:r>
        <w:rPr>
          <w:rFonts w:ascii="Times New Roman" w:eastAsia="Segoe UI" w:hAnsi="Times New Roman" w:cs="Times New Roman"/>
          <w:color w:val="0F1115"/>
          <w:shd w:val="clear" w:color="auto" w:fill="FFFFFF"/>
        </w:rPr>
        <w:t>,1</w:t>
      </w:r>
      <w:r w:rsidR="008120F9">
        <w:rPr>
          <w:rFonts w:ascii="Times New Roman" w:eastAsia="Segoe UI" w:hAnsi="Times New Roman" w:cs="Times New Roman"/>
          <w:color w:val="0F1115"/>
          <w:shd w:val="clear" w:color="auto" w:fill="FFFFFF"/>
        </w:rPr>
        <w:t>8</w:t>
      </w:r>
      <w:r>
        <w:rPr>
          <w:rFonts w:ascii="Times New Roman" w:eastAsia="Segoe UI" w:hAnsi="Times New Roman" w:cs="Times New Roman"/>
          <w:color w:val="0F1115"/>
          <w:shd w:val="clear" w:color="auto" w:fill="FFFFFF"/>
        </w:rPr>
        <w:t>].</w:t>
      </w:r>
    </w:p>
    <w:p w14:paraId="7CE75EFD" w14:textId="77777777" w:rsidR="003306D2" w:rsidRDefault="003306D2">
      <w:pPr>
        <w:pStyle w:val="NormalWeb"/>
        <w:shd w:val="clear" w:color="auto" w:fill="FFFFFF"/>
        <w:spacing w:before="240" w:after="240"/>
        <w:jc w:val="both"/>
        <w:rPr>
          <w:rStyle w:val="Strong"/>
          <w:rFonts w:ascii="Times New Roman" w:eastAsia="Segoe UI" w:hAnsi="Times New Roman" w:cs="Times New Roman"/>
          <w:color w:val="0F1115"/>
          <w:shd w:val="clear" w:color="auto" w:fill="FFFFFF"/>
        </w:rPr>
      </w:pPr>
    </w:p>
    <w:p w14:paraId="20BBE455" w14:textId="64E9EAF3"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lastRenderedPageBreak/>
        <w:t>3.5.3. Entropy Change (ΔS)</w:t>
      </w:r>
    </w:p>
    <w:p w14:paraId="63335E6E"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entropy change (ΔS) was positive for both materials, with values of 0.00665 kJ/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xml:space="preserve"> (6.65 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for defective UiO-66 and 0.00740 kJ/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xml:space="preserve"> (7.40 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for non-defective UiO-66. An increase in entropy at the solid–liquid interface during adsorption suggests a greater degree of disorder is generated in the system upon phenol uptake. This seemingly counterintuitive phenomenon can be explained by the displacement of previously ordered solvent molecules from the MOF's pores and surface [22]. Prior to adsorption, water molecules are organized in structured hydration layers within the UiO-66 pores and around the hydrophilic zirconium clusters and carboxylate groups. These solvent molecules are relatively immobilized due to hydrogen bonding with the framework and confinement within the micropores. When a phenol molecule diffuses into the pore system and becomes adsorbed, these pre-ordered solvent molecules are released from their constrained positions into the bulk solution, where they gain translational and rotational freedom. This release of bound solvent molecules results in a net increase in the overall randomness of the system, which contributes favorably to the spontaneity of adsorption alongside the exothermic enthalpy change [23].</w:t>
      </w:r>
    </w:p>
    <w:p w14:paraId="44BA7BBA" w14:textId="371D035D"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slightly higher ΔS value for the non-defective framework (7.40 vs. 6.65 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suggests that its more uniform microporous architecture may accommodate a more highly ordered initial solvent structure due to regular pore geometry and consistent surface chemistry. This ordered solvent layer, upon displacement by phenol molecules, yields a greater entropic gain. Conversely, the defective framework's hierarchical porosity, with its mixture of micropores and mesopores, may already contain less ordered solvent configurations due to pore irregularities and varied confinement environments, resulting in a marginally lower entropic contribution upon solvent displacement [1</w:t>
      </w:r>
      <w:r w:rsidR="008120F9">
        <w:rPr>
          <w:rFonts w:ascii="Times New Roman" w:eastAsia="Segoe UI" w:hAnsi="Times New Roman" w:cs="Times New Roman"/>
          <w:color w:val="0F1115"/>
          <w:shd w:val="clear" w:color="auto" w:fill="FFFFFF"/>
        </w:rPr>
        <w:t>5</w:t>
      </w:r>
      <w:r>
        <w:rPr>
          <w:rFonts w:ascii="Times New Roman" w:eastAsia="Segoe UI" w:hAnsi="Times New Roman" w:cs="Times New Roman"/>
          <w:color w:val="0F1115"/>
          <w:shd w:val="clear" w:color="auto" w:fill="FFFFFF"/>
        </w:rPr>
        <w:t>].</w:t>
      </w:r>
    </w:p>
    <w:p w14:paraId="41295946" w14:textId="77777777" w:rsidR="00140CE3" w:rsidRDefault="00485BD2" w:rsidP="004B489A">
      <w:pPr>
        <w:pStyle w:val="NormalWeb"/>
        <w:shd w:val="clear" w:color="auto" w:fill="FFFFFF"/>
        <w:spacing w:before="240" w:after="0" w:line="240" w:lineRule="auto"/>
        <w:jc w:val="both"/>
        <w:rPr>
          <w:rFonts w:ascii="Times New Roman" w:eastAsia="Segoe UI" w:hAnsi="Times New Roman" w:cs="Times New Roman"/>
          <w:color w:val="0F1115"/>
          <w:shd w:val="clear" w:color="auto" w:fill="FFFFFF"/>
        </w:rPr>
      </w:pPr>
      <w:r>
        <w:rPr>
          <w:rStyle w:val="Strong"/>
          <w:rFonts w:ascii="Times New Roman" w:eastAsia="Segoe UI" w:hAnsi="Times New Roman" w:cs="Times New Roman"/>
          <w:color w:val="0F1115"/>
          <w:shd w:val="clear" w:color="auto" w:fill="FFFFFF"/>
        </w:rPr>
        <w:t>Table 8.</w:t>
      </w:r>
      <w:r>
        <w:rPr>
          <w:rFonts w:ascii="Times New Roman" w:eastAsia="Segoe UI" w:hAnsi="Times New Roman" w:cs="Times New Roman"/>
          <w:color w:val="0F1115"/>
          <w:shd w:val="clear" w:color="auto" w:fill="FFFFFF"/>
        </w:rPr>
        <w:t> Thermodynamic Parameters for Phenol Adsorption onto Defective and Non-defective UiO-66 at Different Temperatures.</w:t>
      </w:r>
    </w:p>
    <w:tbl>
      <w:tblPr>
        <w:tblStyle w:val="TableGrid"/>
        <w:tblW w:w="10182" w:type="dxa"/>
        <w:tblInd w:w="-289" w:type="dxa"/>
        <w:tblLayout w:type="fixed"/>
        <w:tblLook w:val="04A0" w:firstRow="1" w:lastRow="0" w:firstColumn="1" w:lastColumn="0" w:noHBand="0" w:noVBand="1"/>
      </w:tblPr>
      <w:tblGrid>
        <w:gridCol w:w="1560"/>
        <w:gridCol w:w="1418"/>
        <w:gridCol w:w="1417"/>
        <w:gridCol w:w="1466"/>
        <w:gridCol w:w="1369"/>
        <w:gridCol w:w="1418"/>
        <w:gridCol w:w="1534"/>
      </w:tblGrid>
      <w:tr w:rsidR="00140CE3" w14:paraId="5ADADAE2" w14:textId="77777777" w:rsidTr="00C03A46">
        <w:trPr>
          <w:trHeight w:val="869"/>
        </w:trPr>
        <w:tc>
          <w:tcPr>
            <w:tcW w:w="1560" w:type="dxa"/>
          </w:tcPr>
          <w:p w14:paraId="6A52AFF0"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Temperature (K)</w:t>
            </w:r>
          </w:p>
        </w:tc>
        <w:tc>
          <w:tcPr>
            <w:tcW w:w="4301" w:type="dxa"/>
            <w:gridSpan w:val="3"/>
          </w:tcPr>
          <w:p w14:paraId="01347E68" w14:textId="77777777" w:rsidR="00140CE3" w:rsidRDefault="00485BD2" w:rsidP="00C03A46">
            <w:pPr>
              <w:pStyle w:val="NormalWeb"/>
              <w:widowControl/>
              <w:spacing w:before="240" w:after="0" w:line="240" w:lineRule="auto"/>
              <w:ind w:firstLineChars="300" w:firstLine="720"/>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Defective UiO-66</w:t>
            </w:r>
          </w:p>
        </w:tc>
        <w:tc>
          <w:tcPr>
            <w:tcW w:w="4321" w:type="dxa"/>
            <w:gridSpan w:val="3"/>
          </w:tcPr>
          <w:p w14:paraId="55E204B1" w14:textId="77777777" w:rsidR="00140CE3" w:rsidRDefault="00485BD2" w:rsidP="00C03A46">
            <w:pPr>
              <w:pStyle w:val="NormalWeb"/>
              <w:widowControl/>
              <w:spacing w:before="240" w:after="0" w:line="240" w:lineRule="auto"/>
              <w:ind w:firstLineChars="350" w:firstLine="840"/>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Non-Defect UiO-66</w:t>
            </w:r>
          </w:p>
        </w:tc>
      </w:tr>
      <w:tr w:rsidR="00140CE3" w14:paraId="44D76958" w14:textId="77777777" w:rsidTr="00C03A46">
        <w:tc>
          <w:tcPr>
            <w:tcW w:w="1560" w:type="dxa"/>
          </w:tcPr>
          <w:p w14:paraId="190BFA94"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418" w:type="dxa"/>
          </w:tcPr>
          <w:p w14:paraId="7B98B782"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ΔG(kJ/mol)</w:t>
            </w:r>
          </w:p>
        </w:tc>
        <w:tc>
          <w:tcPr>
            <w:tcW w:w="1417" w:type="dxa"/>
          </w:tcPr>
          <w:p w14:paraId="2CC4FBD3"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ΔH(kJ/mol)</w:t>
            </w:r>
          </w:p>
        </w:tc>
        <w:tc>
          <w:tcPr>
            <w:tcW w:w="1466" w:type="dxa"/>
          </w:tcPr>
          <w:p w14:paraId="1BFDA266"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ΔS(J/</w:t>
            </w:r>
            <w:proofErr w:type="spellStart"/>
            <w:r>
              <w:rPr>
                <w:rFonts w:ascii="Times New Roman" w:eastAsia="Segoe UI" w:hAnsi="Times New Roman" w:cs="Times New Roman"/>
                <w:lang w:eastAsia="zh-CN" w:bidi="ar"/>
              </w:rPr>
              <w:t>mol·K</w:t>
            </w:r>
            <w:proofErr w:type="spellEnd"/>
            <w:r>
              <w:rPr>
                <w:rFonts w:ascii="Times New Roman" w:eastAsia="Segoe UI" w:hAnsi="Times New Roman" w:cs="Times New Roman"/>
                <w:lang w:eastAsia="zh-CN" w:bidi="ar"/>
              </w:rPr>
              <w:t>)</w:t>
            </w:r>
          </w:p>
        </w:tc>
        <w:tc>
          <w:tcPr>
            <w:tcW w:w="1369" w:type="dxa"/>
          </w:tcPr>
          <w:p w14:paraId="6C4BE73D"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ΔG(kJ/mol)</w:t>
            </w:r>
          </w:p>
        </w:tc>
        <w:tc>
          <w:tcPr>
            <w:tcW w:w="1418" w:type="dxa"/>
          </w:tcPr>
          <w:p w14:paraId="36F2F43D"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ΔH(kJ/mol)</w:t>
            </w:r>
          </w:p>
        </w:tc>
        <w:tc>
          <w:tcPr>
            <w:tcW w:w="1534" w:type="dxa"/>
          </w:tcPr>
          <w:p w14:paraId="2190A35A" w14:textId="77777777" w:rsidR="00140CE3" w:rsidRDefault="00485BD2" w:rsidP="00C03A46">
            <w:pPr>
              <w:pStyle w:val="NormalWeb"/>
              <w:widowControl/>
              <w:spacing w:before="240" w:after="0" w:line="240" w:lineRule="auto"/>
              <w:rPr>
                <w:rFonts w:ascii="Times New Roman" w:eastAsia="Segoe UI" w:hAnsi="Times New Roman" w:cs="Times New Roman"/>
                <w:color w:val="0F1115"/>
                <w:shd w:val="clear" w:color="auto" w:fill="FFFFFF"/>
              </w:rPr>
            </w:pPr>
            <w:r>
              <w:rPr>
                <w:rFonts w:ascii="Times New Roman" w:eastAsia="Segoe UI" w:hAnsi="Times New Roman" w:cs="Times New Roman"/>
                <w:lang w:eastAsia="zh-CN" w:bidi="ar"/>
              </w:rPr>
              <w:t>ΔS(J/</w:t>
            </w:r>
            <w:proofErr w:type="spellStart"/>
            <w:r>
              <w:rPr>
                <w:rFonts w:ascii="Times New Roman" w:eastAsia="Segoe UI" w:hAnsi="Times New Roman" w:cs="Times New Roman"/>
                <w:lang w:eastAsia="zh-CN" w:bidi="ar"/>
              </w:rPr>
              <w:t>mol·K</w:t>
            </w:r>
            <w:proofErr w:type="spellEnd"/>
            <w:r>
              <w:rPr>
                <w:rFonts w:ascii="Times New Roman" w:eastAsia="Segoe UI" w:hAnsi="Times New Roman" w:cs="Times New Roman"/>
                <w:lang w:eastAsia="zh-CN" w:bidi="ar"/>
              </w:rPr>
              <w:t>)</w:t>
            </w:r>
          </w:p>
        </w:tc>
      </w:tr>
      <w:tr w:rsidR="00140CE3" w14:paraId="6D61CF3B" w14:textId="77777777" w:rsidTr="00C03A46">
        <w:tc>
          <w:tcPr>
            <w:tcW w:w="1560" w:type="dxa"/>
            <w:shd w:val="clear" w:color="auto" w:fill="auto"/>
            <w:vAlign w:val="center"/>
          </w:tcPr>
          <w:p w14:paraId="16F130E9"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303</w:t>
            </w:r>
          </w:p>
        </w:tc>
        <w:tc>
          <w:tcPr>
            <w:tcW w:w="1418" w:type="dxa"/>
            <w:shd w:val="clear" w:color="auto" w:fill="auto"/>
            <w:vAlign w:val="center"/>
          </w:tcPr>
          <w:p w14:paraId="3DEE0940"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-0.0514</w:t>
            </w:r>
          </w:p>
        </w:tc>
        <w:tc>
          <w:tcPr>
            <w:tcW w:w="1417" w:type="dxa"/>
            <w:shd w:val="clear" w:color="auto" w:fill="auto"/>
            <w:vAlign w:val="center"/>
          </w:tcPr>
          <w:p w14:paraId="6FE5B556"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-5.8306</w:t>
            </w:r>
          </w:p>
        </w:tc>
        <w:tc>
          <w:tcPr>
            <w:tcW w:w="1466" w:type="dxa"/>
            <w:shd w:val="clear" w:color="auto" w:fill="auto"/>
            <w:vAlign w:val="center"/>
          </w:tcPr>
          <w:p w14:paraId="5A6AA352"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6.6470</w:t>
            </w:r>
          </w:p>
        </w:tc>
        <w:tc>
          <w:tcPr>
            <w:tcW w:w="1369" w:type="dxa"/>
            <w:shd w:val="clear" w:color="auto" w:fill="auto"/>
            <w:vAlign w:val="center"/>
          </w:tcPr>
          <w:p w14:paraId="48085D07"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-0.0516</w:t>
            </w:r>
          </w:p>
        </w:tc>
        <w:tc>
          <w:tcPr>
            <w:tcW w:w="1418" w:type="dxa"/>
            <w:shd w:val="clear" w:color="auto" w:fill="auto"/>
            <w:vAlign w:val="center"/>
          </w:tcPr>
          <w:p w14:paraId="03E5A007"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-10.5787</w:t>
            </w:r>
          </w:p>
        </w:tc>
        <w:tc>
          <w:tcPr>
            <w:tcW w:w="1534" w:type="dxa"/>
            <w:shd w:val="clear" w:color="auto" w:fill="auto"/>
            <w:vAlign w:val="center"/>
          </w:tcPr>
          <w:p w14:paraId="1B38CECA"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7.3953</w:t>
            </w:r>
          </w:p>
        </w:tc>
      </w:tr>
      <w:tr w:rsidR="00140CE3" w14:paraId="4278B9ED" w14:textId="77777777" w:rsidTr="00C03A46">
        <w:tc>
          <w:tcPr>
            <w:tcW w:w="1560" w:type="dxa"/>
            <w:shd w:val="clear" w:color="auto" w:fill="auto"/>
            <w:vAlign w:val="center"/>
          </w:tcPr>
          <w:p w14:paraId="5C57FEF2"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313</w:t>
            </w:r>
          </w:p>
        </w:tc>
        <w:tc>
          <w:tcPr>
            <w:tcW w:w="1418" w:type="dxa"/>
            <w:shd w:val="clear" w:color="auto" w:fill="auto"/>
            <w:vAlign w:val="center"/>
          </w:tcPr>
          <w:p w14:paraId="36DC7523"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-0.0529</w:t>
            </w:r>
          </w:p>
        </w:tc>
        <w:tc>
          <w:tcPr>
            <w:tcW w:w="1417" w:type="dxa"/>
          </w:tcPr>
          <w:p w14:paraId="428696C8"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466" w:type="dxa"/>
          </w:tcPr>
          <w:p w14:paraId="4053530B"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369" w:type="dxa"/>
            <w:shd w:val="clear" w:color="auto" w:fill="auto"/>
            <w:vAlign w:val="center"/>
          </w:tcPr>
          <w:p w14:paraId="57A5A569"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-0.0529</w:t>
            </w:r>
          </w:p>
        </w:tc>
        <w:tc>
          <w:tcPr>
            <w:tcW w:w="1418" w:type="dxa"/>
          </w:tcPr>
          <w:p w14:paraId="08C793E0"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534" w:type="dxa"/>
          </w:tcPr>
          <w:p w14:paraId="6B80ACF9"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r>
      <w:tr w:rsidR="00140CE3" w14:paraId="46CA562D" w14:textId="77777777" w:rsidTr="00C03A46">
        <w:tc>
          <w:tcPr>
            <w:tcW w:w="1560" w:type="dxa"/>
            <w:shd w:val="clear" w:color="auto" w:fill="auto"/>
            <w:vAlign w:val="center"/>
          </w:tcPr>
          <w:p w14:paraId="2C81A179"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323</w:t>
            </w:r>
          </w:p>
        </w:tc>
        <w:tc>
          <w:tcPr>
            <w:tcW w:w="1418" w:type="dxa"/>
            <w:shd w:val="clear" w:color="auto" w:fill="auto"/>
            <w:vAlign w:val="center"/>
          </w:tcPr>
          <w:p w14:paraId="041C79C6"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-0.0544</w:t>
            </w:r>
          </w:p>
        </w:tc>
        <w:tc>
          <w:tcPr>
            <w:tcW w:w="1417" w:type="dxa"/>
          </w:tcPr>
          <w:p w14:paraId="53785A19"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466" w:type="dxa"/>
          </w:tcPr>
          <w:p w14:paraId="4B2561A0"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369" w:type="dxa"/>
            <w:shd w:val="clear" w:color="auto" w:fill="auto"/>
            <w:vAlign w:val="center"/>
          </w:tcPr>
          <w:p w14:paraId="741F0A38"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-0.0543</w:t>
            </w:r>
          </w:p>
        </w:tc>
        <w:tc>
          <w:tcPr>
            <w:tcW w:w="1418" w:type="dxa"/>
          </w:tcPr>
          <w:p w14:paraId="65D7F10A"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534" w:type="dxa"/>
          </w:tcPr>
          <w:p w14:paraId="2846FFA6"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r>
      <w:tr w:rsidR="00140CE3" w14:paraId="3BA4ECDE" w14:textId="77777777" w:rsidTr="00C03A46">
        <w:tc>
          <w:tcPr>
            <w:tcW w:w="1560" w:type="dxa"/>
            <w:shd w:val="clear" w:color="auto" w:fill="auto"/>
            <w:vAlign w:val="center"/>
          </w:tcPr>
          <w:p w14:paraId="5B58D224"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333</w:t>
            </w:r>
          </w:p>
        </w:tc>
        <w:tc>
          <w:tcPr>
            <w:tcW w:w="1418" w:type="dxa"/>
            <w:shd w:val="clear" w:color="auto" w:fill="auto"/>
            <w:vAlign w:val="center"/>
          </w:tcPr>
          <w:p w14:paraId="79828817"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-0.0559</w:t>
            </w:r>
          </w:p>
        </w:tc>
        <w:tc>
          <w:tcPr>
            <w:tcW w:w="1417" w:type="dxa"/>
          </w:tcPr>
          <w:p w14:paraId="1FABD278"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466" w:type="dxa"/>
          </w:tcPr>
          <w:p w14:paraId="1DB5FFAA"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369" w:type="dxa"/>
            <w:shd w:val="clear" w:color="auto" w:fill="auto"/>
            <w:vAlign w:val="center"/>
          </w:tcPr>
          <w:p w14:paraId="6A1DEDD4"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-0.0556</w:t>
            </w:r>
          </w:p>
        </w:tc>
        <w:tc>
          <w:tcPr>
            <w:tcW w:w="1418" w:type="dxa"/>
          </w:tcPr>
          <w:p w14:paraId="1939CC63"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534" w:type="dxa"/>
          </w:tcPr>
          <w:p w14:paraId="5962BACB"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r>
      <w:tr w:rsidR="00140CE3" w14:paraId="2AD1D859" w14:textId="77777777" w:rsidTr="00C03A46">
        <w:tc>
          <w:tcPr>
            <w:tcW w:w="1560" w:type="dxa"/>
            <w:shd w:val="clear" w:color="auto" w:fill="auto"/>
            <w:vAlign w:val="center"/>
          </w:tcPr>
          <w:p w14:paraId="411FC270"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lastRenderedPageBreak/>
              <w:t>343</w:t>
            </w:r>
          </w:p>
        </w:tc>
        <w:tc>
          <w:tcPr>
            <w:tcW w:w="1418" w:type="dxa"/>
            <w:shd w:val="clear" w:color="auto" w:fill="auto"/>
            <w:vAlign w:val="center"/>
          </w:tcPr>
          <w:p w14:paraId="7A730898"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-0.0574</w:t>
            </w:r>
          </w:p>
        </w:tc>
        <w:tc>
          <w:tcPr>
            <w:tcW w:w="1417" w:type="dxa"/>
          </w:tcPr>
          <w:p w14:paraId="2A1D9B1E"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466" w:type="dxa"/>
          </w:tcPr>
          <w:p w14:paraId="4CD496F4"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369" w:type="dxa"/>
            <w:shd w:val="clear" w:color="auto" w:fill="auto"/>
            <w:vAlign w:val="center"/>
          </w:tcPr>
          <w:p w14:paraId="12AFEC4E" w14:textId="77777777" w:rsidR="00140CE3" w:rsidRDefault="00485BD2" w:rsidP="00C03A46">
            <w:pPr>
              <w:widowControl/>
              <w:spacing w:after="0" w:line="240" w:lineRule="auto"/>
              <w:rPr>
                <w:rFonts w:ascii="Times New Roman" w:eastAsia="Segoe UI" w:hAnsi="Times New Roman" w:cs="Times New Roman"/>
                <w:sz w:val="24"/>
                <w:szCs w:val="24"/>
              </w:rPr>
            </w:pPr>
            <w:r>
              <w:rPr>
                <w:rFonts w:ascii="Times New Roman" w:eastAsia="Segoe UI" w:hAnsi="Times New Roman" w:cs="Times New Roman"/>
                <w:sz w:val="24"/>
                <w:szCs w:val="24"/>
                <w:lang w:eastAsia="zh-CN" w:bidi="ar"/>
              </w:rPr>
              <w:t>-0.0570</w:t>
            </w:r>
          </w:p>
        </w:tc>
        <w:tc>
          <w:tcPr>
            <w:tcW w:w="1418" w:type="dxa"/>
          </w:tcPr>
          <w:p w14:paraId="020921C4"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c>
          <w:tcPr>
            <w:tcW w:w="1534" w:type="dxa"/>
          </w:tcPr>
          <w:p w14:paraId="3360FCDF" w14:textId="77777777" w:rsidR="00140CE3" w:rsidRDefault="00140CE3" w:rsidP="00C03A46">
            <w:pPr>
              <w:pStyle w:val="NormalWeb"/>
              <w:widowControl/>
              <w:spacing w:before="240" w:after="0" w:line="240" w:lineRule="auto"/>
              <w:rPr>
                <w:rFonts w:ascii="Times New Roman" w:eastAsia="Segoe UI" w:hAnsi="Times New Roman" w:cs="Times New Roman"/>
                <w:color w:val="0F1115"/>
                <w:shd w:val="clear" w:color="auto" w:fill="FFFFFF"/>
              </w:rPr>
            </w:pPr>
          </w:p>
        </w:tc>
      </w:tr>
    </w:tbl>
    <w:p w14:paraId="4F6596F0" w14:textId="77777777" w:rsidR="00140CE3" w:rsidRDefault="00485BD2">
      <w:pPr>
        <w:pStyle w:val="NormalWeb"/>
        <w:shd w:val="clear" w:color="auto" w:fill="FFFFFF"/>
        <w:spacing w:before="240" w:after="240"/>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3.5.4. Thermodynamic Mechanism and Implications</w:t>
      </w:r>
    </w:p>
    <w:p w14:paraId="075C4F68"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combination of negative ΔG (spontaneity), negative ΔH (exothermic), and positive ΔS (increased disorder) reveals that phenol adsorption onto both UiO-66 variants is driven by a synergistic interplay of enthalpic and entropic factors. The spontaneous nature of the process (negative ΔG) arises from the favorable combination of exothermic adsorption energy (negative ΔH) and the entropic gain from solvent displacement (positive ΔS). This enthalpy–entropy compensation is characteristic of adsorption processes in microporous materials where both energetic interactions and solvent reorganization contribute to the overall free energy change.</w:t>
      </w:r>
    </w:p>
    <w:p w14:paraId="7B5EF091" w14:textId="5D0D1C4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relatively small magnitude of all thermodynamic parameters confirms that physical forces govern the adsorption mechanism. These forces likely include: (</w:t>
      </w:r>
      <w:proofErr w:type="spellStart"/>
      <w:r>
        <w:rPr>
          <w:rFonts w:ascii="Times New Roman" w:eastAsia="Segoe UI" w:hAnsi="Times New Roman" w:cs="Times New Roman"/>
          <w:color w:val="0F1115"/>
          <w:shd w:val="clear" w:color="auto" w:fill="FFFFFF"/>
        </w:rPr>
        <w:t>i</w:t>
      </w:r>
      <w:proofErr w:type="spellEnd"/>
      <w:r>
        <w:rPr>
          <w:rFonts w:ascii="Times New Roman" w:eastAsia="Segoe UI" w:hAnsi="Times New Roman" w:cs="Times New Roman"/>
          <w:color w:val="0F1115"/>
          <w:shd w:val="clear" w:color="auto" w:fill="FFFFFF"/>
        </w:rPr>
        <w:t>) hydrogen bonding between phenol hydroxyl groups and the µ₃-OH groups of the zirconium clusters or the oxygen atoms of the carboxylate linkers; (ii) π–π stacking interactions between the aromatic ring of phenol and the phenyl rings of the terephthalate linkers; and (iii) van der Waals interactions within the confined pore spaces [4,1</w:t>
      </w:r>
      <w:r w:rsidR="008120F9">
        <w:rPr>
          <w:rFonts w:ascii="Times New Roman" w:eastAsia="Segoe UI" w:hAnsi="Times New Roman" w:cs="Times New Roman"/>
          <w:color w:val="0F1115"/>
          <w:shd w:val="clear" w:color="auto" w:fill="FFFFFF"/>
        </w:rPr>
        <w:t>6</w:t>
      </w:r>
      <w:r>
        <w:rPr>
          <w:rFonts w:ascii="Times New Roman" w:eastAsia="Segoe UI" w:hAnsi="Times New Roman" w:cs="Times New Roman"/>
          <w:color w:val="0F1115"/>
          <w:shd w:val="clear" w:color="auto" w:fill="FFFFFF"/>
        </w:rPr>
        <w:t>]. The absence of large ΔH values (&gt;40 kJ/mol) rules out chemisorption mechanisms involving the formation of strong chemical bonds.</w:t>
      </w:r>
    </w:p>
    <w:p w14:paraId="043FD5D4"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enhanced enthalpic favorability of the non-defective UiO-66 (-10.58 vs. -5.83 kJ/mol) suggests that its uniform pore structure provides more consistent and energetically favorable binding sites. This aligns with its superior performance at low concentrations (Table 1) and rapid equilibrium attainment (Table 4), where strong, accessible sites facilitate efficient pollutant capture. Conversely, the defective framework, while exhibiting weaker average binding energy, benefits from its hierarchical porosity and high site density, which enable excellent performance at minimal adsorbent dosage (Table 2) and under strongly acidic conditions (Table 5). These complementary attributes demonstrate that defect engineering provides a strategic tool for tailoring adsorption thermodynamics toward specific application scenarios.</w:t>
      </w:r>
    </w:p>
    <w:p w14:paraId="1FFACFE7"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Style w:val="Strong"/>
          <w:rFonts w:ascii="Times New Roman" w:eastAsia="Segoe UI" w:hAnsi="Times New Roman" w:cs="Times New Roman"/>
          <w:color w:val="0F1115"/>
          <w:shd w:val="clear" w:color="auto" w:fill="FFFFFF"/>
        </w:rPr>
        <w:t>3.5.5. Comparative Assessment with Literature</w:t>
      </w:r>
    </w:p>
    <w:p w14:paraId="740698FF" w14:textId="10C7F6CD"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The thermodynamic parameters obtained in this study are consistent with previously reported values for organic pollutant adsorption onto MOF-based adsorbents. Similar exothermic, spontaneous, and entropy-driven adsorption has been documented for phenol removal using </w:t>
      </w:r>
      <w:r>
        <w:rPr>
          <w:rFonts w:ascii="Times New Roman" w:eastAsia="Segoe UI" w:hAnsi="Times New Roman" w:cs="Times New Roman"/>
          <w:color w:val="0F1115"/>
          <w:shd w:val="clear" w:color="auto" w:fill="FFFFFF"/>
        </w:rPr>
        <w:lastRenderedPageBreak/>
        <w:t>various carbonaceous and MOF materials [4,1</w:t>
      </w:r>
      <w:r w:rsidR="008120F9">
        <w:rPr>
          <w:rFonts w:ascii="Times New Roman" w:eastAsia="Segoe UI" w:hAnsi="Times New Roman" w:cs="Times New Roman"/>
          <w:color w:val="0F1115"/>
          <w:shd w:val="clear" w:color="auto" w:fill="FFFFFF"/>
        </w:rPr>
        <w:t>6</w:t>
      </w:r>
      <w:r>
        <w:rPr>
          <w:rFonts w:ascii="Times New Roman" w:eastAsia="Segoe UI" w:hAnsi="Times New Roman" w:cs="Times New Roman"/>
          <w:color w:val="0F1115"/>
          <w:shd w:val="clear" w:color="auto" w:fill="FFFFFF"/>
        </w:rPr>
        <w:t>]. The ΔG values reported here (approximately -0.05 kJ/mol) reflect the relatively low equilibrium concentrations employed and the specific interactions between phenol and the UiO-66 framework. The ΔH values (-5.83 to -10.58 kJ/mol) are well within the physisorption range and comparable to those reported for phenol adsorption onto activated carbons and other porous materials [21]. The positive ΔS values (6.65–7.40 J/</w:t>
      </w:r>
      <w:proofErr w:type="spellStart"/>
      <w:r>
        <w:rPr>
          <w:rFonts w:ascii="Times New Roman" w:eastAsia="Segoe UI" w:hAnsi="Times New Roman" w:cs="Times New Roman"/>
          <w:color w:val="0F1115"/>
          <w:shd w:val="clear" w:color="auto" w:fill="FFFFFF"/>
        </w:rPr>
        <w:t>molK</w:t>
      </w:r>
      <w:proofErr w:type="spellEnd"/>
      <w:r>
        <w:rPr>
          <w:rFonts w:ascii="Times New Roman" w:eastAsia="Segoe UI" w:hAnsi="Times New Roman" w:cs="Times New Roman"/>
          <w:color w:val="0F1115"/>
          <w:shd w:val="clear" w:color="auto" w:fill="FFFFFF"/>
        </w:rPr>
        <w:t>) are consistent with solvent displacement mechanisms commonly invo</w:t>
      </w:r>
      <w:r w:rsidR="008C37E7">
        <w:rPr>
          <w:rFonts w:ascii="Times New Roman" w:eastAsia="Segoe UI" w:hAnsi="Times New Roman" w:cs="Times New Roman"/>
          <w:color w:val="0F1115"/>
          <w:shd w:val="clear" w:color="auto" w:fill="FFFFFF"/>
        </w:rPr>
        <w:t>lv</w:t>
      </w:r>
      <w:r>
        <w:rPr>
          <w:rFonts w:ascii="Times New Roman" w:eastAsia="Segoe UI" w:hAnsi="Times New Roman" w:cs="Times New Roman"/>
          <w:color w:val="0F1115"/>
          <w:shd w:val="clear" w:color="auto" w:fill="FFFFFF"/>
        </w:rPr>
        <w:t>ed for adsorption in aqueous systems [22,23].</w:t>
      </w:r>
    </w:p>
    <w:p w14:paraId="3C2864CD" w14:textId="77777777" w:rsidR="00140CE3" w:rsidRDefault="00485BD2" w:rsidP="008120F9">
      <w:pPr>
        <w:pStyle w:val="Heading1"/>
        <w:keepNext w:val="0"/>
        <w:keepLines w:val="0"/>
        <w:shd w:val="clear" w:color="auto" w:fill="FFFFFF"/>
        <w:spacing w:before="0" w:after="240" w:line="360" w:lineRule="auto"/>
        <w:jc w:val="both"/>
        <w:rPr>
          <w:rFonts w:eastAsia="Segoe UI" w:cs="Times New Roman"/>
          <w:bCs/>
          <w:color w:val="0F1115"/>
          <w:szCs w:val="24"/>
        </w:rPr>
      </w:pPr>
      <w:r>
        <w:rPr>
          <w:rFonts w:eastAsia="Segoe UI" w:cs="Times New Roman"/>
          <w:bCs/>
          <w:color w:val="0F1115"/>
          <w:szCs w:val="24"/>
          <w:shd w:val="clear" w:color="auto" w:fill="FFFFFF"/>
        </w:rPr>
        <w:t>4.0 CONCLUSION</w:t>
      </w:r>
    </w:p>
    <w:p w14:paraId="74AFD12E"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This investigation establishes fundamental structure–performance relationships governing phenol adsorption onto defect-engineered UiO-66 frameworks. Successful synthesis of both variants was confirmed through comprehensive characterization: FT-IR revealed uncoordinated carboxylate groups (~1685 cm⁻¹) characteristic of missing-linker defects in the defective sample; XRD confirmed preserved face-centered cubic topology with peak broadening indicating reduced crystallinity; nitrogen physisorption demonstrated hierarchical porosity generation (Type I/IV isotherm with hysteresis); and thermal analysis quantified the expected stability trade-off while confirming suitability for aqueous applications.</w:t>
      </w:r>
    </w:p>
    <w:p w14:paraId="17F8C135" w14:textId="3FB631A5"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Batch adsorption studies demonstrated exceptional performance from both adsorbents (&gt;95</w:t>
      </w:r>
      <w:r w:rsidR="00E8638C">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removal under all conditions). Non-defective UiO-66 exhibited superior performance at low concentrations (96.87</w:t>
      </w:r>
      <w:r w:rsidR="008C37E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at 10 mg/L) and rapid equilibrium attainment (30 min), attributable to uniform microporous architecture. Defective UiO-66 showed enhanced uptake at pH 1 (98.65</w:t>
      </w:r>
      <w:r w:rsidR="008C37E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and minimal dosage (97.43</w:t>
      </w:r>
      <w:r w:rsidR="008C37E7">
        <w:rPr>
          <w:rFonts w:ascii="Times New Roman" w:eastAsia="Segoe UI" w:hAnsi="Times New Roman" w:cs="Times New Roman"/>
          <w:color w:val="0F1115"/>
          <w:shd w:val="clear" w:color="auto" w:fill="FFFFFF"/>
        </w:rPr>
        <w:t xml:space="preserve"> </w:t>
      </w:r>
      <w:r>
        <w:rPr>
          <w:rFonts w:ascii="Times New Roman" w:eastAsia="Segoe UI" w:hAnsi="Times New Roman" w:cs="Times New Roman"/>
          <w:color w:val="0F1115"/>
          <w:shd w:val="clear" w:color="auto" w:fill="FFFFFF"/>
        </w:rPr>
        <w:t>% at 0.1 g), reflecting benefits of hierarchical porosity and defect-induced high-energy sites.</w:t>
      </w:r>
    </w:p>
    <w:p w14:paraId="3D18CC85" w14:textId="77777777" w:rsidR="00140CE3" w:rsidRDefault="00485BD2" w:rsidP="008120F9">
      <w:pPr>
        <w:pStyle w:val="NormalWeb"/>
        <w:shd w:val="clear" w:color="auto" w:fill="FFFFFF"/>
        <w:spacing w:before="240" w:after="24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 xml:space="preserve">Kinetic data conformed preferentially to pseudo-first-order models (R² ≈ 1.000), indicating physisorption dominance, though the defective framework additionally fitted </w:t>
      </w:r>
      <w:proofErr w:type="spellStart"/>
      <w:r>
        <w:rPr>
          <w:rFonts w:ascii="Times New Roman" w:eastAsia="Segoe UI" w:hAnsi="Times New Roman" w:cs="Times New Roman"/>
          <w:color w:val="0F1115"/>
          <w:shd w:val="clear" w:color="auto" w:fill="FFFFFF"/>
        </w:rPr>
        <w:t>Elovich</w:t>
      </w:r>
      <w:proofErr w:type="spellEnd"/>
      <w:r>
        <w:rPr>
          <w:rFonts w:ascii="Times New Roman" w:eastAsia="Segoe UI" w:hAnsi="Times New Roman" w:cs="Times New Roman"/>
          <w:color w:val="0F1115"/>
          <w:shd w:val="clear" w:color="auto" w:fill="FFFFFF"/>
        </w:rPr>
        <w:t xml:space="preserve"> and intraparticle diffusion models, reflecting site heterogeneity. Isotherm modeling yielded theoretically consistent parameters: non-defective UiO-66 aligned with Freundlich and Redlich-Peterson formalisms, while defective UiO-66 optimally fitted Langmuir and Temkin models, with comparable maximum adsorption capacities (4.89–4.96 mg/g). Thermodynamic analysis confirmed spontaneous (negative ΔG), exothermic (negative ΔH), and entropy-driven (positive ΔS) physisorption for both materials, with the non-defective framework exhibiting stronger adsorbate–adsorbent interactions (ΔH = -10.58 kJ/mol vs. -5.83 kJ/mol).</w:t>
      </w:r>
    </w:p>
    <w:p w14:paraId="7B6AE1FB" w14:textId="77777777" w:rsidR="00140CE3" w:rsidRDefault="00485BD2" w:rsidP="008120F9">
      <w:pPr>
        <w:pStyle w:val="NormalWeb"/>
        <w:shd w:val="clear" w:color="auto" w:fill="FFFFFF"/>
        <w:spacing w:before="240" w:after="0" w:line="360" w:lineRule="auto"/>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lastRenderedPageBreak/>
        <w:t>Defect engineering thus provides a strategic approach for tuning UiO-66 adsorption properties: defective frameworks suit high-temperature, minimal-dosage, and acidic conditions, while non-defective variants excel in rapid, ambient-temperature treatments requiring reliable low-concentration performance. These findings advance fundamental understanding of defective MOFs and support rational design of application-specific adsorbents for water purification.</w:t>
      </w:r>
    </w:p>
    <w:p w14:paraId="4E6C47F4" w14:textId="77777777" w:rsidR="00140CE3" w:rsidRDefault="00140CE3">
      <w:pPr>
        <w:pStyle w:val="Default"/>
        <w:jc w:val="both"/>
        <w:rPr>
          <w:rFonts w:ascii="Times New Roman" w:hAnsi="Times New Roman" w:cs="Times New Roman"/>
          <w:b/>
          <w:bCs/>
          <w:sz w:val="22"/>
          <w:szCs w:val="22"/>
        </w:rPr>
      </w:pPr>
    </w:p>
    <w:p w14:paraId="2B113987" w14:textId="77777777" w:rsidR="00140CE3" w:rsidRPr="003A7C28" w:rsidRDefault="00485BD2" w:rsidP="00C03A46">
      <w:pPr>
        <w:spacing w:after="0" w:line="240" w:lineRule="auto"/>
        <w:jc w:val="both"/>
        <w:rPr>
          <w:rFonts w:ascii="Times New Roman" w:eastAsia="Segoe UI" w:hAnsi="Times New Roman" w:cs="Times New Roman"/>
          <w:b/>
          <w:bCs/>
          <w:color w:val="0F1115"/>
          <w:sz w:val="24"/>
          <w:szCs w:val="24"/>
          <w:shd w:val="clear" w:color="auto" w:fill="FFFFFF"/>
        </w:rPr>
      </w:pPr>
      <w:r w:rsidRPr="003A7C28">
        <w:rPr>
          <w:rFonts w:ascii="Times New Roman" w:eastAsia="Segoe UI" w:hAnsi="Times New Roman" w:cs="Times New Roman"/>
          <w:b/>
          <w:bCs/>
          <w:color w:val="0F1115"/>
          <w:sz w:val="24"/>
          <w:szCs w:val="24"/>
          <w:shd w:val="clear" w:color="auto" w:fill="FFFFFF"/>
        </w:rPr>
        <w:t>ACKNOWLEDGEMENTS</w:t>
      </w:r>
    </w:p>
    <w:p w14:paraId="0E70AD18" w14:textId="22CD7A1B" w:rsidR="00E8638C" w:rsidRPr="008120F9" w:rsidRDefault="00485BD2" w:rsidP="008120F9">
      <w:pPr>
        <w:spacing w:after="0" w:line="276" w:lineRule="auto"/>
        <w:jc w:val="both"/>
        <w:rPr>
          <w:rStyle w:val="Strong"/>
          <w:rFonts w:ascii="Times New Roman" w:hAnsi="Times New Roman" w:cs="Times New Roman"/>
          <w:b w:val="0"/>
          <w:bCs w:val="0"/>
          <w:color w:val="000000"/>
          <w:sz w:val="24"/>
          <w:szCs w:val="24"/>
        </w:rPr>
      </w:pPr>
      <w:r>
        <w:rPr>
          <w:rFonts w:ascii="Times New Roman" w:eastAsia="Segoe UI" w:hAnsi="Times New Roman" w:cs="Times New Roman"/>
          <w:color w:val="0F1115"/>
          <w:sz w:val="24"/>
          <w:szCs w:val="24"/>
          <w:shd w:val="clear" w:color="auto" w:fill="FFFFFF"/>
        </w:rPr>
        <w:t>The authors gratefully acknowledge the financial support provided by the Institutional Based Research program of the Tertiary Education Trust Fund (</w:t>
      </w:r>
      <w:proofErr w:type="spellStart"/>
      <w:r>
        <w:rPr>
          <w:rFonts w:ascii="Times New Roman" w:eastAsia="Segoe UI" w:hAnsi="Times New Roman" w:cs="Times New Roman"/>
          <w:color w:val="0F1115"/>
          <w:sz w:val="24"/>
          <w:szCs w:val="24"/>
          <w:shd w:val="clear" w:color="auto" w:fill="FFFFFF"/>
        </w:rPr>
        <w:t>TETFund</w:t>
      </w:r>
      <w:proofErr w:type="spellEnd"/>
      <w:r>
        <w:rPr>
          <w:rFonts w:ascii="Times New Roman" w:eastAsia="Segoe UI" w:hAnsi="Times New Roman" w:cs="Times New Roman"/>
          <w:color w:val="0F1115"/>
          <w:sz w:val="24"/>
          <w:szCs w:val="24"/>
          <w:shd w:val="clear" w:color="auto" w:fill="FFFFFF"/>
        </w:rPr>
        <w:t>), Abuja, for funding this research work through the Office of Research and Development (ORD), University of Jos, Nigeria.</w:t>
      </w:r>
    </w:p>
    <w:p w14:paraId="1846BD4A" w14:textId="77777777" w:rsidR="00C03A46" w:rsidRDefault="00C03A46">
      <w:pPr>
        <w:pStyle w:val="NormalWeb"/>
        <w:shd w:val="clear" w:color="auto" w:fill="FFFFFF"/>
        <w:spacing w:after="240"/>
        <w:jc w:val="both"/>
        <w:rPr>
          <w:rStyle w:val="Strong"/>
          <w:rFonts w:ascii="Times New Roman" w:eastAsia="Segoe UI" w:hAnsi="Times New Roman" w:cs="Times New Roman"/>
          <w:color w:val="0F1115"/>
          <w:shd w:val="clear" w:color="auto" w:fill="FFFFFF"/>
        </w:rPr>
      </w:pPr>
    </w:p>
    <w:p w14:paraId="29C85F0C" w14:textId="77777777" w:rsidR="00470CAF" w:rsidRDefault="00470CAF">
      <w:pPr>
        <w:pStyle w:val="NormalWeb"/>
        <w:shd w:val="clear" w:color="auto" w:fill="FFFFFF"/>
        <w:spacing w:before="240" w:after="0"/>
        <w:jc w:val="both"/>
        <w:rPr>
          <w:rStyle w:val="Strong"/>
          <w:rFonts w:ascii="Times New Roman" w:eastAsia="Segoe UI" w:hAnsi="Times New Roman" w:cs="Times New Roman"/>
          <w:color w:val="0F1115"/>
          <w:shd w:val="clear" w:color="auto" w:fill="FFFFFF"/>
        </w:rPr>
      </w:pPr>
      <w:r w:rsidRPr="00470CAF">
        <w:rPr>
          <w:rStyle w:val="Strong"/>
          <w:rFonts w:ascii="Times New Roman" w:eastAsia="Segoe UI" w:hAnsi="Times New Roman" w:cs="Times New Roman"/>
          <w:color w:val="0F1115"/>
          <w:shd w:val="clear" w:color="auto" w:fill="FFFFFF"/>
        </w:rPr>
        <w:t>Disclaimer (Artificial intelligence)</w:t>
      </w:r>
      <w:r>
        <w:rPr>
          <w:rStyle w:val="Strong"/>
          <w:rFonts w:ascii="Times New Roman" w:eastAsia="Segoe UI" w:hAnsi="Times New Roman" w:cs="Times New Roman"/>
          <w:color w:val="0F1115"/>
          <w:shd w:val="clear" w:color="auto" w:fill="FFFFFF"/>
        </w:rPr>
        <w:t xml:space="preserve">: </w:t>
      </w:r>
    </w:p>
    <w:p w14:paraId="39C2A891" w14:textId="1C815C8D" w:rsidR="00140CE3" w:rsidRDefault="00485BD2">
      <w:pPr>
        <w:pStyle w:val="NormalWeb"/>
        <w:shd w:val="clear" w:color="auto" w:fill="FFFFFF"/>
        <w:spacing w:before="240" w:after="0"/>
        <w:jc w:val="both"/>
        <w:rPr>
          <w:rFonts w:ascii="Times New Roman" w:eastAsia="Segoe UI" w:hAnsi="Times New Roman" w:cs="Times New Roman"/>
          <w:color w:val="0F1115"/>
        </w:rPr>
      </w:pPr>
      <w:r>
        <w:rPr>
          <w:rFonts w:ascii="Times New Roman" w:eastAsia="Segoe UI" w:hAnsi="Times New Roman" w:cs="Times New Roman"/>
          <w:color w:val="0F1115"/>
          <w:shd w:val="clear" w:color="auto" w:fill="FFFFFF"/>
        </w:rPr>
        <w:t>The authors hereby declare that NO generative AI technologies such as Large Language Models (</w:t>
      </w:r>
      <w:proofErr w:type="spellStart"/>
      <w:r>
        <w:rPr>
          <w:rFonts w:ascii="Times New Roman" w:eastAsia="Segoe UI" w:hAnsi="Times New Roman" w:cs="Times New Roman"/>
          <w:color w:val="0F1115"/>
          <w:shd w:val="clear" w:color="auto" w:fill="FFFFFF"/>
        </w:rPr>
        <w:t>ChatGPT</w:t>
      </w:r>
      <w:proofErr w:type="spellEnd"/>
      <w:r>
        <w:rPr>
          <w:rFonts w:ascii="Times New Roman" w:eastAsia="Segoe UI" w:hAnsi="Times New Roman" w:cs="Times New Roman"/>
          <w:color w:val="0F1115"/>
          <w:shd w:val="clear" w:color="auto" w:fill="FFFFFF"/>
        </w:rPr>
        <w:t>, COPILOT, etc.) and text-to-image generators have been used during the writing or editing of this manuscript.</w:t>
      </w:r>
    </w:p>
    <w:p w14:paraId="751A82B6" w14:textId="77777777" w:rsidR="008120F9" w:rsidRDefault="008120F9">
      <w:pPr>
        <w:spacing w:after="0" w:line="360" w:lineRule="auto"/>
        <w:jc w:val="both"/>
        <w:rPr>
          <w:rFonts w:ascii="Times New Roman" w:hAnsi="Times New Roman" w:cs="Times New Roman"/>
          <w:b/>
          <w:bCs/>
          <w:kern w:val="2"/>
          <w:sz w:val="24"/>
          <w:szCs w:val="24"/>
          <w14:ligatures w14:val="standardContextual"/>
        </w:rPr>
      </w:pPr>
    </w:p>
    <w:p w14:paraId="369A569A" w14:textId="73072B71" w:rsidR="00140CE3" w:rsidRDefault="00485BD2">
      <w:pPr>
        <w:spacing w:after="0" w:line="360" w:lineRule="auto"/>
        <w:jc w:val="both"/>
        <w:rPr>
          <w:rFonts w:ascii="Times New Roman" w:hAnsi="Times New Roman" w:cs="Times New Roman"/>
          <w:color w:val="000000"/>
          <w:kern w:val="2"/>
          <w:sz w:val="27"/>
          <w:szCs w:val="27"/>
          <w14:ligatures w14:val="standardContextual"/>
        </w:rPr>
      </w:pPr>
      <w:r>
        <w:rPr>
          <w:rFonts w:ascii="Times New Roman" w:hAnsi="Times New Roman" w:cs="Times New Roman"/>
          <w:b/>
          <w:bCs/>
          <w:kern w:val="2"/>
          <w:sz w:val="24"/>
          <w:szCs w:val="24"/>
          <w14:ligatures w14:val="standardContextual"/>
        </w:rPr>
        <w:t>REFERENCES</w:t>
      </w:r>
    </w:p>
    <w:p w14:paraId="59F9214B"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Busca</w:t>
      </w:r>
      <w:proofErr w:type="spellEnd"/>
      <w:r>
        <w:rPr>
          <w:rFonts w:ascii="Times New Roman" w:eastAsia="Times New Roman" w:hAnsi="Times New Roman" w:cs="Times New Roman"/>
          <w:sz w:val="24"/>
          <w:szCs w:val="24"/>
        </w:rPr>
        <w:t xml:space="preserve">, G., Berardinelli, S., </w:t>
      </w:r>
      <w:proofErr w:type="spellStart"/>
      <w:r>
        <w:rPr>
          <w:rFonts w:ascii="Times New Roman" w:eastAsia="Times New Roman" w:hAnsi="Times New Roman" w:cs="Times New Roman"/>
          <w:sz w:val="24"/>
          <w:szCs w:val="24"/>
        </w:rPr>
        <w:t>Resini</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Arrighi</w:t>
      </w:r>
      <w:proofErr w:type="spellEnd"/>
      <w:r>
        <w:rPr>
          <w:rFonts w:ascii="Times New Roman" w:eastAsia="Times New Roman" w:hAnsi="Times New Roman" w:cs="Times New Roman"/>
          <w:sz w:val="24"/>
          <w:szCs w:val="24"/>
        </w:rPr>
        <w:t xml:space="preserve">, L. (2008). Technologies for the removal of phenol from fluid streams: a short review of recent developments. </w:t>
      </w:r>
      <w:r>
        <w:rPr>
          <w:rFonts w:ascii="Times New Roman" w:eastAsia="Times New Roman" w:hAnsi="Times New Roman" w:cs="Times New Roman"/>
          <w:i/>
          <w:iCs/>
          <w:sz w:val="24"/>
          <w:szCs w:val="24"/>
        </w:rPr>
        <w:t>Journal of Hazardous Materials</w:t>
      </w:r>
      <w:r>
        <w:rPr>
          <w:rFonts w:ascii="Times New Roman" w:eastAsia="Times New Roman" w:hAnsi="Times New Roman" w:cs="Times New Roman"/>
          <w:sz w:val="24"/>
          <w:szCs w:val="24"/>
        </w:rPr>
        <w:t>, 160(2-3), 265-288.</w:t>
      </w:r>
    </w:p>
    <w:p w14:paraId="457F21CC"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Guo, M., Wang, J., Wang, C., Strong, P. J., Jiang, P., Ok, Y. S., &amp; Wang, H. (2019). Carbon nanotube-grafted chitosan and its adsorption capacity for phenol in aqueous solution. </w:t>
      </w:r>
      <w:r>
        <w:rPr>
          <w:rFonts w:ascii="Times New Roman" w:eastAsia="Times New Roman" w:hAnsi="Times New Roman" w:cs="Times New Roman"/>
          <w:i/>
          <w:iCs/>
          <w:sz w:val="24"/>
          <w:szCs w:val="24"/>
        </w:rPr>
        <w:t>Science of the Total Environment</w:t>
      </w:r>
      <w:r>
        <w:rPr>
          <w:rFonts w:ascii="Times New Roman" w:eastAsia="Times New Roman" w:hAnsi="Times New Roman" w:cs="Times New Roman"/>
          <w:sz w:val="24"/>
          <w:szCs w:val="24"/>
        </w:rPr>
        <w:t>, 682, 340-347.</w:t>
      </w:r>
    </w:p>
    <w:p w14:paraId="39406A00"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Y., Qin, L., Cui, Y., Liu, W. F., Liu, X. G., &amp; Yang, Y. Z. (2020). A hydrophilic surface molecularly imprinted polymer on a spherical porous carbon support for selective phenol removal from coking wastewater. </w:t>
      </w:r>
      <w:r>
        <w:rPr>
          <w:rFonts w:ascii="Times New Roman" w:eastAsia="Times New Roman" w:hAnsi="Times New Roman" w:cs="Times New Roman"/>
          <w:i/>
          <w:iCs/>
          <w:sz w:val="24"/>
          <w:szCs w:val="24"/>
        </w:rPr>
        <w:t>New Carbon Materials</w:t>
      </w:r>
      <w:r>
        <w:rPr>
          <w:rFonts w:ascii="Times New Roman" w:eastAsia="Times New Roman" w:hAnsi="Times New Roman" w:cs="Times New Roman"/>
          <w:sz w:val="24"/>
          <w:szCs w:val="24"/>
        </w:rPr>
        <w:t>, 35(3), 220-231.</w:t>
      </w:r>
    </w:p>
    <w:p w14:paraId="772F4223"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B., Yang, F., Zou, Y., &amp; Peng, Y. (2014). Adsorption of phenol and p-nitrophenol from aqueous solutions on metal–organic frameworks: effect of hydrogen bonding. </w:t>
      </w:r>
      <w:r>
        <w:rPr>
          <w:rFonts w:ascii="Times New Roman" w:eastAsia="Times New Roman" w:hAnsi="Times New Roman" w:cs="Times New Roman"/>
          <w:i/>
          <w:iCs/>
          <w:sz w:val="24"/>
          <w:szCs w:val="24"/>
        </w:rPr>
        <w:t>Journal of Chemical &amp; Engineering Data</w:t>
      </w:r>
      <w:r>
        <w:rPr>
          <w:rFonts w:ascii="Times New Roman" w:eastAsia="Times New Roman" w:hAnsi="Times New Roman" w:cs="Times New Roman"/>
          <w:sz w:val="24"/>
          <w:szCs w:val="24"/>
        </w:rPr>
        <w:t>, 59(5), 1476-1482.</w:t>
      </w:r>
    </w:p>
    <w:p w14:paraId="6B092522"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Mohamed, M. H., </w:t>
      </w:r>
      <w:proofErr w:type="spellStart"/>
      <w:r>
        <w:rPr>
          <w:rFonts w:ascii="Times New Roman" w:eastAsia="Times New Roman" w:hAnsi="Times New Roman" w:cs="Times New Roman"/>
          <w:sz w:val="24"/>
          <w:szCs w:val="24"/>
        </w:rPr>
        <w:t>Udoetok</w:t>
      </w:r>
      <w:proofErr w:type="spellEnd"/>
      <w:r>
        <w:rPr>
          <w:rFonts w:ascii="Times New Roman" w:eastAsia="Times New Roman" w:hAnsi="Times New Roman" w:cs="Times New Roman"/>
          <w:sz w:val="24"/>
          <w:szCs w:val="24"/>
        </w:rPr>
        <w:t xml:space="preserve">, I. A., </w:t>
      </w:r>
      <w:proofErr w:type="spellStart"/>
      <w:r>
        <w:rPr>
          <w:rFonts w:ascii="Times New Roman" w:eastAsia="Times New Roman" w:hAnsi="Times New Roman" w:cs="Times New Roman"/>
          <w:sz w:val="24"/>
          <w:szCs w:val="24"/>
        </w:rPr>
        <w:t>Solgi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Steiger</w:t>
      </w:r>
      <w:proofErr w:type="spellEnd"/>
      <w:r>
        <w:rPr>
          <w:rFonts w:ascii="Times New Roman" w:eastAsia="Times New Roman" w:hAnsi="Times New Roman" w:cs="Times New Roman"/>
          <w:sz w:val="24"/>
          <w:szCs w:val="24"/>
        </w:rPr>
        <w:t xml:space="preserve">, B. G., Zhou, Z., &amp; Wilson, L. D. (2022). Design of sustainable biomaterial composite adsorbents for point-of-use removal of lead ions from water. </w:t>
      </w:r>
      <w:r>
        <w:rPr>
          <w:rFonts w:ascii="Times New Roman" w:eastAsia="Times New Roman" w:hAnsi="Times New Roman" w:cs="Times New Roman"/>
          <w:i/>
          <w:iCs/>
          <w:sz w:val="24"/>
          <w:szCs w:val="24"/>
        </w:rPr>
        <w:t>Frontiers in Water</w:t>
      </w:r>
      <w:r>
        <w:rPr>
          <w:rFonts w:ascii="Times New Roman" w:eastAsia="Times New Roman" w:hAnsi="Times New Roman" w:cs="Times New Roman"/>
          <w:sz w:val="24"/>
          <w:szCs w:val="24"/>
        </w:rPr>
        <w:t>, 4, 739492.</w:t>
      </w:r>
    </w:p>
    <w:p w14:paraId="58E28342"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L., Pan, W., Li, K., Chen, M., Li, P., Liu, Y., ... &amp; Lu, H. (2025). University of Oslo-66: A Versatile Zr-Based MOF for Water Purification Through Adsorption and Photocatalysis. </w:t>
      </w:r>
      <w:r>
        <w:rPr>
          <w:rFonts w:ascii="Times New Roman" w:eastAsia="Times New Roman" w:hAnsi="Times New Roman" w:cs="Times New Roman"/>
          <w:i/>
          <w:iCs/>
          <w:sz w:val="24"/>
          <w:szCs w:val="24"/>
        </w:rPr>
        <w:t>Processes</w:t>
      </w:r>
      <w:r>
        <w:rPr>
          <w:rFonts w:ascii="Times New Roman" w:eastAsia="Times New Roman" w:hAnsi="Times New Roman" w:cs="Times New Roman"/>
          <w:sz w:val="24"/>
          <w:szCs w:val="24"/>
        </w:rPr>
        <w:t>, 13(4), 1133.</w:t>
      </w:r>
    </w:p>
    <w:p w14:paraId="04D26933"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Xie</w:t>
      </w:r>
      <w:proofErr w:type="spellEnd"/>
      <w:r>
        <w:rPr>
          <w:rFonts w:ascii="Times New Roman" w:eastAsia="Times New Roman" w:hAnsi="Times New Roman" w:cs="Times New Roman"/>
          <w:sz w:val="24"/>
          <w:szCs w:val="24"/>
        </w:rPr>
        <w:t xml:space="preserve">, K., Shan, C., Qi, J., </w:t>
      </w:r>
      <w:proofErr w:type="spellStart"/>
      <w:r>
        <w:rPr>
          <w:rFonts w:ascii="Times New Roman" w:eastAsia="Times New Roman" w:hAnsi="Times New Roman" w:cs="Times New Roman"/>
          <w:sz w:val="24"/>
          <w:szCs w:val="24"/>
        </w:rPr>
        <w:t>Qiao</w:t>
      </w:r>
      <w:proofErr w:type="spellEnd"/>
      <w:r>
        <w:rPr>
          <w:rFonts w:ascii="Times New Roman" w:eastAsia="Times New Roman" w:hAnsi="Times New Roman" w:cs="Times New Roman"/>
          <w:sz w:val="24"/>
          <w:szCs w:val="24"/>
        </w:rPr>
        <w:t xml:space="preserve">, S., Zeng, Q., &amp; Zhang, L. (2015). Study of adsorptive removal of phenol by MOF-5. </w:t>
      </w:r>
      <w:r>
        <w:rPr>
          <w:rFonts w:ascii="Times New Roman" w:eastAsia="Times New Roman" w:hAnsi="Times New Roman" w:cs="Times New Roman"/>
          <w:i/>
          <w:iCs/>
          <w:sz w:val="24"/>
          <w:szCs w:val="24"/>
        </w:rPr>
        <w:t>Desalination and Water Treatment</w:t>
      </w:r>
      <w:r>
        <w:rPr>
          <w:rFonts w:ascii="Times New Roman" w:eastAsia="Times New Roman" w:hAnsi="Times New Roman" w:cs="Times New Roman"/>
          <w:sz w:val="24"/>
          <w:szCs w:val="24"/>
        </w:rPr>
        <w:t>, 54(3), 654-659.</w:t>
      </w:r>
    </w:p>
    <w:p w14:paraId="171A846C"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Nath, K., Wright, K. R., Ahmed, A., Siegel, D. J., &amp; </w:t>
      </w:r>
      <w:proofErr w:type="spellStart"/>
      <w:r>
        <w:rPr>
          <w:rFonts w:ascii="Times New Roman" w:eastAsia="Times New Roman" w:hAnsi="Times New Roman" w:cs="Times New Roman"/>
          <w:sz w:val="24"/>
          <w:szCs w:val="24"/>
        </w:rPr>
        <w:t>Matzger</w:t>
      </w:r>
      <w:proofErr w:type="spellEnd"/>
      <w:r>
        <w:rPr>
          <w:rFonts w:ascii="Times New Roman" w:eastAsia="Times New Roman" w:hAnsi="Times New Roman" w:cs="Times New Roman"/>
          <w:sz w:val="24"/>
          <w:szCs w:val="24"/>
        </w:rPr>
        <w:t xml:space="preserve">, A. J. (2024). Adsorption of natural gas in metal–organic frameworks: selectivity, cyclability, and comparison to methane adsorption. </w:t>
      </w:r>
      <w:r>
        <w:rPr>
          <w:rFonts w:ascii="Times New Roman" w:eastAsia="Times New Roman" w:hAnsi="Times New Roman" w:cs="Times New Roman"/>
          <w:i/>
          <w:iCs/>
          <w:sz w:val="24"/>
          <w:szCs w:val="24"/>
        </w:rPr>
        <w:t>Journal of the American Chemical Society</w:t>
      </w:r>
      <w:r>
        <w:rPr>
          <w:rFonts w:ascii="Times New Roman" w:eastAsia="Times New Roman" w:hAnsi="Times New Roman" w:cs="Times New Roman"/>
          <w:sz w:val="24"/>
          <w:szCs w:val="24"/>
        </w:rPr>
        <w:t>, 146(15), 10517-10523.</w:t>
      </w:r>
    </w:p>
    <w:p w14:paraId="6F56F43B" w14:textId="77777777"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K., Li, Z., &amp; MacLachlan, M. J. (2024). Growth of metal organic frameworks on the surface of individual cellulose nanocrystals. </w:t>
      </w:r>
      <w:r>
        <w:rPr>
          <w:rFonts w:ascii="Times New Roman" w:eastAsia="Times New Roman" w:hAnsi="Times New Roman" w:cs="Times New Roman"/>
          <w:i/>
          <w:iCs/>
          <w:sz w:val="24"/>
          <w:szCs w:val="24"/>
        </w:rPr>
        <w:t>Crystal Growth &amp; Design</w:t>
      </w:r>
      <w:r>
        <w:rPr>
          <w:rFonts w:ascii="Times New Roman" w:eastAsia="Times New Roman" w:hAnsi="Times New Roman" w:cs="Times New Roman"/>
          <w:sz w:val="24"/>
          <w:szCs w:val="24"/>
        </w:rPr>
        <w:t>, 24(4), 1792-1797.</w:t>
      </w:r>
    </w:p>
    <w:p w14:paraId="52CDD4E3" w14:textId="77777777" w:rsidR="008120F9" w:rsidRPr="003A7C28" w:rsidRDefault="00485BD2" w:rsidP="003A7C28">
      <w:pPr>
        <w:pStyle w:val="ListParagraph"/>
        <w:numPr>
          <w:ilvl w:val="0"/>
          <w:numId w:val="2"/>
        </w:numPr>
        <w:spacing w:line="360" w:lineRule="auto"/>
        <w:jc w:val="both"/>
        <w:rPr>
          <w:rFonts w:ascii="Times New Roman" w:hAnsi="Times New Roman" w:cs="Times New Roman"/>
          <w:sz w:val="24"/>
          <w:szCs w:val="24"/>
        </w:rPr>
      </w:pPr>
      <w:r w:rsidRPr="003A7C28">
        <w:rPr>
          <w:rFonts w:ascii="Times New Roman" w:hAnsi="Times New Roman" w:cs="Times New Roman"/>
          <w:sz w:val="24"/>
          <w:szCs w:val="24"/>
        </w:rPr>
        <w:t xml:space="preserve"> </w:t>
      </w:r>
      <w:r w:rsidR="008120F9" w:rsidRPr="003A7C28">
        <w:rPr>
          <w:rFonts w:ascii="Times New Roman" w:hAnsi="Times New Roman" w:cs="Times New Roman"/>
          <w:sz w:val="24"/>
          <w:szCs w:val="24"/>
        </w:rPr>
        <w:t xml:space="preserve">Zhuang, S., &amp; Wang, J. (2021). Adsorptive removal of pharmaceutical pollutants by defective metal organic framework UiO-66: Insight into the contribution of defects. </w:t>
      </w:r>
      <w:r w:rsidR="008120F9" w:rsidRPr="003A7C28">
        <w:rPr>
          <w:rFonts w:ascii="Times New Roman" w:hAnsi="Times New Roman" w:cs="Times New Roman"/>
          <w:i/>
          <w:iCs/>
          <w:sz w:val="24"/>
          <w:szCs w:val="24"/>
        </w:rPr>
        <w:t>Chemosphere,</w:t>
      </w:r>
      <w:r w:rsidR="008120F9" w:rsidRPr="003A7C28">
        <w:rPr>
          <w:rFonts w:ascii="Times New Roman" w:hAnsi="Times New Roman" w:cs="Times New Roman"/>
          <w:sz w:val="24"/>
          <w:szCs w:val="24"/>
        </w:rPr>
        <w:t xml:space="preserve"> 281, 130997.</w:t>
      </w:r>
    </w:p>
    <w:p w14:paraId="75E462D5" w14:textId="3D6CE946" w:rsidR="00140CE3" w:rsidRDefault="00485BD2">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Katz, M. J., Brown, Z. J., Colón, Y. J., Siu, P. W., </w:t>
      </w:r>
      <w:proofErr w:type="spellStart"/>
      <w:r>
        <w:rPr>
          <w:rFonts w:ascii="Times New Roman" w:eastAsia="Times New Roman" w:hAnsi="Times New Roman" w:cs="Times New Roman"/>
          <w:sz w:val="24"/>
          <w:szCs w:val="24"/>
        </w:rPr>
        <w:t>Scheidt</w:t>
      </w:r>
      <w:proofErr w:type="spellEnd"/>
      <w:r>
        <w:rPr>
          <w:rFonts w:ascii="Times New Roman" w:eastAsia="Times New Roman" w:hAnsi="Times New Roman" w:cs="Times New Roman"/>
          <w:sz w:val="24"/>
          <w:szCs w:val="24"/>
        </w:rPr>
        <w:t xml:space="preserve">, K. A., </w:t>
      </w:r>
      <w:proofErr w:type="spellStart"/>
      <w:r>
        <w:rPr>
          <w:rFonts w:ascii="Times New Roman" w:eastAsia="Times New Roman" w:hAnsi="Times New Roman" w:cs="Times New Roman"/>
          <w:sz w:val="24"/>
          <w:szCs w:val="24"/>
        </w:rPr>
        <w:t>Snurr</w:t>
      </w:r>
      <w:proofErr w:type="spellEnd"/>
      <w:r>
        <w:rPr>
          <w:rFonts w:ascii="Times New Roman" w:eastAsia="Times New Roman" w:hAnsi="Times New Roman" w:cs="Times New Roman"/>
          <w:sz w:val="24"/>
          <w:szCs w:val="24"/>
        </w:rPr>
        <w:t xml:space="preserve">, R. Q., ... &amp; Farha, O. K. (2013). A facile synthesis of UiO-66, UiO-67 and their derivatives. </w:t>
      </w:r>
      <w:r>
        <w:rPr>
          <w:rFonts w:ascii="Times New Roman" w:eastAsia="Times New Roman" w:hAnsi="Times New Roman" w:cs="Times New Roman"/>
          <w:i/>
          <w:iCs/>
          <w:sz w:val="24"/>
          <w:szCs w:val="24"/>
        </w:rPr>
        <w:t>Chemical Communications</w:t>
      </w:r>
      <w:r>
        <w:rPr>
          <w:rFonts w:ascii="Times New Roman" w:eastAsia="Times New Roman" w:hAnsi="Times New Roman" w:cs="Times New Roman"/>
          <w:sz w:val="24"/>
          <w:szCs w:val="24"/>
        </w:rPr>
        <w:t>, 49(82), 9449-9451.</w:t>
      </w:r>
    </w:p>
    <w:p w14:paraId="55B078B1" w14:textId="77777777" w:rsidR="00140CE3" w:rsidRDefault="00485BD2">
      <w:pPr>
        <w:pStyle w:val="ListParagraph"/>
        <w:numPr>
          <w:ilvl w:val="0"/>
          <w:numId w:val="2"/>
        </w:numPr>
        <w:spacing w:after="0" w:line="360" w:lineRule="auto"/>
        <w:jc w:val="both"/>
        <w:rPr>
          <w:rFonts w:ascii="Times New Roman" w:hAnsi="Times New Roman" w:cs="Times New Roman"/>
          <w:color w:val="000000"/>
        </w:rPr>
      </w:pPr>
      <w:r>
        <w:rPr>
          <w:rFonts w:ascii="Times New Roman" w:hAnsi="Times New Roman" w:cs="Times New Roman"/>
          <w:color w:val="000000"/>
        </w:rPr>
        <w:t xml:space="preserve">Shearer, G. C., Chavan, S., </w:t>
      </w:r>
      <w:proofErr w:type="spellStart"/>
      <w:r>
        <w:rPr>
          <w:rFonts w:ascii="Times New Roman" w:hAnsi="Times New Roman" w:cs="Times New Roman"/>
          <w:color w:val="000000"/>
        </w:rPr>
        <w:t>Bordiga</w:t>
      </w:r>
      <w:proofErr w:type="spellEnd"/>
      <w:r>
        <w:rPr>
          <w:rFonts w:ascii="Times New Roman" w:hAnsi="Times New Roman" w:cs="Times New Roman"/>
          <w:color w:val="000000"/>
        </w:rPr>
        <w:t xml:space="preserve">, S., </w:t>
      </w:r>
      <w:proofErr w:type="spellStart"/>
      <w:r>
        <w:rPr>
          <w:rFonts w:ascii="Times New Roman" w:hAnsi="Times New Roman" w:cs="Times New Roman"/>
          <w:color w:val="000000"/>
        </w:rPr>
        <w:t>Svelle</w:t>
      </w:r>
      <w:proofErr w:type="spellEnd"/>
      <w:r>
        <w:rPr>
          <w:rFonts w:ascii="Times New Roman" w:hAnsi="Times New Roman" w:cs="Times New Roman"/>
          <w:color w:val="000000"/>
        </w:rPr>
        <w:t xml:space="preserve">, S., </w:t>
      </w:r>
      <w:proofErr w:type="spellStart"/>
      <w:r>
        <w:rPr>
          <w:rFonts w:ascii="Times New Roman" w:hAnsi="Times New Roman" w:cs="Times New Roman"/>
          <w:color w:val="000000"/>
        </w:rPr>
        <w:t>Olsbye</w:t>
      </w:r>
      <w:proofErr w:type="spellEnd"/>
      <w:r>
        <w:rPr>
          <w:rFonts w:ascii="Times New Roman" w:hAnsi="Times New Roman" w:cs="Times New Roman"/>
          <w:color w:val="000000"/>
        </w:rPr>
        <w:t xml:space="preserve">, U., &amp; </w:t>
      </w:r>
      <w:proofErr w:type="spellStart"/>
      <w:r>
        <w:rPr>
          <w:rFonts w:ascii="Times New Roman" w:hAnsi="Times New Roman" w:cs="Times New Roman"/>
          <w:color w:val="000000"/>
        </w:rPr>
        <w:t>Lillerud</w:t>
      </w:r>
      <w:proofErr w:type="spellEnd"/>
      <w:r>
        <w:rPr>
          <w:rFonts w:ascii="Times New Roman" w:hAnsi="Times New Roman" w:cs="Times New Roman"/>
          <w:color w:val="000000"/>
        </w:rPr>
        <w:t>, K. P. (2016). Defect engineering: Tuning the porosity and composition of the metal–organic framework UiO-66 via modulated synthesis. </w:t>
      </w:r>
      <w:r>
        <w:rPr>
          <w:rFonts w:ascii="Times New Roman" w:hAnsi="Times New Roman" w:cs="Times New Roman"/>
          <w:i/>
          <w:iCs/>
          <w:color w:val="000000"/>
        </w:rPr>
        <w:t>Chemistry of Materials</w:t>
      </w:r>
      <w:r>
        <w:rPr>
          <w:rFonts w:ascii="Times New Roman" w:hAnsi="Times New Roman" w:cs="Times New Roman"/>
          <w:color w:val="000000"/>
        </w:rPr>
        <w:t>, *28*(11), 3749–3761. </w:t>
      </w:r>
      <w:hyperlink r:id="rId15" w:tgtFrame="_blank" w:history="1">
        <w:r>
          <w:rPr>
            <w:rStyle w:val="Hyperlink"/>
            <w:rFonts w:ascii="Times New Roman" w:hAnsi="Times New Roman" w:cs="Times New Roman"/>
          </w:rPr>
          <w:t>https://doi.org/10.1021/acs.chemmater.6b00602</w:t>
        </w:r>
      </w:hyperlink>
    </w:p>
    <w:p w14:paraId="6E130D1E" w14:textId="73DA67B1" w:rsidR="00140CE3" w:rsidRDefault="00485BD2">
      <w:pPr>
        <w:pStyle w:val="ListParagraph"/>
        <w:numPr>
          <w:ilvl w:val="0"/>
          <w:numId w:val="2"/>
        </w:numPr>
        <w:spacing w:after="0" w:line="360" w:lineRule="auto"/>
        <w:jc w:val="both"/>
        <w:rPr>
          <w:rFonts w:ascii="Times New Roman" w:hAnsi="Times New Roman" w:cs="Times New Roman"/>
          <w:color w:val="000000"/>
        </w:rPr>
      </w:pPr>
      <w:r>
        <w:rPr>
          <w:rFonts w:ascii="Times New Roman" w:hAnsi="Times New Roman" w:cs="Times New Roman"/>
          <w:color w:val="000000"/>
        </w:rPr>
        <w:t xml:space="preserve">Valenzano, L., </w:t>
      </w:r>
      <w:proofErr w:type="spellStart"/>
      <w:r>
        <w:rPr>
          <w:rFonts w:ascii="Times New Roman" w:hAnsi="Times New Roman" w:cs="Times New Roman"/>
          <w:color w:val="000000"/>
        </w:rPr>
        <w:t>Civalleri</w:t>
      </w:r>
      <w:proofErr w:type="spellEnd"/>
      <w:r>
        <w:rPr>
          <w:rFonts w:ascii="Times New Roman" w:hAnsi="Times New Roman" w:cs="Times New Roman"/>
          <w:color w:val="000000"/>
        </w:rPr>
        <w:t xml:space="preserve">, B., Chavan, S., </w:t>
      </w:r>
      <w:proofErr w:type="spellStart"/>
      <w:r>
        <w:rPr>
          <w:rFonts w:ascii="Times New Roman" w:hAnsi="Times New Roman" w:cs="Times New Roman"/>
          <w:color w:val="000000"/>
        </w:rPr>
        <w:t>Bordiga</w:t>
      </w:r>
      <w:proofErr w:type="spellEnd"/>
      <w:r>
        <w:rPr>
          <w:rFonts w:ascii="Times New Roman" w:hAnsi="Times New Roman" w:cs="Times New Roman"/>
          <w:color w:val="000000"/>
        </w:rPr>
        <w:t xml:space="preserve">, S., Nilsen, M. H., Jakobsen, S., </w:t>
      </w:r>
      <w:proofErr w:type="spellStart"/>
      <w:r>
        <w:rPr>
          <w:rFonts w:ascii="Times New Roman" w:hAnsi="Times New Roman" w:cs="Times New Roman"/>
          <w:color w:val="000000"/>
        </w:rPr>
        <w:t>Lillerud</w:t>
      </w:r>
      <w:proofErr w:type="spellEnd"/>
      <w:r>
        <w:rPr>
          <w:rFonts w:ascii="Times New Roman" w:hAnsi="Times New Roman" w:cs="Times New Roman"/>
          <w:color w:val="000000"/>
        </w:rPr>
        <w:t>, K. P., &amp; Lamberti, C. (2011). Disclosing the complex structure of UiO-66 metal–organic framework: A synchrotron powder diffraction study. </w:t>
      </w:r>
      <w:r>
        <w:rPr>
          <w:rFonts w:ascii="Times New Roman" w:hAnsi="Times New Roman" w:cs="Times New Roman"/>
          <w:i/>
          <w:iCs/>
          <w:color w:val="000000"/>
        </w:rPr>
        <w:t>Chemistry of Materials</w:t>
      </w:r>
      <w:r>
        <w:rPr>
          <w:rFonts w:ascii="Times New Roman" w:hAnsi="Times New Roman" w:cs="Times New Roman"/>
          <w:color w:val="000000"/>
        </w:rPr>
        <w:t>, 23(7), 1700–1718. </w:t>
      </w:r>
      <w:hyperlink r:id="rId16" w:tgtFrame="_blank" w:history="1">
        <w:r>
          <w:rPr>
            <w:rStyle w:val="Hyperlink"/>
            <w:rFonts w:ascii="Times New Roman" w:hAnsi="Times New Roman" w:cs="Times New Roman"/>
          </w:rPr>
          <w:t>https://doi.org/10.1021/cm1022882</w:t>
        </w:r>
      </w:hyperlink>
      <w:r>
        <w:rPr>
          <w:rFonts w:ascii="Times New Roman" w:hAnsi="Times New Roman" w:cs="Times New Roman"/>
          <w:color w:val="000000"/>
        </w:rPr>
        <w:t>.</w:t>
      </w:r>
    </w:p>
    <w:p w14:paraId="6BEB2A89" w14:textId="77777777" w:rsidR="00140CE3" w:rsidRDefault="00140CE3">
      <w:pPr>
        <w:spacing w:after="0" w:line="360" w:lineRule="auto"/>
        <w:jc w:val="both"/>
        <w:rPr>
          <w:rFonts w:ascii="Times New Roman" w:hAnsi="Times New Roman" w:cs="Times New Roman"/>
          <w:color w:val="000000"/>
        </w:rPr>
      </w:pPr>
    </w:p>
    <w:p w14:paraId="37CBC6AD" w14:textId="77777777" w:rsidR="00140CE3" w:rsidRDefault="00485BD2">
      <w:pPr>
        <w:pStyle w:val="ListParagraph"/>
        <w:numPr>
          <w:ilvl w:val="0"/>
          <w:numId w:val="2"/>
        </w:numPr>
        <w:spacing w:after="0" w:line="360" w:lineRule="auto"/>
        <w:jc w:val="both"/>
        <w:rPr>
          <w:rStyle w:val="Hyperlink"/>
          <w:rFonts w:ascii="Times New Roman" w:hAnsi="Times New Roman" w:cs="Times New Roman"/>
        </w:rPr>
      </w:pPr>
      <w:r>
        <w:rPr>
          <w:rFonts w:ascii="Times New Roman" w:hAnsi="Times New Roman" w:cs="Times New Roman"/>
          <w:color w:val="000000"/>
        </w:rPr>
        <w:t xml:space="preserve">Cliffe, M. J., Wan, W., Zou, X., </w:t>
      </w:r>
      <w:proofErr w:type="spellStart"/>
      <w:r>
        <w:rPr>
          <w:rFonts w:ascii="Times New Roman" w:hAnsi="Times New Roman" w:cs="Times New Roman"/>
          <w:color w:val="000000"/>
        </w:rPr>
        <w:t>Chater</w:t>
      </w:r>
      <w:proofErr w:type="spellEnd"/>
      <w:r>
        <w:rPr>
          <w:rFonts w:ascii="Times New Roman" w:hAnsi="Times New Roman" w:cs="Times New Roman"/>
          <w:color w:val="000000"/>
        </w:rPr>
        <w:t>, P. A., Kleppe, A. K., Tucker, M. G., ... &amp; Goodwin, A. L. (2014). Correlated defect nanoregions in a metal–organic framework. </w:t>
      </w:r>
      <w:r>
        <w:rPr>
          <w:rFonts w:ascii="Times New Roman" w:hAnsi="Times New Roman" w:cs="Times New Roman"/>
          <w:i/>
          <w:iCs/>
          <w:color w:val="000000"/>
        </w:rPr>
        <w:t>Nature Communications</w:t>
      </w:r>
      <w:r>
        <w:rPr>
          <w:rFonts w:ascii="Times New Roman" w:hAnsi="Times New Roman" w:cs="Times New Roman"/>
          <w:color w:val="000000"/>
        </w:rPr>
        <w:t>, *5*(1), 4176. </w:t>
      </w:r>
      <w:hyperlink r:id="rId17" w:tgtFrame="_blank" w:history="1">
        <w:r>
          <w:rPr>
            <w:rStyle w:val="Hyperlink"/>
            <w:rFonts w:ascii="Times New Roman" w:hAnsi="Times New Roman" w:cs="Times New Roman"/>
          </w:rPr>
          <w:t>https://doi.org/10.1038/ncomms5176</w:t>
        </w:r>
      </w:hyperlink>
    </w:p>
    <w:p w14:paraId="1F91ACE5" w14:textId="77777777" w:rsidR="00140CE3" w:rsidRDefault="00140CE3">
      <w:pPr>
        <w:spacing w:after="0" w:line="360" w:lineRule="auto"/>
        <w:jc w:val="both"/>
        <w:rPr>
          <w:rStyle w:val="Hyperlink"/>
          <w:rFonts w:ascii="Times New Roman" w:hAnsi="Times New Roman" w:cs="Times New Roman"/>
        </w:rPr>
      </w:pPr>
    </w:p>
    <w:p w14:paraId="32A2A30F" w14:textId="77777777" w:rsidR="00140CE3" w:rsidRDefault="00485BD2">
      <w:pPr>
        <w:pStyle w:val="ListParagraph"/>
        <w:numPr>
          <w:ilvl w:val="0"/>
          <w:numId w:val="2"/>
        </w:numPr>
        <w:spacing w:after="0" w:line="360" w:lineRule="auto"/>
        <w:jc w:val="both"/>
        <w:rPr>
          <w:rFonts w:ascii="Times New Roman" w:hAnsi="Times New Roman" w:cs="Times New Roman"/>
          <w:color w:val="000000"/>
        </w:rPr>
      </w:pPr>
      <w:proofErr w:type="spellStart"/>
      <w:r>
        <w:rPr>
          <w:rFonts w:ascii="Times New Roman" w:hAnsi="Times New Roman" w:cs="Times New Roman"/>
          <w:color w:val="000000"/>
        </w:rPr>
        <w:t>Thommes</w:t>
      </w:r>
      <w:proofErr w:type="spellEnd"/>
      <w:r>
        <w:rPr>
          <w:rFonts w:ascii="Times New Roman" w:hAnsi="Times New Roman" w:cs="Times New Roman"/>
          <w:color w:val="000000"/>
        </w:rPr>
        <w:t xml:space="preserve">, M., Kaneko, K., </w:t>
      </w:r>
      <w:proofErr w:type="spellStart"/>
      <w:r>
        <w:rPr>
          <w:rFonts w:ascii="Times New Roman" w:hAnsi="Times New Roman" w:cs="Times New Roman"/>
          <w:color w:val="000000"/>
        </w:rPr>
        <w:t>Neimark</w:t>
      </w:r>
      <w:proofErr w:type="spellEnd"/>
      <w:r>
        <w:rPr>
          <w:rFonts w:ascii="Times New Roman" w:hAnsi="Times New Roman" w:cs="Times New Roman"/>
          <w:color w:val="000000"/>
        </w:rPr>
        <w:t>, A. V., Olivier, J. P., Rodriguez-</w:t>
      </w:r>
      <w:proofErr w:type="spellStart"/>
      <w:r>
        <w:rPr>
          <w:rFonts w:ascii="Times New Roman" w:hAnsi="Times New Roman" w:cs="Times New Roman"/>
          <w:color w:val="000000"/>
        </w:rPr>
        <w:t>Reinoso</w:t>
      </w:r>
      <w:proofErr w:type="spellEnd"/>
      <w:r>
        <w:rPr>
          <w:rFonts w:ascii="Times New Roman" w:hAnsi="Times New Roman" w:cs="Times New Roman"/>
          <w:color w:val="000000"/>
        </w:rPr>
        <w:t xml:space="preserve">, F., </w:t>
      </w:r>
      <w:proofErr w:type="spellStart"/>
      <w:r>
        <w:rPr>
          <w:rFonts w:ascii="Times New Roman" w:hAnsi="Times New Roman" w:cs="Times New Roman"/>
          <w:color w:val="000000"/>
        </w:rPr>
        <w:t>Rouquerol</w:t>
      </w:r>
      <w:proofErr w:type="spellEnd"/>
      <w:r>
        <w:rPr>
          <w:rFonts w:ascii="Times New Roman" w:hAnsi="Times New Roman" w:cs="Times New Roman"/>
          <w:color w:val="000000"/>
        </w:rPr>
        <w:t>, J., &amp; Sing, K. S. (2015). Physisorption of gases, with special reference to the evaluation of surface area and pore size distribution (IUPAC Technical Report). </w:t>
      </w:r>
      <w:r>
        <w:rPr>
          <w:rFonts w:ascii="Times New Roman" w:hAnsi="Times New Roman" w:cs="Times New Roman"/>
          <w:i/>
          <w:iCs/>
          <w:color w:val="000000"/>
        </w:rPr>
        <w:t>Pure and Applied Chemistry</w:t>
      </w:r>
      <w:r>
        <w:rPr>
          <w:rFonts w:ascii="Times New Roman" w:hAnsi="Times New Roman" w:cs="Times New Roman"/>
          <w:color w:val="000000"/>
        </w:rPr>
        <w:t>, 87(9-10), 1051–1069. </w:t>
      </w:r>
      <w:hyperlink r:id="rId18" w:tgtFrame="_blank" w:history="1">
        <w:r>
          <w:rPr>
            <w:rStyle w:val="Hyperlink"/>
            <w:rFonts w:ascii="Times New Roman" w:hAnsi="Times New Roman" w:cs="Times New Roman"/>
          </w:rPr>
          <w:t>https://doi.org/10.1515/pac-2014-1117</w:t>
        </w:r>
      </w:hyperlink>
      <w:r>
        <w:rPr>
          <w:rFonts w:ascii="Times New Roman" w:hAnsi="Times New Roman" w:cs="Times New Roman"/>
          <w:color w:val="000000"/>
        </w:rPr>
        <w:t>.</w:t>
      </w:r>
    </w:p>
    <w:p w14:paraId="2456566F" w14:textId="77777777" w:rsidR="00140CE3" w:rsidRDefault="00140CE3">
      <w:pPr>
        <w:spacing w:after="0" w:line="360" w:lineRule="auto"/>
        <w:jc w:val="both"/>
        <w:rPr>
          <w:rFonts w:ascii="Times New Roman" w:hAnsi="Times New Roman" w:cs="Times New Roman"/>
          <w:color w:val="000000"/>
        </w:rPr>
      </w:pPr>
    </w:p>
    <w:p w14:paraId="1F3EADF4" w14:textId="77777777" w:rsidR="00140CE3" w:rsidRDefault="00485BD2">
      <w:pPr>
        <w:pStyle w:val="ListParagraph"/>
        <w:numPr>
          <w:ilvl w:val="0"/>
          <w:numId w:val="2"/>
        </w:numPr>
        <w:spacing w:after="0" w:line="360" w:lineRule="auto"/>
        <w:jc w:val="both"/>
        <w:rPr>
          <w:rStyle w:val="Hyperlink"/>
          <w:rFonts w:ascii="Times New Roman" w:hAnsi="Times New Roman" w:cs="Times New Roman"/>
        </w:rPr>
      </w:pPr>
      <w:proofErr w:type="spellStart"/>
      <w:r>
        <w:rPr>
          <w:rFonts w:ascii="Times New Roman" w:hAnsi="Times New Roman" w:cs="Times New Roman"/>
          <w:color w:val="000000"/>
        </w:rPr>
        <w:t>Fouladi</w:t>
      </w:r>
      <w:proofErr w:type="spellEnd"/>
      <w:r>
        <w:rPr>
          <w:rFonts w:ascii="Times New Roman" w:hAnsi="Times New Roman" w:cs="Times New Roman"/>
          <w:color w:val="000000"/>
        </w:rPr>
        <w:t xml:space="preserve">, M., </w:t>
      </w:r>
      <w:proofErr w:type="spellStart"/>
      <w:r>
        <w:rPr>
          <w:rFonts w:ascii="Times New Roman" w:hAnsi="Times New Roman" w:cs="Times New Roman"/>
          <w:color w:val="000000"/>
        </w:rPr>
        <w:t>Amooey</w:t>
      </w:r>
      <w:proofErr w:type="spellEnd"/>
      <w:r>
        <w:rPr>
          <w:rFonts w:ascii="Times New Roman" w:hAnsi="Times New Roman" w:cs="Times New Roman"/>
          <w:color w:val="000000"/>
        </w:rPr>
        <w:t xml:space="preserve">, A. A., &amp; </w:t>
      </w:r>
      <w:proofErr w:type="spellStart"/>
      <w:r>
        <w:rPr>
          <w:rFonts w:ascii="Times New Roman" w:hAnsi="Times New Roman" w:cs="Times New Roman"/>
          <w:color w:val="000000"/>
        </w:rPr>
        <w:t>Ghasemi</w:t>
      </w:r>
      <w:proofErr w:type="spellEnd"/>
      <w:r>
        <w:rPr>
          <w:rFonts w:ascii="Times New Roman" w:hAnsi="Times New Roman" w:cs="Times New Roman"/>
          <w:color w:val="000000"/>
        </w:rPr>
        <w:t>, S. (2021). Improved adsorption of phenol from aqueous solution by carbon-based adsorbents: A review. </w:t>
      </w:r>
      <w:r>
        <w:rPr>
          <w:rFonts w:ascii="Times New Roman" w:hAnsi="Times New Roman" w:cs="Times New Roman"/>
          <w:i/>
          <w:iCs/>
          <w:color w:val="000000"/>
        </w:rPr>
        <w:t>Journal of Environmental Chemical Engineering</w:t>
      </w:r>
      <w:r>
        <w:rPr>
          <w:rFonts w:ascii="Times New Roman" w:hAnsi="Times New Roman" w:cs="Times New Roman"/>
          <w:color w:val="000000"/>
        </w:rPr>
        <w:t>, 9(4), 105342. </w:t>
      </w:r>
      <w:hyperlink r:id="rId19" w:tgtFrame="_blank" w:history="1">
        <w:r>
          <w:rPr>
            <w:rStyle w:val="Hyperlink"/>
            <w:rFonts w:ascii="Times New Roman" w:hAnsi="Times New Roman" w:cs="Times New Roman"/>
          </w:rPr>
          <w:t>https://doi.org/10.1016/j.jece.2021.105342</w:t>
        </w:r>
      </w:hyperlink>
    </w:p>
    <w:p w14:paraId="42A42403" w14:textId="77777777" w:rsidR="00140CE3" w:rsidRDefault="00140CE3">
      <w:pPr>
        <w:spacing w:after="0" w:line="360" w:lineRule="auto"/>
        <w:jc w:val="both"/>
        <w:rPr>
          <w:rFonts w:ascii="Times New Roman" w:hAnsi="Times New Roman" w:cs="Times New Roman"/>
          <w:color w:val="000000"/>
        </w:rPr>
      </w:pPr>
    </w:p>
    <w:p w14:paraId="2E064DAC" w14:textId="77777777" w:rsidR="00140CE3" w:rsidRDefault="00485BD2">
      <w:pPr>
        <w:pStyle w:val="ListParagraph"/>
        <w:numPr>
          <w:ilvl w:val="0"/>
          <w:numId w:val="2"/>
        </w:numPr>
        <w:spacing w:after="0" w:line="360" w:lineRule="auto"/>
        <w:jc w:val="both"/>
        <w:rPr>
          <w:rStyle w:val="Hyperlink"/>
          <w:rFonts w:ascii="Times New Roman" w:hAnsi="Times New Roman" w:cs="Times New Roman"/>
        </w:rPr>
      </w:pPr>
      <w:proofErr w:type="spellStart"/>
      <w:r>
        <w:rPr>
          <w:rFonts w:ascii="Times New Roman" w:hAnsi="Times New Roman" w:cs="Times New Roman"/>
          <w:color w:val="000000"/>
        </w:rPr>
        <w:lastRenderedPageBreak/>
        <w:t>Cavka</w:t>
      </w:r>
      <w:proofErr w:type="spellEnd"/>
      <w:r>
        <w:rPr>
          <w:rFonts w:ascii="Times New Roman" w:hAnsi="Times New Roman" w:cs="Times New Roman"/>
          <w:color w:val="000000"/>
        </w:rPr>
        <w:t xml:space="preserve">, J. H., Jakobsen, S., </w:t>
      </w:r>
      <w:proofErr w:type="spellStart"/>
      <w:r>
        <w:rPr>
          <w:rFonts w:ascii="Times New Roman" w:hAnsi="Times New Roman" w:cs="Times New Roman"/>
          <w:color w:val="000000"/>
        </w:rPr>
        <w:t>Olsbye</w:t>
      </w:r>
      <w:proofErr w:type="spellEnd"/>
      <w:r>
        <w:rPr>
          <w:rFonts w:ascii="Times New Roman" w:hAnsi="Times New Roman" w:cs="Times New Roman"/>
          <w:color w:val="000000"/>
        </w:rPr>
        <w:t xml:space="preserve">, U., </w:t>
      </w:r>
      <w:proofErr w:type="spellStart"/>
      <w:r>
        <w:rPr>
          <w:rFonts w:ascii="Times New Roman" w:hAnsi="Times New Roman" w:cs="Times New Roman"/>
          <w:color w:val="000000"/>
        </w:rPr>
        <w:t>Guillou</w:t>
      </w:r>
      <w:proofErr w:type="spellEnd"/>
      <w:r>
        <w:rPr>
          <w:rFonts w:ascii="Times New Roman" w:hAnsi="Times New Roman" w:cs="Times New Roman"/>
          <w:color w:val="000000"/>
        </w:rPr>
        <w:t xml:space="preserve">, N., Lamberti, C., </w:t>
      </w:r>
      <w:proofErr w:type="spellStart"/>
      <w:r>
        <w:rPr>
          <w:rFonts w:ascii="Times New Roman" w:hAnsi="Times New Roman" w:cs="Times New Roman"/>
          <w:color w:val="000000"/>
        </w:rPr>
        <w:t>Bordiga</w:t>
      </w:r>
      <w:proofErr w:type="spellEnd"/>
      <w:r>
        <w:rPr>
          <w:rFonts w:ascii="Times New Roman" w:hAnsi="Times New Roman" w:cs="Times New Roman"/>
          <w:color w:val="000000"/>
        </w:rPr>
        <w:t xml:space="preserve">, S., &amp; </w:t>
      </w:r>
      <w:proofErr w:type="spellStart"/>
      <w:r>
        <w:rPr>
          <w:rFonts w:ascii="Times New Roman" w:hAnsi="Times New Roman" w:cs="Times New Roman"/>
          <w:color w:val="000000"/>
        </w:rPr>
        <w:t>Lillerud</w:t>
      </w:r>
      <w:proofErr w:type="spellEnd"/>
      <w:r>
        <w:rPr>
          <w:rFonts w:ascii="Times New Roman" w:hAnsi="Times New Roman" w:cs="Times New Roman"/>
          <w:color w:val="000000"/>
        </w:rPr>
        <w:t>, K. P. (2008). A new zirconium inorganic building brick forming metal organic frameworks with exceptional stability. </w:t>
      </w:r>
      <w:r>
        <w:rPr>
          <w:rFonts w:ascii="Times New Roman" w:hAnsi="Times New Roman" w:cs="Times New Roman"/>
          <w:i/>
          <w:iCs/>
          <w:color w:val="000000"/>
        </w:rPr>
        <w:t>Journal of the American Chemical Society</w:t>
      </w:r>
      <w:r>
        <w:rPr>
          <w:rFonts w:ascii="Times New Roman" w:hAnsi="Times New Roman" w:cs="Times New Roman"/>
          <w:color w:val="000000"/>
        </w:rPr>
        <w:t>, *130*(42), 13850–13851. </w:t>
      </w:r>
      <w:hyperlink r:id="rId20" w:tgtFrame="_blank" w:history="1">
        <w:r>
          <w:rPr>
            <w:rStyle w:val="Hyperlink"/>
            <w:rFonts w:ascii="Times New Roman" w:hAnsi="Times New Roman" w:cs="Times New Roman"/>
          </w:rPr>
          <w:t>https://doi.org/10.1021/ja8057953</w:t>
        </w:r>
      </w:hyperlink>
    </w:p>
    <w:p w14:paraId="42DE9D5F" w14:textId="77777777" w:rsidR="00140CE3" w:rsidRDefault="00140CE3">
      <w:pPr>
        <w:spacing w:after="0" w:line="360" w:lineRule="auto"/>
        <w:jc w:val="both"/>
        <w:rPr>
          <w:rFonts w:ascii="Times New Roman" w:hAnsi="Times New Roman" w:cs="Times New Roman"/>
          <w:color w:val="000000"/>
        </w:rPr>
      </w:pPr>
    </w:p>
    <w:p w14:paraId="71480FD7" w14:textId="77777777" w:rsidR="00140CE3" w:rsidRDefault="00485BD2">
      <w:pPr>
        <w:pStyle w:val="ListParagraph"/>
        <w:numPr>
          <w:ilvl w:val="0"/>
          <w:numId w:val="2"/>
        </w:numPr>
        <w:spacing w:after="0" w:line="360" w:lineRule="auto"/>
        <w:jc w:val="both"/>
        <w:rPr>
          <w:rFonts w:ascii="Times New Roman" w:hAnsi="Times New Roman" w:cs="Times New Roman"/>
          <w:color w:val="000000"/>
        </w:rPr>
      </w:pPr>
      <w:r>
        <w:rPr>
          <w:rFonts w:ascii="Times New Roman" w:hAnsi="Times New Roman" w:cs="Times New Roman"/>
          <w:color w:val="000000"/>
        </w:rPr>
        <w:t xml:space="preserve">Wu, H., Chua, Y. S., </w:t>
      </w:r>
      <w:proofErr w:type="spellStart"/>
      <w:r>
        <w:rPr>
          <w:rFonts w:ascii="Times New Roman" w:hAnsi="Times New Roman" w:cs="Times New Roman"/>
          <w:color w:val="000000"/>
        </w:rPr>
        <w:t>Krungleviciute</w:t>
      </w:r>
      <w:proofErr w:type="spellEnd"/>
      <w:r>
        <w:rPr>
          <w:rFonts w:ascii="Times New Roman" w:hAnsi="Times New Roman" w:cs="Times New Roman"/>
          <w:color w:val="000000"/>
        </w:rPr>
        <w:t>, V., Tyagi, M., Chen, P., Yildirim, T., &amp; Zhou, W. (2013). Unusual and highly tunable missing-linker defects in zirconium metal–organic framework UiO-66 and their important effects on gas adsorption. </w:t>
      </w:r>
      <w:r>
        <w:rPr>
          <w:rFonts w:ascii="Times New Roman" w:hAnsi="Times New Roman" w:cs="Times New Roman"/>
          <w:i/>
          <w:iCs/>
          <w:color w:val="000000"/>
        </w:rPr>
        <w:t>Journal of the American Chemical Society</w:t>
      </w:r>
      <w:r>
        <w:rPr>
          <w:rFonts w:ascii="Times New Roman" w:hAnsi="Times New Roman" w:cs="Times New Roman"/>
          <w:color w:val="000000"/>
        </w:rPr>
        <w:t>, 135(28), 10525–10532. </w:t>
      </w:r>
      <w:hyperlink r:id="rId21" w:tgtFrame="_blank" w:history="1">
        <w:r>
          <w:rPr>
            <w:rStyle w:val="Hyperlink"/>
            <w:rFonts w:ascii="Times New Roman" w:hAnsi="Times New Roman" w:cs="Times New Roman"/>
          </w:rPr>
          <w:t>https://doi.org/10.1021/ja404514r</w:t>
        </w:r>
      </w:hyperlink>
    </w:p>
    <w:p w14:paraId="74948C22" w14:textId="1464503B" w:rsidR="00140CE3" w:rsidRDefault="00140CE3" w:rsidP="008120F9">
      <w:pPr>
        <w:pStyle w:val="ListParagraph"/>
        <w:tabs>
          <w:tab w:val="left" w:pos="720"/>
        </w:tabs>
        <w:spacing w:after="0" w:line="360" w:lineRule="auto"/>
        <w:ind w:left="360"/>
        <w:jc w:val="both"/>
        <w:rPr>
          <w:rFonts w:ascii="Times New Roman" w:hAnsi="Times New Roman" w:cs="Times New Roman"/>
          <w:color w:val="000000"/>
        </w:rPr>
      </w:pPr>
    </w:p>
    <w:p w14:paraId="01D0FD40" w14:textId="77777777" w:rsidR="00140CE3" w:rsidRDefault="00485BD2">
      <w:pPr>
        <w:pStyle w:val="ListParagraph"/>
        <w:numPr>
          <w:ilvl w:val="0"/>
          <w:numId w:val="2"/>
        </w:numPr>
        <w:spacing w:after="0" w:line="360" w:lineRule="auto"/>
        <w:jc w:val="both"/>
        <w:rPr>
          <w:rStyle w:val="Hyperlink"/>
          <w:rFonts w:ascii="Times New Roman" w:hAnsi="Times New Roman" w:cs="Times New Roman"/>
        </w:rPr>
      </w:pPr>
      <w:proofErr w:type="spellStart"/>
      <w:r>
        <w:rPr>
          <w:rFonts w:ascii="Times New Roman" w:hAnsi="Times New Roman" w:cs="Times New Roman"/>
          <w:color w:val="000000"/>
        </w:rPr>
        <w:t>Simonin</w:t>
      </w:r>
      <w:proofErr w:type="spellEnd"/>
      <w:r>
        <w:rPr>
          <w:rFonts w:ascii="Times New Roman" w:hAnsi="Times New Roman" w:cs="Times New Roman"/>
          <w:color w:val="000000"/>
        </w:rPr>
        <w:t>, J. P. (2016). On the comparison of pseudo-first order and pseudo-second order rate laws in the modeling of adsorption kinetics. </w:t>
      </w:r>
      <w:r>
        <w:rPr>
          <w:rFonts w:ascii="Times New Roman" w:hAnsi="Times New Roman" w:cs="Times New Roman"/>
          <w:i/>
          <w:iCs/>
          <w:color w:val="000000"/>
        </w:rPr>
        <w:t>Chemical Engineering Journal, 300</w:t>
      </w:r>
      <w:r>
        <w:rPr>
          <w:rFonts w:ascii="Times New Roman" w:hAnsi="Times New Roman" w:cs="Times New Roman"/>
          <w:color w:val="000000"/>
        </w:rPr>
        <w:t>, 254–263. </w:t>
      </w:r>
      <w:hyperlink r:id="rId22" w:tgtFrame="_blank" w:history="1">
        <w:r>
          <w:rPr>
            <w:rStyle w:val="Hyperlink"/>
            <w:rFonts w:ascii="Times New Roman" w:hAnsi="Times New Roman" w:cs="Times New Roman"/>
          </w:rPr>
          <w:t>https://doi.org/10.1016/j.cej.2016.04.079</w:t>
        </w:r>
      </w:hyperlink>
    </w:p>
    <w:p w14:paraId="49902E55" w14:textId="77777777" w:rsidR="00140CE3" w:rsidRDefault="00485BD2">
      <w:pPr>
        <w:pStyle w:val="ListParagraph"/>
        <w:numPr>
          <w:ilvl w:val="0"/>
          <w:numId w:val="2"/>
        </w:numPr>
        <w:spacing w:before="100" w:beforeAutospacing="1" w:after="100" w:afterAutospacing="1" w:line="360" w:lineRule="auto"/>
        <w:jc w:val="both"/>
        <w:rPr>
          <w:rFonts w:ascii="Times New Roman" w:hAnsi="Times New Roman" w:cs="Times New Roman"/>
          <w:color w:val="000000"/>
        </w:rPr>
      </w:pPr>
      <w:r>
        <w:rPr>
          <w:rFonts w:ascii="Times New Roman" w:hAnsi="Times New Roman" w:cs="Times New Roman"/>
          <w:color w:val="000000"/>
        </w:rPr>
        <w:t>Weber, W. J., &amp; Morris, J. C. (1963). Kinetics of adsorption on carbon from solution. </w:t>
      </w:r>
      <w:r>
        <w:rPr>
          <w:rFonts w:ascii="Times New Roman" w:hAnsi="Times New Roman" w:cs="Times New Roman"/>
          <w:i/>
          <w:iCs/>
          <w:color w:val="000000"/>
        </w:rPr>
        <w:t>Journal of the Sanitary Engineering Division, American Society of Civil Engineers, 89</w:t>
      </w:r>
      <w:r>
        <w:rPr>
          <w:rFonts w:ascii="Times New Roman" w:hAnsi="Times New Roman" w:cs="Times New Roman"/>
          <w:color w:val="000000"/>
        </w:rPr>
        <w:t>(2), 31–59.</w:t>
      </w:r>
    </w:p>
    <w:p w14:paraId="3B4E418E" w14:textId="77777777" w:rsidR="00140CE3" w:rsidRDefault="00485BD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Y. (2009). Is the free energy change of adsorption correctly calculated? </w:t>
      </w:r>
      <w:r>
        <w:rPr>
          <w:rFonts w:ascii="Times New Roman" w:eastAsia="Times New Roman" w:hAnsi="Times New Roman" w:cs="Times New Roman"/>
          <w:i/>
          <w:iCs/>
          <w:sz w:val="24"/>
          <w:szCs w:val="24"/>
        </w:rPr>
        <w:t>Journal of Chemical &amp; Engineering Data</w:t>
      </w:r>
      <w:r>
        <w:rPr>
          <w:rFonts w:ascii="Times New Roman" w:eastAsia="Times New Roman" w:hAnsi="Times New Roman" w:cs="Times New Roman"/>
          <w:sz w:val="24"/>
          <w:szCs w:val="24"/>
        </w:rPr>
        <w:t>, 54(7), 1981-1985.</w:t>
      </w:r>
    </w:p>
    <w:p w14:paraId="4435CACA" w14:textId="77777777" w:rsidR="00140CE3" w:rsidRDefault="00485BD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Zayyat</w:t>
      </w:r>
      <w:proofErr w:type="spellEnd"/>
      <w:r>
        <w:rPr>
          <w:rFonts w:ascii="Times New Roman" w:eastAsia="Times New Roman" w:hAnsi="Times New Roman" w:cs="Times New Roman"/>
          <w:sz w:val="24"/>
          <w:szCs w:val="24"/>
        </w:rPr>
        <w:t xml:space="preserve">, R. M., </w:t>
      </w:r>
      <w:proofErr w:type="spellStart"/>
      <w:r>
        <w:rPr>
          <w:rFonts w:ascii="Times New Roman" w:eastAsia="Times New Roman" w:hAnsi="Times New Roman" w:cs="Times New Roman"/>
          <w:sz w:val="24"/>
          <w:szCs w:val="24"/>
        </w:rPr>
        <w:t>Yahfoufi</w:t>
      </w:r>
      <w:proofErr w:type="spellEnd"/>
      <w:r>
        <w:rPr>
          <w:rFonts w:ascii="Times New Roman" w:eastAsia="Times New Roman" w:hAnsi="Times New Roman" w:cs="Times New Roman"/>
          <w:sz w:val="24"/>
          <w:szCs w:val="24"/>
        </w:rPr>
        <w:t xml:space="preserve">, R., Al-Hindi, M., </w:t>
      </w:r>
      <w:proofErr w:type="spellStart"/>
      <w:r>
        <w:rPr>
          <w:rFonts w:ascii="Times New Roman" w:eastAsia="Times New Roman" w:hAnsi="Times New Roman" w:cs="Times New Roman"/>
          <w:sz w:val="24"/>
          <w:szCs w:val="24"/>
        </w:rPr>
        <w:t>Kordahi</w:t>
      </w:r>
      <w:proofErr w:type="spellEnd"/>
      <w:r>
        <w:rPr>
          <w:rFonts w:ascii="Times New Roman" w:eastAsia="Times New Roman" w:hAnsi="Times New Roman" w:cs="Times New Roman"/>
          <w:sz w:val="24"/>
          <w:szCs w:val="24"/>
        </w:rPr>
        <w:t xml:space="preserve">, M. A., Ayoub, G. M., &amp; Ahmad, M. N. (2024). Elucidating the dynamics of carbamazepine uptake using date pit-derived activated carbon: a comprehensive kinetic and thermodynamic analysis. </w:t>
      </w:r>
      <w:proofErr w:type="spellStart"/>
      <w:r>
        <w:rPr>
          <w:rFonts w:ascii="Times New Roman" w:eastAsia="Times New Roman" w:hAnsi="Times New Roman" w:cs="Times New Roman"/>
          <w:i/>
          <w:iCs/>
          <w:sz w:val="24"/>
          <w:szCs w:val="24"/>
        </w:rPr>
        <w:t>Heliyon</w:t>
      </w:r>
      <w:proofErr w:type="spellEnd"/>
      <w:r>
        <w:rPr>
          <w:rFonts w:ascii="Times New Roman" w:eastAsia="Times New Roman" w:hAnsi="Times New Roman" w:cs="Times New Roman"/>
          <w:sz w:val="24"/>
          <w:szCs w:val="24"/>
        </w:rPr>
        <w:t>, 10(20).</w:t>
      </w:r>
    </w:p>
    <w:p w14:paraId="5EB177EE" w14:textId="77777777" w:rsidR="00140CE3" w:rsidRDefault="00485BD2">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Ratkova</w:t>
      </w:r>
      <w:proofErr w:type="spellEnd"/>
      <w:r>
        <w:rPr>
          <w:rFonts w:ascii="Times New Roman" w:eastAsia="Times New Roman" w:hAnsi="Times New Roman" w:cs="Times New Roman"/>
          <w:sz w:val="24"/>
          <w:szCs w:val="24"/>
        </w:rPr>
        <w:t xml:space="preserve">, E. L., Palmer, D. S., &amp; Fedorov, M. V. (2015). Solvation thermodynamics of organic molecules by the molecular integral equation theory: approaching chemical accuracy. </w:t>
      </w:r>
      <w:r>
        <w:rPr>
          <w:rFonts w:ascii="Times New Roman" w:eastAsia="Times New Roman" w:hAnsi="Times New Roman" w:cs="Times New Roman"/>
          <w:i/>
          <w:iCs/>
          <w:sz w:val="24"/>
          <w:szCs w:val="24"/>
        </w:rPr>
        <w:t>Chemical reviews</w:t>
      </w:r>
      <w:r>
        <w:rPr>
          <w:rFonts w:ascii="Times New Roman" w:eastAsia="Times New Roman" w:hAnsi="Times New Roman" w:cs="Times New Roman"/>
          <w:sz w:val="24"/>
          <w:szCs w:val="24"/>
        </w:rPr>
        <w:t>, 115(13), 6312-6356.</w:t>
      </w:r>
      <w:bookmarkStart w:id="2" w:name="_GoBack"/>
      <w:bookmarkEnd w:id="0"/>
      <w:bookmarkEnd w:id="2"/>
    </w:p>
    <w:sectPr w:rsidR="00140CE3">
      <w:headerReference w:type="even" r:id="rId23"/>
      <w:headerReference w:type="default" r:id="rId24"/>
      <w:footerReference w:type="default" r:id="rId25"/>
      <w:headerReference w:type="first" r:id="rId26"/>
      <w:pgSz w:w="11906" w:h="16838"/>
      <w:pgMar w:top="1134"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D7200" w14:textId="77777777" w:rsidR="00B56DC4" w:rsidRDefault="00B56DC4">
      <w:pPr>
        <w:spacing w:line="240" w:lineRule="auto"/>
      </w:pPr>
      <w:r>
        <w:separator/>
      </w:r>
    </w:p>
  </w:endnote>
  <w:endnote w:type="continuationSeparator" w:id="0">
    <w:p w14:paraId="568D9167" w14:textId="77777777" w:rsidR="00B56DC4" w:rsidRDefault="00B56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300989"/>
    </w:sdtPr>
    <w:sdtEndPr/>
    <w:sdtContent>
      <w:p w14:paraId="4257CCEB" w14:textId="5E84773B" w:rsidR="00140CE3" w:rsidRDefault="00485BD2">
        <w:pPr>
          <w:pStyle w:val="Footer"/>
          <w:jc w:val="center"/>
        </w:pPr>
        <w:r>
          <w:fldChar w:fldCharType="begin"/>
        </w:r>
        <w:r>
          <w:instrText xml:space="preserve"> PAGE   \* MERGEFORMAT </w:instrText>
        </w:r>
        <w:r>
          <w:fldChar w:fldCharType="separate"/>
        </w:r>
        <w:r w:rsidR="003306D2">
          <w:rPr>
            <w:noProof/>
          </w:rPr>
          <w:t>23</w:t>
        </w:r>
        <w:r>
          <w:fldChar w:fldCharType="end"/>
        </w:r>
      </w:p>
    </w:sdtContent>
  </w:sdt>
  <w:p w14:paraId="3D5D2D10" w14:textId="77777777" w:rsidR="00140CE3" w:rsidRDefault="00140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161F3" w14:textId="77777777" w:rsidR="00B56DC4" w:rsidRDefault="00B56DC4">
      <w:pPr>
        <w:spacing w:after="0"/>
      </w:pPr>
      <w:r>
        <w:separator/>
      </w:r>
    </w:p>
  </w:footnote>
  <w:footnote w:type="continuationSeparator" w:id="0">
    <w:p w14:paraId="1D6CAD0E" w14:textId="77777777" w:rsidR="00B56DC4" w:rsidRDefault="00B56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991E" w14:textId="77777777" w:rsidR="00140CE3" w:rsidRDefault="00B56DC4">
    <w:pPr>
      <w:pStyle w:val="Header"/>
    </w:pPr>
    <w:r>
      <w:pict w14:anchorId="4E693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7551" w14:textId="77777777" w:rsidR="00140CE3" w:rsidRDefault="00B56DC4">
    <w:pPr>
      <w:pStyle w:val="Header"/>
    </w:pPr>
    <w:r>
      <w:pict w14:anchorId="34D8D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B167E" w14:textId="77777777" w:rsidR="00140CE3" w:rsidRDefault="00B56DC4">
    <w:pPr>
      <w:pStyle w:val="Header"/>
    </w:pPr>
    <w:r>
      <w:pict w14:anchorId="7DD92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8253E"/>
    <w:multiLevelType w:val="multilevel"/>
    <w:tmpl w:val="1718253E"/>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EC9145F"/>
    <w:multiLevelType w:val="multilevel"/>
    <w:tmpl w:val="5EC9145F"/>
    <w:lvl w:ilvl="0">
      <w:start w:val="1"/>
      <w:numFmt w:val="decimal"/>
      <w:lvlText w:val="%1."/>
      <w:lvlJc w:val="left"/>
      <w:pPr>
        <w:tabs>
          <w:tab w:val="left" w:pos="720"/>
        </w:tabs>
        <w:ind w:left="360" w:hanging="360"/>
      </w:pPr>
    </w:lvl>
    <w:lvl w:ilvl="1">
      <w:start w:val="1"/>
      <w:numFmt w:val="decimal"/>
      <w:lvlText w:val="%2."/>
      <w:lvlJc w:val="left"/>
      <w:pPr>
        <w:tabs>
          <w:tab w:val="left" w:pos="1440"/>
        </w:tabs>
        <w:ind w:left="1080" w:hanging="360"/>
      </w:pPr>
    </w:lvl>
    <w:lvl w:ilvl="2">
      <w:start w:val="1"/>
      <w:numFmt w:val="decimal"/>
      <w:lvlText w:val="%3."/>
      <w:lvlJc w:val="left"/>
      <w:pPr>
        <w:tabs>
          <w:tab w:val="left" w:pos="2160"/>
        </w:tabs>
        <w:ind w:left="1800" w:hanging="360"/>
      </w:pPr>
    </w:lvl>
    <w:lvl w:ilvl="3">
      <w:start w:val="1"/>
      <w:numFmt w:val="decimal"/>
      <w:lvlText w:val="%4."/>
      <w:lvlJc w:val="left"/>
      <w:pPr>
        <w:tabs>
          <w:tab w:val="left" w:pos="2880"/>
        </w:tabs>
        <w:ind w:left="2520" w:hanging="360"/>
      </w:pPr>
    </w:lvl>
    <w:lvl w:ilvl="4">
      <w:start w:val="1"/>
      <w:numFmt w:val="decimal"/>
      <w:lvlText w:val="%5."/>
      <w:lvlJc w:val="left"/>
      <w:pPr>
        <w:tabs>
          <w:tab w:val="left" w:pos="3600"/>
        </w:tabs>
        <w:ind w:left="3240" w:hanging="360"/>
      </w:pPr>
    </w:lvl>
    <w:lvl w:ilvl="5">
      <w:start w:val="1"/>
      <w:numFmt w:val="decimal"/>
      <w:lvlText w:val="%6."/>
      <w:lvlJc w:val="left"/>
      <w:pPr>
        <w:tabs>
          <w:tab w:val="left" w:pos="4320"/>
        </w:tabs>
        <w:ind w:left="3960" w:hanging="360"/>
      </w:pPr>
    </w:lvl>
    <w:lvl w:ilvl="6">
      <w:start w:val="1"/>
      <w:numFmt w:val="decimal"/>
      <w:lvlText w:val="%7."/>
      <w:lvlJc w:val="left"/>
      <w:pPr>
        <w:tabs>
          <w:tab w:val="left" w:pos="5040"/>
        </w:tabs>
        <w:ind w:left="4680" w:hanging="360"/>
      </w:pPr>
    </w:lvl>
    <w:lvl w:ilvl="7">
      <w:start w:val="1"/>
      <w:numFmt w:val="decimal"/>
      <w:lvlText w:val="%8."/>
      <w:lvlJc w:val="left"/>
      <w:pPr>
        <w:tabs>
          <w:tab w:val="left" w:pos="5760"/>
        </w:tabs>
        <w:ind w:left="5400" w:hanging="360"/>
      </w:pPr>
    </w:lvl>
    <w:lvl w:ilvl="8">
      <w:start w:val="1"/>
      <w:numFmt w:val="decimal"/>
      <w:lvlText w:val="%9."/>
      <w:lvlJc w:val="left"/>
      <w:pPr>
        <w:tabs>
          <w:tab w:val="left" w:pos="6480"/>
        </w:tabs>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72"/>
    <w:rsid w:val="00001666"/>
    <w:rsid w:val="00007FB7"/>
    <w:rsid w:val="000D0B38"/>
    <w:rsid w:val="001340A6"/>
    <w:rsid w:val="00140CE3"/>
    <w:rsid w:val="001549F9"/>
    <w:rsid w:val="00175B40"/>
    <w:rsid w:val="001D54ED"/>
    <w:rsid w:val="001E1C42"/>
    <w:rsid w:val="00201968"/>
    <w:rsid w:val="0025273F"/>
    <w:rsid w:val="00273533"/>
    <w:rsid w:val="002A166E"/>
    <w:rsid w:val="002C1960"/>
    <w:rsid w:val="0031191A"/>
    <w:rsid w:val="00321DFB"/>
    <w:rsid w:val="00323C83"/>
    <w:rsid w:val="003306D2"/>
    <w:rsid w:val="003349A8"/>
    <w:rsid w:val="00357A37"/>
    <w:rsid w:val="00382ADF"/>
    <w:rsid w:val="003A7C28"/>
    <w:rsid w:val="003E6547"/>
    <w:rsid w:val="00405448"/>
    <w:rsid w:val="0046137D"/>
    <w:rsid w:val="00470CAF"/>
    <w:rsid w:val="00477258"/>
    <w:rsid w:val="00485BD2"/>
    <w:rsid w:val="004A5F29"/>
    <w:rsid w:val="004B489A"/>
    <w:rsid w:val="004C394F"/>
    <w:rsid w:val="004E5A89"/>
    <w:rsid w:val="00552AEE"/>
    <w:rsid w:val="00594F6D"/>
    <w:rsid w:val="005D24F6"/>
    <w:rsid w:val="005D2FE5"/>
    <w:rsid w:val="00602518"/>
    <w:rsid w:val="00613DE3"/>
    <w:rsid w:val="006400B9"/>
    <w:rsid w:val="006C4242"/>
    <w:rsid w:val="00705967"/>
    <w:rsid w:val="0072194D"/>
    <w:rsid w:val="007742B4"/>
    <w:rsid w:val="0078545E"/>
    <w:rsid w:val="0078779D"/>
    <w:rsid w:val="007B1624"/>
    <w:rsid w:val="007C6995"/>
    <w:rsid w:val="007C6C52"/>
    <w:rsid w:val="007F2FE3"/>
    <w:rsid w:val="008120F9"/>
    <w:rsid w:val="00866D71"/>
    <w:rsid w:val="00874D55"/>
    <w:rsid w:val="00897F01"/>
    <w:rsid w:val="008A1D0B"/>
    <w:rsid w:val="008A2DFE"/>
    <w:rsid w:val="008C37E7"/>
    <w:rsid w:val="00900C73"/>
    <w:rsid w:val="00910328"/>
    <w:rsid w:val="009E3968"/>
    <w:rsid w:val="00A10549"/>
    <w:rsid w:val="00A15990"/>
    <w:rsid w:val="00A51342"/>
    <w:rsid w:val="00B04572"/>
    <w:rsid w:val="00B13A7D"/>
    <w:rsid w:val="00B33CBC"/>
    <w:rsid w:val="00B56DC4"/>
    <w:rsid w:val="00B715A9"/>
    <w:rsid w:val="00B76A49"/>
    <w:rsid w:val="00BB6ADB"/>
    <w:rsid w:val="00BB6FA9"/>
    <w:rsid w:val="00BD450A"/>
    <w:rsid w:val="00BD6F5F"/>
    <w:rsid w:val="00C03A46"/>
    <w:rsid w:val="00C24AD6"/>
    <w:rsid w:val="00C3790B"/>
    <w:rsid w:val="00C52C12"/>
    <w:rsid w:val="00C95362"/>
    <w:rsid w:val="00C97A69"/>
    <w:rsid w:val="00CF6E3F"/>
    <w:rsid w:val="00D0076C"/>
    <w:rsid w:val="00D36487"/>
    <w:rsid w:val="00D704EC"/>
    <w:rsid w:val="00D81A59"/>
    <w:rsid w:val="00E05DFE"/>
    <w:rsid w:val="00E21A6A"/>
    <w:rsid w:val="00E37596"/>
    <w:rsid w:val="00E5157D"/>
    <w:rsid w:val="00E8638C"/>
    <w:rsid w:val="00F37BBE"/>
    <w:rsid w:val="00FC73A0"/>
    <w:rsid w:val="00FE62CD"/>
    <w:rsid w:val="06490B2C"/>
    <w:rsid w:val="07751486"/>
    <w:rsid w:val="0B3F3392"/>
    <w:rsid w:val="140066C2"/>
    <w:rsid w:val="144B336F"/>
    <w:rsid w:val="1576282A"/>
    <w:rsid w:val="163F6809"/>
    <w:rsid w:val="1D133706"/>
    <w:rsid w:val="240A4A15"/>
    <w:rsid w:val="24621AEB"/>
    <w:rsid w:val="25C07B32"/>
    <w:rsid w:val="2A6E46DA"/>
    <w:rsid w:val="368310BA"/>
    <w:rsid w:val="377E2A45"/>
    <w:rsid w:val="3D8344AF"/>
    <w:rsid w:val="41984924"/>
    <w:rsid w:val="436D51AE"/>
    <w:rsid w:val="4A690555"/>
    <w:rsid w:val="4E9931FD"/>
    <w:rsid w:val="4F6D0EE4"/>
    <w:rsid w:val="56E37A2F"/>
    <w:rsid w:val="573948B3"/>
    <w:rsid w:val="5DC05E28"/>
    <w:rsid w:val="5DF13EAB"/>
    <w:rsid w:val="63F566FF"/>
    <w:rsid w:val="64DB3A6C"/>
    <w:rsid w:val="66E574BC"/>
    <w:rsid w:val="698700DD"/>
    <w:rsid w:val="6BA06C24"/>
    <w:rsid w:val="77BC3D7E"/>
    <w:rsid w:val="7E2C7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38974A90"/>
  <w15:docId w15:val="{DF5BFE07-1A1E-45BE-A71E-DFB74A72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line="278" w:lineRule="auto"/>
      <w:outlineLvl w:val="0"/>
    </w:pPr>
    <w:rPr>
      <w:rFonts w:ascii="Times New Roman" w:eastAsiaTheme="majorEastAsia" w:hAnsi="Times New Roman" w:cstheme="majorBidi"/>
      <w:b/>
      <w:color w:val="000000" w:themeColor="text1"/>
      <w:kern w:val="2"/>
      <w:sz w:val="24"/>
      <w:szCs w:val="40"/>
      <w14:ligatures w14:val="standardContextual"/>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qFormat/>
    <w:rPr>
      <w:sz w:val="24"/>
      <w:szCs w:val="24"/>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PlainTable21">
    <w:name w:val="Plain Table 21"/>
    <w:basedOn w:val="TableNormal"/>
    <w:uiPriority w:val="42"/>
    <w:qFormat/>
    <w:rPr>
      <w:kern w:val="2"/>
      <w:sz w:val="24"/>
      <w:szCs w:val="24"/>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kern w:val="2"/>
      <w:sz w:val="24"/>
      <w:szCs w:val="40"/>
      <w14:ligatures w14:val="standardContextual"/>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mord">
    <w:name w:val="mord"/>
    <w:basedOn w:val="DefaultParagraphFont"/>
    <w:qFormat/>
  </w:style>
  <w:style w:type="character" w:customStyle="1" w:styleId="mbin">
    <w:name w:val="mbin"/>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Arial Nova" w:eastAsiaTheme="minorHAnsi" w:hAnsi="Arial Nova" w:cs="Arial Nova"/>
      <w:color w:val="000000"/>
      <w:sz w:val="24"/>
      <w:szCs w:val="24"/>
    </w:rPr>
  </w:style>
  <w:style w:type="table" w:styleId="PlainTable2">
    <w:name w:val="Plain Table 2"/>
    <w:basedOn w:val="TableNormal"/>
    <w:uiPriority w:val="42"/>
    <w:rsid w:val="00FE62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515/pac-2014-1117"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21/ja404514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38/ncomms5176"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21/cm1022882" TargetMode="External"/><Relationship Id="rId20" Type="http://schemas.openxmlformats.org/officeDocument/2006/relationships/hyperlink" Target="https://doi.org/10.1021/ja80579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21/acs.chemmater.6b00602"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jece.2021.10534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cej.2016.04.07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6749</Words>
  <Characters>38470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egga</dc:creator>
  <cp:lastModifiedBy>Editor-1183</cp:lastModifiedBy>
  <cp:revision>10</cp:revision>
  <cp:lastPrinted>2026-02-21T19:28:00Z</cp:lastPrinted>
  <dcterms:created xsi:type="dcterms:W3CDTF">2026-02-21T19:33:00Z</dcterms:created>
  <dcterms:modified xsi:type="dcterms:W3CDTF">2026-02-25T07:16:00Z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8ca4ae90-70d0-44ee-b9d1-405fc9e2afe4</vt:lpwstr>
  </property>
  <property fmtid="{D5CDD505-2E9C-101B-9397-08002B2CF9AE}" pid="3" name="KSOProductBuildVer">
    <vt:lpwstr>1033-12.2.0.23196</vt:lpwstr>
  </property>
  <property fmtid="{D5CDD505-2E9C-101B-9397-08002B2CF9AE}" pid="4" name="ICV">
    <vt:lpwstr>76129D0922A7411D8C69AD305E10B608_13</vt:lpwstr>
  </property>
  <property fmtid="{D5CDD505-2E9C-101B-9397-08002B2CF9AE}" pid="5" name="_DocHome">
    <vt:i4>201778489</vt:i4>
  </property>
</Properties>
</file>