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268E5" w14:textId="0559A0FA" w:rsidR="00163BC4" w:rsidRPr="0050314A" w:rsidRDefault="0050314A" w:rsidP="008D3FA8">
      <w:pPr>
        <w:spacing w:line="360" w:lineRule="auto"/>
        <w:jc w:val="right"/>
        <w:rPr>
          <w:rFonts w:ascii="Arial" w:hAnsi="Arial" w:cs="Arial"/>
          <w:b/>
          <w:bCs/>
          <w:strike/>
          <w:sz w:val="36"/>
          <w:szCs w:val="36"/>
        </w:rPr>
      </w:pPr>
      <w:r w:rsidRPr="0050314A">
        <w:rPr>
          <w:rStyle w:val="Strong"/>
          <w:rFonts w:ascii="Arial" w:hAnsi="Arial" w:cs="Arial"/>
          <w:sz w:val="36"/>
          <w:szCs w:val="36"/>
        </w:rPr>
        <w:t>Electrochemical Detection of 4-Dimethylaminophenol Hydrochloride (</w:t>
      </w:r>
      <w:proofErr w:type="spellStart"/>
      <w:r w:rsidRPr="0050314A">
        <w:rPr>
          <w:rStyle w:val="Strong"/>
          <w:rFonts w:ascii="Arial" w:hAnsi="Arial" w:cs="Arial"/>
          <w:sz w:val="36"/>
          <w:szCs w:val="36"/>
        </w:rPr>
        <w:t>DMAP·HCl</w:t>
      </w:r>
      <w:proofErr w:type="spellEnd"/>
      <w:r w:rsidRPr="0050314A">
        <w:rPr>
          <w:rStyle w:val="Strong"/>
          <w:rFonts w:ascii="Arial" w:hAnsi="Arial" w:cs="Arial"/>
          <w:sz w:val="36"/>
          <w:szCs w:val="36"/>
        </w:rPr>
        <w:t xml:space="preserve">): Development of a Highly Sensitive </w:t>
      </w:r>
      <w:proofErr w:type="spellStart"/>
      <w:r w:rsidRPr="0050314A">
        <w:rPr>
          <w:rStyle w:val="Strong"/>
          <w:rFonts w:ascii="Arial" w:hAnsi="Arial" w:cs="Arial"/>
          <w:sz w:val="36"/>
          <w:szCs w:val="36"/>
        </w:rPr>
        <w:t>Voltammetric</w:t>
      </w:r>
      <w:proofErr w:type="spellEnd"/>
      <w:r w:rsidRPr="0050314A">
        <w:rPr>
          <w:rStyle w:val="Strong"/>
          <w:rFonts w:ascii="Arial" w:hAnsi="Arial" w:cs="Arial"/>
          <w:sz w:val="36"/>
          <w:szCs w:val="36"/>
        </w:rPr>
        <w:t xml:space="preserve"> Method</w:t>
      </w:r>
    </w:p>
    <w:p w14:paraId="228ED224" w14:textId="77777777" w:rsidR="00A258C3" w:rsidRPr="00790ADA" w:rsidRDefault="00A258C3" w:rsidP="00441B6F">
      <w:pPr>
        <w:pStyle w:val="Author"/>
        <w:spacing w:line="240" w:lineRule="auto"/>
        <w:jc w:val="both"/>
        <w:rPr>
          <w:rFonts w:ascii="Arial" w:hAnsi="Arial" w:cs="Arial"/>
          <w:sz w:val="36"/>
        </w:rPr>
      </w:pPr>
    </w:p>
    <w:p w14:paraId="76F99297" w14:textId="754F826D" w:rsidR="00D93F70" w:rsidRDefault="00D93F70" w:rsidP="00697C76">
      <w:pPr>
        <w:pStyle w:val="Affiliation"/>
        <w:spacing w:after="0" w:line="240" w:lineRule="auto"/>
        <w:rPr>
          <w:rFonts w:ascii="Arial" w:hAnsi="Arial" w:cs="Arial"/>
          <w:i/>
        </w:rPr>
      </w:pPr>
      <w:r>
        <w:rPr>
          <w:rFonts w:ascii="Arial" w:hAnsi="Arial" w:cs="Arial"/>
          <w:i/>
        </w:rPr>
        <w:t xml:space="preserve"> </w:t>
      </w:r>
    </w:p>
    <w:p w14:paraId="604420AF" w14:textId="77777777" w:rsidR="00697C76" w:rsidRDefault="00697C76" w:rsidP="00DF7286">
      <w:pPr>
        <w:pStyle w:val="Affiliation"/>
        <w:spacing w:after="0" w:line="240" w:lineRule="auto"/>
        <w:rPr>
          <w:rFonts w:ascii="Arial" w:hAnsi="Arial" w:cs="Arial"/>
          <w:i/>
        </w:rPr>
      </w:pPr>
    </w:p>
    <w:p w14:paraId="38147DF7" w14:textId="6215188C" w:rsidR="00DF7286" w:rsidRDefault="00DF7286" w:rsidP="00DF7286">
      <w:pPr>
        <w:pStyle w:val="Affiliation"/>
        <w:spacing w:after="0" w:line="240" w:lineRule="auto"/>
        <w:rPr>
          <w:rFonts w:ascii="Arial" w:hAnsi="Arial" w:cs="Arial"/>
        </w:rPr>
      </w:pPr>
    </w:p>
    <w:p w14:paraId="60C80BD1" w14:textId="77777777" w:rsidR="002C57D2" w:rsidRPr="00FB3A86" w:rsidRDefault="002C57D2" w:rsidP="00441B6F">
      <w:pPr>
        <w:pStyle w:val="Affiliation"/>
        <w:spacing w:after="0" w:line="240" w:lineRule="auto"/>
        <w:jc w:val="both"/>
        <w:rPr>
          <w:rFonts w:ascii="Arial" w:hAnsi="Arial" w:cs="Arial"/>
        </w:rPr>
      </w:pPr>
    </w:p>
    <w:p w14:paraId="757A4B35" w14:textId="77777777" w:rsidR="00B01FCD" w:rsidRPr="00FB3A86" w:rsidRDefault="00C058FD" w:rsidP="00441B6F">
      <w:pPr>
        <w:pStyle w:val="Copyright"/>
        <w:spacing w:after="0" w:line="240" w:lineRule="auto"/>
        <w:jc w:val="both"/>
        <w:rPr>
          <w:rFonts w:ascii="Arial" w:hAnsi="Arial" w:cs="Arial"/>
        </w:rPr>
        <w:sectPr w:rsidR="00B01FCD" w:rsidRPr="00FB3A86" w:rsidSect="00C978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70FDA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FA41AE0" w14:textId="79737F10" w:rsidR="00B01FCD" w:rsidRDefault="00B01FCD" w:rsidP="00441B6F">
      <w:pPr>
        <w:pStyle w:val="AbstHead"/>
        <w:spacing w:after="0"/>
        <w:jc w:val="both"/>
        <w:rPr>
          <w:rFonts w:ascii="Arial" w:hAnsi="Arial" w:cs="Arial"/>
        </w:rPr>
      </w:pPr>
      <w:r w:rsidRPr="00FB3A86">
        <w:rPr>
          <w:rFonts w:ascii="Arial" w:hAnsi="Arial" w:cs="Arial"/>
        </w:rPr>
        <w:t>ABSTRACT</w:t>
      </w:r>
    </w:p>
    <w:p w14:paraId="05A7EF8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D349BB" w14:textId="77777777" w:rsidTr="001E44FE">
        <w:tc>
          <w:tcPr>
            <w:tcW w:w="9576" w:type="dxa"/>
            <w:shd w:val="clear" w:color="auto" w:fill="F2F2F2"/>
          </w:tcPr>
          <w:p w14:paraId="71C3990C" w14:textId="35241DA1" w:rsidR="00505F06" w:rsidRPr="0050314A" w:rsidRDefault="0050314A" w:rsidP="0050314A">
            <w:pPr>
              <w:pStyle w:val="whitespace-break-spaces"/>
              <w:spacing w:before="0" w:beforeAutospacing="0" w:after="0" w:afterAutospacing="0" w:line="360" w:lineRule="auto"/>
              <w:jc w:val="both"/>
              <w:rPr>
                <w:rFonts w:ascii="Arial" w:hAnsi="Arial" w:cs="Arial"/>
                <w:sz w:val="22"/>
                <w:szCs w:val="22"/>
              </w:rPr>
            </w:pPr>
            <w:r w:rsidRPr="0050314A">
              <w:rPr>
                <w:rFonts w:ascii="Arial" w:hAnsi="Arial" w:cs="Arial"/>
                <w:sz w:val="22"/>
                <w:szCs w:val="22"/>
              </w:rPr>
              <w:t>4-Dimethylaminophenol</w:t>
            </w:r>
            <w:r w:rsidR="00F508FE">
              <w:rPr>
                <w:rFonts w:ascii="Arial" w:hAnsi="Arial" w:cs="Arial"/>
                <w:sz w:val="22"/>
                <w:szCs w:val="22"/>
              </w:rPr>
              <w:t xml:space="preserve"> </w:t>
            </w:r>
            <w:proofErr w:type="spellStart"/>
            <w:r w:rsidR="00F508FE" w:rsidRPr="00F508FE">
              <w:rPr>
                <w:rFonts w:ascii="Arial" w:hAnsi="Arial" w:cs="Arial"/>
                <w:sz w:val="22"/>
                <w:szCs w:val="22"/>
              </w:rPr>
              <w:t>hydrochloride</w:t>
            </w:r>
            <w:proofErr w:type="spellEnd"/>
            <w:r w:rsidRPr="0050314A">
              <w:rPr>
                <w:rFonts w:ascii="Arial" w:hAnsi="Arial" w:cs="Arial"/>
                <w:sz w:val="22"/>
                <w:szCs w:val="22"/>
              </w:rPr>
              <w:t xml:space="preserve">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w:t>
            </w:r>
            <w:proofErr w:type="spellStart"/>
            <w:r w:rsidRPr="0050314A">
              <w:rPr>
                <w:rFonts w:ascii="Arial" w:hAnsi="Arial" w:cs="Arial"/>
                <w:sz w:val="22"/>
                <w:szCs w:val="22"/>
              </w:rPr>
              <w:t>is</w:t>
            </w:r>
            <w:proofErr w:type="spellEnd"/>
            <w:r w:rsidRPr="0050314A">
              <w:rPr>
                <w:rFonts w:ascii="Arial" w:hAnsi="Arial" w:cs="Arial"/>
                <w:sz w:val="22"/>
                <w:szCs w:val="22"/>
              </w:rPr>
              <w:t xml:space="preserve"> </w:t>
            </w:r>
            <w:proofErr w:type="spellStart"/>
            <w:r w:rsidRPr="0050314A">
              <w:rPr>
                <w:rFonts w:ascii="Arial" w:hAnsi="Arial" w:cs="Arial"/>
                <w:sz w:val="22"/>
                <w:szCs w:val="22"/>
              </w:rPr>
              <w:t>widely</w:t>
            </w:r>
            <w:proofErr w:type="spellEnd"/>
            <w:r w:rsidRPr="0050314A">
              <w:rPr>
                <w:rFonts w:ascii="Arial" w:hAnsi="Arial" w:cs="Arial"/>
                <w:sz w:val="22"/>
                <w:szCs w:val="22"/>
              </w:rPr>
              <w:t xml:space="preserve"> </w:t>
            </w:r>
            <w:proofErr w:type="spellStart"/>
            <w:r w:rsidRPr="0050314A">
              <w:rPr>
                <w:rFonts w:ascii="Arial" w:hAnsi="Arial" w:cs="Arial"/>
                <w:sz w:val="22"/>
                <w:szCs w:val="22"/>
              </w:rPr>
              <w:t>recognized</w:t>
            </w:r>
            <w:proofErr w:type="spellEnd"/>
            <w:r w:rsidRPr="0050314A">
              <w:rPr>
                <w:rFonts w:ascii="Arial" w:hAnsi="Arial" w:cs="Arial"/>
                <w:sz w:val="22"/>
                <w:szCs w:val="22"/>
              </w:rPr>
              <w:t xml:space="preserve"> as a </w:t>
            </w:r>
            <w:proofErr w:type="spellStart"/>
            <w:r w:rsidRPr="0050314A">
              <w:rPr>
                <w:rFonts w:ascii="Arial" w:hAnsi="Arial" w:cs="Arial"/>
                <w:sz w:val="22"/>
                <w:szCs w:val="22"/>
              </w:rPr>
              <w:t>potent</w:t>
            </w:r>
            <w:proofErr w:type="spellEnd"/>
            <w:r w:rsidRPr="0050314A">
              <w:rPr>
                <w:rFonts w:ascii="Arial" w:hAnsi="Arial" w:cs="Arial"/>
                <w:sz w:val="22"/>
                <w:szCs w:val="22"/>
              </w:rPr>
              <w:t xml:space="preserve"> antidote for cyanide </w:t>
            </w:r>
            <w:proofErr w:type="spellStart"/>
            <w:r w:rsidRPr="0050314A">
              <w:rPr>
                <w:rFonts w:ascii="Arial" w:hAnsi="Arial" w:cs="Arial"/>
                <w:sz w:val="22"/>
                <w:szCs w:val="22"/>
              </w:rPr>
              <w:t>poisoning</w:t>
            </w:r>
            <w:proofErr w:type="spellEnd"/>
            <w:r w:rsidRPr="0050314A">
              <w:rPr>
                <w:rFonts w:ascii="Arial" w:hAnsi="Arial" w:cs="Arial"/>
                <w:sz w:val="22"/>
                <w:szCs w:val="22"/>
              </w:rPr>
              <w:t xml:space="preserve"> in </w:t>
            </w:r>
            <w:proofErr w:type="spellStart"/>
            <w:r w:rsidRPr="0050314A">
              <w:rPr>
                <w:rFonts w:ascii="Arial" w:hAnsi="Arial" w:cs="Arial"/>
                <w:sz w:val="22"/>
                <w:szCs w:val="22"/>
              </w:rPr>
              <w:t>both</w:t>
            </w:r>
            <w:proofErr w:type="spellEnd"/>
            <w:r w:rsidRPr="0050314A">
              <w:rPr>
                <w:rFonts w:ascii="Arial" w:hAnsi="Arial" w:cs="Arial"/>
                <w:sz w:val="22"/>
                <w:szCs w:val="22"/>
              </w:rPr>
              <w:t xml:space="preserve"> animal and </w:t>
            </w:r>
            <w:proofErr w:type="spellStart"/>
            <w:r w:rsidRPr="0050314A">
              <w:rPr>
                <w:rFonts w:ascii="Arial" w:hAnsi="Arial" w:cs="Arial"/>
                <w:sz w:val="22"/>
                <w:szCs w:val="22"/>
              </w:rPr>
              <w:t>human</w:t>
            </w:r>
            <w:proofErr w:type="spellEnd"/>
            <w:r w:rsidRPr="0050314A">
              <w:rPr>
                <w:rFonts w:ascii="Arial" w:hAnsi="Arial" w:cs="Arial"/>
                <w:sz w:val="22"/>
                <w:szCs w:val="22"/>
              </w:rPr>
              <w:t xml:space="preserve"> </w:t>
            </w:r>
            <w:proofErr w:type="spellStart"/>
            <w:r w:rsidRPr="0050314A">
              <w:rPr>
                <w:rFonts w:ascii="Arial" w:hAnsi="Arial" w:cs="Arial"/>
                <w:sz w:val="22"/>
                <w:szCs w:val="22"/>
              </w:rPr>
              <w:t>subjects</w:t>
            </w:r>
            <w:proofErr w:type="spellEnd"/>
            <w:r w:rsidRPr="0050314A">
              <w:rPr>
                <w:rFonts w:ascii="Arial" w:hAnsi="Arial" w:cs="Arial"/>
                <w:sz w:val="22"/>
                <w:szCs w:val="22"/>
              </w:rPr>
              <w:t xml:space="preserve">. </w:t>
            </w:r>
            <w:proofErr w:type="spellStart"/>
            <w:r w:rsidRPr="0050314A">
              <w:rPr>
                <w:rFonts w:ascii="Arial" w:hAnsi="Arial" w:cs="Arial"/>
                <w:sz w:val="22"/>
                <w:szCs w:val="22"/>
              </w:rPr>
              <w:t>However</w:t>
            </w:r>
            <w:proofErr w:type="spellEnd"/>
            <w:r w:rsidRPr="0050314A">
              <w:rPr>
                <w:rFonts w:ascii="Arial" w:hAnsi="Arial" w:cs="Arial"/>
                <w:sz w:val="22"/>
                <w:szCs w:val="22"/>
              </w:rPr>
              <w:t xml:space="preserve">, </w:t>
            </w:r>
            <w:proofErr w:type="spellStart"/>
            <w:r w:rsidRPr="0050314A">
              <w:rPr>
                <w:rFonts w:ascii="Arial" w:hAnsi="Arial" w:cs="Arial"/>
                <w:sz w:val="22"/>
                <w:szCs w:val="22"/>
              </w:rPr>
              <w:t>its</w:t>
            </w:r>
            <w:proofErr w:type="spellEnd"/>
            <w:r w:rsidRPr="0050314A">
              <w:rPr>
                <w:rFonts w:ascii="Arial" w:hAnsi="Arial" w:cs="Arial"/>
                <w:sz w:val="22"/>
                <w:szCs w:val="22"/>
              </w:rPr>
              <w:t xml:space="preserve"> </w:t>
            </w:r>
            <w:proofErr w:type="spellStart"/>
            <w:r w:rsidRPr="0050314A">
              <w:rPr>
                <w:rFonts w:ascii="Arial" w:hAnsi="Arial" w:cs="Arial"/>
                <w:sz w:val="22"/>
                <w:szCs w:val="22"/>
              </w:rPr>
              <w:t>clinical</w:t>
            </w:r>
            <w:proofErr w:type="spellEnd"/>
            <w:r w:rsidRPr="0050314A">
              <w:rPr>
                <w:rFonts w:ascii="Arial" w:hAnsi="Arial" w:cs="Arial"/>
                <w:sz w:val="22"/>
                <w:szCs w:val="22"/>
              </w:rPr>
              <w:t xml:space="preserve"> use </w:t>
            </w:r>
            <w:proofErr w:type="spellStart"/>
            <w:r w:rsidRPr="0050314A">
              <w:rPr>
                <w:rFonts w:ascii="Arial" w:hAnsi="Arial" w:cs="Arial"/>
                <w:sz w:val="22"/>
                <w:szCs w:val="22"/>
              </w:rPr>
              <w:t>is</w:t>
            </w:r>
            <w:proofErr w:type="spellEnd"/>
            <w:r w:rsidRPr="0050314A">
              <w:rPr>
                <w:rFonts w:ascii="Arial" w:hAnsi="Arial" w:cs="Arial"/>
                <w:sz w:val="22"/>
                <w:szCs w:val="22"/>
              </w:rPr>
              <w:t xml:space="preserve"> </w:t>
            </w:r>
            <w:proofErr w:type="spellStart"/>
            <w:r w:rsidRPr="0050314A">
              <w:rPr>
                <w:rFonts w:ascii="Arial" w:hAnsi="Arial" w:cs="Arial"/>
                <w:sz w:val="22"/>
                <w:szCs w:val="22"/>
              </w:rPr>
              <w:t>occasionally</w:t>
            </w:r>
            <w:proofErr w:type="spellEnd"/>
            <w:r w:rsidRPr="0050314A">
              <w:rPr>
                <w:rFonts w:ascii="Arial" w:hAnsi="Arial" w:cs="Arial"/>
                <w:sz w:val="22"/>
                <w:szCs w:val="22"/>
              </w:rPr>
              <w:t xml:space="preserve"> </w:t>
            </w:r>
            <w:proofErr w:type="spellStart"/>
            <w:r w:rsidRPr="0050314A">
              <w:rPr>
                <w:rFonts w:ascii="Arial" w:hAnsi="Arial" w:cs="Arial"/>
                <w:sz w:val="22"/>
                <w:szCs w:val="22"/>
              </w:rPr>
              <w:t>limited</w:t>
            </w:r>
            <w:proofErr w:type="spellEnd"/>
            <w:r w:rsidRPr="0050314A">
              <w:rPr>
                <w:rFonts w:ascii="Arial" w:hAnsi="Arial" w:cs="Arial"/>
                <w:sz w:val="22"/>
                <w:szCs w:val="22"/>
              </w:rPr>
              <w:t xml:space="preserve"> by </w:t>
            </w:r>
            <w:proofErr w:type="spellStart"/>
            <w:r w:rsidRPr="0050314A">
              <w:rPr>
                <w:rFonts w:ascii="Arial" w:hAnsi="Arial" w:cs="Arial"/>
                <w:sz w:val="22"/>
                <w:szCs w:val="22"/>
              </w:rPr>
              <w:t>severe</w:t>
            </w:r>
            <w:proofErr w:type="spellEnd"/>
            <w:r w:rsidRPr="0050314A">
              <w:rPr>
                <w:rFonts w:ascii="Arial" w:hAnsi="Arial" w:cs="Arial"/>
                <w:sz w:val="22"/>
                <w:szCs w:val="22"/>
              </w:rPr>
              <w:t xml:space="preserve"> in vivo </w:t>
            </w:r>
            <w:proofErr w:type="spellStart"/>
            <w:r w:rsidRPr="0050314A">
              <w:rPr>
                <w:rFonts w:ascii="Arial" w:hAnsi="Arial" w:cs="Arial"/>
                <w:sz w:val="22"/>
                <w:szCs w:val="22"/>
              </w:rPr>
              <w:t>toxicity</w:t>
            </w:r>
            <w:proofErr w:type="spellEnd"/>
            <w:r w:rsidRPr="0050314A">
              <w:rPr>
                <w:rFonts w:ascii="Arial" w:hAnsi="Arial" w:cs="Arial"/>
                <w:sz w:val="22"/>
                <w:szCs w:val="22"/>
              </w:rPr>
              <w:t xml:space="preserve">, </w:t>
            </w:r>
            <w:proofErr w:type="spellStart"/>
            <w:r w:rsidRPr="0050314A">
              <w:rPr>
                <w:rFonts w:ascii="Arial" w:hAnsi="Arial" w:cs="Arial"/>
                <w:sz w:val="22"/>
                <w:szCs w:val="22"/>
              </w:rPr>
              <w:t>necessitating</w:t>
            </w:r>
            <w:proofErr w:type="spellEnd"/>
            <w:r w:rsidRPr="0050314A">
              <w:rPr>
                <w:rFonts w:ascii="Arial" w:hAnsi="Arial" w:cs="Arial"/>
                <w:sz w:val="22"/>
                <w:szCs w:val="22"/>
              </w:rPr>
              <w:t xml:space="preserve"> </w:t>
            </w:r>
            <w:proofErr w:type="spellStart"/>
            <w:r w:rsidRPr="0050314A">
              <w:rPr>
                <w:rFonts w:ascii="Arial" w:hAnsi="Arial" w:cs="Arial"/>
                <w:sz w:val="22"/>
                <w:szCs w:val="22"/>
              </w:rPr>
              <w:t>precise</w:t>
            </w:r>
            <w:proofErr w:type="spellEnd"/>
            <w:r w:rsidRPr="0050314A">
              <w:rPr>
                <w:rFonts w:ascii="Arial" w:hAnsi="Arial" w:cs="Arial"/>
                <w:sz w:val="22"/>
                <w:szCs w:val="22"/>
              </w:rPr>
              <w:t xml:space="preserve"> monitoring and quantification. In </w:t>
            </w:r>
            <w:proofErr w:type="spellStart"/>
            <w:r w:rsidRPr="0050314A">
              <w:rPr>
                <w:rFonts w:ascii="Arial" w:hAnsi="Arial" w:cs="Arial"/>
                <w:sz w:val="22"/>
                <w:szCs w:val="22"/>
              </w:rPr>
              <w:t>this</w:t>
            </w:r>
            <w:proofErr w:type="spellEnd"/>
            <w:r w:rsidRPr="0050314A">
              <w:rPr>
                <w:rFonts w:ascii="Arial" w:hAnsi="Arial" w:cs="Arial"/>
                <w:sz w:val="22"/>
                <w:szCs w:val="22"/>
              </w:rPr>
              <w:t xml:space="preserve"> </w:t>
            </w:r>
            <w:proofErr w:type="spellStart"/>
            <w:r w:rsidRPr="0050314A">
              <w:rPr>
                <w:rFonts w:ascii="Arial" w:hAnsi="Arial" w:cs="Arial"/>
                <w:sz w:val="22"/>
                <w:szCs w:val="22"/>
              </w:rPr>
              <w:t>study</w:t>
            </w:r>
            <w:proofErr w:type="spellEnd"/>
            <w:r w:rsidRPr="0050314A">
              <w:rPr>
                <w:rFonts w:ascii="Arial" w:hAnsi="Arial" w:cs="Arial"/>
                <w:sz w:val="22"/>
                <w:szCs w:val="22"/>
              </w:rPr>
              <w:t xml:space="preserve">, </w:t>
            </w:r>
            <w:proofErr w:type="spellStart"/>
            <w:r w:rsidRPr="0050314A">
              <w:rPr>
                <w:rFonts w:ascii="Arial" w:hAnsi="Arial" w:cs="Arial"/>
                <w:sz w:val="22"/>
                <w:szCs w:val="22"/>
              </w:rPr>
              <w:t>we</w:t>
            </w:r>
            <w:proofErr w:type="spellEnd"/>
            <w:r w:rsidRPr="0050314A">
              <w:rPr>
                <w:rFonts w:ascii="Arial" w:hAnsi="Arial" w:cs="Arial"/>
                <w:sz w:val="22"/>
                <w:szCs w:val="22"/>
              </w:rPr>
              <w:t xml:space="preserve"> report the </w:t>
            </w:r>
            <w:proofErr w:type="spellStart"/>
            <w:r w:rsidRPr="0050314A">
              <w:rPr>
                <w:rFonts w:ascii="Arial" w:hAnsi="Arial" w:cs="Arial"/>
                <w:sz w:val="22"/>
                <w:szCs w:val="22"/>
              </w:rPr>
              <w:t>development</w:t>
            </w:r>
            <w:proofErr w:type="spellEnd"/>
            <w:r w:rsidRPr="0050314A">
              <w:rPr>
                <w:rFonts w:ascii="Arial" w:hAnsi="Arial" w:cs="Arial"/>
                <w:sz w:val="22"/>
                <w:szCs w:val="22"/>
              </w:rPr>
              <w:t xml:space="preserve"> of a </w:t>
            </w:r>
            <w:proofErr w:type="spellStart"/>
            <w:r w:rsidRPr="0050314A">
              <w:rPr>
                <w:rFonts w:ascii="Arial" w:hAnsi="Arial" w:cs="Arial"/>
                <w:sz w:val="22"/>
                <w:szCs w:val="22"/>
              </w:rPr>
              <w:t>highly</w:t>
            </w:r>
            <w:proofErr w:type="spellEnd"/>
            <w:r w:rsidRPr="0050314A">
              <w:rPr>
                <w:rFonts w:ascii="Arial" w:hAnsi="Arial" w:cs="Arial"/>
                <w:sz w:val="22"/>
                <w:szCs w:val="22"/>
              </w:rPr>
              <w:t xml:space="preserve"> sensitive </w:t>
            </w:r>
            <w:proofErr w:type="spellStart"/>
            <w:r w:rsidRPr="0050314A">
              <w:rPr>
                <w:rFonts w:ascii="Arial" w:hAnsi="Arial" w:cs="Arial"/>
                <w:sz w:val="22"/>
                <w:szCs w:val="22"/>
              </w:rPr>
              <w:t>differential</w:t>
            </w:r>
            <w:proofErr w:type="spellEnd"/>
            <w:r w:rsidRPr="0050314A">
              <w:rPr>
                <w:rFonts w:ascii="Arial" w:hAnsi="Arial" w:cs="Arial"/>
                <w:sz w:val="22"/>
                <w:szCs w:val="22"/>
              </w:rPr>
              <w:t xml:space="preserve"> pulse </w:t>
            </w:r>
            <w:proofErr w:type="spellStart"/>
            <w:r w:rsidRPr="0050314A">
              <w:rPr>
                <w:rFonts w:ascii="Arial" w:hAnsi="Arial" w:cs="Arial"/>
                <w:sz w:val="22"/>
                <w:szCs w:val="22"/>
              </w:rPr>
              <w:t>voltammetry</w:t>
            </w:r>
            <w:proofErr w:type="spellEnd"/>
            <w:r w:rsidRPr="0050314A">
              <w:rPr>
                <w:rFonts w:ascii="Arial" w:hAnsi="Arial" w:cs="Arial"/>
                <w:sz w:val="22"/>
                <w:szCs w:val="22"/>
              </w:rPr>
              <w:t xml:space="preserve"> (DPV) </w:t>
            </w:r>
            <w:proofErr w:type="spellStart"/>
            <w:r w:rsidRPr="0050314A">
              <w:rPr>
                <w:rFonts w:ascii="Arial" w:hAnsi="Arial" w:cs="Arial"/>
                <w:sz w:val="22"/>
                <w:szCs w:val="22"/>
              </w:rPr>
              <w:t>method</w:t>
            </w:r>
            <w:proofErr w:type="spellEnd"/>
            <w:r w:rsidRPr="0050314A">
              <w:rPr>
                <w:rFonts w:ascii="Arial" w:hAnsi="Arial" w:cs="Arial"/>
                <w:sz w:val="22"/>
                <w:szCs w:val="22"/>
              </w:rPr>
              <w:t xml:space="preserve"> </w:t>
            </w:r>
            <w:proofErr w:type="spellStart"/>
            <w:r w:rsidRPr="0050314A">
              <w:rPr>
                <w:rFonts w:ascii="Arial" w:hAnsi="Arial" w:cs="Arial"/>
                <w:sz w:val="22"/>
                <w:szCs w:val="22"/>
              </w:rPr>
              <w:t>employing</w:t>
            </w:r>
            <w:proofErr w:type="spellEnd"/>
            <w:r w:rsidRPr="0050314A">
              <w:rPr>
                <w:rFonts w:ascii="Arial" w:hAnsi="Arial" w:cs="Arial"/>
                <w:sz w:val="22"/>
                <w:szCs w:val="22"/>
              </w:rPr>
              <w:t xml:space="preserve"> a gold (Au)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w:t>
            </w:r>
            <w:proofErr w:type="spellStart"/>
            <w:r w:rsidRPr="0050314A">
              <w:rPr>
                <w:rFonts w:ascii="Arial" w:hAnsi="Arial" w:cs="Arial"/>
                <w:sz w:val="22"/>
                <w:szCs w:val="22"/>
              </w:rPr>
              <w:t>modified</w:t>
            </w:r>
            <w:proofErr w:type="spellEnd"/>
            <w:r w:rsidRPr="0050314A">
              <w:rPr>
                <w:rFonts w:ascii="Arial" w:hAnsi="Arial" w:cs="Arial"/>
                <w:sz w:val="22"/>
                <w:szCs w:val="22"/>
              </w:rPr>
              <w:t xml:space="preserve"> </w:t>
            </w:r>
            <w:proofErr w:type="spellStart"/>
            <w:r w:rsidRPr="0050314A">
              <w:rPr>
                <w:rFonts w:ascii="Arial" w:hAnsi="Arial" w:cs="Arial"/>
                <w:sz w:val="22"/>
                <w:szCs w:val="22"/>
              </w:rPr>
              <w:t>with</w:t>
            </w:r>
            <w:proofErr w:type="spellEnd"/>
            <w:r w:rsidRPr="0050314A">
              <w:rPr>
                <w:rFonts w:ascii="Arial" w:hAnsi="Arial" w:cs="Arial"/>
                <w:sz w:val="22"/>
                <w:szCs w:val="22"/>
              </w:rPr>
              <w:t xml:space="preserve"> </w:t>
            </w:r>
            <w:proofErr w:type="spellStart"/>
            <w:r w:rsidRPr="0050314A">
              <w:rPr>
                <w:rFonts w:ascii="Arial" w:hAnsi="Arial" w:cs="Arial"/>
                <w:sz w:val="22"/>
                <w:szCs w:val="22"/>
              </w:rPr>
              <w:t>silver</w:t>
            </w:r>
            <w:proofErr w:type="spellEnd"/>
            <w:r w:rsidRPr="0050314A">
              <w:rPr>
                <w:rFonts w:ascii="Arial" w:hAnsi="Arial" w:cs="Arial"/>
                <w:sz w:val="22"/>
                <w:szCs w:val="22"/>
              </w:rPr>
              <w:t xml:space="preserve"> </w:t>
            </w:r>
            <w:proofErr w:type="spellStart"/>
            <w:r w:rsidRPr="0050314A">
              <w:rPr>
                <w:rFonts w:ascii="Arial" w:hAnsi="Arial" w:cs="Arial"/>
                <w:sz w:val="22"/>
                <w:szCs w:val="22"/>
              </w:rPr>
              <w:t>nanoparticles</w:t>
            </w:r>
            <w:proofErr w:type="spellEnd"/>
            <w:r w:rsidRPr="0050314A">
              <w:rPr>
                <w:rFonts w:ascii="Arial" w:hAnsi="Arial" w:cs="Arial"/>
                <w:sz w:val="22"/>
                <w:szCs w:val="22"/>
              </w:rPr>
              <w:t xml:space="preserve"> </w:t>
            </w:r>
            <w:proofErr w:type="spellStart"/>
            <w:r w:rsidRPr="0050314A">
              <w:rPr>
                <w:rFonts w:ascii="Arial" w:hAnsi="Arial" w:cs="Arial"/>
                <w:sz w:val="22"/>
                <w:szCs w:val="22"/>
              </w:rPr>
              <w:t>supported</w:t>
            </w:r>
            <w:proofErr w:type="spellEnd"/>
            <w:r w:rsidRPr="0050314A">
              <w:rPr>
                <w:rFonts w:ascii="Arial" w:hAnsi="Arial" w:cs="Arial"/>
                <w:sz w:val="22"/>
                <w:szCs w:val="22"/>
              </w:rPr>
              <w:t xml:space="preserve"> by </w:t>
            </w:r>
            <w:proofErr w:type="spellStart"/>
            <w:r w:rsidRPr="0050314A">
              <w:rPr>
                <w:rFonts w:ascii="Arial" w:hAnsi="Arial" w:cs="Arial"/>
                <w:sz w:val="22"/>
                <w:szCs w:val="22"/>
              </w:rPr>
              <w:t>carbon</w:t>
            </w:r>
            <w:proofErr w:type="spellEnd"/>
            <w:r w:rsidRPr="0050314A">
              <w:rPr>
                <w:rFonts w:ascii="Arial" w:hAnsi="Arial" w:cs="Arial"/>
                <w:sz w:val="22"/>
                <w:szCs w:val="22"/>
              </w:rPr>
              <w:t xml:space="preserve"> quantum dots (</w:t>
            </w:r>
            <w:proofErr w:type="spellStart"/>
            <w:r w:rsidRPr="0050314A">
              <w:rPr>
                <w:rFonts w:ascii="Arial" w:hAnsi="Arial" w:cs="Arial"/>
                <w:sz w:val="22"/>
                <w:szCs w:val="22"/>
              </w:rPr>
              <w:t>AgCDs</w:t>
            </w:r>
            <w:proofErr w:type="spellEnd"/>
            <w:r w:rsidRPr="0050314A">
              <w:rPr>
                <w:rFonts w:ascii="Arial" w:hAnsi="Arial" w:cs="Arial"/>
                <w:sz w:val="22"/>
                <w:szCs w:val="22"/>
              </w:rPr>
              <w:t>).</w:t>
            </w:r>
            <w:r w:rsidR="004E2741">
              <w:rPr>
                <w:rFonts w:ascii="Arial" w:hAnsi="Arial" w:cs="Arial"/>
                <w:sz w:val="22"/>
                <w:szCs w:val="22"/>
              </w:rPr>
              <w:t xml:space="preserve"> </w:t>
            </w:r>
            <w:r w:rsidRPr="0050314A">
              <w:rPr>
                <w:rFonts w:ascii="Arial" w:hAnsi="Arial" w:cs="Arial"/>
                <w:sz w:val="22"/>
                <w:szCs w:val="22"/>
              </w:rPr>
              <w:t xml:space="preserve">This modification </w:t>
            </w:r>
            <w:proofErr w:type="spellStart"/>
            <w:r w:rsidRPr="0050314A">
              <w:rPr>
                <w:rFonts w:ascii="Arial" w:hAnsi="Arial" w:cs="Arial"/>
                <w:sz w:val="22"/>
                <w:szCs w:val="22"/>
              </w:rPr>
              <w:t>significantly</w:t>
            </w:r>
            <w:proofErr w:type="spellEnd"/>
            <w:r w:rsidRPr="0050314A">
              <w:rPr>
                <w:rFonts w:ascii="Arial" w:hAnsi="Arial" w:cs="Arial"/>
                <w:sz w:val="22"/>
                <w:szCs w:val="22"/>
              </w:rPr>
              <w:t xml:space="preserve"> </w:t>
            </w:r>
            <w:proofErr w:type="spellStart"/>
            <w:r w:rsidRPr="0050314A">
              <w:rPr>
                <w:rFonts w:ascii="Arial" w:hAnsi="Arial" w:cs="Arial"/>
                <w:sz w:val="22"/>
                <w:szCs w:val="22"/>
              </w:rPr>
              <w:t>enhances</w:t>
            </w:r>
            <w:proofErr w:type="spellEnd"/>
            <w:r w:rsidRPr="0050314A">
              <w:rPr>
                <w:rFonts w:ascii="Arial" w:hAnsi="Arial" w:cs="Arial"/>
                <w:sz w:val="22"/>
                <w:szCs w:val="22"/>
              </w:rPr>
              <w:t xml:space="preserve"> the </w:t>
            </w:r>
            <w:proofErr w:type="spellStart"/>
            <w:r w:rsidRPr="0050314A">
              <w:rPr>
                <w:rFonts w:ascii="Arial" w:hAnsi="Arial" w:cs="Arial"/>
                <w:sz w:val="22"/>
                <w:szCs w:val="22"/>
              </w:rPr>
              <w:t>electrochemical</w:t>
            </w:r>
            <w:proofErr w:type="spellEnd"/>
            <w:r w:rsidRPr="0050314A">
              <w:rPr>
                <w:rFonts w:ascii="Arial" w:hAnsi="Arial" w:cs="Arial"/>
                <w:sz w:val="22"/>
                <w:szCs w:val="22"/>
              </w:rPr>
              <w:t xml:space="preserve"> </w:t>
            </w:r>
            <w:proofErr w:type="spellStart"/>
            <w:r w:rsidRPr="0050314A">
              <w:rPr>
                <w:rFonts w:ascii="Arial" w:hAnsi="Arial" w:cs="Arial"/>
                <w:sz w:val="22"/>
                <w:szCs w:val="22"/>
              </w:rPr>
              <w:t>properties</w:t>
            </w:r>
            <w:proofErr w:type="spellEnd"/>
            <w:r w:rsidRPr="0050314A">
              <w:rPr>
                <w:rFonts w:ascii="Arial" w:hAnsi="Arial" w:cs="Arial"/>
                <w:sz w:val="22"/>
                <w:szCs w:val="22"/>
              </w:rPr>
              <w:t xml:space="preserve"> of the gold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for the redox </w:t>
            </w:r>
            <w:proofErr w:type="spellStart"/>
            <w:r w:rsidRPr="0050314A">
              <w:rPr>
                <w:rFonts w:ascii="Arial" w:hAnsi="Arial" w:cs="Arial"/>
                <w:sz w:val="22"/>
                <w:szCs w:val="22"/>
              </w:rPr>
              <w:t>reaction</w:t>
            </w:r>
            <w:proofErr w:type="spellEnd"/>
            <w:r w:rsidRPr="0050314A">
              <w:rPr>
                <w:rFonts w:ascii="Arial" w:hAnsi="Arial" w:cs="Arial"/>
                <w:sz w:val="22"/>
                <w:szCs w:val="22"/>
              </w:rPr>
              <w:t xml:space="preserve"> of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Carbon quantum dots (CDs) </w:t>
            </w:r>
            <w:proofErr w:type="spellStart"/>
            <w:r w:rsidRPr="0050314A">
              <w:rPr>
                <w:rFonts w:ascii="Arial" w:hAnsi="Arial" w:cs="Arial"/>
                <w:sz w:val="22"/>
                <w:szCs w:val="22"/>
              </w:rPr>
              <w:t>were</w:t>
            </w:r>
            <w:proofErr w:type="spellEnd"/>
            <w:r w:rsidRPr="0050314A">
              <w:rPr>
                <w:rFonts w:ascii="Arial" w:hAnsi="Arial" w:cs="Arial"/>
                <w:sz w:val="22"/>
                <w:szCs w:val="22"/>
              </w:rPr>
              <w:t xml:space="preserve"> </w:t>
            </w:r>
            <w:proofErr w:type="spellStart"/>
            <w:r w:rsidRPr="0050314A">
              <w:rPr>
                <w:rFonts w:ascii="Arial" w:hAnsi="Arial" w:cs="Arial"/>
                <w:sz w:val="22"/>
                <w:szCs w:val="22"/>
              </w:rPr>
              <w:t>synthesized</w:t>
            </w:r>
            <w:proofErr w:type="spellEnd"/>
            <w:r w:rsidRPr="0050314A">
              <w:rPr>
                <w:rFonts w:ascii="Arial" w:hAnsi="Arial" w:cs="Arial"/>
                <w:sz w:val="22"/>
                <w:szCs w:val="22"/>
              </w:rPr>
              <w:t xml:space="preserve"> </w:t>
            </w:r>
            <w:proofErr w:type="spellStart"/>
            <w:r w:rsidRPr="0050314A">
              <w:rPr>
                <w:rFonts w:ascii="Arial" w:hAnsi="Arial" w:cs="Arial"/>
                <w:sz w:val="22"/>
                <w:szCs w:val="22"/>
              </w:rPr>
              <w:t>from</w:t>
            </w:r>
            <w:proofErr w:type="spellEnd"/>
            <w:r w:rsidRPr="0050314A">
              <w:rPr>
                <w:rFonts w:ascii="Arial" w:hAnsi="Arial" w:cs="Arial"/>
                <w:sz w:val="22"/>
                <w:szCs w:val="22"/>
              </w:rPr>
              <w:t xml:space="preserve"> </w:t>
            </w:r>
            <w:proofErr w:type="spellStart"/>
            <w:r w:rsidRPr="0050314A">
              <w:rPr>
                <w:rFonts w:ascii="Arial" w:hAnsi="Arial" w:cs="Arial"/>
                <w:sz w:val="22"/>
                <w:szCs w:val="22"/>
              </w:rPr>
              <w:t>pineapple</w:t>
            </w:r>
            <w:proofErr w:type="spellEnd"/>
            <w:r w:rsidRPr="0050314A">
              <w:rPr>
                <w:rFonts w:ascii="Arial" w:hAnsi="Arial" w:cs="Arial"/>
                <w:sz w:val="22"/>
                <w:szCs w:val="22"/>
              </w:rPr>
              <w:t xml:space="preserve"> </w:t>
            </w:r>
            <w:proofErr w:type="spellStart"/>
            <w:r w:rsidRPr="0050314A">
              <w:rPr>
                <w:rFonts w:ascii="Arial" w:hAnsi="Arial" w:cs="Arial"/>
                <w:sz w:val="22"/>
                <w:szCs w:val="22"/>
              </w:rPr>
              <w:t>peel</w:t>
            </w:r>
            <w:proofErr w:type="spellEnd"/>
            <w:r w:rsidRPr="0050314A">
              <w:rPr>
                <w:rFonts w:ascii="Arial" w:hAnsi="Arial" w:cs="Arial"/>
                <w:sz w:val="22"/>
                <w:szCs w:val="22"/>
              </w:rPr>
              <w:t xml:space="preserve"> </w:t>
            </w:r>
            <w:proofErr w:type="spellStart"/>
            <w:r w:rsidRPr="0050314A">
              <w:rPr>
                <w:rFonts w:ascii="Arial" w:hAnsi="Arial" w:cs="Arial"/>
                <w:sz w:val="22"/>
                <w:szCs w:val="22"/>
              </w:rPr>
              <w:t>juice</w:t>
            </w:r>
            <w:proofErr w:type="spellEnd"/>
            <w:r w:rsidRPr="0050314A">
              <w:rPr>
                <w:rFonts w:ascii="Arial" w:hAnsi="Arial" w:cs="Arial"/>
                <w:sz w:val="22"/>
                <w:szCs w:val="22"/>
              </w:rPr>
              <w:t xml:space="preserve"> via a hydrothermal </w:t>
            </w:r>
            <w:proofErr w:type="spellStart"/>
            <w:r w:rsidRPr="0050314A">
              <w:rPr>
                <w:rFonts w:ascii="Arial" w:hAnsi="Arial" w:cs="Arial"/>
                <w:sz w:val="22"/>
                <w:szCs w:val="22"/>
              </w:rPr>
              <w:t>approach</w:t>
            </w:r>
            <w:proofErr w:type="spellEnd"/>
            <w:r w:rsidRPr="0050314A">
              <w:rPr>
                <w:rFonts w:ascii="Arial" w:hAnsi="Arial" w:cs="Arial"/>
                <w:sz w:val="22"/>
                <w:szCs w:val="22"/>
              </w:rPr>
              <w:t xml:space="preserve"> and </w:t>
            </w:r>
            <w:proofErr w:type="spellStart"/>
            <w:r w:rsidRPr="0050314A">
              <w:rPr>
                <w:rFonts w:ascii="Arial" w:hAnsi="Arial" w:cs="Arial"/>
                <w:sz w:val="22"/>
                <w:szCs w:val="22"/>
              </w:rPr>
              <w:t>subsequently</w:t>
            </w:r>
            <w:proofErr w:type="spellEnd"/>
            <w:r w:rsidRPr="0050314A">
              <w:rPr>
                <w:rFonts w:ascii="Arial" w:hAnsi="Arial" w:cs="Arial"/>
                <w:sz w:val="22"/>
                <w:szCs w:val="22"/>
              </w:rPr>
              <w:t xml:space="preserve"> </w:t>
            </w:r>
            <w:proofErr w:type="spellStart"/>
            <w:r w:rsidRPr="0050314A">
              <w:rPr>
                <w:rFonts w:ascii="Arial" w:hAnsi="Arial" w:cs="Arial"/>
                <w:sz w:val="22"/>
                <w:szCs w:val="22"/>
              </w:rPr>
              <w:t>utilized</w:t>
            </w:r>
            <w:proofErr w:type="spellEnd"/>
            <w:r w:rsidRPr="0050314A">
              <w:rPr>
                <w:rFonts w:ascii="Arial" w:hAnsi="Arial" w:cs="Arial"/>
                <w:sz w:val="22"/>
                <w:szCs w:val="22"/>
              </w:rPr>
              <w:t xml:space="preserve"> as </w:t>
            </w:r>
            <w:proofErr w:type="spellStart"/>
            <w:r w:rsidRPr="0050314A">
              <w:rPr>
                <w:rFonts w:ascii="Arial" w:hAnsi="Arial" w:cs="Arial"/>
                <w:sz w:val="22"/>
                <w:szCs w:val="22"/>
              </w:rPr>
              <w:t>both</w:t>
            </w:r>
            <w:proofErr w:type="spellEnd"/>
            <w:r w:rsidRPr="0050314A">
              <w:rPr>
                <w:rFonts w:ascii="Arial" w:hAnsi="Arial" w:cs="Arial"/>
                <w:sz w:val="22"/>
                <w:szCs w:val="22"/>
              </w:rPr>
              <w:t xml:space="preserve"> </w:t>
            </w:r>
            <w:proofErr w:type="spellStart"/>
            <w:r w:rsidRPr="0050314A">
              <w:rPr>
                <w:rFonts w:ascii="Arial" w:hAnsi="Arial" w:cs="Arial"/>
                <w:sz w:val="22"/>
                <w:szCs w:val="22"/>
              </w:rPr>
              <w:t>reducing</w:t>
            </w:r>
            <w:proofErr w:type="spellEnd"/>
            <w:r w:rsidRPr="0050314A">
              <w:rPr>
                <w:rFonts w:ascii="Arial" w:hAnsi="Arial" w:cs="Arial"/>
                <w:sz w:val="22"/>
                <w:szCs w:val="22"/>
              </w:rPr>
              <w:t xml:space="preserve"> and </w:t>
            </w:r>
            <w:proofErr w:type="spellStart"/>
            <w:r w:rsidRPr="0050314A">
              <w:rPr>
                <w:rFonts w:ascii="Arial" w:hAnsi="Arial" w:cs="Arial"/>
                <w:sz w:val="22"/>
                <w:szCs w:val="22"/>
              </w:rPr>
              <w:t>stabilizing</w:t>
            </w:r>
            <w:proofErr w:type="spellEnd"/>
            <w:r w:rsidRPr="0050314A">
              <w:rPr>
                <w:rFonts w:ascii="Arial" w:hAnsi="Arial" w:cs="Arial"/>
                <w:sz w:val="22"/>
                <w:szCs w:val="22"/>
              </w:rPr>
              <w:t xml:space="preserve"> agents for the </w:t>
            </w:r>
            <w:proofErr w:type="spellStart"/>
            <w:r w:rsidRPr="0050314A">
              <w:rPr>
                <w:rFonts w:ascii="Arial" w:hAnsi="Arial" w:cs="Arial"/>
                <w:sz w:val="22"/>
                <w:szCs w:val="22"/>
              </w:rPr>
              <w:t>synthesis</w:t>
            </w:r>
            <w:proofErr w:type="spellEnd"/>
            <w:r w:rsidRPr="0050314A">
              <w:rPr>
                <w:rFonts w:ascii="Arial" w:hAnsi="Arial" w:cs="Arial"/>
                <w:sz w:val="22"/>
                <w:szCs w:val="22"/>
              </w:rPr>
              <w:t xml:space="preserve"> of </w:t>
            </w:r>
            <w:proofErr w:type="spellStart"/>
            <w:r w:rsidRPr="0050314A">
              <w:rPr>
                <w:rFonts w:ascii="Arial" w:hAnsi="Arial" w:cs="Arial"/>
                <w:sz w:val="22"/>
                <w:szCs w:val="22"/>
              </w:rPr>
              <w:t>silver</w:t>
            </w:r>
            <w:proofErr w:type="spellEnd"/>
            <w:r w:rsidRPr="0050314A">
              <w:rPr>
                <w:rFonts w:ascii="Arial" w:hAnsi="Arial" w:cs="Arial"/>
                <w:sz w:val="22"/>
                <w:szCs w:val="22"/>
              </w:rPr>
              <w:t xml:space="preserve"> </w:t>
            </w:r>
            <w:proofErr w:type="spellStart"/>
            <w:r w:rsidRPr="0050314A">
              <w:rPr>
                <w:rFonts w:ascii="Arial" w:hAnsi="Arial" w:cs="Arial"/>
                <w:sz w:val="22"/>
                <w:szCs w:val="22"/>
              </w:rPr>
              <w:t>nanoparticles</w:t>
            </w:r>
            <w:proofErr w:type="spellEnd"/>
            <w:r w:rsidRPr="0050314A">
              <w:rPr>
                <w:rFonts w:ascii="Arial" w:hAnsi="Arial" w:cs="Arial"/>
                <w:sz w:val="22"/>
                <w:szCs w:val="22"/>
              </w:rPr>
              <w:t xml:space="preserve"> (</w:t>
            </w:r>
            <w:proofErr w:type="spellStart"/>
            <w:r w:rsidRPr="0050314A">
              <w:rPr>
                <w:rFonts w:ascii="Arial" w:hAnsi="Arial" w:cs="Arial"/>
                <w:sz w:val="22"/>
                <w:szCs w:val="22"/>
              </w:rPr>
              <w:t>AgNPs</w:t>
            </w:r>
            <w:proofErr w:type="spellEnd"/>
            <w:r w:rsidRPr="0050314A">
              <w:rPr>
                <w:rFonts w:ascii="Arial" w:hAnsi="Arial" w:cs="Arial"/>
                <w:sz w:val="22"/>
                <w:szCs w:val="22"/>
              </w:rPr>
              <w:t>).</w:t>
            </w:r>
            <w:r w:rsidR="00371186">
              <w:rPr>
                <w:rFonts w:ascii="Arial" w:hAnsi="Arial" w:cs="Arial"/>
                <w:sz w:val="22"/>
                <w:szCs w:val="22"/>
              </w:rPr>
              <w:t xml:space="preserve"> </w:t>
            </w:r>
            <w:proofErr w:type="spellStart"/>
            <w:r w:rsidR="00371186" w:rsidRPr="00371186">
              <w:rPr>
                <w:rFonts w:ascii="Arial" w:hAnsi="Arial" w:cs="Arial"/>
                <w:sz w:val="22"/>
                <w:szCs w:val="22"/>
                <w:highlight w:val="yellow"/>
              </w:rPr>
              <w:t>Characterization</w:t>
            </w:r>
            <w:proofErr w:type="spellEnd"/>
            <w:r w:rsidR="00371186" w:rsidRPr="00371186">
              <w:rPr>
                <w:rFonts w:ascii="Arial" w:hAnsi="Arial" w:cs="Arial"/>
                <w:sz w:val="22"/>
                <w:szCs w:val="22"/>
                <w:highlight w:val="yellow"/>
              </w:rPr>
              <w:t xml:space="preserve"> of the CDs and the </w:t>
            </w:r>
            <w:proofErr w:type="spellStart"/>
            <w:r w:rsidR="00371186" w:rsidRPr="00371186">
              <w:rPr>
                <w:rFonts w:ascii="Arial" w:hAnsi="Arial" w:cs="Arial"/>
                <w:sz w:val="22"/>
                <w:szCs w:val="22"/>
                <w:highlight w:val="yellow"/>
              </w:rPr>
              <w:t>AgCDs</w:t>
            </w:r>
            <w:proofErr w:type="spellEnd"/>
            <w:r w:rsidR="00371186" w:rsidRPr="00371186">
              <w:rPr>
                <w:rFonts w:ascii="Arial" w:hAnsi="Arial" w:cs="Arial"/>
                <w:sz w:val="22"/>
                <w:szCs w:val="22"/>
                <w:highlight w:val="yellow"/>
              </w:rPr>
              <w:t xml:space="preserve"> composite </w:t>
            </w:r>
            <w:proofErr w:type="spellStart"/>
            <w:r w:rsidR="00371186" w:rsidRPr="00371186">
              <w:rPr>
                <w:rFonts w:ascii="Arial" w:hAnsi="Arial" w:cs="Arial"/>
                <w:sz w:val="22"/>
                <w:szCs w:val="22"/>
                <w:highlight w:val="yellow"/>
              </w:rPr>
              <w:t>using</w:t>
            </w:r>
            <w:proofErr w:type="spellEnd"/>
            <w:r w:rsidR="00371186" w:rsidRPr="00371186">
              <w:rPr>
                <w:rFonts w:ascii="Arial" w:hAnsi="Arial" w:cs="Arial"/>
                <w:sz w:val="22"/>
                <w:szCs w:val="22"/>
                <w:highlight w:val="yellow"/>
              </w:rPr>
              <w:t xml:space="preserve"> KMnO4/H2SO4, bromothymol </w:t>
            </w:r>
            <w:proofErr w:type="spellStart"/>
            <w:r w:rsidR="00371186" w:rsidRPr="00371186">
              <w:rPr>
                <w:rFonts w:ascii="Arial" w:hAnsi="Arial" w:cs="Arial"/>
                <w:sz w:val="22"/>
                <w:szCs w:val="22"/>
                <w:highlight w:val="yellow"/>
              </w:rPr>
              <w:t>blue</w:t>
            </w:r>
            <w:proofErr w:type="spellEnd"/>
            <w:r w:rsidR="00371186" w:rsidRPr="00371186">
              <w:rPr>
                <w:rFonts w:ascii="Arial" w:hAnsi="Arial" w:cs="Arial"/>
                <w:sz w:val="22"/>
                <w:szCs w:val="22"/>
                <w:highlight w:val="yellow"/>
              </w:rPr>
              <w:t xml:space="preserve"> (BTB), and Tollens </w:t>
            </w:r>
            <w:proofErr w:type="spellStart"/>
            <w:r w:rsidR="00371186" w:rsidRPr="00371186">
              <w:rPr>
                <w:rFonts w:ascii="Arial" w:hAnsi="Arial" w:cs="Arial"/>
                <w:sz w:val="22"/>
                <w:szCs w:val="22"/>
                <w:highlight w:val="yellow"/>
              </w:rPr>
              <w:t>reagents</w:t>
            </w:r>
            <w:proofErr w:type="spellEnd"/>
            <w:r w:rsidR="00371186" w:rsidRPr="00371186">
              <w:rPr>
                <w:rFonts w:ascii="Arial" w:hAnsi="Arial" w:cs="Arial"/>
                <w:sz w:val="22"/>
                <w:szCs w:val="22"/>
                <w:highlight w:val="yellow"/>
              </w:rPr>
              <w:t xml:space="preserve"> </w:t>
            </w:r>
            <w:proofErr w:type="spellStart"/>
            <w:r w:rsidR="00371186" w:rsidRPr="00371186">
              <w:rPr>
                <w:rFonts w:ascii="Arial" w:hAnsi="Arial" w:cs="Arial"/>
                <w:sz w:val="22"/>
                <w:szCs w:val="22"/>
                <w:highlight w:val="yellow"/>
              </w:rPr>
              <w:t>confirmed</w:t>
            </w:r>
            <w:proofErr w:type="spellEnd"/>
            <w:r w:rsidR="00371186" w:rsidRPr="00371186">
              <w:rPr>
                <w:rFonts w:ascii="Arial" w:hAnsi="Arial" w:cs="Arial"/>
                <w:sz w:val="22"/>
                <w:szCs w:val="22"/>
                <w:highlight w:val="yellow"/>
              </w:rPr>
              <w:t xml:space="preserve"> the </w:t>
            </w:r>
            <w:proofErr w:type="spellStart"/>
            <w:r w:rsidR="00371186" w:rsidRPr="00371186">
              <w:rPr>
                <w:rFonts w:ascii="Arial" w:hAnsi="Arial" w:cs="Arial"/>
                <w:sz w:val="22"/>
                <w:szCs w:val="22"/>
                <w:highlight w:val="yellow"/>
              </w:rPr>
              <w:t>presence</w:t>
            </w:r>
            <w:proofErr w:type="spellEnd"/>
            <w:r w:rsidR="00371186" w:rsidRPr="00371186">
              <w:rPr>
                <w:rFonts w:ascii="Arial" w:hAnsi="Arial" w:cs="Arial"/>
                <w:sz w:val="22"/>
                <w:szCs w:val="22"/>
                <w:highlight w:val="yellow"/>
              </w:rPr>
              <w:t xml:space="preserve"> of </w:t>
            </w:r>
            <w:proofErr w:type="spellStart"/>
            <w:r w:rsidR="00371186" w:rsidRPr="00371186">
              <w:rPr>
                <w:rFonts w:ascii="Arial" w:hAnsi="Arial" w:cs="Arial"/>
                <w:sz w:val="22"/>
                <w:szCs w:val="22"/>
                <w:highlight w:val="yellow"/>
              </w:rPr>
              <w:t>alcohol</w:t>
            </w:r>
            <w:proofErr w:type="spellEnd"/>
            <w:r w:rsidR="00371186" w:rsidRPr="00371186">
              <w:rPr>
                <w:rFonts w:ascii="Arial" w:hAnsi="Arial" w:cs="Arial"/>
                <w:sz w:val="22"/>
                <w:szCs w:val="22"/>
                <w:highlight w:val="yellow"/>
              </w:rPr>
              <w:t xml:space="preserve">, </w:t>
            </w:r>
            <w:proofErr w:type="spellStart"/>
            <w:r w:rsidR="00371186" w:rsidRPr="00371186">
              <w:rPr>
                <w:rFonts w:ascii="Arial" w:hAnsi="Arial" w:cs="Arial"/>
                <w:sz w:val="22"/>
                <w:szCs w:val="22"/>
                <w:highlight w:val="yellow"/>
              </w:rPr>
              <w:t>carboxyl</w:t>
            </w:r>
            <w:proofErr w:type="spellEnd"/>
            <w:r w:rsidR="00371186" w:rsidRPr="00371186">
              <w:rPr>
                <w:rFonts w:ascii="Arial" w:hAnsi="Arial" w:cs="Arial"/>
                <w:sz w:val="22"/>
                <w:szCs w:val="22"/>
                <w:highlight w:val="yellow"/>
              </w:rPr>
              <w:t xml:space="preserve">, and </w:t>
            </w:r>
            <w:proofErr w:type="spellStart"/>
            <w:r w:rsidR="00371186" w:rsidRPr="00371186">
              <w:rPr>
                <w:rFonts w:ascii="Arial" w:hAnsi="Arial" w:cs="Arial"/>
                <w:sz w:val="22"/>
                <w:szCs w:val="22"/>
                <w:highlight w:val="yellow"/>
              </w:rPr>
              <w:t>carbonyl</w:t>
            </w:r>
            <w:proofErr w:type="spellEnd"/>
            <w:r w:rsidR="00371186" w:rsidRPr="00371186">
              <w:rPr>
                <w:rFonts w:ascii="Arial" w:hAnsi="Arial" w:cs="Arial"/>
                <w:sz w:val="22"/>
                <w:szCs w:val="22"/>
                <w:highlight w:val="yellow"/>
              </w:rPr>
              <w:t xml:space="preserve"> </w:t>
            </w:r>
            <w:proofErr w:type="spellStart"/>
            <w:r w:rsidR="00371186" w:rsidRPr="00371186">
              <w:rPr>
                <w:rFonts w:ascii="Arial" w:hAnsi="Arial" w:cs="Arial"/>
                <w:sz w:val="22"/>
                <w:szCs w:val="22"/>
                <w:highlight w:val="yellow"/>
              </w:rPr>
              <w:t>functional</w:t>
            </w:r>
            <w:proofErr w:type="spellEnd"/>
            <w:r w:rsidR="00371186" w:rsidRPr="00371186">
              <w:rPr>
                <w:rFonts w:ascii="Arial" w:hAnsi="Arial" w:cs="Arial"/>
                <w:sz w:val="22"/>
                <w:szCs w:val="22"/>
                <w:highlight w:val="yellow"/>
              </w:rPr>
              <w:t xml:space="preserve"> groups on </w:t>
            </w:r>
            <w:proofErr w:type="spellStart"/>
            <w:r w:rsidR="00371186" w:rsidRPr="00371186">
              <w:rPr>
                <w:rFonts w:ascii="Arial" w:hAnsi="Arial" w:cs="Arial"/>
                <w:sz w:val="22"/>
                <w:szCs w:val="22"/>
                <w:highlight w:val="yellow"/>
              </w:rPr>
              <w:t>their</w:t>
            </w:r>
            <w:proofErr w:type="spellEnd"/>
            <w:r w:rsidR="00371186" w:rsidRPr="00371186">
              <w:rPr>
                <w:rFonts w:ascii="Arial" w:hAnsi="Arial" w:cs="Arial"/>
                <w:sz w:val="22"/>
                <w:szCs w:val="22"/>
                <w:highlight w:val="yellow"/>
              </w:rPr>
              <w:t xml:space="preserve"> surface, </w:t>
            </w:r>
            <w:proofErr w:type="spellStart"/>
            <w:r w:rsidR="00371186" w:rsidRPr="00371186">
              <w:rPr>
                <w:rFonts w:ascii="Arial" w:hAnsi="Arial" w:cs="Arial"/>
                <w:sz w:val="22"/>
                <w:szCs w:val="22"/>
                <w:highlight w:val="yellow"/>
              </w:rPr>
              <w:t>which</w:t>
            </w:r>
            <w:proofErr w:type="spellEnd"/>
            <w:r w:rsidR="00371186" w:rsidRPr="00371186">
              <w:rPr>
                <w:rFonts w:ascii="Arial" w:hAnsi="Arial" w:cs="Arial"/>
                <w:sz w:val="22"/>
                <w:szCs w:val="22"/>
                <w:highlight w:val="yellow"/>
              </w:rPr>
              <w:t xml:space="preserve"> are essential for </w:t>
            </w:r>
            <w:proofErr w:type="spellStart"/>
            <w:r w:rsidR="00371186" w:rsidRPr="00371186">
              <w:rPr>
                <w:rFonts w:ascii="Arial" w:hAnsi="Arial" w:cs="Arial"/>
                <w:sz w:val="22"/>
                <w:szCs w:val="22"/>
                <w:highlight w:val="yellow"/>
              </w:rPr>
              <w:t>electrochemical</w:t>
            </w:r>
            <w:proofErr w:type="spellEnd"/>
            <w:r w:rsidR="00371186" w:rsidRPr="00371186">
              <w:rPr>
                <w:rFonts w:ascii="Arial" w:hAnsi="Arial" w:cs="Arial"/>
                <w:sz w:val="22"/>
                <w:szCs w:val="22"/>
                <w:highlight w:val="yellow"/>
              </w:rPr>
              <w:t xml:space="preserve"> </w:t>
            </w:r>
            <w:proofErr w:type="spellStart"/>
            <w:r w:rsidR="00371186" w:rsidRPr="00371186">
              <w:rPr>
                <w:rFonts w:ascii="Arial" w:hAnsi="Arial" w:cs="Arial"/>
                <w:sz w:val="22"/>
                <w:szCs w:val="22"/>
                <w:highlight w:val="yellow"/>
              </w:rPr>
              <w:t>activity</w:t>
            </w:r>
            <w:proofErr w:type="spellEnd"/>
            <w:r w:rsidR="00371186" w:rsidRPr="00371186">
              <w:rPr>
                <w:rFonts w:ascii="Arial" w:hAnsi="Arial" w:cs="Arial"/>
                <w:sz w:val="22"/>
                <w:szCs w:val="22"/>
                <w:highlight w:val="yellow"/>
              </w:rPr>
              <w:t>.</w:t>
            </w:r>
            <w:r w:rsidRPr="0050314A">
              <w:rPr>
                <w:rFonts w:ascii="Arial" w:hAnsi="Arial" w:cs="Arial"/>
                <w:sz w:val="22"/>
                <w:szCs w:val="22"/>
              </w:rPr>
              <w:t xml:space="preserve"> Under </w:t>
            </w:r>
            <w:proofErr w:type="spellStart"/>
            <w:r w:rsidRPr="0050314A">
              <w:rPr>
                <w:rFonts w:ascii="Arial" w:hAnsi="Arial" w:cs="Arial"/>
                <w:sz w:val="22"/>
                <w:szCs w:val="22"/>
              </w:rPr>
              <w:t>optimized</w:t>
            </w:r>
            <w:proofErr w:type="spellEnd"/>
            <w:r w:rsidRPr="0050314A">
              <w:rPr>
                <w:rFonts w:ascii="Arial" w:hAnsi="Arial" w:cs="Arial"/>
                <w:sz w:val="22"/>
                <w:szCs w:val="22"/>
              </w:rPr>
              <w:t xml:space="preserve"> conditions in a </w:t>
            </w:r>
            <w:proofErr w:type="spellStart"/>
            <w:r w:rsidRPr="0050314A">
              <w:rPr>
                <w:rFonts w:ascii="Arial" w:hAnsi="Arial" w:cs="Arial"/>
                <w:sz w:val="22"/>
                <w:szCs w:val="22"/>
              </w:rPr>
              <w:t>Na</w:t>
            </w:r>
            <w:r w:rsidRPr="0050314A">
              <w:rPr>
                <w:rFonts w:ascii="Cambria Math" w:hAnsi="Cambria Math" w:cs="Cambria Math"/>
                <w:sz w:val="22"/>
                <w:szCs w:val="22"/>
              </w:rPr>
              <w:t>₂</w:t>
            </w:r>
            <w:r w:rsidRPr="0050314A">
              <w:rPr>
                <w:rFonts w:ascii="Arial" w:hAnsi="Arial" w:cs="Arial"/>
                <w:sz w:val="22"/>
                <w:szCs w:val="22"/>
              </w:rPr>
              <w:t>SO</w:t>
            </w:r>
            <w:proofErr w:type="spellEnd"/>
            <w:r w:rsidRPr="0050314A">
              <w:rPr>
                <w:rFonts w:ascii="Cambria Math" w:hAnsi="Cambria Math" w:cs="Cambria Math"/>
                <w:sz w:val="22"/>
                <w:szCs w:val="22"/>
              </w:rPr>
              <w:t>₄</w:t>
            </w:r>
            <w:r w:rsidRPr="0050314A">
              <w:rPr>
                <w:rFonts w:ascii="Arial" w:hAnsi="Arial" w:cs="Arial"/>
                <w:sz w:val="22"/>
                <w:szCs w:val="22"/>
              </w:rPr>
              <w:t xml:space="preserve"> </w:t>
            </w:r>
            <w:proofErr w:type="spellStart"/>
            <w:r w:rsidRPr="0050314A">
              <w:rPr>
                <w:rFonts w:ascii="Arial" w:hAnsi="Arial" w:cs="Arial"/>
                <w:sz w:val="22"/>
                <w:szCs w:val="22"/>
              </w:rPr>
              <w:t>electrolytic</w:t>
            </w:r>
            <w:proofErr w:type="spellEnd"/>
            <w:r w:rsidRPr="0050314A">
              <w:rPr>
                <w:rFonts w:ascii="Arial" w:hAnsi="Arial" w:cs="Arial"/>
                <w:sz w:val="22"/>
                <w:szCs w:val="22"/>
              </w:rPr>
              <w:t xml:space="preserve"> solution, the </w:t>
            </w:r>
            <w:proofErr w:type="spellStart"/>
            <w:r w:rsidRPr="0050314A">
              <w:rPr>
                <w:rFonts w:ascii="Arial" w:hAnsi="Arial" w:cs="Arial"/>
                <w:sz w:val="22"/>
                <w:szCs w:val="22"/>
              </w:rPr>
              <w:t>AgCDs</w:t>
            </w:r>
            <w:proofErr w:type="spellEnd"/>
            <w:r w:rsidRPr="0050314A">
              <w:rPr>
                <w:rFonts w:ascii="Arial" w:hAnsi="Arial" w:cs="Arial"/>
                <w:sz w:val="22"/>
                <w:szCs w:val="22"/>
              </w:rPr>
              <w:t xml:space="preserve">/Au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w:t>
            </w:r>
            <w:proofErr w:type="spellStart"/>
            <w:r w:rsidRPr="0050314A">
              <w:rPr>
                <w:rFonts w:ascii="Arial" w:hAnsi="Arial" w:cs="Arial"/>
                <w:sz w:val="22"/>
                <w:szCs w:val="22"/>
              </w:rPr>
              <w:t>demonstrated</w:t>
            </w:r>
            <w:proofErr w:type="spellEnd"/>
            <w:r w:rsidRPr="0050314A">
              <w:rPr>
                <w:rFonts w:ascii="Arial" w:hAnsi="Arial" w:cs="Arial"/>
                <w:sz w:val="22"/>
                <w:szCs w:val="22"/>
              </w:rPr>
              <w:t xml:space="preserve"> a </w:t>
            </w:r>
            <w:proofErr w:type="spellStart"/>
            <w:r w:rsidRPr="0050314A">
              <w:rPr>
                <w:rFonts w:ascii="Arial" w:hAnsi="Arial" w:cs="Arial"/>
                <w:sz w:val="22"/>
                <w:szCs w:val="22"/>
              </w:rPr>
              <w:t>linear</w:t>
            </w:r>
            <w:proofErr w:type="spellEnd"/>
            <w:r w:rsidRPr="0050314A">
              <w:rPr>
                <w:rFonts w:ascii="Arial" w:hAnsi="Arial" w:cs="Arial"/>
                <w:sz w:val="22"/>
                <w:szCs w:val="22"/>
              </w:rPr>
              <w:t xml:space="preserve"> </w:t>
            </w:r>
            <w:proofErr w:type="spellStart"/>
            <w:r w:rsidRPr="0050314A">
              <w:rPr>
                <w:rFonts w:ascii="Arial" w:hAnsi="Arial" w:cs="Arial"/>
                <w:sz w:val="22"/>
                <w:szCs w:val="22"/>
              </w:rPr>
              <w:t>detection</w:t>
            </w:r>
            <w:proofErr w:type="spellEnd"/>
            <w:r w:rsidRPr="0050314A">
              <w:rPr>
                <w:rFonts w:ascii="Arial" w:hAnsi="Arial" w:cs="Arial"/>
                <w:sz w:val="22"/>
                <w:szCs w:val="22"/>
              </w:rPr>
              <w:t xml:space="preserve"> range </w:t>
            </w:r>
            <w:proofErr w:type="spellStart"/>
            <w:r w:rsidRPr="0050314A">
              <w:rPr>
                <w:rFonts w:ascii="Arial" w:hAnsi="Arial" w:cs="Arial"/>
                <w:sz w:val="22"/>
                <w:szCs w:val="22"/>
              </w:rPr>
              <w:t>from</w:t>
            </w:r>
            <w:proofErr w:type="spellEnd"/>
            <w:r w:rsidRPr="0050314A">
              <w:rPr>
                <w:rFonts w:ascii="Arial" w:hAnsi="Arial" w:cs="Arial"/>
                <w:sz w:val="22"/>
                <w:szCs w:val="22"/>
              </w:rPr>
              <w:t xml:space="preserve"> 3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to 70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w:t>
            </w:r>
            <w:proofErr w:type="spellStart"/>
            <w:r w:rsidRPr="0050314A">
              <w:rPr>
                <w:rFonts w:ascii="Arial" w:hAnsi="Arial" w:cs="Arial"/>
                <w:sz w:val="22"/>
                <w:szCs w:val="22"/>
              </w:rPr>
              <w:t>with</w:t>
            </w:r>
            <w:proofErr w:type="spellEnd"/>
            <w:r w:rsidRPr="0050314A">
              <w:rPr>
                <w:rFonts w:ascii="Arial" w:hAnsi="Arial" w:cs="Arial"/>
                <w:sz w:val="22"/>
                <w:szCs w:val="22"/>
              </w:rPr>
              <w:t xml:space="preserve"> an </w:t>
            </w:r>
            <w:proofErr w:type="spellStart"/>
            <w:r w:rsidRPr="0050314A">
              <w:rPr>
                <w:rFonts w:ascii="Arial" w:hAnsi="Arial" w:cs="Arial"/>
                <w:sz w:val="22"/>
                <w:szCs w:val="22"/>
              </w:rPr>
              <w:t>exceptionally</w:t>
            </w:r>
            <w:proofErr w:type="spellEnd"/>
            <w:r w:rsidRPr="0050314A">
              <w:rPr>
                <w:rFonts w:ascii="Arial" w:hAnsi="Arial" w:cs="Arial"/>
                <w:sz w:val="22"/>
                <w:szCs w:val="22"/>
              </w:rPr>
              <w:t xml:space="preserve"> </w:t>
            </w:r>
            <w:proofErr w:type="spellStart"/>
            <w:r w:rsidRPr="0050314A">
              <w:rPr>
                <w:rFonts w:ascii="Arial" w:hAnsi="Arial" w:cs="Arial"/>
                <w:sz w:val="22"/>
                <w:szCs w:val="22"/>
              </w:rPr>
              <w:t>low</w:t>
            </w:r>
            <w:proofErr w:type="spellEnd"/>
            <w:r w:rsidRPr="0050314A">
              <w:rPr>
                <w:rFonts w:ascii="Arial" w:hAnsi="Arial" w:cs="Arial"/>
                <w:sz w:val="22"/>
                <w:szCs w:val="22"/>
              </w:rPr>
              <w:t xml:space="preserve"> </w:t>
            </w:r>
            <w:proofErr w:type="spellStart"/>
            <w:r w:rsidRPr="0050314A">
              <w:rPr>
                <w:rFonts w:ascii="Arial" w:hAnsi="Arial" w:cs="Arial"/>
                <w:sz w:val="22"/>
                <w:szCs w:val="22"/>
              </w:rPr>
              <w:t>limit</w:t>
            </w:r>
            <w:proofErr w:type="spellEnd"/>
            <w:r w:rsidRPr="0050314A">
              <w:rPr>
                <w:rFonts w:ascii="Arial" w:hAnsi="Arial" w:cs="Arial"/>
                <w:sz w:val="22"/>
                <w:szCs w:val="22"/>
              </w:rPr>
              <w:t xml:space="preserve"> of </w:t>
            </w:r>
            <w:proofErr w:type="spellStart"/>
            <w:r w:rsidRPr="0050314A">
              <w:rPr>
                <w:rFonts w:ascii="Arial" w:hAnsi="Arial" w:cs="Arial"/>
                <w:sz w:val="22"/>
                <w:szCs w:val="22"/>
              </w:rPr>
              <w:t>detection</w:t>
            </w:r>
            <w:proofErr w:type="spellEnd"/>
            <w:r w:rsidRPr="0050314A">
              <w:rPr>
                <w:rFonts w:ascii="Arial" w:hAnsi="Arial" w:cs="Arial"/>
                <w:sz w:val="22"/>
                <w:szCs w:val="22"/>
              </w:rPr>
              <w:t xml:space="preserve"> of 0.1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w:t>
            </w:r>
            <w:proofErr w:type="spellStart"/>
            <w:r w:rsidRPr="0050314A">
              <w:rPr>
                <w:rFonts w:ascii="Arial" w:hAnsi="Arial" w:cs="Arial"/>
                <w:sz w:val="22"/>
                <w:szCs w:val="22"/>
              </w:rPr>
              <w:t>These</w:t>
            </w:r>
            <w:proofErr w:type="spellEnd"/>
            <w:r w:rsidRPr="0050314A">
              <w:rPr>
                <w:rFonts w:ascii="Arial" w:hAnsi="Arial" w:cs="Arial"/>
                <w:sz w:val="22"/>
                <w:szCs w:val="22"/>
              </w:rPr>
              <w:t xml:space="preserve"> </w:t>
            </w:r>
            <w:proofErr w:type="spellStart"/>
            <w:r w:rsidRPr="0050314A">
              <w:rPr>
                <w:rFonts w:ascii="Arial" w:hAnsi="Arial" w:cs="Arial"/>
                <w:sz w:val="22"/>
                <w:szCs w:val="22"/>
              </w:rPr>
              <w:t>results</w:t>
            </w:r>
            <w:proofErr w:type="spellEnd"/>
            <w:r w:rsidRPr="0050314A">
              <w:rPr>
                <w:rFonts w:ascii="Arial" w:hAnsi="Arial" w:cs="Arial"/>
                <w:sz w:val="22"/>
                <w:szCs w:val="22"/>
              </w:rPr>
              <w:t xml:space="preserve"> highlight the </w:t>
            </w:r>
            <w:proofErr w:type="spellStart"/>
            <w:r w:rsidRPr="0050314A">
              <w:rPr>
                <w:rFonts w:ascii="Arial" w:hAnsi="Arial" w:cs="Arial"/>
                <w:sz w:val="22"/>
                <w:szCs w:val="22"/>
              </w:rPr>
              <w:t>potential</w:t>
            </w:r>
            <w:proofErr w:type="spellEnd"/>
            <w:r w:rsidRPr="0050314A">
              <w:rPr>
                <w:rFonts w:ascii="Arial" w:hAnsi="Arial" w:cs="Arial"/>
                <w:sz w:val="22"/>
                <w:szCs w:val="22"/>
              </w:rPr>
              <w:t xml:space="preserve"> of the </w:t>
            </w:r>
            <w:proofErr w:type="spellStart"/>
            <w:r w:rsidRPr="0050314A">
              <w:rPr>
                <w:rFonts w:ascii="Arial" w:hAnsi="Arial" w:cs="Arial"/>
                <w:sz w:val="22"/>
                <w:szCs w:val="22"/>
              </w:rPr>
              <w:t>AgCDs</w:t>
            </w:r>
            <w:proofErr w:type="spellEnd"/>
            <w:r w:rsidRPr="0050314A">
              <w:rPr>
                <w:rFonts w:ascii="Arial" w:hAnsi="Arial" w:cs="Arial"/>
                <w:sz w:val="22"/>
                <w:szCs w:val="22"/>
              </w:rPr>
              <w:t xml:space="preserve">/Au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as a </w:t>
            </w:r>
            <w:proofErr w:type="spellStart"/>
            <w:r w:rsidRPr="0050314A">
              <w:rPr>
                <w:rFonts w:ascii="Arial" w:hAnsi="Arial" w:cs="Arial"/>
                <w:sz w:val="22"/>
                <w:szCs w:val="22"/>
              </w:rPr>
              <w:t>robust</w:t>
            </w:r>
            <w:proofErr w:type="spellEnd"/>
            <w:r w:rsidRPr="0050314A">
              <w:rPr>
                <w:rFonts w:ascii="Arial" w:hAnsi="Arial" w:cs="Arial"/>
                <w:sz w:val="22"/>
                <w:szCs w:val="22"/>
              </w:rPr>
              <w:t xml:space="preserve"> and sensitive platform for the </w:t>
            </w:r>
            <w:proofErr w:type="spellStart"/>
            <w:r w:rsidRPr="0050314A">
              <w:rPr>
                <w:rFonts w:ascii="Arial" w:hAnsi="Arial" w:cs="Arial"/>
                <w:sz w:val="22"/>
                <w:szCs w:val="22"/>
              </w:rPr>
              <w:t>accurate</w:t>
            </w:r>
            <w:proofErr w:type="spellEnd"/>
            <w:r w:rsidRPr="0050314A">
              <w:rPr>
                <w:rFonts w:ascii="Arial" w:hAnsi="Arial" w:cs="Arial"/>
                <w:sz w:val="22"/>
                <w:szCs w:val="22"/>
              </w:rPr>
              <w:t xml:space="preserve"> quantification of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w:t>
            </w:r>
            <w:proofErr w:type="spellStart"/>
            <w:r w:rsidRPr="0050314A">
              <w:rPr>
                <w:rFonts w:ascii="Arial" w:hAnsi="Arial" w:cs="Arial"/>
                <w:sz w:val="22"/>
                <w:szCs w:val="22"/>
              </w:rPr>
              <w:t>offering</w:t>
            </w:r>
            <w:proofErr w:type="spellEnd"/>
            <w:r w:rsidRPr="0050314A">
              <w:rPr>
                <w:rFonts w:ascii="Arial" w:hAnsi="Arial" w:cs="Arial"/>
                <w:sz w:val="22"/>
                <w:szCs w:val="22"/>
              </w:rPr>
              <w:t xml:space="preserve"> </w:t>
            </w:r>
            <w:proofErr w:type="spellStart"/>
            <w:r w:rsidRPr="0050314A">
              <w:rPr>
                <w:rFonts w:ascii="Arial" w:hAnsi="Arial" w:cs="Arial"/>
                <w:sz w:val="22"/>
                <w:szCs w:val="22"/>
              </w:rPr>
              <w:t>promising</w:t>
            </w:r>
            <w:proofErr w:type="spellEnd"/>
            <w:r w:rsidRPr="0050314A">
              <w:rPr>
                <w:rFonts w:ascii="Arial" w:hAnsi="Arial" w:cs="Arial"/>
                <w:sz w:val="22"/>
                <w:szCs w:val="22"/>
              </w:rPr>
              <w:t xml:space="preserve"> applications in </w:t>
            </w:r>
            <w:proofErr w:type="spellStart"/>
            <w:r w:rsidRPr="0050314A">
              <w:rPr>
                <w:rFonts w:ascii="Arial" w:hAnsi="Arial" w:cs="Arial"/>
                <w:sz w:val="22"/>
                <w:szCs w:val="22"/>
              </w:rPr>
              <w:t>both</w:t>
            </w:r>
            <w:proofErr w:type="spellEnd"/>
            <w:r w:rsidRPr="0050314A">
              <w:rPr>
                <w:rFonts w:ascii="Arial" w:hAnsi="Arial" w:cs="Arial"/>
                <w:sz w:val="22"/>
                <w:szCs w:val="22"/>
              </w:rPr>
              <w:t xml:space="preserve"> </w:t>
            </w:r>
            <w:proofErr w:type="spellStart"/>
            <w:r w:rsidRPr="0050314A">
              <w:rPr>
                <w:rFonts w:ascii="Arial" w:hAnsi="Arial" w:cs="Arial"/>
                <w:sz w:val="22"/>
                <w:szCs w:val="22"/>
              </w:rPr>
              <w:t>clinical</w:t>
            </w:r>
            <w:proofErr w:type="spellEnd"/>
            <w:r w:rsidRPr="0050314A">
              <w:rPr>
                <w:rFonts w:ascii="Arial" w:hAnsi="Arial" w:cs="Arial"/>
                <w:sz w:val="22"/>
                <w:szCs w:val="22"/>
              </w:rPr>
              <w:t xml:space="preserve"> and </w:t>
            </w:r>
            <w:proofErr w:type="spellStart"/>
            <w:r w:rsidRPr="0050314A">
              <w:rPr>
                <w:rFonts w:ascii="Arial" w:hAnsi="Arial" w:cs="Arial"/>
                <w:sz w:val="22"/>
                <w:szCs w:val="22"/>
              </w:rPr>
              <w:t>environmental</w:t>
            </w:r>
            <w:proofErr w:type="spellEnd"/>
            <w:r w:rsidRPr="0050314A">
              <w:rPr>
                <w:rFonts w:ascii="Arial" w:hAnsi="Arial" w:cs="Arial"/>
                <w:sz w:val="22"/>
                <w:szCs w:val="22"/>
              </w:rPr>
              <w:t xml:space="preserve"> monitoring.</w:t>
            </w:r>
          </w:p>
        </w:tc>
      </w:tr>
    </w:tbl>
    <w:p w14:paraId="7FC08C2E" w14:textId="77777777" w:rsidR="00636EB2" w:rsidRDefault="00636EB2" w:rsidP="00441B6F">
      <w:pPr>
        <w:pStyle w:val="Body"/>
        <w:spacing w:after="0"/>
        <w:rPr>
          <w:rFonts w:ascii="Arial" w:hAnsi="Arial" w:cs="Arial"/>
          <w:i/>
        </w:rPr>
      </w:pPr>
    </w:p>
    <w:p w14:paraId="4E05AB40" w14:textId="4E3725B5" w:rsidR="0024282C" w:rsidRPr="007534A4" w:rsidRDefault="00A24E7E" w:rsidP="00441B6F">
      <w:pPr>
        <w:pStyle w:val="Body"/>
        <w:spacing w:after="0"/>
        <w:rPr>
          <w:rFonts w:ascii="Arial" w:hAnsi="Arial" w:cs="Arial"/>
          <w:i/>
        </w:rPr>
      </w:pPr>
      <w:r>
        <w:rPr>
          <w:rFonts w:ascii="Arial" w:hAnsi="Arial" w:cs="Arial"/>
          <w:i/>
        </w:rPr>
        <w:t xml:space="preserve">Keywords: </w:t>
      </w:r>
      <w:r w:rsidR="00316FE8" w:rsidRPr="00316FE8">
        <w:rPr>
          <w:rFonts w:ascii="Arial" w:hAnsi="Arial" w:cs="Arial"/>
          <w:i/>
        </w:rPr>
        <w:t>4-Dimethylaminophenol hydrochloride, pineapple peel juice, carbon dot – silver nanoparticle, electrochemical method.</w:t>
      </w:r>
    </w:p>
    <w:p w14:paraId="4A879C14" w14:textId="77777777" w:rsidR="00505F06" w:rsidRPr="00A24E7E" w:rsidRDefault="00505F06" w:rsidP="00441B6F">
      <w:pPr>
        <w:pStyle w:val="Body"/>
        <w:spacing w:after="0"/>
        <w:rPr>
          <w:rFonts w:ascii="Arial" w:hAnsi="Arial" w:cs="Arial"/>
          <w:i/>
        </w:rPr>
      </w:pPr>
    </w:p>
    <w:p w14:paraId="4F7B7F56" w14:textId="39041B6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FD0D870" w14:textId="77777777" w:rsidR="00790ADA" w:rsidRPr="00FB3A86" w:rsidRDefault="00790ADA" w:rsidP="00441B6F">
      <w:pPr>
        <w:pStyle w:val="AbstHead"/>
        <w:spacing w:after="0"/>
        <w:jc w:val="both"/>
        <w:rPr>
          <w:rFonts w:ascii="Arial" w:hAnsi="Arial" w:cs="Arial"/>
        </w:rPr>
      </w:pPr>
    </w:p>
    <w:p w14:paraId="1953DA94" w14:textId="412A0313" w:rsidR="002755E8" w:rsidRPr="002755E8" w:rsidRDefault="002755E8" w:rsidP="002755E8">
      <w:pPr>
        <w:pStyle w:val="Body"/>
        <w:rPr>
          <w:rFonts w:ascii="Arial" w:hAnsi="Arial" w:cs="Arial"/>
        </w:rPr>
      </w:pPr>
      <w:r w:rsidRPr="002755E8">
        <w:rPr>
          <w:rFonts w:ascii="Arial" w:hAnsi="Arial" w:cs="Arial"/>
        </w:rPr>
        <w:t>4-Dimethylaminophenol</w:t>
      </w:r>
      <w:r w:rsidR="00F508FE">
        <w:rPr>
          <w:rFonts w:ascii="Arial" w:hAnsi="Arial" w:cs="Arial"/>
        </w:rPr>
        <w:t xml:space="preserve"> </w:t>
      </w:r>
      <w:r w:rsidR="00F508FE" w:rsidRPr="00F508FE">
        <w:rPr>
          <w:rFonts w:ascii="Arial" w:hAnsi="Arial" w:cs="Arial"/>
        </w:rPr>
        <w:t>hydrochloride</w:t>
      </w:r>
      <w:r w:rsidRPr="002755E8">
        <w:rPr>
          <w:rFonts w:ascii="Arial" w:hAnsi="Arial" w:cs="Arial"/>
        </w:rPr>
        <w:t xml:space="preserve"> (DMAP</w:t>
      </w:r>
      <w:r w:rsidR="00F508FE">
        <w:rPr>
          <w:rFonts w:ascii="Arial" w:hAnsi="Arial" w:cs="Arial"/>
        </w:rPr>
        <w:t>-HCl</w:t>
      </w:r>
      <w:r w:rsidRPr="002755E8">
        <w:rPr>
          <w:rFonts w:ascii="Arial" w:hAnsi="Arial" w:cs="Arial"/>
        </w:rPr>
        <w:t>), with the chemical formula C</w:t>
      </w:r>
      <w:r w:rsidRPr="002755E8">
        <w:rPr>
          <w:rFonts w:ascii="Cambria Math" w:hAnsi="Cambria Math" w:cs="Cambria Math"/>
        </w:rPr>
        <w:t>₆</w:t>
      </w:r>
      <w:r w:rsidRPr="002755E8">
        <w:rPr>
          <w:rFonts w:ascii="Arial" w:hAnsi="Arial" w:cs="Arial"/>
        </w:rPr>
        <w:t>H</w:t>
      </w:r>
      <w:r w:rsidRPr="002755E8">
        <w:rPr>
          <w:rFonts w:ascii="Cambria Math" w:hAnsi="Cambria Math" w:cs="Cambria Math"/>
        </w:rPr>
        <w:t>₁₁</w:t>
      </w:r>
      <w:proofErr w:type="spellStart"/>
      <w:r w:rsidRPr="002755E8">
        <w:rPr>
          <w:rFonts w:ascii="Arial" w:hAnsi="Arial" w:cs="Arial"/>
        </w:rPr>
        <w:t>ON·HCl</w:t>
      </w:r>
      <w:proofErr w:type="spellEnd"/>
      <w:r w:rsidRPr="002755E8">
        <w:rPr>
          <w:rFonts w:ascii="Arial" w:hAnsi="Arial" w:cs="Arial"/>
        </w:rPr>
        <w:t xml:space="preserve"> and a molecular weight of 173.5 g/mol, is a white crystalline substance that is highly soluble in water. It has been investigated in Germany as an antidote for cyanide poisoning </w:t>
      </w:r>
      <w:r w:rsidR="00E16DC7">
        <w:rPr>
          <w:rFonts w:ascii="Arial" w:hAnsi="Arial" w:cs="Arial"/>
        </w:rPr>
        <w:fldChar w:fldCharType="begin"/>
      </w:r>
      <w:r w:rsidR="00E16DC7">
        <w:rPr>
          <w:rFonts w:ascii="Arial" w:hAnsi="Arial" w:cs="Arial"/>
        </w:rPr>
        <w:instrText xml:space="preserve"> ADDIN ZOTERO_ITEM CSL_CITATION {"citationID":"KnXLHcmV","properties":{"formattedCitation":"(Hall, 2015; Zilker, 2005)","plainCitation":"(Hall, 2015; Zilker, 2005)","noteIndex":0},"citationItems":[{"id":500,"uris":["http://zotero.org/users/local/EkoAwMma/items/5SH5DNQ6"],"itemData":{"id":500,"type":"chapter","container-title":"Toxicology of Cyanides and Cyanogens","DOI":"10.1002/9781118628966.ch22","edition":"1","ISBN":"978-1-119-97853-4","language":"en","page":"288-291","publisher":"Wiley","source":"DOI.org (Crossref)","title":"Cyanide antidotes in clinical use: 4</w:instrText>
      </w:r>
      <w:r w:rsidR="00E16DC7">
        <w:rPr>
          <w:rFonts w:ascii="Cambria Math" w:hAnsi="Cambria Math" w:cs="Cambria Math"/>
        </w:rPr>
        <w:instrText>‐</w:instrText>
      </w:r>
      <w:r w:rsidR="00E16DC7">
        <w:rPr>
          <w:rFonts w:ascii="Arial" w:hAnsi="Arial" w:cs="Arial"/>
        </w:rPr>
        <w:instrText>dimethylaminophenol (4</w:instrText>
      </w:r>
      <w:r w:rsidR="00E16DC7">
        <w:rPr>
          <w:rFonts w:ascii="Cambria Math" w:hAnsi="Cambria Math" w:cs="Cambria Math"/>
        </w:rPr>
        <w:instrText>‐</w:instrText>
      </w:r>
      <w:r w:rsidR="00E16DC7">
        <w:rPr>
          <w:rFonts w:ascii="Arial" w:hAnsi="Arial" w:cs="Arial"/>
        </w:rPr>
        <w:instrText xml:space="preserve">DMAP)","title-short":"Cyanide antidotes in clinical use","URL":"https://onlinelibrary.wiley.com/doi/10.1002/9781118628966.ch22","editor":[{"family":"Hall","given":"Alan H."},{"family":"Isom","given":"Gary E."},{"family":"Rockwood","given":"Gary A."}],"author":[{"family":"Hall","given":"Alan H."}],"accessed":{"date-parts":[["2026",1,21]]},"issued":{"date-parts":[["2015",11,4]]}},"label":"page"},{"id":501,"uris":["http://zotero.org/users/local/EkoAwMma/items/NB7FSZSB"],"itemData":{"id":501,"type":"article-journal","container-title":"Toxicology","DOI":"10.1016/j.tox.2005.06.028","ISSN":"0300483X","issue":"3","journalAbbreviation":"Toxicology","language":"en","page":"221-231","source":"DOI.org (Crossref)","title":"Medical management of incidents with chemical warfare agents","URL":"https://linkinghub.elsevier.com/retrieve/pii/S0300483X05002878","volume":"214","author":[{"family":"Zilker","given":"Thomas"}],"accessed":{"date-parts":[["2026",1,21]]},"issued":{"date-parts":[["2005",10]]}},"label":"page"}],"schema":"https://github.com/citation-style-language/schema/raw/master/csl-citation.json"} </w:instrText>
      </w:r>
      <w:r w:rsidR="00E16DC7">
        <w:rPr>
          <w:rFonts w:ascii="Arial" w:hAnsi="Arial" w:cs="Arial"/>
        </w:rPr>
        <w:fldChar w:fldCharType="separate"/>
      </w:r>
      <w:r w:rsidR="00E16DC7" w:rsidRPr="00E16DC7">
        <w:rPr>
          <w:rFonts w:ascii="Arial" w:hAnsi="Arial" w:cs="Arial"/>
        </w:rPr>
        <w:t>(Hall, 2015; Zilker, 2005)</w:t>
      </w:r>
      <w:r w:rsidR="00E16DC7">
        <w:rPr>
          <w:rFonts w:ascii="Arial" w:hAnsi="Arial" w:cs="Arial"/>
        </w:rPr>
        <w:fldChar w:fldCharType="end"/>
      </w:r>
      <w:r w:rsidRPr="002755E8">
        <w:rPr>
          <w:rFonts w:ascii="Arial" w:hAnsi="Arial" w:cs="Arial"/>
        </w:rPr>
        <w:t xml:space="preserve">. However, </w:t>
      </w:r>
      <w:r w:rsidR="00F508FE" w:rsidRPr="002755E8">
        <w:rPr>
          <w:rFonts w:ascii="Arial" w:hAnsi="Arial" w:cs="Arial"/>
        </w:rPr>
        <w:t>DMAP</w:t>
      </w:r>
      <w:r w:rsidR="00F508FE">
        <w:rPr>
          <w:rFonts w:ascii="Arial" w:hAnsi="Arial" w:cs="Arial"/>
        </w:rPr>
        <w:t>-HCl</w:t>
      </w:r>
      <w:r w:rsidRPr="002755E8">
        <w:rPr>
          <w:rFonts w:ascii="Arial" w:hAnsi="Arial" w:cs="Arial"/>
        </w:rPr>
        <w:t xml:space="preserve"> has been linked to severe toxic effects, including reticulocytosis, nephrotoxicity, and hemolysis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{"citationID":"SR889NuH","properties":{"formattedCitation":"(Hall, 2015)","plainCitation":"(Hall, 2015)","noteIndex":0},"citationItems":[{"id":500,"uris":["http://zotero.org/users/local/EkoAwMma/items/5SH5DNQ6"],"itemData":{"id":500,"type":"chapter","container-title":"Toxicology of Cyanides and Cyanogens","DOI":"10.1002/9781118628966.ch22","edition":"1","ISBN":"978-1-119-97853-4","language":"en","page":"288-291","publisher":"Wiley","source":"DOI.org (Crossref)","title":"Cyanide antidotes in clinical use: 4</w:instrText>
      </w:r>
      <w:r w:rsidR="009D2237">
        <w:rPr>
          <w:rFonts w:ascii="Cambria Math" w:hAnsi="Cambria Math" w:cs="Cambria Math"/>
        </w:rPr>
        <w:instrText>‐</w:instrText>
      </w:r>
      <w:r w:rsidR="009D2237">
        <w:rPr>
          <w:rFonts w:ascii="Arial" w:hAnsi="Arial" w:cs="Arial"/>
        </w:rPr>
        <w:instrText>dimethylaminophenol (4</w:instrText>
      </w:r>
      <w:r w:rsidR="009D2237">
        <w:rPr>
          <w:rFonts w:ascii="Cambria Math" w:hAnsi="Cambria Math" w:cs="Cambria Math"/>
        </w:rPr>
        <w:instrText>‐</w:instrText>
      </w:r>
      <w:r w:rsidR="009D2237">
        <w:rPr>
          <w:rFonts w:ascii="Arial" w:hAnsi="Arial" w:cs="Arial"/>
        </w:rPr>
        <w:instrText xml:space="preserve">DMAP)","title-short":"Cyanide antidotes in clinical use","URL":"https://onlinelibrary.wiley.com/doi/10.1002/9781118628966.ch22","editor":[{"family":"Hall","given":"Alan H."},{"family":"Isom","given":"Gary E."},{"family":"Rockwood","given":"Gary A."}],"author":[{"family":"Hall","given":"Alan H."}],"accessed":{"date-parts":[["2026",1,21]]},"issued":{"date-parts":[["2015",11,4]]}}}],"schema":"https://github.com/citation-style-language/schema/raw/master/csl-citation.json"} </w:instrText>
      </w:r>
      <w:r w:rsidR="009D2237">
        <w:rPr>
          <w:rFonts w:ascii="Arial" w:hAnsi="Arial" w:cs="Arial"/>
        </w:rPr>
        <w:fldChar w:fldCharType="separate"/>
      </w:r>
      <w:r w:rsidR="009D2237" w:rsidRPr="009D2237">
        <w:rPr>
          <w:rFonts w:ascii="Arial" w:hAnsi="Arial" w:cs="Arial"/>
        </w:rPr>
        <w:t>(Hall, 2015)</w:t>
      </w:r>
      <w:r w:rsidR="009D2237">
        <w:rPr>
          <w:rFonts w:ascii="Arial" w:hAnsi="Arial" w:cs="Arial"/>
        </w:rPr>
        <w:fldChar w:fldCharType="end"/>
      </w:r>
      <w:r w:rsidRPr="002755E8">
        <w:rPr>
          <w:rFonts w:ascii="Arial" w:hAnsi="Arial" w:cs="Arial"/>
        </w:rPr>
        <w:t>. Moreover, administration of DMAP</w:t>
      </w:r>
      <w:r w:rsidR="00F508FE">
        <w:rPr>
          <w:rFonts w:ascii="Arial" w:hAnsi="Arial" w:cs="Arial"/>
        </w:rPr>
        <w:t>-HCl</w:t>
      </w:r>
      <w:r w:rsidRPr="002755E8">
        <w:rPr>
          <w:rFonts w:ascii="Arial" w:hAnsi="Arial" w:cs="Arial"/>
        </w:rPr>
        <w:t xml:space="preserve"> to patients without significant cyanide poisoning has resulted in serious adverse reactions. In studies involving suspensions of isolated renal tubules, </w:t>
      </w:r>
      <w:r w:rsidR="00F508FE" w:rsidRPr="00F508FE">
        <w:rPr>
          <w:rFonts w:ascii="Arial" w:hAnsi="Arial" w:cs="Arial"/>
        </w:rPr>
        <w:t xml:space="preserve">DMAP-HCl </w:t>
      </w:r>
      <w:r w:rsidRPr="002755E8">
        <w:rPr>
          <w:rFonts w:ascii="Arial" w:hAnsi="Arial" w:cs="Arial"/>
        </w:rPr>
        <w:t>has been shown to inhibit gluconeogenesis and the activity of various enzymes, reduce total glutathione and free nucleotide levels, cause damage to the renal tubular cell membrane, and bind irreversibly to proteins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{"citationID":"IfdRGA0t","properties":{"formattedCitation":"(Szinicz and Weger, 1980)","plainCitation":"(Szinicz and Weger, 1980)","noteIndex":0},"citationItems":[{"id":184,"uris":["http://zotero.org/users/local/EkoAwMma/items/NUVEWFB7"],"itemData":{"id":184,"type":"article-journal","container-title":"Xenobiotica","DOI":"10.3109/00498258009033795","ISSN":"0049-8254, 1366-5928","issue":"7-8","journalAbbreviation":"Xenobiotica","language":"en","page":"611-620","source":"DOI.org (Crossref)","title":"Effects of 4-dimethylaminophenol in rat kidneys, isolated rat kidney tubules and hepatocytes","URL":"http://www.tandfonline.com/doi/full/10.3109/00498258009033795","volume":"10","author":[{"family":"Szinicz","given":"L. L."},{"family":"Weger","given":"N."}],"accessed":{"date-parts":[["2025",8,21]]},"issued":{"date-parts":[["1980",1]]}}}],"schema":"https://github.com/citation-style-language/schema/raw/master/csl-citation.json"} </w:instrText>
      </w:r>
      <w:r w:rsidR="009D2237">
        <w:rPr>
          <w:rFonts w:ascii="Arial" w:hAnsi="Arial" w:cs="Arial"/>
        </w:rPr>
        <w:fldChar w:fldCharType="separate"/>
      </w:r>
      <w:r w:rsidR="009D2237" w:rsidRPr="009D2237">
        <w:rPr>
          <w:rFonts w:ascii="Arial" w:hAnsi="Arial" w:cs="Arial"/>
        </w:rPr>
        <w:t>(Szinicz and Weger, 1980)</w:t>
      </w:r>
      <w:r w:rsidR="009D2237">
        <w:rPr>
          <w:rFonts w:ascii="Arial" w:hAnsi="Arial" w:cs="Arial"/>
        </w:rPr>
        <w:fldChar w:fldCharType="end"/>
      </w:r>
      <w:r w:rsidRPr="002755E8">
        <w:rPr>
          <w:rFonts w:ascii="Arial" w:hAnsi="Arial" w:cs="Arial"/>
        </w:rPr>
        <w:t>.</w:t>
      </w:r>
    </w:p>
    <w:p w14:paraId="40F50EAC" w14:textId="438E52F8" w:rsidR="002755E8" w:rsidRPr="002755E8" w:rsidRDefault="002755E8" w:rsidP="002755E8">
      <w:pPr>
        <w:pStyle w:val="Body"/>
        <w:rPr>
          <w:rFonts w:ascii="Arial" w:hAnsi="Arial" w:cs="Arial"/>
        </w:rPr>
      </w:pPr>
      <w:r w:rsidRPr="002755E8">
        <w:rPr>
          <w:rFonts w:ascii="Arial" w:hAnsi="Arial" w:cs="Arial"/>
        </w:rPr>
        <w:t xml:space="preserve">This study focuses on the detection of </w:t>
      </w:r>
      <w:r w:rsidR="00F508FE" w:rsidRPr="00F508FE">
        <w:rPr>
          <w:rFonts w:ascii="Arial" w:hAnsi="Arial" w:cs="Arial"/>
        </w:rPr>
        <w:t>DMAP-HCl</w:t>
      </w:r>
      <w:r w:rsidRPr="002755E8">
        <w:rPr>
          <w:rFonts w:ascii="Arial" w:hAnsi="Arial" w:cs="Arial"/>
        </w:rPr>
        <w:t xml:space="preserve"> using an electrochemical approach. It should be noted that the electrochemical method represents an attractive alternative for detection due to its advantages in terms of sensitivity and simplicity</w:t>
      </w:r>
      <w:r w:rsidR="00B91800">
        <w:rPr>
          <w:rFonts w:ascii="Arial" w:hAnsi="Arial" w:cs="Arial"/>
        </w:rPr>
        <w:t xml:space="preserve"> </w:t>
      </w:r>
      <w:r w:rsidR="00B91800">
        <w:rPr>
          <w:rFonts w:ascii="Arial" w:hAnsi="Arial" w:cs="Arial"/>
        </w:rPr>
        <w:fldChar w:fldCharType="begin"/>
      </w:r>
      <w:r w:rsidR="00B91800">
        <w:rPr>
          <w:rFonts w:ascii="Arial" w:hAnsi="Arial" w:cs="Arial"/>
        </w:rPr>
        <w:instrText xml:space="preserve"> ADDIN ZOTERO_ITEM CSL_CITATION {"citationID":"X28B4Tpn","properties":{"formattedCitation":"(Pourtaheri et al., 2020)","plainCitation":"(Pourtaheri et al., 2020)","noteIndex":0},"citationItems":[{"id":518,"uris":["http://zotero.org/users/local/EkoAwMma/items/Q39JXQNY"],"itemData":{"id":518,"type":"article-journal","container-title":"Journal of the Iranian Chemical Society","DOI":"10.1007/s13738-020-01870-w","ISSN":"1735-207X, 1735-2428","issue":"6","journalAbbreviation":"J IRAN CHEM SOC","language":"en","page":"1447-1456","source":"DOI.org (Crossref)","title":"Co-detection of isoprenaline and paracetamol in biological and pharmaceutical media by a feather-like La3+/ZnO nano-flowers and N-(ferrocenylmethylidene)fluoren-2-amine-modified carbon paste electrode: analysis of a novel sensor","title-short":"Co-detection of isoprenaline and paracetamol in biological and pharmaceutical media by a feather-like La3+/ZnO nano-flowers and N-(ferrocenylmethylidene)fluoren-2-amine-modified carbon paste electrode","URL":"http://link.springer.com/10.1007/s13738-020-01870-w","volume":"17","author":[{"family":"Pourtaheri","given":"Ehsan"},{"family":"Taher","given":"Mohammad Ali"},{"family":"Beitollahi","given":"Hadi"},{"family":"Hosseinzadeh","given":"Rahman"}],"accessed":{"date-parts":[["2026",2,6]]},"issued":{"date-parts":[["2020",6]]}}}],"schema":"https://github.com/citation-style-language/schema/raw/master/csl-citation.json"} </w:instrText>
      </w:r>
      <w:r w:rsidR="00B91800">
        <w:rPr>
          <w:rFonts w:ascii="Arial" w:hAnsi="Arial" w:cs="Arial"/>
        </w:rPr>
        <w:fldChar w:fldCharType="separate"/>
      </w:r>
      <w:r w:rsidR="00B91800" w:rsidRPr="00B91800">
        <w:rPr>
          <w:rFonts w:ascii="Arial" w:hAnsi="Arial" w:cs="Arial"/>
        </w:rPr>
        <w:t>(</w:t>
      </w:r>
      <w:r w:rsidR="00B91800" w:rsidRPr="00B91800">
        <w:rPr>
          <w:rFonts w:ascii="Arial" w:hAnsi="Arial" w:cs="Arial"/>
          <w:highlight w:val="yellow"/>
        </w:rPr>
        <w:t>Pourtaheri et al., 2020</w:t>
      </w:r>
      <w:r w:rsidR="00B91800" w:rsidRPr="00B91800">
        <w:rPr>
          <w:rFonts w:ascii="Arial" w:hAnsi="Arial" w:cs="Arial"/>
        </w:rPr>
        <w:t>)</w:t>
      </w:r>
      <w:r w:rsidR="00B91800">
        <w:rPr>
          <w:rFonts w:ascii="Arial" w:hAnsi="Arial" w:cs="Arial"/>
        </w:rPr>
        <w:fldChar w:fldCharType="end"/>
      </w:r>
      <w:r w:rsidRPr="002755E8">
        <w:rPr>
          <w:rFonts w:ascii="Arial" w:hAnsi="Arial" w:cs="Arial"/>
        </w:rPr>
        <w:t>. Various electrode surface modification materials have been widely used to improve the sensitivity and chemical specificity of electrochemical sensors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{"citationID":"vlPY1bTg","properties":{"formattedCitation":"(Sacara et al., 2017a, 2017b; Wang et al., 2014; Zhang et al., 2012)","plainCitation":"(Sacara et al., 2017a, 2017b; Wang et al., 2014; Zhang et al., 2012)","noteIndex":0},"citationItems":[{"id":7,"uris":["http://zotero.org/users/local/EkoAwMma/items/26ZQ4EIZ"],"itemData":{"id":7,"type":"article-journal","container-title":"Journal of Electroanalytical Chemistry","DOI":"10.1016/j.jelechem.2017.03.030","ISSN":"15726657","journalAbbreviation":"Journal of Electroanalytical Chemistry","language":"en","page":"23-30","source":"DOI.org (Crossref)","title":"Electrochemical detection of Malachite Green using glassy carbon electrodes modified with CeO 2 nanoparticles and Nafion","URL":"https://linkinghub.elsevier.com/retrieve/pii/S1572665717302084","volume":"792","author":[{"family":"Sacara","given":"Ana Maria"},{"family":"Cristea","given":"Castelia"},{"family":"Muresan","given":"Liana Maria"}],"accessed":{"date-parts":[["2025",5,16]]},"issued":{"date-parts":[["2017",5]]}},"label":"page"},{"id":46,"uris":["http://zotero.org/users/local/EkoAwMma/items/PPGJKHFB"],"itemData":{"id":46,"type":"article-journal","abstract":"Abstract\n            \n              New silica</w:instrText>
      </w:r>
      <w:r w:rsidR="009D2237">
        <w:rPr>
          <w:rFonts w:ascii="Cambria Math" w:hAnsi="Cambria Math" w:cs="Cambria Math"/>
        </w:rPr>
        <w:instrText>‐</w:instrText>
      </w:r>
      <w:r w:rsidR="009D2237">
        <w:rPr>
          <w:rFonts w:ascii="Arial" w:hAnsi="Arial" w:cs="Arial"/>
        </w:rPr>
        <w:instrText>modified glassy carbon electrodes prepared with three different sorts of ordered mesoporous silica (OMS) were characterized and tested for the electrochemical detection of Malachite Green (MG). The electrodes were prepared by drop casting using silica suspensions and, for stability sake, a Nafion coating was deposited on the electrode top by the same technique. Square wave anodic stripping voltammetry was used to investigate the effect of various experimental parameters (deposition time, solution pH, silica type and concentration) on the performance of the modified electrodes. The best electrode (GC/MCM</w:instrText>
      </w:r>
      <w:r w:rsidR="009D2237">
        <w:rPr>
          <w:rFonts w:ascii="Cambria Math" w:hAnsi="Cambria Math" w:cs="Cambria Math"/>
        </w:rPr>
        <w:instrText>‐</w:instrText>
      </w:r>
      <w:r w:rsidR="009D2237">
        <w:rPr>
          <w:rFonts w:ascii="Arial" w:hAnsi="Arial" w:cs="Arial"/>
        </w:rPr>
        <w:instrText>41</w:instrText>
      </w:r>
      <w:r w:rsidR="009D2237">
        <w:rPr>
          <w:rFonts w:ascii="Cambria Math" w:hAnsi="Cambria Math" w:cs="Cambria Math"/>
        </w:rPr>
        <w:instrText>‐</w:instrText>
      </w:r>
      <w:r w:rsidR="009D2237">
        <w:rPr>
          <w:rFonts w:ascii="Arial" w:hAnsi="Arial" w:cs="Arial"/>
        </w:rPr>
        <w:instrText>NH\n              2\n              /Nafion) with detection limit 0.36 μM, sensitivity 0.164±0.003 A/M; linear domain 1–6 μM was applied to detect MG in a commercial product commonly used as biocide in aquaria for ornamental fish.","container-title":"Electroanalysis","DOI":"10.1002/elan.201700400","ISSN":"1040-0397, 1521-4109","issue":"11","journalAbbreviation":"Electroanalysis","language":"en","page":"2602-2609","source":"DOI.org (Crossref)","title":"Silica</w:instrText>
      </w:r>
      <w:r w:rsidR="009D2237">
        <w:rPr>
          <w:rFonts w:ascii="Cambria Math" w:hAnsi="Cambria Math" w:cs="Cambria Math"/>
        </w:rPr>
        <w:instrText>‐</w:instrText>
      </w:r>
      <w:r w:rsidR="009D2237">
        <w:rPr>
          <w:rFonts w:ascii="Arial" w:hAnsi="Arial" w:cs="Arial"/>
        </w:rPr>
        <w:instrText xml:space="preserve">modified Electrodes for Electrochemical Detection of Malachite Green","URL":"https://analyticalsciencejournals.onlinelibrary.wiley.com/doi/10.1002/elan.201700400","volume":"29","author":[{"family":"Sacara","given":"Ana Maria"},{"family":"Nairi","given":"Valentina"},{"family":"Salis","given":"Andrea"},{"family":"Turdean","given":"Graziella Liana"},{"family":"Muresan","given":"Liana Maria"}],"accessed":{"date-parts":[["2025",5,19]]},"issued":{"date-parts":[["2017",11]]}},"label":"page"},{"id":28,"uris":["http://zotero.org/users/local/EkoAwMma/items/MKWL7PJ8"],"itemData":{"id":28,"type":"article-journal","abstract":"A RNA aptamer-based electrochemical biosensing strategy has been developed for sensitive and selective detection of malachite green.\n          , \n            \n              An RNA aptamer-based electrochemical biosensing strategy has been developed for sensitive and selective detection of malachite green (MG). This biosensor is fabricated by the self-assembly of a thiolated MG aptamer (MGA) on AuNPs/graphene–chitosan nanocomposite modified glass carbon electrode. In addition, a short alkanethiol is further assembled on the AuNPs surface to generate uniform packing and reduce nonspecific adsorption. When the modified electrode is incubated in the presence of MG, MGA combines specifically with MG, which causes the horseradish peroxidase (HRP)-labelled MG antibody close to the electrode surfaces. As a result, MG detection is realized by outputting a redox current from electro-reduction of the hydrogen peroxide reaction catalyzed by HRP. Differential pulse voltammetry (DPV) is performed to record the signal responses. The results reveal the biosensor displays a very low detection limit as low as 16.3 pg mL\n              −1\n              and a wide linear range from 1 × 10\n              −4\n              to 10 μg mL\n              −1\n              of MG. Hence, this proposed RNA aptamer-based electrochemical strategy may offer a simple, rapid, cost-effective, highly selective and sensitive method for the quantification of MG.","container-title":"RSC Adv.","DOI":"10.1039/C4RA09850A","ISSN":"2046-2069","issue":"105","journalAbbreviation":"RSC Adv.","language":"en","page":"60987-60994","source":"DOI.org (Crossref)","title":"An RNA aptamer-based electrochemical biosensor for sensitive detection of malachite green","URL":"https://xlink.rsc.org/?DOI=C4RA09850A","volume":"4","author":[{"family":"Wang","given":"Hongzhi"},{"family":"Wang","given":"Yu"},{"family":"Liu","given":"Su"},{"family":"Yu","given":"Jinghua"},{"family":"Xu","given":"Wei"},{"family":"Guo","given":"Yuna"},{"family":"Huang","given":"Jiadong"}],"accessed":{"date-parts":[["2025",5,17]]},"issued":{"date-parts":[["2014"]]}},"label":"page"},{"id":29,"uris":["http://zotero.org/users/local/EkoAwMma/items/DCJN2KH2"],"itemData":{"id":29,"type":"article-journal","container-title":"Analytical Methods","DOI":"10.1039/c2ay26039e","ISSN":"1759-9660, 1759-9679","issue":"12","journalAbbreviation":"Anal. Methods","language":"en","page":"4257","source":"DOI.org (Crossref)","title":"A novel self-assembly voltammetric sensor for malachite green based on ethylenediamine and graphene oxide","URL":"https://xlink.rsc.org/?DOI=c2ay26039e","volume":"4","author":[{"family":"Zhang","given":"Kai"},{"family":"Song","given":"Ge"},{"family":"Yang","given":"Lingxi"},{"family":"Zhou","given":"Jing"},{"family":"Ye","given":"Baoxian"}],"accessed":{"date-parts":[["2025",5,17]]},"issued":{"date-parts":[["2012"]]}},"label":"page"}],"schema":"https://github.com/citation-style-language/schema/raw/master/csl-citation.json"} </w:instrText>
      </w:r>
      <w:r w:rsidR="009D2237">
        <w:rPr>
          <w:rFonts w:ascii="Arial" w:hAnsi="Arial" w:cs="Arial"/>
        </w:rPr>
        <w:fldChar w:fldCharType="separate"/>
      </w:r>
      <w:r w:rsidR="009D2237" w:rsidRPr="009D2237">
        <w:rPr>
          <w:rFonts w:ascii="Arial" w:hAnsi="Arial" w:cs="Arial"/>
        </w:rPr>
        <w:t>(Sacara et al., 2017a, 2017b; Wang et al., 2014; Zhang et al., 2012)</w:t>
      </w:r>
      <w:r w:rsidR="009D2237">
        <w:rPr>
          <w:rFonts w:ascii="Arial" w:hAnsi="Arial" w:cs="Arial"/>
        </w:rPr>
        <w:fldChar w:fldCharType="end"/>
      </w:r>
      <w:r w:rsidRPr="002755E8">
        <w:rPr>
          <w:rFonts w:ascii="Arial" w:hAnsi="Arial" w:cs="Arial"/>
        </w:rPr>
        <w:t xml:space="preserve">. However, the macroscopic size of most crystalline products results in poor reproducibility of the response, and the methods for synthesizing these materials are expensive, time-consuming, and environmentally toxic. To overcome this problem, an environmentally friendly and economical synthesis of carbon dots (CDs) was achieved using pineapple peel. These CDs exhibit chemical stability, good aqueous solubility, low cytotoxicity, and high biocompatibility </w:t>
      </w:r>
      <w:r w:rsidR="004F775E">
        <w:rPr>
          <w:rFonts w:ascii="Arial" w:hAnsi="Arial" w:cs="Arial"/>
        </w:rPr>
        <w:fldChar w:fldCharType="begin"/>
      </w:r>
      <w:r w:rsidR="004F775E">
        <w:rPr>
          <w:rFonts w:ascii="Arial" w:hAnsi="Arial" w:cs="Arial"/>
        </w:rPr>
        <w:instrText xml:space="preserve"> ADDIN ZOTERO_ITEM CSL_CITATION {"citationID":"FcTRGpLF","properties":{"formattedCitation":"(Wei et al., 2021)","plainCitation":"(Wei et al., 2021)","noteIndex":0},"citationItems":[{"id":497,"uris":["http://zotero.org/users/local/EkoAwMma/items/THR2J7XJ"],"itemData":{"id":497,"type":"article-journal","abstract":"One-step facile synthesis of a carbon dots and silver nanoparticles (CDs/AgNPs) composite without the introduction of toxic chemicals.\n          , \n            \n              Bacterial infections can seriously harm human health, and the overuse of traditional antibiotics and antibacterial agents will increase the resistance of bacteria. Therefore, it is necessary to prepare a new kind of antibacterial material. In this work, a carbon dots and silver nanoparticles (CDs/AgNPs) composite has been synthesized in a one-step facile method without the introduction of toxic chemicals, wherein CDs could serve as a reducing and stabilizing agent. The CDs/AgNPs composite was characterized by UV-vis spectrophotometry, X-ray photoelectron spectroscopy (XPS), X-ray diffraction (XRD), and transmission electron microscopy (TEM), which demonstrate that the silver nanoparticles were successfully synthesized in the composite. The zeta potential of the CDs/AgNPs composite was −15.3 mV, indicating that the composite possesses high stability. Furthermore, the composite also exhibited biocidal effects for both Gram-negative\n              E. coli\n              bacteria and Gram-positive\n              S. aureus\n              bacteria. Thus, the composite is considered to be of great potential in bactericidal and biomedical applications.","container-title":"RSC Advances","DOI":"10.1039/D1RA02600C","ISSN":"2046-2069","issue":"30","journalAbbreviation":"RSC Adv.","language":"en","page":"18417-18422","source":"DOI.org (Crossref)","title":"Facile synthesis of a carbon dots and silver nanoparticles (CDs/AgNPs) composite for antibacterial application","URL":"https://xlink.rsc.org/?DOI=D1RA02600C","volume":"11","author":[{"family":"Wei","given":"Xinjing"},{"family":"Cheng","given":"Feng"},{"family":"Yao","given":"Yue"},{"family":"Yi","given":"Xiaotong"},{"family":"Wei","given":"Binxiao"},{"family":"Li","given":"Hongbin"},{"family":"Wu","given":"Yadong"},{"family":"He","given":"Jinmei"}],"accessed":{"date-parts":[["2026",1,12]]},"issued":{"date-parts":[["2021"]]}}}],"schema":"https://github.com/citation-style-language/schema/raw/master/csl-citation.json"} </w:instrText>
      </w:r>
      <w:r w:rsidR="004F775E">
        <w:rPr>
          <w:rFonts w:ascii="Arial" w:hAnsi="Arial" w:cs="Arial"/>
        </w:rPr>
        <w:fldChar w:fldCharType="separate"/>
      </w:r>
      <w:r w:rsidR="004F775E" w:rsidRPr="004F775E">
        <w:rPr>
          <w:rFonts w:ascii="Arial" w:hAnsi="Arial" w:cs="Arial"/>
        </w:rPr>
        <w:t>(Wei et al., 2021)</w:t>
      </w:r>
      <w:r w:rsidR="004F775E">
        <w:rPr>
          <w:rFonts w:ascii="Arial" w:hAnsi="Arial" w:cs="Arial"/>
        </w:rPr>
        <w:fldChar w:fldCharType="end"/>
      </w:r>
      <w:r w:rsidRPr="002755E8">
        <w:rPr>
          <w:rFonts w:ascii="Arial" w:hAnsi="Arial" w:cs="Arial"/>
        </w:rPr>
        <w:t>. Thanks to these fascinating properties and the abundance of oxygenated functional groups (hydroxyl, carbonyl, carboxyl, and epoxy) on their surface, considered excellent electron acceptors and donors</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{"citationID":"OIincxcq","properties":{"formattedCitation":"(Ma et al., 2017; Thakur et al., 2020; Wei et al., 2021; Zhuo et al., 2015)","plainCitation":"(Ma et al., 2017; Thakur et al., 2020; Wei et al., 2021; Zhuo et al., 2015)","noteIndex":0},"citationItems":[{"id":494,"uris":["http://zotero.org/users/local/EkoAwMma/items/MM6ZZ4K8"],"itemData":{"id":494,"type":"article-journal","container-title":"Analytical Chemistry","DOI":"10.1021/acs.analchem.6b04259","ISSN":"0003-2700, 1520-6882","issue":"2","journalAbbreviation":"Anal. Chem.","language":"en","page":"1323-1328","source":"DOI.org (Crossref)","title":"Simple and Cost-Effective Glucose Detection Based on Carbon Nanodots Supported on Silver Nanoparticles","URL":"https://pubs.acs.org/doi/10.1021/acs.analchem.6b04259","volume":"89","author":[{"family":"Ma","given":"Jin-Liang"},{"family":"Yin","given":"Bin-Cheng"},{"family":"Wu","given":"Xin"},{"family":"Ye","given":"Bang-Ce"}],"accessed":{"date-parts":[["2026",1,12]]},"issued":{"date-parts":[["2017",1,17]]}},"label":"page"},{"id":495,"uris":["http://zotero.org/users/local/EkoAwMma/items/8KP298FF"],"itemData":{"id":495,"type":"article-journal","abstract":"Citrus limetta\n              waste-derived plasmonic nanostructures for photocatalytic degradation of toxic dyes and pharmaceutical pollutants in water.\n            \n          , \n            \n              Organic pollutants such as dyes and pharmaceutical drugs have become an environmental menace, particularly in water bodies owing to their unregulated discharge. It is thus required to develop an economically viable and environment-friendly approach for their degradation in water bodies. In this study, for the first time, we report green route-synthesized plasmonic nanostructures (P\n              M\n              -CQDs (where M: Au and Ag)) decorated onto TiO\n              2\n              nanofibers for the treatment of toxic dye- and pharmaceutical drug-based wastewater. P\n              M\n              -CQDs are efficaciously synthesized using carbon quantum dots (CQDs) as the sole reducing and capping agent, wherein CQDs are derived\n              via\n              a green synthesis approach from\n              Citrus limetta\n              waste. The characteristic electron-donating property of CQDs played a key role in the reduction of Au\n              3+\n              to Au\n              0\n              and Ag\n              +\n              to Ag\n              0\n              under visible light irradiation to obtain P\n              Au\n              -CQDs and P\n              Ag\n              -CQDs, respectively. Thus, the obtained CQDs, P\n              Au\n              -CQDs, and P\n              Ag\n              -CQDs are loaded onto TiO\n              2\n              nanofibers to obtain a P\n              M\n              -CQD/TiO\n              2\n              nanocomposite (NC), and are further probed\n              via\n              transmission electron microscopy, scanning electron microscopy and UV-visible spectrophotometry. The degradation of organic pollutants and pharmaceutical drugs using methylene blue and erythromycin as model pollutants is mapped with UV-vis and NMR spectroscopy. The results demonstrate the complete MB dye degradation in 20 minutes with 1 mg mL\n              −1\n              of P\n              Au\n              -CQD/TiO\n              2\n              NC, which otherwise is 30 minutes for P\n              Ag\n              @CQD/TiO\n              2\n              dose under visible light irradiation. Similarly, the pharmaceutical drug was found to degrade in 150 minutes with P\n              Au\n              -CQD/TiO\n              2\n              photocatalysts. These findings reveal the enhanced photocatalytic performance of the green-synthesized Au decorated with TiO\n              2\n              nanofibers and are attributed to the boosted SPR effect and aqueous-phase stability of Au nanostructures. This study opens a new domain of utilizing waste-derived and green-synthesized plasmonic nanostructures for the degradation of toxic/hazardous dyes and pharmaceutical pollutants in water.","container-title":"RSC Advances","DOI":"10.1039/C9RA10804A","ISSN":"2046-2069","issue":"15","journalAbbreviation":"RSC Adv.","language":"en","page":"8941-8948","source":"DOI.org (Crossref)","title":"TiO&lt;sub&gt;2&lt;/sub&gt; nanofibres decorated with green-synthesized P&lt;sub&gt;Au/Ag&lt;/sub&gt; @CQDs for the efficient photocatalytic degradation of organic dyes and pharmaceutical drugs","URL":"https://xlink.rsc.org/?DOI=C9RA10804A","volume":"10","author":[{"family":"Thakur","given":"Anupma"},{"family":"Kumar","given":"Praveen"},{"family":"Kaur","given":"Devinder"},{"family":"Devunuri","given":"Nagaraju"},{"family":"Sinha","given":"R. K."},{"family":"Devi","given":"Pooja"}],"accessed":{"date-parts":[["2026",1,12]]},"issued":{"date-parts":[["2020"]]}},"label":"page"},{"id":497,"uris":["http://zotero.org/users/local/EkoAwMma/items/THR2J7XJ"],"itemData":{"id":497,"type":"article-journal","abstract":"One-step facile synthesis of a carbon dots and silver nanoparticles (CDs/AgNPs) composite without the introduction of toxic chemicals.\n          , \n            \n              Bacterial infections can seriously harm human health, and the overuse of traditional antibiotics and antibacterial agents will increase the resistance of bacteria. Therefore, it is necessary to prepare a new kind of antibacterial material. In this work, a carbon dots and silver nanoparticles (CDs/AgNPs) composite has been synthesized in a one-step facile method without the introduction of toxic chemicals, wherein CDs could serve as a reducing and stabilizing agent. The CDs/AgNPs composite was characterized by UV-vis spectrophotometry, X-ray photoelectron spectroscopy (XPS), X-ray diffraction (XRD), and transmission electron microscopy (TEM), which demonstrate that the silver nanoparticles were successfully synthesized in the composite. The zeta potential of the CDs/AgNPs composite was −15.3 mV, indicating that the composite possesses high stability. Furthermore, the composite also exhibited biocidal effects for both Gram-negative\n              E. coli\n              bacteria and Gram-positive\n              S. aureus\n              bacteria. Thus, the composite is considered to be of great potential in bactericidal and biomedical applications.","container-title":"RSC Advances","DOI":"10.1039/D1RA02600C","ISSN":"2046-2069","issue":"30","journalAbbreviation":"RSC Adv.","language":"en","page":"18417-18422","source":"DOI.org (Crossref)","title":"Facile synthesis of a carbon dots and silver nanoparticles (CDs/AgNPs) composite for antibacterial application","URL":"https://xlink.rsc.org/?DOI=D1RA02600C","volume":"11","author":[{"family":"Wei","given":"Xinjing"},{"family":"Cheng","given":"Feng"},{"family":"Yao","given":"Yue"},{"family":"Yi","given":"Xiaotong"},{"family":"Wei","given":"Binxiao"},{"family":"Li","given":"Hongbin"},{"family":"Wu","given":"Yadong"},{"family":"He","given":"Jinmei"}],"accessed":{"date-parts":[["2026",1,12]]},"issued":{"date-parts":[["2021"]]}},"label":"page"},{"id":515,"uris":["http://zotero.org/users/local/EkoAwMma/items/U4PYDP4Y"],"itemData":{"id":515,"type":"article-journal","abstract":"Reduced carbon dots (r-CDs) were creatively and successfully employed for preparing Au nanoclusters and nanoparticles.\n          , \n            \n              Carbon dots (CDs) have been considered as ideal and promising fluorescent materials owing to their excellent optical, electronic and biocompatible properties including photoluminescence, photostability, electron transfer behavior and biocompatibility. Interestingly, reduced state carbon dots (r-CDs) have emerged as a new type of CDs. Herein, we successfully prepared CDs based on cysteine serving as the carbon source, and further creatively synthesized r-CDs\n              via\n              simply introducing NaBH\n              4\n              into the solution of CDs. Significantly, this type of r-CDs innovatively played the role of a reducer for directly synthesizing AuNCs and AuNPs (AgNPs), the reductive groups on their surfaces providing r-CDs with excellent electron-donating capability, thereby facilitating the fast reduction of metal ions to corresponding metal nanoclusters or nanoparticles. Besides, this exploration may open a new scope of CD applications in synthesis of metal nanomaterials.","container-title":"RSC Advances","DOI":"10.1039/C5RA02598B","ISSN":"2046-2069","issue":"41","journalAbbreviation":"RSC Adv.","language":"en","page":"32669-32674","source":"DOI.org (Crossref)","title":"Reduced carbon dots employed for synthesizing metal nanoclusters and nanoparticles","URL":"https://xlink.rsc.org/?DOI=C5RA02598B","volume":"5","author":[{"family":"Zhuo","given":"Yan"},{"family":"Zhong","given":"Dan"},{"family":"Miao","given":"Hong"},{"family":"Yang","given":"Xiaoming"}],"accessed":{"date-parts":[["2026",1,27]]},"issued":{"date-parts":[["2015"]]}},"label":"page"}],"schema":"https://github.com/citation-style-language/schema/raw/master/csl-citation.json"} </w:instrText>
      </w:r>
      <w:r w:rsidR="004F775E">
        <w:rPr>
          <w:rFonts w:ascii="Arial" w:hAnsi="Arial" w:cs="Arial"/>
        </w:rPr>
        <w:fldChar w:fldCharType="separate"/>
      </w:r>
      <w:r w:rsidR="004F775E" w:rsidRPr="004F775E">
        <w:rPr>
          <w:rFonts w:ascii="Arial" w:hAnsi="Arial" w:cs="Arial"/>
        </w:rPr>
        <w:t>(Ma et al., 2017; Thakur et al., 2020; Wei et al., 2021; Zhuo et al., 2015)</w:t>
      </w:r>
      <w:r w:rsidR="004F775E">
        <w:rPr>
          <w:rFonts w:ascii="Arial" w:hAnsi="Arial" w:cs="Arial"/>
        </w:rPr>
        <w:fldChar w:fldCharType="end"/>
      </w:r>
      <w:r w:rsidRPr="002755E8">
        <w:rPr>
          <w:rFonts w:ascii="Arial" w:hAnsi="Arial" w:cs="Arial"/>
        </w:rPr>
        <w:t>. These CDs have been used as reducing and stabilizing agents, enabling the synthesis of silver nanoparticles (</w:t>
      </w:r>
      <w:proofErr w:type="spellStart"/>
      <w:r w:rsidRPr="002755E8">
        <w:rPr>
          <w:rFonts w:ascii="Arial" w:hAnsi="Arial" w:cs="Arial"/>
        </w:rPr>
        <w:t>AgNPs</w:t>
      </w:r>
      <w:proofErr w:type="spellEnd"/>
      <w:r w:rsidRPr="002755E8">
        <w:rPr>
          <w:rFonts w:ascii="Arial" w:hAnsi="Arial" w:cs="Arial"/>
        </w:rPr>
        <w:t>)</w:t>
      </w:r>
      <w:r w:rsidR="00371186">
        <w:rPr>
          <w:rFonts w:ascii="Arial" w:hAnsi="Arial" w:cs="Arial"/>
        </w:rPr>
        <w:t xml:space="preserve"> </w:t>
      </w:r>
      <w:r w:rsidR="00371186">
        <w:rPr>
          <w:rFonts w:ascii="Arial" w:hAnsi="Arial" w:cs="Arial"/>
          <w:highlight w:val="yellow"/>
        </w:rPr>
        <w:fldChar w:fldCharType="begin"/>
      </w:r>
      <w:r w:rsidR="00371186">
        <w:rPr>
          <w:rFonts w:ascii="Arial" w:hAnsi="Arial" w:cs="Arial"/>
          <w:highlight w:val="yellow"/>
        </w:rPr>
        <w:instrText xml:space="preserve"> ADDIN ZOTERO_ITEM CSL_CITATION {"citationID":"4ZtHFiy5","properties":{"formattedCitation":"(Akhgari et al., 2020)","plainCitation":"(Akhgari et al., 2020)","noteIndex":0},"citationItems":[{"id":520,"uris":["http://zotero.org/users/local/EkoAwMma/items/LBPTV6UF"],"itemData":{"id":520,"type":"article-journal","container-title":"Iranian Journal of Science and Technology, Transactions A: Science","DOI":"10.1007/s40995-020-00832-4","ISSN":"1028-6276, 2364-1819","issue":"2","journalAbbreviation":"Iran J Sci Technol Trans Sci","language":"en","page":"379-387","source":"DOI.org (Crossref)","title":"Detection of Silver Nanoparticles Using Green Synthesis of Fluorescent Nitrogen-Doped Carbon Dots","URL":"http://link.springer.com/10.1007/s40995-020-00832-4","volume":"44","author":[{"family":"Akhgari","given":"Farhad"},{"family":"Farhadi","given":"Khalil"},{"family":"Samadi","given":"Naser"},{"family":"Akhgari","given":"Mehrdad"}],"accessed":{"date-parts":[["2026",2,8]]},"issued":{"date-parts":[["2020",4]]}}}],"schema":"https://github.com/citation-style-language/schema/raw/master/csl-citation.json"} </w:instrText>
      </w:r>
      <w:r w:rsidR="00371186">
        <w:rPr>
          <w:rFonts w:ascii="Arial" w:hAnsi="Arial" w:cs="Arial"/>
          <w:highlight w:val="yellow"/>
        </w:rPr>
        <w:fldChar w:fldCharType="separate"/>
      </w:r>
      <w:r w:rsidR="00371186" w:rsidRPr="00795DFB">
        <w:rPr>
          <w:rFonts w:ascii="Arial" w:hAnsi="Arial" w:cs="Arial"/>
          <w:highlight w:val="yellow"/>
        </w:rPr>
        <w:t>(Akhgari et al., 2020)</w:t>
      </w:r>
      <w:r w:rsidR="00371186">
        <w:rPr>
          <w:rFonts w:ascii="Arial" w:hAnsi="Arial" w:cs="Arial"/>
          <w:highlight w:val="yellow"/>
        </w:rPr>
        <w:fldChar w:fldCharType="end"/>
      </w:r>
      <w:r w:rsidRPr="002755E8">
        <w:rPr>
          <w:rFonts w:ascii="Arial" w:hAnsi="Arial" w:cs="Arial"/>
        </w:rPr>
        <w:t xml:space="preserve">. These </w:t>
      </w:r>
      <w:proofErr w:type="spellStart"/>
      <w:r w:rsidRPr="002755E8">
        <w:rPr>
          <w:rFonts w:ascii="Arial" w:hAnsi="Arial" w:cs="Arial"/>
        </w:rPr>
        <w:t>AgCDs</w:t>
      </w:r>
      <w:proofErr w:type="spellEnd"/>
      <w:r w:rsidRPr="002755E8">
        <w:rPr>
          <w:rFonts w:ascii="Arial" w:hAnsi="Arial" w:cs="Arial"/>
        </w:rPr>
        <w:t xml:space="preserve"> have the advantage of facilitating electron transfer thanks to the surface functional groups of the carbon quantum dots</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{"citationID":"UwLNT7hz","properties":{"formattedCitation":"(Cao et al., 2011)","plainCitation":"(Cao et al., 2011)","noteIndex":0},"citationItems":[{"id":30,"uris":["http://zotero.org/users/local/EkoAwMma/items/ZGUUUJIS"],"itemData":{"id":30,"type":"article-journal","container-title":"Journal of the American Chemical Society","DOI":"10.1021/ja200804h","ISSN":"0002-7863, 1520-5126","issue":"13","journalAbbreviation":"J. Am. Chem. Soc.","language":"en","page":"4754-4757","source":"DOI.org (Crossref)","title":"Carbon Nanoparticles as Visible-Light Photocatalysts for Efficient CO&lt;sub&gt;2&lt;/sub&gt; Conversion and Beyond","URL":"https://pubs.acs.org/doi/10.1021/ja200804h","volume":"133","author":[{"family":"Cao","given":"Li"},{"family":"Sahu","given":"Sushant"},{"family":"Anilkumar","given":"Parambath"},{"family":"Bunker","given":"Christopher E."},{"family":"Xu","given":"Juan"},{"family":"Fernando","given":"K. A. Shiral"},{"family":"Wang","given":"Ping"},{"family":"Guliants","given":"Elena A."},{"family":"Tackett","given":"Kenneth N."},{"family":"Sun","given":"Ya-Ping"}],"accessed":{"date-parts":[["2025",5,17]]},"issued":{"date-parts":[["2011",4,6]]}}}],"schema":"https://github.com/citation-style-language/schema/raw/master/csl-citation.json"} </w:instrText>
      </w:r>
      <w:r w:rsidR="004F775E">
        <w:rPr>
          <w:rFonts w:ascii="Arial" w:hAnsi="Arial" w:cs="Arial"/>
        </w:rPr>
        <w:fldChar w:fldCharType="separate"/>
      </w:r>
      <w:r w:rsidR="004F775E" w:rsidRPr="004F775E">
        <w:rPr>
          <w:rFonts w:ascii="Arial" w:hAnsi="Arial" w:cs="Arial"/>
        </w:rPr>
        <w:t>(Cao et al., 2011)</w:t>
      </w:r>
      <w:r w:rsidR="004F775E">
        <w:rPr>
          <w:rFonts w:ascii="Arial" w:hAnsi="Arial" w:cs="Arial"/>
        </w:rPr>
        <w:fldChar w:fldCharType="end"/>
      </w:r>
      <w:r w:rsidRPr="002755E8">
        <w:rPr>
          <w:rFonts w:ascii="Arial" w:hAnsi="Arial" w:cs="Arial"/>
        </w:rPr>
        <w:t xml:space="preserve">. </w:t>
      </w:r>
    </w:p>
    <w:p w14:paraId="350DE335" w14:textId="402A63AA" w:rsidR="00790ADA" w:rsidRDefault="002755E8" w:rsidP="00441B6F">
      <w:pPr>
        <w:pStyle w:val="Body"/>
        <w:spacing w:after="0"/>
        <w:rPr>
          <w:rFonts w:ascii="Arial" w:hAnsi="Arial" w:cs="Arial"/>
        </w:rPr>
      </w:pPr>
      <w:r w:rsidRPr="002755E8">
        <w:rPr>
          <w:rFonts w:ascii="Arial" w:hAnsi="Arial" w:cs="Arial"/>
        </w:rPr>
        <w:t>To improve the sensitivity and specificity of the working electrode, these silver nanoparticles supported by carbon quantum dots (</w:t>
      </w:r>
      <w:proofErr w:type="spellStart"/>
      <w:r w:rsidRPr="002755E8">
        <w:rPr>
          <w:rFonts w:ascii="Arial" w:hAnsi="Arial" w:cs="Arial"/>
        </w:rPr>
        <w:t>AgCDs</w:t>
      </w:r>
      <w:proofErr w:type="spellEnd"/>
      <w:r w:rsidRPr="002755E8">
        <w:rPr>
          <w:rFonts w:ascii="Arial" w:hAnsi="Arial" w:cs="Arial"/>
        </w:rPr>
        <w:t>) were used to modify the surface of a gold electrode for DMAP</w:t>
      </w:r>
      <w:r w:rsidR="00AD18F3">
        <w:rPr>
          <w:rFonts w:ascii="Arial" w:hAnsi="Arial" w:cs="Arial"/>
        </w:rPr>
        <w:t>-HCl</w:t>
      </w:r>
      <w:r w:rsidRPr="002755E8">
        <w:rPr>
          <w:rFonts w:ascii="Arial" w:hAnsi="Arial" w:cs="Arial"/>
        </w:rPr>
        <w:t xml:space="preserve"> detection. This constitutes an innovative strategy for the development of environmentally friendly sensors. </w:t>
      </w:r>
    </w:p>
    <w:p w14:paraId="73FC3D45" w14:textId="77777777" w:rsidR="00BC7F1F" w:rsidRPr="00FB3A86" w:rsidRDefault="00BC7F1F" w:rsidP="00441B6F">
      <w:pPr>
        <w:pStyle w:val="Body"/>
        <w:spacing w:after="0"/>
        <w:rPr>
          <w:rFonts w:ascii="Arial" w:hAnsi="Arial" w:cs="Arial"/>
        </w:rPr>
      </w:pPr>
    </w:p>
    <w:p w14:paraId="70D22C10" w14:textId="0AD0939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9F14A6A" w14:textId="77777777" w:rsidR="00790ADA" w:rsidRPr="00FB3A86" w:rsidRDefault="00790ADA" w:rsidP="00441B6F">
      <w:pPr>
        <w:pStyle w:val="AbstHead"/>
        <w:spacing w:after="0"/>
        <w:jc w:val="both"/>
        <w:rPr>
          <w:rFonts w:ascii="Arial" w:hAnsi="Arial" w:cs="Arial"/>
        </w:rPr>
      </w:pPr>
    </w:p>
    <w:p w14:paraId="21614129" w14:textId="1055EFE4"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2.1.</w:t>
      </w:r>
      <w:r w:rsidRPr="00F2560B">
        <w:rPr>
          <w:rFonts w:ascii="Arial" w:hAnsi="Arial" w:cs="Arial"/>
          <w:b/>
          <w:bCs/>
          <w:sz w:val="22"/>
          <w:szCs w:val="22"/>
        </w:rPr>
        <w:tab/>
        <w:t>Reagents</w:t>
      </w:r>
    </w:p>
    <w:p w14:paraId="4BE0BA5F" w14:textId="77777777" w:rsidR="00594636" w:rsidRPr="00F2560B" w:rsidRDefault="00594636" w:rsidP="00594636">
      <w:pPr>
        <w:pStyle w:val="Body"/>
        <w:spacing w:after="0"/>
        <w:rPr>
          <w:rFonts w:ascii="Arial" w:hAnsi="Arial" w:cs="Arial"/>
          <w:b/>
          <w:bCs/>
          <w:sz w:val="22"/>
          <w:szCs w:val="22"/>
        </w:rPr>
      </w:pPr>
    </w:p>
    <w:p w14:paraId="2B0D73CC" w14:textId="747A8C32" w:rsidR="00F2560B" w:rsidRDefault="00F2560B" w:rsidP="00594636">
      <w:pPr>
        <w:pStyle w:val="Body"/>
        <w:spacing w:after="0"/>
        <w:rPr>
          <w:rFonts w:ascii="Arial" w:hAnsi="Arial" w:cs="Arial"/>
        </w:rPr>
      </w:pPr>
      <w:r w:rsidRPr="00F2560B">
        <w:rPr>
          <w:rFonts w:ascii="Arial" w:hAnsi="Arial" w:cs="Arial"/>
        </w:rPr>
        <w:t>The chemicals used were of analytical grade and were used as is, without further purification. The following chemicals were used throughout this work: 4-Dimethylaminophenol hydrochloride (C</w:t>
      </w:r>
      <w:r w:rsidRPr="004F775E">
        <w:rPr>
          <w:rFonts w:ascii="Arial" w:hAnsi="Arial" w:cs="Arial"/>
          <w:vertAlign w:val="subscript"/>
        </w:rPr>
        <w:t>8</w:t>
      </w:r>
      <w:r w:rsidRPr="00F2560B">
        <w:rPr>
          <w:rFonts w:ascii="Arial" w:hAnsi="Arial" w:cs="Arial"/>
        </w:rPr>
        <w:t>H</w:t>
      </w:r>
      <w:r w:rsidRPr="004F775E">
        <w:rPr>
          <w:rFonts w:ascii="Arial" w:hAnsi="Arial" w:cs="Arial"/>
          <w:vertAlign w:val="subscript"/>
        </w:rPr>
        <w:t>12</w:t>
      </w:r>
      <w:r w:rsidRPr="00F2560B">
        <w:rPr>
          <w:rFonts w:ascii="Arial" w:hAnsi="Arial" w:cs="Arial"/>
        </w:rPr>
        <w:t>ClNO, 98%) was supplied by Alta Scientific Ltd. (Tianjin, China); sodium sulfate (Na</w:t>
      </w:r>
      <w:r w:rsidRPr="004F775E">
        <w:rPr>
          <w:rFonts w:ascii="Arial" w:hAnsi="Arial" w:cs="Arial"/>
          <w:vertAlign w:val="subscript"/>
        </w:rPr>
        <w:t>2</w:t>
      </w:r>
      <w:r w:rsidRPr="00F2560B">
        <w:rPr>
          <w:rFonts w:ascii="Arial" w:hAnsi="Arial" w:cs="Arial"/>
        </w:rPr>
        <w:t>SO</w:t>
      </w:r>
      <w:r w:rsidRPr="004F775E">
        <w:rPr>
          <w:rFonts w:ascii="Arial" w:hAnsi="Arial" w:cs="Arial"/>
          <w:vertAlign w:val="subscript"/>
        </w:rPr>
        <w:t>4</w:t>
      </w:r>
      <w:r w:rsidRPr="00F2560B">
        <w:rPr>
          <w:rFonts w:ascii="Arial" w:hAnsi="Arial" w:cs="Arial"/>
        </w:rPr>
        <w:t>, 99%) was purchased from Sigma-Aldrich (St. Louis, MO, USA); silver nitrate (AgNO</w:t>
      </w:r>
      <w:r w:rsidRPr="004F775E">
        <w:rPr>
          <w:rFonts w:ascii="Arial" w:hAnsi="Arial" w:cs="Arial"/>
          <w:vertAlign w:val="subscript"/>
        </w:rPr>
        <w:t>3</w:t>
      </w:r>
      <w:r w:rsidRPr="00F2560B">
        <w:rPr>
          <w:rFonts w:ascii="Arial" w:hAnsi="Arial" w:cs="Arial"/>
        </w:rPr>
        <w:t>, 99%) was supplied by Alta Scientific Ltd. (Tianjin, China); potassium permanganate (KMnO</w:t>
      </w:r>
      <w:r w:rsidRPr="004F775E">
        <w:rPr>
          <w:rFonts w:ascii="Arial" w:hAnsi="Arial" w:cs="Arial"/>
          <w:vertAlign w:val="subscript"/>
        </w:rPr>
        <w:t>4</w:t>
      </w:r>
      <w:r w:rsidRPr="00F2560B">
        <w:rPr>
          <w:rFonts w:ascii="Arial" w:hAnsi="Arial" w:cs="Arial"/>
        </w:rPr>
        <w:t>) and bromothymol blue (BBT, 99%, LABKEN); sodium hydroxide (NaOH, 85%, CHEM-LAB); sulfuric acid (H</w:t>
      </w:r>
      <w:r w:rsidRPr="004F775E">
        <w:rPr>
          <w:rFonts w:ascii="Arial" w:hAnsi="Arial" w:cs="Arial"/>
          <w:vertAlign w:val="subscript"/>
        </w:rPr>
        <w:t>2</w:t>
      </w:r>
      <w:r w:rsidRPr="00F2560B">
        <w:rPr>
          <w:rFonts w:ascii="Arial" w:hAnsi="Arial" w:cs="Arial"/>
        </w:rPr>
        <w:t>SO</w:t>
      </w:r>
      <w:r w:rsidRPr="004F775E">
        <w:rPr>
          <w:rFonts w:ascii="Arial" w:hAnsi="Arial" w:cs="Arial"/>
          <w:vertAlign w:val="subscript"/>
        </w:rPr>
        <w:t>4</w:t>
      </w:r>
      <w:r w:rsidRPr="00F2560B">
        <w:rPr>
          <w:rFonts w:ascii="Arial" w:hAnsi="Arial" w:cs="Arial"/>
        </w:rPr>
        <w:t>, 95%, EMSURE); and copper sulfate (CuSO</w:t>
      </w:r>
      <w:r w:rsidRPr="004F775E">
        <w:rPr>
          <w:rFonts w:ascii="Arial" w:hAnsi="Arial" w:cs="Arial"/>
          <w:vertAlign w:val="subscript"/>
        </w:rPr>
        <w:t>4</w:t>
      </w:r>
      <w:r w:rsidRPr="00F2560B">
        <w:rPr>
          <w:rFonts w:ascii="Arial" w:hAnsi="Arial" w:cs="Arial"/>
        </w:rPr>
        <w:t xml:space="preserve">, 99%, JEULIN). Pineapple peels were obtained from pineapple vendors at the local market (Abidjan, Ivory Coast). The deionized water used throughout this study was obtained with a water purification system (Sichuan </w:t>
      </w:r>
      <w:proofErr w:type="spellStart"/>
      <w:r w:rsidRPr="00F2560B">
        <w:rPr>
          <w:rFonts w:ascii="Arial" w:hAnsi="Arial" w:cs="Arial"/>
        </w:rPr>
        <w:t>Zhuoyue</w:t>
      </w:r>
      <w:proofErr w:type="spellEnd"/>
      <w:r w:rsidRPr="00F2560B">
        <w:rPr>
          <w:rFonts w:ascii="Arial" w:hAnsi="Arial" w:cs="Arial"/>
        </w:rPr>
        <w:t xml:space="preserve"> Water Treatment Equipment CO., Ltd, Chengdu, China) with a resistivity of 18.25 </w:t>
      </w:r>
      <w:proofErr w:type="spellStart"/>
      <w:r w:rsidRPr="00F2560B">
        <w:rPr>
          <w:rFonts w:ascii="Arial" w:hAnsi="Arial" w:cs="Arial"/>
        </w:rPr>
        <w:t>MΩ·cm</w:t>
      </w:r>
      <w:proofErr w:type="spellEnd"/>
      <w:r w:rsidRPr="00F2560B">
        <w:rPr>
          <w:rFonts w:ascii="Arial" w:hAnsi="Arial" w:cs="Arial"/>
        </w:rPr>
        <w:t>.</w:t>
      </w:r>
    </w:p>
    <w:p w14:paraId="1C615D84" w14:textId="77777777" w:rsidR="00594636" w:rsidRPr="00F2560B" w:rsidRDefault="00594636" w:rsidP="00594636">
      <w:pPr>
        <w:pStyle w:val="Body"/>
        <w:spacing w:after="0"/>
        <w:rPr>
          <w:rFonts w:ascii="Arial" w:hAnsi="Arial" w:cs="Arial"/>
        </w:rPr>
      </w:pPr>
    </w:p>
    <w:p w14:paraId="3E2031E6" w14:textId="531F11D4"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2.2.</w:t>
      </w:r>
      <w:r w:rsidRPr="00F2560B">
        <w:rPr>
          <w:rFonts w:ascii="Arial" w:hAnsi="Arial" w:cs="Arial"/>
          <w:b/>
          <w:bCs/>
          <w:sz w:val="22"/>
          <w:szCs w:val="22"/>
        </w:rPr>
        <w:tab/>
        <w:t>Equipment</w:t>
      </w:r>
    </w:p>
    <w:p w14:paraId="69FBE63A" w14:textId="77777777" w:rsidR="00594636" w:rsidRPr="00F2560B" w:rsidRDefault="00594636" w:rsidP="00594636">
      <w:pPr>
        <w:pStyle w:val="Body"/>
        <w:spacing w:after="0"/>
        <w:rPr>
          <w:rFonts w:ascii="Arial" w:hAnsi="Arial" w:cs="Arial"/>
          <w:b/>
          <w:bCs/>
          <w:sz w:val="22"/>
          <w:szCs w:val="22"/>
        </w:rPr>
      </w:pPr>
    </w:p>
    <w:p w14:paraId="742727C2" w14:textId="74C16FD5" w:rsidR="00F2560B" w:rsidRPr="00F2560B" w:rsidRDefault="00F2560B" w:rsidP="00F2560B">
      <w:pPr>
        <w:pStyle w:val="Body"/>
        <w:rPr>
          <w:rFonts w:ascii="Arial" w:hAnsi="Arial" w:cs="Arial"/>
        </w:rPr>
      </w:pPr>
      <w:r w:rsidRPr="00F2560B">
        <w:rPr>
          <w:rFonts w:ascii="Arial" w:hAnsi="Arial" w:cs="Arial"/>
        </w:rPr>
        <w:t xml:space="preserve">Electrochemical measurements were performed using a </w:t>
      </w:r>
      <w:proofErr w:type="spellStart"/>
      <w:r w:rsidRPr="00F2560B">
        <w:rPr>
          <w:rFonts w:ascii="Arial" w:hAnsi="Arial" w:cs="Arial"/>
        </w:rPr>
        <w:t>MiniONE</w:t>
      </w:r>
      <w:proofErr w:type="spellEnd"/>
      <w:r w:rsidRPr="00F2560B">
        <w:rPr>
          <w:rFonts w:ascii="Arial" w:hAnsi="Arial" w:cs="Arial"/>
        </w:rPr>
        <w:t xml:space="preserve"> electrochemical system (ready-to-use) (</w:t>
      </w:r>
      <w:proofErr w:type="spellStart"/>
      <w:r w:rsidRPr="00F2560B">
        <w:rPr>
          <w:rFonts w:ascii="Arial" w:hAnsi="Arial" w:cs="Arial"/>
        </w:rPr>
        <w:t>MiniONE</w:t>
      </w:r>
      <w:proofErr w:type="spellEnd"/>
      <w:r w:rsidRPr="00F2560B">
        <w:rPr>
          <w:rFonts w:ascii="Arial" w:hAnsi="Arial" w:cs="Arial"/>
        </w:rPr>
        <w:t xml:space="preserve"> Instruments, Shanghai, China). A conventional three-</w:t>
      </w:r>
      <w:r w:rsidR="004F775E">
        <w:rPr>
          <w:rFonts w:ascii="Arial" w:hAnsi="Arial" w:cs="Arial"/>
        </w:rPr>
        <w:t>ele</w:t>
      </w:r>
      <w:r w:rsidRPr="00F2560B">
        <w:rPr>
          <w:rFonts w:ascii="Arial" w:hAnsi="Arial" w:cs="Arial"/>
        </w:rPr>
        <w:t>ctrode system was used: a modified gold (</w:t>
      </w:r>
      <w:proofErr w:type="spellStart"/>
      <w:r w:rsidRPr="00F2560B">
        <w:rPr>
          <w:rFonts w:ascii="Arial" w:hAnsi="Arial" w:cs="Arial"/>
        </w:rPr>
        <w:t>AgCDs</w:t>
      </w:r>
      <w:proofErr w:type="spellEnd"/>
      <w:r w:rsidRPr="00F2560B">
        <w:rPr>
          <w:rFonts w:ascii="Arial" w:hAnsi="Arial" w:cs="Arial"/>
        </w:rPr>
        <w:t>/Au) working electrode (</w:t>
      </w:r>
      <w:r w:rsidR="004F775E">
        <w:rPr>
          <w:rFonts w:ascii="Arial" w:hAnsi="Arial" w:cs="Arial"/>
        </w:rPr>
        <w:sym w:font="Symbol" w:char="F066"/>
      </w:r>
      <w:r w:rsidRPr="00F2560B">
        <w:rPr>
          <w:rFonts w:ascii="Arial" w:hAnsi="Arial" w:cs="Arial"/>
        </w:rPr>
        <w:t xml:space="preserve"> = 1 mm), a carbon wire counter electrode, and a saturated calomel (SCC) reference electrode. Before use, the gold electrodes were cleaned ultrasonically (Bandelin electronic super AK 255, Germany). All experiments were conducted at room temperature.</w:t>
      </w:r>
    </w:p>
    <w:p w14:paraId="1D2D2A33" w14:textId="7B81EDD5"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2.3.</w:t>
      </w:r>
      <w:r w:rsidRPr="00F2560B">
        <w:rPr>
          <w:rFonts w:ascii="Arial" w:hAnsi="Arial" w:cs="Arial"/>
          <w:b/>
          <w:bCs/>
          <w:sz w:val="22"/>
          <w:szCs w:val="22"/>
        </w:rPr>
        <w:tab/>
        <w:t xml:space="preserve">Fabrication of the </w:t>
      </w:r>
      <w:proofErr w:type="spellStart"/>
      <w:r w:rsidRPr="00F2560B">
        <w:rPr>
          <w:rFonts w:ascii="Arial" w:hAnsi="Arial" w:cs="Arial"/>
          <w:b/>
          <w:bCs/>
          <w:sz w:val="22"/>
          <w:szCs w:val="22"/>
        </w:rPr>
        <w:t>AgCDs</w:t>
      </w:r>
      <w:proofErr w:type="spellEnd"/>
      <w:r w:rsidRPr="00F2560B">
        <w:rPr>
          <w:rFonts w:ascii="Arial" w:hAnsi="Arial" w:cs="Arial"/>
          <w:b/>
          <w:bCs/>
          <w:sz w:val="22"/>
          <w:szCs w:val="22"/>
        </w:rPr>
        <w:t>/Au electrode</w:t>
      </w:r>
    </w:p>
    <w:p w14:paraId="428DF2F9" w14:textId="77777777" w:rsidR="00594636" w:rsidRPr="00F2560B" w:rsidRDefault="00594636" w:rsidP="00594636">
      <w:pPr>
        <w:pStyle w:val="Body"/>
        <w:spacing w:after="0"/>
        <w:rPr>
          <w:rFonts w:ascii="Arial" w:hAnsi="Arial" w:cs="Arial"/>
          <w:b/>
          <w:bCs/>
          <w:sz w:val="22"/>
          <w:szCs w:val="22"/>
        </w:rPr>
      </w:pPr>
    </w:p>
    <w:p w14:paraId="68B8AF95" w14:textId="2ACBFC30" w:rsidR="00F2560B" w:rsidRDefault="00F2560B" w:rsidP="00594636">
      <w:pPr>
        <w:pStyle w:val="Body"/>
        <w:spacing w:after="0"/>
        <w:rPr>
          <w:rFonts w:ascii="Arial" w:hAnsi="Arial" w:cs="Arial"/>
          <w:b/>
          <w:bCs/>
          <w:u w:val="single"/>
        </w:rPr>
      </w:pPr>
      <w:r w:rsidRPr="00F2560B">
        <w:rPr>
          <w:rFonts w:ascii="Arial" w:hAnsi="Arial" w:cs="Arial"/>
          <w:b/>
          <w:bCs/>
          <w:u w:val="single"/>
        </w:rPr>
        <w:t>2.3.1.</w:t>
      </w:r>
      <w:r w:rsidRPr="00F2560B">
        <w:rPr>
          <w:rFonts w:ascii="Arial" w:hAnsi="Arial" w:cs="Arial"/>
          <w:b/>
          <w:bCs/>
          <w:u w:val="single"/>
        </w:rPr>
        <w:tab/>
        <w:t>Carbon dots (CDs) synthesis</w:t>
      </w:r>
    </w:p>
    <w:p w14:paraId="6E96775B" w14:textId="77777777" w:rsidR="00594636" w:rsidRPr="00F2560B" w:rsidRDefault="00594636" w:rsidP="00594636">
      <w:pPr>
        <w:pStyle w:val="Body"/>
        <w:spacing w:after="0"/>
        <w:rPr>
          <w:rFonts w:ascii="Arial" w:hAnsi="Arial" w:cs="Arial"/>
          <w:b/>
          <w:bCs/>
          <w:u w:val="single"/>
        </w:rPr>
      </w:pPr>
    </w:p>
    <w:p w14:paraId="1034C4CB" w14:textId="561B82BC" w:rsidR="00F2560B" w:rsidRDefault="00F2560B" w:rsidP="00594636">
      <w:pPr>
        <w:pStyle w:val="Body"/>
        <w:spacing w:after="0"/>
        <w:rPr>
          <w:rFonts w:ascii="Arial" w:hAnsi="Arial" w:cs="Arial"/>
        </w:rPr>
      </w:pPr>
      <w:r w:rsidRPr="00F2560B">
        <w:rPr>
          <w:rFonts w:ascii="Arial" w:hAnsi="Arial" w:cs="Arial"/>
        </w:rPr>
        <w:t>For the synthesis of carbon quantum dots (CDs), 100 g of pineapple peel were ground with 150 mL of demineralized water and subsequently filtered</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{"citationID":"eHtoScnP","properties":{"formattedCitation":"(Khan et al., 2019)","plainCitation":"(Khan et al., 2019)","noteIndex":0},"citationItems":[{"id":31,"uris":["http://zotero.org/users/local/EkoAwMma/items/A49DLE44"],"itemData":{"id":31,"type":"article-journal","container-title":"Optical Materials","DOI":"10.1016/j.optmat.2019.03.054","ISSN":"09253467","journalAbbreviation":"Optical Materials","language":"en","page":"386-395","source":"DOI.org (Crossref)","title":"Hydrothermal treatment of red lentils for the synthesis of fluorescent carbon quantum dots and its application for sensing Fe3+","URL":"https://linkinghub.elsevier.com/retrieve/pii/S0925346719302253","volume":"91","author":[{"family":"Khan","given":"Zubair M.S.H."},{"family":"Rahman","given":"Raja Saifu"},{"literal":"Shumaila"},{"family":"Islam","given":"Shama"},{"family":"Zulfequar","given":"M."}],"accessed":{"date-parts":[["2025",5,17]]},"issued":{"date-parts":[["2019",5]]}}}],"schema":"https://github.com/citation-style-language/schema/raw/master/csl-citation.json"} </w:instrText>
      </w:r>
      <w:r w:rsidR="004F775E">
        <w:rPr>
          <w:rFonts w:ascii="Arial" w:hAnsi="Arial" w:cs="Arial"/>
        </w:rPr>
        <w:fldChar w:fldCharType="separate"/>
      </w:r>
      <w:r w:rsidR="004F775E" w:rsidRPr="004F775E">
        <w:rPr>
          <w:rFonts w:ascii="Arial" w:hAnsi="Arial" w:cs="Arial"/>
        </w:rPr>
        <w:t>(Khan et al., 2019)</w:t>
      </w:r>
      <w:r w:rsidR="004F775E">
        <w:rPr>
          <w:rFonts w:ascii="Arial" w:hAnsi="Arial" w:cs="Arial"/>
        </w:rPr>
        <w:fldChar w:fldCharType="end"/>
      </w:r>
      <w:r w:rsidRPr="00F2560B">
        <w:rPr>
          <w:rFonts w:ascii="Arial" w:hAnsi="Arial" w:cs="Arial"/>
        </w:rPr>
        <w:t>. A volume of 25 mL of the resulting filtrate was transferred into a 50 mL hydrothermal reactor and heated at 200 °C for 3 hours. Following natural cooling, the mixture was centrifuged at 5,000 rpm for 15 minutes. The supernatant was then collected and stored at 4 °C for future use.</w:t>
      </w:r>
    </w:p>
    <w:p w14:paraId="2F2900D3" w14:textId="77777777" w:rsidR="00594636" w:rsidRPr="00F2560B" w:rsidRDefault="00594636" w:rsidP="00594636">
      <w:pPr>
        <w:pStyle w:val="Body"/>
        <w:spacing w:after="0"/>
        <w:rPr>
          <w:rFonts w:ascii="Arial" w:hAnsi="Arial" w:cs="Arial"/>
        </w:rPr>
      </w:pPr>
    </w:p>
    <w:p w14:paraId="536E552B" w14:textId="64A14B2A" w:rsidR="00F2560B" w:rsidRDefault="00F2560B" w:rsidP="00594636">
      <w:pPr>
        <w:pStyle w:val="Body"/>
        <w:spacing w:after="0"/>
        <w:rPr>
          <w:rFonts w:ascii="Arial" w:hAnsi="Arial" w:cs="Arial"/>
          <w:b/>
          <w:bCs/>
          <w:u w:val="single"/>
        </w:rPr>
      </w:pPr>
      <w:r w:rsidRPr="00F2560B">
        <w:rPr>
          <w:rFonts w:ascii="Arial" w:hAnsi="Arial" w:cs="Arial"/>
          <w:b/>
          <w:bCs/>
          <w:u w:val="single"/>
        </w:rPr>
        <w:lastRenderedPageBreak/>
        <w:t>2.3.2.</w:t>
      </w:r>
      <w:r w:rsidRPr="00F2560B">
        <w:rPr>
          <w:rFonts w:ascii="Arial" w:hAnsi="Arial" w:cs="Arial"/>
          <w:b/>
          <w:bCs/>
          <w:u w:val="single"/>
        </w:rPr>
        <w:tab/>
      </w:r>
      <w:proofErr w:type="spellStart"/>
      <w:r w:rsidRPr="00F2560B">
        <w:rPr>
          <w:rFonts w:ascii="Arial" w:hAnsi="Arial" w:cs="Arial"/>
          <w:b/>
          <w:bCs/>
          <w:u w:val="single"/>
        </w:rPr>
        <w:t>AgCDs</w:t>
      </w:r>
      <w:proofErr w:type="spellEnd"/>
      <w:r w:rsidRPr="00F2560B">
        <w:rPr>
          <w:rFonts w:ascii="Arial" w:hAnsi="Arial" w:cs="Arial"/>
          <w:b/>
          <w:bCs/>
          <w:u w:val="single"/>
        </w:rPr>
        <w:t xml:space="preserve"> synthesis</w:t>
      </w:r>
    </w:p>
    <w:p w14:paraId="1ACD6D8A" w14:textId="77777777" w:rsidR="00594636" w:rsidRPr="00F2560B" w:rsidRDefault="00594636" w:rsidP="00594636">
      <w:pPr>
        <w:pStyle w:val="Body"/>
        <w:spacing w:after="0"/>
        <w:rPr>
          <w:rFonts w:ascii="Arial" w:hAnsi="Arial" w:cs="Arial"/>
          <w:b/>
          <w:bCs/>
          <w:u w:val="single"/>
        </w:rPr>
      </w:pPr>
    </w:p>
    <w:p w14:paraId="4AC64004" w14:textId="550226CA" w:rsidR="00F2560B" w:rsidRDefault="00F2560B" w:rsidP="00594636">
      <w:pPr>
        <w:pStyle w:val="Body"/>
        <w:spacing w:after="0"/>
        <w:rPr>
          <w:rFonts w:ascii="Arial" w:hAnsi="Arial" w:cs="Arial"/>
        </w:rPr>
      </w:pPr>
      <w:r w:rsidRPr="00F2560B">
        <w:rPr>
          <w:rFonts w:ascii="Arial" w:hAnsi="Arial" w:cs="Arial"/>
        </w:rPr>
        <w:t>A mixture comprising 6 mL of the previously prepared carbon dots (CDs), 3 mL of silver nitrate (</w:t>
      </w:r>
      <w:proofErr w:type="spellStart"/>
      <w:r w:rsidRPr="00F2560B">
        <w:rPr>
          <w:rFonts w:ascii="Arial" w:hAnsi="Arial" w:cs="Arial"/>
        </w:rPr>
        <w:t>AgNO</w:t>
      </w:r>
      <w:proofErr w:type="spellEnd"/>
      <w:r w:rsidRPr="00F2560B">
        <w:rPr>
          <w:rFonts w:ascii="Cambria Math" w:hAnsi="Cambria Math" w:cs="Cambria Math"/>
        </w:rPr>
        <w:t>₃</w:t>
      </w:r>
      <w:r w:rsidRPr="00F2560B">
        <w:rPr>
          <w:rFonts w:ascii="Arial" w:hAnsi="Arial" w:cs="Arial"/>
        </w:rPr>
        <w:t xml:space="preserve">) solution (0.1 M), and 5 mL of sodium hydroxide (NaOH) solution (0.1 M) was heated to 90 °C under magnetic stirring at 450 rpm for 50 minutes </w:t>
      </w:r>
      <w:r w:rsidR="00736A70">
        <w:rPr>
          <w:rFonts w:ascii="Arial" w:hAnsi="Arial" w:cs="Arial"/>
        </w:rPr>
        <w:fldChar w:fldCharType="begin"/>
      </w:r>
      <w:r w:rsidR="00736A70">
        <w:rPr>
          <w:rFonts w:ascii="Arial" w:hAnsi="Arial" w:cs="Arial"/>
        </w:rPr>
        <w:instrText xml:space="preserve"> ADDIN ZOTERO_ITEM CSL_CITATION {"citationID":"ePsk4Rvd","properties":{"formattedCitation":"(Sacara et al., 2017b)","plainCitation":"(Sacara et al., 2017b)","noteIndex":0},"citationItems":[{"id":46,"uris":["http://zotero.org/users/local/EkoAwMma/items/PPGJKHFB"],"itemData":{"id":46,"type":"article-journal","abstract":"Abstract\n            \n              New silica</w:instrText>
      </w:r>
      <w:r w:rsidR="00736A70">
        <w:rPr>
          <w:rFonts w:ascii="Cambria Math" w:hAnsi="Cambria Math" w:cs="Cambria Math"/>
        </w:rPr>
        <w:instrText>‐</w:instrText>
      </w:r>
      <w:r w:rsidR="00736A70">
        <w:rPr>
          <w:rFonts w:ascii="Arial" w:hAnsi="Arial" w:cs="Arial"/>
        </w:rPr>
        <w:instrText>modified glassy carbon electrodes prepared with three different sorts of ordered mesoporous silica (OMS) were characterized and tested for the electrochemical detection of Malachite Green (MG). The electrodes were prepared by drop casting using silica suspensions and, for stability sake, a Nafion coating was deposited on the electrode top by the same technique. Square wave anodic stripping voltammetry was used to investigate the effect of various experimental parameters (deposition time, solution pH, silica type and concentration) on the performance of the modified electrodes. The best electrode (GC/MCM</w:instrText>
      </w:r>
      <w:r w:rsidR="00736A70">
        <w:rPr>
          <w:rFonts w:ascii="Cambria Math" w:hAnsi="Cambria Math" w:cs="Cambria Math"/>
        </w:rPr>
        <w:instrText>‐</w:instrText>
      </w:r>
      <w:r w:rsidR="00736A70">
        <w:rPr>
          <w:rFonts w:ascii="Arial" w:hAnsi="Arial" w:cs="Arial"/>
        </w:rPr>
        <w:instrText>41</w:instrText>
      </w:r>
      <w:r w:rsidR="00736A70">
        <w:rPr>
          <w:rFonts w:ascii="Cambria Math" w:hAnsi="Cambria Math" w:cs="Cambria Math"/>
        </w:rPr>
        <w:instrText>‐</w:instrText>
      </w:r>
      <w:r w:rsidR="00736A70">
        <w:rPr>
          <w:rFonts w:ascii="Arial" w:hAnsi="Arial" w:cs="Arial"/>
        </w:rPr>
        <w:instrText>NH\n              2\n              /Nafion) with detection limit 0.36 μM, sensitivity 0.164±0.003 A/M; linear domain 1–6 μM was applied to detect MG in a commercial product commonly used as biocide in aquaria for ornamental fish.","container-title":"Electroanalysis","DOI":"10.1002/elan.201700400","ISSN":"1040-0397, 1521-4109","issue":"11","journalAbbreviation":"Electroanalysis","language":"en","page":"2602-2609","source":"DOI.org (Crossref)","title":"Silica</w:instrText>
      </w:r>
      <w:r w:rsidR="00736A70">
        <w:rPr>
          <w:rFonts w:ascii="Cambria Math" w:hAnsi="Cambria Math" w:cs="Cambria Math"/>
        </w:rPr>
        <w:instrText>‐</w:instrText>
      </w:r>
      <w:r w:rsidR="00736A70">
        <w:rPr>
          <w:rFonts w:ascii="Arial" w:hAnsi="Arial" w:cs="Arial"/>
        </w:rPr>
        <w:instrText xml:space="preserve">modified Electrodes for Electrochemical Detection of Malachite Green","URL":"https://analyticalsciencejournals.onlinelibrary.wiley.com/doi/10.1002/elan.201700400","volume":"29","author":[{"family":"Sacara","given":"Ana Maria"},{"family":"Nairi","given":"Valentina"},{"family":"Salis","given":"Andrea"},{"family":"Turdean","given":"Graziella Liana"},{"family":"Muresan","given":"Liana Maria"}],"accessed":{"date-parts":[["2025",5,19]]},"issued":{"date-parts":[["2017",11]]}}}],"schema":"https://github.com/citation-style-language/schema/raw/master/csl-citation.json"} </w:instrText>
      </w:r>
      <w:r w:rsidR="00736A70">
        <w:rPr>
          <w:rFonts w:ascii="Arial" w:hAnsi="Arial" w:cs="Arial"/>
        </w:rPr>
        <w:fldChar w:fldCharType="separate"/>
      </w:r>
      <w:r w:rsidR="00736A70" w:rsidRPr="00736A70">
        <w:rPr>
          <w:rFonts w:ascii="Arial" w:hAnsi="Arial" w:cs="Arial"/>
        </w:rPr>
        <w:t>(Sacara et al., 2017b)</w:t>
      </w:r>
      <w:r w:rsidR="00736A70">
        <w:rPr>
          <w:rFonts w:ascii="Arial" w:hAnsi="Arial" w:cs="Arial"/>
        </w:rPr>
        <w:fldChar w:fldCharType="end"/>
      </w:r>
      <w:r w:rsidRPr="00F2560B">
        <w:rPr>
          <w:rFonts w:ascii="Arial" w:hAnsi="Arial" w:cs="Arial"/>
        </w:rPr>
        <w:t>. After allowing the solution to cool naturally, it was centrifuged at 5,000 rpm for 15 minutes. The resulting sample was washed sequentially with deionized water and ethanol. Finally, the sample was redispersed in deionized water and centrifuged again at 5,000 rpm for 15 minutes. The supernatant, containing the carbon-dot-supported silver nanoparticles (</w:t>
      </w:r>
      <w:proofErr w:type="spellStart"/>
      <w:r w:rsidRPr="00F2560B">
        <w:rPr>
          <w:rFonts w:ascii="Arial" w:hAnsi="Arial" w:cs="Arial"/>
        </w:rPr>
        <w:t>AgCDs</w:t>
      </w:r>
      <w:proofErr w:type="spellEnd"/>
      <w:r w:rsidRPr="00F2560B">
        <w:rPr>
          <w:rFonts w:ascii="Arial" w:hAnsi="Arial" w:cs="Arial"/>
        </w:rPr>
        <w:t>), was collected and stored at 4 °C for subsequent use.</w:t>
      </w:r>
    </w:p>
    <w:p w14:paraId="72E24368" w14:textId="77777777" w:rsidR="00594636" w:rsidRPr="00F2560B" w:rsidRDefault="00594636" w:rsidP="00594636">
      <w:pPr>
        <w:pStyle w:val="Body"/>
        <w:spacing w:after="0"/>
        <w:rPr>
          <w:rFonts w:ascii="Arial" w:hAnsi="Arial" w:cs="Arial"/>
        </w:rPr>
      </w:pPr>
    </w:p>
    <w:p w14:paraId="3292BAC9" w14:textId="7D492852" w:rsidR="00F2560B" w:rsidRDefault="00F2560B" w:rsidP="00594636">
      <w:pPr>
        <w:pStyle w:val="Body"/>
        <w:spacing w:after="0"/>
        <w:rPr>
          <w:rFonts w:ascii="Arial" w:hAnsi="Arial" w:cs="Arial"/>
          <w:b/>
          <w:bCs/>
          <w:u w:val="single"/>
        </w:rPr>
      </w:pPr>
      <w:r w:rsidRPr="00F2560B">
        <w:rPr>
          <w:rFonts w:ascii="Arial" w:hAnsi="Arial" w:cs="Arial"/>
          <w:b/>
          <w:bCs/>
          <w:u w:val="single"/>
        </w:rPr>
        <w:t>2.3.3.</w:t>
      </w:r>
      <w:r w:rsidRPr="00F2560B">
        <w:rPr>
          <w:rFonts w:ascii="Arial" w:hAnsi="Arial" w:cs="Arial"/>
          <w:b/>
          <w:bCs/>
          <w:u w:val="single"/>
        </w:rPr>
        <w:tab/>
        <w:t>Pretreatment of the Au electrode</w:t>
      </w:r>
    </w:p>
    <w:p w14:paraId="7A9CBB23" w14:textId="77777777" w:rsidR="00594636" w:rsidRPr="00F2560B" w:rsidRDefault="00594636" w:rsidP="00594636">
      <w:pPr>
        <w:pStyle w:val="Body"/>
        <w:spacing w:after="0"/>
        <w:rPr>
          <w:rFonts w:ascii="Arial" w:hAnsi="Arial" w:cs="Arial"/>
          <w:b/>
          <w:bCs/>
          <w:u w:val="single"/>
        </w:rPr>
      </w:pPr>
    </w:p>
    <w:p w14:paraId="421488FC" w14:textId="0212A5CC" w:rsidR="00F2560B" w:rsidRDefault="00F2560B" w:rsidP="00594636">
      <w:pPr>
        <w:pStyle w:val="Body"/>
        <w:spacing w:after="0"/>
        <w:rPr>
          <w:rFonts w:ascii="Arial" w:hAnsi="Arial" w:cs="Arial"/>
        </w:rPr>
      </w:pPr>
      <w:r w:rsidRPr="00F2560B">
        <w:rPr>
          <w:rFonts w:ascii="Arial" w:hAnsi="Arial" w:cs="Arial"/>
        </w:rPr>
        <w:t>Before using the gold electrode, the surface of the gold disk was polished with alumina (0.05 µm diameter), then cleaned ultrasonically successively in deionized water and ethanol for two minutes at each stage. The electrode was then electrochemically cleaned in a 1 M sulfuric acid (H</w:t>
      </w:r>
      <w:r w:rsidRPr="00F2560B">
        <w:rPr>
          <w:rFonts w:ascii="Cambria Math" w:hAnsi="Cambria Math" w:cs="Cambria Math"/>
        </w:rPr>
        <w:t>₂</w:t>
      </w:r>
      <w:r w:rsidRPr="00F2560B">
        <w:rPr>
          <w:rFonts w:ascii="Arial" w:hAnsi="Arial" w:cs="Arial"/>
        </w:rPr>
        <w:t>SO</w:t>
      </w:r>
      <w:r w:rsidRPr="00F2560B">
        <w:rPr>
          <w:rFonts w:ascii="Cambria Math" w:hAnsi="Cambria Math" w:cs="Cambria Math"/>
        </w:rPr>
        <w:t>₄</w:t>
      </w:r>
      <w:r w:rsidRPr="00F2560B">
        <w:rPr>
          <w:rFonts w:ascii="Arial" w:hAnsi="Arial" w:cs="Arial"/>
        </w:rPr>
        <w:t>) solution by polarizing it for 60 s at -1 V and +1.75 V to form H</w:t>
      </w:r>
      <w:r w:rsidRPr="00F2560B">
        <w:rPr>
          <w:rFonts w:ascii="Cambria Math" w:hAnsi="Cambria Math" w:cs="Cambria Math"/>
        </w:rPr>
        <w:t>₂</w:t>
      </w:r>
      <w:r w:rsidRPr="00F2560B">
        <w:rPr>
          <w:rFonts w:ascii="Arial" w:hAnsi="Arial" w:cs="Arial"/>
        </w:rPr>
        <w:t xml:space="preserve"> and O</w:t>
      </w:r>
      <w:r w:rsidRPr="00F2560B">
        <w:rPr>
          <w:rFonts w:ascii="Cambria Math" w:hAnsi="Cambria Math" w:cs="Cambria Math"/>
        </w:rPr>
        <w:t>₂</w:t>
      </w:r>
      <w:r w:rsidRPr="00F2560B">
        <w:rPr>
          <w:rFonts w:ascii="Arial" w:hAnsi="Arial" w:cs="Arial"/>
        </w:rPr>
        <w:t xml:space="preserve"> bubbles on its surface. Cyclic voltammograms (VCs) were then recorded between -1 V and +1.75 V at 100 mV/s until reproducible cycles were obtained </w:t>
      </w:r>
      <w:r w:rsidR="00736A70">
        <w:rPr>
          <w:rFonts w:ascii="Arial" w:hAnsi="Arial" w:cs="Arial"/>
        </w:rPr>
        <w:fldChar w:fldCharType="begin"/>
      </w:r>
      <w:r w:rsidR="00736A70">
        <w:rPr>
          <w:rFonts w:ascii="Arial" w:hAnsi="Arial" w:cs="Arial"/>
        </w:rPr>
        <w:instrText xml:space="preserve"> ADDIN ZOTERO_ITEM CSL_CITATION {"citationID":"t0hpJQzG","properties":{"formattedCitation":"(Martin et al., 2021)","plainCitation":"(Martin et al., 2021)","noteIndex":0},"citationItems":[{"id":33,"uris":["http://zotero.org/users/local/EkoAwMma/items/WQUXSM4F"],"itemData":{"id":33,"type":"article-journal","container-title":"Arabian Journal of Chemistry","DOI":"10.1016/j.arabjc.2021.103319","ISSN":"18785352","issue":"9","journalAbbreviation":"Arabian Journal of Chemistry","language":"en","page":"103319","source":"DOI.org (Crossref)","title":"Cys-AgNPs modified gold electrode as an ultrasensitive electrochemical sensor for the detection of 3-chloropropane-1,2-diol","URL":"https://linkinghub.elsevier.com/retrieve/pii/S1878535221003348","volume":"14","author":[{"family":"Martin","given":"Aka Alla"},{"family":"Fodjo","given":"Essy Kouadio"},{"family":"Eric-Simon","given":"Zran Vanh"},{"family":"Gu","given":"Zhen"},{"family":"Yang","given":"Guangxin"},{"family":"Albert","given":"Trokourey"},{"family":"Kong","given":"Cong"},{"family":"Wang","given":"Hui-Feng"}],"accessed":{"date-parts":[["2025",5,17]]},"issued":{"date-parts":[["2021",9]]}}}],"schema":"https://github.com/citation-style-language/schema/raw/master/csl-citation.json"} </w:instrText>
      </w:r>
      <w:r w:rsidR="00736A70">
        <w:rPr>
          <w:rFonts w:ascii="Arial" w:hAnsi="Arial" w:cs="Arial"/>
        </w:rPr>
        <w:fldChar w:fldCharType="separate"/>
      </w:r>
      <w:r w:rsidR="00736A70" w:rsidRPr="00736A70">
        <w:rPr>
          <w:rFonts w:ascii="Arial" w:hAnsi="Arial" w:cs="Arial"/>
        </w:rPr>
        <w:t>(Martin et al., 2021)</w:t>
      </w:r>
      <w:r w:rsidR="00736A70">
        <w:rPr>
          <w:rFonts w:ascii="Arial" w:hAnsi="Arial" w:cs="Arial"/>
        </w:rPr>
        <w:fldChar w:fldCharType="end"/>
      </w:r>
      <w:r w:rsidRPr="00F2560B">
        <w:rPr>
          <w:rFonts w:ascii="Arial" w:hAnsi="Arial" w:cs="Arial"/>
        </w:rPr>
        <w:t>.</w:t>
      </w:r>
    </w:p>
    <w:p w14:paraId="084EE3E2" w14:textId="77777777" w:rsidR="00594636" w:rsidRPr="00F2560B" w:rsidRDefault="00594636" w:rsidP="00594636">
      <w:pPr>
        <w:pStyle w:val="Body"/>
        <w:spacing w:after="0"/>
        <w:rPr>
          <w:rFonts w:ascii="Arial" w:hAnsi="Arial" w:cs="Arial"/>
        </w:rPr>
      </w:pPr>
    </w:p>
    <w:p w14:paraId="28D80ED4" w14:textId="00BFD894" w:rsidR="00F2560B" w:rsidRDefault="00F2560B" w:rsidP="00594636">
      <w:pPr>
        <w:pStyle w:val="Body"/>
        <w:spacing w:after="0"/>
        <w:rPr>
          <w:rFonts w:ascii="Arial" w:hAnsi="Arial" w:cs="Arial"/>
          <w:b/>
          <w:bCs/>
          <w:u w:val="single"/>
        </w:rPr>
      </w:pPr>
      <w:r w:rsidRPr="00F2560B">
        <w:rPr>
          <w:rFonts w:ascii="Arial" w:hAnsi="Arial" w:cs="Arial"/>
          <w:b/>
          <w:bCs/>
          <w:u w:val="single"/>
        </w:rPr>
        <w:t>2.3.4.</w:t>
      </w:r>
      <w:r w:rsidRPr="00F2560B">
        <w:rPr>
          <w:rFonts w:ascii="Arial" w:hAnsi="Arial" w:cs="Arial"/>
          <w:b/>
          <w:bCs/>
          <w:u w:val="single"/>
        </w:rPr>
        <w:tab/>
      </w:r>
      <w:proofErr w:type="spellStart"/>
      <w:r w:rsidRPr="00F2560B">
        <w:rPr>
          <w:rFonts w:ascii="Arial" w:hAnsi="Arial" w:cs="Arial"/>
          <w:b/>
          <w:bCs/>
          <w:u w:val="single"/>
        </w:rPr>
        <w:t>AgCDs</w:t>
      </w:r>
      <w:proofErr w:type="spellEnd"/>
      <w:r w:rsidRPr="00F2560B">
        <w:rPr>
          <w:rFonts w:ascii="Arial" w:hAnsi="Arial" w:cs="Arial"/>
          <w:b/>
          <w:bCs/>
          <w:u w:val="single"/>
        </w:rPr>
        <w:t>/Au electrode fabrication process</w:t>
      </w:r>
    </w:p>
    <w:p w14:paraId="5AE44F80" w14:textId="77777777" w:rsidR="00594636" w:rsidRPr="00F2560B" w:rsidRDefault="00594636" w:rsidP="00594636">
      <w:pPr>
        <w:pStyle w:val="Body"/>
        <w:spacing w:after="0"/>
        <w:rPr>
          <w:rFonts w:ascii="Arial" w:hAnsi="Arial" w:cs="Arial"/>
          <w:b/>
          <w:bCs/>
          <w:u w:val="single"/>
        </w:rPr>
      </w:pPr>
    </w:p>
    <w:p w14:paraId="03BDA858" w14:textId="16EEE7FE" w:rsidR="00F2560B" w:rsidRDefault="00F2560B" w:rsidP="00594636">
      <w:pPr>
        <w:pStyle w:val="Body"/>
        <w:spacing w:after="0"/>
        <w:rPr>
          <w:rFonts w:ascii="Arial" w:hAnsi="Arial" w:cs="Arial"/>
        </w:rPr>
      </w:pPr>
      <w:r w:rsidRPr="00F2560B">
        <w:rPr>
          <w:rFonts w:ascii="Arial" w:hAnsi="Arial" w:cs="Arial"/>
        </w:rPr>
        <w:t>The presence of the hydroxyl group (–OH), characteristic of alcohols, was confirmed (Fig. 1) through a controlled oxidation reaction with potassium permanganate (KMnO</w:t>
      </w:r>
      <w:r w:rsidRPr="00736A70">
        <w:rPr>
          <w:rFonts w:ascii="Arial" w:hAnsi="Arial" w:cs="Arial"/>
          <w:vertAlign w:val="subscript"/>
        </w:rPr>
        <w:t>4</w:t>
      </w:r>
      <w:r w:rsidRPr="00F2560B">
        <w:rPr>
          <w:rFonts w:ascii="Arial" w:hAnsi="Arial" w:cs="Arial"/>
        </w:rPr>
        <w:t>) in sulfuric acid (H</w:t>
      </w:r>
      <w:r w:rsidRPr="00736A70">
        <w:rPr>
          <w:rFonts w:ascii="Arial" w:hAnsi="Arial" w:cs="Arial"/>
          <w:vertAlign w:val="subscript"/>
        </w:rPr>
        <w:t>2</w:t>
      </w:r>
      <w:r w:rsidRPr="00F2560B">
        <w:rPr>
          <w:rFonts w:ascii="Arial" w:hAnsi="Arial" w:cs="Arial"/>
        </w:rPr>
        <w:t>SO</w:t>
      </w:r>
      <w:r w:rsidRPr="00736A70">
        <w:rPr>
          <w:rFonts w:ascii="Arial" w:hAnsi="Arial" w:cs="Arial"/>
          <w:vertAlign w:val="subscript"/>
        </w:rPr>
        <w:t>4</w:t>
      </w:r>
      <w:r w:rsidRPr="00F2560B">
        <w:rPr>
          <w:rFonts w:ascii="Arial" w:hAnsi="Arial" w:cs="Arial"/>
        </w:rPr>
        <w:t>). The observed purple decolorization of the acidified potassium permanganate solution indicates the presence of an alcohol functional group. This test rules out the presence of tertiary alcohols but does not provide specific information regarding the class of alcohols present on the carbon dots (CDs) and carbon-dot-supported silver nanoparticles (</w:t>
      </w:r>
      <w:proofErr w:type="spellStart"/>
      <w:r w:rsidRPr="00F2560B">
        <w:rPr>
          <w:rFonts w:ascii="Arial" w:hAnsi="Arial" w:cs="Arial"/>
        </w:rPr>
        <w:t>AgCDs</w:t>
      </w:r>
      <w:proofErr w:type="spellEnd"/>
      <w:r w:rsidRPr="00F2560B">
        <w:rPr>
          <w:rFonts w:ascii="Arial" w:hAnsi="Arial" w:cs="Arial"/>
        </w:rPr>
        <w:t>).</w:t>
      </w:r>
    </w:p>
    <w:p w14:paraId="6646C095" w14:textId="77777777" w:rsidR="00594636" w:rsidRPr="00F2560B" w:rsidRDefault="00594636" w:rsidP="00594636">
      <w:pPr>
        <w:pStyle w:val="Body"/>
        <w:spacing w:after="0"/>
        <w:rPr>
          <w:rFonts w:ascii="Arial" w:hAnsi="Arial" w:cs="Arial"/>
        </w:rPr>
      </w:pPr>
    </w:p>
    <w:p w14:paraId="1DEFFCD5" w14:textId="109E033E"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2.4.</w:t>
      </w:r>
      <w:r w:rsidRPr="00F2560B">
        <w:rPr>
          <w:rFonts w:ascii="Arial" w:hAnsi="Arial" w:cs="Arial"/>
          <w:b/>
          <w:bCs/>
          <w:sz w:val="22"/>
          <w:szCs w:val="22"/>
        </w:rPr>
        <w:tab/>
      </w:r>
      <w:proofErr w:type="spellStart"/>
      <w:r w:rsidRPr="00F508FE">
        <w:rPr>
          <w:rFonts w:ascii="Arial" w:hAnsi="Arial" w:cs="Arial"/>
          <w:b/>
          <w:bCs/>
          <w:sz w:val="22"/>
          <w:szCs w:val="22"/>
        </w:rPr>
        <w:t>Electrochimical</w:t>
      </w:r>
      <w:proofErr w:type="spellEnd"/>
      <w:r w:rsidRPr="00F508FE">
        <w:rPr>
          <w:rFonts w:ascii="Arial" w:hAnsi="Arial" w:cs="Arial"/>
          <w:b/>
          <w:bCs/>
          <w:sz w:val="22"/>
          <w:szCs w:val="22"/>
        </w:rPr>
        <w:t xml:space="preserve"> detection of </w:t>
      </w:r>
      <w:r w:rsidR="00F508FE" w:rsidRPr="00F508FE">
        <w:rPr>
          <w:rFonts w:ascii="Arial" w:hAnsi="Arial" w:cs="Arial"/>
          <w:b/>
          <w:bCs/>
        </w:rPr>
        <w:t>DMAP-HCl</w:t>
      </w:r>
    </w:p>
    <w:p w14:paraId="6F5E484E" w14:textId="77777777" w:rsidR="00594636" w:rsidRPr="00F2560B" w:rsidRDefault="00594636" w:rsidP="00594636">
      <w:pPr>
        <w:pStyle w:val="Body"/>
        <w:spacing w:after="0"/>
        <w:rPr>
          <w:rFonts w:ascii="Arial" w:hAnsi="Arial" w:cs="Arial"/>
          <w:b/>
          <w:bCs/>
          <w:sz w:val="22"/>
          <w:szCs w:val="22"/>
        </w:rPr>
      </w:pPr>
    </w:p>
    <w:p w14:paraId="6B6D1060" w14:textId="6536A80B" w:rsidR="00790ADA" w:rsidRDefault="00F2560B" w:rsidP="00594636">
      <w:pPr>
        <w:pStyle w:val="Body"/>
        <w:spacing w:after="0"/>
        <w:rPr>
          <w:rFonts w:ascii="Arial" w:hAnsi="Arial" w:cs="Arial"/>
        </w:rPr>
      </w:pPr>
      <w:r w:rsidRPr="00F2560B">
        <w:rPr>
          <w:rFonts w:ascii="Arial" w:hAnsi="Arial" w:cs="Arial"/>
        </w:rPr>
        <w:t xml:space="preserve">The response of </w:t>
      </w:r>
      <w:r w:rsidR="00881353" w:rsidRPr="002755E8">
        <w:rPr>
          <w:rFonts w:ascii="Arial" w:hAnsi="Arial" w:cs="Arial"/>
        </w:rPr>
        <w:t>DMAP</w:t>
      </w:r>
      <w:r w:rsidR="00881353">
        <w:rPr>
          <w:rFonts w:ascii="Arial" w:hAnsi="Arial" w:cs="Arial"/>
        </w:rPr>
        <w:t>-HCl</w:t>
      </w:r>
      <w:r w:rsidRPr="00F2560B">
        <w:rPr>
          <w:rFonts w:ascii="Arial" w:hAnsi="Arial" w:cs="Arial"/>
        </w:rPr>
        <w:t xml:space="preserve"> on an </w:t>
      </w:r>
      <w:proofErr w:type="spellStart"/>
      <w:r w:rsidRPr="00F2560B">
        <w:rPr>
          <w:rFonts w:ascii="Arial" w:hAnsi="Arial" w:cs="Arial"/>
        </w:rPr>
        <w:t>AgCDs</w:t>
      </w:r>
      <w:proofErr w:type="spellEnd"/>
      <w:r w:rsidRPr="00F2560B">
        <w:rPr>
          <w:rFonts w:ascii="Arial" w:hAnsi="Arial" w:cs="Arial"/>
        </w:rPr>
        <w:t xml:space="preserve">/Au electrode was investigated by cyclic voltammetry (CV) and differential pulse voltammetry (DPV). For </w:t>
      </w:r>
      <w:r w:rsidR="00881353" w:rsidRPr="002755E8">
        <w:rPr>
          <w:rFonts w:ascii="Arial" w:hAnsi="Arial" w:cs="Arial"/>
        </w:rPr>
        <w:t>DMAP</w:t>
      </w:r>
      <w:r w:rsidR="00881353">
        <w:rPr>
          <w:rFonts w:ascii="Arial" w:hAnsi="Arial" w:cs="Arial"/>
        </w:rPr>
        <w:t>-HCl</w:t>
      </w:r>
      <w:r w:rsidRPr="00F2560B">
        <w:rPr>
          <w:rFonts w:ascii="Arial" w:hAnsi="Arial" w:cs="Arial"/>
        </w:rPr>
        <w:t xml:space="preserve"> detection, 50 mL of a 10-5 M </w:t>
      </w:r>
      <w:proofErr w:type="spellStart"/>
      <w:r w:rsidRPr="00F2560B">
        <w:rPr>
          <w:rFonts w:ascii="Arial" w:hAnsi="Arial" w:cs="Arial"/>
        </w:rPr>
        <w:t>Na</w:t>
      </w:r>
      <w:r w:rsidRPr="00F2560B">
        <w:rPr>
          <w:rFonts w:ascii="Cambria Math" w:hAnsi="Cambria Math" w:cs="Cambria Math"/>
        </w:rPr>
        <w:t>₂</w:t>
      </w:r>
      <w:r w:rsidRPr="00F2560B">
        <w:rPr>
          <w:rFonts w:ascii="Arial" w:hAnsi="Arial" w:cs="Arial"/>
        </w:rPr>
        <w:t>SO</w:t>
      </w:r>
      <w:proofErr w:type="spellEnd"/>
      <w:r w:rsidRPr="00F2560B">
        <w:rPr>
          <w:rFonts w:ascii="Cambria Math" w:hAnsi="Cambria Math" w:cs="Cambria Math"/>
        </w:rPr>
        <w:t>₄</w:t>
      </w:r>
      <w:r w:rsidRPr="00F2560B">
        <w:rPr>
          <w:rFonts w:ascii="Arial" w:hAnsi="Arial" w:cs="Arial"/>
        </w:rPr>
        <w:t xml:space="preserve"> solution was introduced into the electrochemical cell, followed by the addition of a </w:t>
      </w:r>
      <w:r w:rsidR="00F508FE" w:rsidRPr="002755E8">
        <w:rPr>
          <w:rFonts w:ascii="Arial" w:hAnsi="Arial" w:cs="Arial"/>
        </w:rPr>
        <w:t>DMAP</w:t>
      </w:r>
      <w:r w:rsidR="00F508FE">
        <w:rPr>
          <w:rFonts w:ascii="Arial" w:hAnsi="Arial" w:cs="Arial"/>
        </w:rPr>
        <w:t>-HCl</w:t>
      </w:r>
      <w:r w:rsidRPr="00F2560B">
        <w:rPr>
          <w:rFonts w:ascii="Arial" w:hAnsi="Arial" w:cs="Arial"/>
        </w:rPr>
        <w:t xml:space="preserve"> solution at a concentration of 5 µg/</w:t>
      </w:r>
      <w:proofErr w:type="spellStart"/>
      <w:r w:rsidRPr="00F2560B">
        <w:rPr>
          <w:rFonts w:ascii="Arial" w:hAnsi="Arial" w:cs="Arial"/>
        </w:rPr>
        <w:t>mL.</w:t>
      </w:r>
      <w:proofErr w:type="spellEnd"/>
      <w:r w:rsidRPr="00F2560B">
        <w:rPr>
          <w:rFonts w:ascii="Arial" w:hAnsi="Arial" w:cs="Arial"/>
        </w:rPr>
        <w:t xml:space="preserve"> After homogenization, the cyclic voltammetry was recorded in the potential range of -1 V to +1.75 V. For calibration, </w:t>
      </w:r>
      <w:r w:rsidR="00F508FE" w:rsidRPr="002755E8">
        <w:rPr>
          <w:rFonts w:ascii="Arial" w:hAnsi="Arial" w:cs="Arial"/>
        </w:rPr>
        <w:t>DMAP</w:t>
      </w:r>
      <w:r w:rsidR="00F508FE">
        <w:rPr>
          <w:rFonts w:ascii="Arial" w:hAnsi="Arial" w:cs="Arial"/>
        </w:rPr>
        <w:t>-HCl</w:t>
      </w:r>
      <w:r w:rsidRPr="00F2560B">
        <w:rPr>
          <w:rFonts w:ascii="Arial" w:hAnsi="Arial" w:cs="Arial"/>
        </w:rPr>
        <w:t xml:space="preserve"> solutions at various concentrations, from 3 ng/mL to 1500 ng/mL, were prepared and used for DPV. All DPV experiments were performed between -0.6 V and +0.7 V at a sweep rate of 50 mV/s, a pulse time of 0.02 s, a sampling time of 0.05 s, a hold time of 2 s, a step potential of 20 mV and a pulse amplitude of 100 mV.</w:t>
      </w:r>
      <w:r w:rsidR="00AA74E0" w:rsidRPr="00FB3A86">
        <w:rPr>
          <w:rFonts w:ascii="Arial" w:hAnsi="Arial" w:cs="Arial"/>
        </w:rPr>
        <w:t xml:space="preserve"> </w:t>
      </w:r>
    </w:p>
    <w:p w14:paraId="1178F190" w14:textId="77777777" w:rsidR="00594636" w:rsidRPr="00FB3A86" w:rsidRDefault="00594636" w:rsidP="00594636">
      <w:pPr>
        <w:pStyle w:val="Body"/>
        <w:spacing w:after="0"/>
        <w:rPr>
          <w:rFonts w:ascii="Arial" w:hAnsi="Arial" w:cs="Arial"/>
        </w:rPr>
      </w:pPr>
    </w:p>
    <w:p w14:paraId="51FE19D2" w14:textId="6D218450" w:rsidR="00790ADA" w:rsidRDefault="00000F8F" w:rsidP="00594636">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DDD6D1" w14:textId="77777777" w:rsidR="00594636" w:rsidRPr="00FB3A86" w:rsidRDefault="00594636" w:rsidP="00594636">
      <w:pPr>
        <w:pStyle w:val="Head1"/>
        <w:spacing w:after="0"/>
        <w:jc w:val="both"/>
        <w:rPr>
          <w:rFonts w:ascii="Arial" w:hAnsi="Arial" w:cs="Arial"/>
        </w:rPr>
      </w:pPr>
    </w:p>
    <w:p w14:paraId="6F8FB914" w14:textId="3C6B5E4B" w:rsidR="008223A7" w:rsidRDefault="008223A7" w:rsidP="00594636">
      <w:pPr>
        <w:pStyle w:val="Body"/>
        <w:spacing w:after="0"/>
        <w:rPr>
          <w:rFonts w:ascii="Arial" w:hAnsi="Arial" w:cs="Arial"/>
          <w:b/>
          <w:bCs/>
          <w:sz w:val="22"/>
          <w:szCs w:val="22"/>
        </w:rPr>
      </w:pPr>
      <w:r w:rsidRPr="008223A7">
        <w:rPr>
          <w:rFonts w:ascii="Arial" w:hAnsi="Arial" w:cs="Arial"/>
          <w:b/>
          <w:bCs/>
          <w:sz w:val="22"/>
          <w:szCs w:val="22"/>
        </w:rPr>
        <w:t>3.1.</w:t>
      </w:r>
      <w:r w:rsidRPr="008223A7">
        <w:rPr>
          <w:rFonts w:ascii="Arial" w:hAnsi="Arial" w:cs="Arial"/>
          <w:b/>
          <w:bCs/>
          <w:sz w:val="22"/>
          <w:szCs w:val="22"/>
        </w:rPr>
        <w:tab/>
        <w:t xml:space="preserve">Characterization of CDs and </w:t>
      </w:r>
      <w:proofErr w:type="spellStart"/>
      <w:r w:rsidRPr="008223A7">
        <w:rPr>
          <w:rFonts w:ascii="Arial" w:hAnsi="Arial" w:cs="Arial"/>
          <w:b/>
          <w:bCs/>
          <w:sz w:val="22"/>
          <w:szCs w:val="22"/>
        </w:rPr>
        <w:t>AgCDs</w:t>
      </w:r>
      <w:proofErr w:type="spellEnd"/>
      <w:r w:rsidRPr="008223A7">
        <w:rPr>
          <w:rFonts w:ascii="Arial" w:hAnsi="Arial" w:cs="Arial"/>
          <w:b/>
          <w:bCs/>
          <w:sz w:val="22"/>
          <w:szCs w:val="22"/>
        </w:rPr>
        <w:t xml:space="preserve"> </w:t>
      </w:r>
    </w:p>
    <w:p w14:paraId="7E0D29D3" w14:textId="77777777" w:rsidR="00594636" w:rsidRPr="008223A7" w:rsidRDefault="00594636" w:rsidP="00594636">
      <w:pPr>
        <w:pStyle w:val="Body"/>
        <w:spacing w:after="0"/>
        <w:rPr>
          <w:rFonts w:ascii="Arial" w:hAnsi="Arial" w:cs="Arial"/>
          <w:b/>
          <w:bCs/>
          <w:sz w:val="22"/>
          <w:szCs w:val="22"/>
        </w:rPr>
      </w:pPr>
    </w:p>
    <w:p w14:paraId="77BC26C1" w14:textId="7A57E47D" w:rsidR="008223A7" w:rsidRDefault="008223A7" w:rsidP="00594636">
      <w:pPr>
        <w:pStyle w:val="Body"/>
        <w:spacing w:after="0"/>
        <w:rPr>
          <w:rFonts w:ascii="Arial" w:hAnsi="Arial" w:cs="Arial"/>
          <w:b/>
          <w:bCs/>
          <w:u w:val="single"/>
        </w:rPr>
      </w:pPr>
      <w:r w:rsidRPr="008223A7">
        <w:rPr>
          <w:rFonts w:ascii="Arial" w:hAnsi="Arial" w:cs="Arial"/>
          <w:b/>
          <w:bCs/>
          <w:u w:val="single"/>
        </w:rPr>
        <w:t>3.1.1.</w:t>
      </w:r>
      <w:r w:rsidRPr="008223A7">
        <w:rPr>
          <w:rFonts w:ascii="Arial" w:hAnsi="Arial" w:cs="Arial"/>
          <w:b/>
          <w:bCs/>
          <w:u w:val="single"/>
        </w:rPr>
        <w:tab/>
      </w:r>
      <w:bookmarkStart w:id="0" w:name="_Hlk221397935"/>
      <w:r w:rsidRPr="008223A7">
        <w:rPr>
          <w:rFonts w:ascii="Arial" w:hAnsi="Arial" w:cs="Arial"/>
          <w:b/>
          <w:bCs/>
          <w:u w:val="single"/>
        </w:rPr>
        <w:t>Test with KMnO</w:t>
      </w:r>
      <w:r w:rsidRPr="00736A70">
        <w:rPr>
          <w:rFonts w:ascii="Arial" w:hAnsi="Arial" w:cs="Arial"/>
          <w:b/>
          <w:bCs/>
          <w:u w:val="single"/>
          <w:vertAlign w:val="subscript"/>
        </w:rPr>
        <w:t>4</w:t>
      </w:r>
      <w:r w:rsidRPr="008223A7">
        <w:rPr>
          <w:rFonts w:ascii="Arial" w:hAnsi="Arial" w:cs="Arial"/>
          <w:b/>
          <w:bCs/>
          <w:u w:val="single"/>
        </w:rPr>
        <w:t>∕H</w:t>
      </w:r>
      <w:r w:rsidRPr="00736A70">
        <w:rPr>
          <w:rFonts w:ascii="Arial" w:hAnsi="Arial" w:cs="Arial"/>
          <w:b/>
          <w:bCs/>
          <w:u w:val="single"/>
          <w:vertAlign w:val="subscript"/>
        </w:rPr>
        <w:t>2</w:t>
      </w:r>
      <w:r w:rsidRPr="008223A7">
        <w:rPr>
          <w:rFonts w:ascii="Arial" w:hAnsi="Arial" w:cs="Arial"/>
          <w:b/>
          <w:bCs/>
          <w:u w:val="single"/>
        </w:rPr>
        <w:t>SO</w:t>
      </w:r>
      <w:r w:rsidRPr="00736A70">
        <w:rPr>
          <w:rFonts w:ascii="Arial" w:hAnsi="Arial" w:cs="Arial"/>
          <w:b/>
          <w:bCs/>
          <w:u w:val="single"/>
          <w:vertAlign w:val="subscript"/>
        </w:rPr>
        <w:t>4</w:t>
      </w:r>
      <w:bookmarkEnd w:id="0"/>
    </w:p>
    <w:p w14:paraId="18E58400" w14:textId="77777777" w:rsidR="00594636" w:rsidRPr="008223A7" w:rsidRDefault="00594636" w:rsidP="00594636">
      <w:pPr>
        <w:pStyle w:val="Body"/>
        <w:spacing w:after="0"/>
        <w:rPr>
          <w:rFonts w:ascii="Arial" w:hAnsi="Arial" w:cs="Arial"/>
          <w:b/>
          <w:bCs/>
          <w:u w:val="single"/>
        </w:rPr>
      </w:pPr>
    </w:p>
    <w:p w14:paraId="0827B47A" w14:textId="468ACA0C" w:rsidR="008223A7" w:rsidRDefault="008223A7" w:rsidP="00594636">
      <w:pPr>
        <w:pStyle w:val="Body"/>
        <w:spacing w:after="0"/>
        <w:rPr>
          <w:rFonts w:ascii="Arial" w:hAnsi="Arial" w:cs="Arial"/>
        </w:rPr>
      </w:pPr>
      <w:r w:rsidRPr="008223A7">
        <w:rPr>
          <w:rFonts w:ascii="Arial" w:hAnsi="Arial" w:cs="Arial"/>
        </w:rPr>
        <w:t>After diluting the bromothymol blue (BTB) solution, a solution of carbon dots (CDs) or carbon-dot-supported silver nanoparticles (</w:t>
      </w:r>
      <w:proofErr w:type="spellStart"/>
      <w:r w:rsidRPr="008223A7">
        <w:rPr>
          <w:rFonts w:ascii="Arial" w:hAnsi="Arial" w:cs="Arial"/>
        </w:rPr>
        <w:t>AgCDs</w:t>
      </w:r>
      <w:proofErr w:type="spellEnd"/>
      <w:r w:rsidRPr="008223A7">
        <w:rPr>
          <w:rFonts w:ascii="Arial" w:hAnsi="Arial" w:cs="Arial"/>
        </w:rPr>
        <w:t xml:space="preserve">) was added. A color change from blue to yellow in the BTB solution was observed (Fig. 2c). To validate the BTB test results, a pH paper test was conducted, which showed decolorization corresponding to a pH of 4–5 upon the addition of a drop of the CDs or </w:t>
      </w:r>
      <w:proofErr w:type="spellStart"/>
      <w:r w:rsidRPr="008223A7">
        <w:rPr>
          <w:rFonts w:ascii="Arial" w:hAnsi="Arial" w:cs="Arial"/>
        </w:rPr>
        <w:t>AgCDs</w:t>
      </w:r>
      <w:proofErr w:type="spellEnd"/>
      <w:r w:rsidRPr="008223A7">
        <w:rPr>
          <w:rFonts w:ascii="Arial" w:hAnsi="Arial" w:cs="Arial"/>
        </w:rPr>
        <w:t xml:space="preserve"> solution (Fig. 2a). These findings confirm the presence of carboxyl groups on the surface of the CDs and </w:t>
      </w:r>
      <w:proofErr w:type="spellStart"/>
      <w:r w:rsidRPr="008223A7">
        <w:rPr>
          <w:rFonts w:ascii="Arial" w:hAnsi="Arial" w:cs="Arial"/>
        </w:rPr>
        <w:t>AgCDs</w:t>
      </w:r>
      <w:proofErr w:type="spellEnd"/>
      <w:r w:rsidRPr="008223A7">
        <w:rPr>
          <w:rFonts w:ascii="Arial" w:hAnsi="Arial" w:cs="Arial"/>
        </w:rPr>
        <w:t>.</w:t>
      </w:r>
    </w:p>
    <w:p w14:paraId="55760C52" w14:textId="77777777" w:rsidR="00594636" w:rsidRPr="008223A7" w:rsidRDefault="00594636" w:rsidP="00594636">
      <w:pPr>
        <w:pStyle w:val="Body"/>
        <w:spacing w:after="0"/>
        <w:rPr>
          <w:rFonts w:ascii="Arial" w:hAnsi="Arial" w:cs="Arial"/>
        </w:rPr>
      </w:pPr>
    </w:p>
    <w:p w14:paraId="11DD54D8" w14:textId="7969A6E4" w:rsidR="00594636" w:rsidRPr="008223A7" w:rsidRDefault="00115AF5" w:rsidP="00BA5EFF">
      <w:pPr>
        <w:pStyle w:val="Body"/>
        <w:spacing w:after="0"/>
        <w:jc w:val="center"/>
        <w:rPr>
          <w:rFonts w:ascii="Arial" w:hAnsi="Arial" w:cs="Arial"/>
        </w:rPr>
      </w:pPr>
      <w:r>
        <w:rPr>
          <w:noProof/>
        </w:rPr>
        <w:drawing>
          <wp:inline distT="0" distB="0" distL="0" distR="0" wp14:anchorId="21584C3A" wp14:editId="5B1D6024">
            <wp:extent cx="3600000" cy="91865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918651"/>
                    </a:xfrm>
                    <a:prstGeom prst="rect">
                      <a:avLst/>
                    </a:prstGeom>
                    <a:noFill/>
                    <a:ln>
                      <a:noFill/>
                    </a:ln>
                  </pic:spPr>
                </pic:pic>
              </a:graphicData>
            </a:graphic>
          </wp:inline>
        </w:drawing>
      </w:r>
    </w:p>
    <w:p w14:paraId="0F913FE0" w14:textId="1043F4E7" w:rsidR="008223A7" w:rsidRPr="00BC7F1F" w:rsidRDefault="008223A7" w:rsidP="00BA5EFF">
      <w:pPr>
        <w:pStyle w:val="Body"/>
        <w:spacing w:after="0"/>
        <w:rPr>
          <w:rFonts w:ascii="Arial" w:hAnsi="Arial" w:cs="Arial"/>
          <w:b/>
          <w:bCs/>
        </w:rPr>
      </w:pPr>
      <w:r w:rsidRPr="00BC7F1F">
        <w:rPr>
          <w:rFonts w:ascii="Arial" w:hAnsi="Arial" w:cs="Arial"/>
          <w:b/>
          <w:bCs/>
        </w:rPr>
        <w:t xml:space="preserve">Fig. </w:t>
      </w:r>
      <w:r w:rsidR="00BC7F1F" w:rsidRPr="00BC7F1F">
        <w:rPr>
          <w:rFonts w:ascii="Arial" w:hAnsi="Arial" w:cs="Arial"/>
          <w:b/>
          <w:bCs/>
        </w:rPr>
        <w:t>1:</w:t>
      </w:r>
      <w:r w:rsidRPr="00BC7F1F">
        <w:rPr>
          <w:rFonts w:ascii="Arial" w:hAnsi="Arial" w:cs="Arial"/>
          <w:b/>
          <w:bCs/>
        </w:rPr>
        <w:t xml:space="preserve"> Demonstration of the hydroxyl function: (a) dilute CDs or </w:t>
      </w:r>
      <w:proofErr w:type="spellStart"/>
      <w:r w:rsidRPr="00BC7F1F">
        <w:rPr>
          <w:rFonts w:ascii="Arial" w:hAnsi="Arial" w:cs="Arial"/>
          <w:b/>
          <w:bCs/>
        </w:rPr>
        <w:t>AgCDs</w:t>
      </w:r>
      <w:proofErr w:type="spellEnd"/>
      <w:r w:rsidRPr="00BC7F1F">
        <w:rPr>
          <w:rFonts w:ascii="Arial" w:hAnsi="Arial" w:cs="Arial"/>
          <w:b/>
          <w:bCs/>
        </w:rPr>
        <w:t xml:space="preserve"> solution, (b) acidified potassium permanganate solution and (c) decolorized potassium permanganate solution.</w:t>
      </w:r>
    </w:p>
    <w:p w14:paraId="3361310F" w14:textId="77777777" w:rsidR="00BA5EFF" w:rsidRPr="008223A7" w:rsidRDefault="00BA5EFF" w:rsidP="00BA5EFF">
      <w:pPr>
        <w:pStyle w:val="Body"/>
        <w:spacing w:after="0"/>
        <w:rPr>
          <w:rFonts w:ascii="Arial" w:hAnsi="Arial" w:cs="Arial"/>
        </w:rPr>
      </w:pPr>
    </w:p>
    <w:p w14:paraId="524C2142" w14:textId="114F2276" w:rsidR="008223A7" w:rsidRDefault="008223A7" w:rsidP="00BA5EFF">
      <w:pPr>
        <w:pStyle w:val="Body"/>
        <w:spacing w:after="0"/>
        <w:rPr>
          <w:rFonts w:ascii="Arial" w:hAnsi="Arial" w:cs="Arial"/>
          <w:b/>
          <w:bCs/>
          <w:u w:val="single"/>
        </w:rPr>
      </w:pPr>
      <w:r w:rsidRPr="008223A7">
        <w:rPr>
          <w:rFonts w:ascii="Arial" w:hAnsi="Arial" w:cs="Arial"/>
          <w:b/>
          <w:bCs/>
          <w:u w:val="single"/>
        </w:rPr>
        <w:t>3.1.2.</w:t>
      </w:r>
      <w:r w:rsidRPr="008223A7">
        <w:rPr>
          <w:rFonts w:ascii="Arial" w:hAnsi="Arial" w:cs="Arial"/>
          <w:b/>
          <w:bCs/>
          <w:u w:val="single"/>
        </w:rPr>
        <w:tab/>
        <w:t>Test with Bromothymol blue (BTB) and pH paper</w:t>
      </w:r>
    </w:p>
    <w:p w14:paraId="23E9D614" w14:textId="77777777" w:rsidR="00BA5EFF" w:rsidRPr="008223A7" w:rsidRDefault="00BA5EFF" w:rsidP="00BA5EFF">
      <w:pPr>
        <w:pStyle w:val="Body"/>
        <w:spacing w:after="0"/>
        <w:rPr>
          <w:rFonts w:ascii="Arial" w:hAnsi="Arial" w:cs="Arial"/>
          <w:b/>
          <w:bCs/>
          <w:u w:val="single"/>
        </w:rPr>
      </w:pPr>
    </w:p>
    <w:p w14:paraId="4DA4B33F" w14:textId="0B2DF0E3" w:rsidR="008223A7" w:rsidRDefault="008223A7" w:rsidP="00BA5EFF">
      <w:pPr>
        <w:pStyle w:val="Body"/>
        <w:spacing w:after="0"/>
        <w:rPr>
          <w:rFonts w:ascii="Arial" w:hAnsi="Arial" w:cs="Arial"/>
        </w:rPr>
      </w:pPr>
      <w:r w:rsidRPr="008223A7">
        <w:rPr>
          <w:rFonts w:ascii="Arial" w:hAnsi="Arial" w:cs="Arial"/>
        </w:rPr>
        <w:lastRenderedPageBreak/>
        <w:t>After diluting the bromothymol blue (BTB) solution, a solution of carbon dots (CDs) or carbon-dot-supported silver nanoparticles (</w:t>
      </w:r>
      <w:proofErr w:type="spellStart"/>
      <w:r w:rsidRPr="008223A7">
        <w:rPr>
          <w:rFonts w:ascii="Arial" w:hAnsi="Arial" w:cs="Arial"/>
        </w:rPr>
        <w:t>AgCDs</w:t>
      </w:r>
      <w:proofErr w:type="spellEnd"/>
      <w:r w:rsidRPr="008223A7">
        <w:rPr>
          <w:rFonts w:ascii="Arial" w:hAnsi="Arial" w:cs="Arial"/>
        </w:rPr>
        <w:t xml:space="preserve">) was added. A color change from blue to yellow in the BTB solution was observed (Fig. 2c). To validate the BTB test results, a pH paper test was conducted, which showed decolorization corresponding to a pH of 4–5 upon the addition of a drop of the CDs or </w:t>
      </w:r>
      <w:proofErr w:type="spellStart"/>
      <w:r w:rsidRPr="008223A7">
        <w:rPr>
          <w:rFonts w:ascii="Arial" w:hAnsi="Arial" w:cs="Arial"/>
        </w:rPr>
        <w:t>AgCDs</w:t>
      </w:r>
      <w:proofErr w:type="spellEnd"/>
      <w:r w:rsidRPr="008223A7">
        <w:rPr>
          <w:rFonts w:ascii="Arial" w:hAnsi="Arial" w:cs="Arial"/>
        </w:rPr>
        <w:t xml:space="preserve"> solution (Fig. 2a). These findings confirm the presence of carboxyl groups on the surface of the CDs and </w:t>
      </w:r>
      <w:proofErr w:type="spellStart"/>
      <w:r w:rsidRPr="008223A7">
        <w:rPr>
          <w:rFonts w:ascii="Arial" w:hAnsi="Arial" w:cs="Arial"/>
        </w:rPr>
        <w:t>AgCDs</w:t>
      </w:r>
      <w:proofErr w:type="spellEnd"/>
      <w:r w:rsidRPr="008223A7">
        <w:rPr>
          <w:rFonts w:ascii="Arial" w:hAnsi="Arial" w:cs="Arial"/>
        </w:rPr>
        <w:t>.</w:t>
      </w:r>
    </w:p>
    <w:p w14:paraId="7C7EDF3F" w14:textId="77777777" w:rsidR="00BA5EFF" w:rsidRPr="008223A7" w:rsidRDefault="00BA5EFF" w:rsidP="00BA5EFF">
      <w:pPr>
        <w:pStyle w:val="Body"/>
        <w:spacing w:after="0"/>
        <w:rPr>
          <w:rFonts w:ascii="Arial" w:hAnsi="Arial" w:cs="Arial"/>
        </w:rPr>
      </w:pPr>
    </w:p>
    <w:p w14:paraId="427D62A9" w14:textId="6C024CE2"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4EED701A" wp14:editId="3DAF83BE">
            <wp:extent cx="3160166" cy="200645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428" cy="2080271"/>
                    </a:xfrm>
                    <a:prstGeom prst="rect">
                      <a:avLst/>
                    </a:prstGeom>
                    <a:noFill/>
                    <a:ln>
                      <a:noFill/>
                    </a:ln>
                  </pic:spPr>
                </pic:pic>
              </a:graphicData>
            </a:graphic>
          </wp:inline>
        </w:drawing>
      </w:r>
    </w:p>
    <w:p w14:paraId="5F3EC103" w14:textId="48FC1B9D" w:rsidR="008223A7" w:rsidRPr="00BC7F1F" w:rsidRDefault="008223A7" w:rsidP="00BA5EFF">
      <w:pPr>
        <w:pStyle w:val="Body"/>
        <w:spacing w:after="0"/>
        <w:rPr>
          <w:rFonts w:ascii="Arial" w:hAnsi="Arial" w:cs="Arial"/>
          <w:b/>
          <w:bCs/>
        </w:rPr>
      </w:pPr>
      <w:r w:rsidRPr="00BC7F1F">
        <w:rPr>
          <w:rFonts w:ascii="Arial" w:hAnsi="Arial" w:cs="Arial"/>
          <w:b/>
          <w:bCs/>
        </w:rPr>
        <w:t xml:space="preserve">Fig. </w:t>
      </w:r>
      <w:r w:rsidR="00BC7F1F" w:rsidRPr="00BC7F1F">
        <w:rPr>
          <w:rFonts w:ascii="Arial" w:hAnsi="Arial" w:cs="Arial"/>
          <w:b/>
          <w:bCs/>
        </w:rPr>
        <w:t>2:</w:t>
      </w:r>
      <w:r w:rsidRPr="00BC7F1F">
        <w:rPr>
          <w:rFonts w:ascii="Arial" w:hAnsi="Arial" w:cs="Arial"/>
          <w:b/>
          <w:bCs/>
        </w:rPr>
        <w:t xml:space="preserve"> Detection of carboxylic acids: (a) decolorization of pH paper, (b) change from blue to yellow color of the bromothymol blue (BTB) solution, and (c) dilute BTB solution.</w:t>
      </w:r>
    </w:p>
    <w:p w14:paraId="0110AEE4" w14:textId="77777777" w:rsidR="00BA5EFF" w:rsidRPr="008223A7" w:rsidRDefault="00BA5EFF" w:rsidP="00BA5EFF">
      <w:pPr>
        <w:pStyle w:val="Body"/>
        <w:spacing w:after="0"/>
        <w:rPr>
          <w:rFonts w:ascii="Arial" w:hAnsi="Arial" w:cs="Arial"/>
        </w:rPr>
      </w:pPr>
    </w:p>
    <w:p w14:paraId="057F8535" w14:textId="05239451" w:rsidR="008223A7" w:rsidRDefault="008223A7" w:rsidP="00BA5EFF">
      <w:pPr>
        <w:pStyle w:val="Body"/>
        <w:spacing w:after="0"/>
        <w:rPr>
          <w:rFonts w:ascii="Arial" w:hAnsi="Arial" w:cs="Arial"/>
          <w:b/>
          <w:bCs/>
          <w:u w:val="single"/>
        </w:rPr>
      </w:pPr>
      <w:r w:rsidRPr="008223A7">
        <w:rPr>
          <w:rFonts w:ascii="Arial" w:hAnsi="Arial" w:cs="Arial"/>
          <w:b/>
          <w:bCs/>
          <w:u w:val="single"/>
        </w:rPr>
        <w:t>3.1.3.</w:t>
      </w:r>
      <w:r w:rsidRPr="008223A7">
        <w:rPr>
          <w:rFonts w:ascii="Arial" w:hAnsi="Arial" w:cs="Arial"/>
          <w:b/>
          <w:bCs/>
          <w:u w:val="single"/>
        </w:rPr>
        <w:tab/>
        <w:t xml:space="preserve">TOLLENS reagents test </w:t>
      </w:r>
    </w:p>
    <w:p w14:paraId="40FDA923" w14:textId="77777777" w:rsidR="00BA5EFF" w:rsidRPr="008223A7" w:rsidRDefault="00BA5EFF" w:rsidP="00BA5EFF">
      <w:pPr>
        <w:pStyle w:val="Body"/>
        <w:spacing w:after="0"/>
        <w:rPr>
          <w:rFonts w:ascii="Arial" w:hAnsi="Arial" w:cs="Arial"/>
          <w:b/>
          <w:bCs/>
          <w:u w:val="single"/>
        </w:rPr>
      </w:pPr>
    </w:p>
    <w:p w14:paraId="0825F210" w14:textId="1391E748" w:rsidR="008223A7" w:rsidRDefault="008223A7" w:rsidP="00BA5EFF">
      <w:pPr>
        <w:pStyle w:val="Body"/>
        <w:spacing w:after="0"/>
        <w:rPr>
          <w:rFonts w:ascii="Arial" w:hAnsi="Arial" w:cs="Arial"/>
        </w:rPr>
      </w:pPr>
      <w:r w:rsidRPr="008223A7">
        <w:rPr>
          <w:rFonts w:ascii="Arial" w:hAnsi="Arial" w:cs="Arial"/>
        </w:rPr>
        <w:t>Aldehydes are characterized by the presence of the R-CHO functional group, whereas ketones contain the R'-CO-R group. Aldehydes react with Tollens' reagent, an ammoniacal silver nitrate solution, to produce a silver mirror, while ketones do not exhibit this reaction. Upon the addition of sodium hydroxide (NaOH) and silver nitrate (</w:t>
      </w:r>
      <w:proofErr w:type="spellStart"/>
      <w:r w:rsidRPr="008223A7">
        <w:rPr>
          <w:rFonts w:ascii="Arial" w:hAnsi="Arial" w:cs="Arial"/>
        </w:rPr>
        <w:t>AgNO</w:t>
      </w:r>
      <w:proofErr w:type="spellEnd"/>
      <w:r w:rsidRPr="008223A7">
        <w:rPr>
          <w:rFonts w:ascii="Cambria Math" w:hAnsi="Cambria Math" w:cs="Cambria Math"/>
        </w:rPr>
        <w:t>₃</w:t>
      </w:r>
      <w:r w:rsidRPr="008223A7">
        <w:rPr>
          <w:rFonts w:ascii="Arial" w:hAnsi="Arial" w:cs="Arial"/>
        </w:rPr>
        <w:t>) solutions, a brown precipitate of silver oxide (</w:t>
      </w:r>
      <w:proofErr w:type="spellStart"/>
      <w:r w:rsidRPr="008223A7">
        <w:rPr>
          <w:rFonts w:ascii="Arial" w:hAnsi="Arial" w:cs="Arial"/>
        </w:rPr>
        <w:t>Ag</w:t>
      </w:r>
      <w:r w:rsidRPr="008223A7">
        <w:rPr>
          <w:rFonts w:ascii="Cambria Math" w:hAnsi="Cambria Math" w:cs="Cambria Math"/>
        </w:rPr>
        <w:t>₂</w:t>
      </w:r>
      <w:r w:rsidRPr="008223A7">
        <w:rPr>
          <w:rFonts w:ascii="Arial" w:hAnsi="Arial" w:cs="Arial"/>
        </w:rPr>
        <w:t>O</w:t>
      </w:r>
      <w:proofErr w:type="spellEnd"/>
      <w:r w:rsidRPr="008223A7">
        <w:rPr>
          <w:rFonts w:ascii="Arial" w:hAnsi="Arial" w:cs="Arial"/>
        </w:rPr>
        <w:t>) is formed. Subsequent addition of ammonia solution dissolves this precipitate, forming Tollens' reagent. The introduction of a carbon dots (CDs) or carbon-dot-supported silver nanoparticles (</w:t>
      </w:r>
      <w:proofErr w:type="spellStart"/>
      <w:r w:rsidRPr="008223A7">
        <w:rPr>
          <w:rFonts w:ascii="Arial" w:hAnsi="Arial" w:cs="Arial"/>
        </w:rPr>
        <w:t>AgCDs</w:t>
      </w:r>
      <w:proofErr w:type="spellEnd"/>
      <w:r w:rsidRPr="008223A7">
        <w:rPr>
          <w:rFonts w:ascii="Arial" w:hAnsi="Arial" w:cs="Arial"/>
        </w:rPr>
        <w:t>) solution to this reagent results in a gray coloration of the solution, indicating the presence of aldehyde functional groups (Fig. 3).</w:t>
      </w:r>
    </w:p>
    <w:p w14:paraId="5F627D89" w14:textId="77777777" w:rsidR="00BA5EFF" w:rsidRPr="008223A7" w:rsidRDefault="00BA5EFF" w:rsidP="00BA5EFF">
      <w:pPr>
        <w:pStyle w:val="Body"/>
        <w:spacing w:after="0"/>
        <w:rPr>
          <w:rFonts w:ascii="Arial" w:hAnsi="Arial" w:cs="Arial"/>
        </w:rPr>
      </w:pPr>
    </w:p>
    <w:p w14:paraId="32C3FEF2" w14:textId="340E230F"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11732A3B" wp14:editId="24DD4643">
            <wp:extent cx="3600000" cy="785714"/>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785714"/>
                    </a:xfrm>
                    <a:prstGeom prst="rect">
                      <a:avLst/>
                    </a:prstGeom>
                    <a:noFill/>
                    <a:ln>
                      <a:noFill/>
                    </a:ln>
                  </pic:spPr>
                </pic:pic>
              </a:graphicData>
            </a:graphic>
          </wp:inline>
        </w:drawing>
      </w:r>
    </w:p>
    <w:p w14:paraId="2418470F" w14:textId="47829A4C" w:rsidR="008223A7" w:rsidRDefault="008223A7" w:rsidP="00BA5EFF">
      <w:pPr>
        <w:pStyle w:val="Body"/>
        <w:spacing w:after="0"/>
        <w:rPr>
          <w:rFonts w:ascii="Arial" w:hAnsi="Arial" w:cs="Arial"/>
          <w:b/>
          <w:bCs/>
        </w:rPr>
      </w:pPr>
      <w:r w:rsidRPr="00BA5EFF">
        <w:rPr>
          <w:rFonts w:ascii="Arial" w:hAnsi="Arial" w:cs="Arial"/>
          <w:b/>
          <w:bCs/>
        </w:rPr>
        <w:t xml:space="preserve">Fig. </w:t>
      </w:r>
      <w:r w:rsidR="00BA5EFF" w:rsidRPr="00BA5EFF">
        <w:rPr>
          <w:rFonts w:ascii="Arial" w:hAnsi="Arial" w:cs="Arial"/>
          <w:b/>
          <w:bCs/>
        </w:rPr>
        <w:t>3:</w:t>
      </w:r>
      <w:r w:rsidRPr="00BA5EFF">
        <w:rPr>
          <w:rFonts w:ascii="Arial" w:hAnsi="Arial" w:cs="Arial"/>
          <w:b/>
          <w:bCs/>
        </w:rPr>
        <w:t xml:space="preserve"> Demonstration of the carbonyl function: (a) brown precipitate (Ag</w:t>
      </w:r>
      <w:r w:rsidRPr="00BA5EFF">
        <w:rPr>
          <w:rFonts w:ascii="Arial" w:hAnsi="Arial" w:cs="Arial"/>
          <w:b/>
          <w:bCs/>
          <w:vertAlign w:val="subscript"/>
        </w:rPr>
        <w:t>2</w:t>
      </w:r>
      <w:r w:rsidRPr="00BA5EFF">
        <w:rPr>
          <w:rFonts w:ascii="Arial" w:hAnsi="Arial" w:cs="Arial"/>
          <w:b/>
          <w:bCs/>
        </w:rPr>
        <w:t>O), (b) Tollens' reagent, and (c) appearance of a gray tint.</w:t>
      </w:r>
    </w:p>
    <w:p w14:paraId="78663BA9" w14:textId="77777777" w:rsidR="00BA5EFF" w:rsidRPr="00BA5EFF" w:rsidRDefault="00BA5EFF" w:rsidP="00BA5EFF">
      <w:pPr>
        <w:pStyle w:val="Body"/>
        <w:spacing w:after="0"/>
        <w:rPr>
          <w:rFonts w:ascii="Arial" w:hAnsi="Arial" w:cs="Arial"/>
          <w:b/>
          <w:bCs/>
        </w:rPr>
      </w:pPr>
    </w:p>
    <w:p w14:paraId="526AC651" w14:textId="6AB234A5" w:rsidR="008223A7" w:rsidRDefault="008223A7" w:rsidP="00BA5EFF">
      <w:pPr>
        <w:pStyle w:val="Body"/>
        <w:spacing w:after="0"/>
        <w:rPr>
          <w:rFonts w:ascii="Arial" w:hAnsi="Arial" w:cs="Arial"/>
          <w:b/>
          <w:bCs/>
          <w:u w:val="single"/>
        </w:rPr>
      </w:pPr>
      <w:r w:rsidRPr="008223A7">
        <w:rPr>
          <w:rFonts w:ascii="Arial" w:hAnsi="Arial" w:cs="Arial"/>
          <w:b/>
          <w:bCs/>
          <w:u w:val="single"/>
        </w:rPr>
        <w:t>3.1.4.</w:t>
      </w:r>
      <w:r w:rsidRPr="008223A7">
        <w:rPr>
          <w:rFonts w:ascii="Arial" w:hAnsi="Arial" w:cs="Arial"/>
          <w:b/>
          <w:bCs/>
          <w:u w:val="single"/>
        </w:rPr>
        <w:tab/>
        <w:t xml:space="preserve">Test </w:t>
      </w:r>
      <w:proofErr w:type="spellStart"/>
      <w:r w:rsidRPr="008223A7">
        <w:rPr>
          <w:rFonts w:ascii="Arial" w:hAnsi="Arial" w:cs="Arial"/>
          <w:b/>
          <w:bCs/>
          <w:u w:val="single"/>
        </w:rPr>
        <w:t>relatif</w:t>
      </w:r>
      <w:proofErr w:type="spellEnd"/>
      <w:r w:rsidRPr="008223A7">
        <w:rPr>
          <w:rFonts w:ascii="Arial" w:hAnsi="Arial" w:cs="Arial"/>
          <w:b/>
          <w:bCs/>
          <w:u w:val="single"/>
        </w:rPr>
        <w:t xml:space="preserve"> aux amines</w:t>
      </w:r>
    </w:p>
    <w:p w14:paraId="519A8844" w14:textId="77777777" w:rsidR="00BA5EFF" w:rsidRPr="008223A7" w:rsidRDefault="00BA5EFF" w:rsidP="00BA5EFF">
      <w:pPr>
        <w:pStyle w:val="Body"/>
        <w:spacing w:after="0"/>
        <w:rPr>
          <w:rFonts w:ascii="Arial" w:hAnsi="Arial" w:cs="Arial"/>
          <w:b/>
          <w:bCs/>
          <w:u w:val="single"/>
        </w:rPr>
      </w:pPr>
    </w:p>
    <w:p w14:paraId="6546F048" w14:textId="0D462583" w:rsidR="008223A7" w:rsidRDefault="008223A7" w:rsidP="00BA5EFF">
      <w:pPr>
        <w:pStyle w:val="Body"/>
        <w:spacing w:after="0"/>
        <w:rPr>
          <w:rFonts w:ascii="Arial" w:hAnsi="Arial" w:cs="Arial"/>
        </w:rPr>
      </w:pPr>
      <w:r w:rsidRPr="008223A7">
        <w:rPr>
          <w:rFonts w:ascii="Arial" w:hAnsi="Arial" w:cs="Arial"/>
        </w:rPr>
        <w:t>The amine family is characterized by the presence, within the molecule, of an amino group (NH</w:t>
      </w:r>
      <w:r w:rsidRPr="00BC7F1F">
        <w:rPr>
          <w:rFonts w:ascii="Arial" w:hAnsi="Arial" w:cs="Arial"/>
          <w:vertAlign w:val="subscript"/>
        </w:rPr>
        <w:t>2</w:t>
      </w:r>
      <w:r w:rsidRPr="008223A7">
        <w:rPr>
          <w:rFonts w:ascii="Arial" w:hAnsi="Arial" w:cs="Arial"/>
        </w:rPr>
        <w:t xml:space="preserve">) bonded to a carbon atom in the carbon chain. Adding a solution containing the amino group to a dilute copper sulfate solution intensifies the blue color. The results (Fig. 4) show the transition from a blue solution to a partially blue solution, indicating that the synthesized CDs and </w:t>
      </w:r>
      <w:proofErr w:type="spellStart"/>
      <w:r w:rsidRPr="008223A7">
        <w:rPr>
          <w:rFonts w:ascii="Arial" w:hAnsi="Arial" w:cs="Arial"/>
        </w:rPr>
        <w:t>AgCDs</w:t>
      </w:r>
      <w:proofErr w:type="spellEnd"/>
      <w:r w:rsidRPr="008223A7">
        <w:rPr>
          <w:rFonts w:ascii="Arial" w:hAnsi="Arial" w:cs="Arial"/>
        </w:rPr>
        <w:t xml:space="preserve"> do not possess an amino group on their surface.</w:t>
      </w:r>
    </w:p>
    <w:p w14:paraId="5719CAEF" w14:textId="77777777" w:rsidR="00BA5EFF" w:rsidRPr="008223A7" w:rsidRDefault="00BA5EFF" w:rsidP="00BA5EFF">
      <w:pPr>
        <w:pStyle w:val="Body"/>
        <w:spacing w:after="0"/>
        <w:rPr>
          <w:rFonts w:ascii="Arial" w:hAnsi="Arial" w:cs="Arial"/>
        </w:rPr>
      </w:pPr>
    </w:p>
    <w:p w14:paraId="6D7CF8B5" w14:textId="48F4ACAB"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2C16E3FE" wp14:editId="0535605E">
            <wp:extent cx="720000" cy="120262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1202620"/>
                    </a:xfrm>
                    <a:prstGeom prst="rect">
                      <a:avLst/>
                    </a:prstGeom>
                    <a:noFill/>
                    <a:ln>
                      <a:noFill/>
                    </a:ln>
                  </pic:spPr>
                </pic:pic>
              </a:graphicData>
            </a:graphic>
          </wp:inline>
        </w:drawing>
      </w:r>
    </w:p>
    <w:p w14:paraId="6E5E2FF0" w14:textId="1B163A3B" w:rsidR="008223A7" w:rsidRDefault="008223A7" w:rsidP="00BA5EFF">
      <w:pPr>
        <w:pStyle w:val="Body"/>
        <w:spacing w:after="0"/>
        <w:rPr>
          <w:rFonts w:ascii="Arial" w:hAnsi="Arial" w:cs="Arial"/>
          <w:b/>
          <w:bCs/>
        </w:rPr>
      </w:pPr>
      <w:r w:rsidRPr="00BA5EFF">
        <w:rPr>
          <w:rFonts w:ascii="Arial" w:hAnsi="Arial" w:cs="Arial"/>
          <w:b/>
          <w:bCs/>
        </w:rPr>
        <w:t xml:space="preserve">Fig. </w:t>
      </w:r>
      <w:r w:rsidR="00406B86" w:rsidRPr="00BA5EFF">
        <w:rPr>
          <w:rFonts w:ascii="Arial" w:hAnsi="Arial" w:cs="Arial"/>
          <w:b/>
          <w:bCs/>
        </w:rPr>
        <w:t>4:</w:t>
      </w:r>
      <w:r w:rsidRPr="00BA5EFF">
        <w:rPr>
          <w:rFonts w:ascii="Arial" w:hAnsi="Arial" w:cs="Arial"/>
          <w:b/>
          <w:bCs/>
        </w:rPr>
        <w:t xml:space="preserve">  Demonstration of the amine function</w:t>
      </w:r>
    </w:p>
    <w:p w14:paraId="0F7FC174" w14:textId="77777777" w:rsidR="00BA5EFF" w:rsidRPr="00BA5EFF" w:rsidRDefault="00BA5EFF" w:rsidP="00BA5EFF">
      <w:pPr>
        <w:pStyle w:val="Body"/>
        <w:spacing w:after="0"/>
        <w:rPr>
          <w:rFonts w:ascii="Arial" w:hAnsi="Arial" w:cs="Arial"/>
          <w:b/>
          <w:bCs/>
        </w:rPr>
      </w:pPr>
    </w:p>
    <w:p w14:paraId="2E61F184" w14:textId="3311F84D" w:rsidR="008223A7" w:rsidRDefault="008223A7" w:rsidP="00BA5EFF">
      <w:pPr>
        <w:pStyle w:val="Body"/>
        <w:spacing w:after="0"/>
        <w:rPr>
          <w:rFonts w:ascii="Arial" w:hAnsi="Arial" w:cs="Arial"/>
        </w:rPr>
      </w:pPr>
      <w:r w:rsidRPr="008223A7">
        <w:rPr>
          <w:rFonts w:ascii="Arial" w:hAnsi="Arial" w:cs="Arial"/>
        </w:rPr>
        <w:t xml:space="preserve">These various tests carried out in the present study, which are in agreement with the literature, indicate that there are carbonyl, alcohol and carboxyl functions on the surface of the synthesized CDs and </w:t>
      </w:r>
      <w:proofErr w:type="spellStart"/>
      <w:r w:rsidRPr="008223A7">
        <w:rPr>
          <w:rFonts w:ascii="Arial" w:hAnsi="Arial" w:cs="Arial"/>
        </w:rPr>
        <w:t>AgCDs</w:t>
      </w:r>
      <w:proofErr w:type="spellEnd"/>
      <w:r w:rsidRPr="008223A7">
        <w:rPr>
          <w:rFonts w:ascii="Arial" w:hAnsi="Arial" w:cs="Arial"/>
        </w:rPr>
        <w:t>.</w:t>
      </w:r>
    </w:p>
    <w:p w14:paraId="536F7C8F" w14:textId="77777777" w:rsidR="00BA5EFF" w:rsidRPr="008223A7" w:rsidRDefault="00BA5EFF" w:rsidP="00BA5EFF">
      <w:pPr>
        <w:pStyle w:val="Body"/>
        <w:spacing w:after="0"/>
        <w:rPr>
          <w:rFonts w:ascii="Arial" w:hAnsi="Arial" w:cs="Arial"/>
        </w:rPr>
      </w:pPr>
    </w:p>
    <w:p w14:paraId="7E7B1B02" w14:textId="1EBA2D07" w:rsidR="008223A7" w:rsidRDefault="008223A7" w:rsidP="00BA5EFF">
      <w:pPr>
        <w:pStyle w:val="Body"/>
        <w:spacing w:after="0"/>
        <w:rPr>
          <w:rFonts w:ascii="Arial" w:hAnsi="Arial" w:cs="Arial"/>
          <w:b/>
          <w:bCs/>
          <w:sz w:val="22"/>
          <w:szCs w:val="22"/>
        </w:rPr>
      </w:pPr>
      <w:r w:rsidRPr="008223A7">
        <w:rPr>
          <w:rFonts w:ascii="Arial" w:hAnsi="Arial" w:cs="Arial"/>
          <w:b/>
          <w:bCs/>
          <w:sz w:val="22"/>
          <w:szCs w:val="22"/>
        </w:rPr>
        <w:t>3.2.</w:t>
      </w:r>
      <w:r w:rsidRPr="008223A7">
        <w:rPr>
          <w:rFonts w:ascii="Arial" w:hAnsi="Arial" w:cs="Arial"/>
          <w:b/>
          <w:bCs/>
          <w:sz w:val="22"/>
          <w:szCs w:val="22"/>
        </w:rPr>
        <w:tab/>
        <w:t>Electrochemical characterization of the modified Au electrode</w:t>
      </w:r>
    </w:p>
    <w:p w14:paraId="675E151F" w14:textId="77777777" w:rsidR="00BA5EFF" w:rsidRPr="008223A7" w:rsidRDefault="00BA5EFF" w:rsidP="00BA5EFF">
      <w:pPr>
        <w:pStyle w:val="Body"/>
        <w:spacing w:after="0"/>
        <w:rPr>
          <w:rFonts w:ascii="Arial" w:hAnsi="Arial" w:cs="Arial"/>
          <w:b/>
          <w:bCs/>
          <w:sz w:val="22"/>
          <w:szCs w:val="22"/>
        </w:rPr>
      </w:pPr>
    </w:p>
    <w:p w14:paraId="53C8158F" w14:textId="37EB3FE7" w:rsidR="008223A7" w:rsidRPr="008223A7" w:rsidRDefault="008223A7" w:rsidP="00BA5EFF">
      <w:pPr>
        <w:pStyle w:val="Body"/>
        <w:spacing w:after="0"/>
        <w:rPr>
          <w:rFonts w:ascii="Arial" w:hAnsi="Arial" w:cs="Arial"/>
        </w:rPr>
      </w:pPr>
      <w:r w:rsidRPr="008223A7">
        <w:rPr>
          <w:rFonts w:ascii="Arial" w:hAnsi="Arial" w:cs="Arial"/>
        </w:rPr>
        <w:t xml:space="preserve">The electrochemical behavior of the fabricated </w:t>
      </w:r>
      <w:proofErr w:type="spellStart"/>
      <w:r w:rsidRPr="008223A7">
        <w:rPr>
          <w:rFonts w:ascii="Arial" w:hAnsi="Arial" w:cs="Arial"/>
        </w:rPr>
        <w:t>AgCDs</w:t>
      </w:r>
      <w:proofErr w:type="spellEnd"/>
      <w:r w:rsidRPr="008223A7">
        <w:rPr>
          <w:rFonts w:ascii="Arial" w:hAnsi="Arial" w:cs="Arial"/>
        </w:rPr>
        <w:t>/Au electrode was investigated using cyclic voltammetry (CV)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a scan rate of 50 mV/s (Figure 3). In the absence of </w:t>
      </w:r>
      <w:r w:rsidR="00881353" w:rsidRPr="002755E8">
        <w:rPr>
          <w:rFonts w:ascii="Arial" w:hAnsi="Arial" w:cs="Arial"/>
        </w:rPr>
        <w:t>DMAP</w:t>
      </w:r>
      <w:r w:rsidR="00881353">
        <w:rPr>
          <w:rFonts w:ascii="Arial" w:hAnsi="Arial" w:cs="Arial"/>
        </w:rPr>
        <w:t>-HCl</w:t>
      </w:r>
      <w:r w:rsidRPr="008223A7">
        <w:rPr>
          <w:rFonts w:ascii="Arial" w:hAnsi="Arial" w:cs="Arial"/>
        </w:rPr>
        <w:t xml:space="preserve">, two reduction peaks were observed at 0.567 V and −0.069 V, which can be attributed to the presence of ions in solution, particularly sulfate ions. Upon the addition of </w:t>
      </w:r>
      <w:r w:rsidR="00881353" w:rsidRPr="002755E8">
        <w:rPr>
          <w:rFonts w:ascii="Arial" w:hAnsi="Arial" w:cs="Arial"/>
        </w:rPr>
        <w:t>DMAP</w:t>
      </w:r>
      <w:r w:rsidR="00881353">
        <w:rPr>
          <w:rFonts w:ascii="Arial" w:hAnsi="Arial" w:cs="Arial"/>
        </w:rPr>
        <w:t>-HCl</w:t>
      </w:r>
      <w:r w:rsidRPr="008223A7">
        <w:rPr>
          <w:rFonts w:ascii="Arial" w:hAnsi="Arial" w:cs="Arial"/>
        </w:rPr>
        <w:t xml:space="preserve">, an increase in the intensity of the two reduction peaks (0.567 V and −0.069 V) was observed. Additionally, a new oxidation peak emerged at approximately 0.416 V, characteristic of </w:t>
      </w:r>
      <w:r w:rsidR="00881353" w:rsidRPr="002755E8">
        <w:rPr>
          <w:rFonts w:ascii="Arial" w:hAnsi="Arial" w:cs="Arial"/>
        </w:rPr>
        <w:t>DMAP</w:t>
      </w:r>
      <w:r w:rsidR="00881353">
        <w:rPr>
          <w:rFonts w:ascii="Arial" w:hAnsi="Arial" w:cs="Arial"/>
        </w:rPr>
        <w:t>-HCl</w:t>
      </w:r>
      <w:r w:rsidRPr="008223A7">
        <w:rPr>
          <w:rFonts w:ascii="Arial" w:hAnsi="Arial" w:cs="Arial"/>
        </w:rPr>
        <w:t>. The appearance of this new peak confirms electron transfer across the fabricated electrode, indicating a catalytic process involving DMAP</w:t>
      </w:r>
      <w:r w:rsidR="00406B86">
        <w:rPr>
          <w:rFonts w:ascii="Arial" w:hAnsi="Arial" w:cs="Arial"/>
        </w:rPr>
        <w:t>-HCl</w:t>
      </w:r>
      <w:r w:rsidRPr="008223A7">
        <w:rPr>
          <w:rFonts w:ascii="Arial" w:hAnsi="Arial" w:cs="Arial"/>
        </w:rPr>
        <w:t>. This electron transfer is likely facilitated by the thin film of silver nanoparticles (</w:t>
      </w:r>
      <w:proofErr w:type="spellStart"/>
      <w:r w:rsidRPr="008223A7">
        <w:rPr>
          <w:rFonts w:ascii="Arial" w:hAnsi="Arial" w:cs="Arial"/>
        </w:rPr>
        <w:t>AgCDs</w:t>
      </w:r>
      <w:proofErr w:type="spellEnd"/>
      <w:r w:rsidRPr="008223A7">
        <w:rPr>
          <w:rFonts w:ascii="Arial" w:hAnsi="Arial" w:cs="Arial"/>
        </w:rPr>
        <w:t xml:space="preserve">) coated on the gold electrode surface </w:t>
      </w:r>
      <w:r w:rsidR="00736A70">
        <w:rPr>
          <w:rFonts w:ascii="Arial" w:hAnsi="Arial" w:cs="Arial"/>
        </w:rPr>
        <w:fldChar w:fldCharType="begin"/>
      </w:r>
      <w:r w:rsidR="00736A70">
        <w:rPr>
          <w:rFonts w:ascii="Arial" w:hAnsi="Arial" w:cs="Arial"/>
        </w:rPr>
        <w:instrText xml:space="preserve"> ADDIN ZOTERO_ITEM CSL_CITATION {"citationID":"ZVsj5qkl","properties":{"formattedCitation":"(Huang and Liao, 2019)","plainCitation":"(Huang and Liao, 2019)","noteIndex":0},"citationItems":[{"id":50,"uris":["http://zotero.org/users/local/EkoAwMma/items/FIB6C5FT"],"itemData":{"id":50,"type":"article-journal","container-title":"Applied Surface Science","DOI":"10.1016/j.apsusc.2019.143597","ISSN":"01694332","journalAbbreviation":"Applied Surface Science","language":"en","page":"143597","source":"DOI.org (Crossref)","title":"Hierarchical carbon material of N-doped carbon quantum dots in-situ formed on N-doped carbon nanotube for efficient oxygen reduction","URL":"https://linkinghub.elsevier.com/retrieve/pii/S0169433219323943","volume":"495","author":[{"family":"Huang","given":"Yanting"},{"family":"Liao","given":"Wugang"}],"accessed":{"date-parts":[["2025",5,19]]},"issued":{"date-parts":[["2019",11]]}}}],"schema":"https://github.com/citation-style-language/schema/raw/master/csl-citation.json"} </w:instrText>
      </w:r>
      <w:r w:rsidR="00736A70">
        <w:rPr>
          <w:rFonts w:ascii="Arial" w:hAnsi="Arial" w:cs="Arial"/>
        </w:rPr>
        <w:fldChar w:fldCharType="separate"/>
      </w:r>
      <w:r w:rsidR="00736A70" w:rsidRPr="00736A70">
        <w:rPr>
          <w:rFonts w:ascii="Arial" w:hAnsi="Arial" w:cs="Arial"/>
        </w:rPr>
        <w:t>(Huang and Liao, 2019)</w:t>
      </w:r>
      <w:r w:rsidR="00736A70">
        <w:rPr>
          <w:rFonts w:ascii="Arial" w:hAnsi="Arial" w:cs="Arial"/>
        </w:rPr>
        <w:fldChar w:fldCharType="end"/>
      </w:r>
      <w:r w:rsidRPr="008223A7">
        <w:rPr>
          <w:rFonts w:ascii="Arial" w:hAnsi="Arial" w:cs="Arial"/>
        </w:rPr>
        <w:t>.</w:t>
      </w:r>
    </w:p>
    <w:p w14:paraId="3DEFF647" w14:textId="79B60133" w:rsidR="008223A7" w:rsidRPr="008223A7" w:rsidRDefault="000701B2" w:rsidP="00BA5EFF">
      <w:pPr>
        <w:pStyle w:val="Body"/>
        <w:spacing w:after="0"/>
        <w:jc w:val="center"/>
        <w:rPr>
          <w:rFonts w:ascii="Arial" w:hAnsi="Arial" w:cs="Arial"/>
        </w:rPr>
      </w:pPr>
      <w:r w:rsidRPr="00BA5EFF">
        <w:rPr>
          <w:rFonts w:ascii="Arial" w:hAnsi="Arial" w:cs="Arial"/>
          <w:noProof/>
        </w:rPr>
        <w:drawing>
          <wp:inline distT="0" distB="0" distL="0" distR="0" wp14:anchorId="190A7DD3" wp14:editId="4289D9B3">
            <wp:extent cx="2880000" cy="2200889"/>
            <wp:effectExtent l="0" t="0" r="0" b="9525"/>
            <wp:docPr id="6" name="Image 6" descr="C:\Users\Etudiant\Desktop\adobevmvlmb\comp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udiant\Desktop\adobevmvlmb\compordmap.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2200889"/>
                    </a:xfrm>
                    <a:prstGeom prst="rect">
                      <a:avLst/>
                    </a:prstGeom>
                    <a:noFill/>
                    <a:ln>
                      <a:noFill/>
                    </a:ln>
                  </pic:spPr>
                </pic:pic>
              </a:graphicData>
            </a:graphic>
          </wp:inline>
        </w:drawing>
      </w:r>
    </w:p>
    <w:p w14:paraId="39C7C7C7" w14:textId="4686FCF9" w:rsidR="008223A7" w:rsidRDefault="008223A7" w:rsidP="00BA5EFF">
      <w:pPr>
        <w:pStyle w:val="Body"/>
        <w:spacing w:after="0"/>
        <w:rPr>
          <w:rFonts w:ascii="Arial" w:hAnsi="Arial" w:cs="Arial"/>
          <w:b/>
          <w:bCs/>
        </w:rPr>
      </w:pPr>
      <w:r w:rsidRPr="00BA5EFF">
        <w:rPr>
          <w:rFonts w:ascii="Arial" w:hAnsi="Arial" w:cs="Arial"/>
          <w:b/>
          <w:bCs/>
        </w:rPr>
        <w:t xml:space="preserve">Fig. </w:t>
      </w:r>
      <w:r w:rsidR="00BA5EFF" w:rsidRPr="00BA5EFF">
        <w:rPr>
          <w:rFonts w:ascii="Arial" w:hAnsi="Arial" w:cs="Arial"/>
          <w:b/>
          <w:bCs/>
        </w:rPr>
        <w:t>5:</w:t>
      </w:r>
      <w:r w:rsidRPr="00BA5EFF">
        <w:rPr>
          <w:rFonts w:ascii="Arial" w:hAnsi="Arial" w:cs="Arial"/>
          <w:b/>
          <w:bCs/>
        </w:rPr>
        <w:t xml:space="preserve"> Cyclic </w:t>
      </w:r>
      <w:proofErr w:type="spellStart"/>
      <w:r w:rsidRPr="00BA5EFF">
        <w:rPr>
          <w:rFonts w:ascii="Arial" w:hAnsi="Arial" w:cs="Arial"/>
          <w:b/>
          <w:bCs/>
        </w:rPr>
        <w:t>voltamograms</w:t>
      </w:r>
      <w:proofErr w:type="spellEnd"/>
      <w:r w:rsidRPr="00BA5EFF">
        <w:rPr>
          <w:rFonts w:ascii="Arial" w:hAnsi="Arial" w:cs="Arial"/>
          <w:b/>
          <w:bCs/>
        </w:rPr>
        <w:t xml:space="preserve"> in the absence of DMAP</w:t>
      </w:r>
      <w:r w:rsidR="00881353">
        <w:rPr>
          <w:rFonts w:ascii="Arial" w:hAnsi="Arial" w:cs="Arial"/>
          <w:b/>
          <w:bCs/>
        </w:rPr>
        <w:t>-HCl</w:t>
      </w:r>
      <w:r w:rsidRPr="00BA5EFF">
        <w:rPr>
          <w:rFonts w:ascii="Arial" w:hAnsi="Arial" w:cs="Arial"/>
          <w:b/>
          <w:bCs/>
        </w:rPr>
        <w:t xml:space="preserve"> (a) and in the presence of 5 µg/mL of DMAP</w:t>
      </w:r>
      <w:r w:rsidR="00881353">
        <w:rPr>
          <w:rFonts w:ascii="Arial" w:hAnsi="Arial" w:cs="Arial"/>
          <w:b/>
          <w:bCs/>
        </w:rPr>
        <w:t>-HCl</w:t>
      </w:r>
      <w:r w:rsidRPr="00BA5EFF">
        <w:rPr>
          <w:rFonts w:ascii="Arial" w:hAnsi="Arial" w:cs="Arial"/>
          <w:b/>
          <w:bCs/>
        </w:rPr>
        <w:t xml:space="preserve"> (b) on an </w:t>
      </w:r>
      <w:proofErr w:type="spellStart"/>
      <w:r w:rsidRPr="00BA5EFF">
        <w:rPr>
          <w:rFonts w:ascii="Arial" w:hAnsi="Arial" w:cs="Arial"/>
          <w:b/>
          <w:bCs/>
        </w:rPr>
        <w:t>AgCDs</w:t>
      </w:r>
      <w:proofErr w:type="spellEnd"/>
      <w:r w:rsidRPr="00BA5EFF">
        <w:rPr>
          <w:rFonts w:ascii="Arial" w:hAnsi="Arial" w:cs="Arial"/>
          <w:b/>
          <w:bCs/>
        </w:rPr>
        <w:t>/Au electrode in a 10</w:t>
      </w:r>
      <w:r w:rsidRPr="00BA5EFF">
        <w:rPr>
          <w:rFonts w:ascii="Arial" w:hAnsi="Arial" w:cs="Arial"/>
          <w:b/>
          <w:bCs/>
          <w:vertAlign w:val="superscript"/>
        </w:rPr>
        <w:t>-5</w:t>
      </w:r>
      <w:r w:rsidRPr="00BA5EFF">
        <w:rPr>
          <w:rFonts w:ascii="Arial" w:hAnsi="Arial" w:cs="Arial"/>
          <w:b/>
          <w:bCs/>
        </w:rPr>
        <w:t xml:space="preserve"> M </w:t>
      </w:r>
      <w:proofErr w:type="spellStart"/>
      <w:r w:rsidRPr="00BA5EFF">
        <w:rPr>
          <w:rFonts w:ascii="Arial" w:hAnsi="Arial" w:cs="Arial"/>
          <w:b/>
          <w:bCs/>
        </w:rPr>
        <w:t>Na</w:t>
      </w:r>
      <w:r w:rsidRPr="00BA5EFF">
        <w:rPr>
          <w:rFonts w:ascii="Cambria Math" w:hAnsi="Cambria Math" w:cs="Cambria Math"/>
          <w:b/>
          <w:bCs/>
        </w:rPr>
        <w:t>₂</w:t>
      </w:r>
      <w:r w:rsidRPr="00BA5EFF">
        <w:rPr>
          <w:rFonts w:ascii="Arial" w:hAnsi="Arial" w:cs="Arial"/>
          <w:b/>
          <w:bCs/>
        </w:rPr>
        <w:t>SO</w:t>
      </w:r>
      <w:proofErr w:type="spellEnd"/>
      <w:r w:rsidRPr="00BA5EFF">
        <w:rPr>
          <w:rFonts w:ascii="Cambria Math" w:hAnsi="Cambria Math" w:cs="Cambria Math"/>
          <w:b/>
          <w:bCs/>
        </w:rPr>
        <w:t>₄</w:t>
      </w:r>
      <w:r w:rsidRPr="00BA5EFF">
        <w:rPr>
          <w:rFonts w:ascii="Arial" w:hAnsi="Arial" w:cs="Arial"/>
          <w:b/>
          <w:bCs/>
        </w:rPr>
        <w:t xml:space="preserve"> solution at a scan rate of 50 mV/s.</w:t>
      </w:r>
    </w:p>
    <w:p w14:paraId="11DFA27F" w14:textId="77777777" w:rsidR="00BA5EFF" w:rsidRPr="00BA5EFF" w:rsidRDefault="00BA5EFF" w:rsidP="00BA5EFF">
      <w:pPr>
        <w:pStyle w:val="Body"/>
        <w:spacing w:after="0"/>
        <w:rPr>
          <w:rFonts w:ascii="Arial" w:hAnsi="Arial" w:cs="Arial"/>
          <w:b/>
          <w:bCs/>
        </w:rPr>
      </w:pPr>
    </w:p>
    <w:p w14:paraId="4047E9CC" w14:textId="23464E13" w:rsidR="008223A7" w:rsidRDefault="008223A7" w:rsidP="00C90D75">
      <w:pPr>
        <w:pStyle w:val="Body"/>
        <w:spacing w:after="0"/>
        <w:rPr>
          <w:rFonts w:ascii="Arial" w:hAnsi="Arial" w:cs="Arial"/>
          <w:b/>
          <w:bCs/>
          <w:sz w:val="22"/>
          <w:szCs w:val="22"/>
        </w:rPr>
      </w:pPr>
      <w:r w:rsidRPr="008223A7">
        <w:rPr>
          <w:rFonts w:ascii="Arial" w:hAnsi="Arial" w:cs="Arial"/>
          <w:b/>
          <w:bCs/>
          <w:sz w:val="22"/>
          <w:szCs w:val="22"/>
        </w:rPr>
        <w:t>3.3.</w:t>
      </w:r>
      <w:r w:rsidRPr="008223A7">
        <w:rPr>
          <w:rFonts w:ascii="Arial" w:hAnsi="Arial" w:cs="Arial"/>
          <w:b/>
          <w:bCs/>
          <w:sz w:val="22"/>
          <w:szCs w:val="22"/>
        </w:rPr>
        <w:tab/>
      </w:r>
      <w:proofErr w:type="spellStart"/>
      <w:r w:rsidRPr="008223A7">
        <w:rPr>
          <w:rFonts w:ascii="Arial" w:hAnsi="Arial" w:cs="Arial"/>
          <w:b/>
          <w:bCs/>
          <w:sz w:val="22"/>
          <w:szCs w:val="22"/>
        </w:rPr>
        <w:t>Effet</w:t>
      </w:r>
      <w:proofErr w:type="spellEnd"/>
      <w:r w:rsidRPr="008223A7">
        <w:rPr>
          <w:rFonts w:ascii="Arial" w:hAnsi="Arial" w:cs="Arial"/>
          <w:b/>
          <w:bCs/>
          <w:sz w:val="22"/>
          <w:szCs w:val="22"/>
        </w:rPr>
        <w:t xml:space="preserve"> of scan rate</w:t>
      </w:r>
    </w:p>
    <w:p w14:paraId="5B2DF5EF" w14:textId="77777777" w:rsidR="00C90D75" w:rsidRPr="008223A7" w:rsidRDefault="00C90D75" w:rsidP="00C90D75">
      <w:pPr>
        <w:pStyle w:val="Body"/>
        <w:spacing w:after="0"/>
        <w:rPr>
          <w:rFonts w:ascii="Arial" w:hAnsi="Arial" w:cs="Arial"/>
          <w:b/>
          <w:bCs/>
          <w:sz w:val="22"/>
          <w:szCs w:val="22"/>
        </w:rPr>
      </w:pPr>
    </w:p>
    <w:p w14:paraId="21E0FC0C" w14:textId="493A2679" w:rsidR="008223A7" w:rsidRDefault="008223A7" w:rsidP="00C90D75">
      <w:pPr>
        <w:pStyle w:val="Body"/>
        <w:spacing w:after="0"/>
        <w:rPr>
          <w:rFonts w:ascii="Arial" w:hAnsi="Arial" w:cs="Arial"/>
        </w:rPr>
      </w:pPr>
      <w:r w:rsidRPr="008223A7">
        <w:rPr>
          <w:rFonts w:ascii="Arial" w:hAnsi="Arial" w:cs="Arial"/>
        </w:rPr>
        <w:t xml:space="preserve">The influence of scan rate on the redox behavior of </w:t>
      </w:r>
      <w:r w:rsidR="00881353" w:rsidRPr="002755E8">
        <w:rPr>
          <w:rFonts w:ascii="Arial" w:hAnsi="Arial" w:cs="Arial"/>
        </w:rPr>
        <w:t>DMAP</w:t>
      </w:r>
      <w:r w:rsidR="00881353">
        <w:rPr>
          <w:rFonts w:ascii="Arial" w:hAnsi="Arial" w:cs="Arial"/>
        </w:rPr>
        <w:t>-HCl</w:t>
      </w:r>
      <w:r w:rsidRPr="008223A7">
        <w:rPr>
          <w:rFonts w:ascii="Arial" w:hAnsi="Arial" w:cs="Arial"/>
        </w:rPr>
        <w:t xml:space="preserve"> was systematically investigated over a range of scan rates from 10 mV/s to 200 mV/s. Electrochemical measurements were conducted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containing 5 µg/mL of DMAP</w:t>
      </w:r>
      <w:r w:rsidR="00406B86">
        <w:rPr>
          <w:rFonts w:ascii="Arial" w:hAnsi="Arial" w:cs="Arial"/>
        </w:rPr>
        <w:t>-HCl</w:t>
      </w:r>
      <w:r w:rsidRPr="008223A7">
        <w:rPr>
          <w:rFonts w:ascii="Arial" w:hAnsi="Arial" w:cs="Arial"/>
        </w:rPr>
        <w:t xml:space="preserve"> (Fig. 6A). The resulting voltammograms revealed a marked dependence of both oxidation and reduction peak currents on the scan rate. Notably, the peak currents exhibited a linear relationship with the square root of the scan rate (v½), as depicted in the inset of Fig. 6B, thereby confirming a diffusion-controlled electrochemical process</w:t>
      </w:r>
      <w:r w:rsidR="00736A70">
        <w:rPr>
          <w:rFonts w:ascii="Arial" w:hAnsi="Arial" w:cs="Arial"/>
        </w:rPr>
        <w:t xml:space="preserve"> </w:t>
      </w:r>
      <w:r w:rsidR="00736A70">
        <w:rPr>
          <w:rFonts w:ascii="Arial" w:hAnsi="Arial" w:cs="Arial"/>
        </w:rPr>
        <w:fldChar w:fldCharType="begin"/>
      </w:r>
      <w:r w:rsidR="00736A70">
        <w:rPr>
          <w:rFonts w:ascii="Arial" w:hAnsi="Arial" w:cs="Arial"/>
        </w:rPr>
        <w:instrText xml:space="preserve"> ADDIN ZOTERO_ITEM CSL_CITATION {"citationID":"uUYtxx8J","properties":{"formattedCitation":"(Martin et al., 2021)","plainCitation":"(Martin et al., 2021)","noteIndex":0},"citationItems":[{"id":33,"uris":["http://zotero.org/users/local/EkoAwMma/items/WQUXSM4F"],"itemData":{"id":33,"type":"article-journal","container-title":"Arabian Journal of Chemistry","DOI":"10.1016/j.arabjc.2021.103319","ISSN":"18785352","issue":"9","journalAbbreviation":"Arabian Journal of Chemistry","language":"en","page":"103319","source":"DOI.org (Crossref)","title":"Cys-AgNPs modified gold electrode as an ultrasensitive electrochemical sensor for the detection of 3-chloropropane-1,2-diol","URL":"https://linkinghub.elsevier.com/retrieve/pii/S1878535221003348","volume":"14","author":[{"family":"Martin","given":"Aka Alla"},{"family":"Fodjo","given":"Essy Kouadio"},{"family":"Eric-Simon","given":"Zran Vanh"},{"family":"Gu","given":"Zhen"},{"family":"Yang","given":"Guangxin"},{"family":"Albert","given":"Trokourey"},{"family":"Kong","given":"Cong"},{"family":"Wang","given":"Hui-Feng"}],"accessed":{"date-parts":[["2025",5,17]]},"issued":{"date-parts":[["2021",9]]}}}],"schema":"https://github.com/citation-style-language/schema/raw/master/csl-citation.json"} </w:instrText>
      </w:r>
      <w:r w:rsidR="00736A70">
        <w:rPr>
          <w:rFonts w:ascii="Arial" w:hAnsi="Arial" w:cs="Arial"/>
        </w:rPr>
        <w:fldChar w:fldCharType="separate"/>
      </w:r>
      <w:r w:rsidR="00736A70" w:rsidRPr="00736A70">
        <w:rPr>
          <w:rFonts w:ascii="Arial" w:hAnsi="Arial" w:cs="Arial"/>
        </w:rPr>
        <w:t>(Martin et al., 2021)</w:t>
      </w:r>
      <w:r w:rsidR="00736A70">
        <w:rPr>
          <w:rFonts w:ascii="Arial" w:hAnsi="Arial" w:cs="Arial"/>
        </w:rPr>
        <w:fldChar w:fldCharType="end"/>
      </w:r>
      <w:r w:rsidRPr="008223A7">
        <w:rPr>
          <w:rFonts w:ascii="Arial" w:hAnsi="Arial" w:cs="Arial"/>
        </w:rPr>
        <w:t>. Linear regression equations can be expressed as follows:</w:t>
      </w:r>
    </w:p>
    <w:p w14:paraId="4A8D2352" w14:textId="77777777" w:rsidR="00C90D75" w:rsidRPr="008223A7" w:rsidRDefault="00C90D75" w:rsidP="00C90D75">
      <w:pPr>
        <w:pStyle w:val="Body"/>
        <w:spacing w:after="0"/>
        <w:rPr>
          <w:rFonts w:ascii="Arial" w:hAnsi="Arial" w:cs="Arial"/>
        </w:rPr>
      </w:pPr>
    </w:p>
    <w:p w14:paraId="4F321008" w14:textId="3467A00C" w:rsidR="008223A7" w:rsidRDefault="008223A7" w:rsidP="00C90D75">
      <w:pPr>
        <w:pStyle w:val="Body"/>
        <w:spacing w:after="0"/>
        <w:rPr>
          <w:rFonts w:ascii="Arial" w:hAnsi="Arial" w:cs="Arial"/>
        </w:rPr>
      </w:pPr>
      <w:proofErr w:type="spellStart"/>
      <w:r w:rsidRPr="008223A7">
        <w:rPr>
          <w:rFonts w:ascii="Arial" w:hAnsi="Arial" w:cs="Arial"/>
        </w:rPr>
        <w:t>Ipa</w:t>
      </w:r>
      <w:proofErr w:type="spellEnd"/>
      <w:r w:rsidRPr="008223A7">
        <w:rPr>
          <w:rFonts w:ascii="Arial" w:hAnsi="Arial" w:cs="Arial"/>
        </w:rPr>
        <w:t xml:space="preserve"> = 0.23189 v¹/² (V/s) + 0.8157 (R² = 0,99411)   </w:t>
      </w:r>
      <w:proofErr w:type="spellStart"/>
      <w:r w:rsidRPr="008223A7">
        <w:rPr>
          <w:rFonts w:ascii="Arial" w:hAnsi="Arial" w:cs="Arial"/>
        </w:rPr>
        <w:t>Éq</w:t>
      </w:r>
      <w:proofErr w:type="spellEnd"/>
      <w:r w:rsidRPr="008223A7">
        <w:rPr>
          <w:rFonts w:ascii="Arial" w:hAnsi="Arial" w:cs="Arial"/>
        </w:rPr>
        <w:t xml:space="preserve">. </w:t>
      </w:r>
      <w:r w:rsidR="00E81BCA">
        <w:rPr>
          <w:rFonts w:ascii="Arial" w:hAnsi="Arial" w:cs="Arial"/>
        </w:rPr>
        <w:t>1</w:t>
      </w:r>
    </w:p>
    <w:p w14:paraId="786C9BD8" w14:textId="77777777" w:rsidR="00C90D75" w:rsidRPr="008223A7" w:rsidRDefault="00C90D75" w:rsidP="00C90D75">
      <w:pPr>
        <w:pStyle w:val="Body"/>
        <w:spacing w:after="0"/>
        <w:rPr>
          <w:rFonts w:ascii="Arial" w:hAnsi="Arial" w:cs="Arial"/>
        </w:rPr>
      </w:pPr>
    </w:p>
    <w:p w14:paraId="4E9DDB2C" w14:textId="2F7B6DD7" w:rsidR="008223A7" w:rsidRDefault="008223A7" w:rsidP="00C90D75">
      <w:pPr>
        <w:pStyle w:val="Body"/>
        <w:spacing w:after="0"/>
        <w:rPr>
          <w:rFonts w:ascii="Arial" w:hAnsi="Arial" w:cs="Arial"/>
        </w:rPr>
      </w:pPr>
      <w:proofErr w:type="spellStart"/>
      <w:r w:rsidRPr="008223A7">
        <w:rPr>
          <w:rFonts w:ascii="Arial" w:hAnsi="Arial" w:cs="Arial"/>
        </w:rPr>
        <w:t>Ipc</w:t>
      </w:r>
      <w:proofErr w:type="spellEnd"/>
      <w:r w:rsidRPr="008223A7">
        <w:rPr>
          <w:rFonts w:ascii="Arial" w:hAnsi="Arial" w:cs="Arial"/>
        </w:rPr>
        <w:t xml:space="preserve"> = -0.21779 v¹/² (V/s) - 1.18152 (R² = 0,99022) </w:t>
      </w:r>
      <w:proofErr w:type="spellStart"/>
      <w:r w:rsidRPr="008223A7">
        <w:rPr>
          <w:rFonts w:ascii="Arial" w:hAnsi="Arial" w:cs="Arial"/>
        </w:rPr>
        <w:t>Éq</w:t>
      </w:r>
      <w:proofErr w:type="spellEnd"/>
      <w:r w:rsidRPr="008223A7">
        <w:rPr>
          <w:rFonts w:ascii="Arial" w:hAnsi="Arial" w:cs="Arial"/>
        </w:rPr>
        <w:t xml:space="preserve">. </w:t>
      </w:r>
      <w:r w:rsidR="00E81BCA">
        <w:rPr>
          <w:rFonts w:ascii="Arial" w:hAnsi="Arial" w:cs="Arial"/>
        </w:rPr>
        <w:t>2</w:t>
      </w:r>
      <w:r w:rsidRPr="008223A7">
        <w:rPr>
          <w:rFonts w:ascii="Arial" w:hAnsi="Arial" w:cs="Arial"/>
        </w:rPr>
        <w:t>.</w:t>
      </w:r>
    </w:p>
    <w:p w14:paraId="624DB00B" w14:textId="77777777" w:rsidR="00C90D75" w:rsidRPr="008223A7" w:rsidRDefault="00C90D75" w:rsidP="00C90D75">
      <w:pPr>
        <w:pStyle w:val="Body"/>
        <w:spacing w:after="0"/>
        <w:rPr>
          <w:rFonts w:ascii="Arial" w:hAnsi="Arial" w:cs="Arial"/>
        </w:rPr>
      </w:pPr>
    </w:p>
    <w:p w14:paraId="18EDFFC7" w14:textId="77777777" w:rsidR="008223A7" w:rsidRPr="008223A7" w:rsidRDefault="008223A7" w:rsidP="00C90D75">
      <w:pPr>
        <w:pStyle w:val="Body"/>
        <w:spacing w:after="0"/>
        <w:rPr>
          <w:rFonts w:ascii="Arial" w:hAnsi="Arial" w:cs="Arial"/>
        </w:rPr>
      </w:pPr>
      <w:r w:rsidRPr="008223A7">
        <w:rPr>
          <w:rFonts w:ascii="Arial" w:hAnsi="Arial" w:cs="Arial"/>
        </w:rPr>
        <w:t xml:space="preserve">This effect is attributed to the active sites of </w:t>
      </w:r>
      <w:proofErr w:type="spellStart"/>
      <w:r w:rsidRPr="008223A7">
        <w:rPr>
          <w:rFonts w:ascii="Arial" w:hAnsi="Arial" w:cs="Arial"/>
        </w:rPr>
        <w:t>AgCDs</w:t>
      </w:r>
      <w:proofErr w:type="spellEnd"/>
      <w:r w:rsidRPr="008223A7">
        <w:rPr>
          <w:rFonts w:ascii="Arial" w:hAnsi="Arial" w:cs="Arial"/>
        </w:rPr>
        <w:t>. However, to avoid any potential overload during the experiments, the scan rate was fixed at 50 mV/s for all experiments.</w:t>
      </w:r>
    </w:p>
    <w:p w14:paraId="7D7A3222" w14:textId="40FEFA4E" w:rsidR="008223A7" w:rsidRPr="008223A7" w:rsidRDefault="000701B2" w:rsidP="00C90D75">
      <w:pPr>
        <w:pStyle w:val="Body"/>
        <w:spacing w:after="0"/>
        <w:jc w:val="center"/>
        <w:rPr>
          <w:rFonts w:ascii="Arial" w:hAnsi="Arial" w:cs="Arial"/>
        </w:rPr>
      </w:pPr>
      <w:r w:rsidRPr="00C90D75">
        <w:rPr>
          <w:rFonts w:ascii="Arial" w:hAnsi="Arial" w:cs="Arial"/>
          <w:noProof/>
        </w:rPr>
        <w:drawing>
          <wp:inline distT="0" distB="0" distL="0" distR="0" wp14:anchorId="3CA71493" wp14:editId="17B1F361">
            <wp:extent cx="5212080" cy="2077967"/>
            <wp:effectExtent l="0" t="0" r="0" b="0"/>
            <wp:docPr id="5" name="Image 5" descr="C:\Users\Etudiant\Desktop\adobevmvlmb\vitesse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udiant\Desktop\adobevmvlmb\vitessedma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077967"/>
                    </a:xfrm>
                    <a:prstGeom prst="rect">
                      <a:avLst/>
                    </a:prstGeom>
                    <a:noFill/>
                    <a:ln>
                      <a:noFill/>
                    </a:ln>
                  </pic:spPr>
                </pic:pic>
              </a:graphicData>
            </a:graphic>
          </wp:inline>
        </w:drawing>
      </w:r>
    </w:p>
    <w:p w14:paraId="53E22F12" w14:textId="2B158A27" w:rsidR="008223A7" w:rsidRDefault="008223A7" w:rsidP="00C90D75">
      <w:pPr>
        <w:pStyle w:val="Body"/>
        <w:spacing w:after="0"/>
        <w:rPr>
          <w:rFonts w:ascii="Arial" w:hAnsi="Arial" w:cs="Arial"/>
          <w:b/>
          <w:bCs/>
        </w:rPr>
      </w:pPr>
      <w:r w:rsidRPr="00C90D75">
        <w:rPr>
          <w:rFonts w:ascii="Arial" w:hAnsi="Arial" w:cs="Arial"/>
          <w:b/>
          <w:bCs/>
        </w:rPr>
        <w:lastRenderedPageBreak/>
        <w:t xml:space="preserve">Fig. 6: A) Effect of scan rate on the </w:t>
      </w:r>
      <w:proofErr w:type="spellStart"/>
      <w:r w:rsidRPr="00C90D75">
        <w:rPr>
          <w:rFonts w:ascii="Arial" w:hAnsi="Arial" w:cs="Arial"/>
          <w:b/>
          <w:bCs/>
        </w:rPr>
        <w:t>voltammetric</w:t>
      </w:r>
      <w:proofErr w:type="spellEnd"/>
      <w:r w:rsidRPr="00C90D75">
        <w:rPr>
          <w:rFonts w:ascii="Arial" w:hAnsi="Arial" w:cs="Arial"/>
          <w:b/>
          <w:bCs/>
        </w:rPr>
        <w:t xml:space="preserve"> response of the </w:t>
      </w:r>
      <w:proofErr w:type="spellStart"/>
      <w:r w:rsidRPr="00C90D75">
        <w:rPr>
          <w:rFonts w:ascii="Arial" w:hAnsi="Arial" w:cs="Arial"/>
          <w:b/>
          <w:bCs/>
        </w:rPr>
        <w:t>AgCDs</w:t>
      </w:r>
      <w:proofErr w:type="spellEnd"/>
      <w:r w:rsidRPr="00C90D75">
        <w:rPr>
          <w:rFonts w:ascii="Arial" w:hAnsi="Arial" w:cs="Arial"/>
          <w:b/>
          <w:bCs/>
        </w:rPr>
        <w:t>/Au electrode in the presence of 5 µg/mL of DMAP</w:t>
      </w:r>
      <w:r w:rsidR="00881353">
        <w:rPr>
          <w:rFonts w:ascii="Arial" w:hAnsi="Arial" w:cs="Arial"/>
          <w:b/>
          <w:bCs/>
        </w:rPr>
        <w:t>-HCl</w:t>
      </w:r>
      <w:r w:rsidRPr="00C90D75">
        <w:rPr>
          <w:rFonts w:ascii="Arial" w:hAnsi="Arial" w:cs="Arial"/>
          <w:b/>
          <w:bCs/>
        </w:rPr>
        <w:t>. B) Peak current intensity as a function of the square root of the scan rate.</w:t>
      </w:r>
    </w:p>
    <w:p w14:paraId="0E07B334" w14:textId="77777777" w:rsidR="00C90D75" w:rsidRPr="00C90D75" w:rsidRDefault="00C90D75" w:rsidP="00C90D75">
      <w:pPr>
        <w:pStyle w:val="Body"/>
        <w:spacing w:after="0"/>
        <w:rPr>
          <w:rFonts w:ascii="Arial" w:hAnsi="Arial" w:cs="Arial"/>
          <w:b/>
          <w:bCs/>
        </w:rPr>
      </w:pPr>
    </w:p>
    <w:p w14:paraId="2734B4F6" w14:textId="02826947" w:rsidR="008223A7" w:rsidRDefault="008223A7" w:rsidP="00C90D75">
      <w:pPr>
        <w:pStyle w:val="Body"/>
        <w:spacing w:after="0"/>
        <w:rPr>
          <w:rFonts w:ascii="Arial" w:hAnsi="Arial" w:cs="Arial"/>
          <w:b/>
          <w:bCs/>
          <w:sz w:val="22"/>
          <w:szCs w:val="22"/>
        </w:rPr>
      </w:pPr>
      <w:r w:rsidRPr="008223A7">
        <w:rPr>
          <w:rFonts w:ascii="Arial" w:hAnsi="Arial" w:cs="Arial"/>
          <w:b/>
          <w:bCs/>
          <w:sz w:val="22"/>
          <w:szCs w:val="22"/>
        </w:rPr>
        <w:t>3.4.</w:t>
      </w:r>
      <w:r w:rsidRPr="008223A7">
        <w:rPr>
          <w:rFonts w:ascii="Arial" w:hAnsi="Arial" w:cs="Arial"/>
          <w:b/>
          <w:bCs/>
          <w:sz w:val="22"/>
          <w:szCs w:val="22"/>
        </w:rPr>
        <w:tab/>
        <w:t xml:space="preserve">Determination of DMAP and aux </w:t>
      </w:r>
      <w:proofErr w:type="spellStart"/>
      <w:r w:rsidRPr="008223A7">
        <w:rPr>
          <w:rFonts w:ascii="Arial" w:hAnsi="Arial" w:cs="Arial"/>
          <w:b/>
          <w:bCs/>
          <w:sz w:val="22"/>
          <w:szCs w:val="22"/>
        </w:rPr>
        <w:t>AgCDs</w:t>
      </w:r>
      <w:proofErr w:type="spellEnd"/>
      <w:r w:rsidRPr="008223A7">
        <w:rPr>
          <w:rFonts w:ascii="Arial" w:hAnsi="Arial" w:cs="Arial"/>
          <w:b/>
          <w:bCs/>
          <w:sz w:val="22"/>
          <w:szCs w:val="22"/>
        </w:rPr>
        <w:t>/Au sensitivity</w:t>
      </w:r>
    </w:p>
    <w:p w14:paraId="600D7AB2" w14:textId="77777777" w:rsidR="00C90D75" w:rsidRPr="008223A7" w:rsidRDefault="00C90D75" w:rsidP="00C90D75">
      <w:pPr>
        <w:pStyle w:val="Body"/>
        <w:spacing w:after="0"/>
        <w:rPr>
          <w:rFonts w:ascii="Arial" w:hAnsi="Arial" w:cs="Arial"/>
          <w:b/>
          <w:bCs/>
          <w:sz w:val="22"/>
          <w:szCs w:val="22"/>
        </w:rPr>
      </w:pPr>
    </w:p>
    <w:p w14:paraId="2C0EF8AA" w14:textId="392F3171" w:rsidR="008223A7" w:rsidRDefault="008223A7" w:rsidP="00C90D75">
      <w:pPr>
        <w:pStyle w:val="Body"/>
        <w:spacing w:after="0"/>
        <w:rPr>
          <w:rFonts w:ascii="Arial" w:hAnsi="Arial" w:cs="Arial"/>
        </w:rPr>
      </w:pPr>
      <w:r w:rsidRPr="008223A7">
        <w:rPr>
          <w:rFonts w:ascii="Arial" w:hAnsi="Arial" w:cs="Arial"/>
        </w:rPr>
        <w:t xml:space="preserve">The sensitivity of the </w:t>
      </w:r>
      <w:proofErr w:type="spellStart"/>
      <w:r w:rsidRPr="008223A7">
        <w:rPr>
          <w:rFonts w:ascii="Arial" w:hAnsi="Arial" w:cs="Arial"/>
        </w:rPr>
        <w:t>AgCDs</w:t>
      </w:r>
      <w:proofErr w:type="spellEnd"/>
      <w:r w:rsidRPr="008223A7">
        <w:rPr>
          <w:rFonts w:ascii="Arial" w:hAnsi="Arial" w:cs="Arial"/>
        </w:rPr>
        <w:t xml:space="preserve">/Au electrode was rigorously assessed by examining the differential pulse voltammetry (DPV) response of </w:t>
      </w:r>
      <w:r w:rsidR="00881353" w:rsidRPr="002755E8">
        <w:rPr>
          <w:rFonts w:ascii="Arial" w:hAnsi="Arial" w:cs="Arial"/>
        </w:rPr>
        <w:t>DMAP</w:t>
      </w:r>
      <w:r w:rsidR="00881353">
        <w:rPr>
          <w:rFonts w:ascii="Arial" w:hAnsi="Arial" w:cs="Arial"/>
        </w:rPr>
        <w:t>-HCl</w:t>
      </w:r>
      <w:r w:rsidRPr="008223A7">
        <w:rPr>
          <w:rFonts w:ascii="Arial" w:hAnsi="Arial" w:cs="Arial"/>
        </w:rPr>
        <w:t xml:space="preserve"> oxidation (Fig. 7A)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As depicted in Figs. 7B and 7C, a robust linear relationship was established between the oxidation peak current and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 over the range of 6 ng/mL to 70 ng/</w:t>
      </w:r>
      <w:proofErr w:type="spellStart"/>
      <w:r w:rsidRPr="008223A7">
        <w:rPr>
          <w:rFonts w:ascii="Arial" w:hAnsi="Arial" w:cs="Arial"/>
        </w:rPr>
        <w:t>mL.</w:t>
      </w:r>
      <w:proofErr w:type="spellEnd"/>
      <w:r w:rsidRPr="008223A7">
        <w:rPr>
          <w:rFonts w:ascii="Arial" w:hAnsi="Arial" w:cs="Arial"/>
        </w:rPr>
        <w:t xml:space="preserve"> The corresponding linear regression equation is expressed as:</w:t>
      </w:r>
    </w:p>
    <w:p w14:paraId="7704D740" w14:textId="77777777" w:rsidR="00C90D75" w:rsidRPr="008223A7" w:rsidRDefault="00C90D75" w:rsidP="00C90D75">
      <w:pPr>
        <w:pStyle w:val="Body"/>
        <w:spacing w:after="0"/>
        <w:rPr>
          <w:rFonts w:ascii="Arial" w:hAnsi="Arial" w:cs="Arial"/>
        </w:rPr>
      </w:pPr>
    </w:p>
    <w:p w14:paraId="55666D8B" w14:textId="708C8B5A" w:rsidR="008223A7" w:rsidRDefault="008223A7" w:rsidP="00C90D75">
      <w:pPr>
        <w:pStyle w:val="Body"/>
        <w:spacing w:after="0"/>
        <w:rPr>
          <w:rFonts w:ascii="Arial" w:hAnsi="Arial" w:cs="Arial"/>
        </w:rPr>
      </w:pPr>
      <w:r w:rsidRPr="008223A7">
        <w:rPr>
          <w:rFonts w:ascii="Arial" w:hAnsi="Arial" w:cs="Arial"/>
        </w:rPr>
        <w:t xml:space="preserve">I (µA) = 0.01167 C (ng/mL) + 1.1256 (R² = 0.9931) (Eq. </w:t>
      </w:r>
      <w:r w:rsidR="00E81BCA">
        <w:rPr>
          <w:rFonts w:ascii="Arial" w:hAnsi="Arial" w:cs="Arial"/>
        </w:rPr>
        <w:t>3</w:t>
      </w:r>
      <w:r w:rsidRPr="008223A7">
        <w:rPr>
          <w:rFonts w:ascii="Arial" w:hAnsi="Arial" w:cs="Arial"/>
        </w:rPr>
        <w:t>).</w:t>
      </w:r>
    </w:p>
    <w:p w14:paraId="2F6A17A6" w14:textId="77777777" w:rsidR="00C90D75" w:rsidRPr="008223A7" w:rsidRDefault="00C90D75" w:rsidP="00C90D75">
      <w:pPr>
        <w:pStyle w:val="Body"/>
        <w:spacing w:after="0"/>
        <w:rPr>
          <w:rFonts w:ascii="Arial" w:hAnsi="Arial" w:cs="Arial"/>
        </w:rPr>
      </w:pPr>
    </w:p>
    <w:p w14:paraId="55855AE4" w14:textId="04639C88" w:rsidR="008223A7" w:rsidRPr="008223A7" w:rsidRDefault="008223A7" w:rsidP="00C90D75">
      <w:pPr>
        <w:pStyle w:val="Body"/>
        <w:spacing w:after="0"/>
        <w:rPr>
          <w:rFonts w:ascii="Arial" w:hAnsi="Arial" w:cs="Arial"/>
        </w:rPr>
      </w:pPr>
      <w:r w:rsidRPr="008223A7">
        <w:rPr>
          <w:rFonts w:ascii="Arial" w:hAnsi="Arial" w:cs="Arial"/>
        </w:rPr>
        <w:t xml:space="preserve">The limits of detection (LOD) and quantification (LOQ) were determined using the 3σ/S and 10σ/S criteria, respectively, where σ denotes the standard deviation of the blank and S the slope of the calibration curve (n = 10). The calculated LOD and LOQ values are approximately 0.1 ng/mL and 0.33 ng/mL, respectively. These exceptionally low detection limits underscore the high sensitivity of the fabricated </w:t>
      </w:r>
      <w:proofErr w:type="spellStart"/>
      <w:r w:rsidRPr="008223A7">
        <w:rPr>
          <w:rFonts w:ascii="Arial" w:hAnsi="Arial" w:cs="Arial"/>
        </w:rPr>
        <w:t>AgCDs</w:t>
      </w:r>
      <w:proofErr w:type="spellEnd"/>
      <w:r w:rsidRPr="008223A7">
        <w:rPr>
          <w:rFonts w:ascii="Arial" w:hAnsi="Arial" w:cs="Arial"/>
        </w:rPr>
        <w:t xml:space="preserve">/Au electrode for </w:t>
      </w:r>
      <w:r w:rsidR="00881353" w:rsidRPr="002755E8">
        <w:rPr>
          <w:rFonts w:ascii="Arial" w:hAnsi="Arial" w:cs="Arial"/>
        </w:rPr>
        <w:t>DMAP</w:t>
      </w:r>
      <w:r w:rsidR="00881353">
        <w:rPr>
          <w:rFonts w:ascii="Arial" w:hAnsi="Arial" w:cs="Arial"/>
        </w:rPr>
        <w:t>-HCl</w:t>
      </w:r>
      <w:r w:rsidRPr="008223A7">
        <w:rPr>
          <w:rFonts w:ascii="Arial" w:hAnsi="Arial" w:cs="Arial"/>
        </w:rPr>
        <w:t xml:space="preserve"> detection, highlighting its potential for trace analysis in complex matrices.</w:t>
      </w:r>
    </w:p>
    <w:p w14:paraId="77FCBE28" w14:textId="5DF1FF59" w:rsidR="008223A7" w:rsidRPr="008223A7" w:rsidRDefault="000701B2" w:rsidP="00C90D75">
      <w:pPr>
        <w:pStyle w:val="Body"/>
        <w:spacing w:after="0"/>
        <w:jc w:val="center"/>
        <w:rPr>
          <w:rFonts w:ascii="Arial" w:hAnsi="Arial" w:cs="Arial"/>
        </w:rPr>
      </w:pPr>
      <w:r w:rsidRPr="00C90D75">
        <w:rPr>
          <w:rFonts w:ascii="Arial" w:hAnsi="Arial" w:cs="Arial"/>
          <w:noProof/>
        </w:rPr>
        <w:drawing>
          <wp:inline distT="0" distB="0" distL="0" distR="0" wp14:anchorId="7A239A88" wp14:editId="42EC3EEE">
            <wp:extent cx="3600000" cy="2775367"/>
            <wp:effectExtent l="0" t="0" r="635" b="6350"/>
            <wp:docPr id="8" name="Image 8" descr="C:\Users\Etudiant\Desktop\adobevmvlmb\dpv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tudiant\Desktop\adobevmvlmb\dpvdma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2775367"/>
                    </a:xfrm>
                    <a:prstGeom prst="rect">
                      <a:avLst/>
                    </a:prstGeom>
                    <a:noFill/>
                    <a:ln>
                      <a:noFill/>
                    </a:ln>
                  </pic:spPr>
                </pic:pic>
              </a:graphicData>
            </a:graphic>
          </wp:inline>
        </w:drawing>
      </w:r>
    </w:p>
    <w:p w14:paraId="361802DC" w14:textId="360EA33D" w:rsidR="008223A7" w:rsidRDefault="008223A7" w:rsidP="00C90D75">
      <w:pPr>
        <w:pStyle w:val="Body"/>
        <w:spacing w:after="0"/>
        <w:rPr>
          <w:rFonts w:ascii="Arial" w:hAnsi="Arial" w:cs="Arial"/>
          <w:b/>
          <w:bCs/>
        </w:rPr>
      </w:pPr>
      <w:r w:rsidRPr="00C90D75">
        <w:rPr>
          <w:rFonts w:ascii="Arial" w:hAnsi="Arial" w:cs="Arial"/>
          <w:b/>
          <w:bCs/>
        </w:rPr>
        <w:t>Fig. 7 A) DPV for different concentration of DMAP</w:t>
      </w:r>
      <w:r w:rsidR="00881353">
        <w:rPr>
          <w:rFonts w:ascii="Arial" w:hAnsi="Arial" w:cs="Arial"/>
          <w:b/>
          <w:bCs/>
        </w:rPr>
        <w:t>-HCl</w:t>
      </w:r>
      <w:r w:rsidRPr="00C90D75">
        <w:rPr>
          <w:rFonts w:ascii="Arial" w:hAnsi="Arial" w:cs="Arial"/>
          <w:b/>
          <w:bCs/>
        </w:rPr>
        <w:t xml:space="preserve"> in ng/mL: a) 0; b) 3; c) 6; d) 10; e) 20; f) 30; g) 40; h) 50; </w:t>
      </w:r>
      <w:proofErr w:type="spellStart"/>
      <w:r w:rsidRPr="00C90D75">
        <w:rPr>
          <w:rFonts w:ascii="Arial" w:hAnsi="Arial" w:cs="Arial"/>
          <w:b/>
          <w:bCs/>
        </w:rPr>
        <w:t>i</w:t>
      </w:r>
      <w:proofErr w:type="spellEnd"/>
      <w:r w:rsidRPr="00C90D75">
        <w:rPr>
          <w:rFonts w:ascii="Arial" w:hAnsi="Arial" w:cs="Arial"/>
          <w:b/>
          <w:bCs/>
        </w:rPr>
        <w:t>) 60; j) 70; k) 80; l) 90; m) 100; n) 200; o) 300; p) 400; q) 500; r)1000 and s) 1500 in 10</w:t>
      </w:r>
      <w:r w:rsidRPr="00C90D75">
        <w:rPr>
          <w:rFonts w:ascii="Arial" w:hAnsi="Arial" w:cs="Arial"/>
          <w:b/>
          <w:bCs/>
          <w:vertAlign w:val="superscript"/>
        </w:rPr>
        <w:t>-</w:t>
      </w:r>
      <w:r w:rsidR="00C90D75" w:rsidRPr="00C90D75">
        <w:rPr>
          <w:rFonts w:ascii="Arial" w:hAnsi="Arial" w:cs="Arial"/>
          <w:b/>
          <w:bCs/>
          <w:vertAlign w:val="superscript"/>
        </w:rPr>
        <w:t>5</w:t>
      </w:r>
      <w:r w:rsidRPr="00C90D75">
        <w:rPr>
          <w:rFonts w:ascii="Arial" w:hAnsi="Arial" w:cs="Arial"/>
          <w:b/>
          <w:bCs/>
        </w:rPr>
        <w:t xml:space="preserve"> M Na</w:t>
      </w:r>
      <w:r w:rsidRPr="00C90D75">
        <w:rPr>
          <w:rFonts w:ascii="Arial" w:hAnsi="Arial" w:cs="Arial"/>
          <w:b/>
          <w:bCs/>
          <w:vertAlign w:val="subscript"/>
        </w:rPr>
        <w:t>2</w:t>
      </w:r>
      <w:r w:rsidRPr="00C90D75">
        <w:rPr>
          <w:rFonts w:ascii="Arial" w:hAnsi="Arial" w:cs="Arial"/>
          <w:b/>
          <w:bCs/>
        </w:rPr>
        <w:t>SO</w:t>
      </w:r>
      <w:r w:rsidRPr="00C90D75">
        <w:rPr>
          <w:rFonts w:ascii="Arial" w:hAnsi="Arial" w:cs="Arial"/>
          <w:b/>
          <w:bCs/>
          <w:vertAlign w:val="subscript"/>
        </w:rPr>
        <w:t>4</w:t>
      </w:r>
      <w:r w:rsidRPr="00C90D75">
        <w:rPr>
          <w:rFonts w:ascii="Arial" w:hAnsi="Arial" w:cs="Arial"/>
          <w:b/>
          <w:bCs/>
        </w:rPr>
        <w:t xml:space="preserve"> at pH 6. B and C) Relationship between the maximum intensity of the oxidation peak current, and the concentration of DMAP</w:t>
      </w:r>
      <w:r w:rsidR="00881353">
        <w:rPr>
          <w:rFonts w:ascii="Arial" w:hAnsi="Arial" w:cs="Arial"/>
          <w:b/>
          <w:bCs/>
        </w:rPr>
        <w:t>-HCl</w:t>
      </w:r>
      <w:r w:rsidRPr="00C90D75">
        <w:rPr>
          <w:rFonts w:ascii="Arial" w:hAnsi="Arial" w:cs="Arial"/>
          <w:b/>
          <w:bCs/>
        </w:rPr>
        <w:t>: calibration plot of the peak current against the concentration of DMAP</w:t>
      </w:r>
      <w:r w:rsidR="00881353">
        <w:rPr>
          <w:rFonts w:ascii="Arial" w:hAnsi="Arial" w:cs="Arial"/>
          <w:b/>
          <w:bCs/>
        </w:rPr>
        <w:t>-HCl</w:t>
      </w:r>
      <w:r w:rsidRPr="00C90D75">
        <w:rPr>
          <w:rFonts w:ascii="Arial" w:hAnsi="Arial" w:cs="Arial"/>
          <w:b/>
          <w:bCs/>
        </w:rPr>
        <w:t>.</w:t>
      </w:r>
    </w:p>
    <w:p w14:paraId="4BDBA525" w14:textId="77777777" w:rsidR="00C90D75" w:rsidRPr="00C90D75" w:rsidRDefault="00C90D75" w:rsidP="00C90D75">
      <w:pPr>
        <w:pStyle w:val="Body"/>
        <w:spacing w:after="0"/>
        <w:rPr>
          <w:rFonts w:ascii="Arial" w:hAnsi="Arial" w:cs="Arial"/>
          <w:b/>
          <w:bCs/>
        </w:rPr>
      </w:pPr>
    </w:p>
    <w:p w14:paraId="5232955A" w14:textId="13F1FE44" w:rsidR="008223A7" w:rsidRDefault="008223A7" w:rsidP="00C90D75">
      <w:pPr>
        <w:pStyle w:val="Body"/>
        <w:spacing w:after="0"/>
        <w:rPr>
          <w:rFonts w:ascii="Arial" w:hAnsi="Arial" w:cs="Arial"/>
          <w:b/>
          <w:bCs/>
          <w:sz w:val="22"/>
          <w:szCs w:val="22"/>
        </w:rPr>
      </w:pPr>
      <w:r w:rsidRPr="004E5518">
        <w:rPr>
          <w:rFonts w:ascii="Arial" w:hAnsi="Arial" w:cs="Arial"/>
          <w:b/>
          <w:bCs/>
          <w:sz w:val="22"/>
          <w:szCs w:val="22"/>
        </w:rPr>
        <w:t>3.5.</w:t>
      </w:r>
      <w:r w:rsidRPr="004E5518">
        <w:rPr>
          <w:rFonts w:ascii="Arial" w:hAnsi="Arial" w:cs="Arial"/>
          <w:b/>
          <w:bCs/>
          <w:sz w:val="22"/>
          <w:szCs w:val="22"/>
        </w:rPr>
        <w:tab/>
        <w:t xml:space="preserve"> Average recovery using the fabricated electrochemical sensor</w:t>
      </w:r>
    </w:p>
    <w:p w14:paraId="45B439C4" w14:textId="77777777" w:rsidR="00C90D75" w:rsidRPr="004E5518" w:rsidRDefault="00C90D75" w:rsidP="00C90D75">
      <w:pPr>
        <w:pStyle w:val="Body"/>
        <w:spacing w:after="0"/>
        <w:rPr>
          <w:rFonts w:ascii="Arial" w:hAnsi="Arial" w:cs="Arial"/>
          <w:b/>
          <w:bCs/>
          <w:sz w:val="22"/>
          <w:szCs w:val="22"/>
        </w:rPr>
      </w:pPr>
    </w:p>
    <w:p w14:paraId="799878F4" w14:textId="31DCE82F" w:rsidR="008223A7" w:rsidRDefault="00F508FE" w:rsidP="00F508FE">
      <w:pPr>
        <w:jc w:val="both"/>
        <w:rPr>
          <w:rFonts w:ascii="Arial" w:hAnsi="Arial" w:cs="Arial"/>
        </w:rPr>
      </w:pPr>
      <w:r w:rsidRPr="006871D5">
        <w:rPr>
          <w:rFonts w:ascii="Arial" w:hAnsi="Arial" w:cs="Arial"/>
        </w:rPr>
        <w:t>The reliability of the proposed method was evaluated through recovery studies conducted at six distinct concentrations of malachite green (</w:t>
      </w:r>
      <w:r>
        <w:rPr>
          <w:rFonts w:ascii="Arial" w:hAnsi="Arial" w:cs="Arial"/>
        </w:rPr>
        <w:t>DMAP-HCl</w:t>
      </w:r>
      <w:r w:rsidRPr="006871D5">
        <w:rPr>
          <w:rFonts w:ascii="Arial" w:hAnsi="Arial" w:cs="Arial"/>
        </w:rPr>
        <w:t>). The observed recovery rate reached 99% (Table 1), thereby confirming the exceptional accuracy and robustness of the analytical technique.</w:t>
      </w:r>
    </w:p>
    <w:p w14:paraId="60CB6B59" w14:textId="77777777" w:rsidR="00C90D75" w:rsidRPr="008223A7" w:rsidRDefault="00C90D75" w:rsidP="00C90D75">
      <w:pPr>
        <w:pStyle w:val="Body"/>
        <w:spacing w:after="0"/>
        <w:rPr>
          <w:rFonts w:ascii="Arial" w:hAnsi="Arial" w:cs="Arial"/>
        </w:rPr>
      </w:pPr>
    </w:p>
    <w:p w14:paraId="6A3B686F" w14:textId="6FD8A524" w:rsidR="008223A7" w:rsidRDefault="008223A7" w:rsidP="00C90D75">
      <w:pPr>
        <w:pStyle w:val="Body"/>
        <w:spacing w:after="0"/>
        <w:rPr>
          <w:rFonts w:ascii="Arial" w:hAnsi="Arial" w:cs="Arial"/>
          <w:b/>
          <w:bCs/>
        </w:rPr>
      </w:pPr>
      <w:r w:rsidRPr="00C90D75">
        <w:rPr>
          <w:rFonts w:ascii="Arial" w:hAnsi="Arial" w:cs="Arial"/>
          <w:b/>
          <w:bCs/>
        </w:rPr>
        <w:t>Table 1: Recovery using the fabricated sensor (n=3)</w:t>
      </w:r>
    </w:p>
    <w:p w14:paraId="654454EE" w14:textId="77777777" w:rsidR="00C90D75" w:rsidRPr="00C90D75" w:rsidRDefault="00C90D75" w:rsidP="00C90D75">
      <w:pPr>
        <w:pStyle w:val="Body"/>
        <w:spacing w:after="0"/>
        <w:rPr>
          <w:rFonts w:ascii="Arial" w:hAnsi="Arial" w:cs="Arial"/>
          <w:b/>
          <w:bCs/>
        </w:rPr>
      </w:pPr>
    </w:p>
    <w:tbl>
      <w:tblPr>
        <w:tblStyle w:val="ListTable6Colorful"/>
        <w:tblW w:w="0" w:type="auto"/>
        <w:shd w:val="clear" w:color="auto" w:fill="FFFFFF" w:themeFill="background1"/>
        <w:tblLook w:val="04A0" w:firstRow="1" w:lastRow="0" w:firstColumn="1" w:lastColumn="0" w:noHBand="0" w:noVBand="1"/>
      </w:tblPr>
      <w:tblGrid>
        <w:gridCol w:w="3132"/>
        <w:gridCol w:w="3132"/>
        <w:gridCol w:w="3132"/>
      </w:tblGrid>
      <w:tr w:rsidR="000701B2" w14:paraId="5F8B22B3" w14:textId="77777777" w:rsidTr="000C6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8ACE676"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Added (</w:t>
            </w:r>
            <w:proofErr w:type="spellStart"/>
            <w:r w:rsidRPr="00492169">
              <w:rPr>
                <w:rFonts w:ascii="Times New Roman" w:hAnsi="Times New Roman" w:cs="Times New Roman"/>
                <w:b w:val="0"/>
                <w:sz w:val="24"/>
                <w:szCs w:val="24"/>
                <w:lang w:val="fr-FR"/>
              </w:rPr>
              <w:t>ng</w:t>
            </w:r>
            <w:proofErr w:type="spellEnd"/>
            <w:r w:rsidRPr="00492169">
              <w:rPr>
                <w:rFonts w:ascii="Times New Roman" w:hAnsi="Times New Roman" w:cs="Times New Roman"/>
                <w:b w:val="0"/>
                <w:sz w:val="24"/>
                <w:szCs w:val="24"/>
                <w:lang w:val="fr-FR"/>
              </w:rPr>
              <w:t>/</w:t>
            </w:r>
            <w:proofErr w:type="spellStart"/>
            <w:r w:rsidRPr="00492169">
              <w:rPr>
                <w:rFonts w:ascii="Times New Roman" w:hAnsi="Times New Roman" w:cs="Times New Roman"/>
                <w:b w:val="0"/>
                <w:sz w:val="24"/>
                <w:szCs w:val="24"/>
                <w:lang w:val="fr-FR"/>
              </w:rPr>
              <w:t>mL</w:t>
            </w:r>
            <w:proofErr w:type="spellEnd"/>
            <w:r w:rsidRPr="00492169">
              <w:rPr>
                <w:rFonts w:ascii="Times New Roman" w:hAnsi="Times New Roman" w:cs="Times New Roman"/>
                <w:b w:val="0"/>
                <w:sz w:val="24"/>
                <w:szCs w:val="24"/>
                <w:lang w:val="fr-FR"/>
              </w:rPr>
              <w:t>)</w:t>
            </w:r>
          </w:p>
        </w:tc>
        <w:tc>
          <w:tcPr>
            <w:tcW w:w="3132" w:type="dxa"/>
            <w:shd w:val="clear" w:color="auto" w:fill="FFFFFF" w:themeFill="background1"/>
          </w:tcPr>
          <w:p w14:paraId="7C121BCC" w14:textId="77777777" w:rsidR="000701B2" w:rsidRPr="00492169"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FR"/>
              </w:rPr>
            </w:pPr>
            <w:proofErr w:type="spellStart"/>
            <w:r w:rsidRPr="00492169">
              <w:rPr>
                <w:rFonts w:ascii="Times New Roman" w:hAnsi="Times New Roman" w:cs="Times New Roman"/>
                <w:b w:val="0"/>
                <w:sz w:val="24"/>
                <w:szCs w:val="24"/>
                <w:lang w:val="fr-FR"/>
              </w:rPr>
              <w:t>Found</w:t>
            </w:r>
            <w:proofErr w:type="spellEnd"/>
            <w:r w:rsidRPr="00492169">
              <w:rPr>
                <w:rFonts w:ascii="Times New Roman" w:hAnsi="Times New Roman" w:cs="Times New Roman"/>
                <w:b w:val="0"/>
                <w:sz w:val="24"/>
                <w:szCs w:val="24"/>
                <w:lang w:val="fr-FR"/>
              </w:rPr>
              <w:t xml:space="preserve"> (</w:t>
            </w:r>
            <w:proofErr w:type="spellStart"/>
            <w:r w:rsidRPr="00492169">
              <w:rPr>
                <w:rFonts w:ascii="Times New Roman" w:hAnsi="Times New Roman" w:cs="Times New Roman"/>
                <w:b w:val="0"/>
                <w:sz w:val="24"/>
                <w:szCs w:val="24"/>
                <w:lang w:val="fr-FR"/>
              </w:rPr>
              <w:t>ng</w:t>
            </w:r>
            <w:proofErr w:type="spellEnd"/>
            <w:r w:rsidRPr="00492169">
              <w:rPr>
                <w:rFonts w:ascii="Times New Roman" w:hAnsi="Times New Roman" w:cs="Times New Roman"/>
                <w:b w:val="0"/>
                <w:sz w:val="24"/>
                <w:szCs w:val="24"/>
                <w:lang w:val="fr-FR"/>
              </w:rPr>
              <w:t>/</w:t>
            </w:r>
            <w:proofErr w:type="spellStart"/>
            <w:proofErr w:type="gramStart"/>
            <w:r w:rsidRPr="00492169">
              <w:rPr>
                <w:rFonts w:ascii="Times New Roman" w:hAnsi="Times New Roman" w:cs="Times New Roman"/>
                <w:b w:val="0"/>
                <w:sz w:val="24"/>
                <w:szCs w:val="24"/>
                <w:lang w:val="fr-FR"/>
              </w:rPr>
              <w:t>mL</w:t>
            </w:r>
            <w:proofErr w:type="spellEnd"/>
            <w:r w:rsidRPr="00492169">
              <w:rPr>
                <w:rFonts w:ascii="Times New Roman" w:hAnsi="Times New Roman" w:cs="Times New Roman"/>
                <w:b w:val="0"/>
                <w:sz w:val="24"/>
                <w:szCs w:val="24"/>
                <w:lang w:val="fr-FR"/>
              </w:rPr>
              <w:t>)</w:t>
            </w:r>
            <w:r w:rsidRPr="00492169">
              <w:rPr>
                <w:rFonts w:ascii="Times New Roman" w:hAnsi="Times New Roman" w:cs="Times New Roman"/>
                <w:b w:val="0"/>
                <w:sz w:val="24"/>
                <w:szCs w:val="24"/>
                <w:vertAlign w:val="superscript"/>
                <w:lang w:val="fr-FR"/>
              </w:rPr>
              <w:t>a</w:t>
            </w:r>
            <w:proofErr w:type="gramEnd"/>
          </w:p>
        </w:tc>
        <w:tc>
          <w:tcPr>
            <w:tcW w:w="3132" w:type="dxa"/>
            <w:shd w:val="clear" w:color="auto" w:fill="FFFFFF" w:themeFill="background1"/>
          </w:tcPr>
          <w:p w14:paraId="5DC166A1" w14:textId="77777777" w:rsidR="000701B2" w:rsidRPr="00492169"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FR"/>
              </w:rPr>
            </w:pPr>
            <w:r w:rsidRPr="00492169">
              <w:rPr>
                <w:rFonts w:ascii="Times New Roman" w:hAnsi="Times New Roman" w:cs="Times New Roman"/>
                <w:b w:val="0"/>
                <w:sz w:val="24"/>
                <w:szCs w:val="24"/>
              </w:rPr>
              <w:t>recovery</w:t>
            </w:r>
            <w:r w:rsidRPr="00492169">
              <w:rPr>
                <w:rFonts w:ascii="Times New Roman" w:hAnsi="Times New Roman" w:cs="Times New Roman"/>
                <w:b w:val="0"/>
                <w:sz w:val="24"/>
                <w:szCs w:val="24"/>
                <w:lang w:val="fr-FR"/>
              </w:rPr>
              <w:t xml:space="preserve"> (%)</w:t>
            </w:r>
          </w:p>
        </w:tc>
      </w:tr>
      <w:tr w:rsidR="000701B2" w14:paraId="42DAE91C"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77BF22A9" w14:textId="77777777" w:rsidR="000701B2" w:rsidRPr="00492169" w:rsidRDefault="000701B2" w:rsidP="000C6AEC">
            <w:pPr>
              <w:spacing w:line="360" w:lineRule="auto"/>
              <w:jc w:val="both"/>
              <w:rPr>
                <w:rFonts w:ascii="Times New Roman" w:hAnsi="Times New Roman" w:cs="Times New Roman"/>
                <w:b w:val="0"/>
                <w:sz w:val="24"/>
                <w:szCs w:val="24"/>
                <w:lang w:val="fr-FR"/>
              </w:rPr>
            </w:pPr>
            <w:r>
              <w:rPr>
                <w:rFonts w:ascii="Times New Roman" w:hAnsi="Times New Roman" w:cs="Times New Roman"/>
                <w:b w:val="0"/>
                <w:sz w:val="24"/>
                <w:szCs w:val="24"/>
                <w:lang w:val="fr-FR"/>
              </w:rPr>
              <w:t>6</w:t>
            </w:r>
          </w:p>
        </w:tc>
        <w:tc>
          <w:tcPr>
            <w:tcW w:w="3132" w:type="dxa"/>
            <w:shd w:val="clear" w:color="auto" w:fill="FFFFFF" w:themeFill="background1"/>
          </w:tcPr>
          <w:p w14:paraId="7AA1B456" w14:textId="77777777" w:rsidR="000701B2" w:rsidRPr="007D2835"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7D2835">
              <w:rPr>
                <w:rFonts w:ascii="Times New Roman" w:hAnsi="Times New Roman" w:cs="Times New Roman"/>
                <w:sz w:val="24"/>
                <w:szCs w:val="24"/>
                <w:lang w:val="fr-FR"/>
              </w:rPr>
              <w:t>5.79</w:t>
            </w:r>
          </w:p>
        </w:tc>
        <w:tc>
          <w:tcPr>
            <w:tcW w:w="3132" w:type="dxa"/>
            <w:shd w:val="clear" w:color="auto" w:fill="FFFFFF" w:themeFill="background1"/>
          </w:tcPr>
          <w:p w14:paraId="28904CB1" w14:textId="77777777" w:rsidR="000701B2" w:rsidRPr="007D2835"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96.5</w:t>
            </w:r>
            <w:r>
              <w:rPr>
                <w:rFonts w:ascii="Times New Roman" w:hAnsi="Times New Roman" w:cs="Times New Roman"/>
                <w:sz w:val="24"/>
                <w:szCs w:val="24"/>
                <w:lang w:val="fr-FR"/>
              </w:rPr>
              <w:t>±2.4</w:t>
            </w:r>
          </w:p>
        </w:tc>
      </w:tr>
      <w:tr w:rsidR="000701B2" w14:paraId="3378F45D"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632DA399" w14:textId="77777777" w:rsidR="000701B2" w:rsidRPr="00492169" w:rsidRDefault="000701B2" w:rsidP="000C6AEC">
            <w:pPr>
              <w:spacing w:line="360" w:lineRule="auto"/>
              <w:jc w:val="both"/>
              <w:rPr>
                <w:rFonts w:ascii="Times New Roman" w:hAnsi="Times New Roman" w:cs="Times New Roman"/>
                <w:b w:val="0"/>
                <w:sz w:val="24"/>
                <w:szCs w:val="24"/>
                <w:lang w:val="fr-FR"/>
              </w:rPr>
            </w:pPr>
            <w:r>
              <w:rPr>
                <w:rFonts w:ascii="Times New Roman" w:hAnsi="Times New Roman" w:cs="Times New Roman"/>
                <w:b w:val="0"/>
                <w:sz w:val="24"/>
                <w:szCs w:val="24"/>
                <w:lang w:val="fr-FR"/>
              </w:rPr>
              <w:t>10</w:t>
            </w:r>
          </w:p>
        </w:tc>
        <w:tc>
          <w:tcPr>
            <w:tcW w:w="3132" w:type="dxa"/>
            <w:shd w:val="clear" w:color="auto" w:fill="FFFFFF" w:themeFill="background1"/>
          </w:tcPr>
          <w:p w14:paraId="68EA08E9" w14:textId="77777777" w:rsidR="000701B2" w:rsidRPr="007D2835"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w:t>
            </w:r>
            <w:r w:rsidRPr="007D2835">
              <w:rPr>
                <w:rFonts w:ascii="Times New Roman" w:hAnsi="Times New Roman" w:cs="Times New Roman"/>
                <w:sz w:val="24"/>
                <w:szCs w:val="24"/>
                <w:lang w:val="fr-FR"/>
              </w:rPr>
              <w:t>.</w:t>
            </w:r>
            <w:r>
              <w:rPr>
                <w:rFonts w:ascii="Times New Roman" w:hAnsi="Times New Roman" w:cs="Times New Roman"/>
                <w:sz w:val="24"/>
                <w:szCs w:val="24"/>
                <w:lang w:val="fr-FR"/>
              </w:rPr>
              <w:t>85</w:t>
            </w:r>
          </w:p>
        </w:tc>
        <w:tc>
          <w:tcPr>
            <w:tcW w:w="3132" w:type="dxa"/>
            <w:shd w:val="clear" w:color="auto" w:fill="FFFFFF" w:themeFill="background1"/>
          </w:tcPr>
          <w:p w14:paraId="7564B4CC" w14:textId="77777777" w:rsidR="000701B2" w:rsidRPr="007D2835"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lang w:val="fr-FR"/>
              </w:rPr>
              <w:t>±3.7</w:t>
            </w:r>
          </w:p>
        </w:tc>
      </w:tr>
      <w:tr w:rsidR="000701B2" w14:paraId="1A26069F"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4243702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15</w:t>
            </w:r>
          </w:p>
        </w:tc>
        <w:tc>
          <w:tcPr>
            <w:tcW w:w="3132" w:type="dxa"/>
            <w:shd w:val="clear" w:color="auto" w:fill="FFFFFF" w:themeFill="background1"/>
          </w:tcPr>
          <w:p w14:paraId="30332067"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14.92</w:t>
            </w:r>
          </w:p>
        </w:tc>
        <w:tc>
          <w:tcPr>
            <w:tcW w:w="3132" w:type="dxa"/>
            <w:shd w:val="clear" w:color="auto" w:fill="FFFFFF" w:themeFill="background1"/>
          </w:tcPr>
          <w:p w14:paraId="346ECFC8"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99.4±4.5</w:t>
            </w:r>
          </w:p>
        </w:tc>
      </w:tr>
      <w:tr w:rsidR="000701B2" w14:paraId="006182FF"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FD8C8DE"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25</w:t>
            </w:r>
          </w:p>
        </w:tc>
        <w:tc>
          <w:tcPr>
            <w:tcW w:w="3132" w:type="dxa"/>
            <w:shd w:val="clear" w:color="auto" w:fill="FFFFFF" w:themeFill="background1"/>
          </w:tcPr>
          <w:p w14:paraId="7A9ED4F2"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24.87</w:t>
            </w:r>
          </w:p>
        </w:tc>
        <w:tc>
          <w:tcPr>
            <w:tcW w:w="3132" w:type="dxa"/>
            <w:shd w:val="clear" w:color="auto" w:fill="FFFFFF" w:themeFill="background1"/>
          </w:tcPr>
          <w:p w14:paraId="3A5C421F"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99.4±7.9</w:t>
            </w:r>
          </w:p>
        </w:tc>
      </w:tr>
      <w:tr w:rsidR="000701B2" w14:paraId="34F896CD"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7EB1B0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35</w:t>
            </w:r>
          </w:p>
        </w:tc>
        <w:tc>
          <w:tcPr>
            <w:tcW w:w="3132" w:type="dxa"/>
            <w:shd w:val="clear" w:color="auto" w:fill="FFFFFF" w:themeFill="background1"/>
          </w:tcPr>
          <w:p w14:paraId="51796DDB"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34.92</w:t>
            </w:r>
          </w:p>
        </w:tc>
        <w:tc>
          <w:tcPr>
            <w:tcW w:w="3132" w:type="dxa"/>
            <w:shd w:val="clear" w:color="auto" w:fill="FFFFFF" w:themeFill="background1"/>
          </w:tcPr>
          <w:p w14:paraId="3A785243"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99.7±9.2</w:t>
            </w:r>
          </w:p>
        </w:tc>
      </w:tr>
      <w:tr w:rsidR="000701B2" w14:paraId="06288921"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FBE14B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lastRenderedPageBreak/>
              <w:t>45</w:t>
            </w:r>
          </w:p>
        </w:tc>
        <w:tc>
          <w:tcPr>
            <w:tcW w:w="3132" w:type="dxa"/>
            <w:shd w:val="clear" w:color="auto" w:fill="FFFFFF" w:themeFill="background1"/>
          </w:tcPr>
          <w:p w14:paraId="7A2E371A"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44.91</w:t>
            </w:r>
          </w:p>
        </w:tc>
        <w:tc>
          <w:tcPr>
            <w:tcW w:w="3132" w:type="dxa"/>
            <w:shd w:val="clear" w:color="auto" w:fill="FFFFFF" w:themeFill="background1"/>
          </w:tcPr>
          <w:p w14:paraId="5A04D33C"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99.8±4.0</w:t>
            </w:r>
          </w:p>
        </w:tc>
      </w:tr>
      <w:tr w:rsidR="000701B2" w14:paraId="002D0E70"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C2172C8"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55</w:t>
            </w:r>
          </w:p>
        </w:tc>
        <w:tc>
          <w:tcPr>
            <w:tcW w:w="3132" w:type="dxa"/>
            <w:shd w:val="clear" w:color="auto" w:fill="FFFFFF" w:themeFill="background1"/>
          </w:tcPr>
          <w:p w14:paraId="0A3D3A8D"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54.93</w:t>
            </w:r>
          </w:p>
        </w:tc>
        <w:tc>
          <w:tcPr>
            <w:tcW w:w="3132" w:type="dxa"/>
            <w:shd w:val="clear" w:color="auto" w:fill="FFFFFF" w:themeFill="background1"/>
          </w:tcPr>
          <w:p w14:paraId="69FBE92B"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99.8±3.9</w:t>
            </w:r>
          </w:p>
        </w:tc>
      </w:tr>
      <w:tr w:rsidR="000701B2" w14:paraId="10FC83CE"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B8F7CCF"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65</w:t>
            </w:r>
          </w:p>
        </w:tc>
        <w:tc>
          <w:tcPr>
            <w:tcW w:w="3132" w:type="dxa"/>
            <w:shd w:val="clear" w:color="auto" w:fill="FFFFFF" w:themeFill="background1"/>
          </w:tcPr>
          <w:p w14:paraId="2AB3EBCA"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64.87</w:t>
            </w:r>
          </w:p>
        </w:tc>
        <w:tc>
          <w:tcPr>
            <w:tcW w:w="3132" w:type="dxa"/>
            <w:shd w:val="clear" w:color="auto" w:fill="FFFFFF" w:themeFill="background1"/>
          </w:tcPr>
          <w:p w14:paraId="53697D66" w14:textId="77777777" w:rsidR="000701B2" w:rsidRPr="00BA537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377">
              <w:rPr>
                <w:rFonts w:ascii="Times New Roman" w:hAnsi="Times New Roman" w:cs="Times New Roman"/>
                <w:sz w:val="24"/>
                <w:szCs w:val="24"/>
              </w:rPr>
              <w:t>99.</w:t>
            </w:r>
            <w:r>
              <w:rPr>
                <w:rFonts w:ascii="Times New Roman" w:hAnsi="Times New Roman" w:cs="Times New Roman"/>
                <w:sz w:val="24"/>
                <w:szCs w:val="24"/>
              </w:rPr>
              <w:t>8±4.0</w:t>
            </w:r>
          </w:p>
        </w:tc>
      </w:tr>
    </w:tbl>
    <w:p w14:paraId="05C3946C" w14:textId="540C7A75" w:rsidR="008223A7" w:rsidRPr="00C90D75" w:rsidRDefault="008223A7" w:rsidP="00C90D75">
      <w:pPr>
        <w:pStyle w:val="Body"/>
        <w:spacing w:after="0"/>
        <w:rPr>
          <w:rFonts w:ascii="Arial" w:hAnsi="Arial" w:cs="Arial"/>
          <w:i/>
          <w:iCs/>
          <w:sz w:val="18"/>
          <w:szCs w:val="18"/>
        </w:rPr>
      </w:pPr>
      <w:proofErr w:type="spellStart"/>
      <w:proofErr w:type="gramStart"/>
      <w:r w:rsidRPr="00C90D75">
        <w:rPr>
          <w:rFonts w:ascii="Arial" w:hAnsi="Arial" w:cs="Arial"/>
          <w:i/>
          <w:iCs/>
          <w:sz w:val="18"/>
          <w:szCs w:val="18"/>
        </w:rPr>
        <w:t>a</w:t>
      </w:r>
      <w:proofErr w:type="spellEnd"/>
      <w:proofErr w:type="gramEnd"/>
      <w:r w:rsidRPr="00C90D75">
        <w:rPr>
          <w:rFonts w:ascii="Arial" w:hAnsi="Arial" w:cs="Arial"/>
          <w:i/>
          <w:iCs/>
          <w:sz w:val="18"/>
          <w:szCs w:val="18"/>
        </w:rPr>
        <w:t xml:space="preserve"> Average value of recovered MG concentration.</w:t>
      </w:r>
    </w:p>
    <w:p w14:paraId="7DC2B5B0" w14:textId="77777777" w:rsidR="00C90D75" w:rsidRPr="008223A7" w:rsidRDefault="00C90D75" w:rsidP="00C90D75">
      <w:pPr>
        <w:pStyle w:val="Body"/>
        <w:spacing w:after="0"/>
        <w:rPr>
          <w:rFonts w:ascii="Arial" w:hAnsi="Arial" w:cs="Arial"/>
        </w:rPr>
      </w:pPr>
    </w:p>
    <w:p w14:paraId="3B219660" w14:textId="074796CF" w:rsidR="008223A7" w:rsidRDefault="008223A7" w:rsidP="00AD2108">
      <w:pPr>
        <w:pStyle w:val="Body"/>
        <w:spacing w:after="0"/>
        <w:rPr>
          <w:rFonts w:ascii="Arial" w:hAnsi="Arial" w:cs="Arial"/>
          <w:b/>
          <w:bCs/>
        </w:rPr>
      </w:pPr>
      <w:r w:rsidRPr="00AD2108">
        <w:rPr>
          <w:rFonts w:ascii="Arial" w:hAnsi="Arial" w:cs="Arial"/>
          <w:b/>
          <w:bCs/>
        </w:rPr>
        <w:t>3.6.</w:t>
      </w:r>
      <w:r w:rsidRPr="00AD2108">
        <w:rPr>
          <w:rFonts w:ascii="Arial" w:hAnsi="Arial" w:cs="Arial"/>
          <w:b/>
          <w:bCs/>
        </w:rPr>
        <w:tab/>
        <w:t>Average recovery using the fabricated electrochemical sensor</w:t>
      </w:r>
    </w:p>
    <w:p w14:paraId="607146DC" w14:textId="77777777" w:rsidR="00AD2108" w:rsidRPr="00AD2108" w:rsidRDefault="00AD2108" w:rsidP="00AD2108">
      <w:pPr>
        <w:pStyle w:val="Body"/>
        <w:spacing w:after="0"/>
        <w:rPr>
          <w:rFonts w:ascii="Arial" w:hAnsi="Arial" w:cs="Arial"/>
          <w:b/>
          <w:bCs/>
        </w:rPr>
      </w:pPr>
    </w:p>
    <w:p w14:paraId="1292C1FC" w14:textId="1D9FBBC0" w:rsidR="008223A7" w:rsidRDefault="008223A7" w:rsidP="00AD2108">
      <w:pPr>
        <w:pStyle w:val="Body"/>
        <w:spacing w:after="0"/>
        <w:rPr>
          <w:rFonts w:ascii="Arial" w:hAnsi="Arial" w:cs="Arial"/>
        </w:rPr>
      </w:pPr>
      <w:r w:rsidRPr="008223A7">
        <w:rPr>
          <w:rFonts w:ascii="Arial" w:hAnsi="Arial" w:cs="Arial"/>
        </w:rPr>
        <w:t xml:space="preserve">The reliability and accuracy of the proposed analytical method were systematically evaluated through recovery studies conducted at six distinct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concentrations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The mean recovery rate obtained was approximately 99% (Table 1), thereby demonstrating the excellent accuracy and robustness of the technique for the quantitative determination of DMAP under the specified experimental conditions.</w:t>
      </w:r>
    </w:p>
    <w:p w14:paraId="11E46F97" w14:textId="77777777" w:rsidR="00AD2108" w:rsidRPr="008223A7" w:rsidRDefault="00AD2108" w:rsidP="00AD2108">
      <w:pPr>
        <w:pStyle w:val="Body"/>
        <w:spacing w:after="0"/>
        <w:rPr>
          <w:rFonts w:ascii="Arial" w:hAnsi="Arial" w:cs="Arial"/>
        </w:rPr>
      </w:pPr>
    </w:p>
    <w:p w14:paraId="2328A39C" w14:textId="4996007D" w:rsidR="008223A7" w:rsidRDefault="008223A7" w:rsidP="00AD2108">
      <w:pPr>
        <w:pStyle w:val="Body"/>
        <w:spacing w:after="0"/>
        <w:rPr>
          <w:rFonts w:ascii="Arial" w:hAnsi="Arial" w:cs="Arial"/>
          <w:b/>
          <w:bCs/>
        </w:rPr>
      </w:pPr>
      <w:r w:rsidRPr="00AD2108">
        <w:rPr>
          <w:rFonts w:ascii="Arial" w:hAnsi="Arial" w:cs="Arial"/>
          <w:b/>
          <w:bCs/>
        </w:rPr>
        <w:t>Table 2: Intra-day and Inter-day studies (n=3).</w:t>
      </w:r>
    </w:p>
    <w:p w14:paraId="1A9DAA4E" w14:textId="77777777" w:rsidR="00AD2108" w:rsidRPr="00AD2108" w:rsidRDefault="00AD2108" w:rsidP="00AD2108">
      <w:pPr>
        <w:pStyle w:val="Body"/>
        <w:spacing w:after="0"/>
        <w:rPr>
          <w:rFonts w:ascii="Arial" w:hAnsi="Arial" w:cs="Arial"/>
          <w:b/>
          <w:bCs/>
        </w:rPr>
      </w:pPr>
    </w:p>
    <w:tbl>
      <w:tblPr>
        <w:tblStyle w:val="ListTable6Colorful"/>
        <w:tblW w:w="0" w:type="auto"/>
        <w:jc w:val="center"/>
        <w:tblBorders>
          <w:insideH w:val="single" w:sz="4" w:space="0" w:color="auto"/>
        </w:tblBorders>
        <w:shd w:val="clear" w:color="auto" w:fill="FFFFFF" w:themeFill="background1"/>
        <w:tblLook w:val="04A0" w:firstRow="1" w:lastRow="0" w:firstColumn="1" w:lastColumn="0" w:noHBand="0" w:noVBand="1"/>
      </w:tblPr>
      <w:tblGrid>
        <w:gridCol w:w="1463"/>
        <w:gridCol w:w="1089"/>
        <w:gridCol w:w="1134"/>
        <w:gridCol w:w="283"/>
        <w:gridCol w:w="1134"/>
        <w:gridCol w:w="1134"/>
      </w:tblGrid>
      <w:tr w:rsidR="000701B2" w:rsidRPr="00CF2B87" w14:paraId="63C29402"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vMerge w:val="restart"/>
            <w:shd w:val="clear" w:color="auto" w:fill="FFFFFF" w:themeFill="background1"/>
          </w:tcPr>
          <w:p w14:paraId="5F389B8A"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rPr>
              <w:t>Concentration added</w:t>
            </w:r>
            <w:r w:rsidRPr="00CF2B87">
              <w:rPr>
                <w:rFonts w:ascii="Times New Roman" w:hAnsi="Times New Roman" w:cs="Times New Roman"/>
                <w:b w:val="0"/>
                <w:lang w:val="fr-CI"/>
              </w:rPr>
              <w:t xml:space="preserve"> (</w:t>
            </w:r>
            <w:proofErr w:type="spellStart"/>
            <w:r w:rsidRPr="00CF2B87">
              <w:rPr>
                <w:rFonts w:ascii="Times New Roman" w:hAnsi="Times New Roman" w:cs="Times New Roman"/>
                <w:b w:val="0"/>
                <w:lang w:val="fr-CI"/>
              </w:rPr>
              <w:t>pg</w:t>
            </w:r>
            <w:proofErr w:type="spellEnd"/>
            <w:r w:rsidRPr="00CF2B87">
              <w:rPr>
                <w:rFonts w:ascii="Times New Roman" w:hAnsi="Times New Roman" w:cs="Times New Roman"/>
                <w:b w:val="0"/>
                <w:lang w:val="fr-CI"/>
              </w:rPr>
              <w:t>/</w:t>
            </w:r>
            <w:proofErr w:type="spellStart"/>
            <w:r w:rsidRPr="00CF2B87">
              <w:rPr>
                <w:rFonts w:ascii="Times New Roman" w:hAnsi="Times New Roman" w:cs="Times New Roman"/>
                <w:b w:val="0"/>
                <w:lang w:val="fr-CI"/>
              </w:rPr>
              <w:t>mL</w:t>
            </w:r>
            <w:proofErr w:type="spellEnd"/>
            <w:r w:rsidRPr="00CF2B87">
              <w:rPr>
                <w:rFonts w:ascii="Times New Roman" w:hAnsi="Times New Roman" w:cs="Times New Roman"/>
                <w:b w:val="0"/>
                <w:lang w:val="fr-CI"/>
              </w:rPr>
              <w:t>)</w:t>
            </w:r>
          </w:p>
        </w:tc>
        <w:tc>
          <w:tcPr>
            <w:tcW w:w="2223" w:type="dxa"/>
            <w:gridSpan w:val="2"/>
            <w:tcBorders>
              <w:top w:val="single" w:sz="4" w:space="0" w:color="000000" w:themeColor="text1"/>
              <w:bottom w:val="single" w:sz="4" w:space="0" w:color="auto"/>
            </w:tcBorders>
            <w:shd w:val="clear" w:color="auto" w:fill="FFFFFF" w:themeFill="background1"/>
          </w:tcPr>
          <w:p w14:paraId="19B3DE78" w14:textId="77777777" w:rsidR="000701B2" w:rsidRPr="00CF2B87" w:rsidRDefault="000701B2" w:rsidP="000C6AE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CI"/>
              </w:rPr>
            </w:pPr>
            <w:r w:rsidRPr="00CF2B87">
              <w:rPr>
                <w:rFonts w:ascii="Times New Roman" w:hAnsi="Times New Roman" w:cs="Times New Roman"/>
                <w:b w:val="0"/>
              </w:rPr>
              <w:t>Concentration found</w:t>
            </w:r>
            <w:r w:rsidRPr="00CF2B87">
              <w:rPr>
                <w:rFonts w:ascii="Times New Roman" w:hAnsi="Times New Roman" w:cs="Times New Roman"/>
                <w:b w:val="0"/>
                <w:lang w:val="fr-CI"/>
              </w:rPr>
              <w:t xml:space="preserve"> (</w:t>
            </w:r>
            <w:proofErr w:type="spellStart"/>
            <w:r>
              <w:rPr>
                <w:rFonts w:ascii="Times New Roman" w:hAnsi="Times New Roman" w:cs="Times New Roman"/>
                <w:b w:val="0"/>
                <w:lang w:val="fr-CI"/>
              </w:rPr>
              <w:t>n</w:t>
            </w:r>
            <w:r w:rsidRPr="00CF2B87">
              <w:rPr>
                <w:rFonts w:ascii="Times New Roman" w:hAnsi="Times New Roman" w:cs="Times New Roman"/>
                <w:b w:val="0"/>
                <w:lang w:val="fr-CI"/>
              </w:rPr>
              <w:t>g</w:t>
            </w:r>
            <w:proofErr w:type="spellEnd"/>
            <w:r w:rsidRPr="00CF2B87">
              <w:rPr>
                <w:rFonts w:ascii="Times New Roman" w:hAnsi="Times New Roman" w:cs="Times New Roman"/>
                <w:b w:val="0"/>
                <w:lang w:val="fr-CI"/>
              </w:rPr>
              <w:t>/</w:t>
            </w:r>
            <w:proofErr w:type="spellStart"/>
            <w:r w:rsidRPr="00CF2B87">
              <w:rPr>
                <w:rFonts w:ascii="Times New Roman" w:hAnsi="Times New Roman" w:cs="Times New Roman"/>
                <w:b w:val="0"/>
                <w:lang w:val="fr-CI"/>
              </w:rPr>
              <w:t>mL</w:t>
            </w:r>
            <w:proofErr w:type="spellEnd"/>
            <w:r w:rsidRPr="00CF2B87">
              <w:rPr>
                <w:rFonts w:ascii="Times New Roman" w:hAnsi="Times New Roman" w:cs="Times New Roman"/>
                <w:b w:val="0"/>
                <w:lang w:val="fr-CI"/>
              </w:rPr>
              <w:t>)</w:t>
            </w:r>
          </w:p>
        </w:tc>
        <w:tc>
          <w:tcPr>
            <w:tcW w:w="283" w:type="dxa"/>
            <w:tcBorders>
              <w:top w:val="single" w:sz="4" w:space="0" w:color="000000" w:themeColor="text1"/>
              <w:bottom w:val="nil"/>
            </w:tcBorders>
            <w:shd w:val="clear" w:color="auto" w:fill="FFFFFF" w:themeFill="background1"/>
          </w:tcPr>
          <w:p w14:paraId="246A5EAA" w14:textId="77777777" w:rsidR="000701B2" w:rsidRPr="00CF2B8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2268" w:type="dxa"/>
            <w:gridSpan w:val="2"/>
            <w:shd w:val="clear" w:color="auto" w:fill="FFFFFF" w:themeFill="background1"/>
          </w:tcPr>
          <w:p w14:paraId="1FBE54A9" w14:textId="77777777" w:rsidR="000701B2" w:rsidRPr="00CF2B8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CI"/>
              </w:rPr>
            </w:pPr>
            <w:r w:rsidRPr="00CF2B87">
              <w:rPr>
                <w:rFonts w:ascii="Times New Roman" w:hAnsi="Times New Roman" w:cs="Times New Roman"/>
                <w:b w:val="0"/>
                <w:lang w:val="fr-CI"/>
              </w:rPr>
              <w:t>RSD (%) (n=3)</w:t>
            </w:r>
          </w:p>
        </w:tc>
      </w:tr>
      <w:tr w:rsidR="000701B2" w:rsidRPr="00CF2B87" w14:paraId="7DB8CB50"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vMerge/>
            <w:tcBorders>
              <w:bottom w:val="single" w:sz="4" w:space="0" w:color="auto"/>
            </w:tcBorders>
            <w:shd w:val="clear" w:color="auto" w:fill="FFFFFF" w:themeFill="background1"/>
          </w:tcPr>
          <w:p w14:paraId="3AB50EE8" w14:textId="77777777" w:rsidR="000701B2" w:rsidRPr="00CF2B87" w:rsidRDefault="000701B2" w:rsidP="000C6AEC">
            <w:pPr>
              <w:spacing w:line="360" w:lineRule="auto"/>
              <w:jc w:val="both"/>
              <w:rPr>
                <w:rFonts w:ascii="Times New Roman" w:hAnsi="Times New Roman" w:cs="Times New Roman"/>
                <w:lang w:val="fr-CI"/>
              </w:rPr>
            </w:pPr>
          </w:p>
        </w:tc>
        <w:tc>
          <w:tcPr>
            <w:tcW w:w="1089" w:type="dxa"/>
            <w:tcBorders>
              <w:top w:val="single" w:sz="4" w:space="0" w:color="auto"/>
              <w:bottom w:val="single" w:sz="4" w:space="0" w:color="auto"/>
            </w:tcBorders>
            <w:shd w:val="clear" w:color="auto" w:fill="FFFFFF" w:themeFill="background1"/>
          </w:tcPr>
          <w:p w14:paraId="4F09AFA0"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Intra-</w:t>
            </w:r>
            <w:proofErr w:type="spellStart"/>
            <w:r w:rsidRPr="00CF2B87">
              <w:rPr>
                <w:rFonts w:ascii="Times New Roman" w:hAnsi="Times New Roman" w:cs="Times New Roman"/>
                <w:lang w:val="fr-CI"/>
              </w:rPr>
              <w:t>day</w:t>
            </w:r>
            <w:proofErr w:type="spellEnd"/>
          </w:p>
        </w:tc>
        <w:tc>
          <w:tcPr>
            <w:tcW w:w="1134" w:type="dxa"/>
            <w:tcBorders>
              <w:top w:val="single" w:sz="4" w:space="0" w:color="auto"/>
              <w:bottom w:val="single" w:sz="4" w:space="0" w:color="auto"/>
            </w:tcBorders>
            <w:shd w:val="clear" w:color="auto" w:fill="FFFFFF" w:themeFill="background1"/>
          </w:tcPr>
          <w:p w14:paraId="41A362B1"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Inter-</w:t>
            </w:r>
            <w:proofErr w:type="spellStart"/>
            <w:r w:rsidRPr="00CF2B87">
              <w:rPr>
                <w:rFonts w:ascii="Times New Roman" w:hAnsi="Times New Roman" w:cs="Times New Roman"/>
                <w:lang w:val="fr-CI"/>
              </w:rPr>
              <w:t>day</w:t>
            </w:r>
            <w:proofErr w:type="spellEnd"/>
          </w:p>
        </w:tc>
        <w:tc>
          <w:tcPr>
            <w:tcW w:w="283" w:type="dxa"/>
            <w:tcBorders>
              <w:top w:val="nil"/>
              <w:bottom w:val="single" w:sz="4" w:space="0" w:color="auto"/>
            </w:tcBorders>
            <w:shd w:val="clear" w:color="auto" w:fill="FFFFFF" w:themeFill="background1"/>
          </w:tcPr>
          <w:p w14:paraId="340E0AC6"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single" w:sz="4" w:space="0" w:color="auto"/>
              <w:bottom w:val="single" w:sz="4" w:space="0" w:color="auto"/>
            </w:tcBorders>
            <w:shd w:val="clear" w:color="auto" w:fill="FFFFFF" w:themeFill="background1"/>
          </w:tcPr>
          <w:p w14:paraId="19C02C0B"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Intra-</w:t>
            </w:r>
            <w:proofErr w:type="spellStart"/>
            <w:r w:rsidRPr="00CF2B87">
              <w:rPr>
                <w:rFonts w:ascii="Times New Roman" w:hAnsi="Times New Roman" w:cs="Times New Roman"/>
                <w:lang w:val="fr-CI"/>
              </w:rPr>
              <w:t>day</w:t>
            </w:r>
            <w:proofErr w:type="spellEnd"/>
          </w:p>
        </w:tc>
        <w:tc>
          <w:tcPr>
            <w:tcW w:w="1134" w:type="dxa"/>
            <w:tcBorders>
              <w:bottom w:val="single" w:sz="4" w:space="0" w:color="auto"/>
            </w:tcBorders>
            <w:shd w:val="clear" w:color="auto" w:fill="FFFFFF" w:themeFill="background1"/>
          </w:tcPr>
          <w:p w14:paraId="7C665ADD"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Inter-</w:t>
            </w:r>
            <w:proofErr w:type="spellStart"/>
            <w:r w:rsidRPr="00CF2B87">
              <w:rPr>
                <w:rFonts w:ascii="Times New Roman" w:hAnsi="Times New Roman" w:cs="Times New Roman"/>
                <w:lang w:val="fr-CI"/>
              </w:rPr>
              <w:t>day</w:t>
            </w:r>
            <w:proofErr w:type="spellEnd"/>
          </w:p>
        </w:tc>
      </w:tr>
      <w:tr w:rsidR="000701B2" w:rsidRPr="00CF2B87" w14:paraId="79460241"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single" w:sz="4" w:space="0" w:color="auto"/>
              <w:bottom w:val="nil"/>
            </w:tcBorders>
            <w:shd w:val="clear" w:color="auto" w:fill="FFFFFF" w:themeFill="background1"/>
          </w:tcPr>
          <w:p w14:paraId="355CC628"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8</w:t>
            </w:r>
          </w:p>
        </w:tc>
        <w:tc>
          <w:tcPr>
            <w:tcW w:w="1089" w:type="dxa"/>
            <w:tcBorders>
              <w:top w:val="single" w:sz="4" w:space="0" w:color="auto"/>
              <w:bottom w:val="nil"/>
            </w:tcBorders>
            <w:shd w:val="clear" w:color="auto" w:fill="FFFFFF" w:themeFill="background1"/>
          </w:tcPr>
          <w:p w14:paraId="432ABD61"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7.</w:t>
            </w:r>
            <w:r>
              <w:rPr>
                <w:rFonts w:ascii="Times New Roman" w:hAnsi="Times New Roman" w:cs="Times New Roman"/>
                <w:lang w:val="fr-CI"/>
              </w:rPr>
              <w:t>96</w:t>
            </w:r>
          </w:p>
        </w:tc>
        <w:tc>
          <w:tcPr>
            <w:tcW w:w="1134" w:type="dxa"/>
            <w:tcBorders>
              <w:top w:val="single" w:sz="4" w:space="0" w:color="auto"/>
              <w:bottom w:val="nil"/>
            </w:tcBorders>
            <w:shd w:val="clear" w:color="auto" w:fill="FFFFFF" w:themeFill="background1"/>
          </w:tcPr>
          <w:p w14:paraId="59B00BB4"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7.</w:t>
            </w:r>
            <w:r>
              <w:rPr>
                <w:rFonts w:ascii="Times New Roman" w:hAnsi="Times New Roman" w:cs="Times New Roman"/>
                <w:lang w:val="fr-CI"/>
              </w:rPr>
              <w:t>91</w:t>
            </w:r>
          </w:p>
        </w:tc>
        <w:tc>
          <w:tcPr>
            <w:tcW w:w="283" w:type="dxa"/>
            <w:tcBorders>
              <w:top w:val="single" w:sz="4" w:space="0" w:color="auto"/>
              <w:bottom w:val="nil"/>
            </w:tcBorders>
            <w:shd w:val="clear" w:color="auto" w:fill="FFFFFF" w:themeFill="background1"/>
          </w:tcPr>
          <w:p w14:paraId="51BDCD95"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single" w:sz="4" w:space="0" w:color="auto"/>
              <w:bottom w:val="nil"/>
            </w:tcBorders>
            <w:shd w:val="clear" w:color="auto" w:fill="FFFFFF" w:themeFill="background1"/>
          </w:tcPr>
          <w:p w14:paraId="7984BB1F"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4.9</w:t>
            </w:r>
            <w:r>
              <w:rPr>
                <w:rFonts w:ascii="Times New Roman" w:hAnsi="Times New Roman" w:cs="Times New Roman"/>
                <w:lang w:val="fr-CI"/>
              </w:rPr>
              <w:t>2</w:t>
            </w:r>
          </w:p>
        </w:tc>
        <w:tc>
          <w:tcPr>
            <w:tcW w:w="1134" w:type="dxa"/>
            <w:tcBorders>
              <w:top w:val="single" w:sz="4" w:space="0" w:color="auto"/>
              <w:bottom w:val="nil"/>
            </w:tcBorders>
            <w:shd w:val="clear" w:color="auto" w:fill="FFFFFF" w:themeFill="background1"/>
          </w:tcPr>
          <w:p w14:paraId="740B86F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9.2</w:t>
            </w:r>
            <w:r>
              <w:rPr>
                <w:rFonts w:ascii="Times New Roman" w:hAnsi="Times New Roman" w:cs="Times New Roman"/>
                <w:lang w:val="fr-CI"/>
              </w:rPr>
              <w:t>7</w:t>
            </w:r>
          </w:p>
        </w:tc>
      </w:tr>
      <w:tr w:rsidR="000701B2" w:rsidRPr="00CF2B87" w14:paraId="222FA7A4"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0DD164F0"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15</w:t>
            </w:r>
          </w:p>
        </w:tc>
        <w:tc>
          <w:tcPr>
            <w:tcW w:w="1089" w:type="dxa"/>
            <w:tcBorders>
              <w:top w:val="nil"/>
              <w:bottom w:val="nil"/>
            </w:tcBorders>
            <w:shd w:val="clear" w:color="auto" w:fill="FFFFFF" w:themeFill="background1"/>
          </w:tcPr>
          <w:p w14:paraId="3519FF43"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14.8</w:t>
            </w:r>
            <w:r>
              <w:rPr>
                <w:rFonts w:ascii="Times New Roman" w:hAnsi="Times New Roman" w:cs="Times New Roman"/>
                <w:lang w:val="fr-CI"/>
              </w:rPr>
              <w:t>7</w:t>
            </w:r>
          </w:p>
        </w:tc>
        <w:tc>
          <w:tcPr>
            <w:tcW w:w="1134" w:type="dxa"/>
            <w:tcBorders>
              <w:top w:val="nil"/>
              <w:bottom w:val="nil"/>
            </w:tcBorders>
            <w:shd w:val="clear" w:color="auto" w:fill="FFFFFF" w:themeFill="background1"/>
          </w:tcPr>
          <w:p w14:paraId="41629065"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14.9</w:t>
            </w:r>
            <w:r>
              <w:rPr>
                <w:rFonts w:ascii="Times New Roman" w:hAnsi="Times New Roman" w:cs="Times New Roman"/>
                <w:lang w:val="fr-CI"/>
              </w:rPr>
              <w:t>3</w:t>
            </w:r>
          </w:p>
        </w:tc>
        <w:tc>
          <w:tcPr>
            <w:tcW w:w="283" w:type="dxa"/>
            <w:tcBorders>
              <w:top w:val="nil"/>
              <w:bottom w:val="nil"/>
            </w:tcBorders>
            <w:shd w:val="clear" w:color="auto" w:fill="FFFFFF" w:themeFill="background1"/>
          </w:tcPr>
          <w:p w14:paraId="7D4A5179"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2724868B"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6</w:t>
            </w:r>
            <w:r w:rsidRPr="00CF2B87">
              <w:rPr>
                <w:rFonts w:ascii="Times New Roman" w:hAnsi="Times New Roman" w:cs="Times New Roman"/>
                <w:lang w:val="fr-CI"/>
              </w:rPr>
              <w:t>.</w:t>
            </w:r>
            <w:r>
              <w:rPr>
                <w:rFonts w:ascii="Times New Roman" w:hAnsi="Times New Roman" w:cs="Times New Roman"/>
                <w:lang w:val="fr-CI"/>
              </w:rPr>
              <w:t>1</w:t>
            </w:r>
          </w:p>
        </w:tc>
        <w:tc>
          <w:tcPr>
            <w:tcW w:w="1134" w:type="dxa"/>
            <w:tcBorders>
              <w:top w:val="nil"/>
              <w:bottom w:val="nil"/>
            </w:tcBorders>
            <w:shd w:val="clear" w:color="auto" w:fill="FFFFFF" w:themeFill="background1"/>
          </w:tcPr>
          <w:p w14:paraId="3F4A5870"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w:t>
            </w:r>
            <w:r>
              <w:rPr>
                <w:rFonts w:ascii="Times New Roman" w:hAnsi="Times New Roman" w:cs="Times New Roman"/>
                <w:lang w:val="fr-CI"/>
              </w:rPr>
              <w:t>09</w:t>
            </w:r>
          </w:p>
        </w:tc>
      </w:tr>
      <w:tr w:rsidR="000701B2" w:rsidRPr="00CF2B87" w14:paraId="0AC198E6"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193F081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25</w:t>
            </w:r>
          </w:p>
        </w:tc>
        <w:tc>
          <w:tcPr>
            <w:tcW w:w="1089" w:type="dxa"/>
            <w:tcBorders>
              <w:top w:val="nil"/>
              <w:bottom w:val="nil"/>
            </w:tcBorders>
            <w:shd w:val="clear" w:color="auto" w:fill="FFFFFF" w:themeFill="background1"/>
          </w:tcPr>
          <w:p w14:paraId="2225EEBD"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24.</w:t>
            </w:r>
            <w:r>
              <w:rPr>
                <w:rFonts w:ascii="Times New Roman" w:hAnsi="Times New Roman" w:cs="Times New Roman"/>
                <w:lang w:val="fr-CI"/>
              </w:rPr>
              <w:t>9</w:t>
            </w:r>
            <w:r w:rsidRPr="00CF2B87">
              <w:rPr>
                <w:rFonts w:ascii="Times New Roman" w:hAnsi="Times New Roman" w:cs="Times New Roman"/>
                <w:lang w:val="fr-CI"/>
              </w:rPr>
              <w:t>2</w:t>
            </w:r>
          </w:p>
        </w:tc>
        <w:tc>
          <w:tcPr>
            <w:tcW w:w="1134" w:type="dxa"/>
            <w:tcBorders>
              <w:top w:val="nil"/>
              <w:bottom w:val="nil"/>
            </w:tcBorders>
            <w:shd w:val="clear" w:color="auto" w:fill="FFFFFF" w:themeFill="background1"/>
          </w:tcPr>
          <w:p w14:paraId="24448BB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24.</w:t>
            </w:r>
            <w:r>
              <w:rPr>
                <w:rFonts w:ascii="Times New Roman" w:hAnsi="Times New Roman" w:cs="Times New Roman"/>
                <w:lang w:val="fr-CI"/>
              </w:rPr>
              <w:t>83</w:t>
            </w:r>
          </w:p>
        </w:tc>
        <w:tc>
          <w:tcPr>
            <w:tcW w:w="283" w:type="dxa"/>
            <w:tcBorders>
              <w:top w:val="nil"/>
              <w:bottom w:val="nil"/>
            </w:tcBorders>
            <w:shd w:val="clear" w:color="auto" w:fill="FFFFFF" w:themeFill="background1"/>
          </w:tcPr>
          <w:p w14:paraId="74B1017C"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4592E49D"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8</w:t>
            </w:r>
            <w:r w:rsidRPr="00CF2B87">
              <w:rPr>
                <w:rFonts w:ascii="Times New Roman" w:hAnsi="Times New Roman" w:cs="Times New Roman"/>
                <w:lang w:val="fr-CI"/>
              </w:rPr>
              <w:t>.6</w:t>
            </w:r>
          </w:p>
        </w:tc>
        <w:tc>
          <w:tcPr>
            <w:tcW w:w="1134" w:type="dxa"/>
            <w:tcBorders>
              <w:top w:val="nil"/>
              <w:bottom w:val="nil"/>
            </w:tcBorders>
            <w:shd w:val="clear" w:color="auto" w:fill="FFFFFF" w:themeFill="background1"/>
          </w:tcPr>
          <w:p w14:paraId="2F592A8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9.</w:t>
            </w:r>
            <w:r>
              <w:rPr>
                <w:rFonts w:ascii="Times New Roman" w:hAnsi="Times New Roman" w:cs="Times New Roman"/>
                <w:lang w:val="fr-CI"/>
              </w:rPr>
              <w:t>73</w:t>
            </w:r>
          </w:p>
        </w:tc>
      </w:tr>
      <w:tr w:rsidR="000701B2" w:rsidRPr="00CF2B87" w14:paraId="59910512"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40135BD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35</w:t>
            </w:r>
          </w:p>
        </w:tc>
        <w:tc>
          <w:tcPr>
            <w:tcW w:w="1089" w:type="dxa"/>
            <w:tcBorders>
              <w:top w:val="nil"/>
              <w:bottom w:val="nil"/>
            </w:tcBorders>
            <w:shd w:val="clear" w:color="auto" w:fill="FFFFFF" w:themeFill="background1"/>
          </w:tcPr>
          <w:p w14:paraId="41B707FE"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34.9</w:t>
            </w:r>
            <w:r>
              <w:rPr>
                <w:rFonts w:ascii="Times New Roman" w:hAnsi="Times New Roman" w:cs="Times New Roman"/>
                <w:lang w:val="fr-CI"/>
              </w:rPr>
              <w:t>0</w:t>
            </w:r>
          </w:p>
        </w:tc>
        <w:tc>
          <w:tcPr>
            <w:tcW w:w="1134" w:type="dxa"/>
            <w:tcBorders>
              <w:top w:val="nil"/>
              <w:bottom w:val="nil"/>
            </w:tcBorders>
            <w:shd w:val="clear" w:color="auto" w:fill="FFFFFF" w:themeFill="background1"/>
          </w:tcPr>
          <w:p w14:paraId="25BA80A7"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34.</w:t>
            </w:r>
            <w:r>
              <w:rPr>
                <w:rFonts w:ascii="Times New Roman" w:hAnsi="Times New Roman" w:cs="Times New Roman"/>
                <w:lang w:val="fr-CI"/>
              </w:rPr>
              <w:t>88</w:t>
            </w:r>
          </w:p>
        </w:tc>
        <w:tc>
          <w:tcPr>
            <w:tcW w:w="283" w:type="dxa"/>
            <w:tcBorders>
              <w:top w:val="nil"/>
              <w:bottom w:val="nil"/>
            </w:tcBorders>
            <w:shd w:val="clear" w:color="auto" w:fill="FFFFFF" w:themeFill="background1"/>
          </w:tcPr>
          <w:p w14:paraId="7EE6574A"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65AF9CCE"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2</w:t>
            </w:r>
            <w:r w:rsidRPr="00CF2B87">
              <w:rPr>
                <w:rFonts w:ascii="Times New Roman" w:hAnsi="Times New Roman" w:cs="Times New Roman"/>
                <w:lang w:val="fr-CI"/>
              </w:rPr>
              <w:t>.</w:t>
            </w:r>
            <w:r>
              <w:rPr>
                <w:rFonts w:ascii="Times New Roman" w:hAnsi="Times New Roman" w:cs="Times New Roman"/>
                <w:lang w:val="fr-CI"/>
              </w:rPr>
              <w:t>5</w:t>
            </w:r>
          </w:p>
        </w:tc>
        <w:tc>
          <w:tcPr>
            <w:tcW w:w="1134" w:type="dxa"/>
            <w:tcBorders>
              <w:top w:val="nil"/>
              <w:bottom w:val="nil"/>
            </w:tcBorders>
            <w:shd w:val="clear" w:color="auto" w:fill="FFFFFF" w:themeFill="background1"/>
          </w:tcPr>
          <w:p w14:paraId="1D1F6C78"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.5</w:t>
            </w:r>
            <w:r>
              <w:rPr>
                <w:rFonts w:ascii="Times New Roman" w:hAnsi="Times New Roman" w:cs="Times New Roman"/>
                <w:lang w:val="fr-CI"/>
              </w:rPr>
              <w:t>6</w:t>
            </w:r>
          </w:p>
        </w:tc>
      </w:tr>
      <w:tr w:rsidR="000701B2" w:rsidRPr="00CF2B87" w14:paraId="149D6834"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2B7C565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45</w:t>
            </w:r>
          </w:p>
        </w:tc>
        <w:tc>
          <w:tcPr>
            <w:tcW w:w="1089" w:type="dxa"/>
            <w:tcBorders>
              <w:top w:val="nil"/>
              <w:bottom w:val="nil"/>
            </w:tcBorders>
            <w:shd w:val="clear" w:color="auto" w:fill="FFFFFF" w:themeFill="background1"/>
          </w:tcPr>
          <w:p w14:paraId="5C08F011"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44.8</w:t>
            </w:r>
            <w:r>
              <w:rPr>
                <w:rFonts w:ascii="Times New Roman" w:hAnsi="Times New Roman" w:cs="Times New Roman"/>
                <w:lang w:val="fr-CI"/>
              </w:rPr>
              <w:t>5</w:t>
            </w:r>
          </w:p>
        </w:tc>
        <w:tc>
          <w:tcPr>
            <w:tcW w:w="1134" w:type="dxa"/>
            <w:tcBorders>
              <w:top w:val="nil"/>
              <w:bottom w:val="nil"/>
            </w:tcBorders>
            <w:shd w:val="clear" w:color="auto" w:fill="FFFFFF" w:themeFill="background1"/>
          </w:tcPr>
          <w:p w14:paraId="5DEE994F"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44.8</w:t>
            </w:r>
            <w:r>
              <w:rPr>
                <w:rFonts w:ascii="Times New Roman" w:hAnsi="Times New Roman" w:cs="Times New Roman"/>
                <w:lang w:val="fr-CI"/>
              </w:rPr>
              <w:t>3</w:t>
            </w:r>
          </w:p>
        </w:tc>
        <w:tc>
          <w:tcPr>
            <w:tcW w:w="283" w:type="dxa"/>
            <w:tcBorders>
              <w:top w:val="nil"/>
              <w:bottom w:val="nil"/>
            </w:tcBorders>
            <w:shd w:val="clear" w:color="auto" w:fill="FFFFFF" w:themeFill="background1"/>
          </w:tcPr>
          <w:p w14:paraId="257C6370"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2FFF7D34"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1</w:t>
            </w:r>
            <w:r w:rsidRPr="00CF2B87">
              <w:rPr>
                <w:rFonts w:ascii="Times New Roman" w:hAnsi="Times New Roman" w:cs="Times New Roman"/>
                <w:lang w:val="fr-CI"/>
              </w:rPr>
              <w:t>.7</w:t>
            </w:r>
          </w:p>
        </w:tc>
        <w:tc>
          <w:tcPr>
            <w:tcW w:w="1134" w:type="dxa"/>
            <w:tcBorders>
              <w:top w:val="nil"/>
              <w:bottom w:val="nil"/>
            </w:tcBorders>
            <w:shd w:val="clear" w:color="auto" w:fill="FFFFFF" w:themeFill="background1"/>
          </w:tcPr>
          <w:p w14:paraId="7773129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3.51</w:t>
            </w:r>
          </w:p>
        </w:tc>
      </w:tr>
      <w:tr w:rsidR="000701B2" w:rsidRPr="00CF2B87" w14:paraId="473846FC"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single" w:sz="4" w:space="0" w:color="000000" w:themeColor="text1"/>
            </w:tcBorders>
            <w:shd w:val="clear" w:color="auto" w:fill="FFFFFF" w:themeFill="background1"/>
          </w:tcPr>
          <w:p w14:paraId="75B346AA"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55</w:t>
            </w:r>
          </w:p>
        </w:tc>
        <w:tc>
          <w:tcPr>
            <w:tcW w:w="1089" w:type="dxa"/>
            <w:tcBorders>
              <w:top w:val="nil"/>
              <w:bottom w:val="single" w:sz="4" w:space="0" w:color="000000" w:themeColor="text1"/>
            </w:tcBorders>
            <w:shd w:val="clear" w:color="auto" w:fill="FFFFFF" w:themeFill="background1"/>
          </w:tcPr>
          <w:p w14:paraId="79AAD54D"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54.9</w:t>
            </w:r>
            <w:r>
              <w:rPr>
                <w:rFonts w:ascii="Times New Roman" w:hAnsi="Times New Roman" w:cs="Times New Roman"/>
                <w:lang w:val="fr-CI"/>
              </w:rPr>
              <w:t>1</w:t>
            </w:r>
          </w:p>
        </w:tc>
        <w:tc>
          <w:tcPr>
            <w:tcW w:w="1134" w:type="dxa"/>
            <w:tcBorders>
              <w:top w:val="nil"/>
              <w:bottom w:val="single" w:sz="4" w:space="0" w:color="000000" w:themeColor="text1"/>
            </w:tcBorders>
            <w:shd w:val="clear" w:color="auto" w:fill="FFFFFF" w:themeFill="background1"/>
          </w:tcPr>
          <w:p w14:paraId="29C5DA65"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54.8</w:t>
            </w:r>
            <w:r>
              <w:rPr>
                <w:rFonts w:ascii="Times New Roman" w:hAnsi="Times New Roman" w:cs="Times New Roman"/>
                <w:lang w:val="fr-CI"/>
              </w:rPr>
              <w:t>7</w:t>
            </w:r>
          </w:p>
        </w:tc>
        <w:tc>
          <w:tcPr>
            <w:tcW w:w="283" w:type="dxa"/>
            <w:tcBorders>
              <w:top w:val="nil"/>
              <w:bottom w:val="single" w:sz="4" w:space="0" w:color="000000" w:themeColor="text1"/>
            </w:tcBorders>
            <w:shd w:val="clear" w:color="auto" w:fill="FFFFFF" w:themeFill="background1"/>
          </w:tcPr>
          <w:p w14:paraId="26580C11"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single" w:sz="4" w:space="0" w:color="000000" w:themeColor="text1"/>
            </w:tcBorders>
            <w:shd w:val="clear" w:color="auto" w:fill="FFFFFF" w:themeFill="background1"/>
          </w:tcPr>
          <w:p w14:paraId="1AD3A492"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3</w:t>
            </w:r>
            <w:r w:rsidRPr="00CF2B87">
              <w:rPr>
                <w:rFonts w:ascii="Times New Roman" w:hAnsi="Times New Roman" w:cs="Times New Roman"/>
                <w:lang w:val="fr-CI"/>
              </w:rPr>
              <w:t>.</w:t>
            </w:r>
            <w:r>
              <w:rPr>
                <w:rFonts w:ascii="Times New Roman" w:hAnsi="Times New Roman" w:cs="Times New Roman"/>
                <w:lang w:val="fr-CI"/>
              </w:rPr>
              <w:t>5</w:t>
            </w:r>
          </w:p>
        </w:tc>
        <w:tc>
          <w:tcPr>
            <w:tcW w:w="1134" w:type="dxa"/>
            <w:tcBorders>
              <w:top w:val="nil"/>
              <w:bottom w:val="single" w:sz="4" w:space="0" w:color="000000" w:themeColor="text1"/>
            </w:tcBorders>
            <w:shd w:val="clear" w:color="auto" w:fill="FFFFFF" w:themeFill="background1"/>
          </w:tcPr>
          <w:p w14:paraId="445D37F3"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w:t>
            </w:r>
            <w:r>
              <w:rPr>
                <w:rFonts w:ascii="Times New Roman" w:hAnsi="Times New Roman" w:cs="Times New Roman"/>
                <w:lang w:val="fr-CI"/>
              </w:rPr>
              <w:t>3</w:t>
            </w:r>
          </w:p>
        </w:tc>
      </w:tr>
    </w:tbl>
    <w:p w14:paraId="340E33FA" w14:textId="2ACF74C6" w:rsidR="000701B2" w:rsidRPr="00E81BCA" w:rsidRDefault="00E81BCA" w:rsidP="00E81BCA">
      <w:pPr>
        <w:spacing w:line="360" w:lineRule="auto"/>
        <w:jc w:val="both"/>
        <w:rPr>
          <w:rFonts w:ascii="Arial" w:hAnsi="Arial" w:cs="Arial"/>
          <w:i/>
          <w:iCs/>
          <w:sz w:val="18"/>
          <w:szCs w:val="18"/>
        </w:rPr>
      </w:pPr>
      <w:r w:rsidRPr="00E81BCA">
        <w:rPr>
          <w:rFonts w:ascii="Arial" w:hAnsi="Arial" w:cs="Arial"/>
          <w:b/>
          <w:i/>
          <w:iCs/>
          <w:sz w:val="18"/>
          <w:szCs w:val="18"/>
        </w:rPr>
        <w:t>RSD</w:t>
      </w:r>
      <w:r w:rsidRPr="00E81BCA">
        <w:rPr>
          <w:rFonts w:ascii="Arial" w:hAnsi="Arial" w:cs="Arial"/>
          <w:i/>
          <w:iCs/>
          <w:sz w:val="18"/>
          <w:szCs w:val="18"/>
        </w:rPr>
        <w:t>: Relative Standard Deviation.</w:t>
      </w:r>
    </w:p>
    <w:p w14:paraId="73BF98E8" w14:textId="77777777" w:rsidR="00E81BCA" w:rsidRPr="00E81BCA" w:rsidRDefault="00E81BCA" w:rsidP="00E81BCA">
      <w:pPr>
        <w:spacing w:line="360" w:lineRule="auto"/>
        <w:jc w:val="both"/>
        <w:rPr>
          <w:rFonts w:ascii="Arial" w:hAnsi="Arial" w:cs="Arial"/>
          <w:sz w:val="18"/>
          <w:szCs w:val="18"/>
        </w:rPr>
      </w:pPr>
    </w:p>
    <w:p w14:paraId="4A2A4E7E" w14:textId="4B5B6D9A" w:rsidR="008223A7" w:rsidRPr="005804B7" w:rsidRDefault="008223A7" w:rsidP="00AD2108">
      <w:pPr>
        <w:pStyle w:val="Body"/>
        <w:spacing w:after="0"/>
        <w:rPr>
          <w:rFonts w:ascii="Arial" w:hAnsi="Arial" w:cs="Arial"/>
          <w:b/>
          <w:bCs/>
        </w:rPr>
      </w:pPr>
      <w:r w:rsidRPr="005804B7">
        <w:rPr>
          <w:rFonts w:ascii="Arial" w:hAnsi="Arial" w:cs="Arial"/>
          <w:b/>
          <w:bCs/>
        </w:rPr>
        <w:t>3.7.</w:t>
      </w:r>
      <w:r w:rsidRPr="005804B7">
        <w:rPr>
          <w:rFonts w:ascii="Arial" w:hAnsi="Arial" w:cs="Arial"/>
          <w:b/>
          <w:bCs/>
        </w:rPr>
        <w:tab/>
        <w:t xml:space="preserve">Selectivity of the </w:t>
      </w:r>
      <w:proofErr w:type="spellStart"/>
      <w:r w:rsidRPr="005804B7">
        <w:rPr>
          <w:rFonts w:ascii="Arial" w:hAnsi="Arial" w:cs="Arial"/>
          <w:b/>
          <w:bCs/>
        </w:rPr>
        <w:t>AgCDs</w:t>
      </w:r>
      <w:proofErr w:type="spellEnd"/>
      <w:r w:rsidRPr="005804B7">
        <w:rPr>
          <w:rFonts w:ascii="Arial" w:hAnsi="Arial" w:cs="Arial"/>
          <w:b/>
          <w:bCs/>
        </w:rPr>
        <w:t>/Au electrode</w:t>
      </w:r>
    </w:p>
    <w:p w14:paraId="0D888B35" w14:textId="77777777" w:rsidR="00AD2108" w:rsidRPr="00AD2108" w:rsidRDefault="00AD2108" w:rsidP="00AD2108">
      <w:pPr>
        <w:pStyle w:val="Body"/>
        <w:spacing w:after="0"/>
        <w:rPr>
          <w:rFonts w:ascii="Arial" w:hAnsi="Arial" w:cs="Arial"/>
          <w:b/>
          <w:bCs/>
        </w:rPr>
      </w:pPr>
    </w:p>
    <w:p w14:paraId="54120493" w14:textId="2B5DBA04" w:rsidR="008223A7" w:rsidRDefault="008223A7" w:rsidP="00AD2108">
      <w:pPr>
        <w:pStyle w:val="Body"/>
        <w:spacing w:after="0"/>
        <w:rPr>
          <w:rFonts w:ascii="Arial" w:hAnsi="Arial" w:cs="Arial"/>
        </w:rPr>
      </w:pPr>
      <w:r w:rsidRPr="008223A7">
        <w:rPr>
          <w:rFonts w:ascii="Arial" w:hAnsi="Arial" w:cs="Arial"/>
        </w:rPr>
        <w:t>The selectivity of the fabricated electrode was rigorously assessed by evaluating the potential interference effects of various species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The experimental findings, summarized in Table 2, reveal that the presence of interfering species—including Cu</w:t>
      </w:r>
      <w:r w:rsidRPr="008223A7">
        <w:rPr>
          <w:rFonts w:ascii="Cambria Math" w:hAnsi="Cambria Math" w:cs="Cambria Math"/>
        </w:rPr>
        <w:t>⁺</w:t>
      </w:r>
      <w:r w:rsidRPr="008223A7">
        <w:rPr>
          <w:rFonts w:ascii="Arial" w:hAnsi="Arial" w:cs="Arial"/>
        </w:rPr>
        <w:t>, Fe</w:t>
      </w:r>
      <w:r w:rsidRPr="008223A7">
        <w:rPr>
          <w:rFonts w:ascii="Cambria Math" w:hAnsi="Cambria Math" w:cs="Cambria Math"/>
        </w:rPr>
        <w:t>⁺</w:t>
      </w:r>
      <w:r w:rsidRPr="008223A7">
        <w:rPr>
          <w:rFonts w:ascii="Arial" w:hAnsi="Arial" w:cs="Arial"/>
        </w:rPr>
        <w:t>, Zn</w:t>
      </w:r>
      <w:r w:rsidRPr="008223A7">
        <w:rPr>
          <w:rFonts w:ascii="Cambria Math" w:hAnsi="Cambria Math" w:cs="Cambria Math"/>
        </w:rPr>
        <w:t>⁺</w:t>
      </w:r>
      <w:r w:rsidRPr="008223A7">
        <w:rPr>
          <w:rFonts w:ascii="Arial" w:hAnsi="Arial" w:cs="Arial"/>
        </w:rPr>
        <w:t xml:space="preserve">, and NaCl at concentrations tenfold higher than that of </w:t>
      </w:r>
      <w:r w:rsidR="00881353" w:rsidRPr="002755E8">
        <w:rPr>
          <w:rFonts w:ascii="Arial" w:hAnsi="Arial" w:cs="Arial"/>
        </w:rPr>
        <w:t>DMAP</w:t>
      </w:r>
      <w:r w:rsidR="00881353">
        <w:rPr>
          <w:rFonts w:ascii="Arial" w:hAnsi="Arial" w:cs="Arial"/>
        </w:rPr>
        <w:t>-HCl</w:t>
      </w:r>
      <w:r w:rsidRPr="008223A7">
        <w:rPr>
          <w:rFonts w:ascii="Arial" w:hAnsi="Arial" w:cs="Arial"/>
        </w:rPr>
        <w:t xml:space="preserve"> (10 ng/mL) exerted only a negligible influence on the </w:t>
      </w:r>
      <w:r w:rsidR="00881353" w:rsidRPr="002755E8">
        <w:rPr>
          <w:rFonts w:ascii="Arial" w:hAnsi="Arial" w:cs="Arial"/>
        </w:rPr>
        <w:t>DMAP</w:t>
      </w:r>
      <w:r w:rsidR="00881353">
        <w:rPr>
          <w:rFonts w:ascii="Arial" w:hAnsi="Arial" w:cs="Arial"/>
        </w:rPr>
        <w:t>-HCl</w:t>
      </w:r>
      <w:r w:rsidRPr="008223A7">
        <w:rPr>
          <w:rFonts w:ascii="Arial" w:hAnsi="Arial" w:cs="Arial"/>
        </w:rPr>
        <w:t xml:space="preserve"> response, with signal variations consistently below 5%. Under these conditions, the recovery rates ranged between 98% and 100%, thereby confirming the electrode’s high selectivity and its suitability for accurate </w:t>
      </w:r>
      <w:r w:rsidR="00881353" w:rsidRPr="002755E8">
        <w:rPr>
          <w:rFonts w:ascii="Arial" w:hAnsi="Arial" w:cs="Arial"/>
        </w:rPr>
        <w:t>DMAP</w:t>
      </w:r>
      <w:r w:rsidR="00881353">
        <w:rPr>
          <w:rFonts w:ascii="Arial" w:hAnsi="Arial" w:cs="Arial"/>
        </w:rPr>
        <w:t>-HCl</w:t>
      </w:r>
      <w:r w:rsidRPr="008223A7">
        <w:rPr>
          <w:rFonts w:ascii="Arial" w:hAnsi="Arial" w:cs="Arial"/>
        </w:rPr>
        <w:t xml:space="preserve"> quantification in complex sample matrices.</w:t>
      </w:r>
    </w:p>
    <w:p w14:paraId="3D14BB87" w14:textId="77777777" w:rsidR="00AD2108" w:rsidRPr="008223A7" w:rsidRDefault="00AD2108" w:rsidP="00AD2108">
      <w:pPr>
        <w:pStyle w:val="Body"/>
        <w:spacing w:after="0"/>
        <w:rPr>
          <w:rFonts w:ascii="Arial" w:hAnsi="Arial" w:cs="Arial"/>
        </w:rPr>
      </w:pPr>
    </w:p>
    <w:p w14:paraId="52465C35" w14:textId="057265C7" w:rsidR="008223A7" w:rsidRPr="005804B7" w:rsidRDefault="008223A7" w:rsidP="005804B7">
      <w:pPr>
        <w:pStyle w:val="Body"/>
        <w:spacing w:after="0"/>
        <w:rPr>
          <w:rFonts w:ascii="Arial" w:hAnsi="Arial" w:cs="Arial"/>
          <w:b/>
          <w:bCs/>
        </w:rPr>
      </w:pPr>
      <w:r w:rsidRPr="005804B7">
        <w:rPr>
          <w:rFonts w:ascii="Arial" w:hAnsi="Arial" w:cs="Arial"/>
          <w:b/>
          <w:bCs/>
        </w:rPr>
        <w:t xml:space="preserve">Table </w:t>
      </w:r>
      <w:r w:rsidR="005804B7" w:rsidRPr="005804B7">
        <w:rPr>
          <w:rFonts w:ascii="Arial" w:hAnsi="Arial" w:cs="Arial"/>
          <w:b/>
          <w:bCs/>
        </w:rPr>
        <w:t>3:</w:t>
      </w:r>
      <w:r w:rsidRPr="005804B7">
        <w:rPr>
          <w:rFonts w:ascii="Arial" w:hAnsi="Arial" w:cs="Arial"/>
          <w:b/>
          <w:bCs/>
        </w:rPr>
        <w:t xml:space="preserve"> Recovery rate of 10 ng/mL DMAP</w:t>
      </w:r>
      <w:r w:rsidR="00881353">
        <w:rPr>
          <w:rFonts w:ascii="Arial" w:hAnsi="Arial" w:cs="Arial"/>
          <w:b/>
          <w:bCs/>
        </w:rPr>
        <w:t>-HCl</w:t>
      </w:r>
      <w:r w:rsidRPr="005804B7">
        <w:rPr>
          <w:rFonts w:ascii="Arial" w:hAnsi="Arial" w:cs="Arial"/>
          <w:b/>
          <w:bCs/>
        </w:rPr>
        <w:t xml:space="preserve"> in the presence of 100 ng/mL of the selected interfering compounds (n=3).</w:t>
      </w:r>
    </w:p>
    <w:p w14:paraId="060CEB49" w14:textId="77777777" w:rsidR="005804B7" w:rsidRDefault="005804B7" w:rsidP="005804B7">
      <w:pPr>
        <w:pStyle w:val="Body"/>
        <w:spacing w:after="0"/>
        <w:rPr>
          <w:rFonts w:ascii="Arial" w:hAnsi="Arial" w:cs="Arial"/>
        </w:rPr>
      </w:pPr>
    </w:p>
    <w:tbl>
      <w:tblPr>
        <w:tblStyle w:val="ListTable6Colorful"/>
        <w:tblW w:w="0" w:type="auto"/>
        <w:jc w:val="center"/>
        <w:shd w:val="clear" w:color="auto" w:fill="FFFFFF" w:themeFill="background1"/>
        <w:tblLook w:val="04A0" w:firstRow="1" w:lastRow="0" w:firstColumn="1" w:lastColumn="0" w:noHBand="0" w:noVBand="1"/>
      </w:tblPr>
      <w:tblGrid>
        <w:gridCol w:w="1331"/>
        <w:gridCol w:w="1205"/>
        <w:gridCol w:w="1252"/>
        <w:gridCol w:w="1599"/>
      </w:tblGrid>
      <w:tr w:rsidR="000701B2" w:rsidRPr="00B22627" w14:paraId="6B6A1619"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tcBorders>
              <w:bottom w:val="none" w:sz="0" w:space="0" w:color="auto"/>
            </w:tcBorders>
            <w:shd w:val="clear" w:color="auto" w:fill="FFFFFF" w:themeFill="background1"/>
          </w:tcPr>
          <w:p w14:paraId="1087F6CB"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rPr>
              <w:t>Compounds</w:t>
            </w:r>
          </w:p>
        </w:tc>
        <w:tc>
          <w:tcPr>
            <w:tcW w:w="1205" w:type="dxa"/>
            <w:tcBorders>
              <w:bottom w:val="none" w:sz="0" w:space="0" w:color="auto"/>
            </w:tcBorders>
            <w:shd w:val="clear" w:color="auto" w:fill="FFFFFF" w:themeFill="background1"/>
          </w:tcPr>
          <w:p w14:paraId="4B137774"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C(</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a</w:t>
            </w:r>
            <w:proofErr w:type="gramEnd"/>
          </w:p>
        </w:tc>
        <w:tc>
          <w:tcPr>
            <w:tcW w:w="1252" w:type="dxa"/>
            <w:tcBorders>
              <w:bottom w:val="none" w:sz="0" w:space="0" w:color="auto"/>
            </w:tcBorders>
            <w:shd w:val="clear" w:color="auto" w:fill="FFFFFF" w:themeFill="background1"/>
          </w:tcPr>
          <w:p w14:paraId="44DA6F56"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C(</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)b</w:t>
            </w:r>
            <w:proofErr w:type="gramEnd"/>
          </w:p>
        </w:tc>
        <w:tc>
          <w:tcPr>
            <w:tcW w:w="1599" w:type="dxa"/>
            <w:tcBorders>
              <w:bottom w:val="none" w:sz="0" w:space="0" w:color="auto"/>
            </w:tcBorders>
            <w:shd w:val="clear" w:color="auto" w:fill="FFFFFF" w:themeFill="background1"/>
          </w:tcPr>
          <w:p w14:paraId="0AEE1A0D"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rPr>
              <w:t>Recoverey</w:t>
            </w:r>
            <w:proofErr w:type="spellEnd"/>
            <w:r w:rsidRPr="00B22627">
              <w:rPr>
                <w:rFonts w:ascii="Times New Roman" w:hAnsi="Times New Roman" w:cs="Times New Roman"/>
                <w:b w:val="0"/>
                <w:lang w:val="fr-FR"/>
              </w:rPr>
              <w:t xml:space="preserve"> (%)</w:t>
            </w:r>
          </w:p>
        </w:tc>
      </w:tr>
      <w:tr w:rsidR="000701B2" w:rsidRPr="00B22627" w14:paraId="3972DEFD"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5FDEB1D2" w14:textId="77777777" w:rsidR="000701B2" w:rsidRPr="00B22627" w:rsidRDefault="000701B2" w:rsidP="000C6AEC">
            <w:pPr>
              <w:spacing w:line="360" w:lineRule="auto"/>
              <w:jc w:val="both"/>
              <w:rPr>
                <w:rFonts w:ascii="Times New Roman" w:hAnsi="Times New Roman" w:cs="Times New Roman"/>
                <w:b w:val="0"/>
                <w:lang w:val="fr-FR"/>
              </w:rPr>
            </w:pPr>
            <w:proofErr w:type="gramStart"/>
            <w:r w:rsidRPr="00B22627">
              <w:rPr>
                <w:rFonts w:ascii="Times New Roman" w:hAnsi="Times New Roman" w:cs="Times New Roman"/>
                <w:b w:val="0"/>
                <w:lang w:val="fr-FR"/>
              </w:rPr>
              <w:t>p</w:t>
            </w:r>
            <w:proofErr w:type="gramEnd"/>
            <w:r w:rsidRPr="00B22627">
              <w:rPr>
                <w:rFonts w:ascii="Times New Roman" w:hAnsi="Times New Roman" w:cs="Times New Roman"/>
                <w:b w:val="0"/>
                <w:lang w:val="fr-FR"/>
              </w:rPr>
              <w:t>-DAP</w:t>
            </w:r>
          </w:p>
        </w:tc>
        <w:tc>
          <w:tcPr>
            <w:tcW w:w="1205" w:type="dxa"/>
            <w:shd w:val="clear" w:color="auto" w:fill="FFFFFF" w:themeFill="background1"/>
          </w:tcPr>
          <w:p w14:paraId="7D589F2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4BDD86A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Pr>
                <w:rFonts w:ascii="Times New Roman" w:hAnsi="Times New Roman" w:cs="Times New Roman"/>
                <w:lang w:val="fr-FR"/>
              </w:rPr>
              <w:t>10</w:t>
            </w:r>
          </w:p>
        </w:tc>
        <w:tc>
          <w:tcPr>
            <w:tcW w:w="1599" w:type="dxa"/>
            <w:shd w:val="clear" w:color="auto" w:fill="FFFFFF" w:themeFill="background1"/>
          </w:tcPr>
          <w:p w14:paraId="0C83DAF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Pr>
                <w:rFonts w:ascii="Times New Roman" w:hAnsi="Times New Roman" w:cs="Times New Roman"/>
                <w:lang w:val="fr-FR"/>
              </w:rPr>
              <w:t>100</w:t>
            </w:r>
          </w:p>
        </w:tc>
      </w:tr>
      <w:tr w:rsidR="000701B2" w:rsidRPr="00B22627" w14:paraId="50AD30A3"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06E1536D"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CuSO</w:t>
            </w:r>
            <w:r w:rsidRPr="00B22627">
              <w:rPr>
                <w:rFonts w:ascii="Times New Roman" w:hAnsi="Times New Roman" w:cs="Times New Roman"/>
                <w:b w:val="0"/>
                <w:vertAlign w:val="subscript"/>
                <w:lang w:val="fr-FR"/>
              </w:rPr>
              <w:t>4</w:t>
            </w:r>
          </w:p>
        </w:tc>
        <w:tc>
          <w:tcPr>
            <w:tcW w:w="1205" w:type="dxa"/>
            <w:shd w:val="clear" w:color="auto" w:fill="FFFFFF" w:themeFill="background1"/>
          </w:tcPr>
          <w:p w14:paraId="0D4A22F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702C113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6</w:t>
            </w:r>
          </w:p>
        </w:tc>
        <w:tc>
          <w:tcPr>
            <w:tcW w:w="1599" w:type="dxa"/>
            <w:shd w:val="clear" w:color="auto" w:fill="FFFFFF" w:themeFill="background1"/>
          </w:tcPr>
          <w:p w14:paraId="659CEFE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6</w:t>
            </w:r>
          </w:p>
        </w:tc>
      </w:tr>
      <w:tr w:rsidR="000701B2" w:rsidRPr="00B22627" w14:paraId="4F297791"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1F2FB961"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FeSO</w:t>
            </w:r>
            <w:r w:rsidRPr="00B22627">
              <w:rPr>
                <w:rFonts w:ascii="Times New Roman" w:hAnsi="Times New Roman" w:cs="Times New Roman"/>
                <w:b w:val="0"/>
                <w:vertAlign w:val="subscript"/>
                <w:lang w:val="fr-FR"/>
              </w:rPr>
              <w:t>4</w:t>
            </w:r>
          </w:p>
        </w:tc>
        <w:tc>
          <w:tcPr>
            <w:tcW w:w="1205" w:type="dxa"/>
            <w:shd w:val="clear" w:color="auto" w:fill="FFFFFF" w:themeFill="background1"/>
          </w:tcPr>
          <w:p w14:paraId="04E781C1"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40696F7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w:t>
            </w:r>
          </w:p>
        </w:tc>
        <w:tc>
          <w:tcPr>
            <w:tcW w:w="1599" w:type="dxa"/>
            <w:shd w:val="clear" w:color="auto" w:fill="FFFFFF" w:themeFill="background1"/>
          </w:tcPr>
          <w:p w14:paraId="27E6752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w:t>
            </w:r>
          </w:p>
        </w:tc>
      </w:tr>
      <w:tr w:rsidR="000701B2" w:rsidRPr="00B22627" w14:paraId="5AD2C966"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04DCCF12" w14:textId="77777777" w:rsidR="000701B2" w:rsidRPr="00B22627" w:rsidRDefault="000701B2" w:rsidP="000C6AEC">
            <w:pPr>
              <w:spacing w:line="360" w:lineRule="auto"/>
              <w:jc w:val="both"/>
              <w:rPr>
                <w:rFonts w:ascii="Times New Roman" w:hAnsi="Times New Roman" w:cs="Times New Roman"/>
                <w:b w:val="0"/>
                <w:lang w:val="fr-FR"/>
              </w:rPr>
            </w:pPr>
            <w:proofErr w:type="gramStart"/>
            <w:r w:rsidRPr="00B22627">
              <w:rPr>
                <w:rFonts w:ascii="Times New Roman" w:hAnsi="Times New Roman" w:cs="Times New Roman"/>
                <w:b w:val="0"/>
                <w:lang w:val="fr-FR"/>
              </w:rPr>
              <w:t>Zn(</w:t>
            </w:r>
            <w:proofErr w:type="gramEnd"/>
            <w:r w:rsidRPr="00B22627">
              <w:rPr>
                <w:rFonts w:ascii="Times New Roman" w:hAnsi="Times New Roman" w:cs="Times New Roman"/>
                <w:b w:val="0"/>
                <w:lang w:val="fr-FR"/>
              </w:rPr>
              <w:t>NO</w:t>
            </w:r>
            <w:r w:rsidRPr="00B22627">
              <w:rPr>
                <w:rFonts w:ascii="Times New Roman" w:hAnsi="Times New Roman" w:cs="Times New Roman"/>
                <w:b w:val="0"/>
                <w:vertAlign w:val="subscript"/>
                <w:lang w:val="fr-FR"/>
              </w:rPr>
              <w:t>3</w:t>
            </w:r>
            <w:r w:rsidRPr="00B22627">
              <w:rPr>
                <w:rFonts w:ascii="Times New Roman" w:hAnsi="Times New Roman" w:cs="Times New Roman"/>
                <w:b w:val="0"/>
                <w:lang w:val="fr-FR"/>
              </w:rPr>
              <w:t>)</w:t>
            </w:r>
            <w:r w:rsidRPr="00B22627">
              <w:rPr>
                <w:rFonts w:ascii="Times New Roman" w:hAnsi="Times New Roman" w:cs="Times New Roman"/>
                <w:b w:val="0"/>
                <w:vertAlign w:val="subscript"/>
                <w:lang w:val="fr-FR"/>
              </w:rPr>
              <w:t>2</w:t>
            </w:r>
          </w:p>
        </w:tc>
        <w:tc>
          <w:tcPr>
            <w:tcW w:w="1205" w:type="dxa"/>
            <w:shd w:val="clear" w:color="auto" w:fill="FFFFFF" w:themeFill="background1"/>
          </w:tcPr>
          <w:p w14:paraId="26008D6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7E3D742B"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1</w:t>
            </w:r>
          </w:p>
        </w:tc>
        <w:tc>
          <w:tcPr>
            <w:tcW w:w="1599" w:type="dxa"/>
            <w:shd w:val="clear" w:color="auto" w:fill="FFFFFF" w:themeFill="background1"/>
          </w:tcPr>
          <w:p w14:paraId="169E87F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1</w:t>
            </w:r>
          </w:p>
        </w:tc>
      </w:tr>
      <w:tr w:rsidR="000701B2" w:rsidRPr="00B22627" w14:paraId="5477C317"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63853082"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NaCl</w:t>
            </w:r>
          </w:p>
        </w:tc>
        <w:tc>
          <w:tcPr>
            <w:tcW w:w="1205" w:type="dxa"/>
            <w:shd w:val="clear" w:color="auto" w:fill="FFFFFF" w:themeFill="background1"/>
          </w:tcPr>
          <w:p w14:paraId="07A2DEFF"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0E51821B"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w:t>
            </w:r>
            <w:r>
              <w:rPr>
                <w:rFonts w:ascii="Times New Roman" w:hAnsi="Times New Roman" w:cs="Times New Roman"/>
                <w:lang w:val="fr-FR"/>
              </w:rPr>
              <w:t>9</w:t>
            </w:r>
          </w:p>
        </w:tc>
        <w:tc>
          <w:tcPr>
            <w:tcW w:w="1599" w:type="dxa"/>
            <w:shd w:val="clear" w:color="auto" w:fill="FFFFFF" w:themeFill="background1"/>
          </w:tcPr>
          <w:p w14:paraId="67F8F264"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w:t>
            </w:r>
            <w:r>
              <w:rPr>
                <w:rFonts w:ascii="Times New Roman" w:hAnsi="Times New Roman" w:cs="Times New Roman"/>
                <w:lang w:val="fr-FR"/>
              </w:rPr>
              <w:t>9</w:t>
            </w:r>
          </w:p>
        </w:tc>
      </w:tr>
    </w:tbl>
    <w:p w14:paraId="6FC1B825" w14:textId="23F9182A" w:rsidR="000701B2" w:rsidRPr="00E81BCA" w:rsidRDefault="00E81BCA" w:rsidP="00E81BCA">
      <w:pPr>
        <w:spacing w:line="360" w:lineRule="auto"/>
        <w:jc w:val="both"/>
        <w:rPr>
          <w:rFonts w:ascii="Arial" w:hAnsi="Arial" w:cs="Arial"/>
          <w:i/>
          <w:iCs/>
          <w:sz w:val="18"/>
          <w:szCs w:val="18"/>
        </w:rPr>
      </w:pPr>
      <w:r w:rsidRPr="00E81BCA">
        <w:rPr>
          <w:rFonts w:ascii="Arial" w:hAnsi="Arial" w:cs="Arial"/>
          <w:i/>
          <w:iCs/>
          <w:sz w:val="18"/>
          <w:szCs w:val="18"/>
        </w:rPr>
        <w:t>C</w:t>
      </w:r>
      <w:r w:rsidRPr="00E81BCA">
        <w:rPr>
          <w:rFonts w:ascii="Arial" w:hAnsi="Arial" w:cs="Arial"/>
          <w:i/>
          <w:iCs/>
          <w:sz w:val="18"/>
          <w:szCs w:val="18"/>
          <w:vertAlign w:val="superscript"/>
        </w:rPr>
        <w:t>a</w:t>
      </w:r>
      <w:r w:rsidRPr="00E81BCA">
        <w:rPr>
          <w:rFonts w:ascii="Arial" w:hAnsi="Arial" w:cs="Arial"/>
          <w:i/>
          <w:iCs/>
          <w:sz w:val="18"/>
          <w:szCs w:val="18"/>
        </w:rPr>
        <w:t xml:space="preserve">: Concentration added. </w:t>
      </w:r>
      <w:proofErr w:type="spellStart"/>
      <w:r w:rsidRPr="00E81BCA">
        <w:rPr>
          <w:rFonts w:ascii="Arial" w:hAnsi="Arial" w:cs="Arial"/>
          <w:i/>
          <w:iCs/>
          <w:sz w:val="18"/>
          <w:szCs w:val="18"/>
        </w:rPr>
        <w:t>C</w:t>
      </w:r>
      <w:r w:rsidRPr="00E81BCA">
        <w:rPr>
          <w:rFonts w:ascii="Arial" w:hAnsi="Arial" w:cs="Arial"/>
          <w:i/>
          <w:iCs/>
          <w:sz w:val="18"/>
          <w:szCs w:val="18"/>
          <w:vertAlign w:val="superscript"/>
        </w:rPr>
        <w:t>b</w:t>
      </w:r>
      <w:proofErr w:type="spellEnd"/>
      <w:r w:rsidRPr="00E81BCA">
        <w:rPr>
          <w:rFonts w:ascii="Arial" w:hAnsi="Arial" w:cs="Arial"/>
          <w:i/>
          <w:iCs/>
          <w:sz w:val="18"/>
          <w:szCs w:val="18"/>
        </w:rPr>
        <w:t>: Concentration found.</w:t>
      </w:r>
    </w:p>
    <w:p w14:paraId="2620CF50" w14:textId="77777777" w:rsidR="00E81BCA" w:rsidRPr="00E81BCA" w:rsidRDefault="00E81BCA" w:rsidP="00E81BCA">
      <w:pPr>
        <w:spacing w:line="360" w:lineRule="auto"/>
        <w:jc w:val="both"/>
        <w:rPr>
          <w:rFonts w:ascii="Arial" w:hAnsi="Arial" w:cs="Arial"/>
          <w:sz w:val="18"/>
          <w:szCs w:val="18"/>
        </w:rPr>
      </w:pPr>
    </w:p>
    <w:p w14:paraId="2CF6CE14" w14:textId="77777777" w:rsidR="008223A7" w:rsidRPr="004E5518" w:rsidRDefault="008223A7" w:rsidP="005804B7">
      <w:pPr>
        <w:pStyle w:val="Body"/>
        <w:spacing w:after="0"/>
        <w:rPr>
          <w:rFonts w:ascii="Arial" w:hAnsi="Arial" w:cs="Arial"/>
          <w:b/>
          <w:bCs/>
          <w:sz w:val="22"/>
          <w:szCs w:val="22"/>
        </w:rPr>
      </w:pPr>
      <w:r w:rsidRPr="004E5518">
        <w:rPr>
          <w:rFonts w:ascii="Arial" w:hAnsi="Arial" w:cs="Arial"/>
          <w:b/>
          <w:bCs/>
          <w:sz w:val="22"/>
          <w:szCs w:val="22"/>
        </w:rPr>
        <w:t>3.8.</w:t>
      </w:r>
      <w:r w:rsidRPr="004E5518">
        <w:rPr>
          <w:rFonts w:ascii="Arial" w:hAnsi="Arial" w:cs="Arial"/>
          <w:b/>
          <w:bCs/>
          <w:sz w:val="22"/>
          <w:szCs w:val="22"/>
        </w:rPr>
        <w:tab/>
        <w:t>Reusability and stability of the manufactured electrochemical</w:t>
      </w:r>
    </w:p>
    <w:p w14:paraId="134CB16E" w14:textId="75CAD74C" w:rsidR="008223A7" w:rsidRPr="008223A7" w:rsidRDefault="008223A7" w:rsidP="005804B7">
      <w:pPr>
        <w:pStyle w:val="Body"/>
        <w:spacing w:after="0"/>
        <w:rPr>
          <w:rFonts w:ascii="Arial" w:hAnsi="Arial" w:cs="Arial"/>
        </w:rPr>
      </w:pPr>
      <w:r w:rsidRPr="008223A7">
        <w:rPr>
          <w:rFonts w:ascii="Arial" w:hAnsi="Arial" w:cs="Arial"/>
        </w:rPr>
        <w:lastRenderedPageBreak/>
        <w:t xml:space="preserve">The long-term stability and reusability of the </w:t>
      </w:r>
      <w:proofErr w:type="spellStart"/>
      <w:r w:rsidRPr="008223A7">
        <w:rPr>
          <w:rFonts w:ascii="Arial" w:hAnsi="Arial" w:cs="Arial"/>
        </w:rPr>
        <w:t>AgCDs</w:t>
      </w:r>
      <w:proofErr w:type="spellEnd"/>
      <w:r w:rsidRPr="008223A7">
        <w:rPr>
          <w:rFonts w:ascii="Arial" w:hAnsi="Arial" w:cs="Arial"/>
        </w:rPr>
        <w:t>/Au electrode were comprehensively evaluated over a 10-day period, with 10 successive cyclic voltammetry (CV) cycles performed daily in a 10</w:t>
      </w:r>
      <w:r w:rsidRPr="008223A7">
        <w:rPr>
          <w:rFonts w:ascii="Cambria Math" w:hAnsi="Cambria Math" w:cs="Cambria Math"/>
        </w:rPr>
        <w:t>⁻</w:t>
      </w:r>
      <w:r w:rsidRPr="008223A7">
        <w:rPr>
          <w:rFonts w:ascii="Arial" w:hAnsi="Arial" w:cs="Arial"/>
        </w:rPr>
        <w:t xml:space="preserve">⁶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As illustrated in Figure </w:t>
      </w:r>
      <w:r w:rsidR="00E81BCA">
        <w:rPr>
          <w:rFonts w:ascii="Arial" w:hAnsi="Arial" w:cs="Arial"/>
        </w:rPr>
        <w:t>8</w:t>
      </w:r>
      <w:r w:rsidRPr="008223A7">
        <w:rPr>
          <w:rFonts w:ascii="Arial" w:hAnsi="Arial" w:cs="Arial"/>
        </w:rPr>
        <w:t xml:space="preserve">, the oxidation peak current for DMAP exhibited no significant variation in either intensity or CV profile, thereby demonstrating the electrode’s remarkable stability under repeated use. For the reusability assessment, the same </w:t>
      </w:r>
      <w:proofErr w:type="spellStart"/>
      <w:r w:rsidRPr="008223A7">
        <w:rPr>
          <w:rFonts w:ascii="Arial" w:hAnsi="Arial" w:cs="Arial"/>
        </w:rPr>
        <w:t>AgCDs</w:t>
      </w:r>
      <w:proofErr w:type="spellEnd"/>
      <w:r w:rsidRPr="008223A7">
        <w:rPr>
          <w:rFonts w:ascii="Arial" w:hAnsi="Arial" w:cs="Arial"/>
        </w:rPr>
        <w:t xml:space="preserve">/Au electrode was employed for 10 consecutive days in freshly prepared solutions containing a constant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 (three parallel experiments). Following each use, the electrode was thoroughly rinsed with water and ethanol, then dried at room temperature. The results, presented in Table 3, reveal that no significant decline in recovery rate was observed over the 10-day period, with the relative standard deviation (RSD) remaining below 10%. These findings collectively indicate that the </w:t>
      </w:r>
      <w:proofErr w:type="spellStart"/>
      <w:r w:rsidRPr="008223A7">
        <w:rPr>
          <w:rFonts w:ascii="Arial" w:hAnsi="Arial" w:cs="Arial"/>
        </w:rPr>
        <w:t>AgCDs</w:t>
      </w:r>
      <w:proofErr w:type="spellEnd"/>
      <w:r w:rsidRPr="008223A7">
        <w:rPr>
          <w:rFonts w:ascii="Arial" w:hAnsi="Arial" w:cs="Arial"/>
        </w:rPr>
        <w:t xml:space="preserve">/Au electrode maintains its analytical performance and can be reliably reused over multiple days, making it a robust and cost-effective tool for </w:t>
      </w:r>
      <w:r w:rsidR="00881353" w:rsidRPr="002755E8">
        <w:rPr>
          <w:rFonts w:ascii="Arial" w:hAnsi="Arial" w:cs="Arial"/>
        </w:rPr>
        <w:t>DMAP</w:t>
      </w:r>
      <w:r w:rsidR="00881353">
        <w:rPr>
          <w:rFonts w:ascii="Arial" w:hAnsi="Arial" w:cs="Arial"/>
        </w:rPr>
        <w:t>-HCl</w:t>
      </w:r>
      <w:r w:rsidRPr="008223A7">
        <w:rPr>
          <w:rFonts w:ascii="Arial" w:hAnsi="Arial" w:cs="Arial"/>
        </w:rPr>
        <w:t xml:space="preserve"> detection.</w:t>
      </w:r>
    </w:p>
    <w:p w14:paraId="6651E279" w14:textId="0B9778D1" w:rsidR="000701B2" w:rsidRDefault="000701B2" w:rsidP="00E81BCA">
      <w:pPr>
        <w:pStyle w:val="Body"/>
        <w:spacing w:after="0"/>
        <w:jc w:val="center"/>
        <w:rPr>
          <w:rFonts w:ascii="Arial" w:hAnsi="Arial" w:cs="Arial"/>
        </w:rPr>
      </w:pPr>
      <w:r w:rsidRPr="005804B7">
        <w:rPr>
          <w:rFonts w:ascii="Arial" w:hAnsi="Arial" w:cs="Arial"/>
          <w:noProof/>
        </w:rPr>
        <w:drawing>
          <wp:inline distT="0" distB="0" distL="0" distR="0" wp14:anchorId="4D589F10" wp14:editId="5BDAF683">
            <wp:extent cx="2880000" cy="2200889"/>
            <wp:effectExtent l="0" t="0" r="0" b="9525"/>
            <wp:docPr id="7" name="Image 7" descr="C:\Users\Etudiant\Desktop\adobevmvlmb\cycle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tudiant\Desktop\adobevmvlmb\cycledmap.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2200889"/>
                    </a:xfrm>
                    <a:prstGeom prst="rect">
                      <a:avLst/>
                    </a:prstGeom>
                    <a:noFill/>
                    <a:ln>
                      <a:noFill/>
                    </a:ln>
                  </pic:spPr>
                </pic:pic>
              </a:graphicData>
            </a:graphic>
          </wp:inline>
        </w:drawing>
      </w:r>
    </w:p>
    <w:p w14:paraId="4D02AC16" w14:textId="2A38F140" w:rsidR="00E81BCA" w:rsidRDefault="00E81BCA" w:rsidP="00E81BCA">
      <w:pPr>
        <w:spacing w:line="360" w:lineRule="auto"/>
        <w:jc w:val="center"/>
        <w:rPr>
          <w:rFonts w:ascii="Arial" w:hAnsi="Arial" w:cs="Arial"/>
          <w:b/>
          <w:iCs/>
        </w:rPr>
      </w:pPr>
      <w:r w:rsidRPr="00E81BCA">
        <w:rPr>
          <w:rFonts w:ascii="Arial" w:hAnsi="Arial" w:cs="Arial"/>
          <w:b/>
          <w:iCs/>
        </w:rPr>
        <w:t>Fig.</w:t>
      </w:r>
      <w:r>
        <w:rPr>
          <w:rFonts w:ascii="Arial" w:hAnsi="Arial" w:cs="Arial"/>
          <w:b/>
          <w:iCs/>
        </w:rPr>
        <w:t xml:space="preserve"> 8</w:t>
      </w:r>
      <w:r w:rsidRPr="00E81BCA">
        <w:rPr>
          <w:rFonts w:ascii="Arial" w:hAnsi="Arial" w:cs="Arial"/>
          <w:b/>
          <w:iCs/>
        </w:rPr>
        <w:t xml:space="preserve">: Stability study of the </w:t>
      </w:r>
      <w:proofErr w:type="spellStart"/>
      <w:r w:rsidRPr="00E81BCA">
        <w:rPr>
          <w:rFonts w:ascii="Arial" w:hAnsi="Arial" w:cs="Arial"/>
          <w:b/>
          <w:iCs/>
        </w:rPr>
        <w:t>AgCDs</w:t>
      </w:r>
      <w:proofErr w:type="spellEnd"/>
      <w:r w:rsidRPr="00E81BCA">
        <w:rPr>
          <w:rFonts w:ascii="Arial" w:hAnsi="Arial" w:cs="Arial"/>
          <w:b/>
          <w:iCs/>
        </w:rPr>
        <w:t>/Au</w:t>
      </w:r>
    </w:p>
    <w:p w14:paraId="4D7D27F4" w14:textId="77777777" w:rsidR="00E81BCA" w:rsidRPr="00E81BCA" w:rsidRDefault="00E81BCA" w:rsidP="00E81BCA">
      <w:pPr>
        <w:spacing w:line="360" w:lineRule="auto"/>
        <w:jc w:val="center"/>
        <w:rPr>
          <w:rFonts w:ascii="Arial" w:hAnsi="Arial" w:cs="Arial"/>
          <w:b/>
          <w:iCs/>
        </w:rPr>
      </w:pPr>
    </w:p>
    <w:p w14:paraId="20FCCAB0" w14:textId="2829A2F9" w:rsidR="008223A7" w:rsidRDefault="008223A7" w:rsidP="005804B7">
      <w:pPr>
        <w:pStyle w:val="Body"/>
        <w:spacing w:after="0"/>
        <w:rPr>
          <w:rFonts w:ascii="Arial" w:hAnsi="Arial" w:cs="Arial"/>
          <w:b/>
          <w:bCs/>
        </w:rPr>
      </w:pPr>
      <w:r w:rsidRPr="005804B7">
        <w:rPr>
          <w:rFonts w:ascii="Arial" w:hAnsi="Arial" w:cs="Arial"/>
          <w:b/>
          <w:bCs/>
        </w:rPr>
        <w:t xml:space="preserve">Table 4: Stability of the </w:t>
      </w:r>
      <w:proofErr w:type="spellStart"/>
      <w:r w:rsidRPr="005804B7">
        <w:rPr>
          <w:rFonts w:ascii="Arial" w:hAnsi="Arial" w:cs="Arial"/>
          <w:b/>
          <w:bCs/>
        </w:rPr>
        <w:t>AgCDs</w:t>
      </w:r>
      <w:proofErr w:type="spellEnd"/>
      <w:r w:rsidRPr="005804B7">
        <w:rPr>
          <w:rFonts w:ascii="Arial" w:hAnsi="Arial" w:cs="Arial"/>
          <w:b/>
          <w:bCs/>
        </w:rPr>
        <w:t>/Au electrode.</w:t>
      </w:r>
    </w:p>
    <w:p w14:paraId="605DE546" w14:textId="77777777" w:rsidR="005804B7" w:rsidRPr="005804B7" w:rsidRDefault="005804B7" w:rsidP="005804B7">
      <w:pPr>
        <w:pStyle w:val="Body"/>
        <w:spacing w:after="0"/>
        <w:rPr>
          <w:rFonts w:ascii="Arial" w:hAnsi="Arial" w:cs="Arial"/>
          <w:b/>
          <w:bCs/>
        </w:rPr>
      </w:pPr>
    </w:p>
    <w:tbl>
      <w:tblPr>
        <w:tblStyle w:val="ListTable6Colorful"/>
        <w:tblW w:w="0" w:type="auto"/>
        <w:jc w:val="center"/>
        <w:shd w:val="clear" w:color="auto" w:fill="FFFFFF" w:themeFill="background1"/>
        <w:tblLook w:val="04A0" w:firstRow="1" w:lastRow="0" w:firstColumn="1" w:lastColumn="0" w:noHBand="0" w:noVBand="1"/>
      </w:tblPr>
      <w:tblGrid>
        <w:gridCol w:w="1211"/>
        <w:gridCol w:w="1199"/>
        <w:gridCol w:w="1134"/>
        <w:gridCol w:w="1134"/>
        <w:gridCol w:w="1134"/>
      </w:tblGrid>
      <w:tr w:rsidR="000701B2" w:rsidRPr="00B22627" w14:paraId="13EBD0A2"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16C8521" w14:textId="77777777" w:rsidR="000701B2" w:rsidRPr="00B22627" w:rsidRDefault="000701B2" w:rsidP="000C6AEC">
            <w:pPr>
              <w:tabs>
                <w:tab w:val="left" w:pos="1170"/>
              </w:tabs>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Day</w:t>
            </w:r>
            <w:r w:rsidRPr="00B22627">
              <w:rPr>
                <w:rFonts w:ascii="Times New Roman" w:hAnsi="Times New Roman" w:cs="Times New Roman"/>
                <w:b w:val="0"/>
                <w:lang w:val="fr-FR"/>
              </w:rPr>
              <w:tab/>
            </w:r>
          </w:p>
        </w:tc>
        <w:tc>
          <w:tcPr>
            <w:tcW w:w="1199" w:type="dxa"/>
            <w:shd w:val="clear" w:color="auto" w:fill="FFFFFF" w:themeFill="background1"/>
          </w:tcPr>
          <w:p w14:paraId="6B3C4A15"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proofErr w:type="gramStart"/>
            <w:r w:rsidRPr="00B22627">
              <w:rPr>
                <w:rFonts w:ascii="Times New Roman" w:hAnsi="Times New Roman" w:cs="Times New Roman"/>
                <w:b w:val="0"/>
                <w:lang w:val="fr-FR"/>
              </w:rPr>
              <w:t>added</w:t>
            </w:r>
            <w:proofErr w:type="spellEnd"/>
            <w:proofErr w:type="gramEnd"/>
            <w:r w:rsidRPr="00B22627">
              <w:rPr>
                <w:rFonts w:ascii="Times New Roman" w:hAnsi="Times New Roman" w:cs="Times New Roman"/>
                <w:b w:val="0"/>
                <w:lang w:val="fr-FR"/>
              </w:rPr>
              <w:t xml:space="preserve"> (</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a</w:t>
            </w:r>
          </w:p>
        </w:tc>
        <w:tc>
          <w:tcPr>
            <w:tcW w:w="1134" w:type="dxa"/>
            <w:shd w:val="clear" w:color="auto" w:fill="FFFFFF" w:themeFill="background1"/>
          </w:tcPr>
          <w:p w14:paraId="02F2F4A7"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lang w:val="fr-FR"/>
              </w:rPr>
              <w:t>Found</w:t>
            </w:r>
            <w:proofErr w:type="spellEnd"/>
            <w:r w:rsidRPr="00B22627">
              <w:rPr>
                <w:rFonts w:ascii="Times New Roman" w:hAnsi="Times New Roman" w:cs="Times New Roman"/>
                <w:b w:val="0"/>
                <w:lang w:val="fr-FR"/>
              </w:rPr>
              <w:t xml:space="preserve"> (</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b</w:t>
            </w:r>
            <w:proofErr w:type="gramEnd"/>
          </w:p>
        </w:tc>
        <w:tc>
          <w:tcPr>
            <w:tcW w:w="1134" w:type="dxa"/>
            <w:shd w:val="clear" w:color="auto" w:fill="FFFFFF" w:themeFill="background1"/>
          </w:tcPr>
          <w:p w14:paraId="3DA0693C"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lang w:val="fr-FR"/>
              </w:rPr>
              <w:t>Recovery</w:t>
            </w:r>
            <w:proofErr w:type="spellEnd"/>
            <w:r w:rsidRPr="00B22627">
              <w:rPr>
                <w:rFonts w:ascii="Times New Roman" w:hAnsi="Times New Roman" w:cs="Times New Roman"/>
                <w:b w:val="0"/>
                <w:lang w:val="fr-FR"/>
              </w:rPr>
              <w:t xml:space="preserve"> (%)</w:t>
            </w:r>
          </w:p>
        </w:tc>
        <w:tc>
          <w:tcPr>
            <w:tcW w:w="1134" w:type="dxa"/>
            <w:shd w:val="clear" w:color="auto" w:fill="FFFFFF" w:themeFill="background1"/>
          </w:tcPr>
          <w:p w14:paraId="4DF1EFFA"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RSD (%)</w:t>
            </w:r>
          </w:p>
          <w:p w14:paraId="559017BF"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w:t>
            </w:r>
            <w:proofErr w:type="gramStart"/>
            <w:r w:rsidRPr="00B22627">
              <w:rPr>
                <w:rFonts w:ascii="Times New Roman" w:hAnsi="Times New Roman" w:cs="Times New Roman"/>
                <w:b w:val="0"/>
                <w:lang w:val="fr-FR"/>
              </w:rPr>
              <w:t>n</w:t>
            </w:r>
            <w:proofErr w:type="gramEnd"/>
            <w:r w:rsidRPr="00B22627">
              <w:rPr>
                <w:rFonts w:ascii="Times New Roman" w:hAnsi="Times New Roman" w:cs="Times New Roman"/>
                <w:b w:val="0"/>
                <w:lang w:val="fr-FR"/>
              </w:rPr>
              <w:t>=3)</w:t>
            </w:r>
          </w:p>
        </w:tc>
      </w:tr>
      <w:tr w:rsidR="000701B2" w:rsidRPr="00B22627" w14:paraId="208ABA5E"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58AF8CF3"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01</w:t>
            </w:r>
          </w:p>
        </w:tc>
        <w:tc>
          <w:tcPr>
            <w:tcW w:w="1199" w:type="dxa"/>
            <w:shd w:val="clear" w:color="auto" w:fill="FFFFFF" w:themeFill="background1"/>
          </w:tcPr>
          <w:p w14:paraId="61BF25A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7D14A6FF"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w:t>
            </w:r>
            <w:r>
              <w:rPr>
                <w:rFonts w:ascii="Times New Roman" w:hAnsi="Times New Roman" w:cs="Times New Roman"/>
                <w:lang w:val="fr-FR"/>
              </w:rPr>
              <w:t>9</w:t>
            </w:r>
          </w:p>
        </w:tc>
        <w:tc>
          <w:tcPr>
            <w:tcW w:w="1134" w:type="dxa"/>
            <w:shd w:val="clear" w:color="auto" w:fill="FFFFFF" w:themeFill="background1"/>
          </w:tcPr>
          <w:p w14:paraId="1C578657"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33</w:t>
            </w:r>
          </w:p>
        </w:tc>
        <w:tc>
          <w:tcPr>
            <w:tcW w:w="1134" w:type="dxa"/>
            <w:shd w:val="clear" w:color="auto" w:fill="FFFFFF" w:themeFill="background1"/>
          </w:tcPr>
          <w:p w14:paraId="64C97B44"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3.0</w:t>
            </w:r>
            <w:r>
              <w:rPr>
                <w:rFonts w:ascii="Times New Roman" w:hAnsi="Times New Roman" w:cs="Times New Roman"/>
                <w:lang w:val="fr-FR"/>
              </w:rPr>
              <w:t>9</w:t>
            </w:r>
          </w:p>
        </w:tc>
      </w:tr>
      <w:tr w:rsidR="000701B2" w:rsidRPr="00B22627" w14:paraId="03411844"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051C79C0"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02</w:t>
            </w:r>
          </w:p>
        </w:tc>
        <w:tc>
          <w:tcPr>
            <w:tcW w:w="1199" w:type="dxa"/>
            <w:shd w:val="clear" w:color="auto" w:fill="FFFFFF" w:themeFill="background1"/>
          </w:tcPr>
          <w:p w14:paraId="307766CF"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FAFE58B"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14.87</w:t>
            </w:r>
          </w:p>
        </w:tc>
        <w:tc>
          <w:tcPr>
            <w:tcW w:w="1134" w:type="dxa"/>
            <w:shd w:val="clear" w:color="auto" w:fill="FFFFFF" w:themeFill="background1"/>
          </w:tcPr>
          <w:p w14:paraId="4A05F73D"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99.13</w:t>
            </w:r>
          </w:p>
        </w:tc>
        <w:tc>
          <w:tcPr>
            <w:tcW w:w="1134" w:type="dxa"/>
            <w:shd w:val="clear" w:color="auto" w:fill="FFFFFF" w:themeFill="background1"/>
          </w:tcPr>
          <w:p w14:paraId="61EAAECF"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2.5</w:t>
            </w:r>
            <w:r>
              <w:rPr>
                <w:rFonts w:ascii="Times New Roman" w:hAnsi="Times New Roman" w:cs="Times New Roman"/>
                <w:lang w:val="fr-FR"/>
              </w:rPr>
              <w:t>1</w:t>
            </w:r>
          </w:p>
        </w:tc>
      </w:tr>
      <w:tr w:rsidR="000701B2" w:rsidRPr="00B22627" w14:paraId="68C4FB50"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34C8CBE"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03</w:t>
            </w:r>
          </w:p>
        </w:tc>
        <w:tc>
          <w:tcPr>
            <w:tcW w:w="1199" w:type="dxa"/>
            <w:shd w:val="clear" w:color="auto" w:fill="FFFFFF" w:themeFill="background1"/>
          </w:tcPr>
          <w:p w14:paraId="5AC03D06"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BF20498"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14.89</w:t>
            </w:r>
          </w:p>
        </w:tc>
        <w:tc>
          <w:tcPr>
            <w:tcW w:w="1134" w:type="dxa"/>
            <w:shd w:val="clear" w:color="auto" w:fill="FFFFFF" w:themeFill="background1"/>
          </w:tcPr>
          <w:p w14:paraId="2EA706E6"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99.27</w:t>
            </w:r>
          </w:p>
        </w:tc>
        <w:tc>
          <w:tcPr>
            <w:tcW w:w="1134" w:type="dxa"/>
            <w:shd w:val="clear" w:color="auto" w:fill="FFFFFF" w:themeFill="background1"/>
          </w:tcPr>
          <w:p w14:paraId="58C06A9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1.00</w:t>
            </w:r>
          </w:p>
        </w:tc>
      </w:tr>
      <w:tr w:rsidR="000701B2" w:rsidRPr="00B22627" w14:paraId="65850312"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67EA2691"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04</w:t>
            </w:r>
          </w:p>
        </w:tc>
        <w:tc>
          <w:tcPr>
            <w:tcW w:w="1199" w:type="dxa"/>
            <w:shd w:val="clear" w:color="auto" w:fill="FFFFFF" w:themeFill="background1"/>
          </w:tcPr>
          <w:p w14:paraId="1CD68835"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D341292"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14.88</w:t>
            </w:r>
          </w:p>
        </w:tc>
        <w:tc>
          <w:tcPr>
            <w:tcW w:w="1134" w:type="dxa"/>
            <w:shd w:val="clear" w:color="auto" w:fill="FFFFFF" w:themeFill="background1"/>
          </w:tcPr>
          <w:p w14:paraId="01B96986"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99.20</w:t>
            </w:r>
          </w:p>
        </w:tc>
        <w:tc>
          <w:tcPr>
            <w:tcW w:w="1134" w:type="dxa"/>
            <w:shd w:val="clear" w:color="auto" w:fill="FFFFFF" w:themeFill="background1"/>
          </w:tcPr>
          <w:p w14:paraId="4111DE2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2.65</w:t>
            </w:r>
          </w:p>
        </w:tc>
      </w:tr>
      <w:tr w:rsidR="000701B2" w:rsidRPr="00B22627" w14:paraId="62FB2BB7"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3AD3A627"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05</w:t>
            </w:r>
          </w:p>
        </w:tc>
        <w:tc>
          <w:tcPr>
            <w:tcW w:w="1199" w:type="dxa"/>
            <w:shd w:val="clear" w:color="auto" w:fill="FFFFFF" w:themeFill="background1"/>
          </w:tcPr>
          <w:p w14:paraId="6499ED2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002ABEFE"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14.86</w:t>
            </w:r>
          </w:p>
        </w:tc>
        <w:tc>
          <w:tcPr>
            <w:tcW w:w="1134" w:type="dxa"/>
            <w:shd w:val="clear" w:color="auto" w:fill="FFFFFF" w:themeFill="background1"/>
          </w:tcPr>
          <w:p w14:paraId="02EDCC0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99.06</w:t>
            </w:r>
          </w:p>
        </w:tc>
        <w:tc>
          <w:tcPr>
            <w:tcW w:w="1134" w:type="dxa"/>
            <w:shd w:val="clear" w:color="auto" w:fill="FFFFFF" w:themeFill="background1"/>
          </w:tcPr>
          <w:p w14:paraId="77B7D88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2.52</w:t>
            </w:r>
          </w:p>
        </w:tc>
      </w:tr>
      <w:tr w:rsidR="000701B2" w:rsidRPr="00B22627" w14:paraId="69A50A30"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58C906BC"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06</w:t>
            </w:r>
          </w:p>
        </w:tc>
        <w:tc>
          <w:tcPr>
            <w:tcW w:w="1199" w:type="dxa"/>
            <w:shd w:val="clear" w:color="auto" w:fill="FFFFFF" w:themeFill="background1"/>
          </w:tcPr>
          <w:p w14:paraId="331452C8"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2DB89F7E"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14.84</w:t>
            </w:r>
          </w:p>
        </w:tc>
        <w:tc>
          <w:tcPr>
            <w:tcW w:w="1134" w:type="dxa"/>
            <w:shd w:val="clear" w:color="auto" w:fill="FFFFFF" w:themeFill="background1"/>
          </w:tcPr>
          <w:p w14:paraId="1ECB80A3"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98.93</w:t>
            </w:r>
          </w:p>
        </w:tc>
        <w:tc>
          <w:tcPr>
            <w:tcW w:w="1134" w:type="dxa"/>
            <w:shd w:val="clear" w:color="auto" w:fill="FFFFFF" w:themeFill="background1"/>
          </w:tcPr>
          <w:p w14:paraId="0012BB38"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2.08</w:t>
            </w:r>
          </w:p>
        </w:tc>
      </w:tr>
      <w:tr w:rsidR="000701B2" w:rsidRPr="00B22627" w14:paraId="4E9436DC"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B84D224"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07</w:t>
            </w:r>
          </w:p>
        </w:tc>
        <w:tc>
          <w:tcPr>
            <w:tcW w:w="1199" w:type="dxa"/>
            <w:shd w:val="clear" w:color="auto" w:fill="FFFFFF" w:themeFill="background1"/>
          </w:tcPr>
          <w:p w14:paraId="317E9C7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145AF4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14.85</w:t>
            </w:r>
          </w:p>
        </w:tc>
        <w:tc>
          <w:tcPr>
            <w:tcW w:w="1134" w:type="dxa"/>
            <w:shd w:val="clear" w:color="auto" w:fill="FFFFFF" w:themeFill="background1"/>
          </w:tcPr>
          <w:p w14:paraId="496281D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99.00</w:t>
            </w:r>
          </w:p>
        </w:tc>
        <w:tc>
          <w:tcPr>
            <w:tcW w:w="1134" w:type="dxa"/>
            <w:shd w:val="clear" w:color="auto" w:fill="FFFFFF" w:themeFill="background1"/>
          </w:tcPr>
          <w:p w14:paraId="631C451C"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1.53</w:t>
            </w:r>
          </w:p>
        </w:tc>
      </w:tr>
      <w:tr w:rsidR="000701B2" w:rsidRPr="00B22627" w14:paraId="056242D5"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7098125"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08</w:t>
            </w:r>
          </w:p>
        </w:tc>
        <w:tc>
          <w:tcPr>
            <w:tcW w:w="1199" w:type="dxa"/>
            <w:shd w:val="clear" w:color="auto" w:fill="FFFFFF" w:themeFill="background1"/>
          </w:tcPr>
          <w:p w14:paraId="32AC3F82"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50D3A9E"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14.82</w:t>
            </w:r>
          </w:p>
        </w:tc>
        <w:tc>
          <w:tcPr>
            <w:tcW w:w="1134" w:type="dxa"/>
            <w:shd w:val="clear" w:color="auto" w:fill="FFFFFF" w:themeFill="background1"/>
          </w:tcPr>
          <w:p w14:paraId="378E717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98.8</w:t>
            </w:r>
          </w:p>
        </w:tc>
        <w:tc>
          <w:tcPr>
            <w:tcW w:w="1134" w:type="dxa"/>
            <w:shd w:val="clear" w:color="auto" w:fill="FFFFFF" w:themeFill="background1"/>
          </w:tcPr>
          <w:p w14:paraId="6EA32F80"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1.50</w:t>
            </w:r>
          </w:p>
        </w:tc>
      </w:tr>
      <w:tr w:rsidR="000701B2" w:rsidRPr="00B22627" w14:paraId="61557AF4"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5AA8646"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09</w:t>
            </w:r>
          </w:p>
        </w:tc>
        <w:tc>
          <w:tcPr>
            <w:tcW w:w="1199" w:type="dxa"/>
            <w:shd w:val="clear" w:color="auto" w:fill="FFFFFF" w:themeFill="background1"/>
          </w:tcPr>
          <w:p w14:paraId="19EDFB4E"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59CEAAF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14.79</w:t>
            </w:r>
          </w:p>
        </w:tc>
        <w:tc>
          <w:tcPr>
            <w:tcW w:w="1134" w:type="dxa"/>
            <w:shd w:val="clear" w:color="auto" w:fill="FFFFFF" w:themeFill="background1"/>
          </w:tcPr>
          <w:p w14:paraId="68809D97"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98.60</w:t>
            </w:r>
          </w:p>
        </w:tc>
        <w:tc>
          <w:tcPr>
            <w:tcW w:w="1134" w:type="dxa"/>
            <w:shd w:val="clear" w:color="auto" w:fill="FFFFFF" w:themeFill="background1"/>
          </w:tcPr>
          <w:p w14:paraId="292A92FB"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3.10</w:t>
            </w:r>
          </w:p>
        </w:tc>
      </w:tr>
      <w:tr w:rsidR="000701B2" w:rsidRPr="00B22627" w14:paraId="048EB553"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75ABF54"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10</w:t>
            </w:r>
          </w:p>
        </w:tc>
        <w:tc>
          <w:tcPr>
            <w:tcW w:w="1199" w:type="dxa"/>
            <w:shd w:val="clear" w:color="auto" w:fill="FFFFFF" w:themeFill="background1"/>
          </w:tcPr>
          <w:p w14:paraId="5F6AC771"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E72104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14.81</w:t>
            </w:r>
          </w:p>
        </w:tc>
        <w:tc>
          <w:tcPr>
            <w:tcW w:w="1134" w:type="dxa"/>
            <w:shd w:val="clear" w:color="auto" w:fill="FFFFFF" w:themeFill="background1"/>
          </w:tcPr>
          <w:p w14:paraId="18E7E9B6"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98.73</w:t>
            </w:r>
          </w:p>
        </w:tc>
        <w:tc>
          <w:tcPr>
            <w:tcW w:w="1134" w:type="dxa"/>
            <w:shd w:val="clear" w:color="auto" w:fill="FFFFFF" w:themeFill="background1"/>
          </w:tcPr>
          <w:p w14:paraId="13FDA42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4.58</w:t>
            </w:r>
          </w:p>
        </w:tc>
      </w:tr>
    </w:tbl>
    <w:p w14:paraId="30C2ADFE" w14:textId="63EF3B63" w:rsidR="00E053D0" w:rsidRDefault="008223A7" w:rsidP="00441B6F">
      <w:pPr>
        <w:pStyle w:val="Body"/>
        <w:spacing w:after="0"/>
        <w:rPr>
          <w:rFonts w:ascii="Arial" w:hAnsi="Arial" w:cs="Arial"/>
        </w:rPr>
      </w:pPr>
      <w:r w:rsidRPr="008223A7">
        <w:rPr>
          <w:rFonts w:ascii="Arial" w:hAnsi="Arial" w:cs="Arial"/>
        </w:rPr>
        <w:t xml:space="preserve"> </w:t>
      </w:r>
    </w:p>
    <w:p w14:paraId="3799A5BE" w14:textId="77777777" w:rsidR="00790ADA" w:rsidRPr="00FB3A86" w:rsidRDefault="00790ADA" w:rsidP="00441B6F">
      <w:pPr>
        <w:pStyle w:val="Body"/>
        <w:spacing w:after="0"/>
        <w:rPr>
          <w:rFonts w:ascii="Arial" w:hAnsi="Arial" w:cs="Arial"/>
        </w:rPr>
      </w:pPr>
    </w:p>
    <w:p w14:paraId="1C7833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6C0281" w14:textId="77777777" w:rsidR="00790ADA" w:rsidRPr="00FB3A86" w:rsidRDefault="00790ADA" w:rsidP="00441B6F">
      <w:pPr>
        <w:pStyle w:val="ConcHead"/>
        <w:spacing w:after="0"/>
        <w:jc w:val="both"/>
        <w:rPr>
          <w:rFonts w:ascii="Arial" w:hAnsi="Arial" w:cs="Arial"/>
        </w:rPr>
      </w:pPr>
    </w:p>
    <w:p w14:paraId="48823A92" w14:textId="241BEA38" w:rsidR="004E5518" w:rsidRPr="004E5518" w:rsidRDefault="00C636B2" w:rsidP="004E5518">
      <w:pPr>
        <w:pStyle w:val="Body"/>
        <w:rPr>
          <w:rFonts w:ascii="Arial" w:hAnsi="Arial" w:cs="Arial"/>
        </w:rPr>
      </w:pPr>
      <w:r w:rsidRPr="00371186">
        <w:rPr>
          <w:rFonts w:ascii="Arial" w:hAnsi="Arial" w:cs="Arial"/>
        </w:rPr>
        <w:t xml:space="preserve">In this study, a novel </w:t>
      </w:r>
      <w:proofErr w:type="spellStart"/>
      <w:r w:rsidRPr="00371186">
        <w:rPr>
          <w:rFonts w:ascii="Arial" w:hAnsi="Arial" w:cs="Arial"/>
        </w:rPr>
        <w:t>AgCDs</w:t>
      </w:r>
      <w:proofErr w:type="spellEnd"/>
      <w:r w:rsidRPr="00371186">
        <w:rPr>
          <w:rFonts w:ascii="Arial" w:hAnsi="Arial" w:cs="Arial"/>
        </w:rPr>
        <w:t xml:space="preserve">/Au electrode was fabricated by modifying the surface of a gold electrode with </w:t>
      </w:r>
      <w:proofErr w:type="spellStart"/>
      <w:r w:rsidRPr="00371186">
        <w:rPr>
          <w:rFonts w:ascii="Arial" w:hAnsi="Arial" w:cs="Arial"/>
        </w:rPr>
        <w:t>AgCDs</w:t>
      </w:r>
      <w:proofErr w:type="spellEnd"/>
      <w:r w:rsidRPr="00371186">
        <w:rPr>
          <w:rFonts w:ascii="Arial" w:hAnsi="Arial" w:cs="Arial"/>
        </w:rPr>
        <w:t xml:space="preserve">. This </w:t>
      </w:r>
      <w:proofErr w:type="spellStart"/>
      <w:r w:rsidRPr="00371186">
        <w:rPr>
          <w:rFonts w:ascii="Arial" w:hAnsi="Arial" w:cs="Arial"/>
        </w:rPr>
        <w:t>AgCDs</w:t>
      </w:r>
      <w:proofErr w:type="spellEnd"/>
      <w:r w:rsidRPr="00371186">
        <w:rPr>
          <w:rFonts w:ascii="Arial" w:hAnsi="Arial" w:cs="Arial"/>
        </w:rPr>
        <w:t>/Au electrode, using a portable workstation system, was successfully employed for the sensitive and selective detection of DMAP-HCl.</w:t>
      </w:r>
      <w:r w:rsidR="00371186" w:rsidRPr="00371186">
        <w:rPr>
          <w:rFonts w:ascii="Arial" w:hAnsi="Arial" w:cs="Arial"/>
        </w:rPr>
        <w:t xml:space="preserve"> </w:t>
      </w:r>
      <w:r w:rsidR="00371186" w:rsidRPr="005A565B">
        <w:rPr>
          <w:rFonts w:ascii="Arial" w:hAnsi="Arial" w:cs="Arial"/>
          <w:highlight w:val="yellow"/>
        </w:rPr>
        <w:t xml:space="preserve">This electrocatalytic activity suggests a synergistic effect of CDs, </w:t>
      </w:r>
      <w:proofErr w:type="spellStart"/>
      <w:r w:rsidR="00371186" w:rsidRPr="005A565B">
        <w:rPr>
          <w:rFonts w:ascii="Arial" w:hAnsi="Arial" w:cs="Arial"/>
          <w:highlight w:val="yellow"/>
        </w:rPr>
        <w:t>AgNPs</w:t>
      </w:r>
      <w:proofErr w:type="spellEnd"/>
      <w:r w:rsidR="00371186" w:rsidRPr="005A565B">
        <w:rPr>
          <w:rFonts w:ascii="Arial" w:hAnsi="Arial" w:cs="Arial"/>
          <w:highlight w:val="yellow"/>
        </w:rPr>
        <w:t xml:space="preserve"> and Au for the oxidation of DMAP-HCl on the </w:t>
      </w:r>
      <w:proofErr w:type="spellStart"/>
      <w:r w:rsidR="00371186" w:rsidRPr="005A565B">
        <w:rPr>
          <w:rFonts w:ascii="Arial" w:hAnsi="Arial" w:cs="Arial"/>
          <w:highlight w:val="yellow"/>
        </w:rPr>
        <w:t>AgCDs</w:t>
      </w:r>
      <w:proofErr w:type="spellEnd"/>
      <w:r w:rsidR="00371186" w:rsidRPr="005A565B">
        <w:rPr>
          <w:rFonts w:ascii="Arial" w:hAnsi="Arial" w:cs="Arial"/>
          <w:highlight w:val="yellow"/>
        </w:rPr>
        <w:t>/Au electrode.</w:t>
      </w:r>
      <w:r w:rsidRPr="00371186">
        <w:rPr>
          <w:rFonts w:ascii="Arial" w:hAnsi="Arial" w:cs="Arial"/>
        </w:rPr>
        <w:t xml:space="preserve"> Electrochemical analyses demonstrated that the </w:t>
      </w:r>
      <w:proofErr w:type="spellStart"/>
      <w:r w:rsidRPr="00371186">
        <w:rPr>
          <w:rFonts w:ascii="Arial" w:hAnsi="Arial" w:cs="Arial"/>
        </w:rPr>
        <w:t>AgCDs</w:t>
      </w:r>
      <w:proofErr w:type="spellEnd"/>
      <w:r w:rsidRPr="00371186">
        <w:rPr>
          <w:rFonts w:ascii="Arial" w:hAnsi="Arial" w:cs="Arial"/>
        </w:rPr>
        <w:t xml:space="preserve">/Au electrode exhibits excellent catalytic activity for the oxidation of DMAP-HCl in a </w:t>
      </w:r>
      <w:proofErr w:type="spellStart"/>
      <w:r w:rsidRPr="00371186">
        <w:rPr>
          <w:rFonts w:ascii="Arial" w:hAnsi="Arial" w:cs="Arial"/>
        </w:rPr>
        <w:t>Na</w:t>
      </w:r>
      <w:r w:rsidRPr="00371186">
        <w:rPr>
          <w:rFonts w:ascii="Cambria Math" w:hAnsi="Cambria Math" w:cs="Cambria Math"/>
        </w:rPr>
        <w:t>₂</w:t>
      </w:r>
      <w:r w:rsidRPr="00371186">
        <w:rPr>
          <w:rFonts w:ascii="Arial" w:hAnsi="Arial" w:cs="Arial"/>
        </w:rPr>
        <w:t>SO</w:t>
      </w:r>
      <w:proofErr w:type="spellEnd"/>
      <w:r w:rsidRPr="00371186">
        <w:rPr>
          <w:rFonts w:ascii="Cambria Math" w:hAnsi="Cambria Math" w:cs="Cambria Math"/>
        </w:rPr>
        <w:t>₄</w:t>
      </w:r>
      <w:r w:rsidRPr="00371186">
        <w:rPr>
          <w:rFonts w:ascii="Arial" w:hAnsi="Arial" w:cs="Arial"/>
        </w:rPr>
        <w:t xml:space="preserve"> medium, as evidenced by well-defined redox peaks and a diffusion-controlled process. The electrode also demonstrated remarkable stability and reusability, maintaining </w:t>
      </w:r>
      <w:r w:rsidRPr="00371186">
        <w:rPr>
          <w:rFonts w:ascii="Arial" w:hAnsi="Arial" w:cs="Arial"/>
        </w:rPr>
        <w:lastRenderedPageBreak/>
        <w:t>consistent performance over multiple cycles and during a 10-day test period. The exceptionally low limit of detection (0.1 ng/mL) underscores the method's high sensitivity, making it suitable for the measurement of trace amounts of DMAP-HCl in various matrices. Furthermore, the reliability of the approach was confirmed by high recovery rates and excellent accuracy, validated by recovery studies.</w:t>
      </w:r>
    </w:p>
    <w:p w14:paraId="2CA8E3AF" w14:textId="7D5640B8" w:rsidR="00B01FCD" w:rsidRDefault="004E5518" w:rsidP="004E5518">
      <w:pPr>
        <w:pStyle w:val="Body"/>
        <w:spacing w:after="0"/>
        <w:rPr>
          <w:rFonts w:ascii="Arial" w:hAnsi="Arial" w:cs="Arial"/>
        </w:rPr>
      </w:pPr>
      <w:r w:rsidRPr="004E5518">
        <w:rPr>
          <w:rFonts w:ascii="Arial" w:hAnsi="Arial" w:cs="Arial"/>
        </w:rPr>
        <w:t xml:space="preserve">These promising results highlight the potential of the </w:t>
      </w:r>
      <w:proofErr w:type="spellStart"/>
      <w:r w:rsidRPr="004E5518">
        <w:rPr>
          <w:rFonts w:ascii="Arial" w:hAnsi="Arial" w:cs="Arial"/>
        </w:rPr>
        <w:t>AgCDs</w:t>
      </w:r>
      <w:proofErr w:type="spellEnd"/>
      <w:r w:rsidRPr="004E5518">
        <w:rPr>
          <w:rFonts w:ascii="Arial" w:hAnsi="Arial" w:cs="Arial"/>
        </w:rPr>
        <w:t>/Au electrode as a robust, portable, and cost-effective analytical tool for DMAP</w:t>
      </w:r>
      <w:r w:rsidR="00AD18F3">
        <w:rPr>
          <w:rFonts w:ascii="Arial" w:hAnsi="Arial" w:cs="Arial"/>
        </w:rPr>
        <w:t>-HCl</w:t>
      </w:r>
      <w:r w:rsidRPr="004E5518">
        <w:rPr>
          <w:rFonts w:ascii="Arial" w:hAnsi="Arial" w:cs="Arial"/>
        </w:rPr>
        <w:t xml:space="preserve"> detection. Future research will focus on the validation of this electrode in real-world samples, aiming to assess its applicability in environmental, pharmaceutical, or clinical settings.</w:t>
      </w:r>
    </w:p>
    <w:p w14:paraId="66337BBA" w14:textId="77777777" w:rsidR="00790ADA" w:rsidRPr="00FB3A86" w:rsidRDefault="00790ADA" w:rsidP="00441B6F">
      <w:pPr>
        <w:pStyle w:val="Body"/>
        <w:spacing w:after="0"/>
        <w:rPr>
          <w:rFonts w:ascii="Arial" w:hAnsi="Arial" w:cs="Arial"/>
        </w:rPr>
      </w:pPr>
    </w:p>
    <w:p w14:paraId="0E40FF85" w14:textId="77777777" w:rsidR="004F3B1A" w:rsidRPr="00CA3906" w:rsidRDefault="004F3B1A" w:rsidP="004F3B1A">
      <w:pPr>
        <w:rPr>
          <w:b/>
          <w:highlight w:val="yellow"/>
        </w:rPr>
      </w:pPr>
      <w:r w:rsidRPr="00CA3906">
        <w:rPr>
          <w:b/>
          <w:highlight w:val="yellow"/>
        </w:rPr>
        <w:t>Disclaimer (Artificial intelligence)</w:t>
      </w:r>
    </w:p>
    <w:p w14:paraId="6E97599F" w14:textId="77777777" w:rsidR="004F3B1A" w:rsidRPr="00740879" w:rsidRDefault="004F3B1A" w:rsidP="004F3B1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D16BE3C" w14:textId="77777777" w:rsidR="0054688A" w:rsidRPr="00E71915" w:rsidRDefault="0054688A" w:rsidP="00E71915">
      <w:pPr>
        <w:pStyle w:val="ReferHead"/>
        <w:jc w:val="both"/>
        <w:rPr>
          <w:rFonts w:ascii="Arial" w:hAnsi="Arial" w:cs="Arial"/>
          <w:b w:val="0"/>
          <w:caps w:val="0"/>
          <w:sz w:val="20"/>
          <w:u w:val="single"/>
        </w:rPr>
      </w:pPr>
    </w:p>
    <w:p w14:paraId="4ECA1AC5" w14:textId="77777777" w:rsidR="00790ADA" w:rsidRDefault="00790ADA" w:rsidP="00441B6F">
      <w:pPr>
        <w:pStyle w:val="Body"/>
        <w:spacing w:after="0"/>
        <w:rPr>
          <w:rFonts w:ascii="Arial" w:hAnsi="Arial" w:cs="Arial"/>
        </w:rPr>
      </w:pPr>
    </w:p>
    <w:p w14:paraId="3A71D7ED" w14:textId="3F5B624D" w:rsidR="008B459E" w:rsidRDefault="00AD18F3" w:rsidP="00441B6F">
      <w:pPr>
        <w:pStyle w:val="Body"/>
        <w:spacing w:after="0"/>
        <w:rPr>
          <w:rFonts w:ascii="Arial" w:hAnsi="Arial" w:cs="Arial"/>
        </w:rPr>
      </w:pPr>
      <w:r w:rsidRPr="00AD18F3">
        <w:rPr>
          <w:rFonts w:ascii="Arial" w:hAnsi="Arial" w:cs="Arial"/>
          <w:b/>
          <w:sz w:val="22"/>
          <w:szCs w:val="22"/>
        </w:rPr>
        <w:t>REFERENCES</w:t>
      </w:r>
    </w:p>
    <w:p w14:paraId="2A7353C7" w14:textId="77777777" w:rsidR="00AD18F3" w:rsidRDefault="00AD18F3" w:rsidP="00441B6F">
      <w:pPr>
        <w:pStyle w:val="Body"/>
        <w:spacing w:after="0"/>
        <w:rPr>
          <w:rFonts w:ascii="Arial" w:hAnsi="Arial" w:cs="Arial"/>
        </w:rPr>
      </w:pPr>
    </w:p>
    <w:p w14:paraId="68922C3C" w14:textId="77777777" w:rsidR="00795DFB" w:rsidRPr="00795DFB" w:rsidRDefault="00E16DC7" w:rsidP="002A3D0D">
      <w:pPr>
        <w:pStyle w:val="Bibliography"/>
        <w:numPr>
          <w:ilvl w:val="0"/>
          <w:numId w:val="31"/>
        </w:numPr>
        <w:rPr>
          <w:sz w:val="22"/>
        </w:rPr>
      </w:pPr>
      <w:r>
        <w:rPr>
          <w:rFonts w:ascii="Arial" w:hAnsi="Arial" w:cs="Arial"/>
          <w:b/>
        </w:rPr>
        <w:fldChar w:fldCharType="begin"/>
      </w:r>
      <w:r w:rsidR="00795DFB">
        <w:rPr>
          <w:rFonts w:ascii="Arial" w:hAnsi="Arial" w:cs="Arial"/>
          <w:b/>
        </w:rPr>
        <w:instrText xml:space="preserve"> ADDIN ZOTERO_BIBL {"uncited":[],"omitted":[],"custom":[]} CSL_BIBLIOGRAPHY </w:instrText>
      </w:r>
      <w:r>
        <w:rPr>
          <w:rFonts w:ascii="Arial" w:hAnsi="Arial" w:cs="Arial"/>
          <w:b/>
        </w:rPr>
        <w:fldChar w:fldCharType="separate"/>
      </w:r>
      <w:r w:rsidR="00795DFB" w:rsidRPr="00795DFB">
        <w:rPr>
          <w:sz w:val="22"/>
        </w:rPr>
        <w:t>Akhgari, F., Farhadi, K., Samadi, N., Akhgari, M., 2020. Detection of Silver Nanoparticles Using Green Synthesis of Fluorescent Nitrogen-Doped Carbon Dots. Iran. J. Sci. Technol. Trans. Sci. 44, 379–387. https://doi.org/10.1007/s40995-020-00832-4</w:t>
      </w:r>
    </w:p>
    <w:p w14:paraId="4AB7EED6" w14:textId="77777777" w:rsidR="00795DFB" w:rsidRPr="00795DFB" w:rsidRDefault="00795DFB" w:rsidP="002A3D0D">
      <w:pPr>
        <w:pStyle w:val="Bibliography"/>
        <w:numPr>
          <w:ilvl w:val="0"/>
          <w:numId w:val="31"/>
        </w:numPr>
        <w:rPr>
          <w:sz w:val="22"/>
        </w:rPr>
      </w:pPr>
      <w:r w:rsidRPr="00795DFB">
        <w:rPr>
          <w:sz w:val="22"/>
        </w:rPr>
        <w:t>Cao, L., Sahu, S., Anilkumar, P., Bunker, C.E., Xu, J., Fernando, K.A.S., Wang, P., Guliants, E.A., Tackett, K.N., Sun, Y.-P., 2011. Carbon Nanoparticles as Visible-Light Photocatalysts for Efficient CO</w:t>
      </w:r>
      <w:r w:rsidRPr="00795DFB">
        <w:rPr>
          <w:sz w:val="22"/>
          <w:vertAlign w:val="subscript"/>
        </w:rPr>
        <w:t>2</w:t>
      </w:r>
      <w:r w:rsidRPr="00795DFB">
        <w:rPr>
          <w:sz w:val="22"/>
        </w:rPr>
        <w:t xml:space="preserve"> Conversion and Beyond. J. Am. Chem. Soc. 133, 4754–4757. https://doi.org/10.1021/ja200804h</w:t>
      </w:r>
    </w:p>
    <w:p w14:paraId="0D5256F2" w14:textId="77777777" w:rsidR="00795DFB" w:rsidRPr="00795DFB" w:rsidRDefault="00795DFB" w:rsidP="002A3D0D">
      <w:pPr>
        <w:pStyle w:val="Bibliography"/>
        <w:numPr>
          <w:ilvl w:val="0"/>
          <w:numId w:val="31"/>
        </w:numPr>
        <w:rPr>
          <w:sz w:val="22"/>
        </w:rPr>
      </w:pPr>
      <w:r w:rsidRPr="00795DFB">
        <w:rPr>
          <w:sz w:val="22"/>
        </w:rPr>
        <w:t>Hall, A.H., 2015. Cyanide antidotes in clinical use: 4</w:t>
      </w:r>
      <w:r w:rsidRPr="00795DFB">
        <w:rPr>
          <w:rFonts w:ascii="Cambria Math" w:hAnsi="Cambria Math" w:cs="Cambria Math"/>
          <w:sz w:val="22"/>
        </w:rPr>
        <w:t>‐</w:t>
      </w:r>
      <w:r w:rsidRPr="00795DFB">
        <w:rPr>
          <w:sz w:val="22"/>
        </w:rPr>
        <w:t>dimethylaminophenol (4</w:t>
      </w:r>
      <w:r w:rsidRPr="00795DFB">
        <w:rPr>
          <w:rFonts w:ascii="Cambria Math" w:hAnsi="Cambria Math" w:cs="Cambria Math"/>
          <w:sz w:val="22"/>
        </w:rPr>
        <w:t>‐</w:t>
      </w:r>
      <w:r w:rsidRPr="00795DFB">
        <w:rPr>
          <w:sz w:val="22"/>
        </w:rPr>
        <w:t>DMAP), in: Hall, A.H., Isom, G.E., Rockwood, G.A. (Eds.), Toxicology of Cyanides and Cyanogens. Wiley, pp. 288</w:t>
      </w:r>
      <w:r w:rsidRPr="00795DFB">
        <w:rPr>
          <w:rFonts w:cs="Helvetica"/>
          <w:sz w:val="22"/>
        </w:rPr>
        <w:t>–</w:t>
      </w:r>
      <w:r w:rsidRPr="00795DFB">
        <w:rPr>
          <w:sz w:val="22"/>
        </w:rPr>
        <w:t>291. https://doi.org/10.1002/9781118628966.ch22</w:t>
      </w:r>
    </w:p>
    <w:p w14:paraId="2ADE352B" w14:textId="77777777" w:rsidR="00795DFB" w:rsidRPr="00795DFB" w:rsidRDefault="00795DFB" w:rsidP="002A3D0D">
      <w:pPr>
        <w:pStyle w:val="Bibliography"/>
        <w:numPr>
          <w:ilvl w:val="0"/>
          <w:numId w:val="31"/>
        </w:numPr>
        <w:rPr>
          <w:sz w:val="22"/>
        </w:rPr>
      </w:pPr>
      <w:r w:rsidRPr="00795DFB">
        <w:rPr>
          <w:sz w:val="22"/>
        </w:rPr>
        <w:t>Huang, Y., Liao, W., 2019. Hierarchical carbon material of N-doped carbon quantum dots in-situ formed on N-doped carbon nanotube for efficient oxygen reduction. Appl. Surf. Sci. 495, 143597. https://doi.org/10.1016/j.apsusc.2019.143597</w:t>
      </w:r>
    </w:p>
    <w:p w14:paraId="29AA6F64" w14:textId="77777777" w:rsidR="00795DFB" w:rsidRPr="00795DFB" w:rsidRDefault="00795DFB" w:rsidP="002A3D0D">
      <w:pPr>
        <w:pStyle w:val="Bibliography"/>
        <w:numPr>
          <w:ilvl w:val="0"/>
          <w:numId w:val="31"/>
        </w:numPr>
        <w:rPr>
          <w:sz w:val="22"/>
        </w:rPr>
      </w:pPr>
      <w:r w:rsidRPr="00795DFB">
        <w:rPr>
          <w:sz w:val="22"/>
        </w:rPr>
        <w:t>Khan, Z.M.S.H., Rahman, R.S., Shumaila, Islam, S., Zulfequar, M., 2019. Hydrothermal treatment of red lentils for the synthesis of fluorescent carbon quantum dots and its application for sensing Fe3+. Opt. Mater. 91, 386–395. https://doi.org/10.1016/j.optmat.2019.03.054</w:t>
      </w:r>
    </w:p>
    <w:p w14:paraId="0A800EB9" w14:textId="77777777" w:rsidR="00795DFB" w:rsidRPr="00795DFB" w:rsidRDefault="00795DFB" w:rsidP="002A3D0D">
      <w:pPr>
        <w:pStyle w:val="Bibliography"/>
        <w:numPr>
          <w:ilvl w:val="0"/>
          <w:numId w:val="31"/>
        </w:numPr>
        <w:rPr>
          <w:sz w:val="22"/>
        </w:rPr>
      </w:pPr>
      <w:r w:rsidRPr="00795DFB">
        <w:rPr>
          <w:sz w:val="22"/>
        </w:rPr>
        <w:t>Ma, J.-L., Yin, B.-C., Wu, X., Ye, B.-C., 2017. Simple and Cost-Effective Glucose Detection Based on Carbon Nanodots Supported on Silver Nanoparticles. Anal. Chem. 89, 1323–1328. https://doi.org/10.1021/acs.analchem.6b04259</w:t>
      </w:r>
    </w:p>
    <w:p w14:paraId="6DC175F1" w14:textId="77777777" w:rsidR="00795DFB" w:rsidRPr="00795DFB" w:rsidRDefault="00795DFB" w:rsidP="002A3D0D">
      <w:pPr>
        <w:pStyle w:val="Bibliography"/>
        <w:numPr>
          <w:ilvl w:val="0"/>
          <w:numId w:val="31"/>
        </w:numPr>
        <w:rPr>
          <w:sz w:val="22"/>
        </w:rPr>
      </w:pPr>
      <w:r w:rsidRPr="00795DFB">
        <w:rPr>
          <w:sz w:val="22"/>
        </w:rPr>
        <w:t>Martin, A.A., Fodjo, E.K., Eric-Simon, Z.V., Gu, Z., Yang, G., Albert, T., Kong, C., Wang, H.-F., 2021. Cys-AgNPs modified gold electrode as an ultrasensitive electrochemical sensor for the detection of 3-chloropropane-1,2-diol. Arab. J. Chem. 14, 103319. https://doi.org/10.1016/j.arabjc.2021.103319</w:t>
      </w:r>
    </w:p>
    <w:p w14:paraId="31D69B3C" w14:textId="77777777" w:rsidR="00795DFB" w:rsidRPr="00795DFB" w:rsidRDefault="00795DFB" w:rsidP="002A3D0D">
      <w:pPr>
        <w:pStyle w:val="Bibliography"/>
        <w:numPr>
          <w:ilvl w:val="0"/>
          <w:numId w:val="31"/>
        </w:numPr>
        <w:rPr>
          <w:sz w:val="22"/>
        </w:rPr>
      </w:pPr>
      <w:r w:rsidRPr="00795DFB">
        <w:rPr>
          <w:sz w:val="22"/>
        </w:rPr>
        <w:t>Pourtaheri, E., Taher, M.A., Beitollahi, H., Hosseinzadeh, R., 2020. Co-detection of isoprenaline and paracetamol in biological and pharmaceutical media by a feather-like La3+/ZnO nano-flowers and N-(</w:t>
      </w:r>
      <w:proofErr w:type="gramStart"/>
      <w:r w:rsidRPr="00795DFB">
        <w:rPr>
          <w:sz w:val="22"/>
        </w:rPr>
        <w:t>ferrocenylmethylidene)fluoren</w:t>
      </w:r>
      <w:proofErr w:type="gramEnd"/>
      <w:r w:rsidRPr="00795DFB">
        <w:rPr>
          <w:sz w:val="22"/>
        </w:rPr>
        <w:t>-2-amine-modified carbon paste electrode: analysis of a novel sensor. J. Iran. Chem. Soc. 17, 1447–1456. https://doi.org/10.1007/s13738-020-01870-w</w:t>
      </w:r>
    </w:p>
    <w:p w14:paraId="110E09DE" w14:textId="77777777" w:rsidR="00795DFB" w:rsidRPr="00795DFB" w:rsidRDefault="00795DFB" w:rsidP="002A3D0D">
      <w:pPr>
        <w:pStyle w:val="Bibliography"/>
        <w:numPr>
          <w:ilvl w:val="0"/>
          <w:numId w:val="31"/>
        </w:numPr>
        <w:rPr>
          <w:sz w:val="22"/>
        </w:rPr>
      </w:pPr>
      <w:r w:rsidRPr="00795DFB">
        <w:rPr>
          <w:sz w:val="22"/>
        </w:rPr>
        <w:t>Sacara, A.M., Cristea, C., Muresan, L.M., 2017a. Electrochemical detection of Malachite Green using glassy carbon electrodes modified with CeO 2 nanoparticles and Nafion. J. Electroanal. Chem. 792, 23–30. https://doi.org/10.1016/j.jelechem.2017.03.030</w:t>
      </w:r>
    </w:p>
    <w:p w14:paraId="629D3E8C" w14:textId="77777777" w:rsidR="00795DFB" w:rsidRPr="00795DFB" w:rsidRDefault="00795DFB" w:rsidP="002A3D0D">
      <w:pPr>
        <w:pStyle w:val="Bibliography"/>
        <w:numPr>
          <w:ilvl w:val="0"/>
          <w:numId w:val="31"/>
        </w:numPr>
        <w:rPr>
          <w:sz w:val="22"/>
        </w:rPr>
      </w:pPr>
      <w:r w:rsidRPr="00795DFB">
        <w:rPr>
          <w:sz w:val="22"/>
        </w:rPr>
        <w:t>Sacara, A.M., Nairi, V., Salis, A., Turdean, G.L., Muresan, L.M., 2017b. Silica</w:t>
      </w:r>
      <w:r w:rsidRPr="00795DFB">
        <w:rPr>
          <w:rFonts w:ascii="Cambria Math" w:hAnsi="Cambria Math" w:cs="Cambria Math"/>
          <w:sz w:val="22"/>
        </w:rPr>
        <w:t>‐</w:t>
      </w:r>
      <w:r w:rsidRPr="00795DFB">
        <w:rPr>
          <w:sz w:val="22"/>
        </w:rPr>
        <w:t>modified Electrodes for Electrochemical Detection of Malachite Green. Electroanalysis 29, 2602–2609. https://doi.org/10.1002/elan.201700400</w:t>
      </w:r>
    </w:p>
    <w:p w14:paraId="457563D7" w14:textId="77777777" w:rsidR="00795DFB" w:rsidRPr="00795DFB" w:rsidRDefault="00795DFB" w:rsidP="002A3D0D">
      <w:pPr>
        <w:pStyle w:val="Bibliography"/>
        <w:numPr>
          <w:ilvl w:val="0"/>
          <w:numId w:val="31"/>
        </w:numPr>
        <w:rPr>
          <w:sz w:val="22"/>
        </w:rPr>
      </w:pPr>
      <w:r w:rsidRPr="00795DFB">
        <w:rPr>
          <w:sz w:val="22"/>
        </w:rPr>
        <w:t>Szinicz, L.L., Weger, N., 1980. Effects of 4-dimethylaminophenol in rat kidneys, isolated rat kidney tubules and hepatocytes. Xenobiotica 10, 611–620. https://doi.org/10.3109/00498258009033795</w:t>
      </w:r>
    </w:p>
    <w:p w14:paraId="438406EC" w14:textId="77777777" w:rsidR="00795DFB" w:rsidRPr="00795DFB" w:rsidRDefault="00795DFB" w:rsidP="002A3D0D">
      <w:pPr>
        <w:pStyle w:val="Bibliography"/>
        <w:numPr>
          <w:ilvl w:val="0"/>
          <w:numId w:val="31"/>
        </w:numPr>
        <w:rPr>
          <w:sz w:val="22"/>
        </w:rPr>
      </w:pPr>
      <w:r w:rsidRPr="00795DFB">
        <w:rPr>
          <w:sz w:val="22"/>
        </w:rPr>
        <w:t>Thakur, A., Kumar, P., Kaur, D., Devunuri, N., Sinha, R.K., Devi, P., 2020. TiO</w:t>
      </w:r>
      <w:r w:rsidRPr="00795DFB">
        <w:rPr>
          <w:sz w:val="22"/>
          <w:vertAlign w:val="subscript"/>
        </w:rPr>
        <w:t>2</w:t>
      </w:r>
      <w:r w:rsidRPr="00795DFB">
        <w:rPr>
          <w:sz w:val="22"/>
        </w:rPr>
        <w:t xml:space="preserve"> nanofibres decorated with green-synthesized P</w:t>
      </w:r>
      <w:r w:rsidRPr="00795DFB">
        <w:rPr>
          <w:sz w:val="22"/>
          <w:vertAlign w:val="subscript"/>
        </w:rPr>
        <w:t>Au/Ag</w:t>
      </w:r>
      <w:r w:rsidRPr="00795DFB">
        <w:rPr>
          <w:sz w:val="22"/>
        </w:rPr>
        <w:t xml:space="preserve"> @CQDs for the efficient photocatalytic degradation of organic dyes and pharmaceutical drugs. RSC Adv. 10, 8941–89</w:t>
      </w:r>
      <w:bookmarkStart w:id="1" w:name="_GoBack"/>
      <w:bookmarkEnd w:id="1"/>
      <w:r w:rsidRPr="00795DFB">
        <w:rPr>
          <w:sz w:val="22"/>
        </w:rPr>
        <w:t>48. https://doi.org/10.1039/C9RA10804A</w:t>
      </w:r>
    </w:p>
    <w:p w14:paraId="3B0A6114" w14:textId="77777777" w:rsidR="00795DFB" w:rsidRPr="00795DFB" w:rsidRDefault="00795DFB" w:rsidP="002A3D0D">
      <w:pPr>
        <w:pStyle w:val="Bibliography"/>
        <w:numPr>
          <w:ilvl w:val="0"/>
          <w:numId w:val="31"/>
        </w:numPr>
        <w:rPr>
          <w:sz w:val="22"/>
        </w:rPr>
      </w:pPr>
      <w:r w:rsidRPr="00795DFB">
        <w:rPr>
          <w:sz w:val="22"/>
        </w:rPr>
        <w:t>Wang, H., Wang, Y., Liu, S., Yu, J., Xu, W., Guo, Y., Huang, J., 2014. An RNA aptamer-based electrochemical biosensor for sensitive detection of malachite green. RSC Adv 4, 60987–60994. https://doi.org/10.1039/C4RA09850A</w:t>
      </w:r>
    </w:p>
    <w:p w14:paraId="183B11D6" w14:textId="77777777" w:rsidR="00795DFB" w:rsidRPr="00795DFB" w:rsidRDefault="00795DFB" w:rsidP="002A3D0D">
      <w:pPr>
        <w:pStyle w:val="Bibliography"/>
        <w:numPr>
          <w:ilvl w:val="0"/>
          <w:numId w:val="31"/>
        </w:numPr>
        <w:rPr>
          <w:sz w:val="22"/>
        </w:rPr>
      </w:pPr>
      <w:r w:rsidRPr="00795DFB">
        <w:rPr>
          <w:sz w:val="22"/>
        </w:rPr>
        <w:lastRenderedPageBreak/>
        <w:t>Wei, X., Cheng, F., Yao, Y., Yi, X., Wei, B., Li, H., Wu, Y., He, J., 2021. Facile synthesis of a carbon dots and silver nanoparticles (CDs/AgNPs) composite for antibacterial application. RSC Adv. 11, 18417–18422. https://doi.org/10.1039/D1RA02600C</w:t>
      </w:r>
    </w:p>
    <w:p w14:paraId="2D2802DA" w14:textId="77777777" w:rsidR="00795DFB" w:rsidRPr="00795DFB" w:rsidRDefault="00795DFB" w:rsidP="002A3D0D">
      <w:pPr>
        <w:pStyle w:val="Bibliography"/>
        <w:numPr>
          <w:ilvl w:val="0"/>
          <w:numId w:val="31"/>
        </w:numPr>
        <w:rPr>
          <w:sz w:val="22"/>
        </w:rPr>
      </w:pPr>
      <w:r w:rsidRPr="00795DFB">
        <w:rPr>
          <w:sz w:val="22"/>
        </w:rPr>
        <w:t>Zhang, K., Song, G., Yang, L., Zhou, J., Ye, B., 2012. A novel self-assembly voltammetric sensor for malachite green based on ethylenediamine and graphene oxide. Anal. Methods 4, 4257. https://doi.org/10.1039/c2ay26039e</w:t>
      </w:r>
    </w:p>
    <w:p w14:paraId="7302434D" w14:textId="77777777" w:rsidR="00795DFB" w:rsidRPr="00795DFB" w:rsidRDefault="00795DFB" w:rsidP="002A3D0D">
      <w:pPr>
        <w:pStyle w:val="Bibliography"/>
        <w:numPr>
          <w:ilvl w:val="0"/>
          <w:numId w:val="31"/>
        </w:numPr>
        <w:rPr>
          <w:sz w:val="22"/>
        </w:rPr>
      </w:pPr>
      <w:r w:rsidRPr="00795DFB">
        <w:rPr>
          <w:sz w:val="22"/>
        </w:rPr>
        <w:t>Zhuo, Y., Zhong, D., Miao, H., Yang, X., 2015. Reduced carbon dots employed for synthesizing metal nanoclusters and nanoparticles. RSC Adv. 5, 32669–32674. https://doi.org/10.1039/C5RA02598B</w:t>
      </w:r>
    </w:p>
    <w:p w14:paraId="38DCE692" w14:textId="77777777" w:rsidR="00795DFB" w:rsidRPr="00795DFB" w:rsidRDefault="00795DFB" w:rsidP="002A3D0D">
      <w:pPr>
        <w:pStyle w:val="Bibliography"/>
        <w:numPr>
          <w:ilvl w:val="0"/>
          <w:numId w:val="31"/>
        </w:numPr>
        <w:rPr>
          <w:sz w:val="22"/>
        </w:rPr>
      </w:pPr>
      <w:r w:rsidRPr="00795DFB">
        <w:rPr>
          <w:sz w:val="22"/>
        </w:rPr>
        <w:t>Zilker, T., 2005. Medical management of incidents with chemical warfare agents. Toxicology 214, 221–231. https://doi.org/10.1016/j.tox.2005.06.028</w:t>
      </w:r>
    </w:p>
    <w:p w14:paraId="02F5066D" w14:textId="72E33A34" w:rsidR="00B01FCD" w:rsidRPr="00FB3A86" w:rsidRDefault="00E16DC7"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C978A4">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72F64" w14:textId="77777777" w:rsidR="00C058FD" w:rsidRDefault="00C058FD" w:rsidP="00C37E61">
      <w:r>
        <w:separator/>
      </w:r>
    </w:p>
  </w:endnote>
  <w:endnote w:type="continuationSeparator" w:id="0">
    <w:p w14:paraId="22756F05" w14:textId="77777777" w:rsidR="00C058FD" w:rsidRDefault="00C058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500" w14:textId="77777777" w:rsidR="00F84862" w:rsidRDefault="00F8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654B" w14:textId="77777777" w:rsidR="00F84862" w:rsidRDefault="00F84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FD5C" w14:textId="77777777" w:rsidR="009E048A" w:rsidRDefault="009E048A">
    <w:pPr>
      <w:pStyle w:val="Footer"/>
      <w:rPr>
        <w:rFonts w:ascii="Arial" w:hAnsi="Arial" w:cs="Arial"/>
        <w:sz w:val="16"/>
      </w:rPr>
    </w:pPr>
  </w:p>
  <w:p w14:paraId="6042B4CA" w14:textId="6E067333" w:rsidR="00754C9A" w:rsidRPr="0012049C" w:rsidRDefault="009E048A" w:rsidP="0012049C">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4EA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B5F79" w14:textId="77777777" w:rsidR="00C058FD" w:rsidRDefault="00C058FD" w:rsidP="00C37E61">
      <w:r>
        <w:separator/>
      </w:r>
    </w:p>
  </w:footnote>
  <w:footnote w:type="continuationSeparator" w:id="0">
    <w:p w14:paraId="19F66AF7" w14:textId="77777777" w:rsidR="00C058FD" w:rsidRDefault="00C058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A6D3" w14:textId="01F03FB5" w:rsidR="00F84862" w:rsidRDefault="00C058FD">
    <w:pPr>
      <w:pStyle w:val="Header"/>
    </w:pPr>
    <w:r>
      <w:rPr>
        <w:noProof/>
      </w:rPr>
      <w:pict w14:anchorId="1C1F9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3189" w14:textId="615AC1F7" w:rsidR="00F84862" w:rsidRDefault="00C058FD">
    <w:pPr>
      <w:pStyle w:val="Header"/>
    </w:pPr>
    <w:r>
      <w:rPr>
        <w:noProof/>
      </w:rPr>
      <w:pict w14:anchorId="17EC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8F85" w14:textId="32099C7B" w:rsidR="00296529" w:rsidRPr="00296529" w:rsidRDefault="00C058FD" w:rsidP="00296529">
    <w:pPr>
      <w:ind w:left="2160"/>
      <w:jc w:val="center"/>
      <w:rPr>
        <w:rFonts w:ascii="Times New Roman" w:eastAsia="Calibri" w:hAnsi="Times New Roman"/>
        <w:i/>
        <w:sz w:val="18"/>
        <w:szCs w:val="22"/>
      </w:rPr>
    </w:pPr>
    <w:r>
      <w:rPr>
        <w:noProof/>
      </w:rPr>
      <w:pict w14:anchorId="43B28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2D7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370E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615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179A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DF2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D94A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97D1" w14:textId="23CDC4B4" w:rsidR="00F84862" w:rsidRDefault="00C058FD">
    <w:pPr>
      <w:pStyle w:val="Header"/>
    </w:pPr>
    <w:r>
      <w:rPr>
        <w:noProof/>
      </w:rPr>
      <w:pict w14:anchorId="68627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C51F" w14:textId="02CE2C4F" w:rsidR="00F84862" w:rsidRDefault="00C058FD">
    <w:pPr>
      <w:pStyle w:val="Header"/>
    </w:pPr>
    <w:r>
      <w:rPr>
        <w:noProof/>
      </w:rPr>
      <w:pict w14:anchorId="3323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4E7B" w14:textId="01FF13E3" w:rsidR="00F84862" w:rsidRDefault="00C058FD">
    <w:pPr>
      <w:pStyle w:val="Header"/>
    </w:pPr>
    <w:r>
      <w:rPr>
        <w:noProof/>
      </w:rPr>
      <w:pict w14:anchorId="7598C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4C92122"/>
    <w:multiLevelType w:val="hybridMultilevel"/>
    <w:tmpl w:val="AB767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1B2"/>
    <w:rsid w:val="000A47FA"/>
    <w:rsid w:val="000A65D3"/>
    <w:rsid w:val="000B1E33"/>
    <w:rsid w:val="000D689F"/>
    <w:rsid w:val="000E7B7B"/>
    <w:rsid w:val="000E7D62"/>
    <w:rsid w:val="00103357"/>
    <w:rsid w:val="00115AF5"/>
    <w:rsid w:val="0012049C"/>
    <w:rsid w:val="00122700"/>
    <w:rsid w:val="00123C9F"/>
    <w:rsid w:val="00126190"/>
    <w:rsid w:val="00130F17"/>
    <w:rsid w:val="001320BF"/>
    <w:rsid w:val="00163BC4"/>
    <w:rsid w:val="00186E42"/>
    <w:rsid w:val="00191062"/>
    <w:rsid w:val="00192B72"/>
    <w:rsid w:val="001A29D8"/>
    <w:rsid w:val="001A5CAA"/>
    <w:rsid w:val="001A643C"/>
    <w:rsid w:val="001B0427"/>
    <w:rsid w:val="001D3A51"/>
    <w:rsid w:val="001D6631"/>
    <w:rsid w:val="001E10D2"/>
    <w:rsid w:val="001E25B4"/>
    <w:rsid w:val="001E44FE"/>
    <w:rsid w:val="00200595"/>
    <w:rsid w:val="00204835"/>
    <w:rsid w:val="00231920"/>
    <w:rsid w:val="0023195C"/>
    <w:rsid w:val="0024282C"/>
    <w:rsid w:val="002460DC"/>
    <w:rsid w:val="00250985"/>
    <w:rsid w:val="002556F6"/>
    <w:rsid w:val="002755E8"/>
    <w:rsid w:val="00283105"/>
    <w:rsid w:val="00284C4C"/>
    <w:rsid w:val="00287E68"/>
    <w:rsid w:val="002901F4"/>
    <w:rsid w:val="00296529"/>
    <w:rsid w:val="002A3D0D"/>
    <w:rsid w:val="002B27FB"/>
    <w:rsid w:val="002B685A"/>
    <w:rsid w:val="002C57D2"/>
    <w:rsid w:val="002E0D56"/>
    <w:rsid w:val="00315186"/>
    <w:rsid w:val="00316FE8"/>
    <w:rsid w:val="0033343E"/>
    <w:rsid w:val="00340DFD"/>
    <w:rsid w:val="003512C2"/>
    <w:rsid w:val="00371186"/>
    <w:rsid w:val="00371FB6"/>
    <w:rsid w:val="003763C1"/>
    <w:rsid w:val="00376BBE"/>
    <w:rsid w:val="0039224F"/>
    <w:rsid w:val="003A43A4"/>
    <w:rsid w:val="003A7E18"/>
    <w:rsid w:val="003C4C86"/>
    <w:rsid w:val="003C6258"/>
    <w:rsid w:val="003E2904"/>
    <w:rsid w:val="003E5597"/>
    <w:rsid w:val="00401927"/>
    <w:rsid w:val="00406B86"/>
    <w:rsid w:val="0041027F"/>
    <w:rsid w:val="004117DE"/>
    <w:rsid w:val="00412475"/>
    <w:rsid w:val="00423789"/>
    <w:rsid w:val="00430E2E"/>
    <w:rsid w:val="00440F43"/>
    <w:rsid w:val="00441B6F"/>
    <w:rsid w:val="00446221"/>
    <w:rsid w:val="00450E62"/>
    <w:rsid w:val="004539DB"/>
    <w:rsid w:val="00462D7F"/>
    <w:rsid w:val="00471A80"/>
    <w:rsid w:val="004D305E"/>
    <w:rsid w:val="004D4277"/>
    <w:rsid w:val="004E2741"/>
    <w:rsid w:val="004E5518"/>
    <w:rsid w:val="004F3653"/>
    <w:rsid w:val="004F3B1A"/>
    <w:rsid w:val="004F775E"/>
    <w:rsid w:val="00502516"/>
    <w:rsid w:val="0050314A"/>
    <w:rsid w:val="00505F06"/>
    <w:rsid w:val="00506828"/>
    <w:rsid w:val="0053056E"/>
    <w:rsid w:val="0054688A"/>
    <w:rsid w:val="00554FDA"/>
    <w:rsid w:val="005804B7"/>
    <w:rsid w:val="0058688D"/>
    <w:rsid w:val="00594636"/>
    <w:rsid w:val="005A565B"/>
    <w:rsid w:val="005C3718"/>
    <w:rsid w:val="005C784C"/>
    <w:rsid w:val="005C7ADF"/>
    <w:rsid w:val="005D17F6"/>
    <w:rsid w:val="005D603F"/>
    <w:rsid w:val="005E5539"/>
    <w:rsid w:val="00602BF5"/>
    <w:rsid w:val="00617FDD"/>
    <w:rsid w:val="00633614"/>
    <w:rsid w:val="00633F68"/>
    <w:rsid w:val="00636EB2"/>
    <w:rsid w:val="006375B8"/>
    <w:rsid w:val="0066510A"/>
    <w:rsid w:val="00673F9F"/>
    <w:rsid w:val="00682637"/>
    <w:rsid w:val="00686953"/>
    <w:rsid w:val="00687DEA"/>
    <w:rsid w:val="00687E67"/>
    <w:rsid w:val="006930DA"/>
    <w:rsid w:val="006967F7"/>
    <w:rsid w:val="00697C76"/>
    <w:rsid w:val="006A250C"/>
    <w:rsid w:val="006B21D3"/>
    <w:rsid w:val="006B57D0"/>
    <w:rsid w:val="006D30FF"/>
    <w:rsid w:val="006D6940"/>
    <w:rsid w:val="006F11EC"/>
    <w:rsid w:val="0070082C"/>
    <w:rsid w:val="007369E6"/>
    <w:rsid w:val="00736A70"/>
    <w:rsid w:val="00746E59"/>
    <w:rsid w:val="007534A4"/>
    <w:rsid w:val="00754C9A"/>
    <w:rsid w:val="0075599A"/>
    <w:rsid w:val="00761D52"/>
    <w:rsid w:val="0077749E"/>
    <w:rsid w:val="00790ADA"/>
    <w:rsid w:val="00795DFB"/>
    <w:rsid w:val="007C385A"/>
    <w:rsid w:val="007D2288"/>
    <w:rsid w:val="007E088F"/>
    <w:rsid w:val="007F7B32"/>
    <w:rsid w:val="00804BC2"/>
    <w:rsid w:val="0081431A"/>
    <w:rsid w:val="008223A7"/>
    <w:rsid w:val="0083216F"/>
    <w:rsid w:val="00860000"/>
    <w:rsid w:val="00863BD3"/>
    <w:rsid w:val="008641ED"/>
    <w:rsid w:val="00866D66"/>
    <w:rsid w:val="008671C6"/>
    <w:rsid w:val="00875803"/>
    <w:rsid w:val="00881353"/>
    <w:rsid w:val="008B459E"/>
    <w:rsid w:val="008D3FA8"/>
    <w:rsid w:val="008E13AE"/>
    <w:rsid w:val="008E1506"/>
    <w:rsid w:val="008E710C"/>
    <w:rsid w:val="008F69D6"/>
    <w:rsid w:val="00902823"/>
    <w:rsid w:val="00915CA6"/>
    <w:rsid w:val="00927834"/>
    <w:rsid w:val="009500A6"/>
    <w:rsid w:val="00957C18"/>
    <w:rsid w:val="009659BA"/>
    <w:rsid w:val="00983040"/>
    <w:rsid w:val="009872B1"/>
    <w:rsid w:val="009B3FB9"/>
    <w:rsid w:val="009C2465"/>
    <w:rsid w:val="009D2237"/>
    <w:rsid w:val="009D35A0"/>
    <w:rsid w:val="009D7EB7"/>
    <w:rsid w:val="009E048A"/>
    <w:rsid w:val="009E08E9"/>
    <w:rsid w:val="009E3DB9"/>
    <w:rsid w:val="009E6E35"/>
    <w:rsid w:val="009F0EDA"/>
    <w:rsid w:val="00A03B96"/>
    <w:rsid w:val="00A05B19"/>
    <w:rsid w:val="00A1134E"/>
    <w:rsid w:val="00A24E7E"/>
    <w:rsid w:val="00A258C3"/>
    <w:rsid w:val="00A33344"/>
    <w:rsid w:val="00A347C0"/>
    <w:rsid w:val="00A51431"/>
    <w:rsid w:val="00A539AD"/>
    <w:rsid w:val="00A94063"/>
    <w:rsid w:val="00AA6219"/>
    <w:rsid w:val="00AA74E0"/>
    <w:rsid w:val="00AB703F"/>
    <w:rsid w:val="00AC6BB8"/>
    <w:rsid w:val="00AD18F3"/>
    <w:rsid w:val="00AD2108"/>
    <w:rsid w:val="00AE008F"/>
    <w:rsid w:val="00B01FCD"/>
    <w:rsid w:val="00B05530"/>
    <w:rsid w:val="00B1776C"/>
    <w:rsid w:val="00B33401"/>
    <w:rsid w:val="00B52583"/>
    <w:rsid w:val="00B52896"/>
    <w:rsid w:val="00B878FF"/>
    <w:rsid w:val="00B91800"/>
    <w:rsid w:val="00B95236"/>
    <w:rsid w:val="00B96BD9"/>
    <w:rsid w:val="00BA1B01"/>
    <w:rsid w:val="00BA2641"/>
    <w:rsid w:val="00BA5EFF"/>
    <w:rsid w:val="00BB37AA"/>
    <w:rsid w:val="00BC53A0"/>
    <w:rsid w:val="00BC7F1F"/>
    <w:rsid w:val="00BE62AD"/>
    <w:rsid w:val="00BF121F"/>
    <w:rsid w:val="00BF1F80"/>
    <w:rsid w:val="00C058FD"/>
    <w:rsid w:val="00C166EF"/>
    <w:rsid w:val="00C17EB0"/>
    <w:rsid w:val="00C27F5F"/>
    <w:rsid w:val="00C30A0F"/>
    <w:rsid w:val="00C37E61"/>
    <w:rsid w:val="00C61EE6"/>
    <w:rsid w:val="00C636B2"/>
    <w:rsid w:val="00C70F1B"/>
    <w:rsid w:val="00C71A47"/>
    <w:rsid w:val="00C7464C"/>
    <w:rsid w:val="00C85588"/>
    <w:rsid w:val="00C90D75"/>
    <w:rsid w:val="00C96BA2"/>
    <w:rsid w:val="00C978A4"/>
    <w:rsid w:val="00CC7E90"/>
    <w:rsid w:val="00CD6755"/>
    <w:rsid w:val="00CD6856"/>
    <w:rsid w:val="00CE0089"/>
    <w:rsid w:val="00CE793C"/>
    <w:rsid w:val="00CF193C"/>
    <w:rsid w:val="00D173F1"/>
    <w:rsid w:val="00D57667"/>
    <w:rsid w:val="00D7493B"/>
    <w:rsid w:val="00D74CB0"/>
    <w:rsid w:val="00D8295D"/>
    <w:rsid w:val="00D93F70"/>
    <w:rsid w:val="00DC2A65"/>
    <w:rsid w:val="00DE15F0"/>
    <w:rsid w:val="00DE5663"/>
    <w:rsid w:val="00DE78AA"/>
    <w:rsid w:val="00DF5EF5"/>
    <w:rsid w:val="00DF7286"/>
    <w:rsid w:val="00E053D0"/>
    <w:rsid w:val="00E15994"/>
    <w:rsid w:val="00E16DC7"/>
    <w:rsid w:val="00E3114E"/>
    <w:rsid w:val="00E31A70"/>
    <w:rsid w:val="00E35B02"/>
    <w:rsid w:val="00E36926"/>
    <w:rsid w:val="00E66496"/>
    <w:rsid w:val="00E66B35"/>
    <w:rsid w:val="00E66E10"/>
    <w:rsid w:val="00E71915"/>
    <w:rsid w:val="00E769F6"/>
    <w:rsid w:val="00E81BCA"/>
    <w:rsid w:val="00E8407C"/>
    <w:rsid w:val="00E84F3C"/>
    <w:rsid w:val="00EA012C"/>
    <w:rsid w:val="00EB2CEB"/>
    <w:rsid w:val="00EC6A55"/>
    <w:rsid w:val="00ED0288"/>
    <w:rsid w:val="00EE52CB"/>
    <w:rsid w:val="00EF581D"/>
    <w:rsid w:val="00EF7FD8"/>
    <w:rsid w:val="00F06F59"/>
    <w:rsid w:val="00F10A80"/>
    <w:rsid w:val="00F10D0C"/>
    <w:rsid w:val="00F17988"/>
    <w:rsid w:val="00F2560B"/>
    <w:rsid w:val="00F469F0"/>
    <w:rsid w:val="00F508FE"/>
    <w:rsid w:val="00F53273"/>
    <w:rsid w:val="00F755E4"/>
    <w:rsid w:val="00F77D02"/>
    <w:rsid w:val="00F8486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9349E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0314A"/>
    <w:rPr>
      <w:b/>
      <w:bCs/>
    </w:rPr>
  </w:style>
  <w:style w:type="paragraph" w:customStyle="1" w:styleId="whitespace-break-spaces">
    <w:name w:val="whitespace-break-spaces"/>
    <w:basedOn w:val="Normal"/>
    <w:rsid w:val="0050314A"/>
    <w:pPr>
      <w:spacing w:before="100" w:beforeAutospacing="1" w:after="100" w:afterAutospacing="1"/>
    </w:pPr>
    <w:rPr>
      <w:rFonts w:ascii="Times New Roman" w:hAnsi="Times New Roman"/>
      <w:sz w:val="24"/>
      <w:szCs w:val="24"/>
      <w:lang w:val="fr-FR" w:eastAsia="fr-FR"/>
    </w:rPr>
  </w:style>
  <w:style w:type="table" w:styleId="ListTable6Colorful">
    <w:name w:val="List Table 6 Colorful"/>
    <w:basedOn w:val="TableNormal"/>
    <w:uiPriority w:val="51"/>
    <w:rsid w:val="000701B2"/>
    <w:rPr>
      <w:rFonts w:asciiTheme="minorHAnsi" w:eastAsiaTheme="minorEastAsia"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16DC7"/>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ED7B-0A42-4921-948A-F6AC8AD6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452</TotalTime>
  <Pages>1</Pages>
  <Words>8677</Words>
  <Characters>49464</Characters>
  <Application>Microsoft Office Word</Application>
  <DocSecurity>0</DocSecurity>
  <Lines>412</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58025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45</cp:revision>
  <cp:lastPrinted>1999-07-06T11:00:00Z</cp:lastPrinted>
  <dcterms:created xsi:type="dcterms:W3CDTF">2014-10-25T14:34:00Z</dcterms:created>
  <dcterms:modified xsi:type="dcterms:W3CDTF">2026-02-10T10:33:00Z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id="f6iWk2xv"/&gt;&lt;style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