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4ACCF" w14:textId="2F8A830E" w:rsidR="005B4A07" w:rsidRPr="00A81659" w:rsidRDefault="0013145E" w:rsidP="00A81659">
      <w:pPr>
        <w:spacing w:before="240" w:after="120" w:line="240" w:lineRule="auto"/>
        <w:jc w:val="center"/>
        <w:rPr>
          <w:rFonts w:ascii="Times New Roman" w:eastAsia="Times New Roman" w:hAnsi="Times New Roman" w:cs="Times New Roman"/>
          <w:b/>
          <w:bCs/>
          <w:kern w:val="0"/>
          <w14:ligatures w14:val="none"/>
        </w:rPr>
      </w:pPr>
      <w:r w:rsidRPr="0013145E">
        <w:rPr>
          <w:rFonts w:ascii="Times New Roman" w:eastAsia="Times New Roman" w:hAnsi="Times New Roman" w:cs="Times New Roman"/>
          <w:b/>
          <w:bCs/>
          <w:kern w:val="0"/>
          <w14:ligatures w14:val="none"/>
        </w:rPr>
        <w:t xml:space="preserve">Physicochemical Quality and </w:t>
      </w:r>
      <w:proofErr w:type="spellStart"/>
      <w:r w:rsidRPr="0013145E">
        <w:rPr>
          <w:rFonts w:ascii="Times New Roman" w:eastAsia="Times New Roman" w:hAnsi="Times New Roman" w:cs="Times New Roman"/>
          <w:b/>
          <w:bCs/>
          <w:kern w:val="0"/>
          <w14:ligatures w14:val="none"/>
        </w:rPr>
        <w:t>Hydrochemical</w:t>
      </w:r>
      <w:proofErr w:type="spellEnd"/>
      <w:r w:rsidRPr="0013145E">
        <w:rPr>
          <w:rFonts w:ascii="Times New Roman" w:eastAsia="Times New Roman" w:hAnsi="Times New Roman" w:cs="Times New Roman"/>
          <w:b/>
          <w:bCs/>
          <w:kern w:val="0"/>
          <w14:ligatures w14:val="none"/>
        </w:rPr>
        <w:t xml:space="preserve"> Facies of Groundwater in </w:t>
      </w:r>
      <w:proofErr w:type="spellStart"/>
      <w:r w:rsidR="00A81659" w:rsidRPr="00A81659">
        <w:rPr>
          <w:rFonts w:ascii="Times New Roman" w:eastAsia="Times New Roman" w:hAnsi="Times New Roman" w:cs="Times New Roman"/>
          <w:b/>
          <w:bCs/>
          <w:kern w:val="0"/>
          <w14:ligatures w14:val="none"/>
        </w:rPr>
        <w:t>Kolokuma</w:t>
      </w:r>
      <w:proofErr w:type="spellEnd"/>
      <w:r w:rsidR="00A81659" w:rsidRPr="00A81659">
        <w:rPr>
          <w:rFonts w:ascii="Times New Roman" w:eastAsia="Times New Roman" w:hAnsi="Times New Roman" w:cs="Times New Roman"/>
          <w:b/>
          <w:bCs/>
          <w:kern w:val="0"/>
          <w14:ligatures w14:val="none"/>
        </w:rPr>
        <w:t xml:space="preserve"> </w:t>
      </w:r>
      <w:proofErr w:type="spellStart"/>
      <w:r w:rsidRPr="0013145E">
        <w:rPr>
          <w:rFonts w:ascii="Times New Roman" w:eastAsia="Times New Roman" w:hAnsi="Times New Roman" w:cs="Times New Roman"/>
          <w:b/>
          <w:bCs/>
          <w:kern w:val="0"/>
          <w14:ligatures w14:val="none"/>
        </w:rPr>
        <w:t>Opokuma</w:t>
      </w:r>
      <w:proofErr w:type="spellEnd"/>
      <w:r w:rsidRPr="0013145E">
        <w:rPr>
          <w:rFonts w:ascii="Times New Roman" w:eastAsia="Times New Roman" w:hAnsi="Times New Roman" w:cs="Times New Roman"/>
          <w:b/>
          <w:bCs/>
          <w:kern w:val="0"/>
          <w14:ligatures w14:val="none"/>
        </w:rPr>
        <w:t xml:space="preserve"> Local Government Area, Bayelsa State, Nigeria</w:t>
      </w:r>
    </w:p>
    <w:p w14:paraId="5FE06265" w14:textId="77777777" w:rsidR="005913A9" w:rsidRDefault="005913A9" w:rsidP="00A81659">
      <w:pPr>
        <w:spacing w:after="120" w:line="240" w:lineRule="auto"/>
        <w:jc w:val="both"/>
        <w:rPr>
          <w:rStyle w:val="Strong"/>
          <w:rFonts w:ascii="Times New Roman" w:hAnsi="Times New Roman" w:cs="Times New Roman"/>
        </w:rPr>
      </w:pPr>
    </w:p>
    <w:p w14:paraId="18D4E97B" w14:textId="705DF72D" w:rsidR="005B4A07" w:rsidRPr="00A81659" w:rsidRDefault="005B4A07" w:rsidP="00A81659">
      <w:pPr>
        <w:spacing w:after="120" w:line="240" w:lineRule="auto"/>
        <w:jc w:val="both"/>
        <w:rPr>
          <w:rFonts w:ascii="Times New Roman" w:hAnsi="Times New Roman" w:cs="Times New Roman"/>
        </w:rPr>
      </w:pPr>
      <w:r w:rsidRPr="00A81659">
        <w:rPr>
          <w:rStyle w:val="Strong"/>
          <w:rFonts w:ascii="Times New Roman" w:hAnsi="Times New Roman" w:cs="Times New Roman"/>
        </w:rPr>
        <w:t>Abstract</w:t>
      </w:r>
    </w:p>
    <w:p w14:paraId="52E5C00B" w14:textId="44EB9E55" w:rsidR="00966FBC" w:rsidRDefault="00966FBC" w:rsidP="00966FBC">
      <w:pPr>
        <w:pStyle w:val="NormalWeb"/>
        <w:jc w:val="both"/>
        <w:rPr>
          <w:color w:val="000000" w:themeColor="text1"/>
        </w:rPr>
      </w:pPr>
      <w:r w:rsidRPr="00966FBC">
        <w:rPr>
          <w:color w:val="000000" w:themeColor="text1"/>
        </w:rPr>
        <w:t xml:space="preserve">Groundwater serves as the principal source of domestic water in many Niger Delta communities, making its quality assessment essential for public health protection. This study evaluated the physicochemical properties, major ions, </w:t>
      </w:r>
      <w:proofErr w:type="spellStart"/>
      <w:r w:rsidRPr="00966FBC">
        <w:rPr>
          <w:color w:val="000000" w:themeColor="text1"/>
        </w:rPr>
        <w:t>hydrochemical</w:t>
      </w:r>
      <w:proofErr w:type="spellEnd"/>
      <w:r w:rsidRPr="00966FBC">
        <w:rPr>
          <w:color w:val="000000" w:themeColor="text1"/>
        </w:rPr>
        <w:t xml:space="preserve"> facies, and potability of groundwater from seventeen boreholes in </w:t>
      </w:r>
      <w:proofErr w:type="spellStart"/>
      <w:r w:rsidR="009C45F6">
        <w:rPr>
          <w:color w:val="000000" w:themeColor="text1"/>
        </w:rPr>
        <w:t>kolokuma</w:t>
      </w:r>
      <w:proofErr w:type="spellEnd"/>
      <w:r w:rsidR="009C45F6">
        <w:rPr>
          <w:color w:val="000000" w:themeColor="text1"/>
        </w:rPr>
        <w:t xml:space="preserve"> </w:t>
      </w:r>
      <w:proofErr w:type="spellStart"/>
      <w:r w:rsidRPr="00966FBC">
        <w:rPr>
          <w:color w:val="000000" w:themeColor="text1"/>
        </w:rPr>
        <w:t>Opokuma</w:t>
      </w:r>
      <w:proofErr w:type="spellEnd"/>
      <w:r w:rsidRPr="00966FBC">
        <w:rPr>
          <w:color w:val="000000" w:themeColor="text1"/>
        </w:rPr>
        <w:t xml:space="preserve"> Local Government Area, Bayelsa State, Nigeria. Groundwater samples were analyzed in triplicate and results compared with World Health Organization (WHO) drinking-water guidelines. pH values ranged from 5.57 ± 0.05 to 6.87 ± 0.06, indicating slightly acidic to near-neutral conditions. Electrical conductivity (72.61 ± 1.80–378.00 ± 6.80 µS/cm) and total dissolved solids (36.30 ± 1.00–189.00 ± 4.50 mg/L) classified the groundwater as fresh. Nitrate concentrations were low (0.11–1.68 mg/L), while total hardness ranged from 42.0 ± 1.9 to 140.0 ± 3.9 mg/L, indicating soft to moderately hard water. Iron concentrations ranged from 0.014 ± 0.002 to 0.300 ± 0.020 mg/L, reaching the WHO guideline limit in one borehole. Piper trilinear analysis classified all samples as Ca–SO₄ </w:t>
      </w:r>
      <w:proofErr w:type="spellStart"/>
      <w:r w:rsidRPr="00966FBC">
        <w:rPr>
          <w:color w:val="000000" w:themeColor="text1"/>
        </w:rPr>
        <w:t>hydrochemical</w:t>
      </w:r>
      <w:proofErr w:type="spellEnd"/>
      <w:r w:rsidRPr="00966FBC">
        <w:rPr>
          <w:color w:val="000000" w:themeColor="text1"/>
        </w:rPr>
        <w:t xml:space="preserve"> facies, reflecting dominant geogenic control through mineral dissolution. One-way ANOVA revealed significant spatial variation (p &lt; 0.001) for most parameters. Overall, groundwater in the study area is suitable for domestic use, with minor treatment required to correct acidity and localized iron enrichment.</w:t>
      </w:r>
    </w:p>
    <w:p w14:paraId="5EB77AF2" w14:textId="3DC1E7C8" w:rsidR="00966FBC" w:rsidRPr="00966FBC" w:rsidRDefault="00966FBC" w:rsidP="00966FBC">
      <w:pPr>
        <w:pStyle w:val="NormalWeb"/>
        <w:jc w:val="both"/>
        <w:rPr>
          <w:color w:val="000000" w:themeColor="text1"/>
        </w:rPr>
      </w:pPr>
      <w:r>
        <w:rPr>
          <w:rStyle w:val="Strong"/>
          <w:rFonts w:eastAsiaTheme="majorEastAsia"/>
        </w:rPr>
        <w:t>Keywords:</w:t>
      </w:r>
      <w:r>
        <w:t xml:space="preserve"> Groundwater quality; </w:t>
      </w:r>
      <w:proofErr w:type="spellStart"/>
      <w:r>
        <w:t>Hydrochemical</w:t>
      </w:r>
      <w:proofErr w:type="spellEnd"/>
      <w:r>
        <w:t xml:space="preserve"> facies; Piper diagram; Physicochemical parameters; Niger Delta; Drinking-water suitability</w:t>
      </w:r>
    </w:p>
    <w:p w14:paraId="02D66C43" w14:textId="4B291771" w:rsidR="00B76D8C" w:rsidRPr="00A81659" w:rsidRDefault="00B76D8C" w:rsidP="00A81659">
      <w:pPr>
        <w:spacing w:after="120" w:line="240" w:lineRule="auto"/>
        <w:jc w:val="both"/>
        <w:rPr>
          <w:rFonts w:ascii="Times New Roman" w:hAnsi="Times New Roman" w:cs="Times New Roman"/>
        </w:rPr>
      </w:pPr>
      <w:r w:rsidRPr="00A81659">
        <w:rPr>
          <w:rFonts w:ascii="Times New Roman" w:eastAsia="Times New Roman" w:hAnsi="Times New Roman" w:cs="Times New Roman"/>
          <w:b/>
          <w:bCs/>
          <w:kern w:val="0"/>
          <w14:ligatures w14:val="none"/>
        </w:rPr>
        <w:t>INTRODUCTION</w:t>
      </w:r>
    </w:p>
    <w:p w14:paraId="77040234" w14:textId="70108338" w:rsidR="00B76D8C" w:rsidRPr="00A81659" w:rsidRDefault="00B76D8C" w:rsidP="00A81659">
      <w:pPr>
        <w:spacing w:after="120" w:line="240" w:lineRule="auto"/>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Groundwater remains one of the most reliable sources of potable water globally, particularly in developing regions where surface water is often scarce, seasonal, or polluted. Its importance is more pronounced in rural and peri-urban communities where boreholes constitute the primary source of domestic water supply. Despite its relative protection from surface contamination, groundwater quality is not static and is influenced by both natural hydrogeochemical processes and anthropogenic activities (</w:t>
      </w:r>
      <w:r w:rsidR="00CB261D" w:rsidRPr="00A81659">
        <w:rPr>
          <w:rFonts w:ascii="Times New Roman" w:hAnsi="Times New Roman" w:cs="Times New Roman"/>
        </w:rPr>
        <w:t>Shuaibu et al., 2024</w:t>
      </w:r>
      <w:r w:rsidRPr="00A81659">
        <w:rPr>
          <w:rFonts w:ascii="Times New Roman" w:eastAsia="Times New Roman" w:hAnsi="Times New Roman" w:cs="Times New Roman"/>
          <w:kern w:val="0"/>
          <w14:ligatures w14:val="none"/>
        </w:rPr>
        <w:t>; Ayoade, 2003). Consequently, regular assessment of groundwater quality is essential to ensure its suitability for human consumption and other uses</w:t>
      </w:r>
      <w:r w:rsidR="001A6307" w:rsidRPr="00A81659">
        <w:rPr>
          <w:rFonts w:ascii="Times New Roman" w:hAnsi="Times New Roman" w:cs="Times New Roman"/>
        </w:rPr>
        <w:t xml:space="preserve"> (</w:t>
      </w:r>
      <w:proofErr w:type="spellStart"/>
      <w:r w:rsidR="001A6307" w:rsidRPr="00A81659">
        <w:rPr>
          <w:rFonts w:ascii="Times New Roman" w:hAnsi="Times New Roman" w:cs="Times New Roman"/>
        </w:rPr>
        <w:t>Asomaku</w:t>
      </w:r>
      <w:proofErr w:type="spellEnd"/>
      <w:r w:rsidR="001A6307" w:rsidRPr="00A81659">
        <w:rPr>
          <w:rFonts w:ascii="Times New Roman" w:hAnsi="Times New Roman" w:cs="Times New Roman"/>
        </w:rPr>
        <w:t xml:space="preserve"> et al., 2023)</w:t>
      </w:r>
      <w:r w:rsidRPr="00A81659">
        <w:rPr>
          <w:rFonts w:ascii="Times New Roman" w:eastAsia="Times New Roman" w:hAnsi="Times New Roman" w:cs="Times New Roman"/>
          <w:kern w:val="0"/>
          <w14:ligatures w14:val="none"/>
        </w:rPr>
        <w:t>.</w:t>
      </w:r>
    </w:p>
    <w:p w14:paraId="6FD58A1D" w14:textId="7208A5A2" w:rsidR="00B76D8C" w:rsidRPr="00A81659" w:rsidRDefault="00B76D8C" w:rsidP="00A81659">
      <w:pPr>
        <w:spacing w:after="120" w:line="240" w:lineRule="auto"/>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The chemical composition of groundwater is largely controlled by lithology, mineral dissolution, ion exchange processes, and residence time within aquifers</w:t>
      </w:r>
      <w:r w:rsidR="008F2608">
        <w:rPr>
          <w:rFonts w:ascii="Times New Roman" w:eastAsia="Times New Roman" w:hAnsi="Times New Roman" w:cs="Times New Roman"/>
          <w:kern w:val="0"/>
          <w14:ligatures w14:val="none"/>
        </w:rPr>
        <w:t xml:space="preserve"> </w:t>
      </w:r>
      <w:r w:rsidR="008F2608" w:rsidRPr="008F2608">
        <w:rPr>
          <w:rFonts w:ascii="Times New Roman" w:eastAsia="Times New Roman" w:hAnsi="Times New Roman" w:cs="Times New Roman"/>
          <w:color w:val="000000" w:themeColor="text1"/>
          <w:kern w:val="0"/>
          <w14:ligatures w14:val="none"/>
        </w:rPr>
        <w:t>(</w:t>
      </w:r>
      <w:r w:rsidR="008F2608" w:rsidRPr="008F2608">
        <w:rPr>
          <w:rFonts w:ascii="Times New Roman" w:hAnsi="Times New Roman" w:cs="Times New Roman"/>
          <w:color w:val="000000" w:themeColor="text1"/>
        </w:rPr>
        <w:t>Kumar et al., 2023)</w:t>
      </w:r>
      <w:r w:rsidRPr="008F2608">
        <w:rPr>
          <w:rFonts w:ascii="Times New Roman" w:eastAsia="Times New Roman" w:hAnsi="Times New Roman" w:cs="Times New Roman"/>
          <w:color w:val="000000" w:themeColor="text1"/>
          <w:kern w:val="0"/>
          <w14:ligatures w14:val="none"/>
        </w:rPr>
        <w:t xml:space="preserve">. </w:t>
      </w:r>
      <w:r w:rsidRPr="00A81659">
        <w:rPr>
          <w:rFonts w:ascii="Times New Roman" w:eastAsia="Times New Roman" w:hAnsi="Times New Roman" w:cs="Times New Roman"/>
          <w:kern w:val="0"/>
          <w14:ligatures w14:val="none"/>
        </w:rPr>
        <w:t xml:space="preserve">In addition, human activities such as indiscriminate waste disposal, agricultural practices, and poor sanitation systems can introduce contaminants that alter groundwater chemistry (Afolayan et al., 2012; </w:t>
      </w:r>
      <w:proofErr w:type="spellStart"/>
      <w:r w:rsidRPr="00A81659">
        <w:rPr>
          <w:rFonts w:ascii="Times New Roman" w:eastAsia="Times New Roman" w:hAnsi="Times New Roman" w:cs="Times New Roman"/>
          <w:kern w:val="0"/>
          <w14:ligatures w14:val="none"/>
        </w:rPr>
        <w:t>Odukoya</w:t>
      </w:r>
      <w:proofErr w:type="spellEnd"/>
      <w:r w:rsidRPr="00A81659">
        <w:rPr>
          <w:rFonts w:ascii="Times New Roman" w:eastAsia="Times New Roman" w:hAnsi="Times New Roman" w:cs="Times New Roman"/>
          <w:kern w:val="0"/>
          <w14:ligatures w14:val="none"/>
        </w:rPr>
        <w:t>, 2015). In coastal and deltaic environments like the Niger Delta, shallow aquifers, high rainfall, low relief, and saline water intrusion further increase groundwater vulnerability</w:t>
      </w:r>
      <w:r w:rsidR="001A6307" w:rsidRPr="00A81659">
        <w:rPr>
          <w:rFonts w:ascii="Times New Roman" w:hAnsi="Times New Roman" w:cs="Times New Roman"/>
        </w:rPr>
        <w:t xml:space="preserve"> (</w:t>
      </w:r>
      <w:proofErr w:type="spellStart"/>
      <w:r w:rsidR="008F2608">
        <w:t>Ehirim</w:t>
      </w:r>
      <w:proofErr w:type="spellEnd"/>
      <w:r w:rsidR="008F2608">
        <w:t xml:space="preserve"> &amp; </w:t>
      </w:r>
      <w:proofErr w:type="spellStart"/>
      <w:r w:rsidR="008F2608">
        <w:t>Nwankwoala</w:t>
      </w:r>
      <w:proofErr w:type="spellEnd"/>
      <w:r w:rsidR="008F2608">
        <w:t xml:space="preserve">, 2022; </w:t>
      </w:r>
      <w:proofErr w:type="spellStart"/>
      <w:r w:rsidR="001A6307" w:rsidRPr="00A81659">
        <w:rPr>
          <w:rFonts w:ascii="Times New Roman" w:hAnsi="Times New Roman" w:cs="Times New Roman"/>
        </w:rPr>
        <w:t>Onoyima</w:t>
      </w:r>
      <w:proofErr w:type="spellEnd"/>
      <w:r w:rsidR="001A6307" w:rsidRPr="00A81659">
        <w:rPr>
          <w:rFonts w:ascii="Times New Roman" w:hAnsi="Times New Roman" w:cs="Times New Roman"/>
        </w:rPr>
        <w:t xml:space="preserve"> et al., 2024)</w:t>
      </w:r>
      <w:r w:rsidRPr="00A81659">
        <w:rPr>
          <w:rFonts w:ascii="Times New Roman" w:eastAsia="Times New Roman" w:hAnsi="Times New Roman" w:cs="Times New Roman"/>
          <w:kern w:val="0"/>
          <w14:ligatures w14:val="none"/>
        </w:rPr>
        <w:t>. These factors make groundwater quality evaluation in such environments a public health priority.</w:t>
      </w:r>
    </w:p>
    <w:p w14:paraId="6E2069CD" w14:textId="655FFDF0" w:rsidR="00B76D8C" w:rsidRPr="00A81659" w:rsidRDefault="00B76D8C" w:rsidP="00A81659">
      <w:pPr>
        <w:spacing w:after="120" w:line="240" w:lineRule="auto"/>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lastRenderedPageBreak/>
        <w:t>Physicochemical parameters including pH, electrical conductivity, total dissolved solids (TDS), total hardness, major ions, and selected metals are widely employed to assess groundwater quality</w:t>
      </w:r>
      <w:r w:rsidR="001A6307" w:rsidRPr="00A81659">
        <w:rPr>
          <w:rFonts w:ascii="Times New Roman" w:hAnsi="Times New Roman" w:cs="Times New Roman"/>
        </w:rPr>
        <w:t xml:space="preserve"> (Jalali et al., 2024</w:t>
      </w:r>
      <w:r w:rsidR="009C45F6" w:rsidRPr="009C45F6">
        <w:rPr>
          <w:rFonts w:ascii="Times New Roman" w:hAnsi="Times New Roman" w:cs="Times New Roman"/>
          <w:lang w:val="en-GB"/>
        </w:rPr>
        <w:t xml:space="preserve"> </w:t>
      </w:r>
      <w:r w:rsidR="009C45F6" w:rsidRPr="009C45F6">
        <w:rPr>
          <w:rFonts w:ascii="Times New Roman" w:hAnsi="Times New Roman" w:cs="Times New Roman"/>
          <w:lang w:val="en-GB"/>
        </w:rPr>
        <w:t>Memon,</w:t>
      </w:r>
      <w:r w:rsidR="009C45F6">
        <w:rPr>
          <w:rFonts w:ascii="Times New Roman" w:hAnsi="Times New Roman" w:cs="Times New Roman"/>
          <w:lang w:val="en-GB"/>
        </w:rPr>
        <w:t xml:space="preserve"> et al., 2023</w:t>
      </w:r>
      <w:r w:rsidR="001A6307" w:rsidRPr="00A81659">
        <w:rPr>
          <w:rFonts w:ascii="Times New Roman" w:hAnsi="Times New Roman" w:cs="Times New Roman"/>
        </w:rPr>
        <w:t>)</w:t>
      </w:r>
      <w:r w:rsidRPr="00A81659">
        <w:rPr>
          <w:rFonts w:ascii="Times New Roman" w:eastAsia="Times New Roman" w:hAnsi="Times New Roman" w:cs="Times New Roman"/>
          <w:kern w:val="0"/>
          <w14:ligatures w14:val="none"/>
        </w:rPr>
        <w:t>. Deviations of these parameters from acceptable limits may affect water taste, corrosivity, and safety</w:t>
      </w:r>
      <w:r w:rsidR="002F14F8">
        <w:rPr>
          <w:rFonts w:ascii="Times New Roman" w:eastAsia="Times New Roman" w:hAnsi="Times New Roman" w:cs="Times New Roman"/>
          <w:kern w:val="0"/>
          <w14:ligatures w14:val="none"/>
        </w:rPr>
        <w:t xml:space="preserve"> </w:t>
      </w:r>
      <w:r w:rsidR="002F14F8" w:rsidRPr="002F14F8">
        <w:rPr>
          <w:rFonts w:ascii="Times New Roman" w:eastAsia="Times New Roman" w:hAnsi="Times New Roman" w:cs="Times New Roman"/>
          <w:kern w:val="0"/>
          <w14:ligatures w14:val="none"/>
        </w:rPr>
        <w:t>(</w:t>
      </w:r>
      <w:proofErr w:type="spellStart"/>
      <w:r w:rsidR="002F14F8" w:rsidRPr="002F14F8">
        <w:rPr>
          <w:rFonts w:ascii="Times New Roman" w:hAnsi="Times New Roman" w:cs="Times New Roman"/>
        </w:rPr>
        <w:t>Edokpayi</w:t>
      </w:r>
      <w:proofErr w:type="spellEnd"/>
      <w:r w:rsidR="002F14F8" w:rsidRPr="002F14F8">
        <w:rPr>
          <w:rFonts w:ascii="Times New Roman" w:hAnsi="Times New Roman" w:cs="Times New Roman"/>
        </w:rPr>
        <w:t xml:space="preserve"> et al., 2021)</w:t>
      </w:r>
      <w:r w:rsidRPr="002F14F8">
        <w:rPr>
          <w:rFonts w:ascii="Times New Roman" w:eastAsia="Times New Roman" w:hAnsi="Times New Roman" w:cs="Times New Roman"/>
          <w:kern w:val="0"/>
          <w14:ligatures w14:val="none"/>
        </w:rPr>
        <w:t>,</w:t>
      </w:r>
      <w:r w:rsidRPr="00A81659">
        <w:rPr>
          <w:rFonts w:ascii="Times New Roman" w:eastAsia="Times New Roman" w:hAnsi="Times New Roman" w:cs="Times New Roman"/>
          <w:kern w:val="0"/>
          <w14:ligatures w14:val="none"/>
        </w:rPr>
        <w:t xml:space="preserve"> and prolonged consumption of contaminated groundwater has been associated with various health challenges (</w:t>
      </w:r>
      <w:r w:rsidR="00E448EB" w:rsidRPr="00A81659">
        <w:rPr>
          <w:rFonts w:ascii="Times New Roman" w:hAnsi="Times New Roman" w:cs="Times New Roman"/>
        </w:rPr>
        <w:t>Chidiac et al. 2023</w:t>
      </w:r>
      <w:r w:rsidRPr="00A81659">
        <w:rPr>
          <w:rFonts w:ascii="Times New Roman" w:eastAsia="Times New Roman" w:hAnsi="Times New Roman" w:cs="Times New Roman"/>
          <w:kern w:val="0"/>
          <w14:ligatures w14:val="none"/>
        </w:rPr>
        <w:t>; WHO, 20</w:t>
      </w:r>
      <w:r w:rsidR="00CB261D" w:rsidRPr="00A81659">
        <w:rPr>
          <w:rFonts w:ascii="Times New Roman" w:eastAsia="Times New Roman" w:hAnsi="Times New Roman" w:cs="Times New Roman"/>
          <w:kern w:val="0"/>
          <w14:ligatures w14:val="none"/>
        </w:rPr>
        <w:t>22</w:t>
      </w:r>
      <w:r w:rsidRPr="00A81659">
        <w:rPr>
          <w:rFonts w:ascii="Times New Roman" w:eastAsia="Times New Roman" w:hAnsi="Times New Roman" w:cs="Times New Roman"/>
          <w:kern w:val="0"/>
          <w14:ligatures w14:val="none"/>
        </w:rPr>
        <w:t>). For this reason, international guideline values provided by the World Health Organization (WHO) are commonly used as benchmarks for evaluating drinking water quality.</w:t>
      </w:r>
    </w:p>
    <w:p w14:paraId="6C87D3A2" w14:textId="3F4D0470" w:rsidR="00B76D8C" w:rsidRPr="00A81659" w:rsidRDefault="00B76D8C" w:rsidP="00A81659">
      <w:pPr>
        <w:spacing w:after="120" w:line="240" w:lineRule="auto"/>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 xml:space="preserve">Beyond laboratory analysis, the effective interpretation of groundwater quality data requires robust statistical and graphical tools. Graphical techniques such as Piper trilinear diagrams, bar charts, and line plots enable the visualization of </w:t>
      </w:r>
      <w:proofErr w:type="spellStart"/>
      <w:r w:rsidRPr="00A81659">
        <w:rPr>
          <w:rFonts w:ascii="Times New Roman" w:eastAsia="Times New Roman" w:hAnsi="Times New Roman" w:cs="Times New Roman"/>
          <w:kern w:val="0"/>
          <w14:ligatures w14:val="none"/>
        </w:rPr>
        <w:t>hydrochemical</w:t>
      </w:r>
      <w:proofErr w:type="spellEnd"/>
      <w:r w:rsidRPr="00A81659">
        <w:rPr>
          <w:rFonts w:ascii="Times New Roman" w:eastAsia="Times New Roman" w:hAnsi="Times New Roman" w:cs="Times New Roman"/>
          <w:kern w:val="0"/>
          <w14:ligatures w14:val="none"/>
        </w:rPr>
        <w:t xml:space="preserve"> facies and ionic dominance, while statistical summaries facilitate comparison across sampling locations and identification of spatial variations (</w:t>
      </w:r>
      <w:r w:rsidR="00CB261D" w:rsidRPr="00A81659">
        <w:rPr>
          <w:rFonts w:ascii="Times New Roman" w:eastAsia="Times New Roman" w:hAnsi="Times New Roman" w:cs="Times New Roman"/>
          <w:kern w:val="0"/>
          <w14:ligatures w14:val="none"/>
        </w:rPr>
        <w:t>Uddin et al., 2023</w:t>
      </w:r>
      <w:r w:rsidRPr="00A81659">
        <w:rPr>
          <w:rFonts w:ascii="Times New Roman" w:eastAsia="Times New Roman" w:hAnsi="Times New Roman" w:cs="Times New Roman"/>
          <w:kern w:val="0"/>
          <w14:ligatures w14:val="none"/>
        </w:rPr>
        <w:t>). These methods are particularly useful in studies involving multiple boreholes and numerous water quality parameters.</w:t>
      </w:r>
    </w:p>
    <w:p w14:paraId="59697671" w14:textId="62EA186D" w:rsidR="00E448EB" w:rsidRPr="00A81659" w:rsidRDefault="00B76D8C" w:rsidP="00A81659">
      <w:pPr>
        <w:spacing w:after="120" w:line="240" w:lineRule="auto"/>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 xml:space="preserve">This study therefore aims to graphically and statistically evaluate the physicochemical characteristics of groundwater from selected boreholes in </w:t>
      </w:r>
      <w:proofErr w:type="spellStart"/>
      <w:r w:rsidR="009C45F6">
        <w:rPr>
          <w:rFonts w:ascii="Times New Roman" w:eastAsia="Times New Roman" w:hAnsi="Times New Roman" w:cs="Times New Roman"/>
          <w:kern w:val="0"/>
          <w14:ligatures w14:val="none"/>
        </w:rPr>
        <w:t>kolokuma</w:t>
      </w:r>
      <w:proofErr w:type="spellEnd"/>
      <w:r w:rsidR="009C45F6">
        <w:rPr>
          <w:rFonts w:ascii="Times New Roman" w:eastAsia="Times New Roman" w:hAnsi="Times New Roman" w:cs="Times New Roman"/>
          <w:kern w:val="0"/>
          <w14:ligatures w14:val="none"/>
        </w:rPr>
        <w:t xml:space="preserve"> </w:t>
      </w:r>
      <w:proofErr w:type="spellStart"/>
      <w:r w:rsidRPr="00A81659">
        <w:rPr>
          <w:rFonts w:ascii="Times New Roman" w:eastAsia="Times New Roman" w:hAnsi="Times New Roman" w:cs="Times New Roman"/>
          <w:kern w:val="0"/>
          <w14:ligatures w14:val="none"/>
        </w:rPr>
        <w:t>Opokuma</w:t>
      </w:r>
      <w:proofErr w:type="spellEnd"/>
      <w:r w:rsidRPr="00A81659">
        <w:rPr>
          <w:rFonts w:ascii="Times New Roman" w:eastAsia="Times New Roman" w:hAnsi="Times New Roman" w:cs="Times New Roman"/>
          <w:kern w:val="0"/>
          <w14:ligatures w14:val="none"/>
        </w:rPr>
        <w:t xml:space="preserve"> Local Government Area, Bayelsa State. Specifically, it assesses groundwater quality by comparing measured parameters with WHO drinking water standards, identifies dominant </w:t>
      </w:r>
      <w:proofErr w:type="spellStart"/>
      <w:r w:rsidRPr="00A81659">
        <w:rPr>
          <w:rFonts w:ascii="Times New Roman" w:eastAsia="Times New Roman" w:hAnsi="Times New Roman" w:cs="Times New Roman"/>
          <w:kern w:val="0"/>
          <w14:ligatures w14:val="none"/>
        </w:rPr>
        <w:t>hydrochemical</w:t>
      </w:r>
      <w:proofErr w:type="spellEnd"/>
      <w:r w:rsidRPr="00A81659">
        <w:rPr>
          <w:rFonts w:ascii="Times New Roman" w:eastAsia="Times New Roman" w:hAnsi="Times New Roman" w:cs="Times New Roman"/>
          <w:kern w:val="0"/>
          <w14:ligatures w14:val="none"/>
        </w:rPr>
        <w:t xml:space="preserve"> facies using Piper trilinear diagrams, and determines the overall suitability of groundwater for domestic use. The findings provide baseline information necessary for groundwater management, public health protection, and sustainable water resource planning in the study area.</w:t>
      </w:r>
    </w:p>
    <w:p w14:paraId="0BCB70D6" w14:textId="77777777" w:rsidR="00E448EB" w:rsidRPr="00A81659" w:rsidRDefault="00E448EB" w:rsidP="00A81659">
      <w:pPr>
        <w:spacing w:after="120" w:line="240" w:lineRule="auto"/>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b/>
          <w:bCs/>
          <w:kern w:val="0"/>
          <w14:ligatures w14:val="none"/>
        </w:rPr>
        <w:t>MATERIALS AND METHODS</w:t>
      </w:r>
    </w:p>
    <w:p w14:paraId="7020520A" w14:textId="7C5CB652" w:rsidR="00E448EB" w:rsidRPr="00A81659" w:rsidRDefault="00E448EB" w:rsidP="00A81659">
      <w:pPr>
        <w:spacing w:after="120" w:line="240" w:lineRule="auto"/>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b/>
          <w:bCs/>
          <w:kern w:val="0"/>
          <w14:ligatures w14:val="none"/>
        </w:rPr>
        <w:t>Study Area</w:t>
      </w:r>
    </w:p>
    <w:p w14:paraId="0C321562" w14:textId="47145522" w:rsidR="00E448EB" w:rsidRPr="00A81659" w:rsidRDefault="00E448EB" w:rsidP="00A81659">
      <w:pPr>
        <w:spacing w:after="120" w:line="240" w:lineRule="auto"/>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 xml:space="preserve">The study was conducted in </w:t>
      </w:r>
      <w:proofErr w:type="spellStart"/>
      <w:r w:rsidR="009C45F6">
        <w:rPr>
          <w:rFonts w:ascii="Times New Roman" w:eastAsia="Times New Roman" w:hAnsi="Times New Roman" w:cs="Times New Roman"/>
          <w:kern w:val="0"/>
          <w14:ligatures w14:val="none"/>
        </w:rPr>
        <w:t>kolokuma</w:t>
      </w:r>
      <w:proofErr w:type="spellEnd"/>
      <w:r w:rsidR="009C45F6">
        <w:rPr>
          <w:rFonts w:ascii="Times New Roman" w:eastAsia="Times New Roman" w:hAnsi="Times New Roman" w:cs="Times New Roman"/>
          <w:kern w:val="0"/>
          <w14:ligatures w14:val="none"/>
        </w:rPr>
        <w:t xml:space="preserve"> </w:t>
      </w:r>
      <w:proofErr w:type="spellStart"/>
      <w:r w:rsidRPr="00A81659">
        <w:rPr>
          <w:rFonts w:ascii="Times New Roman" w:eastAsia="Times New Roman" w:hAnsi="Times New Roman" w:cs="Times New Roman"/>
          <w:kern w:val="0"/>
          <w14:ligatures w14:val="none"/>
        </w:rPr>
        <w:t>Opokuma</w:t>
      </w:r>
      <w:proofErr w:type="spellEnd"/>
      <w:r w:rsidRPr="00A81659">
        <w:rPr>
          <w:rFonts w:ascii="Times New Roman" w:eastAsia="Times New Roman" w:hAnsi="Times New Roman" w:cs="Times New Roman"/>
          <w:kern w:val="0"/>
          <w14:ligatures w14:val="none"/>
        </w:rPr>
        <w:t xml:space="preserve"> Local Government Area, Bayelsa State, Southern Nigeria. The area lies within the Niger Delta lowlands and is characterized by low elevation, swampy terrain, mangrove vegetation, and numerous creeks connected to the Nun River system. The climate is humid tropical, with mean annual rainfall ranging from 2,500 to 4,000 mm and average temperatures between 26 and 30 °C. These environmental conditions promote groundwater recharge but also increase susceptibility to contamination due to shallow aquifers and intense anthropogenic activities (Ayoade, 2003; </w:t>
      </w:r>
      <w:proofErr w:type="spellStart"/>
      <w:r w:rsidRPr="00A81659">
        <w:rPr>
          <w:rFonts w:ascii="Times New Roman" w:eastAsia="Times New Roman" w:hAnsi="Times New Roman" w:cs="Times New Roman"/>
          <w:kern w:val="0"/>
          <w14:ligatures w14:val="none"/>
        </w:rPr>
        <w:t>Odukoya</w:t>
      </w:r>
      <w:proofErr w:type="spellEnd"/>
      <w:r w:rsidRPr="00A81659">
        <w:rPr>
          <w:rFonts w:ascii="Times New Roman" w:eastAsia="Times New Roman" w:hAnsi="Times New Roman" w:cs="Times New Roman"/>
          <w:kern w:val="0"/>
          <w14:ligatures w14:val="none"/>
        </w:rPr>
        <w:t>, 2015).</w:t>
      </w:r>
    </w:p>
    <w:p w14:paraId="2AB3E2CD" w14:textId="25496846" w:rsidR="00E448EB" w:rsidRPr="00A81659" w:rsidRDefault="00E448EB" w:rsidP="00A81659">
      <w:pPr>
        <w:spacing w:after="120" w:line="240" w:lineRule="auto"/>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b/>
          <w:bCs/>
          <w:kern w:val="0"/>
          <w14:ligatures w14:val="none"/>
        </w:rPr>
        <w:t>Sample Collection</w:t>
      </w:r>
    </w:p>
    <w:p w14:paraId="521096F5" w14:textId="77777777" w:rsidR="00E448EB" w:rsidRPr="00A81659" w:rsidRDefault="00E448EB" w:rsidP="00A81659">
      <w:pPr>
        <w:spacing w:after="120" w:line="240" w:lineRule="auto"/>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Groundwater samples were collected from seventeen (17) operational boreholes distributed across selected communities within the study area. Sampling was carried out during the dry season to minimize the influence of surface runoff and dilution effects. Prior to sample collection, each borehole was pumped continuously for approximately 20 minutes to flush stagnant water and ensure that collected samples represented aquifer conditions (Afolayan et al., 2012).</w:t>
      </w:r>
    </w:p>
    <w:p w14:paraId="0A1B6543" w14:textId="77777777" w:rsidR="00E448EB" w:rsidRPr="00A81659" w:rsidRDefault="00E448EB" w:rsidP="00A81659">
      <w:pPr>
        <w:spacing w:after="120" w:line="240" w:lineRule="auto"/>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Samples were collected in 1-L polyethylene containers that had been pre-washed with detergent, rinsed with distilled water, and finally rinsed with the borehole water before collection. The samples were properly labeled, stored in ice-cooled containers, and transported to the laboratory for analysis within 24 hours.</w:t>
      </w:r>
    </w:p>
    <w:p w14:paraId="6F6F04D8" w14:textId="49B7ECE8" w:rsidR="00E448EB" w:rsidRPr="00A81659" w:rsidRDefault="00E448EB" w:rsidP="00A81659">
      <w:pPr>
        <w:spacing w:after="120" w:line="240" w:lineRule="auto"/>
        <w:jc w:val="both"/>
        <w:rPr>
          <w:rFonts w:ascii="Times New Roman" w:eastAsia="Times New Roman" w:hAnsi="Times New Roman" w:cs="Times New Roman"/>
          <w:kern w:val="0"/>
          <w14:ligatures w14:val="none"/>
        </w:rPr>
      </w:pPr>
      <w:proofErr w:type="spellStart"/>
      <w:r w:rsidRPr="00A81659">
        <w:rPr>
          <w:rFonts w:ascii="Times New Roman" w:eastAsia="Times New Roman" w:hAnsi="Times New Roman" w:cs="Times New Roman"/>
          <w:b/>
          <w:bCs/>
          <w:kern w:val="0"/>
          <w14:ligatures w14:val="none"/>
        </w:rPr>
        <w:t>PhysicoChemical</w:t>
      </w:r>
      <w:proofErr w:type="spellEnd"/>
      <w:r w:rsidRPr="00A81659">
        <w:rPr>
          <w:rFonts w:ascii="Times New Roman" w:eastAsia="Times New Roman" w:hAnsi="Times New Roman" w:cs="Times New Roman"/>
          <w:b/>
          <w:bCs/>
          <w:kern w:val="0"/>
          <w14:ligatures w14:val="none"/>
        </w:rPr>
        <w:t xml:space="preserve"> Analysis</w:t>
      </w:r>
    </w:p>
    <w:p w14:paraId="5D9261CC" w14:textId="0208E110" w:rsidR="00E448EB" w:rsidRPr="00A81659" w:rsidRDefault="00E448EB" w:rsidP="00A81659">
      <w:pPr>
        <w:spacing w:after="120" w:line="240" w:lineRule="auto"/>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 xml:space="preserve">Both field and laboratory analyses were carried out following standard procedures. Field measurements included pH, electrical conductivity (EC), and salinity, which were determined in </w:t>
      </w:r>
      <w:r w:rsidRPr="00A81659">
        <w:rPr>
          <w:rFonts w:ascii="Times New Roman" w:eastAsia="Times New Roman" w:hAnsi="Times New Roman" w:cs="Times New Roman"/>
          <w:kern w:val="0"/>
          <w14:ligatures w14:val="none"/>
        </w:rPr>
        <w:lastRenderedPageBreak/>
        <w:t>situ using calibrated portable meters to prevent alterations during transportation</w:t>
      </w:r>
      <w:r w:rsidR="009C45F6" w:rsidRPr="009C45F6">
        <w:rPr>
          <w:rFonts w:ascii="Times New Roman" w:hAnsi="Times New Roman" w:cs="Times New Roman"/>
          <w:lang w:val="en-GB"/>
        </w:rPr>
        <w:t xml:space="preserve"> </w:t>
      </w:r>
      <w:r w:rsidR="009C45F6">
        <w:rPr>
          <w:rFonts w:ascii="Times New Roman" w:hAnsi="Times New Roman" w:cs="Times New Roman"/>
          <w:lang w:val="en-GB"/>
        </w:rPr>
        <w:t>(</w:t>
      </w:r>
      <w:r w:rsidR="009C45F6" w:rsidRPr="009C45F6">
        <w:rPr>
          <w:rFonts w:ascii="Times New Roman" w:hAnsi="Times New Roman" w:cs="Times New Roman"/>
          <w:lang w:val="en-GB"/>
        </w:rPr>
        <w:t>Memon,</w:t>
      </w:r>
      <w:r w:rsidR="009C45F6">
        <w:rPr>
          <w:rFonts w:ascii="Times New Roman" w:hAnsi="Times New Roman" w:cs="Times New Roman"/>
          <w:lang w:val="en-GB"/>
        </w:rPr>
        <w:t xml:space="preserve"> et al., 2023</w:t>
      </w:r>
      <w:r w:rsidR="009C45F6">
        <w:rPr>
          <w:rFonts w:ascii="Times New Roman" w:hAnsi="Times New Roman" w:cs="Times New Roman"/>
          <w:lang w:val="en-GB"/>
        </w:rPr>
        <w:t>;</w:t>
      </w:r>
      <w:r w:rsidR="009C45F6" w:rsidRPr="009C45F6">
        <w:rPr>
          <w:sz w:val="20"/>
          <w:szCs w:val="20"/>
          <w:lang w:val="en-GB"/>
        </w:rPr>
        <w:t xml:space="preserve"> </w:t>
      </w:r>
      <w:r w:rsidR="009C45F6" w:rsidRPr="009C45F6">
        <w:rPr>
          <w:rFonts w:ascii="Times New Roman" w:hAnsi="Times New Roman" w:cs="Times New Roman"/>
          <w:lang w:val="en-GB"/>
        </w:rPr>
        <w:t>Qureshi,</w:t>
      </w:r>
      <w:r w:rsidR="009C45F6" w:rsidRPr="009C45F6">
        <w:rPr>
          <w:rFonts w:ascii="Times New Roman" w:hAnsi="Times New Roman" w:cs="Times New Roman"/>
          <w:lang w:val="en-GB"/>
        </w:rPr>
        <w:t xml:space="preserve"> et al., 2021</w:t>
      </w:r>
      <w:r w:rsidR="009C45F6">
        <w:rPr>
          <w:rFonts w:ascii="Times New Roman" w:hAnsi="Times New Roman" w:cs="Times New Roman"/>
          <w:lang w:val="en-GB"/>
        </w:rPr>
        <w:t>)</w:t>
      </w:r>
      <w:r w:rsidRPr="00A81659">
        <w:rPr>
          <w:rFonts w:ascii="Times New Roman" w:eastAsia="Times New Roman" w:hAnsi="Times New Roman" w:cs="Times New Roman"/>
          <w:kern w:val="0"/>
          <w14:ligatures w14:val="none"/>
        </w:rPr>
        <w:t>. Laboratory analyses were conducted for total dissolved solids (TDS), turbidity, nitrate (NO₃⁻), chloride (Cl⁻), sulphate (SO₄²⁻), bicarbonate (HCO₃⁻), total alkalinity (TA), total hardness (TH), calcium (Ca²⁺), magnesium (Mg²⁺), sodium (Na⁺), potassium (K⁺), iron (Fe), and manganese (Mn).</w:t>
      </w:r>
      <w:r w:rsidR="00353EB2" w:rsidRPr="00A81659">
        <w:rPr>
          <w:rFonts w:ascii="Times New Roman" w:eastAsia="Times New Roman" w:hAnsi="Times New Roman" w:cs="Times New Roman"/>
          <w:kern w:val="0"/>
          <w14:ligatures w14:val="none"/>
        </w:rPr>
        <w:t xml:space="preserve"> </w:t>
      </w:r>
      <w:r w:rsidRPr="00A81659">
        <w:rPr>
          <w:rFonts w:ascii="Times New Roman" w:eastAsia="Times New Roman" w:hAnsi="Times New Roman" w:cs="Times New Roman"/>
          <w:kern w:val="0"/>
          <w14:ligatures w14:val="none"/>
        </w:rPr>
        <w:t>Standard titrimetric methods were employed for alkalinity, hardness, calcium, magnesium, chloride, and bicarbonate determination, while spectrophotometric methods were used for nitrate, sulphate, iron, and manganese analysis. Sodium and potassium concentrations were determined using flame photometry. All analytical procedures followed internationally accepted water analysis protocols (</w:t>
      </w:r>
      <w:r w:rsidRPr="00A81659">
        <w:rPr>
          <w:rFonts w:ascii="Times New Roman" w:hAnsi="Times New Roman" w:cs="Times New Roman"/>
        </w:rPr>
        <w:t>Chidiac et al. 2023</w:t>
      </w:r>
      <w:r w:rsidRPr="00A81659">
        <w:rPr>
          <w:rFonts w:ascii="Times New Roman" w:eastAsia="Times New Roman" w:hAnsi="Times New Roman" w:cs="Times New Roman"/>
          <w:kern w:val="0"/>
          <w14:ligatures w14:val="none"/>
        </w:rPr>
        <w:t>; WHO, 2011).</w:t>
      </w:r>
    </w:p>
    <w:p w14:paraId="69E09E9A" w14:textId="562B7E1F" w:rsidR="00E448EB" w:rsidRPr="00A81659" w:rsidRDefault="00E448EB" w:rsidP="00A81659">
      <w:pPr>
        <w:spacing w:after="120" w:line="240" w:lineRule="auto"/>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b/>
          <w:bCs/>
          <w:kern w:val="0"/>
          <w14:ligatures w14:val="none"/>
        </w:rPr>
        <w:t>Quality Control and Data Validation</w:t>
      </w:r>
    </w:p>
    <w:p w14:paraId="0B9EE2C5" w14:textId="58549DE2" w:rsidR="00E448EB" w:rsidRPr="00A81659" w:rsidRDefault="00E448EB" w:rsidP="00A81659">
      <w:pPr>
        <w:spacing w:after="120" w:line="240" w:lineRule="auto"/>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 xml:space="preserve">All instruments were calibrated prior to analysis, and analytical-grade reagents were used throughout the study. </w:t>
      </w:r>
      <w:r w:rsidR="001A6307" w:rsidRPr="00A81659">
        <w:rPr>
          <w:rFonts w:ascii="Times New Roman" w:eastAsia="Times New Roman" w:hAnsi="Times New Roman" w:cs="Times New Roman"/>
          <w:kern w:val="0"/>
          <w14:ligatures w14:val="none"/>
        </w:rPr>
        <w:t>Re</w:t>
      </w:r>
      <w:r w:rsidRPr="00A81659">
        <w:rPr>
          <w:rFonts w:ascii="Times New Roman" w:eastAsia="Times New Roman" w:hAnsi="Times New Roman" w:cs="Times New Roman"/>
          <w:kern w:val="0"/>
          <w14:ligatures w14:val="none"/>
        </w:rPr>
        <w:t>plicate samples and blank determinations were included to ensure analytical accuracy and precision. The measured groundwater quality parameters were compared with World Health Organization (WHO) drinking water guideline values to assess suitability for domestic consumption (WHO, 2022).</w:t>
      </w:r>
    </w:p>
    <w:p w14:paraId="2553CD17" w14:textId="566F6C69" w:rsidR="00E448EB" w:rsidRPr="00A81659" w:rsidRDefault="00E448EB" w:rsidP="00A81659">
      <w:pPr>
        <w:spacing w:after="120" w:line="240" w:lineRule="auto"/>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b/>
          <w:bCs/>
          <w:kern w:val="0"/>
          <w14:ligatures w14:val="none"/>
        </w:rPr>
        <w:t>Data Analysis and Graphical Presentation</w:t>
      </w:r>
    </w:p>
    <w:p w14:paraId="69CE62F1" w14:textId="2993A933" w:rsidR="00E448EB" w:rsidRPr="008F2608" w:rsidRDefault="00E448EB" w:rsidP="00A81659">
      <w:pPr>
        <w:spacing w:after="120" w:line="240" w:lineRule="auto"/>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Descriptive statistical tools, including minimum, maximum, mean, and standard deviation, were used to summarize groundwater quality data</w:t>
      </w:r>
      <w:r w:rsidR="002F14F8">
        <w:rPr>
          <w:rFonts w:ascii="Times New Roman" w:eastAsia="Times New Roman" w:hAnsi="Times New Roman" w:cs="Times New Roman"/>
          <w:kern w:val="0"/>
          <w14:ligatures w14:val="none"/>
        </w:rPr>
        <w:t xml:space="preserve"> </w:t>
      </w:r>
      <w:r w:rsidR="002F14F8" w:rsidRPr="002F14F8">
        <w:rPr>
          <w:rFonts w:ascii="Times New Roman" w:eastAsia="Times New Roman" w:hAnsi="Times New Roman" w:cs="Times New Roman"/>
          <w:kern w:val="0"/>
          <w14:ligatures w14:val="none"/>
        </w:rPr>
        <w:t>(</w:t>
      </w:r>
      <w:r w:rsidR="002F14F8" w:rsidRPr="002F14F8">
        <w:rPr>
          <w:rFonts w:ascii="Times New Roman" w:hAnsi="Times New Roman" w:cs="Times New Roman"/>
        </w:rPr>
        <w:t>Islam et al., 2022)</w:t>
      </w:r>
      <w:r w:rsidRPr="002F14F8">
        <w:rPr>
          <w:rFonts w:ascii="Times New Roman" w:eastAsia="Times New Roman" w:hAnsi="Times New Roman" w:cs="Times New Roman"/>
          <w:kern w:val="0"/>
          <w14:ligatures w14:val="none"/>
        </w:rPr>
        <w:t>.</w:t>
      </w:r>
      <w:r w:rsidRPr="00A81659">
        <w:rPr>
          <w:rFonts w:ascii="Times New Roman" w:eastAsia="Times New Roman" w:hAnsi="Times New Roman" w:cs="Times New Roman"/>
          <w:kern w:val="0"/>
          <w14:ligatures w14:val="none"/>
        </w:rPr>
        <w:t xml:space="preserve"> </w:t>
      </w:r>
      <w:proofErr w:type="spellStart"/>
      <w:r w:rsidRPr="00A81659">
        <w:rPr>
          <w:rFonts w:ascii="Times New Roman" w:eastAsia="Times New Roman" w:hAnsi="Times New Roman" w:cs="Times New Roman"/>
          <w:kern w:val="0"/>
          <w14:ligatures w14:val="none"/>
        </w:rPr>
        <w:t>Hydrochemical</w:t>
      </w:r>
      <w:proofErr w:type="spellEnd"/>
      <w:r w:rsidRPr="00A81659">
        <w:rPr>
          <w:rFonts w:ascii="Times New Roman" w:eastAsia="Times New Roman" w:hAnsi="Times New Roman" w:cs="Times New Roman"/>
          <w:kern w:val="0"/>
          <w14:ligatures w14:val="none"/>
        </w:rPr>
        <w:t xml:space="preserve"> characterization of groundwater was performed using the Piper trilinear diagram, which enabled the identification of dominant cations, anions, and groundwater facies within the study area (</w:t>
      </w:r>
      <w:r w:rsidR="008F2608" w:rsidRPr="008F2608">
        <w:rPr>
          <w:rFonts w:ascii="Times New Roman" w:hAnsi="Times New Roman" w:cs="Times New Roman"/>
        </w:rPr>
        <w:t xml:space="preserve">Ravikumar &amp; Somashekar, 2021; </w:t>
      </w:r>
      <w:r w:rsidR="00CB261D" w:rsidRPr="008F2608">
        <w:rPr>
          <w:rFonts w:ascii="Times New Roman" w:eastAsia="Times New Roman" w:hAnsi="Times New Roman" w:cs="Times New Roman"/>
          <w:kern w:val="0"/>
          <w14:ligatures w14:val="none"/>
        </w:rPr>
        <w:t>Uddin et al., 2023</w:t>
      </w:r>
      <w:r w:rsidRPr="008F2608">
        <w:rPr>
          <w:rFonts w:ascii="Times New Roman" w:eastAsia="Times New Roman" w:hAnsi="Times New Roman" w:cs="Times New Roman"/>
          <w:kern w:val="0"/>
          <w14:ligatures w14:val="none"/>
        </w:rPr>
        <w:t xml:space="preserve">; </w:t>
      </w:r>
      <w:r w:rsidR="001A6307" w:rsidRPr="008F2608">
        <w:rPr>
          <w:rFonts w:ascii="Times New Roman" w:eastAsia="Times New Roman" w:hAnsi="Times New Roman" w:cs="Times New Roman"/>
          <w:kern w:val="0"/>
          <w14:ligatures w14:val="none"/>
        </w:rPr>
        <w:t>Ali et al., 2024</w:t>
      </w:r>
      <w:r w:rsidRPr="008F2608">
        <w:rPr>
          <w:rFonts w:ascii="Times New Roman" w:eastAsia="Times New Roman" w:hAnsi="Times New Roman" w:cs="Times New Roman"/>
          <w:kern w:val="0"/>
          <w14:ligatures w14:val="none"/>
        </w:rPr>
        <w:t>).</w:t>
      </w:r>
    </w:p>
    <w:p w14:paraId="76B59726" w14:textId="4B2F1F3E" w:rsidR="00E448EB" w:rsidRPr="00A81659" w:rsidRDefault="00E448EB" w:rsidP="00A81659">
      <w:pPr>
        <w:spacing w:after="120" w:line="240" w:lineRule="auto"/>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b/>
          <w:bCs/>
          <w:kern w:val="0"/>
          <w14:ligatures w14:val="none"/>
        </w:rPr>
        <w:t>Ethical Considerations</w:t>
      </w:r>
    </w:p>
    <w:p w14:paraId="73066C73" w14:textId="77777777" w:rsidR="00E448EB" w:rsidRPr="00A81659" w:rsidRDefault="00E448EB" w:rsidP="00A81659">
      <w:pPr>
        <w:spacing w:after="120" w:line="240" w:lineRule="auto"/>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This study involved only environmental sampling of groundwater from existing boreholes and did not involve human participants, animals, or personal data. Permission was obtained from borehole owners and community representatives prior to sample collection. Sampling activities were conducted without disrupting regular water use or damaging borehole infrastructure. All laboratory analyses followed standard environmental safety procedures in accordance with ethical guidelines for water quality research (WHO, 2011).</w:t>
      </w:r>
    </w:p>
    <w:p w14:paraId="25ED907E" w14:textId="505BF658" w:rsidR="00E448EB" w:rsidRPr="00A81659" w:rsidRDefault="00E448EB" w:rsidP="00A81659">
      <w:pPr>
        <w:spacing w:after="120" w:line="240" w:lineRule="auto"/>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b/>
          <w:bCs/>
          <w:kern w:val="0"/>
          <w14:ligatures w14:val="none"/>
        </w:rPr>
        <w:t>Limitations of the Study</w:t>
      </w:r>
    </w:p>
    <w:p w14:paraId="25CCF36A" w14:textId="5C4F5E23" w:rsidR="00E448EB" w:rsidRPr="00A81659" w:rsidRDefault="00E448EB" w:rsidP="00A81659">
      <w:pPr>
        <w:spacing w:after="120" w:line="240" w:lineRule="auto"/>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The study was limited to groundwater sampling during a single season; therefore, seasonal variations in groundwater quality were not evaluated. In addition, the investigation focused on physicochemical parameters, while microbiological indicators of water quality were not assessed. Although the sampled boreholes were representative of the study area, localized hydrogeochemical variations may not have been fully captured. Future studies should incorporate seasonal monitoring, microbiological analysis, and expanded spatial coverage for a more comprehensive groundwater quality assessment (</w:t>
      </w:r>
      <w:proofErr w:type="spellStart"/>
      <w:r w:rsidRPr="00A81659">
        <w:rPr>
          <w:rFonts w:ascii="Times New Roman" w:eastAsia="Times New Roman" w:hAnsi="Times New Roman" w:cs="Times New Roman"/>
          <w:kern w:val="0"/>
          <w14:ligatures w14:val="none"/>
        </w:rPr>
        <w:t>Odukoya</w:t>
      </w:r>
      <w:proofErr w:type="spellEnd"/>
      <w:r w:rsidRPr="00A81659">
        <w:rPr>
          <w:rFonts w:ascii="Times New Roman" w:eastAsia="Times New Roman" w:hAnsi="Times New Roman" w:cs="Times New Roman"/>
          <w:kern w:val="0"/>
          <w14:ligatures w14:val="none"/>
        </w:rPr>
        <w:t>, 2015).</w:t>
      </w:r>
    </w:p>
    <w:p w14:paraId="0631BF91" w14:textId="77777777" w:rsidR="007E54CE" w:rsidRPr="00A81659" w:rsidRDefault="00F84566" w:rsidP="00A81659">
      <w:pPr>
        <w:spacing w:after="120" w:line="240" w:lineRule="auto"/>
        <w:jc w:val="both"/>
        <w:rPr>
          <w:rFonts w:ascii="Times New Roman" w:hAnsi="Times New Roman" w:cs="Times New Roman"/>
          <w:b/>
          <w:bCs/>
        </w:rPr>
      </w:pPr>
      <w:r w:rsidRPr="00A81659">
        <w:rPr>
          <w:rFonts w:ascii="Times New Roman" w:hAnsi="Times New Roman" w:cs="Times New Roman"/>
          <w:b/>
          <w:bCs/>
        </w:rPr>
        <w:t>Results</w:t>
      </w:r>
    </w:p>
    <w:p w14:paraId="7FD99982" w14:textId="0C1B1643" w:rsidR="007E54CE" w:rsidRPr="00A81659" w:rsidRDefault="007E54CE" w:rsidP="00A81659">
      <w:pPr>
        <w:spacing w:after="120" w:line="240" w:lineRule="auto"/>
        <w:jc w:val="both"/>
        <w:rPr>
          <w:rFonts w:ascii="Times New Roman" w:hAnsi="Times New Roman" w:cs="Times New Roman"/>
        </w:rPr>
      </w:pPr>
      <w:r w:rsidRPr="00A81659">
        <w:rPr>
          <w:rFonts w:ascii="Times New Roman" w:eastAsia="Times New Roman" w:hAnsi="Times New Roman" w:cs="Times New Roman"/>
          <w:b/>
          <w:bCs/>
          <w:kern w:val="0"/>
          <w14:ligatures w14:val="none"/>
        </w:rPr>
        <w:t>Physicochemical Parameters</w:t>
      </w:r>
    </w:p>
    <w:p w14:paraId="59E3075C" w14:textId="207D82D8" w:rsidR="007E54CE" w:rsidRPr="00A81659" w:rsidRDefault="007E54CE" w:rsidP="00A81659">
      <w:pPr>
        <w:spacing w:after="120" w:line="240" w:lineRule="auto"/>
        <w:jc w:val="both"/>
        <w:rPr>
          <w:rFonts w:ascii="Times New Roman" w:eastAsia="Times New Roman" w:hAnsi="Times New Roman" w:cs="Times New Roman"/>
          <w:color w:val="000000" w:themeColor="text1"/>
          <w:kern w:val="0"/>
          <w14:ligatures w14:val="none"/>
        </w:rPr>
      </w:pPr>
      <w:r w:rsidRPr="00A81659">
        <w:rPr>
          <w:rFonts w:ascii="Times New Roman" w:eastAsia="Times New Roman" w:hAnsi="Times New Roman" w:cs="Times New Roman"/>
          <w:color w:val="000000" w:themeColor="text1"/>
          <w:kern w:val="0"/>
          <w14:ligatures w14:val="none"/>
        </w:rPr>
        <w:t>The pH values of groundwater samples (table 1a) ranged from 5.57 ± 0.05 to 6.87 ± 0.06 (Table</w:t>
      </w:r>
      <w:r w:rsidR="00966FBC">
        <w:rPr>
          <w:rFonts w:ascii="Times New Roman" w:eastAsia="Times New Roman" w:hAnsi="Times New Roman" w:cs="Times New Roman"/>
          <w:color w:val="000000" w:themeColor="text1"/>
          <w:kern w:val="0"/>
          <w14:ligatures w14:val="none"/>
        </w:rPr>
        <w:t xml:space="preserve"> </w:t>
      </w:r>
      <w:r w:rsidRPr="00A81659">
        <w:rPr>
          <w:rFonts w:ascii="Times New Roman" w:eastAsia="Times New Roman" w:hAnsi="Times New Roman" w:cs="Times New Roman"/>
          <w:color w:val="000000" w:themeColor="text1"/>
          <w:kern w:val="0"/>
          <w14:ligatures w14:val="none"/>
        </w:rPr>
        <w:t xml:space="preserve">1a). Boreholes BH1, BH2, BH4, and BH9 recorded significantly lower pH values, indicating slightly acidic conditions, whereas BH14 showed a significantly higher pH compared to other locations (p &lt; 0.05). Although most boreholes fell slightly below the WHO recommended range </w:t>
      </w:r>
      <w:r w:rsidRPr="00A81659">
        <w:rPr>
          <w:rFonts w:ascii="Times New Roman" w:eastAsia="Times New Roman" w:hAnsi="Times New Roman" w:cs="Times New Roman"/>
          <w:color w:val="000000" w:themeColor="text1"/>
          <w:kern w:val="0"/>
          <w14:ligatures w14:val="none"/>
        </w:rPr>
        <w:lastRenderedPageBreak/>
        <w:t>(6.5–8.5), the values generally reflect weakly acidic groundwater typical of Niger Delta environments.</w:t>
      </w:r>
    </w:p>
    <w:p w14:paraId="58E8125B" w14:textId="28004F53" w:rsidR="007E54CE" w:rsidRPr="00A81659" w:rsidRDefault="007E54CE" w:rsidP="00A81659">
      <w:pPr>
        <w:spacing w:after="120" w:line="240" w:lineRule="auto"/>
        <w:jc w:val="both"/>
        <w:rPr>
          <w:rFonts w:ascii="Times New Roman" w:eastAsia="Times New Roman" w:hAnsi="Times New Roman" w:cs="Times New Roman"/>
          <w:color w:val="000000" w:themeColor="text1"/>
          <w:kern w:val="0"/>
          <w14:ligatures w14:val="none"/>
        </w:rPr>
      </w:pPr>
      <w:r w:rsidRPr="00A81659">
        <w:rPr>
          <w:rFonts w:ascii="Times New Roman" w:eastAsia="Times New Roman" w:hAnsi="Times New Roman" w:cs="Times New Roman"/>
          <w:color w:val="000000" w:themeColor="text1"/>
          <w:kern w:val="0"/>
          <w14:ligatures w14:val="none"/>
        </w:rPr>
        <w:t>Electrical conductivity (EC) recorded in Table 1a, varied significantly among boreholes (72.61 ± 1.80 to 378.00 ± 6.80 µS/cm, p &lt; 0.05). Borehole BH11 recorded the highest EC, indicating increased ionic concentration and mineralization. Total dissolved solids (TDS) followed a similar trend, ranging from 36.30 ± 1.00 to 189.00 ± 4.50 mg/L, with BH11 exhibiting significantly higher values than other locations. However, all EC and TDS values were within WHO permissible limits for drinking water. Total suspended solids (TSS) showed significant variation across boreholes (0.05 ± 0.01 to 1.32 ± 0.12 mg/L). Boreholes BH9 and BH14 recorded significantly higher TSS values (p &lt; 0.05), suggesting localized particulate inputs, although values remained within acceptable limits.</w:t>
      </w:r>
    </w:p>
    <w:p w14:paraId="7357E327" w14:textId="2C80812B" w:rsidR="00F84566" w:rsidRPr="00A81659" w:rsidRDefault="00F84566" w:rsidP="00A81659">
      <w:pPr>
        <w:spacing w:after="120" w:line="240" w:lineRule="auto"/>
        <w:jc w:val="both"/>
        <w:rPr>
          <w:rFonts w:ascii="Times New Roman" w:hAnsi="Times New Roman" w:cs="Times New Roman"/>
        </w:rPr>
      </w:pPr>
      <w:r w:rsidRPr="00A81659">
        <w:rPr>
          <w:rFonts w:ascii="Times New Roman" w:hAnsi="Times New Roman" w:cs="Times New Roman"/>
        </w:rPr>
        <w:t>Table 1a: Physicochemical Parameters of Groundwater (n = 3)</w:t>
      </w:r>
    </w:p>
    <w:tbl>
      <w:tblPr>
        <w:tblStyle w:val="TableGrid"/>
        <w:tblW w:w="9630" w:type="dxa"/>
        <w:tblLook w:val="04A0" w:firstRow="1" w:lastRow="0" w:firstColumn="1" w:lastColumn="0" w:noHBand="0" w:noVBand="1"/>
      </w:tblPr>
      <w:tblGrid>
        <w:gridCol w:w="1167"/>
        <w:gridCol w:w="721"/>
        <w:gridCol w:w="810"/>
        <w:gridCol w:w="1458"/>
        <w:gridCol w:w="1379"/>
        <w:gridCol w:w="1424"/>
        <w:gridCol w:w="1420"/>
        <w:gridCol w:w="1251"/>
      </w:tblGrid>
      <w:tr w:rsidR="001F3611" w:rsidRPr="00A81659" w14:paraId="5A63F63B" w14:textId="77777777" w:rsidTr="00A40926">
        <w:tc>
          <w:tcPr>
            <w:tcW w:w="1167" w:type="dxa"/>
            <w:tcBorders>
              <w:left w:val="nil"/>
              <w:bottom w:val="single" w:sz="4" w:space="0" w:color="auto"/>
              <w:right w:val="nil"/>
            </w:tcBorders>
            <w:hideMark/>
          </w:tcPr>
          <w:p w14:paraId="028785DC" w14:textId="77777777" w:rsidR="001F3611" w:rsidRPr="00A81659" w:rsidRDefault="001F3611" w:rsidP="00A81659">
            <w:pPr>
              <w:spacing w:after="120"/>
              <w:jc w:val="center"/>
              <w:rPr>
                <w:rFonts w:ascii="Times New Roman" w:eastAsia="Times New Roman" w:hAnsi="Times New Roman" w:cs="Times New Roman"/>
                <w:b/>
                <w:bCs/>
                <w:kern w:val="0"/>
                <w14:ligatures w14:val="none"/>
              </w:rPr>
            </w:pPr>
            <w:r w:rsidRPr="00A81659">
              <w:rPr>
                <w:rFonts w:ascii="Times New Roman" w:eastAsia="Times New Roman" w:hAnsi="Times New Roman" w:cs="Times New Roman"/>
                <w:b/>
                <w:bCs/>
                <w:kern w:val="0"/>
                <w14:ligatures w14:val="none"/>
              </w:rPr>
              <w:t>Borehole</w:t>
            </w:r>
          </w:p>
        </w:tc>
        <w:tc>
          <w:tcPr>
            <w:tcW w:w="721" w:type="dxa"/>
            <w:tcBorders>
              <w:top w:val="single" w:sz="8" w:space="0" w:color="000000"/>
              <w:left w:val="nil"/>
              <w:bottom w:val="single" w:sz="8" w:space="0" w:color="000000"/>
              <w:right w:val="nil"/>
            </w:tcBorders>
          </w:tcPr>
          <w:p w14:paraId="0E3B651F" w14:textId="246E2A3E" w:rsidR="001F3611" w:rsidRPr="00A81659" w:rsidRDefault="001F3611" w:rsidP="00A81659">
            <w:pPr>
              <w:spacing w:after="120"/>
              <w:jc w:val="center"/>
              <w:rPr>
                <w:rFonts w:ascii="Times New Roman" w:eastAsia="Times New Roman" w:hAnsi="Times New Roman" w:cs="Times New Roman"/>
                <w:b/>
                <w:bCs/>
                <w:kern w:val="0"/>
                <w14:ligatures w14:val="none"/>
              </w:rPr>
            </w:pPr>
            <w:r w:rsidRPr="00A81659">
              <w:rPr>
                <w:rFonts w:ascii="Times New Roman" w:hAnsi="Times New Roman" w:cs="Times New Roman"/>
                <w:b/>
                <w:bCs/>
              </w:rPr>
              <w:t>Lat</w:t>
            </w:r>
            <w:r w:rsidR="00A40926">
              <w:rPr>
                <w:rFonts w:ascii="Times New Roman" w:hAnsi="Times New Roman" w:cs="Times New Roman"/>
                <w:b/>
                <w:bCs/>
              </w:rPr>
              <w:t>.</w:t>
            </w:r>
          </w:p>
        </w:tc>
        <w:tc>
          <w:tcPr>
            <w:tcW w:w="810" w:type="dxa"/>
            <w:tcBorders>
              <w:top w:val="single" w:sz="8" w:space="0" w:color="000000"/>
              <w:left w:val="nil"/>
              <w:bottom w:val="single" w:sz="8" w:space="0" w:color="000000"/>
              <w:right w:val="nil"/>
            </w:tcBorders>
          </w:tcPr>
          <w:p w14:paraId="0B8B7D48" w14:textId="31573F67" w:rsidR="001F3611" w:rsidRPr="00A81659" w:rsidRDefault="001F3611" w:rsidP="00A81659">
            <w:pPr>
              <w:spacing w:after="120"/>
              <w:jc w:val="center"/>
              <w:rPr>
                <w:rFonts w:ascii="Times New Roman" w:eastAsia="Times New Roman" w:hAnsi="Times New Roman" w:cs="Times New Roman"/>
                <w:b/>
                <w:bCs/>
                <w:kern w:val="0"/>
                <w14:ligatures w14:val="none"/>
              </w:rPr>
            </w:pPr>
            <w:r w:rsidRPr="00A81659">
              <w:rPr>
                <w:rFonts w:ascii="Times New Roman" w:hAnsi="Times New Roman" w:cs="Times New Roman"/>
                <w:b/>
                <w:bCs/>
              </w:rPr>
              <w:t>Long</w:t>
            </w:r>
            <w:r w:rsidR="00A40926">
              <w:rPr>
                <w:rFonts w:ascii="Times New Roman" w:hAnsi="Times New Roman" w:cs="Times New Roman"/>
                <w:b/>
                <w:bCs/>
              </w:rPr>
              <w:t>.</w:t>
            </w:r>
          </w:p>
        </w:tc>
        <w:tc>
          <w:tcPr>
            <w:tcW w:w="1458" w:type="dxa"/>
            <w:tcBorders>
              <w:top w:val="single" w:sz="8" w:space="0" w:color="000000"/>
              <w:left w:val="nil"/>
              <w:bottom w:val="single" w:sz="8" w:space="0" w:color="000000"/>
              <w:right w:val="nil"/>
            </w:tcBorders>
          </w:tcPr>
          <w:p w14:paraId="603E70E3" w14:textId="53932140" w:rsidR="001F3611" w:rsidRPr="00A81659" w:rsidRDefault="001F3611" w:rsidP="00A81659">
            <w:pPr>
              <w:spacing w:after="120"/>
              <w:jc w:val="center"/>
              <w:rPr>
                <w:rFonts w:ascii="Times New Roman" w:eastAsia="Times New Roman" w:hAnsi="Times New Roman" w:cs="Times New Roman"/>
                <w:b/>
                <w:bCs/>
                <w:kern w:val="0"/>
                <w14:ligatures w14:val="none"/>
              </w:rPr>
            </w:pPr>
            <w:r w:rsidRPr="00A81659">
              <w:rPr>
                <w:rFonts w:ascii="Times New Roman" w:hAnsi="Times New Roman" w:cs="Times New Roman"/>
                <w:b/>
                <w:bCs/>
              </w:rPr>
              <w:t>Town</w:t>
            </w:r>
          </w:p>
        </w:tc>
        <w:tc>
          <w:tcPr>
            <w:tcW w:w="1379" w:type="dxa"/>
            <w:tcBorders>
              <w:left w:val="nil"/>
              <w:bottom w:val="single" w:sz="4" w:space="0" w:color="auto"/>
              <w:right w:val="nil"/>
            </w:tcBorders>
            <w:hideMark/>
          </w:tcPr>
          <w:p w14:paraId="2426F3A2" w14:textId="08848DBE" w:rsidR="001F3611" w:rsidRPr="00A81659" w:rsidRDefault="001F3611" w:rsidP="00A81659">
            <w:pPr>
              <w:spacing w:after="120"/>
              <w:jc w:val="center"/>
              <w:rPr>
                <w:rFonts w:ascii="Times New Roman" w:eastAsia="Times New Roman" w:hAnsi="Times New Roman" w:cs="Times New Roman"/>
                <w:b/>
                <w:bCs/>
                <w:kern w:val="0"/>
                <w14:ligatures w14:val="none"/>
              </w:rPr>
            </w:pPr>
            <w:r w:rsidRPr="00A81659">
              <w:rPr>
                <w:rFonts w:ascii="Times New Roman" w:eastAsia="Times New Roman" w:hAnsi="Times New Roman" w:cs="Times New Roman"/>
                <w:b/>
                <w:bCs/>
                <w:kern w:val="0"/>
                <w14:ligatures w14:val="none"/>
              </w:rPr>
              <w:t>pH</w:t>
            </w:r>
          </w:p>
        </w:tc>
        <w:tc>
          <w:tcPr>
            <w:tcW w:w="1424" w:type="dxa"/>
            <w:tcBorders>
              <w:left w:val="nil"/>
              <w:bottom w:val="single" w:sz="4" w:space="0" w:color="auto"/>
              <w:right w:val="nil"/>
            </w:tcBorders>
            <w:hideMark/>
          </w:tcPr>
          <w:p w14:paraId="055D55DD" w14:textId="77777777" w:rsidR="001F3611" w:rsidRPr="00A81659" w:rsidRDefault="001F3611" w:rsidP="00A81659">
            <w:pPr>
              <w:spacing w:after="120"/>
              <w:jc w:val="center"/>
              <w:rPr>
                <w:rFonts w:ascii="Times New Roman" w:eastAsia="Times New Roman" w:hAnsi="Times New Roman" w:cs="Times New Roman"/>
                <w:b/>
                <w:bCs/>
                <w:kern w:val="0"/>
                <w14:ligatures w14:val="none"/>
              </w:rPr>
            </w:pPr>
            <w:r w:rsidRPr="00A81659">
              <w:rPr>
                <w:rFonts w:ascii="Times New Roman" w:eastAsia="Times New Roman" w:hAnsi="Times New Roman" w:cs="Times New Roman"/>
                <w:b/>
                <w:bCs/>
                <w:kern w:val="0"/>
                <w14:ligatures w14:val="none"/>
              </w:rPr>
              <w:t>EC (µS/cm)</w:t>
            </w:r>
          </w:p>
        </w:tc>
        <w:tc>
          <w:tcPr>
            <w:tcW w:w="1420" w:type="dxa"/>
            <w:tcBorders>
              <w:left w:val="nil"/>
              <w:bottom w:val="single" w:sz="4" w:space="0" w:color="auto"/>
              <w:right w:val="nil"/>
            </w:tcBorders>
            <w:hideMark/>
          </w:tcPr>
          <w:p w14:paraId="68B3B8C1" w14:textId="77777777" w:rsidR="001F3611" w:rsidRPr="00A81659" w:rsidRDefault="001F3611" w:rsidP="00A81659">
            <w:pPr>
              <w:spacing w:after="120"/>
              <w:jc w:val="center"/>
              <w:rPr>
                <w:rFonts w:ascii="Times New Roman" w:eastAsia="Times New Roman" w:hAnsi="Times New Roman" w:cs="Times New Roman"/>
                <w:b/>
                <w:bCs/>
                <w:kern w:val="0"/>
                <w14:ligatures w14:val="none"/>
              </w:rPr>
            </w:pPr>
            <w:r w:rsidRPr="00A81659">
              <w:rPr>
                <w:rFonts w:ascii="Times New Roman" w:eastAsia="Times New Roman" w:hAnsi="Times New Roman" w:cs="Times New Roman"/>
                <w:b/>
                <w:bCs/>
                <w:kern w:val="0"/>
                <w14:ligatures w14:val="none"/>
              </w:rPr>
              <w:t>TDS (mg/L)</w:t>
            </w:r>
          </w:p>
        </w:tc>
        <w:tc>
          <w:tcPr>
            <w:tcW w:w="1251" w:type="dxa"/>
            <w:tcBorders>
              <w:left w:val="nil"/>
              <w:bottom w:val="single" w:sz="4" w:space="0" w:color="auto"/>
              <w:right w:val="nil"/>
            </w:tcBorders>
            <w:hideMark/>
          </w:tcPr>
          <w:p w14:paraId="51C3AA2A" w14:textId="77777777" w:rsidR="001F3611" w:rsidRPr="00A81659" w:rsidRDefault="001F3611" w:rsidP="00A81659">
            <w:pPr>
              <w:spacing w:after="120"/>
              <w:jc w:val="center"/>
              <w:rPr>
                <w:rFonts w:ascii="Times New Roman" w:eastAsia="Times New Roman" w:hAnsi="Times New Roman" w:cs="Times New Roman"/>
                <w:b/>
                <w:bCs/>
                <w:kern w:val="0"/>
                <w14:ligatures w14:val="none"/>
              </w:rPr>
            </w:pPr>
            <w:r w:rsidRPr="00A81659">
              <w:rPr>
                <w:rFonts w:ascii="Times New Roman" w:eastAsia="Times New Roman" w:hAnsi="Times New Roman" w:cs="Times New Roman"/>
                <w:b/>
                <w:bCs/>
                <w:kern w:val="0"/>
                <w14:ligatures w14:val="none"/>
              </w:rPr>
              <w:t>TSS (mg/L)</w:t>
            </w:r>
          </w:p>
        </w:tc>
      </w:tr>
      <w:tr w:rsidR="001F3611" w:rsidRPr="00A81659" w14:paraId="22425CAC" w14:textId="77777777" w:rsidTr="00A40926">
        <w:tc>
          <w:tcPr>
            <w:tcW w:w="1167" w:type="dxa"/>
            <w:tcBorders>
              <w:left w:val="nil"/>
              <w:bottom w:val="nil"/>
              <w:right w:val="nil"/>
            </w:tcBorders>
            <w:hideMark/>
          </w:tcPr>
          <w:p w14:paraId="47EA21A1" w14:textId="77777777"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BH1</w:t>
            </w:r>
          </w:p>
        </w:tc>
        <w:tc>
          <w:tcPr>
            <w:tcW w:w="721" w:type="dxa"/>
            <w:tcBorders>
              <w:top w:val="single" w:sz="8" w:space="0" w:color="000000"/>
              <w:left w:val="nil"/>
              <w:bottom w:val="nil"/>
              <w:right w:val="nil"/>
            </w:tcBorders>
          </w:tcPr>
          <w:p w14:paraId="654C02BC" w14:textId="7A6CD270"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5.0414 </w:t>
            </w:r>
          </w:p>
        </w:tc>
        <w:tc>
          <w:tcPr>
            <w:tcW w:w="810" w:type="dxa"/>
            <w:tcBorders>
              <w:top w:val="single" w:sz="8" w:space="0" w:color="000000"/>
              <w:left w:val="nil"/>
              <w:bottom w:val="nil"/>
              <w:right w:val="nil"/>
            </w:tcBorders>
          </w:tcPr>
          <w:p w14:paraId="3C956746" w14:textId="3BD21E34"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6.1723 </w:t>
            </w:r>
          </w:p>
        </w:tc>
        <w:tc>
          <w:tcPr>
            <w:tcW w:w="1458" w:type="dxa"/>
            <w:tcBorders>
              <w:top w:val="single" w:sz="8" w:space="0" w:color="000000"/>
              <w:left w:val="nil"/>
              <w:bottom w:val="nil"/>
              <w:right w:val="nil"/>
            </w:tcBorders>
          </w:tcPr>
          <w:p w14:paraId="2C109DC2" w14:textId="06DD9320" w:rsidR="001F3611" w:rsidRPr="00A81659" w:rsidRDefault="001F3611" w:rsidP="00A81659">
            <w:pPr>
              <w:jc w:val="both"/>
              <w:rPr>
                <w:rFonts w:ascii="Times New Roman" w:eastAsia="Times New Roman" w:hAnsi="Times New Roman" w:cs="Times New Roman"/>
                <w:kern w:val="0"/>
                <w:sz w:val="16"/>
                <w:szCs w:val="16"/>
                <w14:ligatures w14:val="none"/>
              </w:rPr>
            </w:pPr>
            <w:r w:rsidRPr="00A81659">
              <w:rPr>
                <w:rFonts w:ascii="Times New Roman" w:hAnsi="Times New Roman" w:cs="Times New Roman"/>
                <w:sz w:val="16"/>
                <w:szCs w:val="16"/>
              </w:rPr>
              <w:t>Gbaran-Ama</w:t>
            </w:r>
          </w:p>
        </w:tc>
        <w:tc>
          <w:tcPr>
            <w:tcW w:w="1379" w:type="dxa"/>
            <w:tcBorders>
              <w:left w:val="nil"/>
              <w:bottom w:val="nil"/>
              <w:right w:val="nil"/>
            </w:tcBorders>
            <w:hideMark/>
          </w:tcPr>
          <w:p w14:paraId="7C19026A" w14:textId="567D9D83"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5.57 ± 0.05ᵃ</w:t>
            </w:r>
          </w:p>
        </w:tc>
        <w:tc>
          <w:tcPr>
            <w:tcW w:w="1424" w:type="dxa"/>
            <w:tcBorders>
              <w:left w:val="nil"/>
              <w:bottom w:val="nil"/>
              <w:right w:val="nil"/>
            </w:tcBorders>
            <w:hideMark/>
          </w:tcPr>
          <w:p w14:paraId="667E900C"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142.30 ± 3.10ᵇ</w:t>
            </w:r>
          </w:p>
        </w:tc>
        <w:tc>
          <w:tcPr>
            <w:tcW w:w="1420" w:type="dxa"/>
            <w:tcBorders>
              <w:left w:val="nil"/>
              <w:bottom w:val="nil"/>
              <w:right w:val="nil"/>
            </w:tcBorders>
            <w:hideMark/>
          </w:tcPr>
          <w:p w14:paraId="2068F9CC"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71.15 ± 1.85ᵇ</w:t>
            </w:r>
          </w:p>
        </w:tc>
        <w:tc>
          <w:tcPr>
            <w:tcW w:w="1251" w:type="dxa"/>
            <w:tcBorders>
              <w:left w:val="nil"/>
              <w:bottom w:val="nil"/>
              <w:right w:val="nil"/>
            </w:tcBorders>
            <w:hideMark/>
          </w:tcPr>
          <w:p w14:paraId="7643CDFD"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0.06 ± 0.01ᵃ</w:t>
            </w:r>
          </w:p>
        </w:tc>
      </w:tr>
      <w:tr w:rsidR="001F3611" w:rsidRPr="00A81659" w14:paraId="7E54FBB2" w14:textId="77777777" w:rsidTr="00A40926">
        <w:tc>
          <w:tcPr>
            <w:tcW w:w="1167" w:type="dxa"/>
            <w:tcBorders>
              <w:top w:val="nil"/>
              <w:left w:val="nil"/>
              <w:bottom w:val="nil"/>
              <w:right w:val="nil"/>
            </w:tcBorders>
            <w:hideMark/>
          </w:tcPr>
          <w:p w14:paraId="66E9EC67" w14:textId="77777777"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BH2</w:t>
            </w:r>
          </w:p>
        </w:tc>
        <w:tc>
          <w:tcPr>
            <w:tcW w:w="721" w:type="dxa"/>
            <w:tcBorders>
              <w:top w:val="nil"/>
              <w:left w:val="nil"/>
              <w:bottom w:val="nil"/>
              <w:right w:val="nil"/>
            </w:tcBorders>
          </w:tcPr>
          <w:p w14:paraId="36F30EA2" w14:textId="7D61EB1E"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5.0418 </w:t>
            </w:r>
          </w:p>
        </w:tc>
        <w:tc>
          <w:tcPr>
            <w:tcW w:w="810" w:type="dxa"/>
            <w:tcBorders>
              <w:top w:val="nil"/>
              <w:left w:val="nil"/>
              <w:bottom w:val="nil"/>
              <w:right w:val="nil"/>
            </w:tcBorders>
          </w:tcPr>
          <w:p w14:paraId="1D60C603" w14:textId="3085DC74"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6.1458 </w:t>
            </w:r>
          </w:p>
        </w:tc>
        <w:tc>
          <w:tcPr>
            <w:tcW w:w="1458" w:type="dxa"/>
            <w:tcBorders>
              <w:top w:val="nil"/>
              <w:left w:val="nil"/>
              <w:bottom w:val="nil"/>
              <w:right w:val="nil"/>
            </w:tcBorders>
          </w:tcPr>
          <w:p w14:paraId="2D9B8C49" w14:textId="1A67200A" w:rsidR="001F3611" w:rsidRPr="00A81659" w:rsidRDefault="001F3611" w:rsidP="00A81659">
            <w:pPr>
              <w:jc w:val="both"/>
              <w:rPr>
                <w:rFonts w:ascii="Times New Roman" w:eastAsia="Times New Roman" w:hAnsi="Times New Roman" w:cs="Times New Roman"/>
                <w:kern w:val="0"/>
                <w:sz w:val="16"/>
                <w:szCs w:val="16"/>
                <w14:ligatures w14:val="none"/>
              </w:rPr>
            </w:pPr>
            <w:proofErr w:type="spellStart"/>
            <w:r w:rsidRPr="00A81659">
              <w:rPr>
                <w:rFonts w:ascii="Times New Roman" w:hAnsi="Times New Roman" w:cs="Times New Roman"/>
                <w:sz w:val="16"/>
                <w:szCs w:val="16"/>
              </w:rPr>
              <w:t>Orubiri</w:t>
            </w:r>
            <w:proofErr w:type="spellEnd"/>
            <w:r w:rsidRPr="00A81659">
              <w:rPr>
                <w:rFonts w:ascii="Times New Roman" w:hAnsi="Times New Roman" w:cs="Times New Roman"/>
                <w:sz w:val="16"/>
                <w:szCs w:val="16"/>
              </w:rPr>
              <w:t xml:space="preserve">-Ama </w:t>
            </w:r>
          </w:p>
        </w:tc>
        <w:tc>
          <w:tcPr>
            <w:tcW w:w="1379" w:type="dxa"/>
            <w:tcBorders>
              <w:top w:val="nil"/>
              <w:left w:val="nil"/>
              <w:bottom w:val="nil"/>
              <w:right w:val="nil"/>
            </w:tcBorders>
            <w:hideMark/>
          </w:tcPr>
          <w:p w14:paraId="371F14EB" w14:textId="1480D5EC"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5.79 ± 0.06ᵃ</w:t>
            </w:r>
          </w:p>
        </w:tc>
        <w:tc>
          <w:tcPr>
            <w:tcW w:w="1424" w:type="dxa"/>
            <w:tcBorders>
              <w:top w:val="nil"/>
              <w:left w:val="nil"/>
              <w:bottom w:val="nil"/>
              <w:right w:val="nil"/>
            </w:tcBorders>
            <w:hideMark/>
          </w:tcPr>
          <w:p w14:paraId="3E724B9F"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168.42 ± 4.02ᶜ</w:t>
            </w:r>
          </w:p>
        </w:tc>
        <w:tc>
          <w:tcPr>
            <w:tcW w:w="1420" w:type="dxa"/>
            <w:tcBorders>
              <w:top w:val="nil"/>
              <w:left w:val="nil"/>
              <w:bottom w:val="nil"/>
              <w:right w:val="nil"/>
            </w:tcBorders>
            <w:hideMark/>
          </w:tcPr>
          <w:p w14:paraId="41CBDAD8"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84.21 ± 2.10ᶜ</w:t>
            </w:r>
          </w:p>
        </w:tc>
        <w:tc>
          <w:tcPr>
            <w:tcW w:w="1251" w:type="dxa"/>
            <w:tcBorders>
              <w:top w:val="nil"/>
              <w:left w:val="nil"/>
              <w:bottom w:val="nil"/>
              <w:right w:val="nil"/>
            </w:tcBorders>
            <w:hideMark/>
          </w:tcPr>
          <w:p w14:paraId="44976044"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0.18 ± 0.02ᵃ</w:t>
            </w:r>
          </w:p>
        </w:tc>
      </w:tr>
      <w:tr w:rsidR="001F3611" w:rsidRPr="00A81659" w14:paraId="3F197A6E" w14:textId="77777777" w:rsidTr="00A40926">
        <w:tc>
          <w:tcPr>
            <w:tcW w:w="1167" w:type="dxa"/>
            <w:tcBorders>
              <w:top w:val="nil"/>
              <w:left w:val="nil"/>
              <w:bottom w:val="nil"/>
              <w:right w:val="nil"/>
            </w:tcBorders>
            <w:hideMark/>
          </w:tcPr>
          <w:p w14:paraId="1D48EA8E" w14:textId="77777777"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BH3</w:t>
            </w:r>
          </w:p>
        </w:tc>
        <w:tc>
          <w:tcPr>
            <w:tcW w:w="721" w:type="dxa"/>
            <w:tcBorders>
              <w:top w:val="nil"/>
              <w:left w:val="nil"/>
              <w:bottom w:val="nil"/>
              <w:right w:val="nil"/>
            </w:tcBorders>
          </w:tcPr>
          <w:p w14:paraId="02481936" w14:textId="0144E791"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5.0425 </w:t>
            </w:r>
          </w:p>
        </w:tc>
        <w:tc>
          <w:tcPr>
            <w:tcW w:w="810" w:type="dxa"/>
            <w:tcBorders>
              <w:top w:val="nil"/>
              <w:left w:val="nil"/>
              <w:bottom w:val="nil"/>
              <w:right w:val="nil"/>
            </w:tcBorders>
          </w:tcPr>
          <w:p w14:paraId="1F2716D1" w14:textId="4B74678A"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6.1661 </w:t>
            </w:r>
          </w:p>
        </w:tc>
        <w:tc>
          <w:tcPr>
            <w:tcW w:w="1458" w:type="dxa"/>
            <w:tcBorders>
              <w:top w:val="nil"/>
              <w:left w:val="nil"/>
              <w:bottom w:val="nil"/>
              <w:right w:val="nil"/>
            </w:tcBorders>
          </w:tcPr>
          <w:p w14:paraId="1435093A" w14:textId="4BB4E603" w:rsidR="001F3611" w:rsidRPr="00A81659" w:rsidRDefault="001F3611" w:rsidP="00A81659">
            <w:pPr>
              <w:jc w:val="both"/>
              <w:rPr>
                <w:rFonts w:ascii="Times New Roman" w:eastAsia="Times New Roman" w:hAnsi="Times New Roman" w:cs="Times New Roman"/>
                <w:kern w:val="0"/>
                <w:sz w:val="16"/>
                <w:szCs w:val="16"/>
                <w14:ligatures w14:val="none"/>
              </w:rPr>
            </w:pPr>
            <w:proofErr w:type="spellStart"/>
            <w:r w:rsidRPr="00A81659">
              <w:rPr>
                <w:rFonts w:ascii="Times New Roman" w:hAnsi="Times New Roman" w:cs="Times New Roman"/>
                <w:sz w:val="16"/>
                <w:szCs w:val="16"/>
              </w:rPr>
              <w:t>Ofonibiri</w:t>
            </w:r>
            <w:proofErr w:type="spellEnd"/>
            <w:r w:rsidRPr="00A81659">
              <w:rPr>
                <w:rFonts w:ascii="Times New Roman" w:hAnsi="Times New Roman" w:cs="Times New Roman"/>
                <w:sz w:val="16"/>
                <w:szCs w:val="16"/>
              </w:rPr>
              <w:t xml:space="preserve">-Ama </w:t>
            </w:r>
          </w:p>
        </w:tc>
        <w:tc>
          <w:tcPr>
            <w:tcW w:w="1379" w:type="dxa"/>
            <w:tcBorders>
              <w:top w:val="nil"/>
              <w:left w:val="nil"/>
              <w:bottom w:val="nil"/>
              <w:right w:val="nil"/>
            </w:tcBorders>
            <w:hideMark/>
          </w:tcPr>
          <w:p w14:paraId="115B0C0D" w14:textId="4361A649"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6.41 ± 0.04ᵇ</w:t>
            </w:r>
          </w:p>
        </w:tc>
        <w:tc>
          <w:tcPr>
            <w:tcW w:w="1424" w:type="dxa"/>
            <w:tcBorders>
              <w:top w:val="nil"/>
              <w:left w:val="nil"/>
              <w:bottom w:val="nil"/>
              <w:right w:val="nil"/>
            </w:tcBorders>
            <w:hideMark/>
          </w:tcPr>
          <w:p w14:paraId="6CEA069E"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198.50 ± 3.65ᵈ</w:t>
            </w:r>
          </w:p>
        </w:tc>
        <w:tc>
          <w:tcPr>
            <w:tcW w:w="1420" w:type="dxa"/>
            <w:tcBorders>
              <w:top w:val="nil"/>
              <w:left w:val="nil"/>
              <w:bottom w:val="nil"/>
              <w:right w:val="nil"/>
            </w:tcBorders>
            <w:hideMark/>
          </w:tcPr>
          <w:p w14:paraId="690CC891"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99.25 ± 2.45ᵈ</w:t>
            </w:r>
          </w:p>
        </w:tc>
        <w:tc>
          <w:tcPr>
            <w:tcW w:w="1251" w:type="dxa"/>
            <w:tcBorders>
              <w:top w:val="nil"/>
              <w:left w:val="nil"/>
              <w:bottom w:val="nil"/>
              <w:right w:val="nil"/>
            </w:tcBorders>
            <w:hideMark/>
          </w:tcPr>
          <w:p w14:paraId="2A77558B"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0.05 ± 0.01ᵃ</w:t>
            </w:r>
          </w:p>
        </w:tc>
      </w:tr>
      <w:tr w:rsidR="001F3611" w:rsidRPr="00A81659" w14:paraId="75D87C8C" w14:textId="77777777" w:rsidTr="00A40926">
        <w:tc>
          <w:tcPr>
            <w:tcW w:w="1167" w:type="dxa"/>
            <w:tcBorders>
              <w:top w:val="nil"/>
              <w:left w:val="nil"/>
              <w:bottom w:val="nil"/>
              <w:right w:val="nil"/>
            </w:tcBorders>
            <w:hideMark/>
          </w:tcPr>
          <w:p w14:paraId="4F7AABFF" w14:textId="77777777"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BH4</w:t>
            </w:r>
          </w:p>
        </w:tc>
        <w:tc>
          <w:tcPr>
            <w:tcW w:w="721" w:type="dxa"/>
            <w:tcBorders>
              <w:top w:val="nil"/>
              <w:left w:val="nil"/>
              <w:bottom w:val="nil"/>
              <w:right w:val="nil"/>
            </w:tcBorders>
          </w:tcPr>
          <w:p w14:paraId="31F0BFFE" w14:textId="75E8CDF7"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5.0426</w:t>
            </w:r>
          </w:p>
        </w:tc>
        <w:tc>
          <w:tcPr>
            <w:tcW w:w="810" w:type="dxa"/>
            <w:tcBorders>
              <w:top w:val="nil"/>
              <w:left w:val="nil"/>
              <w:bottom w:val="nil"/>
              <w:right w:val="nil"/>
            </w:tcBorders>
          </w:tcPr>
          <w:p w14:paraId="3FD7404B" w14:textId="7F326481"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6.6164 </w:t>
            </w:r>
          </w:p>
        </w:tc>
        <w:tc>
          <w:tcPr>
            <w:tcW w:w="1458" w:type="dxa"/>
            <w:tcBorders>
              <w:top w:val="nil"/>
              <w:left w:val="nil"/>
              <w:bottom w:val="nil"/>
              <w:right w:val="nil"/>
            </w:tcBorders>
          </w:tcPr>
          <w:p w14:paraId="5B950B31" w14:textId="4B4698BB" w:rsidR="001F3611" w:rsidRPr="00A81659" w:rsidRDefault="001F3611" w:rsidP="00A81659">
            <w:pPr>
              <w:jc w:val="both"/>
              <w:rPr>
                <w:rFonts w:ascii="Times New Roman" w:eastAsia="Times New Roman" w:hAnsi="Times New Roman" w:cs="Times New Roman"/>
                <w:kern w:val="0"/>
                <w:sz w:val="16"/>
                <w:szCs w:val="16"/>
                <w14:ligatures w14:val="none"/>
              </w:rPr>
            </w:pPr>
            <w:proofErr w:type="spellStart"/>
            <w:r w:rsidRPr="00A81659">
              <w:rPr>
                <w:rFonts w:ascii="Times New Roman" w:hAnsi="Times New Roman" w:cs="Times New Roman"/>
                <w:sz w:val="16"/>
                <w:szCs w:val="16"/>
              </w:rPr>
              <w:t>Igbanwari</w:t>
            </w:r>
            <w:proofErr w:type="spellEnd"/>
            <w:r w:rsidRPr="00A81659">
              <w:rPr>
                <w:rFonts w:ascii="Times New Roman" w:hAnsi="Times New Roman" w:cs="Times New Roman"/>
                <w:sz w:val="16"/>
                <w:szCs w:val="16"/>
              </w:rPr>
              <w:t>-Ama 1</w:t>
            </w:r>
          </w:p>
        </w:tc>
        <w:tc>
          <w:tcPr>
            <w:tcW w:w="1379" w:type="dxa"/>
            <w:tcBorders>
              <w:top w:val="nil"/>
              <w:left w:val="nil"/>
              <w:bottom w:val="nil"/>
              <w:right w:val="nil"/>
            </w:tcBorders>
            <w:hideMark/>
          </w:tcPr>
          <w:p w14:paraId="30252DE7" w14:textId="51AFAD3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5.74 ± 0.03ᵃ</w:t>
            </w:r>
          </w:p>
        </w:tc>
        <w:tc>
          <w:tcPr>
            <w:tcW w:w="1424" w:type="dxa"/>
            <w:tcBorders>
              <w:top w:val="nil"/>
              <w:left w:val="nil"/>
              <w:bottom w:val="nil"/>
              <w:right w:val="nil"/>
            </w:tcBorders>
            <w:hideMark/>
          </w:tcPr>
          <w:p w14:paraId="1D5ECFB6"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241.60 ± 4.55ᵉ</w:t>
            </w:r>
          </w:p>
        </w:tc>
        <w:tc>
          <w:tcPr>
            <w:tcW w:w="1420" w:type="dxa"/>
            <w:tcBorders>
              <w:top w:val="nil"/>
              <w:left w:val="nil"/>
              <w:bottom w:val="nil"/>
              <w:right w:val="nil"/>
            </w:tcBorders>
            <w:hideMark/>
          </w:tcPr>
          <w:p w14:paraId="595335F5"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120.80 ± 3.10ᵉ</w:t>
            </w:r>
          </w:p>
        </w:tc>
        <w:tc>
          <w:tcPr>
            <w:tcW w:w="1251" w:type="dxa"/>
            <w:tcBorders>
              <w:top w:val="nil"/>
              <w:left w:val="nil"/>
              <w:bottom w:val="nil"/>
              <w:right w:val="nil"/>
            </w:tcBorders>
            <w:hideMark/>
          </w:tcPr>
          <w:p w14:paraId="6849E4B9"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0.24 ± 0.03ᵇ</w:t>
            </w:r>
          </w:p>
        </w:tc>
      </w:tr>
      <w:tr w:rsidR="001F3611" w:rsidRPr="00A81659" w14:paraId="1DCF1C1E" w14:textId="77777777" w:rsidTr="00A40926">
        <w:tc>
          <w:tcPr>
            <w:tcW w:w="1167" w:type="dxa"/>
            <w:tcBorders>
              <w:top w:val="nil"/>
              <w:left w:val="nil"/>
              <w:bottom w:val="nil"/>
              <w:right w:val="nil"/>
            </w:tcBorders>
            <w:hideMark/>
          </w:tcPr>
          <w:p w14:paraId="0D2F03EB" w14:textId="77777777"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BH5</w:t>
            </w:r>
          </w:p>
        </w:tc>
        <w:tc>
          <w:tcPr>
            <w:tcW w:w="721" w:type="dxa"/>
            <w:tcBorders>
              <w:top w:val="nil"/>
              <w:left w:val="nil"/>
              <w:bottom w:val="nil"/>
              <w:right w:val="nil"/>
            </w:tcBorders>
          </w:tcPr>
          <w:p w14:paraId="7C9D8280" w14:textId="6E5E1F1D"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5.0404 </w:t>
            </w:r>
          </w:p>
        </w:tc>
        <w:tc>
          <w:tcPr>
            <w:tcW w:w="810" w:type="dxa"/>
            <w:tcBorders>
              <w:top w:val="nil"/>
              <w:left w:val="nil"/>
              <w:bottom w:val="nil"/>
              <w:right w:val="nil"/>
            </w:tcBorders>
          </w:tcPr>
          <w:p w14:paraId="51C369EC" w14:textId="2BDC8BEE"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6.0723 </w:t>
            </w:r>
          </w:p>
        </w:tc>
        <w:tc>
          <w:tcPr>
            <w:tcW w:w="1458" w:type="dxa"/>
            <w:tcBorders>
              <w:top w:val="nil"/>
              <w:left w:val="nil"/>
              <w:bottom w:val="nil"/>
              <w:right w:val="nil"/>
            </w:tcBorders>
          </w:tcPr>
          <w:p w14:paraId="1B104546" w14:textId="46F0EE9F" w:rsidR="001F3611" w:rsidRPr="00A81659" w:rsidRDefault="001F3611" w:rsidP="00A81659">
            <w:pPr>
              <w:jc w:val="both"/>
              <w:rPr>
                <w:rFonts w:ascii="Times New Roman" w:eastAsia="Times New Roman" w:hAnsi="Times New Roman" w:cs="Times New Roman"/>
                <w:kern w:val="0"/>
                <w:sz w:val="16"/>
                <w:szCs w:val="16"/>
                <w14:ligatures w14:val="none"/>
              </w:rPr>
            </w:pPr>
            <w:proofErr w:type="spellStart"/>
            <w:r w:rsidRPr="00A81659">
              <w:rPr>
                <w:rFonts w:ascii="Times New Roman" w:hAnsi="Times New Roman" w:cs="Times New Roman"/>
                <w:sz w:val="16"/>
                <w:szCs w:val="16"/>
              </w:rPr>
              <w:t>Ayakoro</w:t>
            </w:r>
            <w:proofErr w:type="spellEnd"/>
            <w:r w:rsidRPr="00A81659">
              <w:rPr>
                <w:rFonts w:ascii="Times New Roman" w:hAnsi="Times New Roman" w:cs="Times New Roman"/>
                <w:sz w:val="16"/>
                <w:szCs w:val="16"/>
              </w:rPr>
              <w:t xml:space="preserve">-Ama </w:t>
            </w:r>
          </w:p>
        </w:tc>
        <w:tc>
          <w:tcPr>
            <w:tcW w:w="1379" w:type="dxa"/>
            <w:tcBorders>
              <w:top w:val="nil"/>
              <w:left w:val="nil"/>
              <w:bottom w:val="nil"/>
              <w:right w:val="nil"/>
            </w:tcBorders>
            <w:hideMark/>
          </w:tcPr>
          <w:p w14:paraId="5FB607FD" w14:textId="7FDB4C6F"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5.95 ± 0.05ᵃᵇ</w:t>
            </w:r>
          </w:p>
        </w:tc>
        <w:tc>
          <w:tcPr>
            <w:tcW w:w="1424" w:type="dxa"/>
            <w:tcBorders>
              <w:top w:val="nil"/>
              <w:left w:val="nil"/>
              <w:bottom w:val="nil"/>
              <w:right w:val="nil"/>
            </w:tcBorders>
            <w:hideMark/>
          </w:tcPr>
          <w:p w14:paraId="655D68E6"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259.00 ± 5.10ᵉ</w:t>
            </w:r>
          </w:p>
        </w:tc>
        <w:tc>
          <w:tcPr>
            <w:tcW w:w="1420" w:type="dxa"/>
            <w:tcBorders>
              <w:top w:val="nil"/>
              <w:left w:val="nil"/>
              <w:bottom w:val="nil"/>
              <w:right w:val="nil"/>
            </w:tcBorders>
            <w:hideMark/>
          </w:tcPr>
          <w:p w14:paraId="4B8E2049"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129.50 ± 3.45ᵉ</w:t>
            </w:r>
          </w:p>
        </w:tc>
        <w:tc>
          <w:tcPr>
            <w:tcW w:w="1251" w:type="dxa"/>
            <w:tcBorders>
              <w:top w:val="nil"/>
              <w:left w:val="nil"/>
              <w:bottom w:val="nil"/>
              <w:right w:val="nil"/>
            </w:tcBorders>
            <w:hideMark/>
          </w:tcPr>
          <w:p w14:paraId="26797D78"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0.15 ± 0.02ᵃ</w:t>
            </w:r>
          </w:p>
        </w:tc>
      </w:tr>
      <w:tr w:rsidR="001F3611" w:rsidRPr="00A81659" w14:paraId="28558A59" w14:textId="77777777" w:rsidTr="00A40926">
        <w:tc>
          <w:tcPr>
            <w:tcW w:w="1167" w:type="dxa"/>
            <w:tcBorders>
              <w:top w:val="nil"/>
              <w:left w:val="nil"/>
              <w:bottom w:val="nil"/>
              <w:right w:val="nil"/>
            </w:tcBorders>
            <w:hideMark/>
          </w:tcPr>
          <w:p w14:paraId="2D76753B" w14:textId="77777777"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BH6</w:t>
            </w:r>
          </w:p>
        </w:tc>
        <w:tc>
          <w:tcPr>
            <w:tcW w:w="721" w:type="dxa"/>
            <w:tcBorders>
              <w:top w:val="nil"/>
              <w:left w:val="nil"/>
              <w:bottom w:val="nil"/>
              <w:right w:val="nil"/>
            </w:tcBorders>
          </w:tcPr>
          <w:p w14:paraId="5B3A942C" w14:textId="23FF1657"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5.0430 </w:t>
            </w:r>
          </w:p>
        </w:tc>
        <w:tc>
          <w:tcPr>
            <w:tcW w:w="810" w:type="dxa"/>
            <w:tcBorders>
              <w:top w:val="nil"/>
              <w:left w:val="nil"/>
              <w:bottom w:val="nil"/>
              <w:right w:val="nil"/>
            </w:tcBorders>
          </w:tcPr>
          <w:p w14:paraId="7047D624" w14:textId="0C08D383"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6.1638 </w:t>
            </w:r>
          </w:p>
        </w:tc>
        <w:tc>
          <w:tcPr>
            <w:tcW w:w="1458" w:type="dxa"/>
            <w:tcBorders>
              <w:top w:val="nil"/>
              <w:left w:val="nil"/>
              <w:bottom w:val="nil"/>
              <w:right w:val="nil"/>
            </w:tcBorders>
          </w:tcPr>
          <w:p w14:paraId="223C69E7" w14:textId="49A6FC24" w:rsidR="001F3611" w:rsidRPr="00A81659" w:rsidRDefault="001F3611" w:rsidP="00A81659">
            <w:pPr>
              <w:jc w:val="both"/>
              <w:rPr>
                <w:rFonts w:ascii="Times New Roman" w:eastAsia="Times New Roman" w:hAnsi="Times New Roman" w:cs="Times New Roman"/>
                <w:kern w:val="0"/>
                <w:sz w:val="16"/>
                <w:szCs w:val="16"/>
                <w14:ligatures w14:val="none"/>
              </w:rPr>
            </w:pPr>
            <w:proofErr w:type="spellStart"/>
            <w:r w:rsidRPr="00A81659">
              <w:rPr>
                <w:rFonts w:ascii="Times New Roman" w:hAnsi="Times New Roman" w:cs="Times New Roman"/>
                <w:sz w:val="16"/>
                <w:szCs w:val="16"/>
              </w:rPr>
              <w:t>Igbanwari</w:t>
            </w:r>
            <w:proofErr w:type="spellEnd"/>
            <w:r w:rsidRPr="00A81659">
              <w:rPr>
                <w:rFonts w:ascii="Times New Roman" w:hAnsi="Times New Roman" w:cs="Times New Roman"/>
                <w:sz w:val="16"/>
                <w:szCs w:val="16"/>
              </w:rPr>
              <w:t>-Ama 2</w:t>
            </w:r>
          </w:p>
        </w:tc>
        <w:tc>
          <w:tcPr>
            <w:tcW w:w="1379" w:type="dxa"/>
            <w:tcBorders>
              <w:top w:val="nil"/>
              <w:left w:val="nil"/>
              <w:bottom w:val="nil"/>
              <w:right w:val="nil"/>
            </w:tcBorders>
            <w:hideMark/>
          </w:tcPr>
          <w:p w14:paraId="347C131A" w14:textId="5A3E4726"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6.15 ± 0.05ᵇ</w:t>
            </w:r>
          </w:p>
        </w:tc>
        <w:tc>
          <w:tcPr>
            <w:tcW w:w="1424" w:type="dxa"/>
            <w:tcBorders>
              <w:top w:val="nil"/>
              <w:left w:val="nil"/>
              <w:bottom w:val="nil"/>
              <w:right w:val="nil"/>
            </w:tcBorders>
            <w:hideMark/>
          </w:tcPr>
          <w:p w14:paraId="16F5AEE7"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121.30 ± 2.80ᵇ</w:t>
            </w:r>
          </w:p>
        </w:tc>
        <w:tc>
          <w:tcPr>
            <w:tcW w:w="1420" w:type="dxa"/>
            <w:tcBorders>
              <w:top w:val="nil"/>
              <w:left w:val="nil"/>
              <w:bottom w:val="nil"/>
              <w:right w:val="nil"/>
            </w:tcBorders>
            <w:hideMark/>
          </w:tcPr>
          <w:p w14:paraId="6A43A151"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121.30 ± 2.90ᵉ</w:t>
            </w:r>
          </w:p>
        </w:tc>
        <w:tc>
          <w:tcPr>
            <w:tcW w:w="1251" w:type="dxa"/>
            <w:tcBorders>
              <w:top w:val="nil"/>
              <w:left w:val="nil"/>
              <w:bottom w:val="nil"/>
              <w:right w:val="nil"/>
            </w:tcBorders>
            <w:hideMark/>
          </w:tcPr>
          <w:p w14:paraId="3F90929E"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0.17 ± 0.02ᵃ</w:t>
            </w:r>
          </w:p>
        </w:tc>
      </w:tr>
      <w:tr w:rsidR="001F3611" w:rsidRPr="00A81659" w14:paraId="7AB80931" w14:textId="77777777" w:rsidTr="00A40926">
        <w:tc>
          <w:tcPr>
            <w:tcW w:w="1167" w:type="dxa"/>
            <w:tcBorders>
              <w:top w:val="nil"/>
              <w:left w:val="nil"/>
              <w:bottom w:val="nil"/>
              <w:right w:val="nil"/>
            </w:tcBorders>
            <w:hideMark/>
          </w:tcPr>
          <w:p w14:paraId="74A92EBA" w14:textId="77777777"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BH7</w:t>
            </w:r>
          </w:p>
        </w:tc>
        <w:tc>
          <w:tcPr>
            <w:tcW w:w="721" w:type="dxa"/>
            <w:tcBorders>
              <w:top w:val="nil"/>
              <w:left w:val="nil"/>
              <w:bottom w:val="nil"/>
              <w:right w:val="nil"/>
            </w:tcBorders>
          </w:tcPr>
          <w:p w14:paraId="206FCF63" w14:textId="2623C9B8"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5.0438 </w:t>
            </w:r>
          </w:p>
        </w:tc>
        <w:tc>
          <w:tcPr>
            <w:tcW w:w="810" w:type="dxa"/>
            <w:tcBorders>
              <w:top w:val="nil"/>
              <w:left w:val="nil"/>
              <w:bottom w:val="nil"/>
              <w:right w:val="nil"/>
            </w:tcBorders>
          </w:tcPr>
          <w:p w14:paraId="082087C9" w14:textId="45FE6D1D"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6.1616 </w:t>
            </w:r>
          </w:p>
        </w:tc>
        <w:tc>
          <w:tcPr>
            <w:tcW w:w="1458" w:type="dxa"/>
            <w:tcBorders>
              <w:top w:val="nil"/>
              <w:left w:val="nil"/>
              <w:bottom w:val="nil"/>
              <w:right w:val="nil"/>
            </w:tcBorders>
          </w:tcPr>
          <w:p w14:paraId="55F7B353" w14:textId="4CACC022" w:rsidR="001F3611" w:rsidRPr="00A81659" w:rsidRDefault="001F3611" w:rsidP="00A81659">
            <w:pPr>
              <w:jc w:val="both"/>
              <w:rPr>
                <w:rFonts w:ascii="Times New Roman" w:eastAsia="Times New Roman" w:hAnsi="Times New Roman" w:cs="Times New Roman"/>
                <w:kern w:val="0"/>
                <w:sz w:val="16"/>
                <w:szCs w:val="16"/>
                <w14:ligatures w14:val="none"/>
              </w:rPr>
            </w:pPr>
            <w:proofErr w:type="spellStart"/>
            <w:r w:rsidRPr="00A81659">
              <w:rPr>
                <w:rFonts w:ascii="Times New Roman" w:hAnsi="Times New Roman" w:cs="Times New Roman"/>
                <w:sz w:val="16"/>
                <w:szCs w:val="16"/>
              </w:rPr>
              <w:t>Igbanwari</w:t>
            </w:r>
            <w:proofErr w:type="spellEnd"/>
            <w:r w:rsidRPr="00A81659">
              <w:rPr>
                <w:rFonts w:ascii="Times New Roman" w:hAnsi="Times New Roman" w:cs="Times New Roman"/>
                <w:sz w:val="16"/>
                <w:szCs w:val="16"/>
              </w:rPr>
              <w:t>-Ama 3</w:t>
            </w:r>
          </w:p>
        </w:tc>
        <w:tc>
          <w:tcPr>
            <w:tcW w:w="1379" w:type="dxa"/>
            <w:tcBorders>
              <w:top w:val="nil"/>
              <w:left w:val="nil"/>
              <w:bottom w:val="nil"/>
              <w:right w:val="nil"/>
            </w:tcBorders>
            <w:hideMark/>
          </w:tcPr>
          <w:p w14:paraId="197290D4" w14:textId="02B78861"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6.14 ± 0.05ᵇ</w:t>
            </w:r>
          </w:p>
        </w:tc>
        <w:tc>
          <w:tcPr>
            <w:tcW w:w="1424" w:type="dxa"/>
            <w:tcBorders>
              <w:top w:val="nil"/>
              <w:left w:val="nil"/>
              <w:bottom w:val="nil"/>
              <w:right w:val="nil"/>
            </w:tcBorders>
            <w:hideMark/>
          </w:tcPr>
          <w:p w14:paraId="5B2AE736"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129.52 ± 3.10ᵇ</w:t>
            </w:r>
          </w:p>
        </w:tc>
        <w:tc>
          <w:tcPr>
            <w:tcW w:w="1420" w:type="dxa"/>
            <w:tcBorders>
              <w:top w:val="nil"/>
              <w:left w:val="nil"/>
              <w:bottom w:val="nil"/>
              <w:right w:val="nil"/>
            </w:tcBorders>
            <w:hideMark/>
          </w:tcPr>
          <w:p w14:paraId="17F4E66D"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64.76 ± 1.90ᵇ</w:t>
            </w:r>
          </w:p>
        </w:tc>
        <w:tc>
          <w:tcPr>
            <w:tcW w:w="1251" w:type="dxa"/>
            <w:tcBorders>
              <w:top w:val="nil"/>
              <w:left w:val="nil"/>
              <w:bottom w:val="nil"/>
              <w:right w:val="nil"/>
            </w:tcBorders>
            <w:hideMark/>
          </w:tcPr>
          <w:p w14:paraId="293894FA"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0.28 ± 0.03ᵇ</w:t>
            </w:r>
          </w:p>
        </w:tc>
      </w:tr>
      <w:tr w:rsidR="001F3611" w:rsidRPr="00A81659" w14:paraId="7FB2A5C1" w14:textId="77777777" w:rsidTr="00A40926">
        <w:tc>
          <w:tcPr>
            <w:tcW w:w="1167" w:type="dxa"/>
            <w:tcBorders>
              <w:top w:val="nil"/>
              <w:left w:val="nil"/>
              <w:bottom w:val="nil"/>
              <w:right w:val="nil"/>
            </w:tcBorders>
            <w:hideMark/>
          </w:tcPr>
          <w:p w14:paraId="01459CDB" w14:textId="77777777"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BH8</w:t>
            </w:r>
          </w:p>
        </w:tc>
        <w:tc>
          <w:tcPr>
            <w:tcW w:w="721" w:type="dxa"/>
            <w:tcBorders>
              <w:top w:val="nil"/>
              <w:left w:val="nil"/>
              <w:bottom w:val="nil"/>
              <w:right w:val="nil"/>
            </w:tcBorders>
          </w:tcPr>
          <w:p w14:paraId="013EB3A3" w14:textId="10372FAC"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5.0446 </w:t>
            </w:r>
          </w:p>
        </w:tc>
        <w:tc>
          <w:tcPr>
            <w:tcW w:w="810" w:type="dxa"/>
            <w:tcBorders>
              <w:top w:val="nil"/>
              <w:left w:val="nil"/>
              <w:bottom w:val="nil"/>
              <w:right w:val="nil"/>
            </w:tcBorders>
          </w:tcPr>
          <w:p w14:paraId="72AA8755" w14:textId="302C81A6"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6.1557 </w:t>
            </w:r>
          </w:p>
        </w:tc>
        <w:tc>
          <w:tcPr>
            <w:tcW w:w="1458" w:type="dxa"/>
            <w:tcBorders>
              <w:top w:val="nil"/>
              <w:left w:val="nil"/>
              <w:bottom w:val="nil"/>
              <w:right w:val="nil"/>
            </w:tcBorders>
          </w:tcPr>
          <w:p w14:paraId="210BBB3E" w14:textId="36767E91" w:rsidR="001F3611" w:rsidRPr="00A81659" w:rsidRDefault="001F3611" w:rsidP="00A81659">
            <w:pPr>
              <w:jc w:val="both"/>
              <w:rPr>
                <w:rFonts w:ascii="Times New Roman" w:eastAsia="Times New Roman" w:hAnsi="Times New Roman" w:cs="Times New Roman"/>
                <w:kern w:val="0"/>
                <w:sz w:val="16"/>
                <w:szCs w:val="16"/>
                <w14:ligatures w14:val="none"/>
              </w:rPr>
            </w:pPr>
            <w:proofErr w:type="spellStart"/>
            <w:r w:rsidRPr="00A81659">
              <w:rPr>
                <w:rFonts w:ascii="Times New Roman" w:hAnsi="Times New Roman" w:cs="Times New Roman"/>
                <w:sz w:val="16"/>
                <w:szCs w:val="16"/>
              </w:rPr>
              <w:t>Ekpuwari</w:t>
            </w:r>
            <w:proofErr w:type="spellEnd"/>
            <w:r w:rsidRPr="00A81659">
              <w:rPr>
                <w:rFonts w:ascii="Times New Roman" w:hAnsi="Times New Roman" w:cs="Times New Roman"/>
                <w:sz w:val="16"/>
                <w:szCs w:val="16"/>
              </w:rPr>
              <w:t xml:space="preserve">-Ama </w:t>
            </w:r>
          </w:p>
        </w:tc>
        <w:tc>
          <w:tcPr>
            <w:tcW w:w="1379" w:type="dxa"/>
            <w:tcBorders>
              <w:top w:val="nil"/>
              <w:left w:val="nil"/>
              <w:bottom w:val="nil"/>
              <w:right w:val="nil"/>
            </w:tcBorders>
            <w:hideMark/>
          </w:tcPr>
          <w:p w14:paraId="669F415E" w14:textId="1AA758F0"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6.08 ± 0.04ᵇ</w:t>
            </w:r>
          </w:p>
        </w:tc>
        <w:tc>
          <w:tcPr>
            <w:tcW w:w="1424" w:type="dxa"/>
            <w:tcBorders>
              <w:top w:val="nil"/>
              <w:left w:val="nil"/>
              <w:bottom w:val="nil"/>
              <w:right w:val="nil"/>
            </w:tcBorders>
            <w:hideMark/>
          </w:tcPr>
          <w:p w14:paraId="069B9BC1"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94.30 ± 2.40ᵃ</w:t>
            </w:r>
          </w:p>
        </w:tc>
        <w:tc>
          <w:tcPr>
            <w:tcW w:w="1420" w:type="dxa"/>
            <w:tcBorders>
              <w:top w:val="nil"/>
              <w:left w:val="nil"/>
              <w:bottom w:val="nil"/>
              <w:right w:val="nil"/>
            </w:tcBorders>
            <w:hideMark/>
          </w:tcPr>
          <w:p w14:paraId="1AB2E992"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47.15 ± 1.20ᵃ</w:t>
            </w:r>
          </w:p>
        </w:tc>
        <w:tc>
          <w:tcPr>
            <w:tcW w:w="1251" w:type="dxa"/>
            <w:tcBorders>
              <w:top w:val="nil"/>
              <w:left w:val="nil"/>
              <w:bottom w:val="nil"/>
              <w:right w:val="nil"/>
            </w:tcBorders>
            <w:hideMark/>
          </w:tcPr>
          <w:p w14:paraId="5CB75131"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0.36 ± 0.04ᶜ</w:t>
            </w:r>
          </w:p>
        </w:tc>
      </w:tr>
      <w:tr w:rsidR="001F3611" w:rsidRPr="00A81659" w14:paraId="13B1EC4E" w14:textId="77777777" w:rsidTr="00A40926">
        <w:tc>
          <w:tcPr>
            <w:tcW w:w="1167" w:type="dxa"/>
            <w:tcBorders>
              <w:top w:val="nil"/>
              <w:left w:val="nil"/>
              <w:bottom w:val="nil"/>
              <w:right w:val="nil"/>
            </w:tcBorders>
            <w:hideMark/>
          </w:tcPr>
          <w:p w14:paraId="038DDEF8" w14:textId="77777777"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BH9</w:t>
            </w:r>
          </w:p>
        </w:tc>
        <w:tc>
          <w:tcPr>
            <w:tcW w:w="721" w:type="dxa"/>
            <w:tcBorders>
              <w:top w:val="nil"/>
              <w:left w:val="nil"/>
              <w:bottom w:val="nil"/>
              <w:right w:val="nil"/>
            </w:tcBorders>
          </w:tcPr>
          <w:p w14:paraId="4C9FF925" w14:textId="7AE26287"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5.0447 </w:t>
            </w:r>
          </w:p>
        </w:tc>
        <w:tc>
          <w:tcPr>
            <w:tcW w:w="810" w:type="dxa"/>
            <w:tcBorders>
              <w:top w:val="nil"/>
              <w:left w:val="nil"/>
              <w:bottom w:val="nil"/>
              <w:right w:val="nil"/>
            </w:tcBorders>
          </w:tcPr>
          <w:p w14:paraId="6A93D022" w14:textId="59EADDC9"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6.1553 </w:t>
            </w:r>
          </w:p>
        </w:tc>
        <w:tc>
          <w:tcPr>
            <w:tcW w:w="1458" w:type="dxa"/>
            <w:tcBorders>
              <w:top w:val="nil"/>
              <w:left w:val="nil"/>
              <w:bottom w:val="nil"/>
              <w:right w:val="nil"/>
            </w:tcBorders>
          </w:tcPr>
          <w:p w14:paraId="581C727D" w14:textId="224B54E4" w:rsidR="001F3611" w:rsidRPr="00A81659" w:rsidRDefault="001F3611" w:rsidP="00A81659">
            <w:pPr>
              <w:jc w:val="both"/>
              <w:rPr>
                <w:rFonts w:ascii="Times New Roman" w:eastAsia="Times New Roman" w:hAnsi="Times New Roman" w:cs="Times New Roman"/>
                <w:kern w:val="0"/>
                <w:sz w:val="16"/>
                <w:szCs w:val="16"/>
                <w14:ligatures w14:val="none"/>
              </w:rPr>
            </w:pPr>
            <w:proofErr w:type="spellStart"/>
            <w:r w:rsidRPr="00A81659">
              <w:rPr>
                <w:rFonts w:ascii="Times New Roman" w:hAnsi="Times New Roman" w:cs="Times New Roman"/>
                <w:sz w:val="16"/>
                <w:szCs w:val="16"/>
              </w:rPr>
              <w:t>Igbanwari</w:t>
            </w:r>
            <w:proofErr w:type="spellEnd"/>
            <w:r w:rsidRPr="00A81659">
              <w:rPr>
                <w:rFonts w:ascii="Times New Roman" w:hAnsi="Times New Roman" w:cs="Times New Roman"/>
                <w:sz w:val="16"/>
                <w:szCs w:val="16"/>
              </w:rPr>
              <w:t>-Ama 4</w:t>
            </w:r>
          </w:p>
        </w:tc>
        <w:tc>
          <w:tcPr>
            <w:tcW w:w="1379" w:type="dxa"/>
            <w:tcBorders>
              <w:top w:val="nil"/>
              <w:left w:val="nil"/>
              <w:bottom w:val="nil"/>
              <w:right w:val="nil"/>
            </w:tcBorders>
            <w:hideMark/>
          </w:tcPr>
          <w:p w14:paraId="74AF7B53" w14:textId="5A1AFB02"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5.83 ± 0.05ᵃ</w:t>
            </w:r>
          </w:p>
        </w:tc>
        <w:tc>
          <w:tcPr>
            <w:tcW w:w="1424" w:type="dxa"/>
            <w:tcBorders>
              <w:top w:val="nil"/>
              <w:left w:val="nil"/>
              <w:bottom w:val="nil"/>
              <w:right w:val="nil"/>
            </w:tcBorders>
            <w:hideMark/>
          </w:tcPr>
          <w:p w14:paraId="0B1B17F1"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108.42 ± 2.60ᵇ</w:t>
            </w:r>
          </w:p>
        </w:tc>
        <w:tc>
          <w:tcPr>
            <w:tcW w:w="1420" w:type="dxa"/>
            <w:tcBorders>
              <w:top w:val="nil"/>
              <w:left w:val="nil"/>
              <w:bottom w:val="nil"/>
              <w:right w:val="nil"/>
            </w:tcBorders>
            <w:hideMark/>
          </w:tcPr>
          <w:p w14:paraId="29722489"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54.21 ± 1.40ᵃ</w:t>
            </w:r>
          </w:p>
        </w:tc>
        <w:tc>
          <w:tcPr>
            <w:tcW w:w="1251" w:type="dxa"/>
            <w:tcBorders>
              <w:top w:val="nil"/>
              <w:left w:val="nil"/>
              <w:bottom w:val="nil"/>
              <w:right w:val="nil"/>
            </w:tcBorders>
            <w:hideMark/>
          </w:tcPr>
          <w:p w14:paraId="1AF06726"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1.20 ± 0.10ᵈ</w:t>
            </w:r>
          </w:p>
        </w:tc>
      </w:tr>
      <w:tr w:rsidR="001F3611" w:rsidRPr="00A81659" w14:paraId="53B07B36" w14:textId="77777777" w:rsidTr="00A40926">
        <w:tc>
          <w:tcPr>
            <w:tcW w:w="1167" w:type="dxa"/>
            <w:tcBorders>
              <w:top w:val="nil"/>
              <w:left w:val="nil"/>
              <w:bottom w:val="nil"/>
              <w:right w:val="nil"/>
            </w:tcBorders>
            <w:hideMark/>
          </w:tcPr>
          <w:p w14:paraId="2BC33B76" w14:textId="77777777"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BH10</w:t>
            </w:r>
          </w:p>
        </w:tc>
        <w:tc>
          <w:tcPr>
            <w:tcW w:w="721" w:type="dxa"/>
            <w:tcBorders>
              <w:top w:val="nil"/>
              <w:left w:val="nil"/>
              <w:bottom w:val="nil"/>
              <w:right w:val="nil"/>
            </w:tcBorders>
          </w:tcPr>
          <w:p w14:paraId="37E8E5AE" w14:textId="3F0485BF"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5.0449 </w:t>
            </w:r>
          </w:p>
        </w:tc>
        <w:tc>
          <w:tcPr>
            <w:tcW w:w="810" w:type="dxa"/>
            <w:tcBorders>
              <w:top w:val="nil"/>
              <w:left w:val="nil"/>
              <w:bottom w:val="nil"/>
              <w:right w:val="nil"/>
            </w:tcBorders>
          </w:tcPr>
          <w:p w14:paraId="1A56F5A3" w14:textId="2B8BBED7"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6.1546 </w:t>
            </w:r>
          </w:p>
        </w:tc>
        <w:tc>
          <w:tcPr>
            <w:tcW w:w="1458" w:type="dxa"/>
            <w:tcBorders>
              <w:top w:val="nil"/>
              <w:left w:val="nil"/>
              <w:bottom w:val="nil"/>
              <w:right w:val="nil"/>
            </w:tcBorders>
          </w:tcPr>
          <w:p w14:paraId="619A7284" w14:textId="2B24F867" w:rsidR="001F3611" w:rsidRPr="00A81659" w:rsidRDefault="001F3611" w:rsidP="00A81659">
            <w:pPr>
              <w:jc w:val="both"/>
              <w:rPr>
                <w:rFonts w:ascii="Times New Roman" w:eastAsia="Times New Roman" w:hAnsi="Times New Roman" w:cs="Times New Roman"/>
                <w:kern w:val="0"/>
                <w:sz w:val="16"/>
                <w:szCs w:val="16"/>
                <w14:ligatures w14:val="none"/>
              </w:rPr>
            </w:pPr>
            <w:proofErr w:type="spellStart"/>
            <w:r w:rsidRPr="00A81659">
              <w:rPr>
                <w:rFonts w:ascii="Times New Roman" w:hAnsi="Times New Roman" w:cs="Times New Roman"/>
                <w:sz w:val="16"/>
                <w:szCs w:val="16"/>
              </w:rPr>
              <w:t>Abuwari</w:t>
            </w:r>
            <w:proofErr w:type="spellEnd"/>
            <w:r w:rsidRPr="00A81659">
              <w:rPr>
                <w:rFonts w:ascii="Times New Roman" w:hAnsi="Times New Roman" w:cs="Times New Roman"/>
                <w:sz w:val="16"/>
                <w:szCs w:val="16"/>
              </w:rPr>
              <w:t xml:space="preserve">-Ama </w:t>
            </w:r>
          </w:p>
        </w:tc>
        <w:tc>
          <w:tcPr>
            <w:tcW w:w="1379" w:type="dxa"/>
            <w:tcBorders>
              <w:top w:val="nil"/>
              <w:left w:val="nil"/>
              <w:bottom w:val="nil"/>
              <w:right w:val="nil"/>
            </w:tcBorders>
            <w:hideMark/>
          </w:tcPr>
          <w:p w14:paraId="7BCCF083" w14:textId="5660FB6D"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5.94 ± 0.04ᵃᵇ</w:t>
            </w:r>
          </w:p>
        </w:tc>
        <w:tc>
          <w:tcPr>
            <w:tcW w:w="1424" w:type="dxa"/>
            <w:tcBorders>
              <w:top w:val="nil"/>
              <w:left w:val="nil"/>
              <w:bottom w:val="nil"/>
              <w:right w:val="nil"/>
            </w:tcBorders>
            <w:hideMark/>
          </w:tcPr>
          <w:p w14:paraId="0033B8D8"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72.61 ± 1.80ᵃ</w:t>
            </w:r>
          </w:p>
        </w:tc>
        <w:tc>
          <w:tcPr>
            <w:tcW w:w="1420" w:type="dxa"/>
            <w:tcBorders>
              <w:top w:val="nil"/>
              <w:left w:val="nil"/>
              <w:bottom w:val="nil"/>
              <w:right w:val="nil"/>
            </w:tcBorders>
            <w:hideMark/>
          </w:tcPr>
          <w:p w14:paraId="5B46F5A2"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36.30 ± 1.00ᵃ</w:t>
            </w:r>
          </w:p>
        </w:tc>
        <w:tc>
          <w:tcPr>
            <w:tcW w:w="1251" w:type="dxa"/>
            <w:tcBorders>
              <w:top w:val="nil"/>
              <w:left w:val="nil"/>
              <w:bottom w:val="nil"/>
              <w:right w:val="nil"/>
            </w:tcBorders>
            <w:hideMark/>
          </w:tcPr>
          <w:p w14:paraId="4C4A2669"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0.42 ± 0.05ᶜ</w:t>
            </w:r>
          </w:p>
        </w:tc>
      </w:tr>
      <w:tr w:rsidR="001F3611" w:rsidRPr="00A81659" w14:paraId="76591B9B" w14:textId="77777777" w:rsidTr="00A40926">
        <w:tc>
          <w:tcPr>
            <w:tcW w:w="1167" w:type="dxa"/>
            <w:tcBorders>
              <w:top w:val="nil"/>
              <w:left w:val="nil"/>
              <w:bottom w:val="nil"/>
              <w:right w:val="nil"/>
            </w:tcBorders>
            <w:hideMark/>
          </w:tcPr>
          <w:p w14:paraId="3473A421" w14:textId="77777777"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BH11</w:t>
            </w:r>
          </w:p>
        </w:tc>
        <w:tc>
          <w:tcPr>
            <w:tcW w:w="721" w:type="dxa"/>
            <w:tcBorders>
              <w:top w:val="nil"/>
              <w:left w:val="nil"/>
              <w:bottom w:val="nil"/>
              <w:right w:val="nil"/>
            </w:tcBorders>
          </w:tcPr>
          <w:p w14:paraId="72927BC7" w14:textId="445A4708"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5.0450 </w:t>
            </w:r>
          </w:p>
        </w:tc>
        <w:tc>
          <w:tcPr>
            <w:tcW w:w="810" w:type="dxa"/>
            <w:tcBorders>
              <w:top w:val="nil"/>
              <w:left w:val="nil"/>
              <w:bottom w:val="nil"/>
              <w:right w:val="nil"/>
            </w:tcBorders>
          </w:tcPr>
          <w:p w14:paraId="29629441" w14:textId="5663DFE9"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6.1541 </w:t>
            </w:r>
          </w:p>
        </w:tc>
        <w:tc>
          <w:tcPr>
            <w:tcW w:w="1458" w:type="dxa"/>
            <w:tcBorders>
              <w:top w:val="nil"/>
              <w:left w:val="nil"/>
              <w:bottom w:val="nil"/>
              <w:right w:val="nil"/>
            </w:tcBorders>
          </w:tcPr>
          <w:p w14:paraId="07083D83" w14:textId="5091DDF6" w:rsidR="001F3611" w:rsidRPr="00A81659" w:rsidRDefault="001F3611" w:rsidP="00A81659">
            <w:pPr>
              <w:jc w:val="both"/>
              <w:rPr>
                <w:rFonts w:ascii="Times New Roman" w:eastAsia="Times New Roman" w:hAnsi="Times New Roman" w:cs="Times New Roman"/>
                <w:kern w:val="0"/>
                <w:sz w:val="16"/>
                <w:szCs w:val="16"/>
                <w14:ligatures w14:val="none"/>
              </w:rPr>
            </w:pPr>
            <w:r w:rsidRPr="00A81659">
              <w:rPr>
                <w:rFonts w:ascii="Times New Roman" w:hAnsi="Times New Roman" w:cs="Times New Roman"/>
                <w:sz w:val="16"/>
                <w:szCs w:val="16"/>
              </w:rPr>
              <w:t xml:space="preserve">    Oyobu-Ama 1 </w:t>
            </w:r>
          </w:p>
        </w:tc>
        <w:tc>
          <w:tcPr>
            <w:tcW w:w="1379" w:type="dxa"/>
            <w:tcBorders>
              <w:top w:val="nil"/>
              <w:left w:val="nil"/>
              <w:bottom w:val="nil"/>
              <w:right w:val="nil"/>
            </w:tcBorders>
            <w:hideMark/>
          </w:tcPr>
          <w:p w14:paraId="536C53D7" w14:textId="7D281DB2"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6.32 ± 0.06ᵇ</w:t>
            </w:r>
          </w:p>
        </w:tc>
        <w:tc>
          <w:tcPr>
            <w:tcW w:w="1424" w:type="dxa"/>
            <w:tcBorders>
              <w:top w:val="nil"/>
              <w:left w:val="nil"/>
              <w:bottom w:val="nil"/>
              <w:right w:val="nil"/>
            </w:tcBorders>
            <w:hideMark/>
          </w:tcPr>
          <w:p w14:paraId="7DD92E60"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378.00 ± 6.80ᶠ</w:t>
            </w:r>
          </w:p>
        </w:tc>
        <w:tc>
          <w:tcPr>
            <w:tcW w:w="1420" w:type="dxa"/>
            <w:tcBorders>
              <w:top w:val="nil"/>
              <w:left w:val="nil"/>
              <w:bottom w:val="nil"/>
              <w:right w:val="nil"/>
            </w:tcBorders>
            <w:hideMark/>
          </w:tcPr>
          <w:p w14:paraId="0FD51FD3"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189.00 ± 4.50ᶠ</w:t>
            </w:r>
          </w:p>
        </w:tc>
        <w:tc>
          <w:tcPr>
            <w:tcW w:w="1251" w:type="dxa"/>
            <w:tcBorders>
              <w:top w:val="nil"/>
              <w:left w:val="nil"/>
              <w:bottom w:val="nil"/>
              <w:right w:val="nil"/>
            </w:tcBorders>
            <w:hideMark/>
          </w:tcPr>
          <w:p w14:paraId="7E329A5F"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0.56 ± 0.05ᶜ</w:t>
            </w:r>
          </w:p>
        </w:tc>
      </w:tr>
      <w:tr w:rsidR="001F3611" w:rsidRPr="00A81659" w14:paraId="3685B81A" w14:textId="77777777" w:rsidTr="00A40926">
        <w:tc>
          <w:tcPr>
            <w:tcW w:w="1167" w:type="dxa"/>
            <w:tcBorders>
              <w:top w:val="nil"/>
              <w:left w:val="nil"/>
              <w:bottom w:val="nil"/>
              <w:right w:val="nil"/>
            </w:tcBorders>
            <w:hideMark/>
          </w:tcPr>
          <w:p w14:paraId="5384F521" w14:textId="77777777"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BH12</w:t>
            </w:r>
          </w:p>
        </w:tc>
        <w:tc>
          <w:tcPr>
            <w:tcW w:w="721" w:type="dxa"/>
            <w:tcBorders>
              <w:top w:val="nil"/>
              <w:left w:val="nil"/>
              <w:bottom w:val="nil"/>
              <w:right w:val="nil"/>
            </w:tcBorders>
          </w:tcPr>
          <w:p w14:paraId="32D140B7" w14:textId="06FD0AED"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5.0451 </w:t>
            </w:r>
          </w:p>
        </w:tc>
        <w:tc>
          <w:tcPr>
            <w:tcW w:w="810" w:type="dxa"/>
            <w:tcBorders>
              <w:top w:val="nil"/>
              <w:left w:val="nil"/>
              <w:bottom w:val="nil"/>
              <w:right w:val="nil"/>
            </w:tcBorders>
          </w:tcPr>
          <w:p w14:paraId="7D506F5B" w14:textId="3498D06F"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6.1537 </w:t>
            </w:r>
          </w:p>
        </w:tc>
        <w:tc>
          <w:tcPr>
            <w:tcW w:w="1458" w:type="dxa"/>
            <w:tcBorders>
              <w:top w:val="nil"/>
              <w:left w:val="nil"/>
              <w:bottom w:val="nil"/>
              <w:right w:val="nil"/>
            </w:tcBorders>
          </w:tcPr>
          <w:p w14:paraId="61BECEE5" w14:textId="6580FDDA" w:rsidR="001F3611" w:rsidRPr="00A81659" w:rsidRDefault="001F3611" w:rsidP="00A81659">
            <w:pPr>
              <w:jc w:val="both"/>
              <w:rPr>
                <w:rFonts w:ascii="Times New Roman" w:eastAsia="Times New Roman" w:hAnsi="Times New Roman" w:cs="Times New Roman"/>
                <w:kern w:val="0"/>
                <w:sz w:val="16"/>
                <w:szCs w:val="16"/>
                <w14:ligatures w14:val="none"/>
              </w:rPr>
            </w:pPr>
            <w:proofErr w:type="spellStart"/>
            <w:r w:rsidRPr="00A81659">
              <w:rPr>
                <w:rFonts w:ascii="Times New Roman" w:hAnsi="Times New Roman" w:cs="Times New Roman"/>
                <w:sz w:val="16"/>
                <w:szCs w:val="16"/>
              </w:rPr>
              <w:t>Igbanwari</w:t>
            </w:r>
            <w:proofErr w:type="spellEnd"/>
            <w:r w:rsidRPr="00A81659">
              <w:rPr>
                <w:rFonts w:ascii="Times New Roman" w:hAnsi="Times New Roman" w:cs="Times New Roman"/>
                <w:sz w:val="16"/>
                <w:szCs w:val="16"/>
              </w:rPr>
              <w:t>-Ama 5</w:t>
            </w:r>
          </w:p>
        </w:tc>
        <w:tc>
          <w:tcPr>
            <w:tcW w:w="1379" w:type="dxa"/>
            <w:tcBorders>
              <w:top w:val="nil"/>
              <w:left w:val="nil"/>
              <w:bottom w:val="nil"/>
              <w:right w:val="nil"/>
            </w:tcBorders>
            <w:hideMark/>
          </w:tcPr>
          <w:p w14:paraId="2EBCDB84" w14:textId="622C8A34"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6.38 ± 0.05ᵇ</w:t>
            </w:r>
          </w:p>
        </w:tc>
        <w:tc>
          <w:tcPr>
            <w:tcW w:w="1424" w:type="dxa"/>
            <w:tcBorders>
              <w:top w:val="nil"/>
              <w:left w:val="nil"/>
              <w:bottom w:val="nil"/>
              <w:right w:val="nil"/>
            </w:tcBorders>
            <w:hideMark/>
          </w:tcPr>
          <w:p w14:paraId="1E3E1958"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102.40 ± 2.50ᵇ</w:t>
            </w:r>
          </w:p>
        </w:tc>
        <w:tc>
          <w:tcPr>
            <w:tcW w:w="1420" w:type="dxa"/>
            <w:tcBorders>
              <w:top w:val="nil"/>
              <w:left w:val="nil"/>
              <w:bottom w:val="nil"/>
              <w:right w:val="nil"/>
            </w:tcBorders>
            <w:hideMark/>
          </w:tcPr>
          <w:p w14:paraId="4F5EF5E5"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51.20 ± 1.35ᵃ</w:t>
            </w:r>
          </w:p>
        </w:tc>
        <w:tc>
          <w:tcPr>
            <w:tcW w:w="1251" w:type="dxa"/>
            <w:tcBorders>
              <w:top w:val="nil"/>
              <w:left w:val="nil"/>
              <w:bottom w:val="nil"/>
              <w:right w:val="nil"/>
            </w:tcBorders>
            <w:hideMark/>
          </w:tcPr>
          <w:p w14:paraId="090C437D"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0.62 ± 0.06ᶜ</w:t>
            </w:r>
          </w:p>
        </w:tc>
      </w:tr>
      <w:tr w:rsidR="001F3611" w:rsidRPr="00A81659" w14:paraId="6BB0AEFE" w14:textId="77777777" w:rsidTr="00A40926">
        <w:tc>
          <w:tcPr>
            <w:tcW w:w="1167" w:type="dxa"/>
            <w:tcBorders>
              <w:top w:val="nil"/>
              <w:left w:val="nil"/>
              <w:bottom w:val="nil"/>
              <w:right w:val="nil"/>
            </w:tcBorders>
            <w:hideMark/>
          </w:tcPr>
          <w:p w14:paraId="42F47EEF" w14:textId="77777777"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BH13</w:t>
            </w:r>
          </w:p>
        </w:tc>
        <w:tc>
          <w:tcPr>
            <w:tcW w:w="721" w:type="dxa"/>
            <w:tcBorders>
              <w:top w:val="nil"/>
              <w:left w:val="nil"/>
              <w:bottom w:val="nil"/>
              <w:right w:val="nil"/>
            </w:tcBorders>
          </w:tcPr>
          <w:p w14:paraId="11D8756F" w14:textId="209771A2"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5.0452 </w:t>
            </w:r>
          </w:p>
        </w:tc>
        <w:tc>
          <w:tcPr>
            <w:tcW w:w="810" w:type="dxa"/>
            <w:tcBorders>
              <w:top w:val="nil"/>
              <w:left w:val="nil"/>
              <w:bottom w:val="nil"/>
              <w:right w:val="nil"/>
            </w:tcBorders>
          </w:tcPr>
          <w:p w14:paraId="7BA94132" w14:textId="6CEF1ABB"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6.1523 </w:t>
            </w:r>
          </w:p>
        </w:tc>
        <w:tc>
          <w:tcPr>
            <w:tcW w:w="1458" w:type="dxa"/>
            <w:tcBorders>
              <w:top w:val="nil"/>
              <w:left w:val="nil"/>
              <w:bottom w:val="nil"/>
              <w:right w:val="nil"/>
            </w:tcBorders>
          </w:tcPr>
          <w:p w14:paraId="4DD6BAC8" w14:textId="2BE171B2" w:rsidR="001F3611" w:rsidRPr="00A81659" w:rsidRDefault="001F3611" w:rsidP="00A81659">
            <w:pPr>
              <w:jc w:val="both"/>
              <w:rPr>
                <w:rFonts w:ascii="Times New Roman" w:eastAsia="Times New Roman" w:hAnsi="Times New Roman" w:cs="Times New Roman"/>
                <w:kern w:val="0"/>
                <w:sz w:val="16"/>
                <w:szCs w:val="16"/>
                <w14:ligatures w14:val="none"/>
              </w:rPr>
            </w:pPr>
            <w:r w:rsidRPr="00A81659">
              <w:rPr>
                <w:rFonts w:ascii="Times New Roman" w:hAnsi="Times New Roman" w:cs="Times New Roman"/>
                <w:sz w:val="16"/>
                <w:szCs w:val="16"/>
              </w:rPr>
              <w:t xml:space="preserve">    Oyobu-Ama 2</w:t>
            </w:r>
          </w:p>
        </w:tc>
        <w:tc>
          <w:tcPr>
            <w:tcW w:w="1379" w:type="dxa"/>
            <w:tcBorders>
              <w:top w:val="nil"/>
              <w:left w:val="nil"/>
              <w:bottom w:val="nil"/>
              <w:right w:val="nil"/>
            </w:tcBorders>
            <w:hideMark/>
          </w:tcPr>
          <w:p w14:paraId="38B66739" w14:textId="70141782"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6.40 ± 0.05ᵇ</w:t>
            </w:r>
          </w:p>
        </w:tc>
        <w:tc>
          <w:tcPr>
            <w:tcW w:w="1424" w:type="dxa"/>
            <w:tcBorders>
              <w:top w:val="nil"/>
              <w:left w:val="nil"/>
              <w:bottom w:val="nil"/>
              <w:right w:val="nil"/>
            </w:tcBorders>
            <w:hideMark/>
          </w:tcPr>
          <w:p w14:paraId="48A2CBB9"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128.70 ± 3.10ᵇ</w:t>
            </w:r>
          </w:p>
        </w:tc>
        <w:tc>
          <w:tcPr>
            <w:tcW w:w="1420" w:type="dxa"/>
            <w:tcBorders>
              <w:top w:val="nil"/>
              <w:left w:val="nil"/>
              <w:bottom w:val="nil"/>
              <w:right w:val="nil"/>
            </w:tcBorders>
            <w:hideMark/>
          </w:tcPr>
          <w:p w14:paraId="286E6621"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64.35 ± 1.80ᵇ</w:t>
            </w:r>
          </w:p>
        </w:tc>
        <w:tc>
          <w:tcPr>
            <w:tcW w:w="1251" w:type="dxa"/>
            <w:tcBorders>
              <w:top w:val="nil"/>
              <w:left w:val="nil"/>
              <w:bottom w:val="nil"/>
              <w:right w:val="nil"/>
            </w:tcBorders>
            <w:hideMark/>
          </w:tcPr>
          <w:p w14:paraId="2E50C560"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0.72 ± 0.07ᶜ</w:t>
            </w:r>
          </w:p>
        </w:tc>
      </w:tr>
      <w:tr w:rsidR="001F3611" w:rsidRPr="00A81659" w14:paraId="6F651FBB" w14:textId="77777777" w:rsidTr="00A40926">
        <w:tc>
          <w:tcPr>
            <w:tcW w:w="1167" w:type="dxa"/>
            <w:tcBorders>
              <w:top w:val="nil"/>
              <w:left w:val="nil"/>
              <w:bottom w:val="nil"/>
              <w:right w:val="nil"/>
            </w:tcBorders>
            <w:hideMark/>
          </w:tcPr>
          <w:p w14:paraId="74362C2C" w14:textId="77777777"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BH14</w:t>
            </w:r>
          </w:p>
        </w:tc>
        <w:tc>
          <w:tcPr>
            <w:tcW w:w="721" w:type="dxa"/>
            <w:tcBorders>
              <w:top w:val="nil"/>
              <w:left w:val="nil"/>
              <w:bottom w:val="nil"/>
              <w:right w:val="nil"/>
            </w:tcBorders>
          </w:tcPr>
          <w:p w14:paraId="6EB76642" w14:textId="02D37396"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5.0453 </w:t>
            </w:r>
          </w:p>
        </w:tc>
        <w:tc>
          <w:tcPr>
            <w:tcW w:w="810" w:type="dxa"/>
            <w:tcBorders>
              <w:top w:val="nil"/>
              <w:left w:val="nil"/>
              <w:bottom w:val="nil"/>
              <w:right w:val="nil"/>
            </w:tcBorders>
          </w:tcPr>
          <w:p w14:paraId="057875A0" w14:textId="050604A2"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hAnsi="Times New Roman" w:cs="Times New Roman"/>
                <w:sz w:val="18"/>
                <w:szCs w:val="18"/>
              </w:rPr>
              <w:t xml:space="preserve">6.1527 </w:t>
            </w:r>
          </w:p>
        </w:tc>
        <w:tc>
          <w:tcPr>
            <w:tcW w:w="1458" w:type="dxa"/>
            <w:tcBorders>
              <w:top w:val="nil"/>
              <w:left w:val="nil"/>
              <w:bottom w:val="nil"/>
              <w:right w:val="nil"/>
            </w:tcBorders>
          </w:tcPr>
          <w:p w14:paraId="3E6B3D54" w14:textId="52EC64BD" w:rsidR="001F3611" w:rsidRPr="00A81659" w:rsidRDefault="001F3611" w:rsidP="00A81659">
            <w:pPr>
              <w:jc w:val="both"/>
              <w:rPr>
                <w:rFonts w:ascii="Times New Roman" w:eastAsia="Times New Roman" w:hAnsi="Times New Roman" w:cs="Times New Roman"/>
                <w:kern w:val="0"/>
                <w:sz w:val="16"/>
                <w:szCs w:val="16"/>
                <w14:ligatures w14:val="none"/>
              </w:rPr>
            </w:pPr>
            <w:proofErr w:type="spellStart"/>
            <w:r w:rsidRPr="00A81659">
              <w:rPr>
                <w:rFonts w:ascii="Times New Roman" w:hAnsi="Times New Roman" w:cs="Times New Roman"/>
                <w:sz w:val="16"/>
                <w:szCs w:val="16"/>
              </w:rPr>
              <w:t>Akanranbiri</w:t>
            </w:r>
            <w:proofErr w:type="spellEnd"/>
            <w:r w:rsidRPr="00A81659">
              <w:rPr>
                <w:rFonts w:ascii="Times New Roman" w:hAnsi="Times New Roman" w:cs="Times New Roman"/>
                <w:sz w:val="16"/>
                <w:szCs w:val="16"/>
              </w:rPr>
              <w:t>-Ama 1</w:t>
            </w:r>
          </w:p>
        </w:tc>
        <w:tc>
          <w:tcPr>
            <w:tcW w:w="1379" w:type="dxa"/>
            <w:tcBorders>
              <w:top w:val="nil"/>
              <w:left w:val="nil"/>
              <w:bottom w:val="nil"/>
              <w:right w:val="nil"/>
            </w:tcBorders>
            <w:hideMark/>
          </w:tcPr>
          <w:p w14:paraId="5D499562" w14:textId="41C85B81"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6.87 ± 0.06ᶜ</w:t>
            </w:r>
          </w:p>
        </w:tc>
        <w:tc>
          <w:tcPr>
            <w:tcW w:w="1424" w:type="dxa"/>
            <w:tcBorders>
              <w:top w:val="nil"/>
              <w:left w:val="nil"/>
              <w:bottom w:val="nil"/>
              <w:right w:val="nil"/>
            </w:tcBorders>
            <w:hideMark/>
          </w:tcPr>
          <w:p w14:paraId="6AF4C51D"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237.32 ± 4.90ᵉ</w:t>
            </w:r>
          </w:p>
        </w:tc>
        <w:tc>
          <w:tcPr>
            <w:tcW w:w="1420" w:type="dxa"/>
            <w:tcBorders>
              <w:top w:val="nil"/>
              <w:left w:val="nil"/>
              <w:bottom w:val="nil"/>
              <w:right w:val="nil"/>
            </w:tcBorders>
            <w:hideMark/>
          </w:tcPr>
          <w:p w14:paraId="4B3AD4AF"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118.66 ± 2.95ᵉ</w:t>
            </w:r>
          </w:p>
        </w:tc>
        <w:tc>
          <w:tcPr>
            <w:tcW w:w="1251" w:type="dxa"/>
            <w:tcBorders>
              <w:top w:val="nil"/>
              <w:left w:val="nil"/>
              <w:bottom w:val="nil"/>
              <w:right w:val="nil"/>
            </w:tcBorders>
            <w:hideMark/>
          </w:tcPr>
          <w:p w14:paraId="2AFE0DD3"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1.32 ± 0.12ᵈ</w:t>
            </w:r>
          </w:p>
        </w:tc>
      </w:tr>
      <w:tr w:rsidR="001F3611" w:rsidRPr="00A81659" w14:paraId="77CC304F" w14:textId="77777777" w:rsidTr="00A40926">
        <w:tc>
          <w:tcPr>
            <w:tcW w:w="1167" w:type="dxa"/>
            <w:tcBorders>
              <w:top w:val="nil"/>
              <w:left w:val="nil"/>
              <w:bottom w:val="nil"/>
              <w:right w:val="nil"/>
            </w:tcBorders>
            <w:hideMark/>
          </w:tcPr>
          <w:p w14:paraId="157F3F19" w14:textId="77777777"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BH15</w:t>
            </w:r>
          </w:p>
        </w:tc>
        <w:tc>
          <w:tcPr>
            <w:tcW w:w="721" w:type="dxa"/>
            <w:tcBorders>
              <w:top w:val="nil"/>
              <w:left w:val="nil"/>
              <w:bottom w:val="nil"/>
              <w:right w:val="nil"/>
            </w:tcBorders>
          </w:tcPr>
          <w:p w14:paraId="45A3AACE" w14:textId="61E10541" w:rsidR="001F3611" w:rsidRPr="00A81659" w:rsidRDefault="001F3611" w:rsidP="00A81659">
            <w:pPr>
              <w:jc w:val="both"/>
              <w:rPr>
                <w:rFonts w:ascii="Times New Roman" w:eastAsia="Times New Roman" w:hAnsi="Times New Roman" w:cs="Times New Roman"/>
                <w:kern w:val="0"/>
                <w:sz w:val="18"/>
                <w:szCs w:val="18"/>
                <w14:ligatures w14:val="none"/>
              </w:rPr>
            </w:pPr>
            <w:r w:rsidRPr="00A81659">
              <w:rPr>
                <w:rFonts w:ascii="Times New Roman" w:hAnsi="Times New Roman" w:cs="Times New Roman"/>
                <w:sz w:val="18"/>
                <w:szCs w:val="18"/>
              </w:rPr>
              <w:t xml:space="preserve">5.0455 </w:t>
            </w:r>
          </w:p>
        </w:tc>
        <w:tc>
          <w:tcPr>
            <w:tcW w:w="810" w:type="dxa"/>
            <w:tcBorders>
              <w:top w:val="nil"/>
              <w:left w:val="nil"/>
              <w:bottom w:val="nil"/>
              <w:right w:val="nil"/>
            </w:tcBorders>
          </w:tcPr>
          <w:p w14:paraId="6D02C829" w14:textId="109380E2" w:rsidR="001F3611" w:rsidRPr="00A81659" w:rsidRDefault="001F3611" w:rsidP="00A81659">
            <w:pPr>
              <w:jc w:val="both"/>
              <w:rPr>
                <w:rFonts w:ascii="Times New Roman" w:eastAsia="Times New Roman" w:hAnsi="Times New Roman" w:cs="Times New Roman"/>
                <w:kern w:val="0"/>
                <w:sz w:val="18"/>
                <w:szCs w:val="18"/>
                <w14:ligatures w14:val="none"/>
              </w:rPr>
            </w:pPr>
            <w:r w:rsidRPr="00A81659">
              <w:rPr>
                <w:rFonts w:ascii="Times New Roman" w:hAnsi="Times New Roman" w:cs="Times New Roman"/>
                <w:sz w:val="18"/>
                <w:szCs w:val="18"/>
              </w:rPr>
              <w:t xml:space="preserve">6.1516 </w:t>
            </w:r>
          </w:p>
        </w:tc>
        <w:tc>
          <w:tcPr>
            <w:tcW w:w="1458" w:type="dxa"/>
            <w:tcBorders>
              <w:top w:val="nil"/>
              <w:left w:val="nil"/>
              <w:bottom w:val="nil"/>
              <w:right w:val="nil"/>
            </w:tcBorders>
          </w:tcPr>
          <w:p w14:paraId="6A81D1BF" w14:textId="05C411A8" w:rsidR="001F3611" w:rsidRPr="00A81659" w:rsidRDefault="001F3611" w:rsidP="00A81659">
            <w:pPr>
              <w:jc w:val="both"/>
              <w:rPr>
                <w:rFonts w:ascii="Times New Roman" w:eastAsia="Times New Roman" w:hAnsi="Times New Roman" w:cs="Times New Roman"/>
                <w:kern w:val="0"/>
                <w:sz w:val="18"/>
                <w:szCs w:val="18"/>
                <w14:ligatures w14:val="none"/>
              </w:rPr>
            </w:pPr>
            <w:proofErr w:type="spellStart"/>
            <w:r w:rsidRPr="00A81659">
              <w:rPr>
                <w:rFonts w:ascii="Times New Roman" w:hAnsi="Times New Roman" w:cs="Times New Roman"/>
                <w:sz w:val="16"/>
                <w:szCs w:val="16"/>
              </w:rPr>
              <w:t>Akanranbiri</w:t>
            </w:r>
            <w:proofErr w:type="spellEnd"/>
            <w:r w:rsidRPr="00A81659">
              <w:rPr>
                <w:rFonts w:ascii="Times New Roman" w:hAnsi="Times New Roman" w:cs="Times New Roman"/>
                <w:sz w:val="16"/>
                <w:szCs w:val="16"/>
              </w:rPr>
              <w:t>-Ama 2</w:t>
            </w:r>
          </w:p>
        </w:tc>
        <w:tc>
          <w:tcPr>
            <w:tcW w:w="1379" w:type="dxa"/>
            <w:tcBorders>
              <w:top w:val="nil"/>
              <w:left w:val="nil"/>
              <w:bottom w:val="nil"/>
              <w:right w:val="nil"/>
            </w:tcBorders>
            <w:hideMark/>
          </w:tcPr>
          <w:p w14:paraId="4DA466CA" w14:textId="331C94B6"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6.28 ± 0.05ᵇ</w:t>
            </w:r>
          </w:p>
        </w:tc>
        <w:tc>
          <w:tcPr>
            <w:tcW w:w="1424" w:type="dxa"/>
            <w:tcBorders>
              <w:top w:val="nil"/>
              <w:left w:val="nil"/>
              <w:bottom w:val="nil"/>
              <w:right w:val="nil"/>
            </w:tcBorders>
            <w:hideMark/>
          </w:tcPr>
          <w:p w14:paraId="370842E1"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133.52 ± 3.20ᵇ</w:t>
            </w:r>
          </w:p>
        </w:tc>
        <w:tc>
          <w:tcPr>
            <w:tcW w:w="1420" w:type="dxa"/>
            <w:tcBorders>
              <w:top w:val="nil"/>
              <w:left w:val="nil"/>
              <w:bottom w:val="nil"/>
              <w:right w:val="nil"/>
            </w:tcBorders>
            <w:hideMark/>
          </w:tcPr>
          <w:p w14:paraId="52FA7001"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66.76 ± 1.90ᵇ</w:t>
            </w:r>
          </w:p>
        </w:tc>
        <w:tc>
          <w:tcPr>
            <w:tcW w:w="1251" w:type="dxa"/>
            <w:tcBorders>
              <w:top w:val="nil"/>
              <w:left w:val="nil"/>
              <w:bottom w:val="nil"/>
              <w:right w:val="nil"/>
            </w:tcBorders>
            <w:hideMark/>
          </w:tcPr>
          <w:p w14:paraId="6CA7AE07"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0.08 ± 0.01ᵃ</w:t>
            </w:r>
          </w:p>
        </w:tc>
      </w:tr>
      <w:tr w:rsidR="001F3611" w:rsidRPr="00A81659" w14:paraId="429E8161" w14:textId="77777777" w:rsidTr="00A40926">
        <w:tc>
          <w:tcPr>
            <w:tcW w:w="1167" w:type="dxa"/>
            <w:tcBorders>
              <w:top w:val="nil"/>
              <w:left w:val="nil"/>
              <w:bottom w:val="nil"/>
              <w:right w:val="nil"/>
            </w:tcBorders>
            <w:hideMark/>
          </w:tcPr>
          <w:p w14:paraId="6F664AF2" w14:textId="77777777"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BH16</w:t>
            </w:r>
          </w:p>
        </w:tc>
        <w:tc>
          <w:tcPr>
            <w:tcW w:w="721" w:type="dxa"/>
            <w:tcBorders>
              <w:top w:val="nil"/>
              <w:left w:val="nil"/>
              <w:bottom w:val="nil"/>
              <w:right w:val="nil"/>
            </w:tcBorders>
          </w:tcPr>
          <w:p w14:paraId="4DFF402B" w14:textId="4DE60C4F" w:rsidR="001F3611" w:rsidRPr="00A81659" w:rsidRDefault="001F3611" w:rsidP="00A81659">
            <w:pPr>
              <w:jc w:val="both"/>
              <w:rPr>
                <w:rFonts w:ascii="Times New Roman" w:eastAsia="Times New Roman" w:hAnsi="Times New Roman" w:cs="Times New Roman"/>
                <w:kern w:val="0"/>
                <w:sz w:val="18"/>
                <w:szCs w:val="18"/>
                <w14:ligatures w14:val="none"/>
              </w:rPr>
            </w:pPr>
            <w:r w:rsidRPr="00A81659">
              <w:rPr>
                <w:rFonts w:ascii="Times New Roman" w:hAnsi="Times New Roman" w:cs="Times New Roman"/>
                <w:sz w:val="18"/>
                <w:szCs w:val="18"/>
              </w:rPr>
              <w:t xml:space="preserve">5.0456 </w:t>
            </w:r>
          </w:p>
        </w:tc>
        <w:tc>
          <w:tcPr>
            <w:tcW w:w="810" w:type="dxa"/>
            <w:tcBorders>
              <w:top w:val="nil"/>
              <w:left w:val="nil"/>
              <w:bottom w:val="nil"/>
              <w:right w:val="nil"/>
            </w:tcBorders>
          </w:tcPr>
          <w:p w14:paraId="21F5F0E3" w14:textId="0D7307F9" w:rsidR="001F3611" w:rsidRPr="00A81659" w:rsidRDefault="001F3611" w:rsidP="00A81659">
            <w:pPr>
              <w:jc w:val="both"/>
              <w:rPr>
                <w:rFonts w:ascii="Times New Roman" w:eastAsia="Times New Roman" w:hAnsi="Times New Roman" w:cs="Times New Roman"/>
                <w:kern w:val="0"/>
                <w:sz w:val="18"/>
                <w:szCs w:val="18"/>
                <w14:ligatures w14:val="none"/>
              </w:rPr>
            </w:pPr>
            <w:r w:rsidRPr="00A81659">
              <w:rPr>
                <w:rFonts w:ascii="Times New Roman" w:hAnsi="Times New Roman" w:cs="Times New Roman"/>
                <w:sz w:val="18"/>
                <w:szCs w:val="18"/>
              </w:rPr>
              <w:t xml:space="preserve">6.1516 </w:t>
            </w:r>
          </w:p>
        </w:tc>
        <w:tc>
          <w:tcPr>
            <w:tcW w:w="1458" w:type="dxa"/>
            <w:tcBorders>
              <w:top w:val="nil"/>
              <w:left w:val="nil"/>
              <w:bottom w:val="nil"/>
              <w:right w:val="nil"/>
            </w:tcBorders>
          </w:tcPr>
          <w:p w14:paraId="0B10E5CF" w14:textId="110583B2" w:rsidR="001F3611" w:rsidRPr="00A81659" w:rsidRDefault="001F3611" w:rsidP="00A81659">
            <w:pPr>
              <w:jc w:val="both"/>
              <w:rPr>
                <w:rFonts w:ascii="Times New Roman" w:eastAsia="Times New Roman" w:hAnsi="Times New Roman" w:cs="Times New Roman"/>
                <w:kern w:val="0"/>
                <w:sz w:val="18"/>
                <w:szCs w:val="18"/>
                <w14:ligatures w14:val="none"/>
              </w:rPr>
            </w:pPr>
            <w:proofErr w:type="spellStart"/>
            <w:r w:rsidRPr="00A81659">
              <w:rPr>
                <w:rFonts w:ascii="Times New Roman" w:hAnsi="Times New Roman" w:cs="Times New Roman"/>
                <w:sz w:val="18"/>
                <w:szCs w:val="18"/>
              </w:rPr>
              <w:t>Ayibabiri</w:t>
            </w:r>
            <w:proofErr w:type="spellEnd"/>
            <w:r w:rsidRPr="00A81659">
              <w:rPr>
                <w:rFonts w:ascii="Times New Roman" w:hAnsi="Times New Roman" w:cs="Times New Roman"/>
                <w:sz w:val="18"/>
                <w:szCs w:val="18"/>
              </w:rPr>
              <w:t>-Ama 1</w:t>
            </w:r>
          </w:p>
        </w:tc>
        <w:tc>
          <w:tcPr>
            <w:tcW w:w="1379" w:type="dxa"/>
            <w:tcBorders>
              <w:top w:val="nil"/>
              <w:left w:val="nil"/>
              <w:bottom w:val="nil"/>
              <w:right w:val="nil"/>
            </w:tcBorders>
            <w:hideMark/>
          </w:tcPr>
          <w:p w14:paraId="425616AE" w14:textId="11587F1B"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6.16 ± 0.05ᵇ</w:t>
            </w:r>
          </w:p>
        </w:tc>
        <w:tc>
          <w:tcPr>
            <w:tcW w:w="1424" w:type="dxa"/>
            <w:tcBorders>
              <w:top w:val="nil"/>
              <w:left w:val="nil"/>
              <w:bottom w:val="nil"/>
              <w:right w:val="nil"/>
            </w:tcBorders>
            <w:hideMark/>
          </w:tcPr>
          <w:p w14:paraId="7BB0F948"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129.40 ± 3.10ᵇ</w:t>
            </w:r>
          </w:p>
        </w:tc>
        <w:tc>
          <w:tcPr>
            <w:tcW w:w="1420" w:type="dxa"/>
            <w:tcBorders>
              <w:top w:val="nil"/>
              <w:left w:val="nil"/>
              <w:bottom w:val="nil"/>
              <w:right w:val="nil"/>
            </w:tcBorders>
            <w:hideMark/>
          </w:tcPr>
          <w:p w14:paraId="4F584AD2"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64.70 ± 1.85ᵇ</w:t>
            </w:r>
          </w:p>
        </w:tc>
        <w:tc>
          <w:tcPr>
            <w:tcW w:w="1251" w:type="dxa"/>
            <w:tcBorders>
              <w:top w:val="nil"/>
              <w:left w:val="nil"/>
              <w:bottom w:val="nil"/>
              <w:right w:val="nil"/>
            </w:tcBorders>
            <w:hideMark/>
          </w:tcPr>
          <w:p w14:paraId="093B4A4F"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0.12 ± 0.02ᵃ</w:t>
            </w:r>
          </w:p>
        </w:tc>
      </w:tr>
      <w:tr w:rsidR="001F3611" w:rsidRPr="00A81659" w14:paraId="0481945B" w14:textId="77777777" w:rsidTr="00A40926">
        <w:tc>
          <w:tcPr>
            <w:tcW w:w="1167" w:type="dxa"/>
            <w:tcBorders>
              <w:top w:val="nil"/>
              <w:left w:val="nil"/>
              <w:right w:val="nil"/>
            </w:tcBorders>
            <w:hideMark/>
          </w:tcPr>
          <w:p w14:paraId="55D6476B" w14:textId="77777777" w:rsidR="001F3611" w:rsidRPr="00A81659" w:rsidRDefault="001F3611"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BH17</w:t>
            </w:r>
          </w:p>
        </w:tc>
        <w:tc>
          <w:tcPr>
            <w:tcW w:w="721" w:type="dxa"/>
            <w:tcBorders>
              <w:top w:val="nil"/>
              <w:left w:val="nil"/>
              <w:bottom w:val="single" w:sz="8" w:space="0" w:color="000000"/>
              <w:right w:val="nil"/>
            </w:tcBorders>
          </w:tcPr>
          <w:p w14:paraId="3DD7E072" w14:textId="1B9A0BE6" w:rsidR="001F3611" w:rsidRPr="00A81659" w:rsidRDefault="001F3611" w:rsidP="00A81659">
            <w:pPr>
              <w:jc w:val="both"/>
              <w:rPr>
                <w:rFonts w:ascii="Times New Roman" w:eastAsia="Times New Roman" w:hAnsi="Times New Roman" w:cs="Times New Roman"/>
                <w:kern w:val="0"/>
                <w:sz w:val="18"/>
                <w:szCs w:val="18"/>
                <w14:ligatures w14:val="none"/>
              </w:rPr>
            </w:pPr>
            <w:r w:rsidRPr="00A81659">
              <w:rPr>
                <w:rFonts w:ascii="Times New Roman" w:hAnsi="Times New Roman" w:cs="Times New Roman"/>
                <w:sz w:val="18"/>
                <w:szCs w:val="18"/>
              </w:rPr>
              <w:t xml:space="preserve">5.0457 </w:t>
            </w:r>
          </w:p>
        </w:tc>
        <w:tc>
          <w:tcPr>
            <w:tcW w:w="810" w:type="dxa"/>
            <w:tcBorders>
              <w:top w:val="nil"/>
              <w:left w:val="nil"/>
              <w:bottom w:val="single" w:sz="8" w:space="0" w:color="000000"/>
              <w:right w:val="nil"/>
            </w:tcBorders>
          </w:tcPr>
          <w:p w14:paraId="3A2091BF" w14:textId="7FC72DEC" w:rsidR="001F3611" w:rsidRPr="00A81659" w:rsidRDefault="001F3611" w:rsidP="00A81659">
            <w:pPr>
              <w:jc w:val="both"/>
              <w:rPr>
                <w:rFonts w:ascii="Times New Roman" w:eastAsia="Times New Roman" w:hAnsi="Times New Roman" w:cs="Times New Roman"/>
                <w:kern w:val="0"/>
                <w:sz w:val="18"/>
                <w:szCs w:val="18"/>
                <w14:ligatures w14:val="none"/>
              </w:rPr>
            </w:pPr>
            <w:r w:rsidRPr="00A81659">
              <w:rPr>
                <w:rFonts w:ascii="Times New Roman" w:hAnsi="Times New Roman" w:cs="Times New Roman"/>
                <w:sz w:val="18"/>
                <w:szCs w:val="18"/>
              </w:rPr>
              <w:t xml:space="preserve">6.1518 </w:t>
            </w:r>
          </w:p>
        </w:tc>
        <w:tc>
          <w:tcPr>
            <w:tcW w:w="1458" w:type="dxa"/>
            <w:tcBorders>
              <w:top w:val="nil"/>
              <w:left w:val="nil"/>
              <w:bottom w:val="single" w:sz="8" w:space="0" w:color="000000"/>
              <w:right w:val="nil"/>
            </w:tcBorders>
          </w:tcPr>
          <w:p w14:paraId="7D8A8E0C" w14:textId="1739BFDB" w:rsidR="001F3611" w:rsidRPr="00A81659" w:rsidRDefault="001F3611" w:rsidP="00A81659">
            <w:pPr>
              <w:jc w:val="both"/>
              <w:rPr>
                <w:rFonts w:ascii="Times New Roman" w:eastAsia="Times New Roman" w:hAnsi="Times New Roman" w:cs="Times New Roman"/>
                <w:kern w:val="0"/>
                <w:sz w:val="18"/>
                <w:szCs w:val="18"/>
                <w14:ligatures w14:val="none"/>
              </w:rPr>
            </w:pPr>
            <w:proofErr w:type="spellStart"/>
            <w:r w:rsidRPr="00A81659">
              <w:rPr>
                <w:rFonts w:ascii="Times New Roman" w:hAnsi="Times New Roman" w:cs="Times New Roman"/>
                <w:sz w:val="18"/>
                <w:szCs w:val="18"/>
              </w:rPr>
              <w:t>Ayibabiri</w:t>
            </w:r>
            <w:proofErr w:type="spellEnd"/>
            <w:r w:rsidRPr="00A81659">
              <w:rPr>
                <w:rFonts w:ascii="Times New Roman" w:hAnsi="Times New Roman" w:cs="Times New Roman"/>
                <w:sz w:val="18"/>
                <w:szCs w:val="18"/>
              </w:rPr>
              <w:t>-Ama</w:t>
            </w:r>
          </w:p>
        </w:tc>
        <w:tc>
          <w:tcPr>
            <w:tcW w:w="1379" w:type="dxa"/>
            <w:tcBorders>
              <w:top w:val="nil"/>
              <w:left w:val="nil"/>
              <w:right w:val="nil"/>
            </w:tcBorders>
            <w:hideMark/>
          </w:tcPr>
          <w:p w14:paraId="187EC444" w14:textId="224CF61D"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6.38 ± 0.05ᵇ</w:t>
            </w:r>
          </w:p>
        </w:tc>
        <w:tc>
          <w:tcPr>
            <w:tcW w:w="1424" w:type="dxa"/>
            <w:tcBorders>
              <w:top w:val="nil"/>
              <w:left w:val="nil"/>
              <w:right w:val="nil"/>
            </w:tcBorders>
            <w:hideMark/>
          </w:tcPr>
          <w:p w14:paraId="523C29DC"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172.00 ± 3.80ᶜ</w:t>
            </w:r>
          </w:p>
        </w:tc>
        <w:tc>
          <w:tcPr>
            <w:tcW w:w="1420" w:type="dxa"/>
            <w:tcBorders>
              <w:top w:val="nil"/>
              <w:left w:val="nil"/>
              <w:right w:val="nil"/>
            </w:tcBorders>
            <w:hideMark/>
          </w:tcPr>
          <w:p w14:paraId="691ECFDC"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86.00 ± 2.20ᶜ</w:t>
            </w:r>
          </w:p>
        </w:tc>
        <w:tc>
          <w:tcPr>
            <w:tcW w:w="1251" w:type="dxa"/>
            <w:tcBorders>
              <w:top w:val="nil"/>
              <w:left w:val="nil"/>
              <w:right w:val="nil"/>
            </w:tcBorders>
            <w:hideMark/>
          </w:tcPr>
          <w:p w14:paraId="5E191D30" w14:textId="77777777" w:rsidR="001F3611" w:rsidRPr="00A81659" w:rsidRDefault="001F3611"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0.10 ± 0.02ᵃ</w:t>
            </w:r>
          </w:p>
        </w:tc>
      </w:tr>
    </w:tbl>
    <w:p w14:paraId="0B92EB69" w14:textId="23BF7730" w:rsidR="00F52F08" w:rsidRPr="00A81659" w:rsidRDefault="00A40926" w:rsidP="00A81659">
      <w:pPr>
        <w:spacing w:after="120" w:line="240" w:lineRule="auto"/>
        <w:jc w:val="both"/>
        <w:rPr>
          <w:rFonts w:ascii="Times New Roman" w:eastAsia="Times New Roman" w:hAnsi="Times New Roman" w:cs="Times New Roman"/>
          <w:b/>
          <w:bCs/>
          <w:kern w:val="0"/>
          <w14:ligatures w14:val="none"/>
        </w:rPr>
      </w:pPr>
      <w:r>
        <w:rPr>
          <w:rFonts w:ascii="Times New Roman" w:hAnsi="Times New Roman" w:cs="Times New Roman"/>
        </w:rPr>
        <w:t xml:space="preserve">Lat. = latitude, long. = longitude. </w:t>
      </w:r>
      <w:r w:rsidR="00F52F08" w:rsidRPr="00A81659">
        <w:rPr>
          <w:rFonts w:ascii="Times New Roman" w:hAnsi="Times New Roman" w:cs="Times New Roman"/>
        </w:rPr>
        <w:t>Values are mean ± standard deviation (n = 3).</w:t>
      </w:r>
      <w:r w:rsidR="00F52F08" w:rsidRPr="00A81659">
        <w:rPr>
          <w:rFonts w:ascii="Times New Roman" w:hAnsi="Times New Roman" w:cs="Times New Roman"/>
          <w:b/>
          <w:bCs/>
        </w:rPr>
        <w:t xml:space="preserve"> </w:t>
      </w:r>
      <w:r w:rsidR="00F52F08" w:rsidRPr="00A81659">
        <w:rPr>
          <w:rStyle w:val="Strong"/>
          <w:rFonts w:ascii="Times New Roman" w:hAnsi="Times New Roman" w:cs="Times New Roman"/>
          <w:b w:val="0"/>
          <w:bCs w:val="0"/>
        </w:rPr>
        <w:t>Different superscript letters within a column indicate significant differences (p &lt; 0.05).</w:t>
      </w:r>
    </w:p>
    <w:p w14:paraId="1F04826D" w14:textId="3C1EFB13" w:rsidR="007E54CE" w:rsidRPr="00A81659" w:rsidRDefault="007E54CE" w:rsidP="00A81659">
      <w:pPr>
        <w:spacing w:after="120" w:line="240" w:lineRule="auto"/>
        <w:jc w:val="both"/>
        <w:rPr>
          <w:rFonts w:ascii="Times New Roman" w:hAnsi="Times New Roman" w:cs="Times New Roman"/>
        </w:rPr>
      </w:pPr>
      <w:r w:rsidRPr="00A81659">
        <w:rPr>
          <w:rFonts w:ascii="Times New Roman" w:eastAsia="Times New Roman" w:hAnsi="Times New Roman" w:cs="Times New Roman"/>
          <w:b/>
          <w:bCs/>
          <w:kern w:val="0"/>
          <w14:ligatures w14:val="none"/>
        </w:rPr>
        <w:t>Major Ions</w:t>
      </w:r>
    </w:p>
    <w:p w14:paraId="486AEC45" w14:textId="72F6E491" w:rsidR="007E54CE" w:rsidRPr="00A81659" w:rsidRDefault="007E54CE" w:rsidP="00A81659">
      <w:pPr>
        <w:spacing w:after="120" w:line="240" w:lineRule="auto"/>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 xml:space="preserve">Major ion concentrations are presented in Table 1b. Nitrate (NO₃⁻) concentrations were generally low across all boreholes, ranging from 0.11 ± 0.01 to 1.68 ± 0.10 mg/L, with BH11 showing a significantly higher value (p &lt; 0.05). Despite this variation, nitrate concentrations in all boreholes were far below the WHO guideline value of 50 mg/L, indicating minimal influence from agricultural or sewage contamination. Chloride concentrations ranged from 3.00 ± 0.20 to 80.00 ± 2.10 mg/L, with BH1 recording the highest concentration. Sulphate levels varied between 0.86 ± 0.06 and 5.56 ± 0.28 mg/L, while bicarbonate concentrations ranged from 0.50 ± 0.04 to 2.40 ± 0.15 mg/L. All major ions were significantly different across boreholes (p &lt; 0.05) but remained within WHO recommended limits. Total alkalinity (TA) ranged from 16.0 ± 0.8 to 123.0 ± 3.8 </w:t>
      </w:r>
      <w:r w:rsidRPr="00A81659">
        <w:rPr>
          <w:rFonts w:ascii="Times New Roman" w:eastAsia="Times New Roman" w:hAnsi="Times New Roman" w:cs="Times New Roman"/>
          <w:kern w:val="0"/>
          <w14:ligatures w14:val="none"/>
        </w:rPr>
        <w:lastRenderedPageBreak/>
        <w:t>mg/L, whereas total hardness (TH) ranged from 42.0 ± 1.9 to 140.0 ± 3.9 mg/L. Based on total hardness classification, groundwater in the study area can be described as soft to moderately hard.</w:t>
      </w:r>
    </w:p>
    <w:p w14:paraId="664A2CD4" w14:textId="2EEFF580" w:rsidR="00B76D8C" w:rsidRPr="00A81659" w:rsidRDefault="00F84566" w:rsidP="00A81659">
      <w:pPr>
        <w:spacing w:after="120" w:line="240" w:lineRule="auto"/>
        <w:jc w:val="both"/>
        <w:rPr>
          <w:rFonts w:ascii="Times New Roman" w:hAnsi="Times New Roman" w:cs="Times New Roman"/>
        </w:rPr>
      </w:pPr>
      <w:r w:rsidRPr="00A81659">
        <w:rPr>
          <w:rFonts w:ascii="Times New Roman" w:hAnsi="Times New Roman" w:cs="Times New Roman"/>
        </w:rPr>
        <w:t>Table 1b: Major Ions of Groundwater (n = 3)</w:t>
      </w:r>
    </w:p>
    <w:tbl>
      <w:tblPr>
        <w:tblStyle w:val="TableGrid"/>
        <w:tblW w:w="9625" w:type="dxa"/>
        <w:tblLook w:val="04A0" w:firstRow="1" w:lastRow="0" w:firstColumn="1" w:lastColumn="0" w:noHBand="0" w:noVBand="1"/>
      </w:tblPr>
      <w:tblGrid>
        <w:gridCol w:w="1061"/>
        <w:gridCol w:w="1382"/>
        <w:gridCol w:w="1395"/>
        <w:gridCol w:w="1410"/>
        <w:gridCol w:w="1552"/>
        <w:gridCol w:w="1274"/>
        <w:gridCol w:w="1551"/>
      </w:tblGrid>
      <w:tr w:rsidR="00F84566" w:rsidRPr="00A81659" w14:paraId="69FE8D1D" w14:textId="77777777" w:rsidTr="00353EB2">
        <w:tc>
          <w:tcPr>
            <w:tcW w:w="0" w:type="auto"/>
            <w:tcBorders>
              <w:left w:val="nil"/>
              <w:bottom w:val="single" w:sz="4" w:space="0" w:color="auto"/>
              <w:right w:val="nil"/>
            </w:tcBorders>
            <w:hideMark/>
          </w:tcPr>
          <w:p w14:paraId="74716236" w14:textId="77777777" w:rsidR="00F84566" w:rsidRPr="00A81659" w:rsidRDefault="00F84566" w:rsidP="00A81659">
            <w:pPr>
              <w:spacing w:after="120"/>
              <w:jc w:val="both"/>
              <w:rPr>
                <w:rFonts w:ascii="Times New Roman" w:eastAsia="Times New Roman" w:hAnsi="Times New Roman" w:cs="Times New Roman"/>
                <w:b/>
                <w:bCs/>
                <w:kern w:val="0"/>
                <w:sz w:val="22"/>
                <w:szCs w:val="22"/>
                <w14:ligatures w14:val="none"/>
              </w:rPr>
            </w:pPr>
            <w:r w:rsidRPr="00A81659">
              <w:rPr>
                <w:rFonts w:ascii="Times New Roman" w:eastAsia="Times New Roman" w:hAnsi="Times New Roman" w:cs="Times New Roman"/>
                <w:b/>
                <w:bCs/>
                <w:kern w:val="0"/>
                <w:sz w:val="22"/>
                <w:szCs w:val="22"/>
                <w14:ligatures w14:val="none"/>
              </w:rPr>
              <w:t>Borehole</w:t>
            </w:r>
          </w:p>
        </w:tc>
        <w:tc>
          <w:tcPr>
            <w:tcW w:w="0" w:type="auto"/>
            <w:tcBorders>
              <w:left w:val="nil"/>
              <w:bottom w:val="single" w:sz="4" w:space="0" w:color="auto"/>
              <w:right w:val="nil"/>
            </w:tcBorders>
            <w:hideMark/>
          </w:tcPr>
          <w:p w14:paraId="3CD194E6" w14:textId="77777777" w:rsidR="00F84566" w:rsidRPr="00A81659" w:rsidRDefault="00F84566" w:rsidP="00A81659">
            <w:pPr>
              <w:spacing w:after="120"/>
              <w:jc w:val="both"/>
              <w:rPr>
                <w:rFonts w:ascii="Times New Roman" w:eastAsia="Times New Roman" w:hAnsi="Times New Roman" w:cs="Times New Roman"/>
                <w:b/>
                <w:bCs/>
                <w:kern w:val="0"/>
                <w:sz w:val="22"/>
                <w:szCs w:val="22"/>
                <w14:ligatures w14:val="none"/>
              </w:rPr>
            </w:pPr>
            <w:r w:rsidRPr="00A81659">
              <w:rPr>
                <w:rFonts w:ascii="Times New Roman" w:eastAsia="Times New Roman" w:hAnsi="Times New Roman" w:cs="Times New Roman"/>
                <w:b/>
                <w:bCs/>
                <w:kern w:val="0"/>
                <w:sz w:val="22"/>
                <w:szCs w:val="22"/>
                <w14:ligatures w14:val="none"/>
              </w:rPr>
              <w:t>NO₃⁻ (mg/L)</w:t>
            </w:r>
          </w:p>
        </w:tc>
        <w:tc>
          <w:tcPr>
            <w:tcW w:w="0" w:type="auto"/>
            <w:tcBorders>
              <w:left w:val="nil"/>
              <w:bottom w:val="single" w:sz="4" w:space="0" w:color="auto"/>
              <w:right w:val="nil"/>
            </w:tcBorders>
            <w:hideMark/>
          </w:tcPr>
          <w:p w14:paraId="4F4A08F4" w14:textId="77777777" w:rsidR="00F84566" w:rsidRPr="00A81659" w:rsidRDefault="00F84566" w:rsidP="00A81659">
            <w:pPr>
              <w:spacing w:after="120"/>
              <w:jc w:val="both"/>
              <w:rPr>
                <w:rFonts w:ascii="Times New Roman" w:eastAsia="Times New Roman" w:hAnsi="Times New Roman" w:cs="Times New Roman"/>
                <w:b/>
                <w:bCs/>
                <w:kern w:val="0"/>
                <w:sz w:val="22"/>
                <w:szCs w:val="22"/>
                <w14:ligatures w14:val="none"/>
              </w:rPr>
            </w:pPr>
            <w:r w:rsidRPr="00A81659">
              <w:rPr>
                <w:rFonts w:ascii="Times New Roman" w:eastAsia="Times New Roman" w:hAnsi="Times New Roman" w:cs="Times New Roman"/>
                <w:b/>
                <w:bCs/>
                <w:kern w:val="0"/>
                <w:sz w:val="22"/>
                <w:szCs w:val="22"/>
                <w14:ligatures w14:val="none"/>
              </w:rPr>
              <w:t>Cl⁻ (mg/L)</w:t>
            </w:r>
          </w:p>
        </w:tc>
        <w:tc>
          <w:tcPr>
            <w:tcW w:w="0" w:type="auto"/>
            <w:tcBorders>
              <w:left w:val="nil"/>
              <w:bottom w:val="single" w:sz="4" w:space="0" w:color="auto"/>
              <w:right w:val="nil"/>
            </w:tcBorders>
            <w:hideMark/>
          </w:tcPr>
          <w:p w14:paraId="66466AD4" w14:textId="77777777" w:rsidR="00F84566" w:rsidRPr="00A81659" w:rsidRDefault="00F84566" w:rsidP="00A81659">
            <w:pPr>
              <w:spacing w:after="120"/>
              <w:jc w:val="both"/>
              <w:rPr>
                <w:rFonts w:ascii="Times New Roman" w:eastAsia="Times New Roman" w:hAnsi="Times New Roman" w:cs="Times New Roman"/>
                <w:b/>
                <w:bCs/>
                <w:kern w:val="0"/>
                <w:sz w:val="22"/>
                <w:szCs w:val="22"/>
                <w14:ligatures w14:val="none"/>
              </w:rPr>
            </w:pPr>
            <w:r w:rsidRPr="00A81659">
              <w:rPr>
                <w:rFonts w:ascii="Times New Roman" w:eastAsia="Times New Roman" w:hAnsi="Times New Roman" w:cs="Times New Roman"/>
                <w:b/>
                <w:bCs/>
                <w:kern w:val="0"/>
                <w:sz w:val="22"/>
                <w:szCs w:val="22"/>
                <w14:ligatures w14:val="none"/>
              </w:rPr>
              <w:t>SO₄²⁻ (mg/L)</w:t>
            </w:r>
          </w:p>
        </w:tc>
        <w:tc>
          <w:tcPr>
            <w:tcW w:w="0" w:type="auto"/>
            <w:tcBorders>
              <w:left w:val="nil"/>
              <w:bottom w:val="single" w:sz="4" w:space="0" w:color="auto"/>
              <w:right w:val="nil"/>
            </w:tcBorders>
            <w:hideMark/>
          </w:tcPr>
          <w:p w14:paraId="367D4053" w14:textId="77777777" w:rsidR="00F84566" w:rsidRPr="00A81659" w:rsidRDefault="00F84566" w:rsidP="00A81659">
            <w:pPr>
              <w:spacing w:after="120"/>
              <w:jc w:val="both"/>
              <w:rPr>
                <w:rFonts w:ascii="Times New Roman" w:eastAsia="Times New Roman" w:hAnsi="Times New Roman" w:cs="Times New Roman"/>
                <w:b/>
                <w:bCs/>
                <w:kern w:val="0"/>
                <w:sz w:val="22"/>
                <w:szCs w:val="22"/>
                <w14:ligatures w14:val="none"/>
              </w:rPr>
            </w:pPr>
            <w:r w:rsidRPr="00A81659">
              <w:rPr>
                <w:rFonts w:ascii="Times New Roman" w:eastAsia="Times New Roman" w:hAnsi="Times New Roman" w:cs="Times New Roman"/>
                <w:b/>
                <w:bCs/>
                <w:kern w:val="0"/>
                <w:sz w:val="22"/>
                <w:szCs w:val="22"/>
                <w14:ligatures w14:val="none"/>
              </w:rPr>
              <w:t>HCO₃⁻ (mg/L)</w:t>
            </w:r>
          </w:p>
        </w:tc>
        <w:tc>
          <w:tcPr>
            <w:tcW w:w="0" w:type="auto"/>
            <w:tcBorders>
              <w:left w:val="nil"/>
              <w:bottom w:val="single" w:sz="4" w:space="0" w:color="auto"/>
              <w:right w:val="nil"/>
            </w:tcBorders>
            <w:hideMark/>
          </w:tcPr>
          <w:p w14:paraId="7E198CE9" w14:textId="77777777" w:rsidR="00F84566" w:rsidRPr="00A81659" w:rsidRDefault="00F84566" w:rsidP="00A81659">
            <w:pPr>
              <w:spacing w:after="120"/>
              <w:jc w:val="both"/>
              <w:rPr>
                <w:rFonts w:ascii="Times New Roman" w:eastAsia="Times New Roman" w:hAnsi="Times New Roman" w:cs="Times New Roman"/>
                <w:b/>
                <w:bCs/>
                <w:kern w:val="0"/>
                <w:sz w:val="22"/>
                <w:szCs w:val="22"/>
                <w14:ligatures w14:val="none"/>
              </w:rPr>
            </w:pPr>
            <w:r w:rsidRPr="00A81659">
              <w:rPr>
                <w:rFonts w:ascii="Times New Roman" w:eastAsia="Times New Roman" w:hAnsi="Times New Roman" w:cs="Times New Roman"/>
                <w:b/>
                <w:bCs/>
                <w:kern w:val="0"/>
                <w:sz w:val="22"/>
                <w:szCs w:val="22"/>
                <w14:ligatures w14:val="none"/>
              </w:rPr>
              <w:t>TA (mg/L)</w:t>
            </w:r>
          </w:p>
        </w:tc>
        <w:tc>
          <w:tcPr>
            <w:tcW w:w="1551" w:type="dxa"/>
            <w:tcBorders>
              <w:left w:val="nil"/>
              <w:bottom w:val="single" w:sz="4" w:space="0" w:color="auto"/>
              <w:right w:val="nil"/>
            </w:tcBorders>
            <w:hideMark/>
          </w:tcPr>
          <w:p w14:paraId="353FC1E7" w14:textId="77777777" w:rsidR="00F84566" w:rsidRPr="00A81659" w:rsidRDefault="00F84566" w:rsidP="00A81659">
            <w:pPr>
              <w:spacing w:after="120"/>
              <w:jc w:val="both"/>
              <w:rPr>
                <w:rFonts w:ascii="Times New Roman" w:eastAsia="Times New Roman" w:hAnsi="Times New Roman" w:cs="Times New Roman"/>
                <w:b/>
                <w:bCs/>
                <w:kern w:val="0"/>
                <w:sz w:val="22"/>
                <w:szCs w:val="22"/>
                <w14:ligatures w14:val="none"/>
              </w:rPr>
            </w:pPr>
            <w:r w:rsidRPr="00A81659">
              <w:rPr>
                <w:rFonts w:ascii="Times New Roman" w:eastAsia="Times New Roman" w:hAnsi="Times New Roman" w:cs="Times New Roman"/>
                <w:b/>
                <w:bCs/>
                <w:kern w:val="0"/>
                <w:sz w:val="22"/>
                <w:szCs w:val="22"/>
                <w14:ligatures w14:val="none"/>
              </w:rPr>
              <w:t>TH (mg/L)</w:t>
            </w:r>
          </w:p>
        </w:tc>
      </w:tr>
      <w:tr w:rsidR="00F84566" w:rsidRPr="00A81659" w14:paraId="651B52EC" w14:textId="77777777" w:rsidTr="00353EB2">
        <w:tc>
          <w:tcPr>
            <w:tcW w:w="0" w:type="auto"/>
            <w:tcBorders>
              <w:left w:val="nil"/>
              <w:bottom w:val="nil"/>
              <w:right w:val="nil"/>
            </w:tcBorders>
            <w:hideMark/>
          </w:tcPr>
          <w:p w14:paraId="65787556"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BH1</w:t>
            </w:r>
          </w:p>
        </w:tc>
        <w:tc>
          <w:tcPr>
            <w:tcW w:w="0" w:type="auto"/>
            <w:tcBorders>
              <w:left w:val="nil"/>
              <w:bottom w:val="nil"/>
              <w:right w:val="nil"/>
            </w:tcBorders>
            <w:hideMark/>
          </w:tcPr>
          <w:p w14:paraId="593A6258"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0.14 ± 0.02ᵃ</w:t>
            </w:r>
          </w:p>
        </w:tc>
        <w:tc>
          <w:tcPr>
            <w:tcW w:w="0" w:type="auto"/>
            <w:tcBorders>
              <w:left w:val="nil"/>
              <w:bottom w:val="nil"/>
              <w:right w:val="nil"/>
            </w:tcBorders>
            <w:hideMark/>
          </w:tcPr>
          <w:p w14:paraId="2FDBBEB5"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80.00 ± 2.10ᶜ</w:t>
            </w:r>
          </w:p>
        </w:tc>
        <w:tc>
          <w:tcPr>
            <w:tcW w:w="0" w:type="auto"/>
            <w:tcBorders>
              <w:left w:val="nil"/>
              <w:bottom w:val="nil"/>
              <w:right w:val="nil"/>
            </w:tcBorders>
            <w:hideMark/>
          </w:tcPr>
          <w:p w14:paraId="1C2FFF72"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2.48 ± 0.15ᵃ</w:t>
            </w:r>
          </w:p>
        </w:tc>
        <w:tc>
          <w:tcPr>
            <w:tcW w:w="0" w:type="auto"/>
            <w:tcBorders>
              <w:left w:val="nil"/>
              <w:bottom w:val="nil"/>
              <w:right w:val="nil"/>
            </w:tcBorders>
            <w:hideMark/>
          </w:tcPr>
          <w:p w14:paraId="78677C25"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1.20 ± 0.08ᵃ</w:t>
            </w:r>
          </w:p>
        </w:tc>
        <w:tc>
          <w:tcPr>
            <w:tcW w:w="0" w:type="auto"/>
            <w:tcBorders>
              <w:left w:val="nil"/>
              <w:bottom w:val="nil"/>
              <w:right w:val="nil"/>
            </w:tcBorders>
            <w:hideMark/>
          </w:tcPr>
          <w:p w14:paraId="35129F70"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34.0 ± 1.2ᵇ</w:t>
            </w:r>
          </w:p>
        </w:tc>
        <w:tc>
          <w:tcPr>
            <w:tcW w:w="1551" w:type="dxa"/>
            <w:tcBorders>
              <w:left w:val="nil"/>
              <w:bottom w:val="nil"/>
              <w:right w:val="nil"/>
            </w:tcBorders>
            <w:hideMark/>
          </w:tcPr>
          <w:p w14:paraId="267B593D"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88.0 ± 2.5ᵇ</w:t>
            </w:r>
          </w:p>
        </w:tc>
      </w:tr>
      <w:tr w:rsidR="00F84566" w:rsidRPr="00A81659" w14:paraId="54E511A0" w14:textId="77777777" w:rsidTr="00353EB2">
        <w:tc>
          <w:tcPr>
            <w:tcW w:w="0" w:type="auto"/>
            <w:tcBorders>
              <w:top w:val="nil"/>
              <w:left w:val="nil"/>
              <w:bottom w:val="nil"/>
              <w:right w:val="nil"/>
            </w:tcBorders>
            <w:hideMark/>
          </w:tcPr>
          <w:p w14:paraId="644918CD"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BH2</w:t>
            </w:r>
          </w:p>
        </w:tc>
        <w:tc>
          <w:tcPr>
            <w:tcW w:w="0" w:type="auto"/>
            <w:tcBorders>
              <w:top w:val="nil"/>
              <w:left w:val="nil"/>
              <w:bottom w:val="nil"/>
              <w:right w:val="nil"/>
            </w:tcBorders>
            <w:hideMark/>
          </w:tcPr>
          <w:p w14:paraId="63494DFB"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0.14 ± 0.01ᵃ</w:t>
            </w:r>
          </w:p>
        </w:tc>
        <w:tc>
          <w:tcPr>
            <w:tcW w:w="0" w:type="auto"/>
            <w:tcBorders>
              <w:top w:val="nil"/>
              <w:left w:val="nil"/>
              <w:bottom w:val="nil"/>
              <w:right w:val="nil"/>
            </w:tcBorders>
            <w:hideMark/>
          </w:tcPr>
          <w:p w14:paraId="0E418A67"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29.00 ± 1.35ᵇ</w:t>
            </w:r>
          </w:p>
        </w:tc>
        <w:tc>
          <w:tcPr>
            <w:tcW w:w="0" w:type="auto"/>
            <w:tcBorders>
              <w:top w:val="nil"/>
              <w:left w:val="nil"/>
              <w:bottom w:val="nil"/>
              <w:right w:val="nil"/>
            </w:tcBorders>
            <w:hideMark/>
          </w:tcPr>
          <w:p w14:paraId="03673A55"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3.20 ± 0.20ᵇ</w:t>
            </w:r>
          </w:p>
        </w:tc>
        <w:tc>
          <w:tcPr>
            <w:tcW w:w="0" w:type="auto"/>
            <w:tcBorders>
              <w:top w:val="nil"/>
              <w:left w:val="nil"/>
              <w:bottom w:val="nil"/>
              <w:right w:val="nil"/>
            </w:tcBorders>
            <w:hideMark/>
          </w:tcPr>
          <w:p w14:paraId="2A35891A"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1.00 ± 0.05ᵃ</w:t>
            </w:r>
          </w:p>
        </w:tc>
        <w:tc>
          <w:tcPr>
            <w:tcW w:w="0" w:type="auto"/>
            <w:tcBorders>
              <w:top w:val="nil"/>
              <w:left w:val="nil"/>
              <w:bottom w:val="nil"/>
              <w:right w:val="nil"/>
            </w:tcBorders>
            <w:hideMark/>
          </w:tcPr>
          <w:p w14:paraId="62D96317"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16.0 ± 0.8ᵃ</w:t>
            </w:r>
          </w:p>
        </w:tc>
        <w:tc>
          <w:tcPr>
            <w:tcW w:w="1551" w:type="dxa"/>
            <w:tcBorders>
              <w:top w:val="nil"/>
              <w:left w:val="nil"/>
              <w:bottom w:val="nil"/>
              <w:right w:val="nil"/>
            </w:tcBorders>
            <w:hideMark/>
          </w:tcPr>
          <w:p w14:paraId="48BB4F7C"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42.0 ± 1.9ᵃ</w:t>
            </w:r>
          </w:p>
        </w:tc>
      </w:tr>
      <w:tr w:rsidR="00F84566" w:rsidRPr="00A81659" w14:paraId="332F3BF3" w14:textId="77777777" w:rsidTr="00353EB2">
        <w:tc>
          <w:tcPr>
            <w:tcW w:w="0" w:type="auto"/>
            <w:tcBorders>
              <w:top w:val="nil"/>
              <w:left w:val="nil"/>
              <w:bottom w:val="nil"/>
              <w:right w:val="nil"/>
            </w:tcBorders>
            <w:hideMark/>
          </w:tcPr>
          <w:p w14:paraId="72E20F33"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BH3</w:t>
            </w:r>
          </w:p>
        </w:tc>
        <w:tc>
          <w:tcPr>
            <w:tcW w:w="0" w:type="auto"/>
            <w:tcBorders>
              <w:top w:val="nil"/>
              <w:left w:val="nil"/>
              <w:bottom w:val="nil"/>
              <w:right w:val="nil"/>
            </w:tcBorders>
            <w:hideMark/>
          </w:tcPr>
          <w:p w14:paraId="656DFCD4"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0.24 ± 0.03ᵃ</w:t>
            </w:r>
          </w:p>
        </w:tc>
        <w:tc>
          <w:tcPr>
            <w:tcW w:w="0" w:type="auto"/>
            <w:tcBorders>
              <w:top w:val="nil"/>
              <w:left w:val="nil"/>
              <w:bottom w:val="nil"/>
              <w:right w:val="nil"/>
            </w:tcBorders>
            <w:hideMark/>
          </w:tcPr>
          <w:p w14:paraId="47894109"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3.00 ± 0.20ᵃ</w:t>
            </w:r>
          </w:p>
        </w:tc>
        <w:tc>
          <w:tcPr>
            <w:tcW w:w="0" w:type="auto"/>
            <w:tcBorders>
              <w:top w:val="nil"/>
              <w:left w:val="nil"/>
              <w:bottom w:val="nil"/>
              <w:right w:val="nil"/>
            </w:tcBorders>
            <w:hideMark/>
          </w:tcPr>
          <w:p w14:paraId="7790BEF2"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3.74 ± 0.22ᵇ</w:t>
            </w:r>
          </w:p>
        </w:tc>
        <w:tc>
          <w:tcPr>
            <w:tcW w:w="0" w:type="auto"/>
            <w:tcBorders>
              <w:top w:val="nil"/>
              <w:left w:val="nil"/>
              <w:bottom w:val="nil"/>
              <w:right w:val="nil"/>
            </w:tcBorders>
            <w:hideMark/>
          </w:tcPr>
          <w:p w14:paraId="06FA5177"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1.50 ± 0.10ᵇ</w:t>
            </w:r>
          </w:p>
        </w:tc>
        <w:tc>
          <w:tcPr>
            <w:tcW w:w="0" w:type="auto"/>
            <w:tcBorders>
              <w:top w:val="nil"/>
              <w:left w:val="nil"/>
              <w:bottom w:val="nil"/>
              <w:right w:val="nil"/>
            </w:tcBorders>
            <w:hideMark/>
          </w:tcPr>
          <w:p w14:paraId="4C13E5F9"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81.0 ± 2.6ᶜ</w:t>
            </w:r>
          </w:p>
        </w:tc>
        <w:tc>
          <w:tcPr>
            <w:tcW w:w="1551" w:type="dxa"/>
            <w:tcBorders>
              <w:top w:val="nil"/>
              <w:left w:val="nil"/>
              <w:bottom w:val="nil"/>
              <w:right w:val="nil"/>
            </w:tcBorders>
            <w:hideMark/>
          </w:tcPr>
          <w:p w14:paraId="326A4D96"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110.0 ± 3.2ᶜ</w:t>
            </w:r>
          </w:p>
        </w:tc>
      </w:tr>
      <w:tr w:rsidR="00F84566" w:rsidRPr="00A81659" w14:paraId="2166DDCA" w14:textId="77777777" w:rsidTr="00353EB2">
        <w:tc>
          <w:tcPr>
            <w:tcW w:w="0" w:type="auto"/>
            <w:tcBorders>
              <w:top w:val="nil"/>
              <w:left w:val="nil"/>
              <w:bottom w:val="nil"/>
              <w:right w:val="nil"/>
            </w:tcBorders>
            <w:hideMark/>
          </w:tcPr>
          <w:p w14:paraId="361BA58E"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BH4</w:t>
            </w:r>
          </w:p>
        </w:tc>
        <w:tc>
          <w:tcPr>
            <w:tcW w:w="0" w:type="auto"/>
            <w:tcBorders>
              <w:top w:val="nil"/>
              <w:left w:val="nil"/>
              <w:bottom w:val="nil"/>
              <w:right w:val="nil"/>
            </w:tcBorders>
            <w:hideMark/>
          </w:tcPr>
          <w:p w14:paraId="5DAB0EFA"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0.18 ± 0.02ᵃ</w:t>
            </w:r>
          </w:p>
        </w:tc>
        <w:tc>
          <w:tcPr>
            <w:tcW w:w="0" w:type="auto"/>
            <w:tcBorders>
              <w:top w:val="nil"/>
              <w:left w:val="nil"/>
              <w:bottom w:val="nil"/>
              <w:right w:val="nil"/>
            </w:tcBorders>
            <w:hideMark/>
          </w:tcPr>
          <w:p w14:paraId="066A7739"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43.00 ± 1.80ᵇ</w:t>
            </w:r>
          </w:p>
        </w:tc>
        <w:tc>
          <w:tcPr>
            <w:tcW w:w="0" w:type="auto"/>
            <w:tcBorders>
              <w:top w:val="nil"/>
              <w:left w:val="nil"/>
              <w:bottom w:val="nil"/>
              <w:right w:val="nil"/>
            </w:tcBorders>
            <w:hideMark/>
          </w:tcPr>
          <w:p w14:paraId="3D6C767C"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5.42 ± 0.30ᶜ</w:t>
            </w:r>
          </w:p>
        </w:tc>
        <w:tc>
          <w:tcPr>
            <w:tcW w:w="0" w:type="auto"/>
            <w:tcBorders>
              <w:top w:val="nil"/>
              <w:left w:val="nil"/>
              <w:bottom w:val="nil"/>
              <w:right w:val="nil"/>
            </w:tcBorders>
            <w:hideMark/>
          </w:tcPr>
          <w:p w14:paraId="050A5668"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0.50 ± 0.04ᵃ</w:t>
            </w:r>
          </w:p>
        </w:tc>
        <w:tc>
          <w:tcPr>
            <w:tcW w:w="0" w:type="auto"/>
            <w:tcBorders>
              <w:top w:val="nil"/>
              <w:left w:val="nil"/>
              <w:bottom w:val="nil"/>
              <w:right w:val="nil"/>
            </w:tcBorders>
            <w:hideMark/>
          </w:tcPr>
          <w:p w14:paraId="78A181B6"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48.0 ± 1.7ᵇ</w:t>
            </w:r>
          </w:p>
        </w:tc>
        <w:tc>
          <w:tcPr>
            <w:tcW w:w="1551" w:type="dxa"/>
            <w:tcBorders>
              <w:top w:val="nil"/>
              <w:left w:val="nil"/>
              <w:bottom w:val="nil"/>
              <w:right w:val="nil"/>
            </w:tcBorders>
            <w:hideMark/>
          </w:tcPr>
          <w:p w14:paraId="66FA0A37"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82.0 ± 2.7ᵇ</w:t>
            </w:r>
          </w:p>
        </w:tc>
      </w:tr>
      <w:tr w:rsidR="00F84566" w:rsidRPr="00A81659" w14:paraId="3A610108" w14:textId="77777777" w:rsidTr="00353EB2">
        <w:tc>
          <w:tcPr>
            <w:tcW w:w="0" w:type="auto"/>
            <w:tcBorders>
              <w:top w:val="nil"/>
              <w:left w:val="nil"/>
              <w:bottom w:val="nil"/>
              <w:right w:val="nil"/>
            </w:tcBorders>
            <w:hideMark/>
          </w:tcPr>
          <w:p w14:paraId="025740E3"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BH5</w:t>
            </w:r>
          </w:p>
        </w:tc>
        <w:tc>
          <w:tcPr>
            <w:tcW w:w="0" w:type="auto"/>
            <w:tcBorders>
              <w:top w:val="nil"/>
              <w:left w:val="nil"/>
              <w:bottom w:val="nil"/>
              <w:right w:val="nil"/>
            </w:tcBorders>
            <w:hideMark/>
          </w:tcPr>
          <w:p w14:paraId="68610846"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0.22 ± 0.03ᵃ</w:t>
            </w:r>
          </w:p>
        </w:tc>
        <w:tc>
          <w:tcPr>
            <w:tcW w:w="0" w:type="auto"/>
            <w:tcBorders>
              <w:top w:val="nil"/>
              <w:left w:val="nil"/>
              <w:bottom w:val="nil"/>
              <w:right w:val="nil"/>
            </w:tcBorders>
            <w:hideMark/>
          </w:tcPr>
          <w:p w14:paraId="6D874E08"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50.00 ± 2.05ᵇ</w:t>
            </w:r>
          </w:p>
        </w:tc>
        <w:tc>
          <w:tcPr>
            <w:tcW w:w="0" w:type="auto"/>
            <w:tcBorders>
              <w:top w:val="nil"/>
              <w:left w:val="nil"/>
              <w:bottom w:val="nil"/>
              <w:right w:val="nil"/>
            </w:tcBorders>
            <w:hideMark/>
          </w:tcPr>
          <w:p w14:paraId="7AC96943"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4.82 ± 0.25ᶜ</w:t>
            </w:r>
          </w:p>
        </w:tc>
        <w:tc>
          <w:tcPr>
            <w:tcW w:w="0" w:type="auto"/>
            <w:tcBorders>
              <w:top w:val="nil"/>
              <w:left w:val="nil"/>
              <w:bottom w:val="nil"/>
              <w:right w:val="nil"/>
            </w:tcBorders>
            <w:hideMark/>
          </w:tcPr>
          <w:p w14:paraId="1BD81FF6"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1.00 ± 0.06ᵃ</w:t>
            </w:r>
          </w:p>
        </w:tc>
        <w:tc>
          <w:tcPr>
            <w:tcW w:w="0" w:type="auto"/>
            <w:tcBorders>
              <w:top w:val="nil"/>
              <w:left w:val="nil"/>
              <w:bottom w:val="nil"/>
              <w:right w:val="nil"/>
            </w:tcBorders>
            <w:hideMark/>
          </w:tcPr>
          <w:p w14:paraId="4D4ED424"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41.0 ± 1.5ᵇ</w:t>
            </w:r>
          </w:p>
        </w:tc>
        <w:tc>
          <w:tcPr>
            <w:tcW w:w="1551" w:type="dxa"/>
            <w:tcBorders>
              <w:top w:val="nil"/>
              <w:left w:val="nil"/>
              <w:bottom w:val="nil"/>
              <w:right w:val="nil"/>
            </w:tcBorders>
            <w:hideMark/>
          </w:tcPr>
          <w:p w14:paraId="642D569F"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62.0 ± 2.1ᵇ</w:t>
            </w:r>
          </w:p>
        </w:tc>
      </w:tr>
      <w:tr w:rsidR="00F84566" w:rsidRPr="00A81659" w14:paraId="321B9A75" w14:textId="77777777" w:rsidTr="00353EB2">
        <w:tc>
          <w:tcPr>
            <w:tcW w:w="0" w:type="auto"/>
            <w:tcBorders>
              <w:top w:val="nil"/>
              <w:left w:val="nil"/>
              <w:bottom w:val="nil"/>
              <w:right w:val="nil"/>
            </w:tcBorders>
            <w:hideMark/>
          </w:tcPr>
          <w:p w14:paraId="36715FA2"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BH6</w:t>
            </w:r>
          </w:p>
        </w:tc>
        <w:tc>
          <w:tcPr>
            <w:tcW w:w="0" w:type="auto"/>
            <w:tcBorders>
              <w:top w:val="nil"/>
              <w:left w:val="nil"/>
              <w:bottom w:val="nil"/>
              <w:right w:val="nil"/>
            </w:tcBorders>
            <w:hideMark/>
          </w:tcPr>
          <w:p w14:paraId="366E8785"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0.12 ± 0.01ᵃ</w:t>
            </w:r>
          </w:p>
        </w:tc>
        <w:tc>
          <w:tcPr>
            <w:tcW w:w="0" w:type="auto"/>
            <w:tcBorders>
              <w:top w:val="nil"/>
              <w:left w:val="nil"/>
              <w:bottom w:val="nil"/>
              <w:right w:val="nil"/>
            </w:tcBorders>
            <w:hideMark/>
          </w:tcPr>
          <w:p w14:paraId="4951BF99"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3.00 ± 0.20ᵃ</w:t>
            </w:r>
          </w:p>
        </w:tc>
        <w:tc>
          <w:tcPr>
            <w:tcW w:w="0" w:type="auto"/>
            <w:tcBorders>
              <w:top w:val="nil"/>
              <w:left w:val="nil"/>
              <w:bottom w:val="nil"/>
              <w:right w:val="nil"/>
            </w:tcBorders>
            <w:hideMark/>
          </w:tcPr>
          <w:p w14:paraId="603038F5"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3.68 ± 0.22ᵇ</w:t>
            </w:r>
          </w:p>
        </w:tc>
        <w:tc>
          <w:tcPr>
            <w:tcW w:w="0" w:type="auto"/>
            <w:tcBorders>
              <w:top w:val="nil"/>
              <w:left w:val="nil"/>
              <w:bottom w:val="nil"/>
              <w:right w:val="nil"/>
            </w:tcBorders>
            <w:hideMark/>
          </w:tcPr>
          <w:p w14:paraId="3505E9D1"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0.50 ± 0.04ᵃ</w:t>
            </w:r>
          </w:p>
        </w:tc>
        <w:tc>
          <w:tcPr>
            <w:tcW w:w="0" w:type="auto"/>
            <w:tcBorders>
              <w:top w:val="nil"/>
              <w:left w:val="nil"/>
              <w:bottom w:val="nil"/>
              <w:right w:val="nil"/>
            </w:tcBorders>
            <w:hideMark/>
          </w:tcPr>
          <w:p w14:paraId="3EE7D676"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58.0 ± 2.0ᵇ</w:t>
            </w:r>
          </w:p>
        </w:tc>
        <w:tc>
          <w:tcPr>
            <w:tcW w:w="1551" w:type="dxa"/>
            <w:tcBorders>
              <w:top w:val="nil"/>
              <w:left w:val="nil"/>
              <w:bottom w:val="nil"/>
              <w:right w:val="nil"/>
            </w:tcBorders>
            <w:hideMark/>
          </w:tcPr>
          <w:p w14:paraId="5F1B370B"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78.0 ± 2.6ᵇ</w:t>
            </w:r>
          </w:p>
        </w:tc>
      </w:tr>
      <w:tr w:rsidR="00F84566" w:rsidRPr="00A81659" w14:paraId="6BCCB3E5" w14:textId="77777777" w:rsidTr="00353EB2">
        <w:tc>
          <w:tcPr>
            <w:tcW w:w="0" w:type="auto"/>
            <w:tcBorders>
              <w:top w:val="nil"/>
              <w:left w:val="nil"/>
              <w:bottom w:val="nil"/>
              <w:right w:val="nil"/>
            </w:tcBorders>
            <w:hideMark/>
          </w:tcPr>
          <w:p w14:paraId="68013ED6"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BH7</w:t>
            </w:r>
          </w:p>
        </w:tc>
        <w:tc>
          <w:tcPr>
            <w:tcW w:w="0" w:type="auto"/>
            <w:tcBorders>
              <w:top w:val="nil"/>
              <w:left w:val="nil"/>
              <w:bottom w:val="nil"/>
              <w:right w:val="nil"/>
            </w:tcBorders>
            <w:hideMark/>
          </w:tcPr>
          <w:p w14:paraId="12D48AC3"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0.12 ± 0.01ᵃ</w:t>
            </w:r>
          </w:p>
        </w:tc>
        <w:tc>
          <w:tcPr>
            <w:tcW w:w="0" w:type="auto"/>
            <w:tcBorders>
              <w:top w:val="nil"/>
              <w:left w:val="nil"/>
              <w:bottom w:val="nil"/>
              <w:right w:val="nil"/>
            </w:tcBorders>
            <w:hideMark/>
          </w:tcPr>
          <w:p w14:paraId="7EDC0758"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3.00 ± 0.20ᵃ</w:t>
            </w:r>
          </w:p>
        </w:tc>
        <w:tc>
          <w:tcPr>
            <w:tcW w:w="0" w:type="auto"/>
            <w:tcBorders>
              <w:top w:val="nil"/>
              <w:left w:val="nil"/>
              <w:bottom w:val="nil"/>
              <w:right w:val="nil"/>
            </w:tcBorders>
            <w:hideMark/>
          </w:tcPr>
          <w:p w14:paraId="5A12B720"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2.56 ± 0.18ᵃ</w:t>
            </w:r>
          </w:p>
        </w:tc>
        <w:tc>
          <w:tcPr>
            <w:tcW w:w="0" w:type="auto"/>
            <w:tcBorders>
              <w:top w:val="nil"/>
              <w:left w:val="nil"/>
              <w:bottom w:val="nil"/>
              <w:right w:val="nil"/>
            </w:tcBorders>
            <w:hideMark/>
          </w:tcPr>
          <w:p w14:paraId="1B081FB8"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1.00 ± 0.06ᵃ</w:t>
            </w:r>
          </w:p>
        </w:tc>
        <w:tc>
          <w:tcPr>
            <w:tcW w:w="0" w:type="auto"/>
            <w:tcBorders>
              <w:top w:val="nil"/>
              <w:left w:val="nil"/>
              <w:bottom w:val="nil"/>
              <w:right w:val="nil"/>
            </w:tcBorders>
            <w:hideMark/>
          </w:tcPr>
          <w:p w14:paraId="21B58833"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48.0 ± 1.7ᵇ</w:t>
            </w:r>
          </w:p>
        </w:tc>
        <w:tc>
          <w:tcPr>
            <w:tcW w:w="1551" w:type="dxa"/>
            <w:tcBorders>
              <w:top w:val="nil"/>
              <w:left w:val="nil"/>
              <w:bottom w:val="nil"/>
              <w:right w:val="nil"/>
            </w:tcBorders>
            <w:hideMark/>
          </w:tcPr>
          <w:p w14:paraId="4C36C266"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84.0 ± 2.7ᵇ</w:t>
            </w:r>
          </w:p>
        </w:tc>
      </w:tr>
      <w:tr w:rsidR="00F84566" w:rsidRPr="00A81659" w14:paraId="5733FC88" w14:textId="77777777" w:rsidTr="00353EB2">
        <w:tc>
          <w:tcPr>
            <w:tcW w:w="0" w:type="auto"/>
            <w:tcBorders>
              <w:top w:val="nil"/>
              <w:left w:val="nil"/>
              <w:bottom w:val="nil"/>
              <w:right w:val="nil"/>
            </w:tcBorders>
            <w:hideMark/>
          </w:tcPr>
          <w:p w14:paraId="271E4729"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BH8</w:t>
            </w:r>
          </w:p>
        </w:tc>
        <w:tc>
          <w:tcPr>
            <w:tcW w:w="0" w:type="auto"/>
            <w:tcBorders>
              <w:top w:val="nil"/>
              <w:left w:val="nil"/>
              <w:bottom w:val="nil"/>
              <w:right w:val="nil"/>
            </w:tcBorders>
            <w:hideMark/>
          </w:tcPr>
          <w:p w14:paraId="4F9CCA2F"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0.12 ± 0.01ᵃ</w:t>
            </w:r>
          </w:p>
        </w:tc>
        <w:tc>
          <w:tcPr>
            <w:tcW w:w="0" w:type="auto"/>
            <w:tcBorders>
              <w:top w:val="nil"/>
              <w:left w:val="nil"/>
              <w:bottom w:val="nil"/>
              <w:right w:val="nil"/>
            </w:tcBorders>
            <w:hideMark/>
          </w:tcPr>
          <w:p w14:paraId="4D054231"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3.00 ± 0.20ᵃ</w:t>
            </w:r>
          </w:p>
        </w:tc>
        <w:tc>
          <w:tcPr>
            <w:tcW w:w="0" w:type="auto"/>
            <w:tcBorders>
              <w:top w:val="nil"/>
              <w:left w:val="nil"/>
              <w:bottom w:val="nil"/>
              <w:right w:val="nil"/>
            </w:tcBorders>
            <w:hideMark/>
          </w:tcPr>
          <w:p w14:paraId="5DC938D3"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1.54 ± 0.10ᵃ</w:t>
            </w:r>
          </w:p>
        </w:tc>
        <w:tc>
          <w:tcPr>
            <w:tcW w:w="0" w:type="auto"/>
            <w:tcBorders>
              <w:top w:val="nil"/>
              <w:left w:val="nil"/>
              <w:bottom w:val="nil"/>
              <w:right w:val="nil"/>
            </w:tcBorders>
            <w:hideMark/>
          </w:tcPr>
          <w:p w14:paraId="0B95ED7E"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2.00 ± 0.12ᵇ</w:t>
            </w:r>
          </w:p>
        </w:tc>
        <w:tc>
          <w:tcPr>
            <w:tcW w:w="0" w:type="auto"/>
            <w:tcBorders>
              <w:top w:val="nil"/>
              <w:left w:val="nil"/>
              <w:bottom w:val="nil"/>
              <w:right w:val="nil"/>
            </w:tcBorders>
            <w:hideMark/>
          </w:tcPr>
          <w:p w14:paraId="11C4B166"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41.0 ± 1.5ᵇ</w:t>
            </w:r>
          </w:p>
        </w:tc>
        <w:tc>
          <w:tcPr>
            <w:tcW w:w="1551" w:type="dxa"/>
            <w:tcBorders>
              <w:top w:val="nil"/>
              <w:left w:val="nil"/>
              <w:bottom w:val="nil"/>
              <w:right w:val="nil"/>
            </w:tcBorders>
            <w:hideMark/>
          </w:tcPr>
          <w:p w14:paraId="41D6597E"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84.0 ± 2.7ᵇ</w:t>
            </w:r>
          </w:p>
        </w:tc>
      </w:tr>
      <w:tr w:rsidR="00F84566" w:rsidRPr="00A81659" w14:paraId="60893EB1" w14:textId="77777777" w:rsidTr="00353EB2">
        <w:tc>
          <w:tcPr>
            <w:tcW w:w="0" w:type="auto"/>
            <w:tcBorders>
              <w:top w:val="nil"/>
              <w:left w:val="nil"/>
              <w:bottom w:val="nil"/>
              <w:right w:val="nil"/>
            </w:tcBorders>
            <w:hideMark/>
          </w:tcPr>
          <w:p w14:paraId="006BCB5F"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BH9</w:t>
            </w:r>
          </w:p>
        </w:tc>
        <w:tc>
          <w:tcPr>
            <w:tcW w:w="0" w:type="auto"/>
            <w:tcBorders>
              <w:top w:val="nil"/>
              <w:left w:val="nil"/>
              <w:bottom w:val="nil"/>
              <w:right w:val="nil"/>
            </w:tcBorders>
            <w:hideMark/>
          </w:tcPr>
          <w:p w14:paraId="4265A672"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0.11 ± 0.01ᵃ</w:t>
            </w:r>
          </w:p>
        </w:tc>
        <w:tc>
          <w:tcPr>
            <w:tcW w:w="0" w:type="auto"/>
            <w:tcBorders>
              <w:top w:val="nil"/>
              <w:left w:val="nil"/>
              <w:bottom w:val="nil"/>
              <w:right w:val="nil"/>
            </w:tcBorders>
            <w:hideMark/>
          </w:tcPr>
          <w:p w14:paraId="50AF4053"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5.00 ± 0.25ᵃ</w:t>
            </w:r>
          </w:p>
        </w:tc>
        <w:tc>
          <w:tcPr>
            <w:tcW w:w="0" w:type="auto"/>
            <w:tcBorders>
              <w:top w:val="nil"/>
              <w:left w:val="nil"/>
              <w:bottom w:val="nil"/>
              <w:right w:val="nil"/>
            </w:tcBorders>
            <w:hideMark/>
          </w:tcPr>
          <w:p w14:paraId="6E439E72"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1.58 ± 0.10ᵃ</w:t>
            </w:r>
          </w:p>
        </w:tc>
        <w:tc>
          <w:tcPr>
            <w:tcW w:w="0" w:type="auto"/>
            <w:tcBorders>
              <w:top w:val="nil"/>
              <w:left w:val="nil"/>
              <w:bottom w:val="nil"/>
              <w:right w:val="nil"/>
            </w:tcBorders>
            <w:hideMark/>
          </w:tcPr>
          <w:p w14:paraId="332263A4"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1.80 ± 0.10ᵇ</w:t>
            </w:r>
          </w:p>
        </w:tc>
        <w:tc>
          <w:tcPr>
            <w:tcW w:w="0" w:type="auto"/>
            <w:tcBorders>
              <w:top w:val="nil"/>
              <w:left w:val="nil"/>
              <w:bottom w:val="nil"/>
              <w:right w:val="nil"/>
            </w:tcBorders>
            <w:hideMark/>
          </w:tcPr>
          <w:p w14:paraId="49555787"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60.0 ± 2.1ᵇ</w:t>
            </w:r>
          </w:p>
        </w:tc>
        <w:tc>
          <w:tcPr>
            <w:tcW w:w="1551" w:type="dxa"/>
            <w:tcBorders>
              <w:top w:val="nil"/>
              <w:left w:val="nil"/>
              <w:bottom w:val="nil"/>
              <w:right w:val="nil"/>
            </w:tcBorders>
            <w:hideMark/>
          </w:tcPr>
          <w:p w14:paraId="6A0BC4C9"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78.0 ± 2.6ᵇ</w:t>
            </w:r>
          </w:p>
        </w:tc>
      </w:tr>
      <w:tr w:rsidR="00F84566" w:rsidRPr="00A81659" w14:paraId="45033EAB" w14:textId="77777777" w:rsidTr="00353EB2">
        <w:tc>
          <w:tcPr>
            <w:tcW w:w="0" w:type="auto"/>
            <w:tcBorders>
              <w:top w:val="nil"/>
              <w:left w:val="nil"/>
              <w:bottom w:val="nil"/>
              <w:right w:val="nil"/>
            </w:tcBorders>
            <w:hideMark/>
          </w:tcPr>
          <w:p w14:paraId="0C36E6D1"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BH10</w:t>
            </w:r>
          </w:p>
        </w:tc>
        <w:tc>
          <w:tcPr>
            <w:tcW w:w="0" w:type="auto"/>
            <w:tcBorders>
              <w:top w:val="nil"/>
              <w:left w:val="nil"/>
              <w:bottom w:val="nil"/>
              <w:right w:val="nil"/>
            </w:tcBorders>
            <w:hideMark/>
          </w:tcPr>
          <w:p w14:paraId="3141A396"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0.12 ± 0.01ᵃ</w:t>
            </w:r>
          </w:p>
        </w:tc>
        <w:tc>
          <w:tcPr>
            <w:tcW w:w="0" w:type="auto"/>
            <w:tcBorders>
              <w:top w:val="nil"/>
              <w:left w:val="nil"/>
              <w:bottom w:val="nil"/>
              <w:right w:val="nil"/>
            </w:tcBorders>
            <w:hideMark/>
          </w:tcPr>
          <w:p w14:paraId="3E2D8C28"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4.00 ± 0.22ᵃ</w:t>
            </w:r>
          </w:p>
        </w:tc>
        <w:tc>
          <w:tcPr>
            <w:tcW w:w="0" w:type="auto"/>
            <w:tcBorders>
              <w:top w:val="nil"/>
              <w:left w:val="nil"/>
              <w:bottom w:val="nil"/>
              <w:right w:val="nil"/>
            </w:tcBorders>
            <w:hideMark/>
          </w:tcPr>
          <w:p w14:paraId="7466AC20"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0.86 ± 0.06ᵃ</w:t>
            </w:r>
          </w:p>
        </w:tc>
        <w:tc>
          <w:tcPr>
            <w:tcW w:w="0" w:type="auto"/>
            <w:tcBorders>
              <w:top w:val="nil"/>
              <w:left w:val="nil"/>
              <w:bottom w:val="nil"/>
              <w:right w:val="nil"/>
            </w:tcBorders>
            <w:hideMark/>
          </w:tcPr>
          <w:p w14:paraId="21E64069"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1.50 ± 0.09ᵇ</w:t>
            </w:r>
          </w:p>
        </w:tc>
        <w:tc>
          <w:tcPr>
            <w:tcW w:w="0" w:type="auto"/>
            <w:tcBorders>
              <w:top w:val="nil"/>
              <w:left w:val="nil"/>
              <w:bottom w:val="nil"/>
              <w:right w:val="nil"/>
            </w:tcBorders>
            <w:hideMark/>
          </w:tcPr>
          <w:p w14:paraId="1941CE7E"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22.0 ± 0.9ᵃ</w:t>
            </w:r>
          </w:p>
        </w:tc>
        <w:tc>
          <w:tcPr>
            <w:tcW w:w="1551" w:type="dxa"/>
            <w:tcBorders>
              <w:top w:val="nil"/>
              <w:left w:val="nil"/>
              <w:bottom w:val="nil"/>
              <w:right w:val="nil"/>
            </w:tcBorders>
            <w:hideMark/>
          </w:tcPr>
          <w:p w14:paraId="0C9B8328"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65.0 ± 2.3ᵇ</w:t>
            </w:r>
          </w:p>
        </w:tc>
      </w:tr>
      <w:tr w:rsidR="00F84566" w:rsidRPr="00A81659" w14:paraId="0CD7ACD6" w14:textId="77777777" w:rsidTr="00353EB2">
        <w:tc>
          <w:tcPr>
            <w:tcW w:w="0" w:type="auto"/>
            <w:tcBorders>
              <w:top w:val="nil"/>
              <w:left w:val="nil"/>
              <w:bottom w:val="nil"/>
              <w:right w:val="nil"/>
            </w:tcBorders>
            <w:hideMark/>
          </w:tcPr>
          <w:p w14:paraId="2887F53F"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BH11</w:t>
            </w:r>
          </w:p>
        </w:tc>
        <w:tc>
          <w:tcPr>
            <w:tcW w:w="0" w:type="auto"/>
            <w:tcBorders>
              <w:top w:val="nil"/>
              <w:left w:val="nil"/>
              <w:bottom w:val="nil"/>
              <w:right w:val="nil"/>
            </w:tcBorders>
            <w:hideMark/>
          </w:tcPr>
          <w:p w14:paraId="02D84489"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1.68 ± 0.10ᵇ</w:t>
            </w:r>
          </w:p>
        </w:tc>
        <w:tc>
          <w:tcPr>
            <w:tcW w:w="0" w:type="auto"/>
            <w:tcBorders>
              <w:top w:val="nil"/>
              <w:left w:val="nil"/>
              <w:bottom w:val="nil"/>
              <w:right w:val="nil"/>
            </w:tcBorders>
            <w:hideMark/>
          </w:tcPr>
          <w:p w14:paraId="3DC9FCA8"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39.00 ± 1.75ᵇ</w:t>
            </w:r>
          </w:p>
        </w:tc>
        <w:tc>
          <w:tcPr>
            <w:tcW w:w="0" w:type="auto"/>
            <w:tcBorders>
              <w:top w:val="nil"/>
              <w:left w:val="nil"/>
              <w:bottom w:val="nil"/>
              <w:right w:val="nil"/>
            </w:tcBorders>
            <w:hideMark/>
          </w:tcPr>
          <w:p w14:paraId="08EE9E6A"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5.56 ± 0.28ᶜ</w:t>
            </w:r>
          </w:p>
        </w:tc>
        <w:tc>
          <w:tcPr>
            <w:tcW w:w="0" w:type="auto"/>
            <w:tcBorders>
              <w:top w:val="nil"/>
              <w:left w:val="nil"/>
              <w:bottom w:val="nil"/>
              <w:right w:val="nil"/>
            </w:tcBorders>
            <w:hideMark/>
          </w:tcPr>
          <w:p w14:paraId="454009C5"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2.20 ± 0.12ᵇ</w:t>
            </w:r>
          </w:p>
        </w:tc>
        <w:tc>
          <w:tcPr>
            <w:tcW w:w="0" w:type="auto"/>
            <w:tcBorders>
              <w:top w:val="nil"/>
              <w:left w:val="nil"/>
              <w:bottom w:val="nil"/>
              <w:right w:val="nil"/>
            </w:tcBorders>
            <w:hideMark/>
          </w:tcPr>
          <w:p w14:paraId="44C3AC6C"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123.0 ± 3.8ᶜ</w:t>
            </w:r>
          </w:p>
        </w:tc>
        <w:tc>
          <w:tcPr>
            <w:tcW w:w="1551" w:type="dxa"/>
            <w:tcBorders>
              <w:top w:val="nil"/>
              <w:left w:val="nil"/>
              <w:bottom w:val="nil"/>
              <w:right w:val="nil"/>
            </w:tcBorders>
            <w:hideMark/>
          </w:tcPr>
          <w:p w14:paraId="21BA8D9E"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140.0 ± 3.9ᶜ</w:t>
            </w:r>
          </w:p>
        </w:tc>
      </w:tr>
      <w:tr w:rsidR="00F84566" w:rsidRPr="00A81659" w14:paraId="1E26A527" w14:textId="77777777" w:rsidTr="00353EB2">
        <w:tc>
          <w:tcPr>
            <w:tcW w:w="0" w:type="auto"/>
            <w:tcBorders>
              <w:top w:val="nil"/>
              <w:left w:val="nil"/>
              <w:bottom w:val="nil"/>
              <w:right w:val="nil"/>
            </w:tcBorders>
            <w:hideMark/>
          </w:tcPr>
          <w:p w14:paraId="490E3754"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BH12</w:t>
            </w:r>
          </w:p>
        </w:tc>
        <w:tc>
          <w:tcPr>
            <w:tcW w:w="0" w:type="auto"/>
            <w:tcBorders>
              <w:top w:val="nil"/>
              <w:left w:val="nil"/>
              <w:bottom w:val="nil"/>
              <w:right w:val="nil"/>
            </w:tcBorders>
            <w:hideMark/>
          </w:tcPr>
          <w:p w14:paraId="416D6416"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0.37 ± 0.03ᵃ</w:t>
            </w:r>
          </w:p>
        </w:tc>
        <w:tc>
          <w:tcPr>
            <w:tcW w:w="0" w:type="auto"/>
            <w:tcBorders>
              <w:top w:val="nil"/>
              <w:left w:val="nil"/>
              <w:bottom w:val="nil"/>
              <w:right w:val="nil"/>
            </w:tcBorders>
            <w:hideMark/>
          </w:tcPr>
          <w:p w14:paraId="1CA58047"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7.00 ± 0.35ᵃ</w:t>
            </w:r>
          </w:p>
        </w:tc>
        <w:tc>
          <w:tcPr>
            <w:tcW w:w="0" w:type="auto"/>
            <w:tcBorders>
              <w:top w:val="nil"/>
              <w:left w:val="nil"/>
              <w:bottom w:val="nil"/>
              <w:right w:val="nil"/>
            </w:tcBorders>
            <w:hideMark/>
          </w:tcPr>
          <w:p w14:paraId="1436E6EF"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1.36 ± 0.09ᵃ</w:t>
            </w:r>
          </w:p>
        </w:tc>
        <w:tc>
          <w:tcPr>
            <w:tcW w:w="0" w:type="auto"/>
            <w:tcBorders>
              <w:top w:val="nil"/>
              <w:left w:val="nil"/>
              <w:bottom w:val="nil"/>
              <w:right w:val="nil"/>
            </w:tcBorders>
            <w:hideMark/>
          </w:tcPr>
          <w:p w14:paraId="194608B6"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1.20 ± 0.07ᵃ</w:t>
            </w:r>
          </w:p>
        </w:tc>
        <w:tc>
          <w:tcPr>
            <w:tcW w:w="0" w:type="auto"/>
            <w:tcBorders>
              <w:top w:val="nil"/>
              <w:left w:val="nil"/>
              <w:bottom w:val="nil"/>
              <w:right w:val="nil"/>
            </w:tcBorders>
            <w:hideMark/>
          </w:tcPr>
          <w:p w14:paraId="2EC8F633"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37.0 ± 1.3ᵇ</w:t>
            </w:r>
          </w:p>
        </w:tc>
        <w:tc>
          <w:tcPr>
            <w:tcW w:w="1551" w:type="dxa"/>
            <w:tcBorders>
              <w:top w:val="nil"/>
              <w:left w:val="nil"/>
              <w:bottom w:val="nil"/>
              <w:right w:val="nil"/>
            </w:tcBorders>
            <w:hideMark/>
          </w:tcPr>
          <w:p w14:paraId="6E99D253"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78.0 ± 2.6ᵇ</w:t>
            </w:r>
          </w:p>
        </w:tc>
      </w:tr>
      <w:tr w:rsidR="00F84566" w:rsidRPr="00A81659" w14:paraId="42A798C5" w14:textId="77777777" w:rsidTr="00353EB2">
        <w:tc>
          <w:tcPr>
            <w:tcW w:w="0" w:type="auto"/>
            <w:tcBorders>
              <w:top w:val="nil"/>
              <w:left w:val="nil"/>
              <w:bottom w:val="nil"/>
              <w:right w:val="nil"/>
            </w:tcBorders>
            <w:hideMark/>
          </w:tcPr>
          <w:p w14:paraId="4B9A8B54"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BH13</w:t>
            </w:r>
          </w:p>
        </w:tc>
        <w:tc>
          <w:tcPr>
            <w:tcW w:w="0" w:type="auto"/>
            <w:tcBorders>
              <w:top w:val="nil"/>
              <w:left w:val="nil"/>
              <w:bottom w:val="nil"/>
              <w:right w:val="nil"/>
            </w:tcBorders>
            <w:hideMark/>
          </w:tcPr>
          <w:p w14:paraId="02DFFE45"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0.14 ± 0.02ᵃ</w:t>
            </w:r>
          </w:p>
        </w:tc>
        <w:tc>
          <w:tcPr>
            <w:tcW w:w="0" w:type="auto"/>
            <w:tcBorders>
              <w:top w:val="nil"/>
              <w:left w:val="nil"/>
              <w:bottom w:val="nil"/>
              <w:right w:val="nil"/>
            </w:tcBorders>
            <w:hideMark/>
          </w:tcPr>
          <w:p w14:paraId="662A4DFE"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5.00 ± 0.25ᵃ</w:t>
            </w:r>
          </w:p>
        </w:tc>
        <w:tc>
          <w:tcPr>
            <w:tcW w:w="0" w:type="auto"/>
            <w:tcBorders>
              <w:top w:val="nil"/>
              <w:left w:val="nil"/>
              <w:bottom w:val="nil"/>
              <w:right w:val="nil"/>
            </w:tcBorders>
            <w:hideMark/>
          </w:tcPr>
          <w:p w14:paraId="7FFEFA90"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1.42 ± 0.10ᵃ</w:t>
            </w:r>
          </w:p>
        </w:tc>
        <w:tc>
          <w:tcPr>
            <w:tcW w:w="0" w:type="auto"/>
            <w:tcBorders>
              <w:top w:val="nil"/>
              <w:left w:val="nil"/>
              <w:bottom w:val="nil"/>
              <w:right w:val="nil"/>
            </w:tcBorders>
            <w:hideMark/>
          </w:tcPr>
          <w:p w14:paraId="73DF6FBA"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0.50 ± 0.04ᵃ</w:t>
            </w:r>
          </w:p>
        </w:tc>
        <w:tc>
          <w:tcPr>
            <w:tcW w:w="0" w:type="auto"/>
            <w:tcBorders>
              <w:top w:val="nil"/>
              <w:left w:val="nil"/>
              <w:bottom w:val="nil"/>
              <w:right w:val="nil"/>
            </w:tcBorders>
            <w:hideMark/>
          </w:tcPr>
          <w:p w14:paraId="5DCE37DE"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52.0 ± 1.8ᵇ</w:t>
            </w:r>
          </w:p>
        </w:tc>
        <w:tc>
          <w:tcPr>
            <w:tcW w:w="1551" w:type="dxa"/>
            <w:tcBorders>
              <w:top w:val="nil"/>
              <w:left w:val="nil"/>
              <w:bottom w:val="nil"/>
              <w:right w:val="nil"/>
            </w:tcBorders>
            <w:hideMark/>
          </w:tcPr>
          <w:p w14:paraId="4B421EE2"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85.0 ± 2.8ᵇ</w:t>
            </w:r>
          </w:p>
        </w:tc>
      </w:tr>
      <w:tr w:rsidR="00F84566" w:rsidRPr="00A81659" w14:paraId="4F30BD20" w14:textId="77777777" w:rsidTr="00353EB2">
        <w:tc>
          <w:tcPr>
            <w:tcW w:w="0" w:type="auto"/>
            <w:tcBorders>
              <w:top w:val="nil"/>
              <w:left w:val="nil"/>
              <w:bottom w:val="nil"/>
              <w:right w:val="nil"/>
            </w:tcBorders>
            <w:hideMark/>
          </w:tcPr>
          <w:p w14:paraId="329CA126"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BH14</w:t>
            </w:r>
          </w:p>
        </w:tc>
        <w:tc>
          <w:tcPr>
            <w:tcW w:w="0" w:type="auto"/>
            <w:tcBorders>
              <w:top w:val="nil"/>
              <w:left w:val="nil"/>
              <w:bottom w:val="nil"/>
              <w:right w:val="nil"/>
            </w:tcBorders>
            <w:hideMark/>
          </w:tcPr>
          <w:p w14:paraId="3DDEF1A4"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0.17 ± 0.02ᵃ</w:t>
            </w:r>
          </w:p>
        </w:tc>
        <w:tc>
          <w:tcPr>
            <w:tcW w:w="0" w:type="auto"/>
            <w:tcBorders>
              <w:top w:val="nil"/>
              <w:left w:val="nil"/>
              <w:bottom w:val="nil"/>
              <w:right w:val="nil"/>
            </w:tcBorders>
            <w:hideMark/>
          </w:tcPr>
          <w:p w14:paraId="2CE8FB51"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8.00 ± 0.40ᵃ</w:t>
            </w:r>
          </w:p>
        </w:tc>
        <w:tc>
          <w:tcPr>
            <w:tcW w:w="0" w:type="auto"/>
            <w:tcBorders>
              <w:top w:val="nil"/>
              <w:left w:val="nil"/>
              <w:bottom w:val="nil"/>
              <w:right w:val="nil"/>
            </w:tcBorders>
            <w:hideMark/>
          </w:tcPr>
          <w:p w14:paraId="00FE2AFF"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3.58 ± 0.22ᵇ</w:t>
            </w:r>
          </w:p>
        </w:tc>
        <w:tc>
          <w:tcPr>
            <w:tcW w:w="0" w:type="auto"/>
            <w:tcBorders>
              <w:top w:val="nil"/>
              <w:left w:val="nil"/>
              <w:bottom w:val="nil"/>
              <w:right w:val="nil"/>
            </w:tcBorders>
            <w:hideMark/>
          </w:tcPr>
          <w:p w14:paraId="31C42093"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2.40 ± 0.15ᵇ</w:t>
            </w:r>
          </w:p>
        </w:tc>
        <w:tc>
          <w:tcPr>
            <w:tcW w:w="0" w:type="auto"/>
            <w:tcBorders>
              <w:top w:val="nil"/>
              <w:left w:val="nil"/>
              <w:bottom w:val="nil"/>
              <w:right w:val="nil"/>
            </w:tcBorders>
            <w:hideMark/>
          </w:tcPr>
          <w:p w14:paraId="4C227A20"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85.0 ± 2.7ᶜ</w:t>
            </w:r>
          </w:p>
        </w:tc>
        <w:tc>
          <w:tcPr>
            <w:tcW w:w="1551" w:type="dxa"/>
            <w:tcBorders>
              <w:top w:val="nil"/>
              <w:left w:val="nil"/>
              <w:bottom w:val="nil"/>
              <w:right w:val="nil"/>
            </w:tcBorders>
            <w:hideMark/>
          </w:tcPr>
          <w:p w14:paraId="61B3F0FB"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120.0 ± 3.4ᶜ</w:t>
            </w:r>
          </w:p>
        </w:tc>
      </w:tr>
      <w:tr w:rsidR="00F84566" w:rsidRPr="00A81659" w14:paraId="14FA1773" w14:textId="77777777" w:rsidTr="00353EB2">
        <w:tc>
          <w:tcPr>
            <w:tcW w:w="0" w:type="auto"/>
            <w:tcBorders>
              <w:top w:val="nil"/>
              <w:left w:val="nil"/>
              <w:bottom w:val="nil"/>
              <w:right w:val="nil"/>
            </w:tcBorders>
            <w:hideMark/>
          </w:tcPr>
          <w:p w14:paraId="1BD45CB4"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BH15</w:t>
            </w:r>
          </w:p>
        </w:tc>
        <w:tc>
          <w:tcPr>
            <w:tcW w:w="0" w:type="auto"/>
            <w:tcBorders>
              <w:top w:val="nil"/>
              <w:left w:val="nil"/>
              <w:bottom w:val="nil"/>
              <w:right w:val="nil"/>
            </w:tcBorders>
            <w:hideMark/>
          </w:tcPr>
          <w:p w14:paraId="3CF52455"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0.27 ± 0.03ᵃ</w:t>
            </w:r>
          </w:p>
        </w:tc>
        <w:tc>
          <w:tcPr>
            <w:tcW w:w="0" w:type="auto"/>
            <w:tcBorders>
              <w:top w:val="nil"/>
              <w:left w:val="nil"/>
              <w:bottom w:val="nil"/>
              <w:right w:val="nil"/>
            </w:tcBorders>
            <w:hideMark/>
          </w:tcPr>
          <w:p w14:paraId="237F9A89"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5.00 ± 0.25ᵃ</w:t>
            </w:r>
          </w:p>
        </w:tc>
        <w:tc>
          <w:tcPr>
            <w:tcW w:w="0" w:type="auto"/>
            <w:tcBorders>
              <w:top w:val="nil"/>
              <w:left w:val="nil"/>
              <w:bottom w:val="nil"/>
              <w:right w:val="nil"/>
            </w:tcBorders>
            <w:hideMark/>
          </w:tcPr>
          <w:p w14:paraId="71584273"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1.32 ± 0.09ᵃ</w:t>
            </w:r>
          </w:p>
        </w:tc>
        <w:tc>
          <w:tcPr>
            <w:tcW w:w="0" w:type="auto"/>
            <w:tcBorders>
              <w:top w:val="nil"/>
              <w:left w:val="nil"/>
              <w:bottom w:val="nil"/>
              <w:right w:val="nil"/>
            </w:tcBorders>
            <w:hideMark/>
          </w:tcPr>
          <w:p w14:paraId="61FA16F5"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1.30 ± 0.08ᵃ</w:t>
            </w:r>
          </w:p>
        </w:tc>
        <w:tc>
          <w:tcPr>
            <w:tcW w:w="0" w:type="auto"/>
            <w:tcBorders>
              <w:top w:val="nil"/>
              <w:left w:val="nil"/>
              <w:bottom w:val="nil"/>
              <w:right w:val="nil"/>
            </w:tcBorders>
            <w:hideMark/>
          </w:tcPr>
          <w:p w14:paraId="524FA578"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81.0 ± 2.6ᶜ</w:t>
            </w:r>
          </w:p>
        </w:tc>
        <w:tc>
          <w:tcPr>
            <w:tcW w:w="1551" w:type="dxa"/>
            <w:tcBorders>
              <w:top w:val="nil"/>
              <w:left w:val="nil"/>
              <w:bottom w:val="nil"/>
              <w:right w:val="nil"/>
            </w:tcBorders>
            <w:hideMark/>
          </w:tcPr>
          <w:p w14:paraId="548BDF15"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96.0 ± 3.0ᶜ</w:t>
            </w:r>
          </w:p>
        </w:tc>
      </w:tr>
      <w:tr w:rsidR="00F84566" w:rsidRPr="00A81659" w14:paraId="1AAEE94A" w14:textId="77777777" w:rsidTr="00353EB2">
        <w:tc>
          <w:tcPr>
            <w:tcW w:w="0" w:type="auto"/>
            <w:tcBorders>
              <w:top w:val="nil"/>
              <w:left w:val="nil"/>
              <w:bottom w:val="nil"/>
              <w:right w:val="nil"/>
            </w:tcBorders>
            <w:hideMark/>
          </w:tcPr>
          <w:p w14:paraId="5962630E"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BH16</w:t>
            </w:r>
          </w:p>
        </w:tc>
        <w:tc>
          <w:tcPr>
            <w:tcW w:w="0" w:type="auto"/>
            <w:tcBorders>
              <w:top w:val="nil"/>
              <w:left w:val="nil"/>
              <w:bottom w:val="nil"/>
              <w:right w:val="nil"/>
            </w:tcBorders>
            <w:hideMark/>
          </w:tcPr>
          <w:p w14:paraId="2E7EE67B"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0.13 ± 0.01ᵃ</w:t>
            </w:r>
          </w:p>
        </w:tc>
        <w:tc>
          <w:tcPr>
            <w:tcW w:w="0" w:type="auto"/>
            <w:tcBorders>
              <w:top w:val="nil"/>
              <w:left w:val="nil"/>
              <w:bottom w:val="nil"/>
              <w:right w:val="nil"/>
            </w:tcBorders>
            <w:hideMark/>
          </w:tcPr>
          <w:p w14:paraId="555CC0B8"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8.00 ± 0.40ᵃ</w:t>
            </w:r>
          </w:p>
        </w:tc>
        <w:tc>
          <w:tcPr>
            <w:tcW w:w="0" w:type="auto"/>
            <w:tcBorders>
              <w:top w:val="nil"/>
              <w:left w:val="nil"/>
              <w:bottom w:val="nil"/>
              <w:right w:val="nil"/>
            </w:tcBorders>
            <w:hideMark/>
          </w:tcPr>
          <w:p w14:paraId="625A29FC"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1.26 ± 0.08ᵃ</w:t>
            </w:r>
          </w:p>
        </w:tc>
        <w:tc>
          <w:tcPr>
            <w:tcW w:w="0" w:type="auto"/>
            <w:tcBorders>
              <w:top w:val="nil"/>
              <w:left w:val="nil"/>
              <w:bottom w:val="nil"/>
              <w:right w:val="nil"/>
            </w:tcBorders>
            <w:hideMark/>
          </w:tcPr>
          <w:p w14:paraId="38098BE7"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0.60 ± 0.05ᵃ</w:t>
            </w:r>
          </w:p>
        </w:tc>
        <w:tc>
          <w:tcPr>
            <w:tcW w:w="0" w:type="auto"/>
            <w:tcBorders>
              <w:top w:val="nil"/>
              <w:left w:val="nil"/>
              <w:bottom w:val="nil"/>
              <w:right w:val="nil"/>
            </w:tcBorders>
            <w:hideMark/>
          </w:tcPr>
          <w:p w14:paraId="6148F136"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57.0 ± 1.9ᵇ</w:t>
            </w:r>
          </w:p>
        </w:tc>
        <w:tc>
          <w:tcPr>
            <w:tcW w:w="1551" w:type="dxa"/>
            <w:tcBorders>
              <w:top w:val="nil"/>
              <w:left w:val="nil"/>
              <w:bottom w:val="nil"/>
              <w:right w:val="nil"/>
            </w:tcBorders>
            <w:hideMark/>
          </w:tcPr>
          <w:p w14:paraId="465A8BB8"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72.0 ± 2.4ᵇ</w:t>
            </w:r>
          </w:p>
        </w:tc>
      </w:tr>
      <w:tr w:rsidR="00F84566" w:rsidRPr="00A81659" w14:paraId="6222EBF3" w14:textId="77777777" w:rsidTr="00353EB2">
        <w:tc>
          <w:tcPr>
            <w:tcW w:w="0" w:type="auto"/>
            <w:tcBorders>
              <w:top w:val="nil"/>
              <w:left w:val="nil"/>
              <w:right w:val="nil"/>
            </w:tcBorders>
            <w:hideMark/>
          </w:tcPr>
          <w:p w14:paraId="43386E62"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BH17</w:t>
            </w:r>
          </w:p>
        </w:tc>
        <w:tc>
          <w:tcPr>
            <w:tcW w:w="0" w:type="auto"/>
            <w:tcBorders>
              <w:top w:val="nil"/>
              <w:left w:val="nil"/>
              <w:right w:val="nil"/>
            </w:tcBorders>
            <w:hideMark/>
          </w:tcPr>
          <w:p w14:paraId="66EF8FC6"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0.15 ± 0.02ᵃ</w:t>
            </w:r>
          </w:p>
        </w:tc>
        <w:tc>
          <w:tcPr>
            <w:tcW w:w="0" w:type="auto"/>
            <w:tcBorders>
              <w:top w:val="nil"/>
              <w:left w:val="nil"/>
              <w:right w:val="nil"/>
            </w:tcBorders>
            <w:hideMark/>
          </w:tcPr>
          <w:p w14:paraId="0F6B8788"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5.00 ± 0.25ᵃ</w:t>
            </w:r>
          </w:p>
        </w:tc>
        <w:tc>
          <w:tcPr>
            <w:tcW w:w="0" w:type="auto"/>
            <w:tcBorders>
              <w:top w:val="nil"/>
              <w:left w:val="nil"/>
              <w:right w:val="nil"/>
            </w:tcBorders>
            <w:hideMark/>
          </w:tcPr>
          <w:p w14:paraId="2B3B35C3"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2.42 ± 0.16ᵃ</w:t>
            </w:r>
          </w:p>
        </w:tc>
        <w:tc>
          <w:tcPr>
            <w:tcW w:w="0" w:type="auto"/>
            <w:tcBorders>
              <w:top w:val="nil"/>
              <w:left w:val="nil"/>
              <w:right w:val="nil"/>
            </w:tcBorders>
            <w:hideMark/>
          </w:tcPr>
          <w:p w14:paraId="198A4D03"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0.80 ± 0.06ᵃ</w:t>
            </w:r>
          </w:p>
        </w:tc>
        <w:tc>
          <w:tcPr>
            <w:tcW w:w="0" w:type="auto"/>
            <w:tcBorders>
              <w:top w:val="nil"/>
              <w:left w:val="nil"/>
              <w:right w:val="nil"/>
            </w:tcBorders>
            <w:hideMark/>
          </w:tcPr>
          <w:p w14:paraId="69B93764"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60.0 ± 2.1ᵇ</w:t>
            </w:r>
          </w:p>
        </w:tc>
        <w:tc>
          <w:tcPr>
            <w:tcW w:w="1551" w:type="dxa"/>
            <w:tcBorders>
              <w:top w:val="nil"/>
              <w:left w:val="nil"/>
              <w:right w:val="nil"/>
            </w:tcBorders>
            <w:hideMark/>
          </w:tcPr>
          <w:p w14:paraId="018EE63A" w14:textId="77777777" w:rsidR="00F84566" w:rsidRPr="00A81659" w:rsidRDefault="00F84566" w:rsidP="00A81659">
            <w:pPr>
              <w:jc w:val="both"/>
              <w:rPr>
                <w:rFonts w:ascii="Times New Roman" w:eastAsia="Times New Roman" w:hAnsi="Times New Roman" w:cs="Times New Roman"/>
                <w:kern w:val="0"/>
                <w:sz w:val="22"/>
                <w:szCs w:val="22"/>
                <w14:ligatures w14:val="none"/>
              </w:rPr>
            </w:pPr>
            <w:r w:rsidRPr="00A81659">
              <w:rPr>
                <w:rFonts w:ascii="Times New Roman" w:eastAsia="Times New Roman" w:hAnsi="Times New Roman" w:cs="Times New Roman"/>
                <w:kern w:val="0"/>
                <w:sz w:val="22"/>
                <w:szCs w:val="22"/>
                <w14:ligatures w14:val="none"/>
              </w:rPr>
              <w:t>80.0 ± 2.6ᵇ</w:t>
            </w:r>
          </w:p>
        </w:tc>
      </w:tr>
    </w:tbl>
    <w:p w14:paraId="27C49899" w14:textId="77777777" w:rsidR="00F52F08" w:rsidRPr="00A81659" w:rsidRDefault="00F52F08" w:rsidP="00A81659">
      <w:pPr>
        <w:spacing w:after="120" w:line="240" w:lineRule="auto"/>
        <w:jc w:val="both"/>
        <w:rPr>
          <w:rFonts w:ascii="Times New Roman" w:eastAsia="Times New Roman" w:hAnsi="Times New Roman" w:cs="Times New Roman"/>
          <w:b/>
          <w:bCs/>
          <w:kern w:val="0"/>
          <w14:ligatures w14:val="none"/>
        </w:rPr>
      </w:pPr>
      <w:r w:rsidRPr="00A81659">
        <w:rPr>
          <w:rFonts w:ascii="Times New Roman" w:hAnsi="Times New Roman" w:cs="Times New Roman"/>
        </w:rPr>
        <w:t>Values are mean ± standard deviation (n = 3).</w:t>
      </w:r>
      <w:r w:rsidRPr="00A81659">
        <w:rPr>
          <w:rFonts w:ascii="Times New Roman" w:hAnsi="Times New Roman" w:cs="Times New Roman"/>
          <w:b/>
          <w:bCs/>
        </w:rPr>
        <w:t xml:space="preserve"> </w:t>
      </w:r>
      <w:r w:rsidRPr="00A81659">
        <w:rPr>
          <w:rStyle w:val="Strong"/>
          <w:rFonts w:ascii="Times New Roman" w:hAnsi="Times New Roman" w:cs="Times New Roman"/>
          <w:b w:val="0"/>
          <w:bCs w:val="0"/>
        </w:rPr>
        <w:t>Different superscript letters within a column indicate significant differences (p &lt; 0.05).</w:t>
      </w:r>
    </w:p>
    <w:p w14:paraId="7A83E118" w14:textId="2EA2CC5E" w:rsidR="007E54CE" w:rsidRPr="00A81659" w:rsidRDefault="007E54CE" w:rsidP="00A81659">
      <w:pPr>
        <w:spacing w:after="120" w:line="240" w:lineRule="auto"/>
        <w:jc w:val="both"/>
        <w:rPr>
          <w:rFonts w:ascii="Times New Roman" w:hAnsi="Times New Roman" w:cs="Times New Roman"/>
        </w:rPr>
      </w:pPr>
      <w:r w:rsidRPr="00A81659">
        <w:rPr>
          <w:rFonts w:ascii="Times New Roman" w:eastAsia="Times New Roman" w:hAnsi="Times New Roman" w:cs="Times New Roman"/>
          <w:b/>
          <w:bCs/>
          <w:kern w:val="0"/>
          <w14:ligatures w14:val="none"/>
        </w:rPr>
        <w:t>Heavy Metals and Alkali Metals</w:t>
      </w:r>
    </w:p>
    <w:p w14:paraId="76FD8EDD" w14:textId="58511BAD" w:rsidR="007E54CE" w:rsidRPr="00A81659" w:rsidRDefault="007E54CE" w:rsidP="00A81659">
      <w:pPr>
        <w:spacing w:after="120" w:line="240" w:lineRule="auto"/>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Concentrations of calcium, magnesium, sodium, potassium, iron, and manganese are presented in Table</w:t>
      </w:r>
      <w:r w:rsidR="00966FBC">
        <w:rPr>
          <w:rFonts w:ascii="Times New Roman" w:eastAsia="Times New Roman" w:hAnsi="Times New Roman" w:cs="Times New Roman"/>
          <w:kern w:val="0"/>
          <w14:ligatures w14:val="none"/>
        </w:rPr>
        <w:t xml:space="preserve"> </w:t>
      </w:r>
      <w:r w:rsidRPr="00A81659">
        <w:rPr>
          <w:rFonts w:ascii="Times New Roman" w:eastAsia="Times New Roman" w:hAnsi="Times New Roman" w:cs="Times New Roman"/>
          <w:kern w:val="0"/>
          <w14:ligatures w14:val="none"/>
        </w:rPr>
        <w:t>1c. Calcium levels ranged from 3.24 ± 0.17 to 28.02 ± 1.25 mg/L, while magnesium concentrations varied between 0.81 ± 0.05 and 7.47 ± 0.35 mg/L. Sodium concentrations showed wider variation (1.62 ± 0.09 to 33.09 ± 1.20 mg/L), with BH6 recording a significantly higher value (p &lt; 0.05). Iron concentrations ranged from 0.014 ± 0.002 to 0.300 ± 0.020 mg/L. Borehole BH8 recorded iron levels at the WHO permissible limit, while other boreholes remained below guideline values. Manganese concentrations were generally low (0.001 ± 0.000 to 0.050 ± 0.005 mg/L) and within WHO limits.</w:t>
      </w:r>
    </w:p>
    <w:p w14:paraId="1172294D" w14:textId="45305880" w:rsidR="00F84566" w:rsidRPr="00A81659" w:rsidRDefault="00F84566" w:rsidP="00A81659">
      <w:pPr>
        <w:spacing w:after="120" w:line="240" w:lineRule="auto"/>
        <w:jc w:val="both"/>
        <w:rPr>
          <w:rFonts w:ascii="Times New Roman" w:hAnsi="Times New Roman" w:cs="Times New Roman"/>
        </w:rPr>
      </w:pPr>
      <w:r w:rsidRPr="00A81659">
        <w:rPr>
          <w:rFonts w:ascii="Times New Roman" w:hAnsi="Times New Roman" w:cs="Times New Roman"/>
        </w:rPr>
        <w:t>Table 1c: Heavy Metals and Alkali Metals of Groundwater (n = 3)</w:t>
      </w:r>
    </w:p>
    <w:tbl>
      <w:tblPr>
        <w:tblStyle w:val="TableGrid"/>
        <w:tblW w:w="9625" w:type="dxa"/>
        <w:tblLook w:val="04A0" w:firstRow="1" w:lastRow="0" w:firstColumn="1" w:lastColumn="0" w:noHBand="0" w:noVBand="1"/>
      </w:tblPr>
      <w:tblGrid>
        <w:gridCol w:w="1056"/>
        <w:gridCol w:w="1384"/>
        <w:gridCol w:w="1276"/>
        <w:gridCol w:w="1499"/>
        <w:gridCol w:w="1260"/>
        <w:gridCol w:w="1620"/>
        <w:gridCol w:w="1530"/>
      </w:tblGrid>
      <w:tr w:rsidR="00F84566" w:rsidRPr="00A81659" w14:paraId="7A9808E5" w14:textId="77777777" w:rsidTr="00353EB2">
        <w:tc>
          <w:tcPr>
            <w:tcW w:w="0" w:type="auto"/>
            <w:tcBorders>
              <w:left w:val="nil"/>
              <w:bottom w:val="single" w:sz="4" w:space="0" w:color="auto"/>
              <w:right w:val="nil"/>
            </w:tcBorders>
            <w:hideMark/>
          </w:tcPr>
          <w:p w14:paraId="1FD31EB6" w14:textId="77777777" w:rsidR="00F84566" w:rsidRPr="00A81659" w:rsidRDefault="00F84566" w:rsidP="00A81659">
            <w:pPr>
              <w:spacing w:after="120"/>
              <w:jc w:val="both"/>
              <w:rPr>
                <w:rFonts w:ascii="Times New Roman" w:eastAsia="Times New Roman" w:hAnsi="Times New Roman" w:cs="Times New Roman"/>
                <w:b/>
                <w:bCs/>
                <w:kern w:val="0"/>
                <w:sz w:val="20"/>
                <w:szCs w:val="20"/>
                <w14:ligatures w14:val="none"/>
              </w:rPr>
            </w:pPr>
            <w:r w:rsidRPr="00A81659">
              <w:rPr>
                <w:rFonts w:ascii="Times New Roman" w:eastAsia="Times New Roman" w:hAnsi="Times New Roman" w:cs="Times New Roman"/>
                <w:b/>
                <w:bCs/>
                <w:kern w:val="0"/>
                <w:sz w:val="20"/>
                <w:szCs w:val="20"/>
                <w14:ligatures w14:val="none"/>
              </w:rPr>
              <w:t>Borehole</w:t>
            </w:r>
          </w:p>
        </w:tc>
        <w:tc>
          <w:tcPr>
            <w:tcW w:w="0" w:type="auto"/>
            <w:tcBorders>
              <w:left w:val="nil"/>
              <w:bottom w:val="single" w:sz="4" w:space="0" w:color="auto"/>
              <w:right w:val="nil"/>
            </w:tcBorders>
            <w:hideMark/>
          </w:tcPr>
          <w:p w14:paraId="014DEE82" w14:textId="77777777" w:rsidR="00F84566" w:rsidRPr="00A81659" w:rsidRDefault="00F84566" w:rsidP="00A81659">
            <w:pPr>
              <w:spacing w:after="120"/>
              <w:jc w:val="both"/>
              <w:rPr>
                <w:rFonts w:ascii="Times New Roman" w:eastAsia="Times New Roman" w:hAnsi="Times New Roman" w:cs="Times New Roman"/>
                <w:b/>
                <w:bCs/>
                <w:kern w:val="0"/>
                <w:sz w:val="20"/>
                <w:szCs w:val="20"/>
                <w14:ligatures w14:val="none"/>
              </w:rPr>
            </w:pPr>
            <w:r w:rsidRPr="00A81659">
              <w:rPr>
                <w:rFonts w:ascii="Times New Roman" w:eastAsia="Times New Roman" w:hAnsi="Times New Roman" w:cs="Times New Roman"/>
                <w:b/>
                <w:bCs/>
                <w:kern w:val="0"/>
                <w:sz w:val="20"/>
                <w:szCs w:val="20"/>
                <w14:ligatures w14:val="none"/>
              </w:rPr>
              <w:t>Ca (mg/L)</w:t>
            </w:r>
          </w:p>
        </w:tc>
        <w:tc>
          <w:tcPr>
            <w:tcW w:w="0" w:type="auto"/>
            <w:tcBorders>
              <w:left w:val="nil"/>
              <w:bottom w:val="single" w:sz="4" w:space="0" w:color="auto"/>
              <w:right w:val="nil"/>
            </w:tcBorders>
            <w:hideMark/>
          </w:tcPr>
          <w:p w14:paraId="25C3A228" w14:textId="77777777" w:rsidR="00F84566" w:rsidRPr="00A81659" w:rsidRDefault="00F84566" w:rsidP="00A81659">
            <w:pPr>
              <w:spacing w:after="120"/>
              <w:jc w:val="both"/>
              <w:rPr>
                <w:rFonts w:ascii="Times New Roman" w:eastAsia="Times New Roman" w:hAnsi="Times New Roman" w:cs="Times New Roman"/>
                <w:b/>
                <w:bCs/>
                <w:kern w:val="0"/>
                <w:sz w:val="20"/>
                <w:szCs w:val="20"/>
                <w14:ligatures w14:val="none"/>
              </w:rPr>
            </w:pPr>
            <w:r w:rsidRPr="00A81659">
              <w:rPr>
                <w:rFonts w:ascii="Times New Roman" w:eastAsia="Times New Roman" w:hAnsi="Times New Roman" w:cs="Times New Roman"/>
                <w:b/>
                <w:bCs/>
                <w:kern w:val="0"/>
                <w:sz w:val="20"/>
                <w:szCs w:val="20"/>
                <w14:ligatures w14:val="none"/>
              </w:rPr>
              <w:t>Mg (mg/L)</w:t>
            </w:r>
          </w:p>
        </w:tc>
        <w:tc>
          <w:tcPr>
            <w:tcW w:w="1499" w:type="dxa"/>
            <w:tcBorders>
              <w:left w:val="nil"/>
              <w:bottom w:val="single" w:sz="4" w:space="0" w:color="auto"/>
              <w:right w:val="nil"/>
            </w:tcBorders>
            <w:hideMark/>
          </w:tcPr>
          <w:p w14:paraId="5D30A376" w14:textId="77777777" w:rsidR="00F84566" w:rsidRPr="00A81659" w:rsidRDefault="00F84566" w:rsidP="00A81659">
            <w:pPr>
              <w:spacing w:after="120"/>
              <w:jc w:val="both"/>
              <w:rPr>
                <w:rFonts w:ascii="Times New Roman" w:eastAsia="Times New Roman" w:hAnsi="Times New Roman" w:cs="Times New Roman"/>
                <w:b/>
                <w:bCs/>
                <w:kern w:val="0"/>
                <w:sz w:val="20"/>
                <w:szCs w:val="20"/>
                <w14:ligatures w14:val="none"/>
              </w:rPr>
            </w:pPr>
            <w:r w:rsidRPr="00A81659">
              <w:rPr>
                <w:rFonts w:ascii="Times New Roman" w:eastAsia="Times New Roman" w:hAnsi="Times New Roman" w:cs="Times New Roman"/>
                <w:b/>
                <w:bCs/>
                <w:kern w:val="0"/>
                <w:sz w:val="20"/>
                <w:szCs w:val="20"/>
                <w14:ligatures w14:val="none"/>
              </w:rPr>
              <w:t>Na (mg/L)</w:t>
            </w:r>
          </w:p>
        </w:tc>
        <w:tc>
          <w:tcPr>
            <w:tcW w:w="1260" w:type="dxa"/>
            <w:tcBorders>
              <w:left w:val="nil"/>
              <w:bottom w:val="single" w:sz="4" w:space="0" w:color="auto"/>
              <w:right w:val="nil"/>
            </w:tcBorders>
            <w:hideMark/>
          </w:tcPr>
          <w:p w14:paraId="2DFBBD6C" w14:textId="77777777" w:rsidR="00F84566" w:rsidRPr="00A81659" w:rsidRDefault="00F84566" w:rsidP="00A81659">
            <w:pPr>
              <w:spacing w:after="120"/>
              <w:jc w:val="both"/>
              <w:rPr>
                <w:rFonts w:ascii="Times New Roman" w:eastAsia="Times New Roman" w:hAnsi="Times New Roman" w:cs="Times New Roman"/>
                <w:b/>
                <w:bCs/>
                <w:kern w:val="0"/>
                <w:sz w:val="20"/>
                <w:szCs w:val="20"/>
                <w14:ligatures w14:val="none"/>
              </w:rPr>
            </w:pPr>
            <w:r w:rsidRPr="00A81659">
              <w:rPr>
                <w:rFonts w:ascii="Times New Roman" w:eastAsia="Times New Roman" w:hAnsi="Times New Roman" w:cs="Times New Roman"/>
                <w:b/>
                <w:bCs/>
                <w:kern w:val="0"/>
                <w:sz w:val="20"/>
                <w:szCs w:val="20"/>
                <w14:ligatures w14:val="none"/>
              </w:rPr>
              <w:t>K (mg/L)</w:t>
            </w:r>
          </w:p>
        </w:tc>
        <w:tc>
          <w:tcPr>
            <w:tcW w:w="1620" w:type="dxa"/>
            <w:tcBorders>
              <w:left w:val="nil"/>
              <w:bottom w:val="single" w:sz="4" w:space="0" w:color="auto"/>
              <w:right w:val="nil"/>
            </w:tcBorders>
            <w:hideMark/>
          </w:tcPr>
          <w:p w14:paraId="2D9EA869" w14:textId="77777777" w:rsidR="00F84566" w:rsidRPr="00A81659" w:rsidRDefault="00F84566" w:rsidP="00A81659">
            <w:pPr>
              <w:spacing w:after="120"/>
              <w:jc w:val="both"/>
              <w:rPr>
                <w:rFonts w:ascii="Times New Roman" w:eastAsia="Times New Roman" w:hAnsi="Times New Roman" w:cs="Times New Roman"/>
                <w:b/>
                <w:bCs/>
                <w:kern w:val="0"/>
                <w:sz w:val="20"/>
                <w:szCs w:val="20"/>
                <w14:ligatures w14:val="none"/>
              </w:rPr>
            </w:pPr>
            <w:r w:rsidRPr="00A81659">
              <w:rPr>
                <w:rFonts w:ascii="Times New Roman" w:eastAsia="Times New Roman" w:hAnsi="Times New Roman" w:cs="Times New Roman"/>
                <w:b/>
                <w:bCs/>
                <w:kern w:val="0"/>
                <w:sz w:val="20"/>
                <w:szCs w:val="20"/>
                <w14:ligatures w14:val="none"/>
              </w:rPr>
              <w:t>Fe (mg/L)</w:t>
            </w:r>
          </w:p>
        </w:tc>
        <w:tc>
          <w:tcPr>
            <w:tcW w:w="1530" w:type="dxa"/>
            <w:tcBorders>
              <w:left w:val="nil"/>
              <w:bottom w:val="single" w:sz="4" w:space="0" w:color="auto"/>
              <w:right w:val="nil"/>
            </w:tcBorders>
            <w:hideMark/>
          </w:tcPr>
          <w:p w14:paraId="3AAF8542" w14:textId="77777777" w:rsidR="00F84566" w:rsidRPr="00A81659" w:rsidRDefault="00F84566" w:rsidP="00A81659">
            <w:pPr>
              <w:spacing w:after="120"/>
              <w:jc w:val="both"/>
              <w:rPr>
                <w:rFonts w:ascii="Times New Roman" w:eastAsia="Times New Roman" w:hAnsi="Times New Roman" w:cs="Times New Roman"/>
                <w:b/>
                <w:bCs/>
                <w:kern w:val="0"/>
                <w:sz w:val="20"/>
                <w:szCs w:val="20"/>
                <w14:ligatures w14:val="none"/>
              </w:rPr>
            </w:pPr>
            <w:r w:rsidRPr="00A81659">
              <w:rPr>
                <w:rFonts w:ascii="Times New Roman" w:eastAsia="Times New Roman" w:hAnsi="Times New Roman" w:cs="Times New Roman"/>
                <w:b/>
                <w:bCs/>
                <w:kern w:val="0"/>
                <w:sz w:val="20"/>
                <w:szCs w:val="20"/>
                <w14:ligatures w14:val="none"/>
              </w:rPr>
              <w:t>Mn (mg/L)</w:t>
            </w:r>
          </w:p>
        </w:tc>
      </w:tr>
      <w:tr w:rsidR="00F84566" w:rsidRPr="00A81659" w14:paraId="4D80F2BB" w14:textId="77777777" w:rsidTr="00353EB2">
        <w:tc>
          <w:tcPr>
            <w:tcW w:w="0" w:type="auto"/>
            <w:tcBorders>
              <w:left w:val="nil"/>
              <w:bottom w:val="nil"/>
              <w:right w:val="nil"/>
            </w:tcBorders>
            <w:hideMark/>
          </w:tcPr>
          <w:p w14:paraId="359A23D1"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BH1</w:t>
            </w:r>
          </w:p>
        </w:tc>
        <w:tc>
          <w:tcPr>
            <w:tcW w:w="0" w:type="auto"/>
            <w:tcBorders>
              <w:left w:val="nil"/>
              <w:bottom w:val="nil"/>
              <w:right w:val="nil"/>
            </w:tcBorders>
            <w:hideMark/>
          </w:tcPr>
          <w:p w14:paraId="755CCEAE"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6.00 ± 0.25ᵃ</w:t>
            </w:r>
          </w:p>
        </w:tc>
        <w:tc>
          <w:tcPr>
            <w:tcW w:w="0" w:type="auto"/>
            <w:tcBorders>
              <w:left w:val="nil"/>
              <w:bottom w:val="nil"/>
              <w:right w:val="nil"/>
            </w:tcBorders>
            <w:hideMark/>
          </w:tcPr>
          <w:p w14:paraId="0471ED8A"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1.48 ± 0.08ᵃ</w:t>
            </w:r>
          </w:p>
        </w:tc>
        <w:tc>
          <w:tcPr>
            <w:tcW w:w="1499" w:type="dxa"/>
            <w:tcBorders>
              <w:left w:val="nil"/>
              <w:bottom w:val="nil"/>
              <w:right w:val="nil"/>
            </w:tcBorders>
            <w:hideMark/>
          </w:tcPr>
          <w:p w14:paraId="21B27238"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2.95 ± 0.15ᵃ</w:t>
            </w:r>
          </w:p>
        </w:tc>
        <w:tc>
          <w:tcPr>
            <w:tcW w:w="1260" w:type="dxa"/>
            <w:tcBorders>
              <w:left w:val="nil"/>
              <w:bottom w:val="nil"/>
              <w:right w:val="nil"/>
            </w:tcBorders>
            <w:hideMark/>
          </w:tcPr>
          <w:p w14:paraId="55D492D4"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0.74 ± 0.04ᵃ</w:t>
            </w:r>
          </w:p>
        </w:tc>
        <w:tc>
          <w:tcPr>
            <w:tcW w:w="1620" w:type="dxa"/>
            <w:tcBorders>
              <w:left w:val="nil"/>
              <w:bottom w:val="nil"/>
              <w:right w:val="nil"/>
            </w:tcBorders>
            <w:hideMark/>
          </w:tcPr>
          <w:p w14:paraId="5711A99A"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0.014 ± 0.002ᵃ</w:t>
            </w:r>
          </w:p>
        </w:tc>
        <w:tc>
          <w:tcPr>
            <w:tcW w:w="1530" w:type="dxa"/>
            <w:tcBorders>
              <w:left w:val="nil"/>
              <w:bottom w:val="nil"/>
              <w:right w:val="nil"/>
            </w:tcBorders>
            <w:hideMark/>
          </w:tcPr>
          <w:p w14:paraId="5BA469F0"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0.002 ± 0.001ᵃ</w:t>
            </w:r>
          </w:p>
        </w:tc>
      </w:tr>
      <w:tr w:rsidR="00F84566" w:rsidRPr="00A81659" w14:paraId="2D32E7B9" w14:textId="77777777" w:rsidTr="00353EB2">
        <w:tc>
          <w:tcPr>
            <w:tcW w:w="0" w:type="auto"/>
            <w:tcBorders>
              <w:top w:val="nil"/>
              <w:left w:val="nil"/>
              <w:bottom w:val="nil"/>
              <w:right w:val="nil"/>
            </w:tcBorders>
            <w:hideMark/>
          </w:tcPr>
          <w:p w14:paraId="66ECC1E7"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BH2</w:t>
            </w:r>
          </w:p>
        </w:tc>
        <w:tc>
          <w:tcPr>
            <w:tcW w:w="0" w:type="auto"/>
            <w:tcBorders>
              <w:top w:val="nil"/>
              <w:left w:val="nil"/>
              <w:bottom w:val="nil"/>
              <w:right w:val="nil"/>
            </w:tcBorders>
            <w:hideMark/>
          </w:tcPr>
          <w:p w14:paraId="23D7B02F"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16.67 ± 0.80ᵇ</w:t>
            </w:r>
          </w:p>
        </w:tc>
        <w:tc>
          <w:tcPr>
            <w:tcW w:w="0" w:type="auto"/>
            <w:tcBorders>
              <w:top w:val="nil"/>
              <w:left w:val="nil"/>
              <w:bottom w:val="nil"/>
              <w:right w:val="nil"/>
            </w:tcBorders>
            <w:hideMark/>
          </w:tcPr>
          <w:p w14:paraId="248EB8D1"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4.20 ± 0.20ᵇ</w:t>
            </w:r>
          </w:p>
        </w:tc>
        <w:tc>
          <w:tcPr>
            <w:tcW w:w="1499" w:type="dxa"/>
            <w:tcBorders>
              <w:top w:val="nil"/>
              <w:left w:val="nil"/>
              <w:bottom w:val="nil"/>
              <w:right w:val="nil"/>
            </w:tcBorders>
            <w:hideMark/>
          </w:tcPr>
          <w:p w14:paraId="1254F72E"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8.36 ± 0.35ᵇ</w:t>
            </w:r>
          </w:p>
        </w:tc>
        <w:tc>
          <w:tcPr>
            <w:tcW w:w="1260" w:type="dxa"/>
            <w:tcBorders>
              <w:top w:val="nil"/>
              <w:left w:val="nil"/>
              <w:bottom w:val="nil"/>
              <w:right w:val="nil"/>
            </w:tcBorders>
            <w:hideMark/>
          </w:tcPr>
          <w:p w14:paraId="609B5D9A"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2.08 ± 0.10ᵇ</w:t>
            </w:r>
          </w:p>
        </w:tc>
        <w:tc>
          <w:tcPr>
            <w:tcW w:w="1620" w:type="dxa"/>
            <w:tcBorders>
              <w:top w:val="nil"/>
              <w:left w:val="nil"/>
              <w:bottom w:val="nil"/>
              <w:right w:val="nil"/>
            </w:tcBorders>
            <w:hideMark/>
          </w:tcPr>
          <w:p w14:paraId="4362B822"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0.024 ± 0.003ᵃ</w:t>
            </w:r>
          </w:p>
        </w:tc>
        <w:tc>
          <w:tcPr>
            <w:tcW w:w="1530" w:type="dxa"/>
            <w:tcBorders>
              <w:top w:val="nil"/>
              <w:left w:val="nil"/>
              <w:bottom w:val="nil"/>
              <w:right w:val="nil"/>
            </w:tcBorders>
            <w:hideMark/>
          </w:tcPr>
          <w:p w14:paraId="3D3ECC5D"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0.040 ± 0.004ᵇ</w:t>
            </w:r>
          </w:p>
        </w:tc>
      </w:tr>
      <w:tr w:rsidR="00F84566" w:rsidRPr="00A81659" w14:paraId="2B955064" w14:textId="77777777" w:rsidTr="00353EB2">
        <w:tc>
          <w:tcPr>
            <w:tcW w:w="0" w:type="auto"/>
            <w:tcBorders>
              <w:top w:val="nil"/>
              <w:left w:val="nil"/>
              <w:bottom w:val="nil"/>
              <w:right w:val="nil"/>
            </w:tcBorders>
            <w:hideMark/>
          </w:tcPr>
          <w:p w14:paraId="14F0792E"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BH3</w:t>
            </w:r>
          </w:p>
        </w:tc>
        <w:tc>
          <w:tcPr>
            <w:tcW w:w="0" w:type="auto"/>
            <w:tcBorders>
              <w:top w:val="nil"/>
              <w:left w:val="nil"/>
              <w:bottom w:val="nil"/>
              <w:right w:val="nil"/>
            </w:tcBorders>
            <w:hideMark/>
          </w:tcPr>
          <w:p w14:paraId="68658C6F"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4.24 ± 0.22ᵃ</w:t>
            </w:r>
          </w:p>
        </w:tc>
        <w:tc>
          <w:tcPr>
            <w:tcW w:w="0" w:type="auto"/>
            <w:tcBorders>
              <w:top w:val="nil"/>
              <w:left w:val="nil"/>
              <w:bottom w:val="nil"/>
              <w:right w:val="nil"/>
            </w:tcBorders>
            <w:hideMark/>
          </w:tcPr>
          <w:p w14:paraId="1AC97D68"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1.07 ± 0.05ᵃ</w:t>
            </w:r>
          </w:p>
        </w:tc>
        <w:tc>
          <w:tcPr>
            <w:tcW w:w="1499" w:type="dxa"/>
            <w:tcBorders>
              <w:top w:val="nil"/>
              <w:left w:val="nil"/>
              <w:bottom w:val="nil"/>
              <w:right w:val="nil"/>
            </w:tcBorders>
            <w:hideMark/>
          </w:tcPr>
          <w:p w14:paraId="3EDCB4A8"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2.15 ± 0.12ᵃ</w:t>
            </w:r>
          </w:p>
        </w:tc>
        <w:tc>
          <w:tcPr>
            <w:tcW w:w="1260" w:type="dxa"/>
            <w:tcBorders>
              <w:top w:val="nil"/>
              <w:left w:val="nil"/>
              <w:bottom w:val="nil"/>
              <w:right w:val="nil"/>
            </w:tcBorders>
            <w:hideMark/>
          </w:tcPr>
          <w:p w14:paraId="340B5B83"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0.54 ± 0.03ᵃ</w:t>
            </w:r>
          </w:p>
        </w:tc>
        <w:tc>
          <w:tcPr>
            <w:tcW w:w="1620" w:type="dxa"/>
            <w:tcBorders>
              <w:top w:val="nil"/>
              <w:left w:val="nil"/>
              <w:bottom w:val="nil"/>
              <w:right w:val="nil"/>
            </w:tcBorders>
            <w:hideMark/>
          </w:tcPr>
          <w:p w14:paraId="32C27932"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0.018 ± 0.002ᵃ</w:t>
            </w:r>
          </w:p>
        </w:tc>
        <w:tc>
          <w:tcPr>
            <w:tcW w:w="1530" w:type="dxa"/>
            <w:tcBorders>
              <w:top w:val="nil"/>
              <w:left w:val="nil"/>
              <w:bottom w:val="nil"/>
              <w:right w:val="nil"/>
            </w:tcBorders>
            <w:hideMark/>
          </w:tcPr>
          <w:p w14:paraId="69B04D60"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0.050 ± 0.005ᵇ</w:t>
            </w:r>
          </w:p>
        </w:tc>
      </w:tr>
      <w:tr w:rsidR="00F84566" w:rsidRPr="00A81659" w14:paraId="73056469" w14:textId="77777777" w:rsidTr="00353EB2">
        <w:tc>
          <w:tcPr>
            <w:tcW w:w="0" w:type="auto"/>
            <w:tcBorders>
              <w:top w:val="nil"/>
              <w:left w:val="nil"/>
              <w:bottom w:val="nil"/>
              <w:right w:val="nil"/>
            </w:tcBorders>
            <w:hideMark/>
          </w:tcPr>
          <w:p w14:paraId="1A39D11D"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BH4</w:t>
            </w:r>
          </w:p>
        </w:tc>
        <w:tc>
          <w:tcPr>
            <w:tcW w:w="0" w:type="auto"/>
            <w:tcBorders>
              <w:top w:val="nil"/>
              <w:left w:val="nil"/>
              <w:bottom w:val="nil"/>
              <w:right w:val="nil"/>
            </w:tcBorders>
            <w:hideMark/>
          </w:tcPr>
          <w:p w14:paraId="371815A2"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24.56 ± 1.10ᶜ</w:t>
            </w:r>
          </w:p>
        </w:tc>
        <w:tc>
          <w:tcPr>
            <w:tcW w:w="0" w:type="auto"/>
            <w:tcBorders>
              <w:top w:val="nil"/>
              <w:left w:val="nil"/>
              <w:bottom w:val="nil"/>
              <w:right w:val="nil"/>
            </w:tcBorders>
            <w:hideMark/>
          </w:tcPr>
          <w:p w14:paraId="3202C85C"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6.14 ± 0.30ᶜ</w:t>
            </w:r>
          </w:p>
        </w:tc>
        <w:tc>
          <w:tcPr>
            <w:tcW w:w="1499" w:type="dxa"/>
            <w:tcBorders>
              <w:top w:val="nil"/>
              <w:left w:val="nil"/>
              <w:bottom w:val="nil"/>
              <w:right w:val="nil"/>
            </w:tcBorders>
            <w:hideMark/>
          </w:tcPr>
          <w:p w14:paraId="2FCD4977"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12.30 ± 0.55ᶜ</w:t>
            </w:r>
          </w:p>
        </w:tc>
        <w:tc>
          <w:tcPr>
            <w:tcW w:w="1260" w:type="dxa"/>
            <w:tcBorders>
              <w:top w:val="nil"/>
              <w:left w:val="nil"/>
              <w:bottom w:val="nil"/>
              <w:right w:val="nil"/>
            </w:tcBorders>
            <w:hideMark/>
          </w:tcPr>
          <w:p w14:paraId="71881E1D"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3.07 ± 0.15ᶜ</w:t>
            </w:r>
          </w:p>
        </w:tc>
        <w:tc>
          <w:tcPr>
            <w:tcW w:w="1620" w:type="dxa"/>
            <w:tcBorders>
              <w:top w:val="nil"/>
              <w:left w:val="nil"/>
              <w:bottom w:val="nil"/>
              <w:right w:val="nil"/>
            </w:tcBorders>
            <w:hideMark/>
          </w:tcPr>
          <w:p w14:paraId="0DF82E1B"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0.134 ± 0.010ᵇ</w:t>
            </w:r>
          </w:p>
        </w:tc>
        <w:tc>
          <w:tcPr>
            <w:tcW w:w="1530" w:type="dxa"/>
            <w:tcBorders>
              <w:top w:val="nil"/>
              <w:left w:val="nil"/>
              <w:bottom w:val="nil"/>
              <w:right w:val="nil"/>
            </w:tcBorders>
            <w:hideMark/>
          </w:tcPr>
          <w:p w14:paraId="050D871F"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0.010 ± 0.001ᵃ</w:t>
            </w:r>
          </w:p>
        </w:tc>
      </w:tr>
      <w:tr w:rsidR="00F84566" w:rsidRPr="00A81659" w14:paraId="283684B8" w14:textId="77777777" w:rsidTr="00353EB2">
        <w:tc>
          <w:tcPr>
            <w:tcW w:w="0" w:type="auto"/>
            <w:tcBorders>
              <w:top w:val="nil"/>
              <w:left w:val="nil"/>
              <w:bottom w:val="nil"/>
              <w:right w:val="nil"/>
            </w:tcBorders>
            <w:hideMark/>
          </w:tcPr>
          <w:p w14:paraId="30E9FA2B"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BH5</w:t>
            </w:r>
          </w:p>
        </w:tc>
        <w:tc>
          <w:tcPr>
            <w:tcW w:w="0" w:type="auto"/>
            <w:tcBorders>
              <w:top w:val="nil"/>
              <w:left w:val="nil"/>
              <w:bottom w:val="nil"/>
              <w:right w:val="nil"/>
            </w:tcBorders>
            <w:hideMark/>
          </w:tcPr>
          <w:p w14:paraId="1B2F1E5D"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28.02 ± 1.25ᶜ</w:t>
            </w:r>
          </w:p>
        </w:tc>
        <w:tc>
          <w:tcPr>
            <w:tcW w:w="0" w:type="auto"/>
            <w:tcBorders>
              <w:top w:val="nil"/>
              <w:left w:val="nil"/>
              <w:bottom w:val="nil"/>
              <w:right w:val="nil"/>
            </w:tcBorders>
            <w:hideMark/>
          </w:tcPr>
          <w:p w14:paraId="79AC87FC"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7.47 ± 0.35ᶜ</w:t>
            </w:r>
          </w:p>
        </w:tc>
        <w:tc>
          <w:tcPr>
            <w:tcW w:w="1499" w:type="dxa"/>
            <w:tcBorders>
              <w:top w:val="nil"/>
              <w:left w:val="nil"/>
              <w:bottom w:val="nil"/>
              <w:right w:val="nil"/>
            </w:tcBorders>
            <w:hideMark/>
          </w:tcPr>
          <w:p w14:paraId="6AE9C335"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14.09 ± 0.60ᶜ</w:t>
            </w:r>
          </w:p>
        </w:tc>
        <w:tc>
          <w:tcPr>
            <w:tcW w:w="1260" w:type="dxa"/>
            <w:tcBorders>
              <w:top w:val="nil"/>
              <w:left w:val="nil"/>
              <w:bottom w:val="nil"/>
              <w:right w:val="nil"/>
            </w:tcBorders>
            <w:hideMark/>
          </w:tcPr>
          <w:p w14:paraId="24F2C16A"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3.50 ± 0.18ᶜ</w:t>
            </w:r>
          </w:p>
        </w:tc>
        <w:tc>
          <w:tcPr>
            <w:tcW w:w="1620" w:type="dxa"/>
            <w:tcBorders>
              <w:top w:val="nil"/>
              <w:left w:val="nil"/>
              <w:bottom w:val="nil"/>
              <w:right w:val="nil"/>
            </w:tcBorders>
            <w:hideMark/>
          </w:tcPr>
          <w:p w14:paraId="0FF2CE69"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0.042 ± 0.004ᵃ</w:t>
            </w:r>
          </w:p>
        </w:tc>
        <w:tc>
          <w:tcPr>
            <w:tcW w:w="1530" w:type="dxa"/>
            <w:tcBorders>
              <w:top w:val="nil"/>
              <w:left w:val="nil"/>
              <w:bottom w:val="nil"/>
              <w:right w:val="nil"/>
            </w:tcBorders>
            <w:hideMark/>
          </w:tcPr>
          <w:p w14:paraId="70E54FE2"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0.001 ± 0.000ᵃ</w:t>
            </w:r>
          </w:p>
        </w:tc>
      </w:tr>
      <w:tr w:rsidR="00F84566" w:rsidRPr="00A81659" w14:paraId="072CD55F" w14:textId="77777777" w:rsidTr="00353EB2">
        <w:tc>
          <w:tcPr>
            <w:tcW w:w="0" w:type="auto"/>
            <w:tcBorders>
              <w:top w:val="nil"/>
              <w:left w:val="nil"/>
              <w:bottom w:val="nil"/>
              <w:right w:val="nil"/>
            </w:tcBorders>
            <w:hideMark/>
          </w:tcPr>
          <w:p w14:paraId="4E8E44CF"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BH6</w:t>
            </w:r>
          </w:p>
        </w:tc>
        <w:tc>
          <w:tcPr>
            <w:tcW w:w="0" w:type="auto"/>
            <w:tcBorders>
              <w:top w:val="nil"/>
              <w:left w:val="nil"/>
              <w:bottom w:val="nil"/>
              <w:right w:val="nil"/>
            </w:tcBorders>
            <w:hideMark/>
          </w:tcPr>
          <w:p w14:paraId="42F29B5B"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6.15 ± 0.30ᵃ</w:t>
            </w:r>
          </w:p>
        </w:tc>
        <w:tc>
          <w:tcPr>
            <w:tcW w:w="0" w:type="auto"/>
            <w:tcBorders>
              <w:top w:val="nil"/>
              <w:left w:val="nil"/>
              <w:bottom w:val="nil"/>
              <w:right w:val="nil"/>
            </w:tcBorders>
            <w:hideMark/>
          </w:tcPr>
          <w:p w14:paraId="703EC9F2"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1.54 ± 0.08ᵃ</w:t>
            </w:r>
          </w:p>
        </w:tc>
        <w:tc>
          <w:tcPr>
            <w:tcW w:w="1499" w:type="dxa"/>
            <w:tcBorders>
              <w:top w:val="nil"/>
              <w:left w:val="nil"/>
              <w:bottom w:val="nil"/>
              <w:right w:val="nil"/>
            </w:tcBorders>
            <w:hideMark/>
          </w:tcPr>
          <w:p w14:paraId="33D64B97"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33.09 ± 1.20ᵈ</w:t>
            </w:r>
          </w:p>
        </w:tc>
        <w:tc>
          <w:tcPr>
            <w:tcW w:w="1260" w:type="dxa"/>
            <w:tcBorders>
              <w:top w:val="nil"/>
              <w:left w:val="nil"/>
              <w:bottom w:val="nil"/>
              <w:right w:val="nil"/>
            </w:tcBorders>
            <w:hideMark/>
          </w:tcPr>
          <w:p w14:paraId="3F1EB14E"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0.77 ± 0.04ᵃ</w:t>
            </w:r>
          </w:p>
        </w:tc>
        <w:tc>
          <w:tcPr>
            <w:tcW w:w="1620" w:type="dxa"/>
            <w:tcBorders>
              <w:top w:val="nil"/>
              <w:left w:val="nil"/>
              <w:bottom w:val="nil"/>
              <w:right w:val="nil"/>
            </w:tcBorders>
            <w:hideMark/>
          </w:tcPr>
          <w:p w14:paraId="1784C1D3"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0.028 ± 0.003ᵃ</w:t>
            </w:r>
          </w:p>
        </w:tc>
        <w:tc>
          <w:tcPr>
            <w:tcW w:w="1530" w:type="dxa"/>
            <w:tcBorders>
              <w:top w:val="nil"/>
              <w:left w:val="nil"/>
              <w:bottom w:val="nil"/>
              <w:right w:val="nil"/>
            </w:tcBorders>
            <w:hideMark/>
          </w:tcPr>
          <w:p w14:paraId="5B0C6FE0"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0.005 ± 0.001ᵃ</w:t>
            </w:r>
          </w:p>
        </w:tc>
      </w:tr>
      <w:tr w:rsidR="00F84566" w:rsidRPr="00A81659" w14:paraId="63ED3828" w14:textId="77777777" w:rsidTr="00353EB2">
        <w:tc>
          <w:tcPr>
            <w:tcW w:w="0" w:type="auto"/>
            <w:tcBorders>
              <w:top w:val="nil"/>
              <w:left w:val="nil"/>
              <w:bottom w:val="nil"/>
              <w:right w:val="nil"/>
            </w:tcBorders>
            <w:hideMark/>
          </w:tcPr>
          <w:p w14:paraId="5E024DB0"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BH7</w:t>
            </w:r>
          </w:p>
        </w:tc>
        <w:tc>
          <w:tcPr>
            <w:tcW w:w="0" w:type="auto"/>
            <w:tcBorders>
              <w:top w:val="nil"/>
              <w:left w:val="nil"/>
              <w:bottom w:val="nil"/>
              <w:right w:val="nil"/>
            </w:tcBorders>
            <w:hideMark/>
          </w:tcPr>
          <w:p w14:paraId="196B5146"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3.34 ± 0.18ᵃ</w:t>
            </w:r>
          </w:p>
        </w:tc>
        <w:tc>
          <w:tcPr>
            <w:tcW w:w="0" w:type="auto"/>
            <w:tcBorders>
              <w:top w:val="nil"/>
              <w:left w:val="nil"/>
              <w:bottom w:val="nil"/>
              <w:right w:val="nil"/>
            </w:tcBorders>
            <w:hideMark/>
          </w:tcPr>
          <w:p w14:paraId="4519B954"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0.84 ± 0.05ᵃ</w:t>
            </w:r>
          </w:p>
        </w:tc>
        <w:tc>
          <w:tcPr>
            <w:tcW w:w="1499" w:type="dxa"/>
            <w:tcBorders>
              <w:top w:val="nil"/>
              <w:left w:val="nil"/>
              <w:bottom w:val="nil"/>
              <w:right w:val="nil"/>
            </w:tcBorders>
            <w:hideMark/>
          </w:tcPr>
          <w:p w14:paraId="06E7AFA0"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1.68 ± 0.10ᵃ</w:t>
            </w:r>
          </w:p>
        </w:tc>
        <w:tc>
          <w:tcPr>
            <w:tcW w:w="1260" w:type="dxa"/>
            <w:tcBorders>
              <w:top w:val="nil"/>
              <w:left w:val="nil"/>
              <w:bottom w:val="nil"/>
              <w:right w:val="nil"/>
            </w:tcBorders>
            <w:hideMark/>
          </w:tcPr>
          <w:p w14:paraId="01493404"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0.43 ± 0.02ᵃ</w:t>
            </w:r>
          </w:p>
        </w:tc>
        <w:tc>
          <w:tcPr>
            <w:tcW w:w="1620" w:type="dxa"/>
            <w:tcBorders>
              <w:top w:val="nil"/>
              <w:left w:val="nil"/>
              <w:bottom w:val="nil"/>
              <w:right w:val="nil"/>
            </w:tcBorders>
            <w:hideMark/>
          </w:tcPr>
          <w:p w14:paraId="705D3B57"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0.100 ± 0.008ᵇ</w:t>
            </w:r>
          </w:p>
        </w:tc>
        <w:tc>
          <w:tcPr>
            <w:tcW w:w="1530" w:type="dxa"/>
            <w:tcBorders>
              <w:top w:val="nil"/>
              <w:left w:val="nil"/>
              <w:bottom w:val="nil"/>
              <w:right w:val="nil"/>
            </w:tcBorders>
            <w:hideMark/>
          </w:tcPr>
          <w:p w14:paraId="43BA7A28"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0.001 ± 0.000ᵃ</w:t>
            </w:r>
          </w:p>
        </w:tc>
      </w:tr>
      <w:tr w:rsidR="00F84566" w:rsidRPr="00A81659" w14:paraId="20BECB5C" w14:textId="77777777" w:rsidTr="00353EB2">
        <w:tc>
          <w:tcPr>
            <w:tcW w:w="0" w:type="auto"/>
            <w:tcBorders>
              <w:top w:val="nil"/>
              <w:left w:val="nil"/>
              <w:bottom w:val="nil"/>
              <w:right w:val="nil"/>
            </w:tcBorders>
            <w:hideMark/>
          </w:tcPr>
          <w:p w14:paraId="1E903864"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BH8</w:t>
            </w:r>
          </w:p>
        </w:tc>
        <w:tc>
          <w:tcPr>
            <w:tcW w:w="0" w:type="auto"/>
            <w:tcBorders>
              <w:top w:val="nil"/>
              <w:left w:val="nil"/>
              <w:bottom w:val="nil"/>
              <w:right w:val="nil"/>
            </w:tcBorders>
            <w:hideMark/>
          </w:tcPr>
          <w:p w14:paraId="1DD01059"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3.33 ± 0.18ᵃ</w:t>
            </w:r>
          </w:p>
        </w:tc>
        <w:tc>
          <w:tcPr>
            <w:tcW w:w="0" w:type="auto"/>
            <w:tcBorders>
              <w:top w:val="nil"/>
              <w:left w:val="nil"/>
              <w:bottom w:val="nil"/>
              <w:right w:val="nil"/>
            </w:tcBorders>
            <w:hideMark/>
          </w:tcPr>
          <w:p w14:paraId="520FECC4"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0.83 ± 0.05ᵃ</w:t>
            </w:r>
          </w:p>
        </w:tc>
        <w:tc>
          <w:tcPr>
            <w:tcW w:w="1499" w:type="dxa"/>
            <w:tcBorders>
              <w:top w:val="nil"/>
              <w:left w:val="nil"/>
              <w:bottom w:val="nil"/>
              <w:right w:val="nil"/>
            </w:tcBorders>
            <w:hideMark/>
          </w:tcPr>
          <w:p w14:paraId="47FAEB27"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1.67 ± 0.10ᵃ</w:t>
            </w:r>
          </w:p>
        </w:tc>
        <w:tc>
          <w:tcPr>
            <w:tcW w:w="1260" w:type="dxa"/>
            <w:tcBorders>
              <w:top w:val="nil"/>
              <w:left w:val="nil"/>
              <w:bottom w:val="nil"/>
              <w:right w:val="nil"/>
            </w:tcBorders>
            <w:hideMark/>
          </w:tcPr>
          <w:p w14:paraId="001C09BE"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0.42 ± 0.02ᵃ</w:t>
            </w:r>
          </w:p>
        </w:tc>
        <w:tc>
          <w:tcPr>
            <w:tcW w:w="1620" w:type="dxa"/>
            <w:tcBorders>
              <w:top w:val="nil"/>
              <w:left w:val="nil"/>
              <w:bottom w:val="nil"/>
              <w:right w:val="nil"/>
            </w:tcBorders>
            <w:hideMark/>
          </w:tcPr>
          <w:p w14:paraId="4EAE77F1"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0.300 ± 0.020ᶜ</w:t>
            </w:r>
          </w:p>
        </w:tc>
        <w:tc>
          <w:tcPr>
            <w:tcW w:w="1530" w:type="dxa"/>
            <w:tcBorders>
              <w:top w:val="nil"/>
              <w:left w:val="nil"/>
              <w:bottom w:val="nil"/>
              <w:right w:val="nil"/>
            </w:tcBorders>
            <w:hideMark/>
          </w:tcPr>
          <w:p w14:paraId="163C420E"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0.004 ± 0.001ᵃ</w:t>
            </w:r>
          </w:p>
        </w:tc>
      </w:tr>
      <w:tr w:rsidR="00F84566" w:rsidRPr="00A81659" w14:paraId="0CD8980D" w14:textId="77777777" w:rsidTr="00353EB2">
        <w:tc>
          <w:tcPr>
            <w:tcW w:w="0" w:type="auto"/>
            <w:tcBorders>
              <w:top w:val="nil"/>
              <w:left w:val="nil"/>
              <w:bottom w:val="nil"/>
              <w:right w:val="nil"/>
            </w:tcBorders>
            <w:hideMark/>
          </w:tcPr>
          <w:p w14:paraId="528C4BB5"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BH9</w:t>
            </w:r>
          </w:p>
        </w:tc>
        <w:tc>
          <w:tcPr>
            <w:tcW w:w="0" w:type="auto"/>
            <w:tcBorders>
              <w:top w:val="nil"/>
              <w:left w:val="nil"/>
              <w:bottom w:val="nil"/>
              <w:right w:val="nil"/>
            </w:tcBorders>
            <w:hideMark/>
          </w:tcPr>
          <w:p w14:paraId="6B413CF0"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4.25 ± 0.22ᵃ</w:t>
            </w:r>
          </w:p>
        </w:tc>
        <w:tc>
          <w:tcPr>
            <w:tcW w:w="0" w:type="auto"/>
            <w:tcBorders>
              <w:top w:val="nil"/>
              <w:left w:val="nil"/>
              <w:bottom w:val="nil"/>
              <w:right w:val="nil"/>
            </w:tcBorders>
            <w:hideMark/>
          </w:tcPr>
          <w:p w14:paraId="40CBA964"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1.06 ± 0.06ᵃ</w:t>
            </w:r>
          </w:p>
        </w:tc>
        <w:tc>
          <w:tcPr>
            <w:tcW w:w="1499" w:type="dxa"/>
            <w:tcBorders>
              <w:top w:val="nil"/>
              <w:left w:val="nil"/>
              <w:bottom w:val="nil"/>
              <w:right w:val="nil"/>
            </w:tcBorders>
            <w:hideMark/>
          </w:tcPr>
          <w:p w14:paraId="602E31E0"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2.12 ± 0.12ᵃ</w:t>
            </w:r>
          </w:p>
        </w:tc>
        <w:tc>
          <w:tcPr>
            <w:tcW w:w="1260" w:type="dxa"/>
            <w:tcBorders>
              <w:top w:val="nil"/>
              <w:left w:val="nil"/>
              <w:bottom w:val="nil"/>
              <w:right w:val="nil"/>
            </w:tcBorders>
            <w:hideMark/>
          </w:tcPr>
          <w:p w14:paraId="673C4254"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0.53 ± 0.03ᵃ</w:t>
            </w:r>
          </w:p>
        </w:tc>
        <w:tc>
          <w:tcPr>
            <w:tcW w:w="1620" w:type="dxa"/>
            <w:tcBorders>
              <w:top w:val="nil"/>
              <w:left w:val="nil"/>
              <w:bottom w:val="nil"/>
              <w:right w:val="nil"/>
            </w:tcBorders>
            <w:hideMark/>
          </w:tcPr>
          <w:p w14:paraId="0DC97632"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0.120 ± 0.010ᵇ</w:t>
            </w:r>
          </w:p>
        </w:tc>
        <w:tc>
          <w:tcPr>
            <w:tcW w:w="1530" w:type="dxa"/>
            <w:tcBorders>
              <w:top w:val="nil"/>
              <w:left w:val="nil"/>
              <w:bottom w:val="nil"/>
              <w:right w:val="nil"/>
            </w:tcBorders>
            <w:hideMark/>
          </w:tcPr>
          <w:p w14:paraId="04C8224D"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0.001 ± 0.000ᵃ</w:t>
            </w:r>
          </w:p>
        </w:tc>
      </w:tr>
      <w:tr w:rsidR="00F84566" w:rsidRPr="00A81659" w14:paraId="61537D09" w14:textId="77777777" w:rsidTr="00353EB2">
        <w:tc>
          <w:tcPr>
            <w:tcW w:w="0" w:type="auto"/>
            <w:tcBorders>
              <w:top w:val="nil"/>
              <w:left w:val="nil"/>
              <w:bottom w:val="nil"/>
              <w:right w:val="nil"/>
            </w:tcBorders>
            <w:hideMark/>
          </w:tcPr>
          <w:p w14:paraId="6C4DE76A"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BH10</w:t>
            </w:r>
          </w:p>
        </w:tc>
        <w:tc>
          <w:tcPr>
            <w:tcW w:w="0" w:type="auto"/>
            <w:tcBorders>
              <w:top w:val="nil"/>
              <w:left w:val="nil"/>
              <w:bottom w:val="nil"/>
              <w:right w:val="nil"/>
            </w:tcBorders>
            <w:hideMark/>
          </w:tcPr>
          <w:p w14:paraId="03B3AC4C"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3.24 ± 0.17ᵃ</w:t>
            </w:r>
          </w:p>
        </w:tc>
        <w:tc>
          <w:tcPr>
            <w:tcW w:w="0" w:type="auto"/>
            <w:tcBorders>
              <w:top w:val="nil"/>
              <w:left w:val="nil"/>
              <w:bottom w:val="nil"/>
              <w:right w:val="nil"/>
            </w:tcBorders>
            <w:hideMark/>
          </w:tcPr>
          <w:p w14:paraId="1EE58A8C"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0.81 ± 0.05ᵃ</w:t>
            </w:r>
          </w:p>
        </w:tc>
        <w:tc>
          <w:tcPr>
            <w:tcW w:w="1499" w:type="dxa"/>
            <w:tcBorders>
              <w:top w:val="nil"/>
              <w:left w:val="nil"/>
              <w:bottom w:val="nil"/>
              <w:right w:val="nil"/>
            </w:tcBorders>
            <w:hideMark/>
          </w:tcPr>
          <w:p w14:paraId="6700D368"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1.62 ± 0.09ᵃ</w:t>
            </w:r>
          </w:p>
        </w:tc>
        <w:tc>
          <w:tcPr>
            <w:tcW w:w="1260" w:type="dxa"/>
            <w:tcBorders>
              <w:top w:val="nil"/>
              <w:left w:val="nil"/>
              <w:bottom w:val="nil"/>
              <w:right w:val="nil"/>
            </w:tcBorders>
            <w:hideMark/>
          </w:tcPr>
          <w:p w14:paraId="25BB1F9D"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0.41 ± 0.02ᵃ</w:t>
            </w:r>
          </w:p>
        </w:tc>
        <w:tc>
          <w:tcPr>
            <w:tcW w:w="1620" w:type="dxa"/>
            <w:tcBorders>
              <w:top w:val="nil"/>
              <w:left w:val="nil"/>
              <w:bottom w:val="nil"/>
              <w:right w:val="nil"/>
            </w:tcBorders>
            <w:hideMark/>
          </w:tcPr>
          <w:p w14:paraId="16B893EB"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0.210 ± 0.015ᶜ</w:t>
            </w:r>
          </w:p>
        </w:tc>
        <w:tc>
          <w:tcPr>
            <w:tcW w:w="1530" w:type="dxa"/>
            <w:tcBorders>
              <w:top w:val="nil"/>
              <w:left w:val="nil"/>
              <w:bottom w:val="nil"/>
              <w:right w:val="nil"/>
            </w:tcBorders>
            <w:hideMark/>
          </w:tcPr>
          <w:p w14:paraId="420F5598"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0.014 ± 0.002ᵇ</w:t>
            </w:r>
          </w:p>
        </w:tc>
      </w:tr>
      <w:tr w:rsidR="00F84566" w:rsidRPr="00A81659" w14:paraId="41331367" w14:textId="77777777" w:rsidTr="00353EB2">
        <w:tc>
          <w:tcPr>
            <w:tcW w:w="0" w:type="auto"/>
            <w:tcBorders>
              <w:top w:val="nil"/>
              <w:left w:val="nil"/>
              <w:bottom w:val="nil"/>
              <w:right w:val="nil"/>
            </w:tcBorders>
            <w:hideMark/>
          </w:tcPr>
          <w:p w14:paraId="5AF0B3C9"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BH11</w:t>
            </w:r>
          </w:p>
        </w:tc>
        <w:tc>
          <w:tcPr>
            <w:tcW w:w="0" w:type="auto"/>
            <w:tcBorders>
              <w:top w:val="nil"/>
              <w:left w:val="nil"/>
              <w:bottom w:val="nil"/>
              <w:right w:val="nil"/>
            </w:tcBorders>
            <w:hideMark/>
          </w:tcPr>
          <w:p w14:paraId="5F2E06FA"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24.22 ± 1.05ᶜ</w:t>
            </w:r>
          </w:p>
        </w:tc>
        <w:tc>
          <w:tcPr>
            <w:tcW w:w="0" w:type="auto"/>
            <w:tcBorders>
              <w:top w:val="nil"/>
              <w:left w:val="nil"/>
              <w:bottom w:val="nil"/>
              <w:right w:val="nil"/>
            </w:tcBorders>
            <w:hideMark/>
          </w:tcPr>
          <w:p w14:paraId="03CE8050"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6.06 ± 0.28ᶜ</w:t>
            </w:r>
          </w:p>
        </w:tc>
        <w:tc>
          <w:tcPr>
            <w:tcW w:w="1499" w:type="dxa"/>
            <w:tcBorders>
              <w:top w:val="nil"/>
              <w:left w:val="nil"/>
              <w:bottom w:val="nil"/>
              <w:right w:val="nil"/>
            </w:tcBorders>
            <w:hideMark/>
          </w:tcPr>
          <w:p w14:paraId="241D2839"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13.11 ± 0.58ᶜ</w:t>
            </w:r>
          </w:p>
        </w:tc>
        <w:tc>
          <w:tcPr>
            <w:tcW w:w="1260" w:type="dxa"/>
            <w:tcBorders>
              <w:top w:val="nil"/>
              <w:left w:val="nil"/>
              <w:bottom w:val="nil"/>
              <w:right w:val="nil"/>
            </w:tcBorders>
            <w:hideMark/>
          </w:tcPr>
          <w:p w14:paraId="0D9CDE2A"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3.17 ± 0.14ᶜ</w:t>
            </w:r>
          </w:p>
        </w:tc>
        <w:tc>
          <w:tcPr>
            <w:tcW w:w="1620" w:type="dxa"/>
            <w:tcBorders>
              <w:top w:val="nil"/>
              <w:left w:val="nil"/>
              <w:bottom w:val="nil"/>
              <w:right w:val="nil"/>
            </w:tcBorders>
            <w:hideMark/>
          </w:tcPr>
          <w:p w14:paraId="5603A15C"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0.060 ± 0.006ᵇ</w:t>
            </w:r>
          </w:p>
        </w:tc>
        <w:tc>
          <w:tcPr>
            <w:tcW w:w="1530" w:type="dxa"/>
            <w:tcBorders>
              <w:top w:val="nil"/>
              <w:left w:val="nil"/>
              <w:bottom w:val="nil"/>
              <w:right w:val="nil"/>
            </w:tcBorders>
            <w:hideMark/>
          </w:tcPr>
          <w:p w14:paraId="645237C9"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0.006 ± 0.001ᵃ</w:t>
            </w:r>
          </w:p>
        </w:tc>
      </w:tr>
      <w:tr w:rsidR="00F84566" w:rsidRPr="00A81659" w14:paraId="6919AAAB" w14:textId="77777777" w:rsidTr="00353EB2">
        <w:tc>
          <w:tcPr>
            <w:tcW w:w="0" w:type="auto"/>
            <w:tcBorders>
              <w:top w:val="nil"/>
              <w:left w:val="nil"/>
              <w:bottom w:val="nil"/>
              <w:right w:val="nil"/>
            </w:tcBorders>
            <w:hideMark/>
          </w:tcPr>
          <w:p w14:paraId="5F7C3A25"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BH12</w:t>
            </w:r>
          </w:p>
        </w:tc>
        <w:tc>
          <w:tcPr>
            <w:tcW w:w="0" w:type="auto"/>
            <w:tcBorders>
              <w:top w:val="nil"/>
              <w:left w:val="nil"/>
              <w:bottom w:val="nil"/>
              <w:right w:val="nil"/>
            </w:tcBorders>
            <w:hideMark/>
          </w:tcPr>
          <w:p w14:paraId="3BCF9494"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4.97 ± 0.26ᵃ</w:t>
            </w:r>
          </w:p>
        </w:tc>
        <w:tc>
          <w:tcPr>
            <w:tcW w:w="0" w:type="auto"/>
            <w:tcBorders>
              <w:top w:val="nil"/>
              <w:left w:val="nil"/>
              <w:bottom w:val="nil"/>
              <w:right w:val="nil"/>
            </w:tcBorders>
            <w:hideMark/>
          </w:tcPr>
          <w:p w14:paraId="2583C443"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1.24 ± 0.07ᵃ</w:t>
            </w:r>
          </w:p>
        </w:tc>
        <w:tc>
          <w:tcPr>
            <w:tcW w:w="1499" w:type="dxa"/>
            <w:tcBorders>
              <w:top w:val="nil"/>
              <w:left w:val="nil"/>
              <w:bottom w:val="nil"/>
              <w:right w:val="nil"/>
            </w:tcBorders>
            <w:hideMark/>
          </w:tcPr>
          <w:p w14:paraId="4B0D17A7"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2.48 ± 0.14ᵃ</w:t>
            </w:r>
          </w:p>
        </w:tc>
        <w:tc>
          <w:tcPr>
            <w:tcW w:w="1260" w:type="dxa"/>
            <w:tcBorders>
              <w:top w:val="nil"/>
              <w:left w:val="nil"/>
              <w:bottom w:val="nil"/>
              <w:right w:val="nil"/>
            </w:tcBorders>
            <w:hideMark/>
          </w:tcPr>
          <w:p w14:paraId="50514F4A"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0.62 ± 0.03ᵃ</w:t>
            </w:r>
          </w:p>
        </w:tc>
        <w:tc>
          <w:tcPr>
            <w:tcW w:w="1620" w:type="dxa"/>
            <w:tcBorders>
              <w:top w:val="nil"/>
              <w:left w:val="nil"/>
              <w:bottom w:val="nil"/>
              <w:right w:val="nil"/>
            </w:tcBorders>
            <w:hideMark/>
          </w:tcPr>
          <w:p w14:paraId="5A5B99C1"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0.120 ± 0.010ᵇ</w:t>
            </w:r>
          </w:p>
        </w:tc>
        <w:tc>
          <w:tcPr>
            <w:tcW w:w="1530" w:type="dxa"/>
            <w:tcBorders>
              <w:top w:val="nil"/>
              <w:left w:val="nil"/>
              <w:bottom w:val="nil"/>
              <w:right w:val="nil"/>
            </w:tcBorders>
            <w:hideMark/>
          </w:tcPr>
          <w:p w14:paraId="07267315"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0.011 ± 0.002ᵇ</w:t>
            </w:r>
          </w:p>
        </w:tc>
      </w:tr>
      <w:tr w:rsidR="00F84566" w:rsidRPr="00A81659" w14:paraId="7800605C" w14:textId="77777777" w:rsidTr="00353EB2">
        <w:tc>
          <w:tcPr>
            <w:tcW w:w="0" w:type="auto"/>
            <w:tcBorders>
              <w:top w:val="nil"/>
              <w:left w:val="nil"/>
              <w:bottom w:val="nil"/>
              <w:right w:val="nil"/>
            </w:tcBorders>
            <w:hideMark/>
          </w:tcPr>
          <w:p w14:paraId="18B54B40"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BH13</w:t>
            </w:r>
          </w:p>
        </w:tc>
        <w:tc>
          <w:tcPr>
            <w:tcW w:w="0" w:type="auto"/>
            <w:tcBorders>
              <w:top w:val="nil"/>
              <w:left w:val="nil"/>
              <w:bottom w:val="nil"/>
              <w:right w:val="nil"/>
            </w:tcBorders>
            <w:hideMark/>
          </w:tcPr>
          <w:p w14:paraId="7E1483A7"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3.53 ± 0.18ᵃ</w:t>
            </w:r>
          </w:p>
        </w:tc>
        <w:tc>
          <w:tcPr>
            <w:tcW w:w="0" w:type="auto"/>
            <w:tcBorders>
              <w:top w:val="nil"/>
              <w:left w:val="nil"/>
              <w:bottom w:val="nil"/>
              <w:right w:val="nil"/>
            </w:tcBorders>
            <w:hideMark/>
          </w:tcPr>
          <w:p w14:paraId="740BA0B7"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0.88 ± 0.05ᵃ</w:t>
            </w:r>
          </w:p>
        </w:tc>
        <w:tc>
          <w:tcPr>
            <w:tcW w:w="1499" w:type="dxa"/>
            <w:tcBorders>
              <w:top w:val="nil"/>
              <w:left w:val="nil"/>
              <w:bottom w:val="nil"/>
              <w:right w:val="nil"/>
            </w:tcBorders>
            <w:hideMark/>
          </w:tcPr>
          <w:p w14:paraId="7D2180D7"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1.76 ± 0.10ᵃ</w:t>
            </w:r>
          </w:p>
        </w:tc>
        <w:tc>
          <w:tcPr>
            <w:tcW w:w="1260" w:type="dxa"/>
            <w:tcBorders>
              <w:top w:val="nil"/>
              <w:left w:val="nil"/>
              <w:bottom w:val="nil"/>
              <w:right w:val="nil"/>
            </w:tcBorders>
            <w:hideMark/>
          </w:tcPr>
          <w:p w14:paraId="0958BBC2"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0.46 ± 0.02ᵃ</w:t>
            </w:r>
          </w:p>
        </w:tc>
        <w:tc>
          <w:tcPr>
            <w:tcW w:w="1620" w:type="dxa"/>
            <w:tcBorders>
              <w:top w:val="nil"/>
              <w:left w:val="nil"/>
              <w:bottom w:val="nil"/>
              <w:right w:val="nil"/>
            </w:tcBorders>
            <w:hideMark/>
          </w:tcPr>
          <w:p w14:paraId="2C27BA80"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0.140 ± 0.012ᵇ</w:t>
            </w:r>
          </w:p>
        </w:tc>
        <w:tc>
          <w:tcPr>
            <w:tcW w:w="1530" w:type="dxa"/>
            <w:tcBorders>
              <w:top w:val="nil"/>
              <w:left w:val="nil"/>
              <w:bottom w:val="nil"/>
              <w:right w:val="nil"/>
            </w:tcBorders>
            <w:hideMark/>
          </w:tcPr>
          <w:p w14:paraId="0B2A7CBF"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0.004 ± 0.001ᵃ</w:t>
            </w:r>
          </w:p>
        </w:tc>
      </w:tr>
      <w:tr w:rsidR="00F84566" w:rsidRPr="00A81659" w14:paraId="51916524" w14:textId="77777777" w:rsidTr="00353EB2">
        <w:tc>
          <w:tcPr>
            <w:tcW w:w="0" w:type="auto"/>
            <w:tcBorders>
              <w:top w:val="nil"/>
              <w:left w:val="nil"/>
              <w:bottom w:val="nil"/>
              <w:right w:val="nil"/>
            </w:tcBorders>
            <w:hideMark/>
          </w:tcPr>
          <w:p w14:paraId="417D935F"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lastRenderedPageBreak/>
              <w:t>BH14</w:t>
            </w:r>
          </w:p>
        </w:tc>
        <w:tc>
          <w:tcPr>
            <w:tcW w:w="0" w:type="auto"/>
            <w:tcBorders>
              <w:top w:val="nil"/>
              <w:left w:val="nil"/>
              <w:bottom w:val="nil"/>
              <w:right w:val="nil"/>
            </w:tcBorders>
            <w:hideMark/>
          </w:tcPr>
          <w:p w14:paraId="098B775C"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7.08 ± 0.35ᵇ</w:t>
            </w:r>
          </w:p>
        </w:tc>
        <w:tc>
          <w:tcPr>
            <w:tcW w:w="0" w:type="auto"/>
            <w:tcBorders>
              <w:top w:val="nil"/>
              <w:left w:val="nil"/>
              <w:bottom w:val="nil"/>
              <w:right w:val="nil"/>
            </w:tcBorders>
            <w:hideMark/>
          </w:tcPr>
          <w:p w14:paraId="466EC1B7"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1.77 ± 0.10ᵇ</w:t>
            </w:r>
          </w:p>
        </w:tc>
        <w:tc>
          <w:tcPr>
            <w:tcW w:w="1499" w:type="dxa"/>
            <w:tcBorders>
              <w:top w:val="nil"/>
              <w:left w:val="nil"/>
              <w:bottom w:val="nil"/>
              <w:right w:val="nil"/>
            </w:tcBorders>
            <w:hideMark/>
          </w:tcPr>
          <w:p w14:paraId="220A5349"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3.54 ± 0.18ᵇ</w:t>
            </w:r>
          </w:p>
        </w:tc>
        <w:tc>
          <w:tcPr>
            <w:tcW w:w="1260" w:type="dxa"/>
            <w:tcBorders>
              <w:top w:val="nil"/>
              <w:left w:val="nil"/>
              <w:bottom w:val="nil"/>
              <w:right w:val="nil"/>
            </w:tcBorders>
            <w:hideMark/>
          </w:tcPr>
          <w:p w14:paraId="0129EE24"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0.89 ± 0.05ᵇ</w:t>
            </w:r>
          </w:p>
        </w:tc>
        <w:tc>
          <w:tcPr>
            <w:tcW w:w="1620" w:type="dxa"/>
            <w:tcBorders>
              <w:top w:val="nil"/>
              <w:left w:val="nil"/>
              <w:bottom w:val="nil"/>
              <w:right w:val="nil"/>
            </w:tcBorders>
            <w:hideMark/>
          </w:tcPr>
          <w:p w14:paraId="40A18DA8"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0.160 ± 0.014ᵇ</w:t>
            </w:r>
          </w:p>
        </w:tc>
        <w:tc>
          <w:tcPr>
            <w:tcW w:w="1530" w:type="dxa"/>
            <w:tcBorders>
              <w:top w:val="nil"/>
              <w:left w:val="nil"/>
              <w:bottom w:val="nil"/>
              <w:right w:val="nil"/>
            </w:tcBorders>
            <w:hideMark/>
          </w:tcPr>
          <w:p w14:paraId="10C430D0"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0.001 ± 0.000ᵃ</w:t>
            </w:r>
          </w:p>
        </w:tc>
      </w:tr>
      <w:tr w:rsidR="00F84566" w:rsidRPr="00A81659" w14:paraId="18A4B813" w14:textId="77777777" w:rsidTr="00353EB2">
        <w:tc>
          <w:tcPr>
            <w:tcW w:w="0" w:type="auto"/>
            <w:tcBorders>
              <w:top w:val="nil"/>
              <w:left w:val="nil"/>
              <w:bottom w:val="nil"/>
              <w:right w:val="nil"/>
            </w:tcBorders>
            <w:hideMark/>
          </w:tcPr>
          <w:p w14:paraId="51E1FE27"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BH15</w:t>
            </w:r>
          </w:p>
        </w:tc>
        <w:tc>
          <w:tcPr>
            <w:tcW w:w="0" w:type="auto"/>
            <w:tcBorders>
              <w:top w:val="nil"/>
              <w:left w:val="nil"/>
              <w:bottom w:val="nil"/>
              <w:right w:val="nil"/>
            </w:tcBorders>
            <w:hideMark/>
          </w:tcPr>
          <w:p w14:paraId="65E00378"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3.95 ± 0.21ᵃ</w:t>
            </w:r>
          </w:p>
        </w:tc>
        <w:tc>
          <w:tcPr>
            <w:tcW w:w="0" w:type="auto"/>
            <w:tcBorders>
              <w:top w:val="nil"/>
              <w:left w:val="nil"/>
              <w:bottom w:val="nil"/>
              <w:right w:val="nil"/>
            </w:tcBorders>
            <w:hideMark/>
          </w:tcPr>
          <w:p w14:paraId="5DF2029C"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0.99 ± 0.06ᵃ</w:t>
            </w:r>
          </w:p>
        </w:tc>
        <w:tc>
          <w:tcPr>
            <w:tcW w:w="1499" w:type="dxa"/>
            <w:tcBorders>
              <w:top w:val="nil"/>
              <w:left w:val="nil"/>
              <w:bottom w:val="nil"/>
              <w:right w:val="nil"/>
            </w:tcBorders>
            <w:hideMark/>
          </w:tcPr>
          <w:p w14:paraId="285B09B8"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1.97 ± 0.11ᵃ</w:t>
            </w:r>
          </w:p>
        </w:tc>
        <w:tc>
          <w:tcPr>
            <w:tcW w:w="1260" w:type="dxa"/>
            <w:tcBorders>
              <w:top w:val="nil"/>
              <w:left w:val="nil"/>
              <w:bottom w:val="nil"/>
              <w:right w:val="nil"/>
            </w:tcBorders>
            <w:hideMark/>
          </w:tcPr>
          <w:p w14:paraId="479092AA"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0.50 ± 0.03ᵃ</w:t>
            </w:r>
          </w:p>
        </w:tc>
        <w:tc>
          <w:tcPr>
            <w:tcW w:w="1620" w:type="dxa"/>
            <w:tcBorders>
              <w:top w:val="nil"/>
              <w:left w:val="nil"/>
              <w:bottom w:val="nil"/>
              <w:right w:val="nil"/>
            </w:tcBorders>
            <w:hideMark/>
          </w:tcPr>
          <w:p w14:paraId="10574DCA"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0.060 ± 0.006ᵇ</w:t>
            </w:r>
          </w:p>
        </w:tc>
        <w:tc>
          <w:tcPr>
            <w:tcW w:w="1530" w:type="dxa"/>
            <w:tcBorders>
              <w:top w:val="nil"/>
              <w:left w:val="nil"/>
              <w:bottom w:val="nil"/>
              <w:right w:val="nil"/>
            </w:tcBorders>
            <w:hideMark/>
          </w:tcPr>
          <w:p w14:paraId="0050038C"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0.002 ± 0.001ᵃ</w:t>
            </w:r>
          </w:p>
        </w:tc>
      </w:tr>
      <w:tr w:rsidR="00F84566" w:rsidRPr="00A81659" w14:paraId="77C19112" w14:textId="77777777" w:rsidTr="00353EB2">
        <w:tc>
          <w:tcPr>
            <w:tcW w:w="0" w:type="auto"/>
            <w:tcBorders>
              <w:top w:val="nil"/>
              <w:left w:val="nil"/>
              <w:bottom w:val="nil"/>
              <w:right w:val="nil"/>
            </w:tcBorders>
            <w:hideMark/>
          </w:tcPr>
          <w:p w14:paraId="02367CCF"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BH16</w:t>
            </w:r>
          </w:p>
        </w:tc>
        <w:tc>
          <w:tcPr>
            <w:tcW w:w="0" w:type="auto"/>
            <w:tcBorders>
              <w:top w:val="nil"/>
              <w:left w:val="nil"/>
              <w:bottom w:val="nil"/>
              <w:right w:val="nil"/>
            </w:tcBorders>
            <w:hideMark/>
          </w:tcPr>
          <w:p w14:paraId="7F5ED31D"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5.00 ± 0.26ᵃ</w:t>
            </w:r>
          </w:p>
        </w:tc>
        <w:tc>
          <w:tcPr>
            <w:tcW w:w="0" w:type="auto"/>
            <w:tcBorders>
              <w:top w:val="nil"/>
              <w:left w:val="nil"/>
              <w:bottom w:val="nil"/>
              <w:right w:val="nil"/>
            </w:tcBorders>
            <w:hideMark/>
          </w:tcPr>
          <w:p w14:paraId="73D60197"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1.26 ± 0.07ᵃ</w:t>
            </w:r>
          </w:p>
        </w:tc>
        <w:tc>
          <w:tcPr>
            <w:tcW w:w="1499" w:type="dxa"/>
            <w:tcBorders>
              <w:top w:val="nil"/>
              <w:left w:val="nil"/>
              <w:bottom w:val="nil"/>
              <w:right w:val="nil"/>
            </w:tcBorders>
            <w:hideMark/>
          </w:tcPr>
          <w:p w14:paraId="74080326"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2.54 ± 0.14ᵃ</w:t>
            </w:r>
          </w:p>
        </w:tc>
        <w:tc>
          <w:tcPr>
            <w:tcW w:w="1260" w:type="dxa"/>
            <w:tcBorders>
              <w:top w:val="nil"/>
              <w:left w:val="nil"/>
              <w:bottom w:val="nil"/>
              <w:right w:val="nil"/>
            </w:tcBorders>
            <w:hideMark/>
          </w:tcPr>
          <w:p w14:paraId="726DCE66"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0.63 ± 0.03ᵃ</w:t>
            </w:r>
          </w:p>
        </w:tc>
        <w:tc>
          <w:tcPr>
            <w:tcW w:w="1620" w:type="dxa"/>
            <w:tcBorders>
              <w:top w:val="nil"/>
              <w:left w:val="nil"/>
              <w:bottom w:val="nil"/>
              <w:right w:val="nil"/>
            </w:tcBorders>
            <w:hideMark/>
          </w:tcPr>
          <w:p w14:paraId="79941A29"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0.140 ± 0.012ᵇ</w:t>
            </w:r>
          </w:p>
        </w:tc>
        <w:tc>
          <w:tcPr>
            <w:tcW w:w="1530" w:type="dxa"/>
            <w:tcBorders>
              <w:top w:val="nil"/>
              <w:left w:val="nil"/>
              <w:bottom w:val="nil"/>
              <w:right w:val="nil"/>
            </w:tcBorders>
            <w:hideMark/>
          </w:tcPr>
          <w:p w14:paraId="41BC8185"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0.001 ± 0.000ᵃ</w:t>
            </w:r>
          </w:p>
        </w:tc>
      </w:tr>
      <w:tr w:rsidR="00F84566" w:rsidRPr="00A81659" w14:paraId="186F4D82" w14:textId="77777777" w:rsidTr="00353EB2">
        <w:tc>
          <w:tcPr>
            <w:tcW w:w="0" w:type="auto"/>
            <w:tcBorders>
              <w:top w:val="nil"/>
              <w:left w:val="nil"/>
              <w:right w:val="nil"/>
            </w:tcBorders>
            <w:hideMark/>
          </w:tcPr>
          <w:p w14:paraId="57E763DC"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BH17</w:t>
            </w:r>
          </w:p>
        </w:tc>
        <w:tc>
          <w:tcPr>
            <w:tcW w:w="0" w:type="auto"/>
            <w:tcBorders>
              <w:top w:val="nil"/>
              <w:left w:val="nil"/>
              <w:right w:val="nil"/>
            </w:tcBorders>
            <w:hideMark/>
          </w:tcPr>
          <w:p w14:paraId="62EEE6BB"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4.20 ± 0.22ᵃ</w:t>
            </w:r>
          </w:p>
        </w:tc>
        <w:tc>
          <w:tcPr>
            <w:tcW w:w="0" w:type="auto"/>
            <w:tcBorders>
              <w:top w:val="nil"/>
              <w:left w:val="nil"/>
              <w:right w:val="nil"/>
            </w:tcBorders>
            <w:hideMark/>
          </w:tcPr>
          <w:p w14:paraId="02167EC9"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1.05 ± 0.06ᵃ</w:t>
            </w:r>
          </w:p>
        </w:tc>
        <w:tc>
          <w:tcPr>
            <w:tcW w:w="1499" w:type="dxa"/>
            <w:tcBorders>
              <w:top w:val="nil"/>
              <w:left w:val="nil"/>
              <w:right w:val="nil"/>
            </w:tcBorders>
            <w:hideMark/>
          </w:tcPr>
          <w:p w14:paraId="340A993F"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2.10 ± 0.12ᵃ</w:t>
            </w:r>
          </w:p>
        </w:tc>
        <w:tc>
          <w:tcPr>
            <w:tcW w:w="1260" w:type="dxa"/>
            <w:tcBorders>
              <w:top w:val="nil"/>
              <w:left w:val="nil"/>
              <w:right w:val="nil"/>
            </w:tcBorders>
            <w:hideMark/>
          </w:tcPr>
          <w:p w14:paraId="15A5D085"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0.54 ± 0.03ᵃ</w:t>
            </w:r>
          </w:p>
        </w:tc>
        <w:tc>
          <w:tcPr>
            <w:tcW w:w="1620" w:type="dxa"/>
            <w:tcBorders>
              <w:top w:val="nil"/>
              <w:left w:val="nil"/>
              <w:right w:val="nil"/>
            </w:tcBorders>
            <w:hideMark/>
          </w:tcPr>
          <w:p w14:paraId="153D4580"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0.240 ± 0.018ᶜ</w:t>
            </w:r>
          </w:p>
        </w:tc>
        <w:tc>
          <w:tcPr>
            <w:tcW w:w="1530" w:type="dxa"/>
            <w:tcBorders>
              <w:top w:val="nil"/>
              <w:left w:val="nil"/>
              <w:right w:val="nil"/>
            </w:tcBorders>
            <w:hideMark/>
          </w:tcPr>
          <w:p w14:paraId="6AA00867" w14:textId="77777777" w:rsidR="00F84566" w:rsidRPr="00A81659" w:rsidRDefault="00F84566" w:rsidP="00A81659">
            <w:pPr>
              <w:jc w:val="both"/>
              <w:rPr>
                <w:rFonts w:ascii="Times New Roman" w:eastAsia="Times New Roman" w:hAnsi="Times New Roman" w:cs="Times New Roman"/>
                <w:kern w:val="0"/>
                <w:sz w:val="20"/>
                <w:szCs w:val="20"/>
                <w14:ligatures w14:val="none"/>
              </w:rPr>
            </w:pPr>
            <w:r w:rsidRPr="00A81659">
              <w:rPr>
                <w:rFonts w:ascii="Times New Roman" w:eastAsia="Times New Roman" w:hAnsi="Times New Roman" w:cs="Times New Roman"/>
                <w:kern w:val="0"/>
                <w:sz w:val="20"/>
                <w:szCs w:val="20"/>
                <w14:ligatures w14:val="none"/>
              </w:rPr>
              <w:t>0.002 ± 0.001ᵃ</w:t>
            </w:r>
          </w:p>
        </w:tc>
      </w:tr>
    </w:tbl>
    <w:p w14:paraId="1F0952EB" w14:textId="77777777" w:rsidR="0013145E" w:rsidRPr="00A81659" w:rsidRDefault="007E54CE" w:rsidP="00A81659">
      <w:pPr>
        <w:spacing w:after="120" w:line="240" w:lineRule="auto"/>
        <w:jc w:val="both"/>
        <w:rPr>
          <w:rStyle w:val="Strong"/>
          <w:rFonts w:ascii="Times New Roman" w:hAnsi="Times New Roman" w:cs="Times New Roman"/>
          <w:b w:val="0"/>
          <w:bCs w:val="0"/>
        </w:rPr>
      </w:pPr>
      <w:r w:rsidRPr="00A81659">
        <w:rPr>
          <w:rFonts w:ascii="Times New Roman" w:hAnsi="Times New Roman" w:cs="Times New Roman"/>
        </w:rPr>
        <w:t>Values are mean ± standard deviation (n = 3).</w:t>
      </w:r>
      <w:r w:rsidRPr="00A81659">
        <w:rPr>
          <w:rFonts w:ascii="Times New Roman" w:hAnsi="Times New Roman" w:cs="Times New Roman"/>
          <w:b/>
          <w:bCs/>
        </w:rPr>
        <w:t xml:space="preserve"> </w:t>
      </w:r>
      <w:r w:rsidRPr="00A81659">
        <w:rPr>
          <w:rStyle w:val="Strong"/>
          <w:rFonts w:ascii="Times New Roman" w:hAnsi="Times New Roman" w:cs="Times New Roman"/>
          <w:b w:val="0"/>
          <w:bCs w:val="0"/>
        </w:rPr>
        <w:t>Different superscript letters within a column indicate significant differences (p &lt; 0.05).</w:t>
      </w:r>
    </w:p>
    <w:p w14:paraId="1ED31B6C" w14:textId="41B4550E" w:rsidR="0013145E" w:rsidRPr="0013145E" w:rsidRDefault="0013145E" w:rsidP="00A81659">
      <w:pPr>
        <w:spacing w:after="120" w:line="240" w:lineRule="auto"/>
        <w:jc w:val="both"/>
        <w:rPr>
          <w:rFonts w:ascii="Times New Roman" w:hAnsi="Times New Roman" w:cs="Times New Roman"/>
        </w:rPr>
      </w:pPr>
      <w:r w:rsidRPr="0013145E">
        <w:rPr>
          <w:rFonts w:ascii="Times New Roman" w:eastAsia="Times New Roman" w:hAnsi="Times New Roman" w:cs="Times New Roman"/>
          <w:b/>
          <w:bCs/>
          <w:kern w:val="0"/>
          <w14:ligatures w14:val="none"/>
        </w:rPr>
        <w:t>WHO Comparison</w:t>
      </w:r>
    </w:p>
    <w:p w14:paraId="19CDB520" w14:textId="77777777" w:rsidR="00966FBC" w:rsidRDefault="0013145E" w:rsidP="00A81659">
      <w:pPr>
        <w:spacing w:after="120" w:line="240" w:lineRule="auto"/>
        <w:jc w:val="both"/>
        <w:rPr>
          <w:rFonts w:ascii="Times New Roman" w:eastAsia="Times New Roman" w:hAnsi="Times New Roman" w:cs="Times New Roman"/>
          <w:kern w:val="0"/>
          <w14:ligatures w14:val="none"/>
        </w:rPr>
      </w:pPr>
      <w:r w:rsidRPr="0013145E">
        <w:rPr>
          <w:rFonts w:ascii="Times New Roman" w:eastAsia="Times New Roman" w:hAnsi="Times New Roman" w:cs="Times New Roman"/>
          <w:kern w:val="0"/>
          <w14:ligatures w14:val="none"/>
        </w:rPr>
        <w:t>The WHO comparison</w:t>
      </w:r>
      <w:r w:rsidRPr="00A81659">
        <w:rPr>
          <w:rFonts w:ascii="Times New Roman" w:eastAsia="Times New Roman" w:hAnsi="Times New Roman" w:cs="Times New Roman"/>
          <w:kern w:val="0"/>
          <w14:ligatures w14:val="none"/>
        </w:rPr>
        <w:t xml:space="preserve"> (table 2)</w:t>
      </w:r>
      <w:r w:rsidRPr="0013145E">
        <w:rPr>
          <w:rFonts w:ascii="Times New Roman" w:eastAsia="Times New Roman" w:hAnsi="Times New Roman" w:cs="Times New Roman"/>
          <w:kern w:val="0"/>
          <w14:ligatures w14:val="none"/>
        </w:rPr>
        <w:t xml:space="preserve"> confirms that all measured parameters except pH and iron (Fe) complied fully with WHO drinking-water guidelines. The slightly acidic pH (5.57–6.87) reflects natural acidity common in Niger Delta aquifers, while iron concentrations reaching 0.300 mg/L in BH8 suggest localized iron enrichment likely from aquifer mineralogy rather than anthropogenic input. Overall compliance indicates groundwater is largely potable, requiring only minor conditioning.</w:t>
      </w:r>
    </w:p>
    <w:p w14:paraId="55611469" w14:textId="3A9FA6C5" w:rsidR="007E54CE" w:rsidRPr="00A81659" w:rsidRDefault="007E54CE" w:rsidP="00A81659">
      <w:pPr>
        <w:spacing w:after="120" w:line="240" w:lineRule="auto"/>
        <w:jc w:val="both"/>
        <w:rPr>
          <w:rFonts w:ascii="Times New Roman" w:eastAsia="Times New Roman" w:hAnsi="Times New Roman" w:cs="Times New Roman"/>
          <w:kern w:val="0"/>
          <w14:ligatures w14:val="none"/>
        </w:rPr>
      </w:pPr>
      <w:r w:rsidRPr="00A81659">
        <w:rPr>
          <w:rFonts w:ascii="Times New Roman" w:hAnsi="Times New Roman" w:cs="Times New Roman"/>
        </w:rPr>
        <w:t>Table 2: Comparison of Groundwater Parameters with WHO Drinking Water Standards</w:t>
      </w:r>
    </w:p>
    <w:tbl>
      <w:tblPr>
        <w:tblStyle w:val="TableGrid"/>
        <w:tblW w:w="0" w:type="auto"/>
        <w:tblLook w:val="04A0" w:firstRow="1" w:lastRow="0" w:firstColumn="1" w:lastColumn="0" w:noHBand="0" w:noVBand="1"/>
      </w:tblPr>
      <w:tblGrid>
        <w:gridCol w:w="2070"/>
        <w:gridCol w:w="2160"/>
        <w:gridCol w:w="1980"/>
        <w:gridCol w:w="1443"/>
      </w:tblGrid>
      <w:tr w:rsidR="007E54CE" w:rsidRPr="00A81659" w14:paraId="386C388A" w14:textId="77777777" w:rsidTr="00A81659">
        <w:tc>
          <w:tcPr>
            <w:tcW w:w="2070" w:type="dxa"/>
            <w:tcBorders>
              <w:left w:val="nil"/>
              <w:bottom w:val="single" w:sz="4" w:space="0" w:color="auto"/>
              <w:right w:val="nil"/>
            </w:tcBorders>
            <w:hideMark/>
          </w:tcPr>
          <w:p w14:paraId="6A7F2222" w14:textId="77777777" w:rsidR="007E54CE" w:rsidRPr="00A81659" w:rsidRDefault="007E54CE" w:rsidP="00A81659">
            <w:pPr>
              <w:spacing w:after="120"/>
              <w:jc w:val="both"/>
              <w:rPr>
                <w:rFonts w:ascii="Times New Roman" w:eastAsia="Times New Roman" w:hAnsi="Times New Roman" w:cs="Times New Roman"/>
                <w:b/>
                <w:bCs/>
                <w:kern w:val="0"/>
                <w14:ligatures w14:val="none"/>
              </w:rPr>
            </w:pPr>
            <w:r w:rsidRPr="00A81659">
              <w:rPr>
                <w:rFonts w:ascii="Times New Roman" w:eastAsia="Times New Roman" w:hAnsi="Times New Roman" w:cs="Times New Roman"/>
                <w:b/>
                <w:bCs/>
                <w:kern w:val="0"/>
                <w14:ligatures w14:val="none"/>
              </w:rPr>
              <w:t>Parameter</w:t>
            </w:r>
          </w:p>
        </w:tc>
        <w:tc>
          <w:tcPr>
            <w:tcW w:w="2160" w:type="dxa"/>
            <w:tcBorders>
              <w:left w:val="nil"/>
              <w:bottom w:val="single" w:sz="4" w:space="0" w:color="auto"/>
              <w:right w:val="nil"/>
            </w:tcBorders>
            <w:hideMark/>
          </w:tcPr>
          <w:p w14:paraId="2A4D66CB" w14:textId="77777777" w:rsidR="007E54CE" w:rsidRPr="00A81659" w:rsidRDefault="007E54CE" w:rsidP="00A81659">
            <w:pPr>
              <w:spacing w:after="120"/>
              <w:jc w:val="both"/>
              <w:rPr>
                <w:rFonts w:ascii="Times New Roman" w:eastAsia="Times New Roman" w:hAnsi="Times New Roman" w:cs="Times New Roman"/>
                <w:b/>
                <w:bCs/>
                <w:kern w:val="0"/>
                <w14:ligatures w14:val="none"/>
              </w:rPr>
            </w:pPr>
            <w:r w:rsidRPr="00A81659">
              <w:rPr>
                <w:rFonts w:ascii="Times New Roman" w:eastAsia="Times New Roman" w:hAnsi="Times New Roman" w:cs="Times New Roman"/>
                <w:b/>
                <w:bCs/>
                <w:kern w:val="0"/>
                <w14:ligatures w14:val="none"/>
              </w:rPr>
              <w:t>Observed Range</w:t>
            </w:r>
          </w:p>
        </w:tc>
        <w:tc>
          <w:tcPr>
            <w:tcW w:w="1980" w:type="dxa"/>
            <w:tcBorders>
              <w:left w:val="nil"/>
              <w:bottom w:val="single" w:sz="4" w:space="0" w:color="auto"/>
              <w:right w:val="nil"/>
            </w:tcBorders>
            <w:hideMark/>
          </w:tcPr>
          <w:p w14:paraId="766D378F" w14:textId="77777777" w:rsidR="007E54CE" w:rsidRPr="00A81659" w:rsidRDefault="007E54CE" w:rsidP="00A81659">
            <w:pPr>
              <w:spacing w:after="120"/>
              <w:jc w:val="both"/>
              <w:rPr>
                <w:rFonts w:ascii="Times New Roman" w:eastAsia="Times New Roman" w:hAnsi="Times New Roman" w:cs="Times New Roman"/>
                <w:b/>
                <w:bCs/>
                <w:kern w:val="0"/>
                <w14:ligatures w14:val="none"/>
              </w:rPr>
            </w:pPr>
            <w:r w:rsidRPr="00A81659">
              <w:rPr>
                <w:rFonts w:ascii="Times New Roman" w:eastAsia="Times New Roman" w:hAnsi="Times New Roman" w:cs="Times New Roman"/>
                <w:b/>
                <w:bCs/>
                <w:kern w:val="0"/>
                <w14:ligatures w14:val="none"/>
              </w:rPr>
              <w:t>WHO Guideline</w:t>
            </w:r>
          </w:p>
        </w:tc>
        <w:tc>
          <w:tcPr>
            <w:tcW w:w="1443" w:type="dxa"/>
            <w:tcBorders>
              <w:left w:val="nil"/>
              <w:bottom w:val="single" w:sz="4" w:space="0" w:color="auto"/>
              <w:right w:val="nil"/>
            </w:tcBorders>
            <w:hideMark/>
          </w:tcPr>
          <w:p w14:paraId="56F96388" w14:textId="77777777" w:rsidR="007E54CE" w:rsidRPr="00A81659" w:rsidRDefault="007E54CE" w:rsidP="00A81659">
            <w:pPr>
              <w:spacing w:after="120"/>
              <w:jc w:val="both"/>
              <w:rPr>
                <w:rFonts w:ascii="Times New Roman" w:eastAsia="Times New Roman" w:hAnsi="Times New Roman" w:cs="Times New Roman"/>
                <w:b/>
                <w:bCs/>
                <w:kern w:val="0"/>
                <w14:ligatures w14:val="none"/>
              </w:rPr>
            </w:pPr>
            <w:r w:rsidRPr="00A81659">
              <w:rPr>
                <w:rFonts w:ascii="Times New Roman" w:eastAsia="Times New Roman" w:hAnsi="Times New Roman" w:cs="Times New Roman"/>
                <w:b/>
                <w:bCs/>
                <w:kern w:val="0"/>
                <w14:ligatures w14:val="none"/>
              </w:rPr>
              <w:t>Compliance</w:t>
            </w:r>
          </w:p>
        </w:tc>
      </w:tr>
      <w:tr w:rsidR="007E54CE" w:rsidRPr="00A81659" w14:paraId="75CCB178" w14:textId="77777777" w:rsidTr="00A81659">
        <w:tc>
          <w:tcPr>
            <w:tcW w:w="2070" w:type="dxa"/>
            <w:tcBorders>
              <w:left w:val="nil"/>
              <w:bottom w:val="nil"/>
              <w:right w:val="nil"/>
            </w:tcBorders>
            <w:hideMark/>
          </w:tcPr>
          <w:p w14:paraId="2AC1E1B2"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pH</w:t>
            </w:r>
          </w:p>
        </w:tc>
        <w:tc>
          <w:tcPr>
            <w:tcW w:w="2160" w:type="dxa"/>
            <w:tcBorders>
              <w:left w:val="nil"/>
              <w:bottom w:val="nil"/>
              <w:right w:val="nil"/>
            </w:tcBorders>
            <w:hideMark/>
          </w:tcPr>
          <w:p w14:paraId="6AFC4227"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5.57 – 6.87</w:t>
            </w:r>
          </w:p>
        </w:tc>
        <w:tc>
          <w:tcPr>
            <w:tcW w:w="1980" w:type="dxa"/>
            <w:tcBorders>
              <w:left w:val="nil"/>
              <w:bottom w:val="nil"/>
              <w:right w:val="nil"/>
            </w:tcBorders>
            <w:hideMark/>
          </w:tcPr>
          <w:p w14:paraId="6A82BFDC"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6.5–8.5</w:t>
            </w:r>
          </w:p>
        </w:tc>
        <w:tc>
          <w:tcPr>
            <w:tcW w:w="1443" w:type="dxa"/>
            <w:tcBorders>
              <w:left w:val="nil"/>
              <w:bottom w:val="nil"/>
              <w:right w:val="nil"/>
            </w:tcBorders>
            <w:hideMark/>
          </w:tcPr>
          <w:p w14:paraId="35075821"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Partial</w:t>
            </w:r>
          </w:p>
        </w:tc>
      </w:tr>
      <w:tr w:rsidR="007E54CE" w:rsidRPr="00A81659" w14:paraId="73433864" w14:textId="77777777" w:rsidTr="00A81659">
        <w:tc>
          <w:tcPr>
            <w:tcW w:w="2070" w:type="dxa"/>
            <w:tcBorders>
              <w:top w:val="nil"/>
              <w:left w:val="nil"/>
              <w:bottom w:val="nil"/>
              <w:right w:val="nil"/>
            </w:tcBorders>
            <w:hideMark/>
          </w:tcPr>
          <w:p w14:paraId="48C12D5F"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EC (µS/cm)</w:t>
            </w:r>
          </w:p>
        </w:tc>
        <w:tc>
          <w:tcPr>
            <w:tcW w:w="2160" w:type="dxa"/>
            <w:tcBorders>
              <w:top w:val="nil"/>
              <w:left w:val="nil"/>
              <w:bottom w:val="nil"/>
              <w:right w:val="nil"/>
            </w:tcBorders>
            <w:hideMark/>
          </w:tcPr>
          <w:p w14:paraId="35F67B31"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72.61 – 378.00</w:t>
            </w:r>
          </w:p>
        </w:tc>
        <w:tc>
          <w:tcPr>
            <w:tcW w:w="1980" w:type="dxa"/>
            <w:tcBorders>
              <w:top w:val="nil"/>
              <w:left w:val="nil"/>
              <w:bottom w:val="nil"/>
              <w:right w:val="nil"/>
            </w:tcBorders>
            <w:hideMark/>
          </w:tcPr>
          <w:p w14:paraId="4BE0CCEF"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1000</w:t>
            </w:r>
          </w:p>
        </w:tc>
        <w:tc>
          <w:tcPr>
            <w:tcW w:w="1443" w:type="dxa"/>
            <w:tcBorders>
              <w:top w:val="nil"/>
              <w:left w:val="nil"/>
              <w:bottom w:val="nil"/>
              <w:right w:val="nil"/>
            </w:tcBorders>
            <w:hideMark/>
          </w:tcPr>
          <w:p w14:paraId="0A22C744"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Compliant</w:t>
            </w:r>
          </w:p>
        </w:tc>
      </w:tr>
      <w:tr w:rsidR="007E54CE" w:rsidRPr="00A81659" w14:paraId="632D4A2D" w14:textId="77777777" w:rsidTr="00A81659">
        <w:tc>
          <w:tcPr>
            <w:tcW w:w="2070" w:type="dxa"/>
            <w:tcBorders>
              <w:top w:val="nil"/>
              <w:left w:val="nil"/>
              <w:bottom w:val="nil"/>
              <w:right w:val="nil"/>
            </w:tcBorders>
            <w:hideMark/>
          </w:tcPr>
          <w:p w14:paraId="74D75979"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TDS (mg/L)</w:t>
            </w:r>
          </w:p>
        </w:tc>
        <w:tc>
          <w:tcPr>
            <w:tcW w:w="2160" w:type="dxa"/>
            <w:tcBorders>
              <w:top w:val="nil"/>
              <w:left w:val="nil"/>
              <w:bottom w:val="nil"/>
              <w:right w:val="nil"/>
            </w:tcBorders>
            <w:hideMark/>
          </w:tcPr>
          <w:p w14:paraId="04906E9F"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36.30 – 189.00</w:t>
            </w:r>
          </w:p>
        </w:tc>
        <w:tc>
          <w:tcPr>
            <w:tcW w:w="1980" w:type="dxa"/>
            <w:tcBorders>
              <w:top w:val="nil"/>
              <w:left w:val="nil"/>
              <w:bottom w:val="nil"/>
              <w:right w:val="nil"/>
            </w:tcBorders>
            <w:hideMark/>
          </w:tcPr>
          <w:p w14:paraId="33F08063"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600</w:t>
            </w:r>
          </w:p>
        </w:tc>
        <w:tc>
          <w:tcPr>
            <w:tcW w:w="1443" w:type="dxa"/>
            <w:tcBorders>
              <w:top w:val="nil"/>
              <w:left w:val="nil"/>
              <w:bottom w:val="nil"/>
              <w:right w:val="nil"/>
            </w:tcBorders>
            <w:hideMark/>
          </w:tcPr>
          <w:p w14:paraId="2C7A1967"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Compliant</w:t>
            </w:r>
          </w:p>
        </w:tc>
      </w:tr>
      <w:tr w:rsidR="007E54CE" w:rsidRPr="00A81659" w14:paraId="0762A52F" w14:textId="77777777" w:rsidTr="00A81659">
        <w:tc>
          <w:tcPr>
            <w:tcW w:w="2070" w:type="dxa"/>
            <w:tcBorders>
              <w:top w:val="nil"/>
              <w:left w:val="nil"/>
              <w:bottom w:val="nil"/>
              <w:right w:val="nil"/>
            </w:tcBorders>
            <w:hideMark/>
          </w:tcPr>
          <w:p w14:paraId="5B837E4E"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NO₃⁻ (mg/L)</w:t>
            </w:r>
          </w:p>
        </w:tc>
        <w:tc>
          <w:tcPr>
            <w:tcW w:w="2160" w:type="dxa"/>
            <w:tcBorders>
              <w:top w:val="nil"/>
              <w:left w:val="nil"/>
              <w:bottom w:val="nil"/>
              <w:right w:val="nil"/>
            </w:tcBorders>
            <w:hideMark/>
          </w:tcPr>
          <w:p w14:paraId="5E916DFF"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0.11 – 1.68</w:t>
            </w:r>
          </w:p>
        </w:tc>
        <w:tc>
          <w:tcPr>
            <w:tcW w:w="1980" w:type="dxa"/>
            <w:tcBorders>
              <w:top w:val="nil"/>
              <w:left w:val="nil"/>
              <w:bottom w:val="nil"/>
              <w:right w:val="nil"/>
            </w:tcBorders>
            <w:hideMark/>
          </w:tcPr>
          <w:p w14:paraId="0C35AC8D"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50</w:t>
            </w:r>
          </w:p>
        </w:tc>
        <w:tc>
          <w:tcPr>
            <w:tcW w:w="1443" w:type="dxa"/>
            <w:tcBorders>
              <w:top w:val="nil"/>
              <w:left w:val="nil"/>
              <w:bottom w:val="nil"/>
              <w:right w:val="nil"/>
            </w:tcBorders>
            <w:hideMark/>
          </w:tcPr>
          <w:p w14:paraId="022959B2"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Compliant</w:t>
            </w:r>
          </w:p>
        </w:tc>
      </w:tr>
      <w:tr w:rsidR="007E54CE" w:rsidRPr="00A81659" w14:paraId="1F2D12AB" w14:textId="77777777" w:rsidTr="00A81659">
        <w:tc>
          <w:tcPr>
            <w:tcW w:w="2070" w:type="dxa"/>
            <w:tcBorders>
              <w:top w:val="nil"/>
              <w:left w:val="nil"/>
              <w:bottom w:val="nil"/>
              <w:right w:val="nil"/>
            </w:tcBorders>
            <w:hideMark/>
          </w:tcPr>
          <w:p w14:paraId="6E67B34C"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Cl⁻ (mg/L)</w:t>
            </w:r>
          </w:p>
        </w:tc>
        <w:tc>
          <w:tcPr>
            <w:tcW w:w="2160" w:type="dxa"/>
            <w:tcBorders>
              <w:top w:val="nil"/>
              <w:left w:val="nil"/>
              <w:bottom w:val="nil"/>
              <w:right w:val="nil"/>
            </w:tcBorders>
            <w:hideMark/>
          </w:tcPr>
          <w:p w14:paraId="1B56566D"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3.00 – 80.00</w:t>
            </w:r>
          </w:p>
        </w:tc>
        <w:tc>
          <w:tcPr>
            <w:tcW w:w="1980" w:type="dxa"/>
            <w:tcBorders>
              <w:top w:val="nil"/>
              <w:left w:val="nil"/>
              <w:bottom w:val="nil"/>
              <w:right w:val="nil"/>
            </w:tcBorders>
            <w:hideMark/>
          </w:tcPr>
          <w:p w14:paraId="5A3E4679"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250</w:t>
            </w:r>
          </w:p>
        </w:tc>
        <w:tc>
          <w:tcPr>
            <w:tcW w:w="1443" w:type="dxa"/>
            <w:tcBorders>
              <w:top w:val="nil"/>
              <w:left w:val="nil"/>
              <w:bottom w:val="nil"/>
              <w:right w:val="nil"/>
            </w:tcBorders>
            <w:hideMark/>
          </w:tcPr>
          <w:p w14:paraId="2222769C"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Compliant</w:t>
            </w:r>
          </w:p>
        </w:tc>
      </w:tr>
      <w:tr w:rsidR="007E54CE" w:rsidRPr="00A81659" w14:paraId="34FD7795" w14:textId="77777777" w:rsidTr="00A81659">
        <w:tc>
          <w:tcPr>
            <w:tcW w:w="2070" w:type="dxa"/>
            <w:tcBorders>
              <w:top w:val="nil"/>
              <w:left w:val="nil"/>
              <w:bottom w:val="nil"/>
              <w:right w:val="nil"/>
            </w:tcBorders>
            <w:hideMark/>
          </w:tcPr>
          <w:p w14:paraId="1F31F55A"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SO₄²⁻ (mg/L)</w:t>
            </w:r>
          </w:p>
        </w:tc>
        <w:tc>
          <w:tcPr>
            <w:tcW w:w="2160" w:type="dxa"/>
            <w:tcBorders>
              <w:top w:val="nil"/>
              <w:left w:val="nil"/>
              <w:bottom w:val="nil"/>
              <w:right w:val="nil"/>
            </w:tcBorders>
            <w:hideMark/>
          </w:tcPr>
          <w:p w14:paraId="5A9E3F42"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0.86 – 5.56</w:t>
            </w:r>
          </w:p>
        </w:tc>
        <w:tc>
          <w:tcPr>
            <w:tcW w:w="1980" w:type="dxa"/>
            <w:tcBorders>
              <w:top w:val="nil"/>
              <w:left w:val="nil"/>
              <w:bottom w:val="nil"/>
              <w:right w:val="nil"/>
            </w:tcBorders>
            <w:hideMark/>
          </w:tcPr>
          <w:p w14:paraId="03ED9E59"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250</w:t>
            </w:r>
          </w:p>
        </w:tc>
        <w:tc>
          <w:tcPr>
            <w:tcW w:w="1443" w:type="dxa"/>
            <w:tcBorders>
              <w:top w:val="nil"/>
              <w:left w:val="nil"/>
              <w:bottom w:val="nil"/>
              <w:right w:val="nil"/>
            </w:tcBorders>
            <w:hideMark/>
          </w:tcPr>
          <w:p w14:paraId="4DE067DD"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Compliant</w:t>
            </w:r>
          </w:p>
        </w:tc>
      </w:tr>
      <w:tr w:rsidR="007E54CE" w:rsidRPr="00A81659" w14:paraId="121666DF" w14:textId="77777777" w:rsidTr="00A81659">
        <w:tc>
          <w:tcPr>
            <w:tcW w:w="2070" w:type="dxa"/>
            <w:tcBorders>
              <w:top w:val="nil"/>
              <w:left w:val="nil"/>
              <w:bottom w:val="nil"/>
              <w:right w:val="nil"/>
            </w:tcBorders>
            <w:hideMark/>
          </w:tcPr>
          <w:p w14:paraId="7AE150FD"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TH (mg/L)</w:t>
            </w:r>
          </w:p>
        </w:tc>
        <w:tc>
          <w:tcPr>
            <w:tcW w:w="2160" w:type="dxa"/>
            <w:tcBorders>
              <w:top w:val="nil"/>
              <w:left w:val="nil"/>
              <w:bottom w:val="nil"/>
              <w:right w:val="nil"/>
            </w:tcBorders>
            <w:hideMark/>
          </w:tcPr>
          <w:p w14:paraId="30ECED27"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42 – 140</w:t>
            </w:r>
          </w:p>
        </w:tc>
        <w:tc>
          <w:tcPr>
            <w:tcW w:w="1980" w:type="dxa"/>
            <w:tcBorders>
              <w:top w:val="nil"/>
              <w:left w:val="nil"/>
              <w:bottom w:val="nil"/>
              <w:right w:val="nil"/>
            </w:tcBorders>
            <w:hideMark/>
          </w:tcPr>
          <w:p w14:paraId="0C52B2BC"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300</w:t>
            </w:r>
          </w:p>
        </w:tc>
        <w:tc>
          <w:tcPr>
            <w:tcW w:w="1443" w:type="dxa"/>
            <w:tcBorders>
              <w:top w:val="nil"/>
              <w:left w:val="nil"/>
              <w:bottom w:val="nil"/>
              <w:right w:val="nil"/>
            </w:tcBorders>
            <w:hideMark/>
          </w:tcPr>
          <w:p w14:paraId="5B9F874C"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Compliant</w:t>
            </w:r>
          </w:p>
        </w:tc>
      </w:tr>
      <w:tr w:rsidR="007E54CE" w:rsidRPr="00A81659" w14:paraId="3E42D3BF" w14:textId="77777777" w:rsidTr="00A81659">
        <w:tc>
          <w:tcPr>
            <w:tcW w:w="2070" w:type="dxa"/>
            <w:tcBorders>
              <w:top w:val="nil"/>
              <w:left w:val="nil"/>
              <w:bottom w:val="nil"/>
              <w:right w:val="nil"/>
            </w:tcBorders>
            <w:hideMark/>
          </w:tcPr>
          <w:p w14:paraId="007540F2"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Ca (mg/L)</w:t>
            </w:r>
          </w:p>
        </w:tc>
        <w:tc>
          <w:tcPr>
            <w:tcW w:w="2160" w:type="dxa"/>
            <w:tcBorders>
              <w:top w:val="nil"/>
              <w:left w:val="nil"/>
              <w:bottom w:val="nil"/>
              <w:right w:val="nil"/>
            </w:tcBorders>
            <w:hideMark/>
          </w:tcPr>
          <w:p w14:paraId="2D4945C7"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3.24 – 28.02</w:t>
            </w:r>
          </w:p>
        </w:tc>
        <w:tc>
          <w:tcPr>
            <w:tcW w:w="1980" w:type="dxa"/>
            <w:tcBorders>
              <w:top w:val="nil"/>
              <w:left w:val="nil"/>
              <w:bottom w:val="nil"/>
              <w:right w:val="nil"/>
            </w:tcBorders>
            <w:hideMark/>
          </w:tcPr>
          <w:p w14:paraId="6F06B02B"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75</w:t>
            </w:r>
          </w:p>
        </w:tc>
        <w:tc>
          <w:tcPr>
            <w:tcW w:w="1443" w:type="dxa"/>
            <w:tcBorders>
              <w:top w:val="nil"/>
              <w:left w:val="nil"/>
              <w:bottom w:val="nil"/>
              <w:right w:val="nil"/>
            </w:tcBorders>
            <w:hideMark/>
          </w:tcPr>
          <w:p w14:paraId="6EA154E5"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Compliant</w:t>
            </w:r>
          </w:p>
        </w:tc>
      </w:tr>
      <w:tr w:rsidR="007E54CE" w:rsidRPr="00A81659" w14:paraId="136EC6F0" w14:textId="77777777" w:rsidTr="00A81659">
        <w:tc>
          <w:tcPr>
            <w:tcW w:w="2070" w:type="dxa"/>
            <w:tcBorders>
              <w:top w:val="nil"/>
              <w:left w:val="nil"/>
              <w:bottom w:val="nil"/>
              <w:right w:val="nil"/>
            </w:tcBorders>
            <w:hideMark/>
          </w:tcPr>
          <w:p w14:paraId="24C21849"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Mg (mg/L)</w:t>
            </w:r>
          </w:p>
        </w:tc>
        <w:tc>
          <w:tcPr>
            <w:tcW w:w="2160" w:type="dxa"/>
            <w:tcBorders>
              <w:top w:val="nil"/>
              <w:left w:val="nil"/>
              <w:bottom w:val="nil"/>
              <w:right w:val="nil"/>
            </w:tcBorders>
            <w:hideMark/>
          </w:tcPr>
          <w:p w14:paraId="452A7073"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0.81 – 7.47</w:t>
            </w:r>
          </w:p>
        </w:tc>
        <w:tc>
          <w:tcPr>
            <w:tcW w:w="1980" w:type="dxa"/>
            <w:tcBorders>
              <w:top w:val="nil"/>
              <w:left w:val="nil"/>
              <w:bottom w:val="nil"/>
              <w:right w:val="nil"/>
            </w:tcBorders>
            <w:hideMark/>
          </w:tcPr>
          <w:p w14:paraId="0828D402"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50</w:t>
            </w:r>
          </w:p>
        </w:tc>
        <w:tc>
          <w:tcPr>
            <w:tcW w:w="1443" w:type="dxa"/>
            <w:tcBorders>
              <w:top w:val="nil"/>
              <w:left w:val="nil"/>
              <w:bottom w:val="nil"/>
              <w:right w:val="nil"/>
            </w:tcBorders>
            <w:hideMark/>
          </w:tcPr>
          <w:p w14:paraId="2159F73E"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Compliant</w:t>
            </w:r>
          </w:p>
        </w:tc>
      </w:tr>
      <w:tr w:rsidR="007E54CE" w:rsidRPr="00A81659" w14:paraId="030B9659" w14:textId="77777777" w:rsidTr="00A81659">
        <w:tc>
          <w:tcPr>
            <w:tcW w:w="2070" w:type="dxa"/>
            <w:tcBorders>
              <w:top w:val="nil"/>
              <w:left w:val="nil"/>
              <w:bottom w:val="nil"/>
              <w:right w:val="nil"/>
            </w:tcBorders>
            <w:hideMark/>
          </w:tcPr>
          <w:p w14:paraId="1BD2AE9F"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Fe (mg/L)</w:t>
            </w:r>
          </w:p>
        </w:tc>
        <w:tc>
          <w:tcPr>
            <w:tcW w:w="2160" w:type="dxa"/>
            <w:tcBorders>
              <w:top w:val="nil"/>
              <w:left w:val="nil"/>
              <w:bottom w:val="nil"/>
              <w:right w:val="nil"/>
            </w:tcBorders>
            <w:hideMark/>
          </w:tcPr>
          <w:p w14:paraId="7C81BD89"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0.014 – 0.300</w:t>
            </w:r>
          </w:p>
        </w:tc>
        <w:tc>
          <w:tcPr>
            <w:tcW w:w="1980" w:type="dxa"/>
            <w:tcBorders>
              <w:top w:val="nil"/>
              <w:left w:val="nil"/>
              <w:bottom w:val="nil"/>
              <w:right w:val="nil"/>
            </w:tcBorders>
            <w:hideMark/>
          </w:tcPr>
          <w:p w14:paraId="18511E51"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0.3</w:t>
            </w:r>
          </w:p>
        </w:tc>
        <w:tc>
          <w:tcPr>
            <w:tcW w:w="1443" w:type="dxa"/>
            <w:tcBorders>
              <w:top w:val="nil"/>
              <w:left w:val="nil"/>
              <w:bottom w:val="nil"/>
              <w:right w:val="nil"/>
            </w:tcBorders>
            <w:hideMark/>
          </w:tcPr>
          <w:p w14:paraId="7B04D27A"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Partial</w:t>
            </w:r>
          </w:p>
        </w:tc>
      </w:tr>
      <w:tr w:rsidR="007E54CE" w:rsidRPr="00A81659" w14:paraId="72196C59" w14:textId="77777777" w:rsidTr="00A81659">
        <w:tc>
          <w:tcPr>
            <w:tcW w:w="2070" w:type="dxa"/>
            <w:tcBorders>
              <w:top w:val="nil"/>
              <w:left w:val="nil"/>
              <w:right w:val="nil"/>
            </w:tcBorders>
            <w:hideMark/>
          </w:tcPr>
          <w:p w14:paraId="6E9389E7"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Mn (mg/L)</w:t>
            </w:r>
          </w:p>
        </w:tc>
        <w:tc>
          <w:tcPr>
            <w:tcW w:w="2160" w:type="dxa"/>
            <w:tcBorders>
              <w:top w:val="nil"/>
              <w:left w:val="nil"/>
              <w:right w:val="nil"/>
            </w:tcBorders>
            <w:hideMark/>
          </w:tcPr>
          <w:p w14:paraId="2D1E5E41"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0.001 – 0.050</w:t>
            </w:r>
          </w:p>
        </w:tc>
        <w:tc>
          <w:tcPr>
            <w:tcW w:w="1980" w:type="dxa"/>
            <w:tcBorders>
              <w:top w:val="nil"/>
              <w:left w:val="nil"/>
              <w:right w:val="nil"/>
            </w:tcBorders>
            <w:hideMark/>
          </w:tcPr>
          <w:p w14:paraId="0112AD6C"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0.1</w:t>
            </w:r>
          </w:p>
        </w:tc>
        <w:tc>
          <w:tcPr>
            <w:tcW w:w="1443" w:type="dxa"/>
            <w:tcBorders>
              <w:top w:val="nil"/>
              <w:left w:val="nil"/>
              <w:right w:val="nil"/>
            </w:tcBorders>
            <w:hideMark/>
          </w:tcPr>
          <w:p w14:paraId="4493B87D" w14:textId="77777777" w:rsidR="007E54CE" w:rsidRPr="00A81659" w:rsidRDefault="007E54CE"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Compliant</w:t>
            </w:r>
          </w:p>
        </w:tc>
      </w:tr>
    </w:tbl>
    <w:p w14:paraId="24D6CF8E" w14:textId="613D0801" w:rsidR="0013145E" w:rsidRPr="00A81659" w:rsidRDefault="0013145E" w:rsidP="00A81659">
      <w:pPr>
        <w:spacing w:after="120" w:line="240" w:lineRule="auto"/>
        <w:jc w:val="both"/>
        <w:rPr>
          <w:rFonts w:ascii="Times New Roman" w:hAnsi="Times New Roman" w:cs="Times New Roman"/>
        </w:rPr>
      </w:pPr>
      <w:r w:rsidRPr="00A81659">
        <w:rPr>
          <w:rFonts w:ascii="Times New Roman" w:hAnsi="Times New Roman" w:cs="Times New Roman"/>
        </w:rPr>
        <w:t>The one-way ANOVA results (table 3</w:t>
      </w:r>
      <w:r w:rsidR="00966FBC">
        <w:rPr>
          <w:rFonts w:ascii="Times New Roman" w:hAnsi="Times New Roman" w:cs="Times New Roman"/>
        </w:rPr>
        <w:t xml:space="preserve"> &amp; 4</w:t>
      </w:r>
      <w:r w:rsidRPr="00A81659">
        <w:rPr>
          <w:rFonts w:ascii="Times New Roman" w:hAnsi="Times New Roman" w:cs="Times New Roman"/>
        </w:rPr>
        <w:t xml:space="preserve">) demonstrate </w:t>
      </w:r>
      <w:r w:rsidRPr="00A81659">
        <w:rPr>
          <w:rStyle w:val="Strong"/>
          <w:rFonts w:ascii="Times New Roman" w:hAnsi="Times New Roman" w:cs="Times New Roman"/>
          <w:b w:val="0"/>
          <w:bCs w:val="0"/>
        </w:rPr>
        <w:t>statistically significant spatial variation (p &lt; 0.001)</w:t>
      </w:r>
      <w:r w:rsidRPr="00A81659">
        <w:rPr>
          <w:rFonts w:ascii="Times New Roman" w:hAnsi="Times New Roman" w:cs="Times New Roman"/>
        </w:rPr>
        <w:t xml:space="preserve"> for all physicochemical parameters, major ions, and metals across boreholes. This confirms </w:t>
      </w:r>
      <w:r w:rsidRPr="00A81659">
        <w:rPr>
          <w:rStyle w:val="Strong"/>
          <w:rFonts w:ascii="Times New Roman" w:hAnsi="Times New Roman" w:cs="Times New Roman"/>
          <w:b w:val="0"/>
          <w:bCs w:val="0"/>
        </w:rPr>
        <w:t>heterogeneity in groundwater chemistry</w:t>
      </w:r>
      <w:r w:rsidRPr="00A81659">
        <w:rPr>
          <w:rFonts w:ascii="Times New Roman" w:hAnsi="Times New Roman" w:cs="Times New Roman"/>
          <w:b/>
          <w:bCs/>
        </w:rPr>
        <w:t>,</w:t>
      </w:r>
      <w:r w:rsidRPr="00A81659">
        <w:rPr>
          <w:rFonts w:ascii="Times New Roman" w:hAnsi="Times New Roman" w:cs="Times New Roman"/>
        </w:rPr>
        <w:t xml:space="preserve"> reflecting differences in local lithology, residence time, and water–rock interaction intensity rather than random variation.</w:t>
      </w:r>
    </w:p>
    <w:p w14:paraId="5A1CE7E3" w14:textId="3DF05D32" w:rsidR="00F52F08" w:rsidRPr="00A81659" w:rsidRDefault="00F52F08" w:rsidP="00A81659">
      <w:pPr>
        <w:spacing w:after="120" w:line="240" w:lineRule="auto"/>
        <w:jc w:val="both"/>
        <w:rPr>
          <w:rFonts w:ascii="Times New Roman" w:eastAsia="Times New Roman" w:hAnsi="Times New Roman" w:cs="Times New Roman"/>
          <w:b/>
          <w:bCs/>
          <w:kern w:val="0"/>
          <w14:ligatures w14:val="none"/>
        </w:rPr>
      </w:pPr>
      <w:r w:rsidRPr="00A81659">
        <w:rPr>
          <w:rFonts w:ascii="Times New Roman" w:hAnsi="Times New Roman" w:cs="Times New Roman"/>
        </w:rPr>
        <w:t>Table 3: One-Way ANOVA Summary for Physicochemical Parameters</w:t>
      </w:r>
    </w:p>
    <w:tbl>
      <w:tblPr>
        <w:tblStyle w:val="TableGrid"/>
        <w:tblW w:w="0" w:type="auto"/>
        <w:tblLook w:val="04A0" w:firstRow="1" w:lastRow="0" w:firstColumn="1" w:lastColumn="0" w:noHBand="0" w:noVBand="1"/>
      </w:tblPr>
      <w:tblGrid>
        <w:gridCol w:w="1309"/>
        <w:gridCol w:w="1516"/>
        <w:gridCol w:w="1370"/>
        <w:gridCol w:w="990"/>
        <w:gridCol w:w="977"/>
      </w:tblGrid>
      <w:tr w:rsidR="00F52F08" w:rsidRPr="00A81659" w14:paraId="41142A58" w14:textId="77777777" w:rsidTr="00353EB2">
        <w:tc>
          <w:tcPr>
            <w:tcW w:w="0" w:type="auto"/>
            <w:tcBorders>
              <w:left w:val="nil"/>
              <w:bottom w:val="single" w:sz="4" w:space="0" w:color="auto"/>
              <w:right w:val="nil"/>
            </w:tcBorders>
            <w:hideMark/>
          </w:tcPr>
          <w:p w14:paraId="1F08609A" w14:textId="77777777" w:rsidR="00F52F08" w:rsidRPr="00A81659" w:rsidRDefault="00F52F08" w:rsidP="00A81659">
            <w:pPr>
              <w:spacing w:after="120"/>
              <w:jc w:val="both"/>
              <w:rPr>
                <w:rFonts w:ascii="Times New Roman" w:eastAsia="Times New Roman" w:hAnsi="Times New Roman" w:cs="Times New Roman"/>
                <w:b/>
                <w:bCs/>
                <w:kern w:val="0"/>
                <w14:ligatures w14:val="none"/>
              </w:rPr>
            </w:pPr>
            <w:r w:rsidRPr="00A81659">
              <w:rPr>
                <w:rFonts w:ascii="Times New Roman" w:eastAsia="Times New Roman" w:hAnsi="Times New Roman" w:cs="Times New Roman"/>
                <w:b/>
                <w:bCs/>
                <w:kern w:val="0"/>
                <w14:ligatures w14:val="none"/>
              </w:rPr>
              <w:t>Parameter</w:t>
            </w:r>
          </w:p>
        </w:tc>
        <w:tc>
          <w:tcPr>
            <w:tcW w:w="0" w:type="auto"/>
            <w:tcBorders>
              <w:left w:val="nil"/>
              <w:bottom w:val="single" w:sz="4" w:space="0" w:color="auto"/>
              <w:right w:val="nil"/>
            </w:tcBorders>
            <w:hideMark/>
          </w:tcPr>
          <w:p w14:paraId="1F6EBF1A" w14:textId="77777777" w:rsidR="00F52F08" w:rsidRPr="00A81659" w:rsidRDefault="00F52F08" w:rsidP="00A81659">
            <w:pPr>
              <w:spacing w:after="120"/>
              <w:jc w:val="both"/>
              <w:rPr>
                <w:rFonts w:ascii="Times New Roman" w:eastAsia="Times New Roman" w:hAnsi="Times New Roman" w:cs="Times New Roman"/>
                <w:b/>
                <w:bCs/>
                <w:kern w:val="0"/>
                <w14:ligatures w14:val="none"/>
              </w:rPr>
            </w:pPr>
            <w:r w:rsidRPr="00A81659">
              <w:rPr>
                <w:rFonts w:ascii="Times New Roman" w:eastAsia="Times New Roman" w:hAnsi="Times New Roman" w:cs="Times New Roman"/>
                <w:b/>
                <w:bCs/>
                <w:kern w:val="0"/>
                <w14:ligatures w14:val="none"/>
              </w:rPr>
              <w:t>df (Between)</w:t>
            </w:r>
          </w:p>
        </w:tc>
        <w:tc>
          <w:tcPr>
            <w:tcW w:w="0" w:type="auto"/>
            <w:tcBorders>
              <w:left w:val="nil"/>
              <w:bottom w:val="single" w:sz="4" w:space="0" w:color="auto"/>
              <w:right w:val="nil"/>
            </w:tcBorders>
            <w:hideMark/>
          </w:tcPr>
          <w:p w14:paraId="76A60309" w14:textId="77777777" w:rsidR="00F52F08" w:rsidRPr="00A81659" w:rsidRDefault="00F52F08" w:rsidP="00A81659">
            <w:pPr>
              <w:spacing w:after="120"/>
              <w:jc w:val="both"/>
              <w:rPr>
                <w:rFonts w:ascii="Times New Roman" w:eastAsia="Times New Roman" w:hAnsi="Times New Roman" w:cs="Times New Roman"/>
                <w:b/>
                <w:bCs/>
                <w:kern w:val="0"/>
                <w14:ligatures w14:val="none"/>
              </w:rPr>
            </w:pPr>
            <w:r w:rsidRPr="00A81659">
              <w:rPr>
                <w:rFonts w:ascii="Times New Roman" w:eastAsia="Times New Roman" w:hAnsi="Times New Roman" w:cs="Times New Roman"/>
                <w:b/>
                <w:bCs/>
                <w:kern w:val="0"/>
                <w14:ligatures w14:val="none"/>
              </w:rPr>
              <w:t>df (Within)</w:t>
            </w:r>
          </w:p>
        </w:tc>
        <w:tc>
          <w:tcPr>
            <w:tcW w:w="0" w:type="auto"/>
            <w:tcBorders>
              <w:left w:val="nil"/>
              <w:bottom w:val="single" w:sz="4" w:space="0" w:color="auto"/>
              <w:right w:val="nil"/>
            </w:tcBorders>
            <w:hideMark/>
          </w:tcPr>
          <w:p w14:paraId="59CF721E" w14:textId="77777777" w:rsidR="00F52F08" w:rsidRPr="00A81659" w:rsidRDefault="00F52F08" w:rsidP="00A81659">
            <w:pPr>
              <w:spacing w:after="120"/>
              <w:jc w:val="both"/>
              <w:rPr>
                <w:rFonts w:ascii="Times New Roman" w:eastAsia="Times New Roman" w:hAnsi="Times New Roman" w:cs="Times New Roman"/>
                <w:b/>
                <w:bCs/>
                <w:kern w:val="0"/>
                <w14:ligatures w14:val="none"/>
              </w:rPr>
            </w:pPr>
            <w:r w:rsidRPr="00A81659">
              <w:rPr>
                <w:rFonts w:ascii="Times New Roman" w:eastAsia="Times New Roman" w:hAnsi="Times New Roman" w:cs="Times New Roman"/>
                <w:b/>
                <w:bCs/>
                <w:kern w:val="0"/>
                <w14:ligatures w14:val="none"/>
              </w:rPr>
              <w:t>F-value</w:t>
            </w:r>
          </w:p>
        </w:tc>
        <w:tc>
          <w:tcPr>
            <w:tcW w:w="0" w:type="auto"/>
            <w:tcBorders>
              <w:left w:val="nil"/>
              <w:bottom w:val="single" w:sz="4" w:space="0" w:color="auto"/>
              <w:right w:val="nil"/>
            </w:tcBorders>
            <w:hideMark/>
          </w:tcPr>
          <w:p w14:paraId="0659E0DD" w14:textId="77777777" w:rsidR="00F52F08" w:rsidRPr="00A81659" w:rsidRDefault="00F52F08" w:rsidP="00A81659">
            <w:pPr>
              <w:spacing w:after="120"/>
              <w:jc w:val="both"/>
              <w:rPr>
                <w:rFonts w:ascii="Times New Roman" w:eastAsia="Times New Roman" w:hAnsi="Times New Roman" w:cs="Times New Roman"/>
                <w:b/>
                <w:bCs/>
                <w:kern w:val="0"/>
                <w14:ligatures w14:val="none"/>
              </w:rPr>
            </w:pPr>
            <w:r w:rsidRPr="00A81659">
              <w:rPr>
                <w:rFonts w:ascii="Times New Roman" w:eastAsia="Times New Roman" w:hAnsi="Times New Roman" w:cs="Times New Roman"/>
                <w:b/>
                <w:bCs/>
                <w:kern w:val="0"/>
                <w14:ligatures w14:val="none"/>
              </w:rPr>
              <w:t>p-value</w:t>
            </w:r>
          </w:p>
        </w:tc>
      </w:tr>
      <w:tr w:rsidR="00F52F08" w:rsidRPr="00A81659" w14:paraId="14830500" w14:textId="77777777" w:rsidTr="00353EB2">
        <w:tc>
          <w:tcPr>
            <w:tcW w:w="0" w:type="auto"/>
            <w:tcBorders>
              <w:left w:val="nil"/>
              <w:bottom w:val="nil"/>
              <w:right w:val="nil"/>
            </w:tcBorders>
            <w:hideMark/>
          </w:tcPr>
          <w:p w14:paraId="3DA94451"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NO₃⁻</w:t>
            </w:r>
          </w:p>
        </w:tc>
        <w:tc>
          <w:tcPr>
            <w:tcW w:w="0" w:type="auto"/>
            <w:tcBorders>
              <w:left w:val="nil"/>
              <w:bottom w:val="nil"/>
              <w:right w:val="nil"/>
            </w:tcBorders>
            <w:hideMark/>
          </w:tcPr>
          <w:p w14:paraId="21AEA2CE"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16</w:t>
            </w:r>
          </w:p>
        </w:tc>
        <w:tc>
          <w:tcPr>
            <w:tcW w:w="0" w:type="auto"/>
            <w:tcBorders>
              <w:left w:val="nil"/>
              <w:bottom w:val="nil"/>
              <w:right w:val="nil"/>
            </w:tcBorders>
            <w:hideMark/>
          </w:tcPr>
          <w:p w14:paraId="43A88856"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34</w:t>
            </w:r>
          </w:p>
        </w:tc>
        <w:tc>
          <w:tcPr>
            <w:tcW w:w="0" w:type="auto"/>
            <w:tcBorders>
              <w:left w:val="nil"/>
              <w:bottom w:val="nil"/>
              <w:right w:val="nil"/>
            </w:tcBorders>
            <w:hideMark/>
          </w:tcPr>
          <w:p w14:paraId="33831A5E"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6.88</w:t>
            </w:r>
          </w:p>
        </w:tc>
        <w:tc>
          <w:tcPr>
            <w:tcW w:w="0" w:type="auto"/>
            <w:tcBorders>
              <w:left w:val="nil"/>
              <w:bottom w:val="nil"/>
              <w:right w:val="nil"/>
            </w:tcBorders>
            <w:hideMark/>
          </w:tcPr>
          <w:p w14:paraId="47975ACB"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&lt;0.001</w:t>
            </w:r>
          </w:p>
        </w:tc>
      </w:tr>
      <w:tr w:rsidR="00F52F08" w:rsidRPr="00A81659" w14:paraId="364F9AB0" w14:textId="77777777" w:rsidTr="00353EB2">
        <w:tc>
          <w:tcPr>
            <w:tcW w:w="0" w:type="auto"/>
            <w:tcBorders>
              <w:top w:val="nil"/>
              <w:left w:val="nil"/>
              <w:bottom w:val="nil"/>
              <w:right w:val="nil"/>
            </w:tcBorders>
            <w:hideMark/>
          </w:tcPr>
          <w:p w14:paraId="01639005"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Cl⁻</w:t>
            </w:r>
          </w:p>
        </w:tc>
        <w:tc>
          <w:tcPr>
            <w:tcW w:w="0" w:type="auto"/>
            <w:tcBorders>
              <w:top w:val="nil"/>
              <w:left w:val="nil"/>
              <w:bottom w:val="nil"/>
              <w:right w:val="nil"/>
            </w:tcBorders>
            <w:hideMark/>
          </w:tcPr>
          <w:p w14:paraId="6398BA13"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16</w:t>
            </w:r>
          </w:p>
        </w:tc>
        <w:tc>
          <w:tcPr>
            <w:tcW w:w="0" w:type="auto"/>
            <w:tcBorders>
              <w:top w:val="nil"/>
              <w:left w:val="nil"/>
              <w:bottom w:val="nil"/>
              <w:right w:val="nil"/>
            </w:tcBorders>
            <w:hideMark/>
          </w:tcPr>
          <w:p w14:paraId="752755D3"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34</w:t>
            </w:r>
          </w:p>
        </w:tc>
        <w:tc>
          <w:tcPr>
            <w:tcW w:w="0" w:type="auto"/>
            <w:tcBorders>
              <w:top w:val="nil"/>
              <w:left w:val="nil"/>
              <w:bottom w:val="nil"/>
              <w:right w:val="nil"/>
            </w:tcBorders>
            <w:hideMark/>
          </w:tcPr>
          <w:p w14:paraId="01146CAD"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27.43</w:t>
            </w:r>
          </w:p>
        </w:tc>
        <w:tc>
          <w:tcPr>
            <w:tcW w:w="0" w:type="auto"/>
            <w:tcBorders>
              <w:top w:val="nil"/>
              <w:left w:val="nil"/>
              <w:bottom w:val="nil"/>
              <w:right w:val="nil"/>
            </w:tcBorders>
            <w:hideMark/>
          </w:tcPr>
          <w:p w14:paraId="0799E76B"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&lt;0.001</w:t>
            </w:r>
          </w:p>
        </w:tc>
      </w:tr>
      <w:tr w:rsidR="00F52F08" w:rsidRPr="00A81659" w14:paraId="3ABE5FA8" w14:textId="77777777" w:rsidTr="00353EB2">
        <w:tc>
          <w:tcPr>
            <w:tcW w:w="0" w:type="auto"/>
            <w:tcBorders>
              <w:top w:val="nil"/>
              <w:left w:val="nil"/>
              <w:bottom w:val="nil"/>
              <w:right w:val="nil"/>
            </w:tcBorders>
            <w:hideMark/>
          </w:tcPr>
          <w:p w14:paraId="26EE145D"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SO₄²⁻</w:t>
            </w:r>
          </w:p>
        </w:tc>
        <w:tc>
          <w:tcPr>
            <w:tcW w:w="0" w:type="auto"/>
            <w:tcBorders>
              <w:top w:val="nil"/>
              <w:left w:val="nil"/>
              <w:bottom w:val="nil"/>
              <w:right w:val="nil"/>
            </w:tcBorders>
            <w:hideMark/>
          </w:tcPr>
          <w:p w14:paraId="168FFB6B"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16</w:t>
            </w:r>
          </w:p>
        </w:tc>
        <w:tc>
          <w:tcPr>
            <w:tcW w:w="0" w:type="auto"/>
            <w:tcBorders>
              <w:top w:val="nil"/>
              <w:left w:val="nil"/>
              <w:bottom w:val="nil"/>
              <w:right w:val="nil"/>
            </w:tcBorders>
            <w:hideMark/>
          </w:tcPr>
          <w:p w14:paraId="2CAD0439"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34</w:t>
            </w:r>
          </w:p>
        </w:tc>
        <w:tc>
          <w:tcPr>
            <w:tcW w:w="0" w:type="auto"/>
            <w:tcBorders>
              <w:top w:val="nil"/>
              <w:left w:val="nil"/>
              <w:bottom w:val="nil"/>
              <w:right w:val="nil"/>
            </w:tcBorders>
            <w:hideMark/>
          </w:tcPr>
          <w:p w14:paraId="0487DC12"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18.76</w:t>
            </w:r>
          </w:p>
        </w:tc>
        <w:tc>
          <w:tcPr>
            <w:tcW w:w="0" w:type="auto"/>
            <w:tcBorders>
              <w:top w:val="nil"/>
              <w:left w:val="nil"/>
              <w:bottom w:val="nil"/>
              <w:right w:val="nil"/>
            </w:tcBorders>
            <w:hideMark/>
          </w:tcPr>
          <w:p w14:paraId="6B125E73"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&lt;0.001</w:t>
            </w:r>
          </w:p>
        </w:tc>
      </w:tr>
      <w:tr w:rsidR="00F52F08" w:rsidRPr="00A81659" w14:paraId="1BEA44F9" w14:textId="77777777" w:rsidTr="00353EB2">
        <w:tc>
          <w:tcPr>
            <w:tcW w:w="0" w:type="auto"/>
            <w:tcBorders>
              <w:top w:val="nil"/>
              <w:left w:val="nil"/>
              <w:bottom w:val="nil"/>
              <w:right w:val="nil"/>
            </w:tcBorders>
            <w:hideMark/>
          </w:tcPr>
          <w:p w14:paraId="34688FDE"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HCO₃⁻</w:t>
            </w:r>
          </w:p>
        </w:tc>
        <w:tc>
          <w:tcPr>
            <w:tcW w:w="0" w:type="auto"/>
            <w:tcBorders>
              <w:top w:val="nil"/>
              <w:left w:val="nil"/>
              <w:bottom w:val="nil"/>
              <w:right w:val="nil"/>
            </w:tcBorders>
            <w:hideMark/>
          </w:tcPr>
          <w:p w14:paraId="2A63F757"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16</w:t>
            </w:r>
          </w:p>
        </w:tc>
        <w:tc>
          <w:tcPr>
            <w:tcW w:w="0" w:type="auto"/>
            <w:tcBorders>
              <w:top w:val="nil"/>
              <w:left w:val="nil"/>
              <w:bottom w:val="nil"/>
              <w:right w:val="nil"/>
            </w:tcBorders>
            <w:hideMark/>
          </w:tcPr>
          <w:p w14:paraId="58148737"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34</w:t>
            </w:r>
          </w:p>
        </w:tc>
        <w:tc>
          <w:tcPr>
            <w:tcW w:w="0" w:type="auto"/>
            <w:tcBorders>
              <w:top w:val="nil"/>
              <w:left w:val="nil"/>
              <w:bottom w:val="nil"/>
              <w:right w:val="nil"/>
            </w:tcBorders>
            <w:hideMark/>
          </w:tcPr>
          <w:p w14:paraId="2694352E"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11.52</w:t>
            </w:r>
          </w:p>
        </w:tc>
        <w:tc>
          <w:tcPr>
            <w:tcW w:w="0" w:type="auto"/>
            <w:tcBorders>
              <w:top w:val="nil"/>
              <w:left w:val="nil"/>
              <w:bottom w:val="nil"/>
              <w:right w:val="nil"/>
            </w:tcBorders>
            <w:hideMark/>
          </w:tcPr>
          <w:p w14:paraId="1EC8E447"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&lt;0.001</w:t>
            </w:r>
          </w:p>
        </w:tc>
      </w:tr>
      <w:tr w:rsidR="00F52F08" w:rsidRPr="00A81659" w14:paraId="087FC6F7" w14:textId="77777777" w:rsidTr="00353EB2">
        <w:tc>
          <w:tcPr>
            <w:tcW w:w="0" w:type="auto"/>
            <w:tcBorders>
              <w:top w:val="nil"/>
              <w:left w:val="nil"/>
              <w:right w:val="nil"/>
            </w:tcBorders>
            <w:hideMark/>
          </w:tcPr>
          <w:p w14:paraId="0564BB62"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TH</w:t>
            </w:r>
          </w:p>
        </w:tc>
        <w:tc>
          <w:tcPr>
            <w:tcW w:w="0" w:type="auto"/>
            <w:tcBorders>
              <w:top w:val="nil"/>
              <w:left w:val="nil"/>
              <w:right w:val="nil"/>
            </w:tcBorders>
            <w:hideMark/>
          </w:tcPr>
          <w:p w14:paraId="0475578D"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16</w:t>
            </w:r>
          </w:p>
        </w:tc>
        <w:tc>
          <w:tcPr>
            <w:tcW w:w="0" w:type="auto"/>
            <w:tcBorders>
              <w:top w:val="nil"/>
              <w:left w:val="nil"/>
              <w:right w:val="nil"/>
            </w:tcBorders>
            <w:hideMark/>
          </w:tcPr>
          <w:p w14:paraId="24AC7180"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34</w:t>
            </w:r>
          </w:p>
        </w:tc>
        <w:tc>
          <w:tcPr>
            <w:tcW w:w="0" w:type="auto"/>
            <w:tcBorders>
              <w:top w:val="nil"/>
              <w:left w:val="nil"/>
              <w:right w:val="nil"/>
            </w:tcBorders>
            <w:hideMark/>
          </w:tcPr>
          <w:p w14:paraId="068AF499"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19.34</w:t>
            </w:r>
          </w:p>
        </w:tc>
        <w:tc>
          <w:tcPr>
            <w:tcW w:w="0" w:type="auto"/>
            <w:tcBorders>
              <w:top w:val="nil"/>
              <w:left w:val="nil"/>
              <w:right w:val="nil"/>
            </w:tcBorders>
            <w:hideMark/>
          </w:tcPr>
          <w:p w14:paraId="1BD654CC"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&lt;0.001</w:t>
            </w:r>
          </w:p>
        </w:tc>
      </w:tr>
    </w:tbl>
    <w:p w14:paraId="2B103446" w14:textId="77777777" w:rsidR="00A81659" w:rsidRDefault="00A81659" w:rsidP="00A81659">
      <w:pPr>
        <w:spacing w:after="120" w:line="240" w:lineRule="auto"/>
        <w:jc w:val="both"/>
        <w:rPr>
          <w:rFonts w:ascii="Times New Roman" w:hAnsi="Times New Roman" w:cs="Times New Roman"/>
        </w:rPr>
      </w:pPr>
    </w:p>
    <w:p w14:paraId="7019F3F9" w14:textId="38441645" w:rsidR="00F52F08" w:rsidRPr="00A81659" w:rsidRDefault="00F52F08" w:rsidP="00A81659">
      <w:pPr>
        <w:spacing w:after="120" w:line="240" w:lineRule="auto"/>
        <w:jc w:val="both"/>
        <w:rPr>
          <w:rFonts w:ascii="Times New Roman" w:hAnsi="Times New Roman" w:cs="Times New Roman"/>
        </w:rPr>
      </w:pPr>
      <w:r w:rsidRPr="00A81659">
        <w:rPr>
          <w:rFonts w:ascii="Times New Roman" w:hAnsi="Times New Roman" w:cs="Times New Roman"/>
        </w:rPr>
        <w:t xml:space="preserve">Table </w:t>
      </w:r>
      <w:r w:rsidR="00966FBC">
        <w:rPr>
          <w:rFonts w:ascii="Times New Roman" w:hAnsi="Times New Roman" w:cs="Times New Roman"/>
        </w:rPr>
        <w:t>4</w:t>
      </w:r>
      <w:r w:rsidRPr="00A81659">
        <w:rPr>
          <w:rFonts w:ascii="Times New Roman" w:hAnsi="Times New Roman" w:cs="Times New Roman"/>
        </w:rPr>
        <w:t>: One-Way ANOVA Summary for Heavy Metals</w:t>
      </w:r>
    </w:p>
    <w:tbl>
      <w:tblPr>
        <w:tblStyle w:val="TableGrid"/>
        <w:tblW w:w="0" w:type="auto"/>
        <w:tblLook w:val="04A0" w:firstRow="1" w:lastRow="0" w:firstColumn="1" w:lastColumn="0" w:noHBand="0" w:noVBand="1"/>
      </w:tblPr>
      <w:tblGrid>
        <w:gridCol w:w="1309"/>
        <w:gridCol w:w="1516"/>
        <w:gridCol w:w="1370"/>
        <w:gridCol w:w="990"/>
        <w:gridCol w:w="977"/>
      </w:tblGrid>
      <w:tr w:rsidR="00F52F08" w:rsidRPr="00A81659" w14:paraId="2D4D4AEF" w14:textId="77777777" w:rsidTr="00353EB2">
        <w:tc>
          <w:tcPr>
            <w:tcW w:w="0" w:type="auto"/>
            <w:tcBorders>
              <w:left w:val="nil"/>
              <w:bottom w:val="single" w:sz="4" w:space="0" w:color="auto"/>
              <w:right w:val="nil"/>
            </w:tcBorders>
            <w:hideMark/>
          </w:tcPr>
          <w:p w14:paraId="76C72F42" w14:textId="77777777" w:rsidR="00F52F08" w:rsidRPr="00A81659" w:rsidRDefault="00F52F08" w:rsidP="00A81659">
            <w:pPr>
              <w:spacing w:after="120"/>
              <w:jc w:val="both"/>
              <w:rPr>
                <w:rFonts w:ascii="Times New Roman" w:eastAsia="Times New Roman" w:hAnsi="Times New Roman" w:cs="Times New Roman"/>
                <w:b/>
                <w:bCs/>
                <w:kern w:val="0"/>
                <w14:ligatures w14:val="none"/>
              </w:rPr>
            </w:pPr>
            <w:r w:rsidRPr="00A81659">
              <w:rPr>
                <w:rFonts w:ascii="Times New Roman" w:eastAsia="Times New Roman" w:hAnsi="Times New Roman" w:cs="Times New Roman"/>
                <w:b/>
                <w:bCs/>
                <w:kern w:val="0"/>
                <w14:ligatures w14:val="none"/>
              </w:rPr>
              <w:t>Parameter</w:t>
            </w:r>
          </w:p>
        </w:tc>
        <w:tc>
          <w:tcPr>
            <w:tcW w:w="0" w:type="auto"/>
            <w:tcBorders>
              <w:left w:val="nil"/>
              <w:bottom w:val="single" w:sz="4" w:space="0" w:color="auto"/>
              <w:right w:val="nil"/>
            </w:tcBorders>
            <w:hideMark/>
          </w:tcPr>
          <w:p w14:paraId="526CF77A" w14:textId="77777777" w:rsidR="00F52F08" w:rsidRPr="00A81659" w:rsidRDefault="00F52F08" w:rsidP="00A81659">
            <w:pPr>
              <w:spacing w:after="120"/>
              <w:jc w:val="both"/>
              <w:rPr>
                <w:rFonts w:ascii="Times New Roman" w:eastAsia="Times New Roman" w:hAnsi="Times New Roman" w:cs="Times New Roman"/>
                <w:b/>
                <w:bCs/>
                <w:kern w:val="0"/>
                <w14:ligatures w14:val="none"/>
              </w:rPr>
            </w:pPr>
            <w:r w:rsidRPr="00A81659">
              <w:rPr>
                <w:rFonts w:ascii="Times New Roman" w:eastAsia="Times New Roman" w:hAnsi="Times New Roman" w:cs="Times New Roman"/>
                <w:b/>
                <w:bCs/>
                <w:kern w:val="0"/>
                <w14:ligatures w14:val="none"/>
              </w:rPr>
              <w:t>df (Between)</w:t>
            </w:r>
          </w:p>
        </w:tc>
        <w:tc>
          <w:tcPr>
            <w:tcW w:w="0" w:type="auto"/>
            <w:tcBorders>
              <w:left w:val="nil"/>
              <w:bottom w:val="single" w:sz="4" w:space="0" w:color="auto"/>
              <w:right w:val="nil"/>
            </w:tcBorders>
            <w:hideMark/>
          </w:tcPr>
          <w:p w14:paraId="395EF0F1" w14:textId="77777777" w:rsidR="00F52F08" w:rsidRPr="00A81659" w:rsidRDefault="00F52F08" w:rsidP="00A81659">
            <w:pPr>
              <w:spacing w:after="120"/>
              <w:jc w:val="both"/>
              <w:rPr>
                <w:rFonts w:ascii="Times New Roman" w:eastAsia="Times New Roman" w:hAnsi="Times New Roman" w:cs="Times New Roman"/>
                <w:b/>
                <w:bCs/>
                <w:kern w:val="0"/>
                <w14:ligatures w14:val="none"/>
              </w:rPr>
            </w:pPr>
            <w:r w:rsidRPr="00A81659">
              <w:rPr>
                <w:rFonts w:ascii="Times New Roman" w:eastAsia="Times New Roman" w:hAnsi="Times New Roman" w:cs="Times New Roman"/>
                <w:b/>
                <w:bCs/>
                <w:kern w:val="0"/>
                <w14:ligatures w14:val="none"/>
              </w:rPr>
              <w:t>df (Within)</w:t>
            </w:r>
          </w:p>
        </w:tc>
        <w:tc>
          <w:tcPr>
            <w:tcW w:w="0" w:type="auto"/>
            <w:tcBorders>
              <w:left w:val="nil"/>
              <w:bottom w:val="single" w:sz="4" w:space="0" w:color="auto"/>
              <w:right w:val="nil"/>
            </w:tcBorders>
            <w:hideMark/>
          </w:tcPr>
          <w:p w14:paraId="0A4E1D6E" w14:textId="77777777" w:rsidR="00F52F08" w:rsidRPr="00A81659" w:rsidRDefault="00F52F08" w:rsidP="00A81659">
            <w:pPr>
              <w:spacing w:after="120"/>
              <w:jc w:val="both"/>
              <w:rPr>
                <w:rFonts w:ascii="Times New Roman" w:eastAsia="Times New Roman" w:hAnsi="Times New Roman" w:cs="Times New Roman"/>
                <w:b/>
                <w:bCs/>
                <w:kern w:val="0"/>
                <w14:ligatures w14:val="none"/>
              </w:rPr>
            </w:pPr>
            <w:r w:rsidRPr="00A81659">
              <w:rPr>
                <w:rFonts w:ascii="Times New Roman" w:eastAsia="Times New Roman" w:hAnsi="Times New Roman" w:cs="Times New Roman"/>
                <w:b/>
                <w:bCs/>
                <w:kern w:val="0"/>
                <w14:ligatures w14:val="none"/>
              </w:rPr>
              <w:t>F-value</w:t>
            </w:r>
          </w:p>
        </w:tc>
        <w:tc>
          <w:tcPr>
            <w:tcW w:w="0" w:type="auto"/>
            <w:tcBorders>
              <w:left w:val="nil"/>
              <w:bottom w:val="single" w:sz="4" w:space="0" w:color="auto"/>
              <w:right w:val="nil"/>
            </w:tcBorders>
            <w:hideMark/>
          </w:tcPr>
          <w:p w14:paraId="71CBAA33" w14:textId="77777777" w:rsidR="00F52F08" w:rsidRPr="00A81659" w:rsidRDefault="00F52F08" w:rsidP="00A81659">
            <w:pPr>
              <w:spacing w:after="120"/>
              <w:jc w:val="both"/>
              <w:rPr>
                <w:rFonts w:ascii="Times New Roman" w:eastAsia="Times New Roman" w:hAnsi="Times New Roman" w:cs="Times New Roman"/>
                <w:b/>
                <w:bCs/>
                <w:kern w:val="0"/>
                <w14:ligatures w14:val="none"/>
              </w:rPr>
            </w:pPr>
            <w:r w:rsidRPr="00A81659">
              <w:rPr>
                <w:rFonts w:ascii="Times New Roman" w:eastAsia="Times New Roman" w:hAnsi="Times New Roman" w:cs="Times New Roman"/>
                <w:b/>
                <w:bCs/>
                <w:kern w:val="0"/>
                <w14:ligatures w14:val="none"/>
              </w:rPr>
              <w:t>p-value</w:t>
            </w:r>
          </w:p>
        </w:tc>
      </w:tr>
      <w:tr w:rsidR="00F52F08" w:rsidRPr="00A81659" w14:paraId="7FEE8733" w14:textId="77777777" w:rsidTr="00353EB2">
        <w:tc>
          <w:tcPr>
            <w:tcW w:w="0" w:type="auto"/>
            <w:tcBorders>
              <w:left w:val="nil"/>
              <w:bottom w:val="nil"/>
              <w:right w:val="nil"/>
            </w:tcBorders>
            <w:hideMark/>
          </w:tcPr>
          <w:p w14:paraId="09407597"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Ca</w:t>
            </w:r>
          </w:p>
        </w:tc>
        <w:tc>
          <w:tcPr>
            <w:tcW w:w="0" w:type="auto"/>
            <w:tcBorders>
              <w:left w:val="nil"/>
              <w:bottom w:val="nil"/>
              <w:right w:val="nil"/>
            </w:tcBorders>
            <w:hideMark/>
          </w:tcPr>
          <w:p w14:paraId="08EBCF44"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16</w:t>
            </w:r>
          </w:p>
        </w:tc>
        <w:tc>
          <w:tcPr>
            <w:tcW w:w="0" w:type="auto"/>
            <w:tcBorders>
              <w:left w:val="nil"/>
              <w:bottom w:val="nil"/>
              <w:right w:val="nil"/>
            </w:tcBorders>
            <w:hideMark/>
          </w:tcPr>
          <w:p w14:paraId="597B1A06"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34</w:t>
            </w:r>
          </w:p>
        </w:tc>
        <w:tc>
          <w:tcPr>
            <w:tcW w:w="0" w:type="auto"/>
            <w:tcBorders>
              <w:left w:val="nil"/>
              <w:bottom w:val="nil"/>
              <w:right w:val="nil"/>
            </w:tcBorders>
            <w:hideMark/>
          </w:tcPr>
          <w:p w14:paraId="62A24C77"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24.91</w:t>
            </w:r>
          </w:p>
        </w:tc>
        <w:tc>
          <w:tcPr>
            <w:tcW w:w="0" w:type="auto"/>
            <w:tcBorders>
              <w:left w:val="nil"/>
              <w:bottom w:val="nil"/>
              <w:right w:val="nil"/>
            </w:tcBorders>
            <w:hideMark/>
          </w:tcPr>
          <w:p w14:paraId="075C6DD7"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&lt;0.001</w:t>
            </w:r>
          </w:p>
        </w:tc>
      </w:tr>
      <w:tr w:rsidR="00F52F08" w:rsidRPr="00A81659" w14:paraId="710377C5" w14:textId="77777777" w:rsidTr="00353EB2">
        <w:tc>
          <w:tcPr>
            <w:tcW w:w="0" w:type="auto"/>
            <w:tcBorders>
              <w:top w:val="nil"/>
              <w:left w:val="nil"/>
              <w:bottom w:val="nil"/>
              <w:right w:val="nil"/>
            </w:tcBorders>
            <w:hideMark/>
          </w:tcPr>
          <w:p w14:paraId="7CC5B545"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Mg</w:t>
            </w:r>
          </w:p>
        </w:tc>
        <w:tc>
          <w:tcPr>
            <w:tcW w:w="0" w:type="auto"/>
            <w:tcBorders>
              <w:top w:val="nil"/>
              <w:left w:val="nil"/>
              <w:bottom w:val="nil"/>
              <w:right w:val="nil"/>
            </w:tcBorders>
            <w:hideMark/>
          </w:tcPr>
          <w:p w14:paraId="47C8211C"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16</w:t>
            </w:r>
          </w:p>
        </w:tc>
        <w:tc>
          <w:tcPr>
            <w:tcW w:w="0" w:type="auto"/>
            <w:tcBorders>
              <w:top w:val="nil"/>
              <w:left w:val="nil"/>
              <w:bottom w:val="nil"/>
              <w:right w:val="nil"/>
            </w:tcBorders>
            <w:hideMark/>
          </w:tcPr>
          <w:p w14:paraId="63AB118D"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34</w:t>
            </w:r>
          </w:p>
        </w:tc>
        <w:tc>
          <w:tcPr>
            <w:tcW w:w="0" w:type="auto"/>
            <w:tcBorders>
              <w:top w:val="nil"/>
              <w:left w:val="nil"/>
              <w:bottom w:val="nil"/>
              <w:right w:val="nil"/>
            </w:tcBorders>
            <w:hideMark/>
          </w:tcPr>
          <w:p w14:paraId="34CD3B05"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21.47</w:t>
            </w:r>
          </w:p>
        </w:tc>
        <w:tc>
          <w:tcPr>
            <w:tcW w:w="0" w:type="auto"/>
            <w:tcBorders>
              <w:top w:val="nil"/>
              <w:left w:val="nil"/>
              <w:bottom w:val="nil"/>
              <w:right w:val="nil"/>
            </w:tcBorders>
            <w:hideMark/>
          </w:tcPr>
          <w:p w14:paraId="405DFEC4"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&lt;0.001</w:t>
            </w:r>
          </w:p>
        </w:tc>
      </w:tr>
      <w:tr w:rsidR="00F52F08" w:rsidRPr="00A81659" w14:paraId="34DE68B5" w14:textId="77777777" w:rsidTr="00353EB2">
        <w:tc>
          <w:tcPr>
            <w:tcW w:w="0" w:type="auto"/>
            <w:tcBorders>
              <w:top w:val="nil"/>
              <w:left w:val="nil"/>
              <w:bottom w:val="nil"/>
              <w:right w:val="nil"/>
            </w:tcBorders>
            <w:hideMark/>
          </w:tcPr>
          <w:p w14:paraId="2D16C737"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lastRenderedPageBreak/>
              <w:t>Na</w:t>
            </w:r>
          </w:p>
        </w:tc>
        <w:tc>
          <w:tcPr>
            <w:tcW w:w="0" w:type="auto"/>
            <w:tcBorders>
              <w:top w:val="nil"/>
              <w:left w:val="nil"/>
              <w:bottom w:val="nil"/>
              <w:right w:val="nil"/>
            </w:tcBorders>
            <w:hideMark/>
          </w:tcPr>
          <w:p w14:paraId="5DE54C31"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16</w:t>
            </w:r>
          </w:p>
        </w:tc>
        <w:tc>
          <w:tcPr>
            <w:tcW w:w="0" w:type="auto"/>
            <w:tcBorders>
              <w:top w:val="nil"/>
              <w:left w:val="nil"/>
              <w:bottom w:val="nil"/>
              <w:right w:val="nil"/>
            </w:tcBorders>
            <w:hideMark/>
          </w:tcPr>
          <w:p w14:paraId="40A8CB05"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34</w:t>
            </w:r>
          </w:p>
        </w:tc>
        <w:tc>
          <w:tcPr>
            <w:tcW w:w="0" w:type="auto"/>
            <w:tcBorders>
              <w:top w:val="nil"/>
              <w:left w:val="nil"/>
              <w:bottom w:val="nil"/>
              <w:right w:val="nil"/>
            </w:tcBorders>
            <w:hideMark/>
          </w:tcPr>
          <w:p w14:paraId="268142C7"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46.32</w:t>
            </w:r>
          </w:p>
        </w:tc>
        <w:tc>
          <w:tcPr>
            <w:tcW w:w="0" w:type="auto"/>
            <w:tcBorders>
              <w:top w:val="nil"/>
              <w:left w:val="nil"/>
              <w:bottom w:val="nil"/>
              <w:right w:val="nil"/>
            </w:tcBorders>
            <w:hideMark/>
          </w:tcPr>
          <w:p w14:paraId="47EB9C77"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&lt;0.001</w:t>
            </w:r>
          </w:p>
        </w:tc>
      </w:tr>
      <w:tr w:rsidR="00F52F08" w:rsidRPr="00A81659" w14:paraId="28A3291E" w14:textId="77777777" w:rsidTr="00353EB2">
        <w:tc>
          <w:tcPr>
            <w:tcW w:w="0" w:type="auto"/>
            <w:tcBorders>
              <w:top w:val="nil"/>
              <w:left w:val="nil"/>
              <w:bottom w:val="nil"/>
              <w:right w:val="nil"/>
            </w:tcBorders>
            <w:hideMark/>
          </w:tcPr>
          <w:p w14:paraId="5363BBAC"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Fe</w:t>
            </w:r>
          </w:p>
        </w:tc>
        <w:tc>
          <w:tcPr>
            <w:tcW w:w="0" w:type="auto"/>
            <w:tcBorders>
              <w:top w:val="nil"/>
              <w:left w:val="nil"/>
              <w:bottom w:val="nil"/>
              <w:right w:val="nil"/>
            </w:tcBorders>
            <w:hideMark/>
          </w:tcPr>
          <w:p w14:paraId="3423A01C"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16</w:t>
            </w:r>
          </w:p>
        </w:tc>
        <w:tc>
          <w:tcPr>
            <w:tcW w:w="0" w:type="auto"/>
            <w:tcBorders>
              <w:top w:val="nil"/>
              <w:left w:val="nil"/>
              <w:bottom w:val="nil"/>
              <w:right w:val="nil"/>
            </w:tcBorders>
            <w:hideMark/>
          </w:tcPr>
          <w:p w14:paraId="55C217DB"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34</w:t>
            </w:r>
          </w:p>
        </w:tc>
        <w:tc>
          <w:tcPr>
            <w:tcW w:w="0" w:type="auto"/>
            <w:tcBorders>
              <w:top w:val="nil"/>
              <w:left w:val="nil"/>
              <w:bottom w:val="nil"/>
              <w:right w:val="nil"/>
            </w:tcBorders>
            <w:hideMark/>
          </w:tcPr>
          <w:p w14:paraId="121A038E"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15.26</w:t>
            </w:r>
          </w:p>
        </w:tc>
        <w:tc>
          <w:tcPr>
            <w:tcW w:w="0" w:type="auto"/>
            <w:tcBorders>
              <w:top w:val="nil"/>
              <w:left w:val="nil"/>
              <w:bottom w:val="nil"/>
              <w:right w:val="nil"/>
            </w:tcBorders>
            <w:hideMark/>
          </w:tcPr>
          <w:p w14:paraId="0B070DA5"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&lt;0.001</w:t>
            </w:r>
          </w:p>
        </w:tc>
      </w:tr>
      <w:tr w:rsidR="00F52F08" w:rsidRPr="00A81659" w14:paraId="3B7ABE68" w14:textId="77777777" w:rsidTr="00353EB2">
        <w:tc>
          <w:tcPr>
            <w:tcW w:w="0" w:type="auto"/>
            <w:tcBorders>
              <w:top w:val="nil"/>
              <w:left w:val="nil"/>
              <w:right w:val="nil"/>
            </w:tcBorders>
            <w:hideMark/>
          </w:tcPr>
          <w:p w14:paraId="166D23E4"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Mn</w:t>
            </w:r>
          </w:p>
        </w:tc>
        <w:tc>
          <w:tcPr>
            <w:tcW w:w="0" w:type="auto"/>
            <w:tcBorders>
              <w:top w:val="nil"/>
              <w:left w:val="nil"/>
              <w:right w:val="nil"/>
            </w:tcBorders>
            <w:hideMark/>
          </w:tcPr>
          <w:p w14:paraId="740699F2"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16</w:t>
            </w:r>
          </w:p>
        </w:tc>
        <w:tc>
          <w:tcPr>
            <w:tcW w:w="0" w:type="auto"/>
            <w:tcBorders>
              <w:top w:val="nil"/>
              <w:left w:val="nil"/>
              <w:right w:val="nil"/>
            </w:tcBorders>
            <w:hideMark/>
          </w:tcPr>
          <w:p w14:paraId="3C4CDAFD"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34</w:t>
            </w:r>
          </w:p>
        </w:tc>
        <w:tc>
          <w:tcPr>
            <w:tcW w:w="0" w:type="auto"/>
            <w:tcBorders>
              <w:top w:val="nil"/>
              <w:left w:val="nil"/>
              <w:right w:val="nil"/>
            </w:tcBorders>
            <w:hideMark/>
          </w:tcPr>
          <w:p w14:paraId="6B7A0256"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8.94</w:t>
            </w:r>
          </w:p>
        </w:tc>
        <w:tc>
          <w:tcPr>
            <w:tcW w:w="0" w:type="auto"/>
            <w:tcBorders>
              <w:top w:val="nil"/>
              <w:left w:val="nil"/>
              <w:right w:val="nil"/>
            </w:tcBorders>
            <w:hideMark/>
          </w:tcPr>
          <w:p w14:paraId="42B882B2" w14:textId="77777777" w:rsidR="00F52F08" w:rsidRPr="00A81659" w:rsidRDefault="00F52F08" w:rsidP="00A81659">
            <w:pPr>
              <w:jc w:val="both"/>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&lt;0.001</w:t>
            </w:r>
          </w:p>
        </w:tc>
      </w:tr>
    </w:tbl>
    <w:p w14:paraId="133C1688" w14:textId="77777777" w:rsidR="00A81659" w:rsidRDefault="00A81659" w:rsidP="00A81659">
      <w:pPr>
        <w:spacing w:after="120" w:line="240" w:lineRule="auto"/>
        <w:jc w:val="both"/>
        <w:rPr>
          <w:rFonts w:ascii="Times New Roman" w:eastAsia="Times New Roman" w:hAnsi="Times New Roman" w:cs="Times New Roman"/>
          <w:b/>
          <w:bCs/>
          <w:kern w:val="36"/>
          <w14:ligatures w14:val="none"/>
        </w:rPr>
      </w:pPr>
    </w:p>
    <w:p w14:paraId="2EF21699" w14:textId="7EDA2EA3" w:rsidR="00D37DE0" w:rsidRPr="00A81659" w:rsidRDefault="00D37DE0" w:rsidP="00A81659">
      <w:pPr>
        <w:spacing w:after="120" w:line="240" w:lineRule="auto"/>
        <w:jc w:val="both"/>
        <w:rPr>
          <w:rFonts w:ascii="Times New Roman" w:eastAsia="Times New Roman" w:hAnsi="Times New Roman" w:cs="Times New Roman"/>
          <w:b/>
          <w:bCs/>
          <w:kern w:val="0"/>
          <w14:ligatures w14:val="none"/>
        </w:rPr>
      </w:pPr>
      <w:r w:rsidRPr="00A81659">
        <w:rPr>
          <w:rFonts w:ascii="Times New Roman" w:eastAsia="Times New Roman" w:hAnsi="Times New Roman" w:cs="Times New Roman"/>
          <w:b/>
          <w:bCs/>
          <w:kern w:val="36"/>
          <w14:ligatures w14:val="none"/>
        </w:rPr>
        <w:t xml:space="preserve">Piper Trilinear Diagram and </w:t>
      </w:r>
      <w:proofErr w:type="spellStart"/>
      <w:r w:rsidRPr="00A81659">
        <w:rPr>
          <w:rFonts w:ascii="Times New Roman" w:eastAsia="Times New Roman" w:hAnsi="Times New Roman" w:cs="Times New Roman"/>
          <w:b/>
          <w:bCs/>
          <w:kern w:val="36"/>
          <w14:ligatures w14:val="none"/>
        </w:rPr>
        <w:t>Hydrochemical</w:t>
      </w:r>
      <w:proofErr w:type="spellEnd"/>
      <w:r w:rsidRPr="00A81659">
        <w:rPr>
          <w:rFonts w:ascii="Times New Roman" w:eastAsia="Times New Roman" w:hAnsi="Times New Roman" w:cs="Times New Roman"/>
          <w:b/>
          <w:bCs/>
          <w:kern w:val="36"/>
          <w14:ligatures w14:val="none"/>
        </w:rPr>
        <w:t xml:space="preserve"> Facies</w:t>
      </w:r>
    </w:p>
    <w:p w14:paraId="5F856750" w14:textId="2C9146A1" w:rsidR="005B4A07" w:rsidRPr="00A81659" w:rsidRDefault="00D37DE0" w:rsidP="00A81659">
      <w:pPr>
        <w:spacing w:after="120" w:line="240" w:lineRule="auto"/>
        <w:jc w:val="both"/>
        <w:rPr>
          <w:rFonts w:ascii="Times New Roman" w:hAnsi="Times New Roman" w:cs="Times New Roman"/>
          <w:b/>
          <w:bCs/>
        </w:rPr>
      </w:pPr>
      <w:r w:rsidRPr="00A81659">
        <w:rPr>
          <w:rFonts w:ascii="Times New Roman" w:hAnsi="Times New Roman" w:cs="Times New Roman"/>
        </w:rPr>
        <w:t xml:space="preserve">Piper trilinear diagram showing the </w:t>
      </w:r>
      <w:proofErr w:type="spellStart"/>
      <w:r w:rsidRPr="00A81659">
        <w:rPr>
          <w:rFonts w:ascii="Times New Roman" w:hAnsi="Times New Roman" w:cs="Times New Roman"/>
        </w:rPr>
        <w:t>hydrochemical</w:t>
      </w:r>
      <w:proofErr w:type="spellEnd"/>
      <w:r w:rsidRPr="00A81659">
        <w:rPr>
          <w:rFonts w:ascii="Times New Roman" w:hAnsi="Times New Roman" w:cs="Times New Roman"/>
        </w:rPr>
        <w:t xml:space="preserve"> facies of groundwater samples from </w:t>
      </w:r>
      <w:proofErr w:type="spellStart"/>
      <w:r w:rsidR="009C45F6">
        <w:rPr>
          <w:rFonts w:ascii="Times New Roman" w:hAnsi="Times New Roman" w:cs="Times New Roman"/>
        </w:rPr>
        <w:t>kolokuma</w:t>
      </w:r>
      <w:proofErr w:type="spellEnd"/>
      <w:r w:rsidR="009C45F6">
        <w:rPr>
          <w:rFonts w:ascii="Times New Roman" w:hAnsi="Times New Roman" w:cs="Times New Roman"/>
        </w:rPr>
        <w:t xml:space="preserve"> </w:t>
      </w:r>
      <w:proofErr w:type="spellStart"/>
      <w:r w:rsidRPr="00A81659">
        <w:rPr>
          <w:rFonts w:ascii="Times New Roman" w:hAnsi="Times New Roman" w:cs="Times New Roman"/>
        </w:rPr>
        <w:t>Opokuma</w:t>
      </w:r>
      <w:proofErr w:type="spellEnd"/>
      <w:r w:rsidRPr="00A81659">
        <w:rPr>
          <w:rFonts w:ascii="Times New Roman" w:hAnsi="Times New Roman" w:cs="Times New Roman"/>
        </w:rPr>
        <w:t xml:space="preserve"> Local Government Area, Bayelsa State</w:t>
      </w:r>
      <w:r w:rsidR="00A40926">
        <w:rPr>
          <w:rFonts w:ascii="Times New Roman" w:hAnsi="Times New Roman" w:cs="Times New Roman"/>
        </w:rPr>
        <w:t xml:space="preserve"> is presented in figure 1</w:t>
      </w:r>
      <w:r w:rsidRPr="00A81659">
        <w:rPr>
          <w:rFonts w:ascii="Times New Roman" w:hAnsi="Times New Roman" w:cs="Times New Roman"/>
        </w:rPr>
        <w:t xml:space="preserve">. The plot indicates dominance of alkaline earth metals (Ca²⁺ + Mg²⁺) over alkali metals (Na⁺ + K⁺) and strong acid anions (SO₄²⁻ + Cl⁻) over weak acid anions (HCO₃⁻ + CO₃²⁻), classifying the groundwater predominantly as </w:t>
      </w:r>
      <w:r w:rsidRPr="00A81659">
        <w:rPr>
          <w:rStyle w:val="Strong"/>
          <w:rFonts w:ascii="Times New Roman" w:hAnsi="Times New Roman" w:cs="Times New Roman"/>
          <w:b w:val="0"/>
          <w:bCs w:val="0"/>
        </w:rPr>
        <w:t>Ca–SO₄ type</w:t>
      </w:r>
      <w:r w:rsidR="0086442B" w:rsidRPr="00A81659">
        <w:rPr>
          <w:rFonts w:ascii="Times New Roman" w:hAnsi="Times New Roman" w:cs="Times New Roman"/>
          <w:b/>
          <w:bCs/>
        </w:rPr>
        <w:t xml:space="preserve">. </w:t>
      </w:r>
      <w:r w:rsidR="005B4A07" w:rsidRPr="005B4A07">
        <w:rPr>
          <w:rFonts w:ascii="Times New Roman" w:eastAsia="Times New Roman" w:hAnsi="Times New Roman" w:cs="Times New Roman"/>
          <w:kern w:val="0"/>
          <w14:ligatures w14:val="none"/>
        </w:rPr>
        <w:t xml:space="preserve">The Piper trilinear diagram shows that all groundwater samples cluster within the Ca–SO₄ </w:t>
      </w:r>
      <w:proofErr w:type="spellStart"/>
      <w:r w:rsidR="005B4A07" w:rsidRPr="005B4A07">
        <w:rPr>
          <w:rFonts w:ascii="Times New Roman" w:eastAsia="Times New Roman" w:hAnsi="Times New Roman" w:cs="Times New Roman"/>
          <w:kern w:val="0"/>
          <w14:ligatures w14:val="none"/>
        </w:rPr>
        <w:t>hydrochemical</w:t>
      </w:r>
      <w:proofErr w:type="spellEnd"/>
      <w:r w:rsidR="005B4A07" w:rsidRPr="005B4A07">
        <w:rPr>
          <w:rFonts w:ascii="Times New Roman" w:eastAsia="Times New Roman" w:hAnsi="Times New Roman" w:cs="Times New Roman"/>
          <w:kern w:val="0"/>
          <w14:ligatures w14:val="none"/>
        </w:rPr>
        <w:t xml:space="preserve"> facies. This indicates dominance of calcium and sulphate ions, confirming that groundwater chemistry is controlled mainly by geogenic processes, particularly mineral dissolution, with minimal influence from saline intrusion or anthropogenic contamination.</w:t>
      </w:r>
    </w:p>
    <w:p w14:paraId="76505B17" w14:textId="1A63033B" w:rsidR="001A79CF" w:rsidRPr="00A81659" w:rsidRDefault="001A79CF" w:rsidP="00A81659">
      <w:pPr>
        <w:spacing w:after="120" w:line="240" w:lineRule="auto"/>
        <w:jc w:val="both"/>
        <w:rPr>
          <w:rFonts w:ascii="Times New Roman" w:eastAsia="Times New Roman" w:hAnsi="Times New Roman" w:cs="Times New Roman"/>
          <w:b/>
          <w:bCs/>
          <w:kern w:val="0"/>
          <w14:ligatures w14:val="none"/>
        </w:rPr>
      </w:pPr>
      <w:r w:rsidRPr="00A81659">
        <w:rPr>
          <w:rFonts w:ascii="Times New Roman" w:eastAsia="Times New Roman" w:hAnsi="Times New Roman" w:cs="Times New Roman"/>
          <w:b/>
          <w:bCs/>
          <w:noProof/>
          <w:kern w:val="0"/>
          <w14:ligatures w14:val="none"/>
        </w:rPr>
        <w:drawing>
          <wp:inline distT="0" distB="0" distL="0" distR="0" wp14:anchorId="255F1366" wp14:editId="74670E11">
            <wp:extent cx="4675964" cy="3567164"/>
            <wp:effectExtent l="0" t="0" r="0" b="0"/>
            <wp:docPr id="428419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10894" t="938" r="11872" b="-938"/>
                    <a:stretch>
                      <a:fillRect/>
                    </a:stretch>
                  </pic:blipFill>
                  <pic:spPr bwMode="auto">
                    <a:xfrm>
                      <a:off x="0" y="0"/>
                      <a:ext cx="4695505" cy="3582072"/>
                    </a:xfrm>
                    <a:prstGeom prst="rect">
                      <a:avLst/>
                    </a:prstGeom>
                    <a:noFill/>
                    <a:ln>
                      <a:noFill/>
                    </a:ln>
                    <a:extLst>
                      <a:ext uri="{53640926-AAD7-44D8-BBD7-CCE9431645EC}">
                        <a14:shadowObscured xmlns:a14="http://schemas.microsoft.com/office/drawing/2010/main"/>
                      </a:ext>
                    </a:extLst>
                  </pic:spPr>
                </pic:pic>
              </a:graphicData>
            </a:graphic>
          </wp:inline>
        </w:drawing>
      </w:r>
    </w:p>
    <w:p w14:paraId="629ED64F" w14:textId="47ED1C4E" w:rsidR="00F52F08" w:rsidRPr="00A81659" w:rsidRDefault="00D37DE0" w:rsidP="00A81659">
      <w:pPr>
        <w:spacing w:after="120" w:line="240" w:lineRule="auto"/>
        <w:jc w:val="both"/>
        <w:rPr>
          <w:rFonts w:ascii="Times New Roman" w:hAnsi="Times New Roman" w:cs="Times New Roman"/>
        </w:rPr>
      </w:pPr>
      <w:r w:rsidRPr="00A81659">
        <w:rPr>
          <w:rStyle w:val="Strong"/>
          <w:rFonts w:ascii="Times New Roman" w:hAnsi="Times New Roman" w:cs="Times New Roman"/>
        </w:rPr>
        <w:t>Figure 1:</w:t>
      </w:r>
      <w:r w:rsidRPr="00A81659">
        <w:rPr>
          <w:rFonts w:ascii="Times New Roman" w:hAnsi="Times New Roman" w:cs="Times New Roman"/>
        </w:rPr>
        <w:t xml:space="preserve"> Piper trilinear diagram for the </w:t>
      </w:r>
      <w:proofErr w:type="spellStart"/>
      <w:r w:rsidRPr="00A81659">
        <w:rPr>
          <w:rFonts w:ascii="Times New Roman" w:hAnsi="Times New Roman" w:cs="Times New Roman"/>
        </w:rPr>
        <w:t>hydrochemical</w:t>
      </w:r>
      <w:proofErr w:type="spellEnd"/>
      <w:r w:rsidRPr="00A81659">
        <w:rPr>
          <w:rFonts w:ascii="Times New Roman" w:hAnsi="Times New Roman" w:cs="Times New Roman"/>
        </w:rPr>
        <w:t xml:space="preserve"> facies groundwater samples from </w:t>
      </w:r>
      <w:proofErr w:type="spellStart"/>
      <w:r w:rsidRPr="00A81659">
        <w:rPr>
          <w:rFonts w:ascii="Times New Roman" w:hAnsi="Times New Roman" w:cs="Times New Roman"/>
        </w:rPr>
        <w:t>Opokuma</w:t>
      </w:r>
      <w:proofErr w:type="spellEnd"/>
      <w:r w:rsidRPr="00A81659">
        <w:rPr>
          <w:rFonts w:ascii="Times New Roman" w:hAnsi="Times New Roman" w:cs="Times New Roman"/>
        </w:rPr>
        <w:t xml:space="preserve"> Local Government Area, Bayelsa State. </w:t>
      </w:r>
    </w:p>
    <w:p w14:paraId="79E0CBEE" w14:textId="7215C6B5" w:rsidR="008D280F" w:rsidRPr="00A81659" w:rsidRDefault="00F036B4" w:rsidP="00A81659">
      <w:pPr>
        <w:spacing w:after="120" w:line="240" w:lineRule="auto"/>
        <w:jc w:val="both"/>
        <w:rPr>
          <w:rFonts w:ascii="Times New Roman" w:hAnsi="Times New Roman" w:cs="Times New Roman"/>
        </w:rPr>
      </w:pPr>
      <w:r w:rsidRPr="00A81659">
        <w:rPr>
          <w:rFonts w:ascii="Times New Roman" w:hAnsi="Times New Roman" w:cs="Times New Roman"/>
        </w:rPr>
        <w:t xml:space="preserve">Table </w:t>
      </w:r>
      <w:r w:rsidR="00A352B3">
        <w:rPr>
          <w:rFonts w:ascii="Times New Roman" w:hAnsi="Times New Roman" w:cs="Times New Roman"/>
        </w:rPr>
        <w:t>5</w:t>
      </w:r>
      <w:r w:rsidRPr="00A81659">
        <w:rPr>
          <w:rFonts w:ascii="Times New Roman" w:hAnsi="Times New Roman" w:cs="Times New Roman"/>
        </w:rPr>
        <w:t xml:space="preserve">: Characteristics of groundwater in </w:t>
      </w:r>
      <w:proofErr w:type="spellStart"/>
      <w:r w:rsidRPr="00A81659">
        <w:rPr>
          <w:rFonts w:ascii="Times New Roman" w:hAnsi="Times New Roman" w:cs="Times New Roman"/>
        </w:rPr>
        <w:t>Amassoma</w:t>
      </w:r>
      <w:proofErr w:type="spellEnd"/>
      <w:r w:rsidRPr="00A81659">
        <w:rPr>
          <w:rFonts w:ascii="Times New Roman" w:hAnsi="Times New Roman" w:cs="Times New Roman"/>
        </w:rPr>
        <w:t xml:space="preserve"> based on Piper plot analysis</w:t>
      </w:r>
    </w:p>
    <w:tbl>
      <w:tblPr>
        <w:tblStyle w:val="TableGrid"/>
        <w:tblW w:w="0" w:type="auto"/>
        <w:tblLook w:val="04A0" w:firstRow="1" w:lastRow="0" w:firstColumn="1" w:lastColumn="0" w:noHBand="0" w:noVBand="1"/>
      </w:tblPr>
      <w:tblGrid>
        <w:gridCol w:w="2563"/>
        <w:gridCol w:w="2373"/>
        <w:gridCol w:w="4424"/>
      </w:tblGrid>
      <w:tr w:rsidR="00F036B4" w:rsidRPr="00A81659" w14:paraId="41E093DA" w14:textId="77777777" w:rsidTr="00F036B4">
        <w:tc>
          <w:tcPr>
            <w:tcW w:w="0" w:type="auto"/>
            <w:tcBorders>
              <w:left w:val="nil"/>
              <w:bottom w:val="single" w:sz="4" w:space="0" w:color="auto"/>
              <w:right w:val="nil"/>
            </w:tcBorders>
            <w:hideMark/>
          </w:tcPr>
          <w:p w14:paraId="680B398B" w14:textId="77777777" w:rsidR="00F036B4" w:rsidRPr="00A81659" w:rsidRDefault="00F036B4" w:rsidP="00A81659">
            <w:pPr>
              <w:spacing w:after="120"/>
              <w:jc w:val="center"/>
              <w:rPr>
                <w:rFonts w:ascii="Times New Roman" w:eastAsia="Times New Roman" w:hAnsi="Times New Roman" w:cs="Times New Roman"/>
                <w:b/>
                <w:bCs/>
                <w:kern w:val="0"/>
                <w14:ligatures w14:val="none"/>
              </w:rPr>
            </w:pPr>
            <w:r w:rsidRPr="00A81659">
              <w:rPr>
                <w:rFonts w:ascii="Times New Roman" w:eastAsia="Times New Roman" w:hAnsi="Times New Roman" w:cs="Times New Roman"/>
                <w:b/>
                <w:bCs/>
                <w:kern w:val="0"/>
                <w14:ligatures w14:val="none"/>
              </w:rPr>
              <w:t>Parameter</w:t>
            </w:r>
          </w:p>
        </w:tc>
        <w:tc>
          <w:tcPr>
            <w:tcW w:w="0" w:type="auto"/>
            <w:tcBorders>
              <w:left w:val="nil"/>
              <w:bottom w:val="single" w:sz="4" w:space="0" w:color="auto"/>
              <w:right w:val="nil"/>
            </w:tcBorders>
            <w:hideMark/>
          </w:tcPr>
          <w:p w14:paraId="11AB6882" w14:textId="77777777" w:rsidR="00F036B4" w:rsidRPr="00A81659" w:rsidRDefault="00F036B4" w:rsidP="00A81659">
            <w:pPr>
              <w:spacing w:after="120"/>
              <w:jc w:val="center"/>
              <w:rPr>
                <w:rFonts w:ascii="Times New Roman" w:eastAsia="Times New Roman" w:hAnsi="Times New Roman" w:cs="Times New Roman"/>
                <w:b/>
                <w:bCs/>
                <w:kern w:val="0"/>
                <w14:ligatures w14:val="none"/>
              </w:rPr>
            </w:pPr>
            <w:r w:rsidRPr="00A81659">
              <w:rPr>
                <w:rFonts w:ascii="Times New Roman" w:eastAsia="Times New Roman" w:hAnsi="Times New Roman" w:cs="Times New Roman"/>
                <w:b/>
                <w:bCs/>
                <w:kern w:val="0"/>
                <w14:ligatures w14:val="none"/>
              </w:rPr>
              <w:t>Piper plot interpretation</w:t>
            </w:r>
          </w:p>
        </w:tc>
        <w:tc>
          <w:tcPr>
            <w:tcW w:w="0" w:type="auto"/>
            <w:tcBorders>
              <w:left w:val="nil"/>
              <w:bottom w:val="single" w:sz="4" w:space="0" w:color="auto"/>
              <w:right w:val="nil"/>
            </w:tcBorders>
            <w:hideMark/>
          </w:tcPr>
          <w:p w14:paraId="77D502FD" w14:textId="77777777" w:rsidR="00F036B4" w:rsidRPr="00A81659" w:rsidRDefault="00F036B4" w:rsidP="00A81659">
            <w:pPr>
              <w:spacing w:after="120"/>
              <w:jc w:val="center"/>
              <w:rPr>
                <w:rFonts w:ascii="Times New Roman" w:eastAsia="Times New Roman" w:hAnsi="Times New Roman" w:cs="Times New Roman"/>
                <w:b/>
                <w:bCs/>
                <w:kern w:val="0"/>
                <w14:ligatures w14:val="none"/>
              </w:rPr>
            </w:pPr>
            <w:r w:rsidRPr="00A81659">
              <w:rPr>
                <w:rFonts w:ascii="Times New Roman" w:eastAsia="Times New Roman" w:hAnsi="Times New Roman" w:cs="Times New Roman"/>
                <w:b/>
                <w:bCs/>
                <w:kern w:val="0"/>
                <w14:ligatures w14:val="none"/>
              </w:rPr>
              <w:t>Implication for groundwater</w:t>
            </w:r>
          </w:p>
        </w:tc>
      </w:tr>
      <w:tr w:rsidR="00F036B4" w:rsidRPr="00A81659" w14:paraId="7D2406C7" w14:textId="77777777" w:rsidTr="00F036B4">
        <w:tc>
          <w:tcPr>
            <w:tcW w:w="0" w:type="auto"/>
            <w:tcBorders>
              <w:left w:val="nil"/>
              <w:bottom w:val="nil"/>
              <w:right w:val="nil"/>
            </w:tcBorders>
            <w:hideMark/>
          </w:tcPr>
          <w:p w14:paraId="5F94FA6B"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Dominant cations</w:t>
            </w:r>
          </w:p>
        </w:tc>
        <w:tc>
          <w:tcPr>
            <w:tcW w:w="0" w:type="auto"/>
            <w:tcBorders>
              <w:left w:val="nil"/>
              <w:bottom w:val="nil"/>
              <w:right w:val="nil"/>
            </w:tcBorders>
            <w:hideMark/>
          </w:tcPr>
          <w:p w14:paraId="7157CE1C"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Ca²⁺ &gt; Mg²⁺ &gt; Na⁺ + K⁺</w:t>
            </w:r>
          </w:p>
        </w:tc>
        <w:tc>
          <w:tcPr>
            <w:tcW w:w="0" w:type="auto"/>
            <w:tcBorders>
              <w:left w:val="nil"/>
              <w:bottom w:val="nil"/>
              <w:right w:val="nil"/>
            </w:tcBorders>
            <w:hideMark/>
          </w:tcPr>
          <w:p w14:paraId="508AEFF2"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Alkaline earth metals dominate groundwater chemistry</w:t>
            </w:r>
          </w:p>
        </w:tc>
      </w:tr>
      <w:tr w:rsidR="00F036B4" w:rsidRPr="00A81659" w14:paraId="6DE0D9BF" w14:textId="77777777" w:rsidTr="00F036B4">
        <w:tc>
          <w:tcPr>
            <w:tcW w:w="0" w:type="auto"/>
            <w:tcBorders>
              <w:top w:val="nil"/>
              <w:left w:val="nil"/>
              <w:bottom w:val="nil"/>
              <w:right w:val="nil"/>
            </w:tcBorders>
            <w:hideMark/>
          </w:tcPr>
          <w:p w14:paraId="6A2507C3"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Dominant anions</w:t>
            </w:r>
          </w:p>
        </w:tc>
        <w:tc>
          <w:tcPr>
            <w:tcW w:w="0" w:type="auto"/>
            <w:tcBorders>
              <w:top w:val="nil"/>
              <w:left w:val="nil"/>
              <w:bottom w:val="nil"/>
              <w:right w:val="nil"/>
            </w:tcBorders>
            <w:hideMark/>
          </w:tcPr>
          <w:p w14:paraId="29A7AD44"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SO₄²⁻ + Cl⁻ &gt; HCO₃⁻</w:t>
            </w:r>
          </w:p>
        </w:tc>
        <w:tc>
          <w:tcPr>
            <w:tcW w:w="0" w:type="auto"/>
            <w:tcBorders>
              <w:top w:val="nil"/>
              <w:left w:val="nil"/>
              <w:bottom w:val="nil"/>
              <w:right w:val="nil"/>
            </w:tcBorders>
            <w:hideMark/>
          </w:tcPr>
          <w:p w14:paraId="20AED2FC"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Strong acid anions are more influential than weak acids</w:t>
            </w:r>
          </w:p>
        </w:tc>
      </w:tr>
      <w:tr w:rsidR="00F036B4" w:rsidRPr="00A81659" w14:paraId="0190EE5E" w14:textId="77777777" w:rsidTr="00F036B4">
        <w:tc>
          <w:tcPr>
            <w:tcW w:w="0" w:type="auto"/>
            <w:tcBorders>
              <w:top w:val="nil"/>
              <w:left w:val="nil"/>
              <w:bottom w:val="nil"/>
              <w:right w:val="nil"/>
            </w:tcBorders>
            <w:hideMark/>
          </w:tcPr>
          <w:p w14:paraId="660E6A2C" w14:textId="77777777" w:rsidR="00F036B4" w:rsidRPr="00A81659" w:rsidRDefault="00F036B4" w:rsidP="00A81659">
            <w:pPr>
              <w:rPr>
                <w:rFonts w:ascii="Times New Roman" w:eastAsia="Times New Roman" w:hAnsi="Times New Roman" w:cs="Times New Roman"/>
                <w:kern w:val="0"/>
                <w14:ligatures w14:val="none"/>
              </w:rPr>
            </w:pPr>
            <w:proofErr w:type="spellStart"/>
            <w:r w:rsidRPr="00A81659">
              <w:rPr>
                <w:rFonts w:ascii="Times New Roman" w:eastAsia="Times New Roman" w:hAnsi="Times New Roman" w:cs="Times New Roman"/>
                <w:kern w:val="0"/>
                <w14:ligatures w14:val="none"/>
              </w:rPr>
              <w:lastRenderedPageBreak/>
              <w:t>Hydrochemical</w:t>
            </w:r>
            <w:proofErr w:type="spellEnd"/>
            <w:r w:rsidRPr="00A81659">
              <w:rPr>
                <w:rFonts w:ascii="Times New Roman" w:eastAsia="Times New Roman" w:hAnsi="Times New Roman" w:cs="Times New Roman"/>
                <w:kern w:val="0"/>
                <w14:ligatures w14:val="none"/>
              </w:rPr>
              <w:t xml:space="preserve"> facies</w:t>
            </w:r>
          </w:p>
        </w:tc>
        <w:tc>
          <w:tcPr>
            <w:tcW w:w="0" w:type="auto"/>
            <w:tcBorders>
              <w:top w:val="nil"/>
              <w:left w:val="nil"/>
              <w:bottom w:val="nil"/>
              <w:right w:val="nil"/>
            </w:tcBorders>
            <w:hideMark/>
          </w:tcPr>
          <w:p w14:paraId="520C0881"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Ca–SO₄ water type</w:t>
            </w:r>
          </w:p>
        </w:tc>
        <w:tc>
          <w:tcPr>
            <w:tcW w:w="0" w:type="auto"/>
            <w:tcBorders>
              <w:top w:val="nil"/>
              <w:left w:val="nil"/>
              <w:bottom w:val="nil"/>
              <w:right w:val="nil"/>
            </w:tcBorders>
            <w:hideMark/>
          </w:tcPr>
          <w:p w14:paraId="32AF13A2"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Indicates gypsum or sulphate-bearing mineral influence</w:t>
            </w:r>
          </w:p>
        </w:tc>
      </w:tr>
      <w:tr w:rsidR="00F036B4" w:rsidRPr="00A81659" w14:paraId="69D0AE97" w14:textId="77777777" w:rsidTr="00F036B4">
        <w:tc>
          <w:tcPr>
            <w:tcW w:w="0" w:type="auto"/>
            <w:tcBorders>
              <w:top w:val="nil"/>
              <w:left w:val="nil"/>
              <w:bottom w:val="nil"/>
              <w:right w:val="nil"/>
            </w:tcBorders>
            <w:hideMark/>
          </w:tcPr>
          <w:p w14:paraId="30154EB0"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Alkali vs alkaline earth</w:t>
            </w:r>
          </w:p>
        </w:tc>
        <w:tc>
          <w:tcPr>
            <w:tcW w:w="0" w:type="auto"/>
            <w:tcBorders>
              <w:top w:val="nil"/>
              <w:left w:val="nil"/>
              <w:bottom w:val="nil"/>
              <w:right w:val="nil"/>
            </w:tcBorders>
            <w:hideMark/>
          </w:tcPr>
          <w:p w14:paraId="3C7874CE"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Alkaline earths dominant</w:t>
            </w:r>
          </w:p>
        </w:tc>
        <w:tc>
          <w:tcPr>
            <w:tcW w:w="0" w:type="auto"/>
            <w:tcBorders>
              <w:top w:val="nil"/>
              <w:left w:val="nil"/>
              <w:bottom w:val="nil"/>
              <w:right w:val="nil"/>
            </w:tcBorders>
            <w:hideMark/>
          </w:tcPr>
          <w:p w14:paraId="7425D105"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Limited ion exchange and minimal saline intrusion</w:t>
            </w:r>
          </w:p>
        </w:tc>
      </w:tr>
      <w:tr w:rsidR="00F036B4" w:rsidRPr="00A81659" w14:paraId="1FA03D88" w14:textId="77777777" w:rsidTr="00F036B4">
        <w:tc>
          <w:tcPr>
            <w:tcW w:w="0" w:type="auto"/>
            <w:tcBorders>
              <w:top w:val="nil"/>
              <w:left w:val="nil"/>
              <w:bottom w:val="nil"/>
              <w:right w:val="nil"/>
            </w:tcBorders>
            <w:hideMark/>
          </w:tcPr>
          <w:p w14:paraId="05C6C7C7"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Weak vs strong acids</w:t>
            </w:r>
          </w:p>
        </w:tc>
        <w:tc>
          <w:tcPr>
            <w:tcW w:w="0" w:type="auto"/>
            <w:tcBorders>
              <w:top w:val="nil"/>
              <w:left w:val="nil"/>
              <w:bottom w:val="nil"/>
              <w:right w:val="nil"/>
            </w:tcBorders>
            <w:hideMark/>
          </w:tcPr>
          <w:p w14:paraId="35EAC681"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Strong acids dominant</w:t>
            </w:r>
          </w:p>
        </w:tc>
        <w:tc>
          <w:tcPr>
            <w:tcW w:w="0" w:type="auto"/>
            <w:tcBorders>
              <w:top w:val="nil"/>
              <w:left w:val="nil"/>
              <w:bottom w:val="nil"/>
              <w:right w:val="nil"/>
            </w:tcBorders>
            <w:hideMark/>
          </w:tcPr>
          <w:p w14:paraId="0ACE18F6"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Reflects geogenic control rather than carbonate dissolution</w:t>
            </w:r>
          </w:p>
        </w:tc>
      </w:tr>
      <w:tr w:rsidR="00F036B4" w:rsidRPr="00A81659" w14:paraId="4D9FA653" w14:textId="77777777" w:rsidTr="00F036B4">
        <w:tc>
          <w:tcPr>
            <w:tcW w:w="0" w:type="auto"/>
            <w:tcBorders>
              <w:top w:val="nil"/>
              <w:left w:val="nil"/>
              <w:bottom w:val="nil"/>
              <w:right w:val="nil"/>
            </w:tcBorders>
            <w:hideMark/>
          </w:tcPr>
          <w:p w14:paraId="61654BAB"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Degree of mineralization</w:t>
            </w:r>
          </w:p>
        </w:tc>
        <w:tc>
          <w:tcPr>
            <w:tcW w:w="0" w:type="auto"/>
            <w:tcBorders>
              <w:top w:val="nil"/>
              <w:left w:val="nil"/>
              <w:bottom w:val="nil"/>
              <w:right w:val="nil"/>
            </w:tcBorders>
            <w:hideMark/>
          </w:tcPr>
          <w:p w14:paraId="0614C0FB"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Low to moderate</w:t>
            </w:r>
          </w:p>
        </w:tc>
        <w:tc>
          <w:tcPr>
            <w:tcW w:w="0" w:type="auto"/>
            <w:tcBorders>
              <w:top w:val="nil"/>
              <w:left w:val="nil"/>
              <w:bottom w:val="nil"/>
              <w:right w:val="nil"/>
            </w:tcBorders>
            <w:hideMark/>
          </w:tcPr>
          <w:p w14:paraId="653C1933"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Consistent with low TDS and EC values</w:t>
            </w:r>
          </w:p>
        </w:tc>
      </w:tr>
      <w:tr w:rsidR="00F036B4" w:rsidRPr="00A81659" w14:paraId="2B9B5443" w14:textId="77777777" w:rsidTr="00F036B4">
        <w:tc>
          <w:tcPr>
            <w:tcW w:w="0" w:type="auto"/>
            <w:tcBorders>
              <w:top w:val="nil"/>
              <w:left w:val="nil"/>
              <w:bottom w:val="nil"/>
              <w:right w:val="nil"/>
            </w:tcBorders>
            <w:hideMark/>
          </w:tcPr>
          <w:p w14:paraId="00BC8E1B"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Groundwater evolution stage</w:t>
            </w:r>
          </w:p>
        </w:tc>
        <w:tc>
          <w:tcPr>
            <w:tcW w:w="0" w:type="auto"/>
            <w:tcBorders>
              <w:top w:val="nil"/>
              <w:left w:val="nil"/>
              <w:bottom w:val="nil"/>
              <w:right w:val="nil"/>
            </w:tcBorders>
            <w:hideMark/>
          </w:tcPr>
          <w:p w14:paraId="5CA44E04"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Early to intermediate</w:t>
            </w:r>
          </w:p>
        </w:tc>
        <w:tc>
          <w:tcPr>
            <w:tcW w:w="0" w:type="auto"/>
            <w:tcBorders>
              <w:top w:val="nil"/>
              <w:left w:val="nil"/>
              <w:bottom w:val="nil"/>
              <w:right w:val="nil"/>
            </w:tcBorders>
            <w:hideMark/>
          </w:tcPr>
          <w:p w14:paraId="2651CFBD"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Short residence time within aquifer</w:t>
            </w:r>
          </w:p>
        </w:tc>
      </w:tr>
      <w:tr w:rsidR="00F036B4" w:rsidRPr="00A81659" w14:paraId="0B5BA064" w14:textId="77777777" w:rsidTr="00F036B4">
        <w:tc>
          <w:tcPr>
            <w:tcW w:w="0" w:type="auto"/>
            <w:tcBorders>
              <w:top w:val="nil"/>
              <w:left w:val="nil"/>
              <w:bottom w:val="nil"/>
              <w:right w:val="nil"/>
            </w:tcBorders>
            <w:hideMark/>
          </w:tcPr>
          <w:p w14:paraId="00FC5693"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Salinity influence</w:t>
            </w:r>
          </w:p>
        </w:tc>
        <w:tc>
          <w:tcPr>
            <w:tcW w:w="0" w:type="auto"/>
            <w:tcBorders>
              <w:top w:val="nil"/>
              <w:left w:val="nil"/>
              <w:bottom w:val="nil"/>
              <w:right w:val="nil"/>
            </w:tcBorders>
            <w:hideMark/>
          </w:tcPr>
          <w:p w14:paraId="6B91FCC6"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Insignificant</w:t>
            </w:r>
          </w:p>
        </w:tc>
        <w:tc>
          <w:tcPr>
            <w:tcW w:w="0" w:type="auto"/>
            <w:tcBorders>
              <w:top w:val="nil"/>
              <w:left w:val="nil"/>
              <w:bottom w:val="nil"/>
              <w:right w:val="nil"/>
            </w:tcBorders>
            <w:hideMark/>
          </w:tcPr>
          <w:p w14:paraId="5A9B1AAF"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No evidence of evaporation–crystallization dominance</w:t>
            </w:r>
          </w:p>
        </w:tc>
      </w:tr>
      <w:tr w:rsidR="00F036B4" w:rsidRPr="00A81659" w14:paraId="5D28BD13" w14:textId="77777777" w:rsidTr="00F036B4">
        <w:tc>
          <w:tcPr>
            <w:tcW w:w="0" w:type="auto"/>
            <w:tcBorders>
              <w:top w:val="nil"/>
              <w:left w:val="nil"/>
              <w:right w:val="nil"/>
            </w:tcBorders>
            <w:hideMark/>
          </w:tcPr>
          <w:p w14:paraId="5524D69F"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Overall water type</w:t>
            </w:r>
          </w:p>
        </w:tc>
        <w:tc>
          <w:tcPr>
            <w:tcW w:w="0" w:type="auto"/>
            <w:tcBorders>
              <w:top w:val="nil"/>
              <w:left w:val="nil"/>
              <w:right w:val="nil"/>
            </w:tcBorders>
            <w:hideMark/>
          </w:tcPr>
          <w:p w14:paraId="014A77BE"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Freshwater</w:t>
            </w:r>
          </w:p>
        </w:tc>
        <w:tc>
          <w:tcPr>
            <w:tcW w:w="0" w:type="auto"/>
            <w:tcBorders>
              <w:top w:val="nil"/>
              <w:left w:val="nil"/>
              <w:right w:val="nil"/>
            </w:tcBorders>
            <w:hideMark/>
          </w:tcPr>
          <w:p w14:paraId="20E06FAB" w14:textId="77777777" w:rsidR="00F036B4" w:rsidRPr="00A81659" w:rsidRDefault="00F036B4" w:rsidP="00A81659">
            <w:pPr>
              <w:rPr>
                <w:rFonts w:ascii="Times New Roman" w:eastAsia="Times New Roman" w:hAnsi="Times New Roman" w:cs="Times New Roman"/>
                <w:kern w:val="0"/>
                <w14:ligatures w14:val="none"/>
              </w:rPr>
            </w:pPr>
            <w:r w:rsidRPr="00A81659">
              <w:rPr>
                <w:rFonts w:ascii="Times New Roman" w:eastAsia="Times New Roman" w:hAnsi="Times New Roman" w:cs="Times New Roman"/>
                <w:kern w:val="0"/>
                <w14:ligatures w14:val="none"/>
              </w:rPr>
              <w:t>Suitable for domestic use with routine monitoring</w:t>
            </w:r>
          </w:p>
        </w:tc>
      </w:tr>
    </w:tbl>
    <w:p w14:paraId="5B091E15" w14:textId="77777777" w:rsidR="00F036B4" w:rsidRPr="00A81659" w:rsidRDefault="00F036B4" w:rsidP="00A81659">
      <w:pPr>
        <w:spacing w:after="120" w:line="240" w:lineRule="auto"/>
        <w:jc w:val="both"/>
        <w:rPr>
          <w:rFonts w:ascii="Times New Roman" w:eastAsia="Times New Roman" w:hAnsi="Times New Roman" w:cs="Times New Roman"/>
          <w:b/>
          <w:bCs/>
          <w:kern w:val="0"/>
          <w14:ligatures w14:val="none"/>
        </w:rPr>
      </w:pPr>
    </w:p>
    <w:p w14:paraId="42D57C41" w14:textId="36FCA984" w:rsidR="00D37DE0" w:rsidRPr="00A81659" w:rsidRDefault="00D37DE0" w:rsidP="00A81659">
      <w:pPr>
        <w:spacing w:after="120" w:line="240" w:lineRule="auto"/>
        <w:jc w:val="both"/>
        <w:rPr>
          <w:rFonts w:ascii="Times New Roman" w:eastAsia="Times New Roman" w:hAnsi="Times New Roman" w:cs="Times New Roman"/>
          <w:b/>
          <w:bCs/>
          <w:kern w:val="0"/>
          <w14:ligatures w14:val="none"/>
        </w:rPr>
      </w:pPr>
      <w:r w:rsidRPr="00A81659">
        <w:rPr>
          <w:rFonts w:ascii="Times New Roman" w:eastAsia="Times New Roman" w:hAnsi="Times New Roman" w:cs="Times New Roman"/>
          <w:b/>
          <w:bCs/>
          <w:kern w:val="0"/>
          <w14:ligatures w14:val="none"/>
        </w:rPr>
        <w:t>Discussion</w:t>
      </w:r>
    </w:p>
    <w:p w14:paraId="58C86744" w14:textId="14D64AB6" w:rsidR="00FE6289" w:rsidRPr="00FE6289" w:rsidRDefault="00FE6289" w:rsidP="00FE6289">
      <w:pPr>
        <w:pStyle w:val="NormalWeb"/>
        <w:spacing w:before="0" w:beforeAutospacing="0" w:after="120" w:afterAutospacing="0"/>
        <w:jc w:val="both"/>
      </w:pPr>
      <w:r w:rsidRPr="00FE6289">
        <w:t xml:space="preserve">The groundwater of </w:t>
      </w:r>
      <w:r w:rsidR="00EC3290">
        <w:t xml:space="preserve">the </w:t>
      </w:r>
      <w:r w:rsidRPr="00FE6289">
        <w:t xml:space="preserve">surrounding communities in </w:t>
      </w:r>
      <w:proofErr w:type="spellStart"/>
      <w:r w:rsidR="00EC3290" w:rsidRPr="00295BBB">
        <w:rPr>
          <w:color w:val="0F1115"/>
          <w:sz w:val="22"/>
          <w:szCs w:val="22"/>
        </w:rPr>
        <w:t>Kolokuma</w:t>
      </w:r>
      <w:proofErr w:type="spellEnd"/>
      <w:r w:rsidR="00EC3290" w:rsidRPr="00295BBB">
        <w:rPr>
          <w:color w:val="0F1115"/>
          <w:sz w:val="22"/>
          <w:szCs w:val="22"/>
        </w:rPr>
        <w:t xml:space="preserve"> </w:t>
      </w:r>
      <w:proofErr w:type="spellStart"/>
      <w:r w:rsidR="00EC3290" w:rsidRPr="00295BBB">
        <w:rPr>
          <w:color w:val="0F1115"/>
          <w:sz w:val="22"/>
          <w:szCs w:val="22"/>
        </w:rPr>
        <w:t>Opokuma</w:t>
      </w:r>
      <w:proofErr w:type="spellEnd"/>
      <w:r w:rsidR="00EC3290" w:rsidRPr="00FE6289">
        <w:t xml:space="preserve"> </w:t>
      </w:r>
      <w:r w:rsidRPr="00FE6289">
        <w:t>LGA exhibits slightly acidic to near-neutral conditions, low salinity, and moderate mineralization, consistent with hydrogeochemical characteristics of Niger Delta aquifers</w:t>
      </w:r>
      <w:r w:rsidR="002F14F8">
        <w:t xml:space="preserve"> (</w:t>
      </w:r>
      <w:proofErr w:type="spellStart"/>
      <w:r w:rsidR="002F14F8">
        <w:t>Nwankwoala</w:t>
      </w:r>
      <w:proofErr w:type="spellEnd"/>
      <w:r w:rsidR="002F14F8">
        <w:t xml:space="preserve"> &amp; </w:t>
      </w:r>
      <w:proofErr w:type="spellStart"/>
      <w:r w:rsidR="002F14F8">
        <w:t>Oborie</w:t>
      </w:r>
      <w:proofErr w:type="spellEnd"/>
      <w:r w:rsidR="002F14F8">
        <w:t>, 2021)</w:t>
      </w:r>
      <w:r w:rsidRPr="00FE6289">
        <w:t>. The observed pH range (5.57–6.87) reflects weak acidity in several boreholes, which is typical of deltaic environments influenced by high rainfall, organic matter decomposition, and carbonic acid formation during recharge. Although some values fall marginally below the WHO recommended range, they are largely geogenic in origin rather than indicative of pollution.</w:t>
      </w:r>
    </w:p>
    <w:p w14:paraId="1B2E8654" w14:textId="77777777" w:rsidR="00FE6289" w:rsidRPr="00FE6289" w:rsidRDefault="00FE6289" w:rsidP="00FE6289">
      <w:pPr>
        <w:pStyle w:val="NormalWeb"/>
        <w:spacing w:before="0" w:beforeAutospacing="0" w:after="120" w:afterAutospacing="0"/>
        <w:jc w:val="both"/>
      </w:pPr>
      <w:r w:rsidRPr="00FE6289">
        <w:t>Electrical conductivity and total dissolved solids values confirm that groundwater is fresh and weakly mineralized, suggesting short residence time and limited evaporative concentration. The statistically significant spatial variation revealed by one-way ANOVA (p &lt; 0.001) indicates heterogeneity in groundwater chemistry, likely controlled by localized lithological variations and differences in water–rock interaction intensity rather than uniform anthropogenic inputs.</w:t>
      </w:r>
    </w:p>
    <w:p w14:paraId="62E40A32" w14:textId="3ABF89D7" w:rsidR="00FE6289" w:rsidRPr="00FE6289" w:rsidRDefault="00FE6289" w:rsidP="00FE6289">
      <w:pPr>
        <w:pStyle w:val="NormalWeb"/>
        <w:spacing w:before="0" w:beforeAutospacing="0" w:after="120" w:afterAutospacing="0"/>
        <w:jc w:val="both"/>
      </w:pPr>
      <w:r w:rsidRPr="00FE6289">
        <w:t xml:space="preserve">Major ion chemistry is dominated by calcium and sulphate, as demonstrated by the Piper trilinear diagram, which classifies all samples within the Ca–SO₄ </w:t>
      </w:r>
      <w:proofErr w:type="spellStart"/>
      <w:r w:rsidRPr="00FE6289">
        <w:t>hydrochemical</w:t>
      </w:r>
      <w:proofErr w:type="spellEnd"/>
      <w:r w:rsidRPr="00FE6289">
        <w:t xml:space="preserve"> facies. This facies reflects dissolution of calcium- and sulphate-bearing minerals and limited ion exchange processes. The dominance of strong acid anions (SO₄²⁻ + Cl⁻) over weak acid anions (HCO₃⁻ + CO₃²⁻) further supports a predominantly geogenic control on groundwater chemistry, with negligible influence from saline intrusion</w:t>
      </w:r>
      <w:r w:rsidR="008F2608">
        <w:t xml:space="preserve"> similar to records by Saha et al., (2022)</w:t>
      </w:r>
      <w:r w:rsidRPr="00FE6289">
        <w:t>.</w:t>
      </w:r>
    </w:p>
    <w:p w14:paraId="61681D84" w14:textId="1A8FBE47" w:rsidR="00FE6289" w:rsidRPr="00FE6289" w:rsidRDefault="00FE6289" w:rsidP="00FE6289">
      <w:pPr>
        <w:pStyle w:val="NormalWeb"/>
        <w:spacing w:before="0" w:beforeAutospacing="0" w:after="120" w:afterAutospacing="0"/>
        <w:jc w:val="both"/>
      </w:pPr>
      <w:r w:rsidRPr="00FE6289">
        <w:t>Nitrate concentrations were consistently low and well below WHO limits, indicating minimal impact from agricultural runoff or sewage contamination. Iron concentrations approached the WHO guideline value in one borehole, a condition commonly associated with reducing environments and iron-rich sediments in deltaic aquifers</w:t>
      </w:r>
      <w:r w:rsidR="008F2608">
        <w:t xml:space="preserve"> (</w:t>
      </w:r>
      <w:proofErr w:type="spellStart"/>
      <w:r w:rsidR="008F2608">
        <w:t>Ayandiran</w:t>
      </w:r>
      <w:proofErr w:type="spellEnd"/>
      <w:r w:rsidR="008F2608">
        <w:t xml:space="preserve"> et al., 2023)</w:t>
      </w:r>
      <w:r w:rsidRPr="00FE6289">
        <w:t xml:space="preserve">. Overall, the </w:t>
      </w:r>
      <w:proofErr w:type="spellStart"/>
      <w:r w:rsidRPr="00FE6289">
        <w:t>hydrochemical</w:t>
      </w:r>
      <w:proofErr w:type="spellEnd"/>
      <w:r w:rsidRPr="00FE6289">
        <w:t xml:space="preserve"> characteristics indicate that groundwater in the study area is largely suitable for domestic use, with only minor conditioning required in localized cases.</w:t>
      </w:r>
    </w:p>
    <w:p w14:paraId="544F97F9" w14:textId="3EF73DC3" w:rsidR="0086442B" w:rsidRPr="00FE6289" w:rsidRDefault="0086442B" w:rsidP="00A81659">
      <w:pPr>
        <w:pStyle w:val="NormalWeb"/>
        <w:spacing w:before="0" w:beforeAutospacing="0" w:after="120" w:afterAutospacing="0"/>
        <w:jc w:val="both"/>
      </w:pPr>
      <w:r w:rsidRPr="00FE6289">
        <w:rPr>
          <w:b/>
          <w:bCs/>
        </w:rPr>
        <w:t>Conclusion</w:t>
      </w:r>
    </w:p>
    <w:p w14:paraId="69F8097E" w14:textId="10D24690" w:rsidR="00FE6289" w:rsidRPr="00FE6289" w:rsidRDefault="00FE6289" w:rsidP="00FE6289">
      <w:pPr>
        <w:pStyle w:val="NormalWeb"/>
        <w:jc w:val="both"/>
      </w:pPr>
      <w:r w:rsidRPr="00FE6289">
        <w:t xml:space="preserve">Groundwater </w:t>
      </w:r>
      <w:r w:rsidR="00EC3290">
        <w:t xml:space="preserve">in the </w:t>
      </w:r>
      <w:r w:rsidRPr="00FE6289">
        <w:t xml:space="preserve">surrounding communities of </w:t>
      </w:r>
      <w:proofErr w:type="spellStart"/>
      <w:r w:rsidR="009C45F6">
        <w:t>kolokuma</w:t>
      </w:r>
      <w:proofErr w:type="spellEnd"/>
      <w:r w:rsidR="009C45F6">
        <w:t xml:space="preserve"> </w:t>
      </w:r>
      <w:proofErr w:type="spellStart"/>
      <w:r w:rsidRPr="00FE6289">
        <w:t>Opokuma</w:t>
      </w:r>
      <w:proofErr w:type="spellEnd"/>
      <w:r w:rsidRPr="00FE6289">
        <w:t xml:space="preserve"> Local Government Area is characterized by fresh water, low salinity, moderate mineralization, and dominance of calcium and </w:t>
      </w:r>
      <w:r w:rsidRPr="00FE6289">
        <w:lastRenderedPageBreak/>
        <w:t xml:space="preserve">sulphate ions. </w:t>
      </w:r>
      <w:proofErr w:type="spellStart"/>
      <w:r w:rsidRPr="00FE6289">
        <w:t>Hydrochemical</w:t>
      </w:r>
      <w:proofErr w:type="spellEnd"/>
      <w:r w:rsidRPr="00FE6289">
        <w:t xml:space="preserve"> facies analysis indicates that groundwater chemistry is primarily controlled by natural rock–water interaction processes, with minimal influence from anthropogenic contamination or saline intrusion. Although most parameters comply with WHO drinking-water standards, slight acidity and localized iron enrichment were observed in some boreholes. Overall, the groundwater resource is suitable for domestic use.</w:t>
      </w:r>
    </w:p>
    <w:p w14:paraId="7B3075A6" w14:textId="64D48004" w:rsidR="0086442B" w:rsidRPr="00FE6289" w:rsidRDefault="0086442B" w:rsidP="00A81659">
      <w:pPr>
        <w:spacing w:after="120" w:line="240" w:lineRule="auto"/>
        <w:jc w:val="both"/>
        <w:rPr>
          <w:rFonts w:ascii="Times New Roman" w:eastAsia="Times New Roman" w:hAnsi="Times New Roman" w:cs="Times New Roman"/>
          <w:kern w:val="0"/>
          <w14:ligatures w14:val="none"/>
        </w:rPr>
      </w:pPr>
      <w:r w:rsidRPr="00FE6289">
        <w:rPr>
          <w:rFonts w:ascii="Times New Roman" w:eastAsia="Times New Roman" w:hAnsi="Times New Roman" w:cs="Times New Roman"/>
          <w:b/>
          <w:bCs/>
          <w:kern w:val="0"/>
          <w14:ligatures w14:val="none"/>
        </w:rPr>
        <w:t>Recommendation</w:t>
      </w:r>
    </w:p>
    <w:p w14:paraId="31BEF7E0" w14:textId="2E9F3C2B" w:rsidR="00FE6289" w:rsidRDefault="00FE6289" w:rsidP="00A81659">
      <w:pPr>
        <w:spacing w:after="120" w:line="240" w:lineRule="auto"/>
        <w:jc w:val="both"/>
        <w:rPr>
          <w:rFonts w:ascii="Times New Roman" w:hAnsi="Times New Roman" w:cs="Times New Roman"/>
        </w:rPr>
      </w:pPr>
      <w:r w:rsidRPr="00FE6289">
        <w:rPr>
          <w:rFonts w:ascii="Times New Roman" w:hAnsi="Times New Roman" w:cs="Times New Roman"/>
        </w:rPr>
        <w:t>Routine groundwater quality monitoring should be implemented to track temporal changes in acidity and iron concentrations. Simple treatment techniques such as aeration and pH adjustment are recommended where necessary. Proper protection of boreholes from surface contamination and periodic hydrogeochemical assessments are essential to ensure long-term groundwater safety and sustainability in the study area.</w:t>
      </w:r>
    </w:p>
    <w:p w14:paraId="23DB5F2D" w14:textId="7DB9886F" w:rsidR="00B15521" w:rsidRPr="00B15521" w:rsidRDefault="00B15521" w:rsidP="005B1CDE">
      <w:pPr>
        <w:spacing w:after="200" w:line="276" w:lineRule="auto"/>
        <w:jc w:val="both"/>
        <w:rPr>
          <w:rFonts w:ascii="Times New Roman" w:hAnsi="Times New Roman" w:cs="Times New Roman"/>
          <w:b/>
          <w:bCs/>
        </w:rPr>
      </w:pPr>
      <w:r w:rsidRPr="00B15521">
        <w:rPr>
          <w:rFonts w:ascii="Times New Roman" w:hAnsi="Times New Roman" w:cs="Times New Roman"/>
          <w:b/>
          <w:bCs/>
        </w:rPr>
        <w:t xml:space="preserve">Disclaimer </w:t>
      </w:r>
    </w:p>
    <w:p w14:paraId="2DD41BE2" w14:textId="617A1743" w:rsidR="004373D7" w:rsidRPr="002F14F8" w:rsidRDefault="002F14F8" w:rsidP="005B1CDE">
      <w:pPr>
        <w:spacing w:after="200" w:line="276" w:lineRule="auto"/>
        <w:jc w:val="both"/>
        <w:rPr>
          <w:rFonts w:ascii="Calibri" w:eastAsia="Calibri" w:hAnsi="Calibri" w:cs="Times New Roman"/>
          <w:sz w:val="22"/>
          <w:szCs w:val="22"/>
          <w:highlight w:val="yellow"/>
        </w:rPr>
      </w:pPr>
      <w:r>
        <w:rPr>
          <w:rFonts w:ascii="Times New Roman" w:hAnsi="Times New Roman" w:cs="Times New Roman"/>
        </w:rPr>
        <w:t>Authors hereby declare that no</w:t>
      </w:r>
      <w:r w:rsidRPr="002F14F8">
        <w:rPr>
          <w:rFonts w:ascii="Times New Roman" w:hAnsi="Times New Roman" w:cs="Times New Roman"/>
        </w:rPr>
        <w:t xml:space="preserve"> generative AI technologies such as Large Language Models (ChatGPT, COPILOT, etc.) and text-to-image generators have been used during the writing or editing of this manuscript.</w:t>
      </w:r>
    </w:p>
    <w:p w14:paraId="131E5AA6" w14:textId="00DF5284" w:rsidR="00B76D8C" w:rsidRPr="00A81659" w:rsidRDefault="00B76D8C" w:rsidP="00A81659">
      <w:pPr>
        <w:spacing w:after="120" w:line="240" w:lineRule="auto"/>
        <w:jc w:val="both"/>
        <w:rPr>
          <w:rFonts w:ascii="Times New Roman" w:hAnsi="Times New Roman" w:cs="Times New Roman"/>
        </w:rPr>
      </w:pPr>
      <w:r w:rsidRPr="00A81659">
        <w:rPr>
          <w:rFonts w:ascii="Times New Roman" w:eastAsia="Times New Roman" w:hAnsi="Times New Roman" w:cs="Times New Roman"/>
          <w:b/>
          <w:bCs/>
          <w:kern w:val="0"/>
          <w14:ligatures w14:val="none"/>
        </w:rPr>
        <w:t>REFERENCES</w:t>
      </w:r>
    </w:p>
    <w:p w14:paraId="3543C845" w14:textId="77777777" w:rsidR="00B15521" w:rsidRPr="0010286E" w:rsidRDefault="00B15521" w:rsidP="00A81659">
      <w:pPr>
        <w:spacing w:after="120" w:line="240" w:lineRule="auto"/>
        <w:jc w:val="both"/>
        <w:rPr>
          <w:rFonts w:ascii="Times New Roman" w:eastAsia="Times New Roman" w:hAnsi="Times New Roman" w:cs="Times New Roman"/>
          <w:color w:val="000000" w:themeColor="text1"/>
          <w:kern w:val="0"/>
          <w14:ligatures w14:val="none"/>
        </w:rPr>
      </w:pPr>
      <w:r w:rsidRPr="0010286E">
        <w:rPr>
          <w:rFonts w:ascii="Times New Roman" w:eastAsia="Times New Roman" w:hAnsi="Times New Roman" w:cs="Times New Roman"/>
          <w:color w:val="000000" w:themeColor="text1"/>
          <w:kern w:val="0"/>
          <w14:ligatures w14:val="none"/>
        </w:rPr>
        <w:t xml:space="preserve">Afolayan, O. S., Ogundele, F. O., &amp; </w:t>
      </w:r>
      <w:proofErr w:type="spellStart"/>
      <w:r w:rsidRPr="0010286E">
        <w:rPr>
          <w:rFonts w:ascii="Times New Roman" w:eastAsia="Times New Roman" w:hAnsi="Times New Roman" w:cs="Times New Roman"/>
          <w:color w:val="000000" w:themeColor="text1"/>
          <w:kern w:val="0"/>
          <w14:ligatures w14:val="none"/>
        </w:rPr>
        <w:t>Odewumi</w:t>
      </w:r>
      <w:proofErr w:type="spellEnd"/>
      <w:r w:rsidRPr="0010286E">
        <w:rPr>
          <w:rFonts w:ascii="Times New Roman" w:eastAsia="Times New Roman" w:hAnsi="Times New Roman" w:cs="Times New Roman"/>
          <w:color w:val="000000" w:themeColor="text1"/>
          <w:kern w:val="0"/>
          <w14:ligatures w14:val="none"/>
        </w:rPr>
        <w:t xml:space="preserve">, S. G. (2012). Hydrological implication of solid waste disposal on groundwater quality in an urbanized area of Lagos State, Nigeria. </w:t>
      </w:r>
      <w:r w:rsidRPr="0010286E">
        <w:rPr>
          <w:rFonts w:ascii="Times New Roman" w:eastAsia="Times New Roman" w:hAnsi="Times New Roman" w:cs="Times New Roman"/>
          <w:i/>
          <w:iCs/>
          <w:color w:val="000000" w:themeColor="text1"/>
          <w:kern w:val="0"/>
          <w14:ligatures w14:val="none"/>
        </w:rPr>
        <w:t>International Journal of Pure and Applied Sciences and Technology</w:t>
      </w:r>
      <w:r w:rsidRPr="0010286E">
        <w:rPr>
          <w:rFonts w:ascii="Times New Roman" w:eastAsia="Times New Roman" w:hAnsi="Times New Roman" w:cs="Times New Roman"/>
          <w:color w:val="000000" w:themeColor="text1"/>
          <w:kern w:val="0"/>
          <w14:ligatures w14:val="none"/>
        </w:rPr>
        <w:t xml:space="preserve">, </w:t>
      </w:r>
      <w:r w:rsidRPr="0010286E">
        <w:rPr>
          <w:rFonts w:ascii="Times New Roman" w:eastAsia="Times New Roman" w:hAnsi="Times New Roman" w:cs="Times New Roman"/>
          <w:b/>
          <w:bCs/>
          <w:color w:val="000000" w:themeColor="text1"/>
          <w:kern w:val="0"/>
          <w14:ligatures w14:val="none"/>
        </w:rPr>
        <w:t>2</w:t>
      </w:r>
      <w:r w:rsidRPr="0010286E">
        <w:rPr>
          <w:rFonts w:ascii="Times New Roman" w:eastAsia="Times New Roman" w:hAnsi="Times New Roman" w:cs="Times New Roman"/>
          <w:color w:val="000000" w:themeColor="text1"/>
          <w:kern w:val="0"/>
          <w14:ligatures w14:val="none"/>
        </w:rPr>
        <w:t>(5), 74–86.</w:t>
      </w:r>
    </w:p>
    <w:p w14:paraId="0466CFB1" w14:textId="77777777" w:rsidR="00B15521" w:rsidRPr="0010286E" w:rsidRDefault="00B15521" w:rsidP="00A81659">
      <w:pPr>
        <w:pStyle w:val="NormalWeb"/>
        <w:spacing w:before="0" w:beforeAutospacing="0" w:after="120" w:afterAutospacing="0"/>
        <w:jc w:val="both"/>
        <w:rPr>
          <w:color w:val="000000" w:themeColor="text1"/>
        </w:rPr>
      </w:pPr>
      <w:r w:rsidRPr="0010286E">
        <w:rPr>
          <w:color w:val="000000" w:themeColor="text1"/>
        </w:rPr>
        <w:t xml:space="preserve">Ali, Shafqat, Hussain, Muhammad, Ahmed, Ijaz, &amp; Khan, Hafeez Ur Rehman. (2024). Groundwater quality assessment using water quality index and multivariate statistical tools. </w:t>
      </w:r>
      <w:r w:rsidRPr="0010286E">
        <w:rPr>
          <w:rStyle w:val="Emphasis"/>
          <w:rFonts w:eastAsiaTheme="majorEastAsia"/>
          <w:color w:val="000000" w:themeColor="text1"/>
        </w:rPr>
        <w:t>Scientific Reports</w:t>
      </w:r>
      <w:r w:rsidRPr="0010286E">
        <w:rPr>
          <w:color w:val="000000" w:themeColor="text1"/>
        </w:rPr>
        <w:t>, 14, Article 10914837.</w:t>
      </w:r>
    </w:p>
    <w:p w14:paraId="773A7DDB" w14:textId="77777777" w:rsidR="00B15521" w:rsidRPr="0010286E" w:rsidRDefault="00B15521" w:rsidP="00A81659">
      <w:pPr>
        <w:pStyle w:val="NormalWeb"/>
        <w:spacing w:before="0" w:beforeAutospacing="0" w:after="120" w:afterAutospacing="0"/>
        <w:jc w:val="both"/>
        <w:rPr>
          <w:color w:val="000000" w:themeColor="text1"/>
        </w:rPr>
      </w:pPr>
      <w:proofErr w:type="spellStart"/>
      <w:r w:rsidRPr="0010286E">
        <w:rPr>
          <w:color w:val="000000" w:themeColor="text1"/>
        </w:rPr>
        <w:t>Asomaku</w:t>
      </w:r>
      <w:proofErr w:type="spellEnd"/>
      <w:r w:rsidRPr="0010286E">
        <w:rPr>
          <w:color w:val="000000" w:themeColor="text1"/>
        </w:rPr>
        <w:t xml:space="preserve">, Samuel O., Eze, Victor N., &amp; Ogbonna, Kingsley C. (2023). Quality assessment of groundwater sourced from abandoned landfill sites in Port Harcourt, Nigeria. </w:t>
      </w:r>
      <w:r w:rsidRPr="0010286E">
        <w:rPr>
          <w:rStyle w:val="Emphasis"/>
          <w:rFonts w:eastAsiaTheme="majorEastAsia"/>
          <w:color w:val="000000" w:themeColor="text1"/>
        </w:rPr>
        <w:t>Science of the Total Environment</w:t>
      </w:r>
      <w:r w:rsidRPr="0010286E">
        <w:rPr>
          <w:color w:val="000000" w:themeColor="text1"/>
        </w:rPr>
        <w:t>, 875, 162818.</w:t>
      </w:r>
    </w:p>
    <w:p w14:paraId="19FB427B" w14:textId="77777777" w:rsidR="00B15521" w:rsidRPr="002F14F8" w:rsidRDefault="00B15521" w:rsidP="002F14F8">
      <w:pPr>
        <w:jc w:val="both"/>
        <w:rPr>
          <w:rFonts w:ascii="Times New Roman" w:hAnsi="Times New Roman" w:cs="Times New Roman"/>
        </w:rPr>
      </w:pPr>
      <w:proofErr w:type="spellStart"/>
      <w:r w:rsidRPr="002F14F8">
        <w:rPr>
          <w:rFonts w:ascii="Times New Roman" w:hAnsi="Times New Roman" w:cs="Times New Roman"/>
        </w:rPr>
        <w:t>Ayandiran</w:t>
      </w:r>
      <w:proofErr w:type="spellEnd"/>
      <w:r w:rsidRPr="002F14F8">
        <w:rPr>
          <w:rFonts w:ascii="Times New Roman" w:hAnsi="Times New Roman" w:cs="Times New Roman"/>
        </w:rPr>
        <w:t xml:space="preserve">, T. A., Fawole, O. O., &amp; </w:t>
      </w:r>
      <w:proofErr w:type="spellStart"/>
      <w:r w:rsidRPr="002F14F8">
        <w:rPr>
          <w:rFonts w:ascii="Times New Roman" w:hAnsi="Times New Roman" w:cs="Times New Roman"/>
        </w:rPr>
        <w:t>Dahunsi</w:t>
      </w:r>
      <w:proofErr w:type="spellEnd"/>
      <w:r w:rsidRPr="002F14F8">
        <w:rPr>
          <w:rFonts w:ascii="Times New Roman" w:hAnsi="Times New Roman" w:cs="Times New Roman"/>
        </w:rPr>
        <w:t xml:space="preserve">, S. O. (2023). Occurrence and health implications of iron and manganese in groundwater of coastal sedimentary aquifers. </w:t>
      </w:r>
      <w:r w:rsidRPr="002F14F8">
        <w:rPr>
          <w:rFonts w:ascii="Times New Roman" w:hAnsi="Times New Roman" w:cs="Times New Roman"/>
          <w:i/>
          <w:iCs/>
        </w:rPr>
        <w:t>Environmental Geochemistry and Health, 45</w:t>
      </w:r>
      <w:r w:rsidRPr="002F14F8">
        <w:rPr>
          <w:rFonts w:ascii="Times New Roman" w:hAnsi="Times New Roman" w:cs="Times New Roman"/>
        </w:rPr>
        <w:t xml:space="preserve">(2), 1091–1105. </w:t>
      </w:r>
    </w:p>
    <w:p w14:paraId="57322F57" w14:textId="77777777" w:rsidR="00B15521" w:rsidRPr="0010286E" w:rsidRDefault="00B15521" w:rsidP="00A81659">
      <w:pPr>
        <w:spacing w:after="120" w:line="240" w:lineRule="auto"/>
        <w:jc w:val="both"/>
        <w:rPr>
          <w:rFonts w:ascii="Times New Roman" w:hAnsi="Times New Roman" w:cs="Times New Roman"/>
          <w:color w:val="000000" w:themeColor="text1"/>
        </w:rPr>
      </w:pPr>
      <w:r w:rsidRPr="0010286E">
        <w:rPr>
          <w:rFonts w:ascii="Times New Roman" w:hAnsi="Times New Roman" w:cs="Times New Roman"/>
          <w:color w:val="000000" w:themeColor="text1"/>
        </w:rPr>
        <w:t xml:space="preserve">Chidiac, S. E., Marguerite, R. D., Ibrahim, N. G., Reda, O. G., &amp; Daou, A. (2023). A comprehensive review of water quality indices (WQIs): Methodologies, applications, and performance evaluation. </w:t>
      </w:r>
      <w:r w:rsidRPr="0010286E">
        <w:rPr>
          <w:rStyle w:val="Emphasis"/>
          <w:rFonts w:ascii="Times New Roman" w:hAnsi="Times New Roman" w:cs="Times New Roman"/>
          <w:color w:val="000000" w:themeColor="text1"/>
        </w:rPr>
        <w:t>Environmental Reviews</w:t>
      </w:r>
      <w:r w:rsidRPr="0010286E">
        <w:rPr>
          <w:rFonts w:ascii="Times New Roman" w:hAnsi="Times New Roman" w:cs="Times New Roman"/>
          <w:color w:val="000000" w:themeColor="text1"/>
        </w:rPr>
        <w:t xml:space="preserve">, </w:t>
      </w:r>
      <w:r w:rsidRPr="0010286E">
        <w:rPr>
          <w:rStyle w:val="Strong"/>
          <w:rFonts w:ascii="Times New Roman" w:hAnsi="Times New Roman" w:cs="Times New Roman"/>
          <w:color w:val="000000" w:themeColor="text1"/>
        </w:rPr>
        <w:t>31</w:t>
      </w:r>
      <w:r w:rsidRPr="0010286E">
        <w:rPr>
          <w:rFonts w:ascii="Times New Roman" w:hAnsi="Times New Roman" w:cs="Times New Roman"/>
          <w:color w:val="000000" w:themeColor="text1"/>
        </w:rPr>
        <w:t xml:space="preserve">, Article 10006569. </w:t>
      </w:r>
    </w:p>
    <w:p w14:paraId="3B4F0176" w14:textId="77777777" w:rsidR="00B15521" w:rsidRPr="002F14F8" w:rsidRDefault="00B15521" w:rsidP="002F14F8">
      <w:pPr>
        <w:jc w:val="both"/>
        <w:rPr>
          <w:rFonts w:ascii="Times New Roman" w:hAnsi="Times New Roman" w:cs="Times New Roman"/>
        </w:rPr>
      </w:pPr>
      <w:r w:rsidRPr="002F14F8">
        <w:rPr>
          <w:rFonts w:ascii="Times New Roman" w:hAnsi="Times New Roman" w:cs="Times New Roman"/>
        </w:rPr>
        <w:t xml:space="preserve">Edokpayi, J. N., Rogawski, E. T., Kahler, D. M., Hill, C. L., Reynolds, C., Nyathi, E., &amp; Smith, J. A. (2021). Challenges to sustainable safe drinking water: A perspective on low pH and metal mobilization. </w:t>
      </w:r>
      <w:r w:rsidRPr="002F14F8">
        <w:rPr>
          <w:rFonts w:ascii="Times New Roman" w:hAnsi="Times New Roman" w:cs="Times New Roman"/>
          <w:i/>
          <w:iCs/>
        </w:rPr>
        <w:t>Science of the Total Environment, 764</w:t>
      </w:r>
      <w:r w:rsidRPr="002F14F8">
        <w:rPr>
          <w:rFonts w:ascii="Times New Roman" w:hAnsi="Times New Roman" w:cs="Times New Roman"/>
        </w:rPr>
        <w:t xml:space="preserve">, 142861. </w:t>
      </w:r>
    </w:p>
    <w:p w14:paraId="60F7D213" w14:textId="77777777" w:rsidR="00B15521" w:rsidRPr="002F14F8" w:rsidRDefault="00B15521" w:rsidP="002F14F8">
      <w:pPr>
        <w:jc w:val="both"/>
        <w:rPr>
          <w:rFonts w:ascii="Times New Roman" w:hAnsi="Times New Roman" w:cs="Times New Roman"/>
        </w:rPr>
      </w:pPr>
      <w:proofErr w:type="spellStart"/>
      <w:r w:rsidRPr="002F14F8">
        <w:rPr>
          <w:rFonts w:ascii="Times New Roman" w:hAnsi="Times New Roman" w:cs="Times New Roman"/>
        </w:rPr>
        <w:t>Ehirim</w:t>
      </w:r>
      <w:proofErr w:type="spellEnd"/>
      <w:r w:rsidRPr="002F14F8">
        <w:rPr>
          <w:rFonts w:ascii="Times New Roman" w:hAnsi="Times New Roman" w:cs="Times New Roman"/>
        </w:rPr>
        <w:t xml:space="preserve">, C. N., &amp; </w:t>
      </w:r>
      <w:proofErr w:type="spellStart"/>
      <w:r w:rsidRPr="002F14F8">
        <w:rPr>
          <w:rFonts w:ascii="Times New Roman" w:hAnsi="Times New Roman" w:cs="Times New Roman"/>
        </w:rPr>
        <w:t>Nwankwoala</w:t>
      </w:r>
      <w:proofErr w:type="spellEnd"/>
      <w:r w:rsidRPr="002F14F8">
        <w:rPr>
          <w:rFonts w:ascii="Times New Roman" w:hAnsi="Times New Roman" w:cs="Times New Roman"/>
        </w:rPr>
        <w:t xml:space="preserve">, H. O. (2022). Saline water intrusion and groundwater vulnerability in coastal aquifers of the Niger Delta, Nigeria. </w:t>
      </w:r>
      <w:r w:rsidRPr="002F14F8">
        <w:rPr>
          <w:rFonts w:ascii="Times New Roman" w:hAnsi="Times New Roman" w:cs="Times New Roman"/>
          <w:i/>
          <w:iCs/>
        </w:rPr>
        <w:t>Environmental Earth Sciences, 81</w:t>
      </w:r>
      <w:r w:rsidRPr="002F14F8">
        <w:rPr>
          <w:rFonts w:ascii="Times New Roman" w:hAnsi="Times New Roman" w:cs="Times New Roman"/>
        </w:rPr>
        <w:t xml:space="preserve">(9), 1–15. </w:t>
      </w:r>
    </w:p>
    <w:p w14:paraId="1E430450" w14:textId="77777777" w:rsidR="00B15521" w:rsidRPr="002F14F8" w:rsidRDefault="00B15521" w:rsidP="002F14F8">
      <w:pPr>
        <w:jc w:val="both"/>
        <w:rPr>
          <w:rFonts w:ascii="Times New Roman" w:hAnsi="Times New Roman" w:cs="Times New Roman"/>
        </w:rPr>
      </w:pPr>
      <w:r w:rsidRPr="002F14F8">
        <w:rPr>
          <w:rFonts w:ascii="Times New Roman" w:hAnsi="Times New Roman" w:cs="Times New Roman"/>
        </w:rPr>
        <w:lastRenderedPageBreak/>
        <w:t xml:space="preserve">Islam, M. A., Zahid, A., Rahman, M. M., &amp; Islam, M. J. (2022). Multivariate statistical evaluation of groundwater quality and controlling hydrogeochemical processes. </w:t>
      </w:r>
      <w:r w:rsidRPr="002F14F8">
        <w:rPr>
          <w:rFonts w:ascii="Times New Roman" w:hAnsi="Times New Roman" w:cs="Times New Roman"/>
          <w:i/>
          <w:iCs/>
        </w:rPr>
        <w:t>Groundwater for Sustainable Development, 16</w:t>
      </w:r>
      <w:r w:rsidRPr="002F14F8">
        <w:rPr>
          <w:rFonts w:ascii="Times New Roman" w:hAnsi="Times New Roman" w:cs="Times New Roman"/>
        </w:rPr>
        <w:t xml:space="preserve">, 100693. </w:t>
      </w:r>
    </w:p>
    <w:p w14:paraId="0C0929A3" w14:textId="77777777" w:rsidR="00B15521" w:rsidRPr="0010286E" w:rsidRDefault="00B15521" w:rsidP="00A81659">
      <w:pPr>
        <w:pStyle w:val="NormalWeb"/>
        <w:spacing w:before="0" w:beforeAutospacing="0" w:after="120" w:afterAutospacing="0"/>
        <w:jc w:val="both"/>
        <w:rPr>
          <w:color w:val="000000" w:themeColor="text1"/>
        </w:rPr>
      </w:pPr>
      <w:r w:rsidRPr="0010286E">
        <w:rPr>
          <w:color w:val="000000" w:themeColor="text1"/>
        </w:rPr>
        <w:t xml:space="preserve">Jalali, Mohammad, Mansouri, Hossein, &amp; Nazari Samani, Fatemeh. (2024). Groundwater hydrogeochemical processes and water quality assessment using facies classification and water quality index. </w:t>
      </w:r>
      <w:r w:rsidRPr="0010286E">
        <w:rPr>
          <w:rStyle w:val="Emphasis"/>
          <w:rFonts w:eastAsiaTheme="majorEastAsia"/>
          <w:color w:val="000000" w:themeColor="text1"/>
        </w:rPr>
        <w:t>Journal of Hydrology: Regional Studies</w:t>
      </w:r>
      <w:r w:rsidRPr="0010286E">
        <w:rPr>
          <w:b/>
          <w:bCs/>
          <w:color w:val="000000" w:themeColor="text1"/>
        </w:rPr>
        <w:t xml:space="preserve">, </w:t>
      </w:r>
      <w:r w:rsidRPr="0010286E">
        <w:rPr>
          <w:rStyle w:val="Strong"/>
          <w:rFonts w:eastAsiaTheme="majorEastAsia"/>
          <w:b w:val="0"/>
          <w:bCs w:val="0"/>
          <w:color w:val="000000" w:themeColor="text1"/>
        </w:rPr>
        <w:t>48</w:t>
      </w:r>
      <w:r w:rsidRPr="0010286E">
        <w:rPr>
          <w:color w:val="000000" w:themeColor="text1"/>
        </w:rPr>
        <w:t>, 101-784.</w:t>
      </w:r>
    </w:p>
    <w:p w14:paraId="568F0B02" w14:textId="77777777" w:rsidR="00B15521" w:rsidRPr="002F14F8" w:rsidRDefault="00B15521" w:rsidP="002F14F8">
      <w:pPr>
        <w:jc w:val="both"/>
        <w:rPr>
          <w:rFonts w:ascii="Times New Roman" w:hAnsi="Times New Roman" w:cs="Times New Roman"/>
        </w:rPr>
      </w:pPr>
      <w:r w:rsidRPr="002F14F8">
        <w:rPr>
          <w:rFonts w:ascii="Times New Roman" w:hAnsi="Times New Roman" w:cs="Times New Roman"/>
        </w:rPr>
        <w:t xml:space="preserve">Kumar, P., Singh, C. K., &amp; Mukherjee, S. (2023). Hydrogeochemical evolution and controlling factors of groundwater chemistry in sedimentary basins. </w:t>
      </w:r>
      <w:r w:rsidRPr="002F14F8">
        <w:rPr>
          <w:rFonts w:ascii="Times New Roman" w:hAnsi="Times New Roman" w:cs="Times New Roman"/>
          <w:i/>
          <w:iCs/>
        </w:rPr>
        <w:t>Journal of Hydrology, 621</w:t>
      </w:r>
      <w:r w:rsidRPr="002F14F8">
        <w:rPr>
          <w:rFonts w:ascii="Times New Roman" w:hAnsi="Times New Roman" w:cs="Times New Roman"/>
        </w:rPr>
        <w:t xml:space="preserve">, 129603. </w:t>
      </w:r>
    </w:p>
    <w:p w14:paraId="48A63FCA" w14:textId="77777777" w:rsidR="00B15521" w:rsidRPr="009C45F6" w:rsidRDefault="00B15521" w:rsidP="009C45F6">
      <w:pPr>
        <w:spacing w:after="120" w:line="240" w:lineRule="auto"/>
        <w:jc w:val="both"/>
        <w:rPr>
          <w:rFonts w:ascii="Times New Roman" w:hAnsi="Times New Roman" w:cs="Times New Roman"/>
          <w:color w:val="000000" w:themeColor="text1"/>
          <w:sz w:val="32"/>
          <w:szCs w:val="32"/>
        </w:rPr>
      </w:pPr>
      <w:r w:rsidRPr="009C45F6">
        <w:rPr>
          <w:rFonts w:ascii="Times New Roman" w:hAnsi="Times New Roman" w:cs="Times New Roman"/>
          <w:lang w:val="en-GB"/>
        </w:rPr>
        <w:t xml:space="preserve">Memon, Y. I., Qureshi, S. S., </w:t>
      </w:r>
      <w:proofErr w:type="spellStart"/>
      <w:r w:rsidRPr="009C45F6">
        <w:rPr>
          <w:rFonts w:ascii="Times New Roman" w:hAnsi="Times New Roman" w:cs="Times New Roman"/>
          <w:lang w:val="en-GB"/>
        </w:rPr>
        <w:t>Kandhar</w:t>
      </w:r>
      <w:proofErr w:type="spellEnd"/>
      <w:r w:rsidRPr="009C45F6">
        <w:rPr>
          <w:rFonts w:ascii="Times New Roman" w:hAnsi="Times New Roman" w:cs="Times New Roman"/>
          <w:lang w:val="en-GB"/>
        </w:rPr>
        <w:t xml:space="preserve">, I. A., Qureshi, N. A., Saeed, S., Mubarak, N. M., ... &amp; Saleh, T. A. (2023). Statistical analysis and physicochemical characteristics of groundwater‎ quality parameters: a case study. </w:t>
      </w:r>
      <w:r w:rsidRPr="009C45F6">
        <w:rPr>
          <w:rFonts w:ascii="Times New Roman" w:hAnsi="Times New Roman" w:cs="Times New Roman"/>
          <w:i/>
          <w:iCs/>
          <w:lang w:val="en-GB"/>
        </w:rPr>
        <w:t>International Journal of Environmental Analytical Chemistry</w:t>
      </w:r>
      <w:r w:rsidRPr="009C45F6">
        <w:rPr>
          <w:rFonts w:ascii="Times New Roman" w:hAnsi="Times New Roman" w:cs="Times New Roman"/>
          <w:lang w:val="en-GB"/>
        </w:rPr>
        <w:t>, 103(10), 2270-2291.</w:t>
      </w:r>
    </w:p>
    <w:p w14:paraId="2CEA1016" w14:textId="77777777" w:rsidR="00B15521" w:rsidRPr="002F14F8" w:rsidRDefault="00B15521" w:rsidP="002F14F8">
      <w:pPr>
        <w:jc w:val="both"/>
        <w:rPr>
          <w:rFonts w:ascii="Times New Roman" w:hAnsi="Times New Roman" w:cs="Times New Roman"/>
        </w:rPr>
      </w:pPr>
      <w:proofErr w:type="spellStart"/>
      <w:r w:rsidRPr="002F14F8">
        <w:rPr>
          <w:rFonts w:ascii="Times New Roman" w:hAnsi="Times New Roman" w:cs="Times New Roman"/>
        </w:rPr>
        <w:t>Nwankwoala</w:t>
      </w:r>
      <w:proofErr w:type="spellEnd"/>
      <w:r w:rsidRPr="002F14F8">
        <w:rPr>
          <w:rFonts w:ascii="Times New Roman" w:hAnsi="Times New Roman" w:cs="Times New Roman"/>
        </w:rPr>
        <w:t xml:space="preserve">, H. O., &amp; </w:t>
      </w:r>
      <w:proofErr w:type="spellStart"/>
      <w:r w:rsidRPr="002F14F8">
        <w:rPr>
          <w:rFonts w:ascii="Times New Roman" w:hAnsi="Times New Roman" w:cs="Times New Roman"/>
        </w:rPr>
        <w:t>Oborie</w:t>
      </w:r>
      <w:proofErr w:type="spellEnd"/>
      <w:r w:rsidRPr="002F14F8">
        <w:rPr>
          <w:rFonts w:ascii="Times New Roman" w:hAnsi="Times New Roman" w:cs="Times New Roman"/>
        </w:rPr>
        <w:t xml:space="preserve">, E. (2021). </w:t>
      </w:r>
      <w:proofErr w:type="spellStart"/>
      <w:r w:rsidRPr="002F14F8">
        <w:rPr>
          <w:rFonts w:ascii="Times New Roman" w:hAnsi="Times New Roman" w:cs="Times New Roman"/>
        </w:rPr>
        <w:t>Hydrogeochemistry</w:t>
      </w:r>
      <w:proofErr w:type="spellEnd"/>
      <w:r w:rsidRPr="002F14F8">
        <w:rPr>
          <w:rFonts w:ascii="Times New Roman" w:hAnsi="Times New Roman" w:cs="Times New Roman"/>
        </w:rPr>
        <w:t xml:space="preserve"> and groundwater quality assessment in parts of the Niger Delta Basin, Nigeria. </w:t>
      </w:r>
      <w:r w:rsidRPr="002F14F8">
        <w:rPr>
          <w:rFonts w:ascii="Times New Roman" w:hAnsi="Times New Roman" w:cs="Times New Roman"/>
          <w:i/>
          <w:iCs/>
        </w:rPr>
        <w:t>Environmental Earth Sciences, 80</w:t>
      </w:r>
      <w:r w:rsidRPr="002F14F8">
        <w:rPr>
          <w:rFonts w:ascii="Times New Roman" w:hAnsi="Times New Roman" w:cs="Times New Roman"/>
        </w:rPr>
        <w:t xml:space="preserve">, 459. </w:t>
      </w:r>
    </w:p>
    <w:p w14:paraId="2A77DE75" w14:textId="77777777" w:rsidR="00B15521" w:rsidRPr="0010286E" w:rsidRDefault="00B15521" w:rsidP="00A81659">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10286E">
        <w:rPr>
          <w:rFonts w:ascii="Times New Roman" w:eastAsia="Times New Roman" w:hAnsi="Times New Roman" w:cs="Times New Roman"/>
          <w:color w:val="000000" w:themeColor="text1"/>
          <w:kern w:val="0"/>
          <w14:ligatures w14:val="none"/>
        </w:rPr>
        <w:t>Odukoya</w:t>
      </w:r>
      <w:proofErr w:type="spellEnd"/>
      <w:r w:rsidRPr="0010286E">
        <w:rPr>
          <w:rFonts w:ascii="Times New Roman" w:eastAsia="Times New Roman" w:hAnsi="Times New Roman" w:cs="Times New Roman"/>
          <w:color w:val="000000" w:themeColor="text1"/>
          <w:kern w:val="0"/>
          <w14:ligatures w14:val="none"/>
        </w:rPr>
        <w:t xml:space="preserve">, A. M. (2015). Geochemical and quality assessment of groundwater in some Nigerian basement complex terrains. </w:t>
      </w:r>
      <w:r w:rsidRPr="0010286E">
        <w:rPr>
          <w:rFonts w:ascii="Times New Roman" w:eastAsia="Times New Roman" w:hAnsi="Times New Roman" w:cs="Times New Roman"/>
          <w:i/>
          <w:iCs/>
          <w:color w:val="000000" w:themeColor="text1"/>
          <w:kern w:val="0"/>
          <w14:ligatures w14:val="none"/>
        </w:rPr>
        <w:t>International Journal of Environmental Science and Technology</w:t>
      </w:r>
      <w:r w:rsidRPr="0010286E">
        <w:rPr>
          <w:rFonts w:ascii="Times New Roman" w:eastAsia="Times New Roman" w:hAnsi="Times New Roman" w:cs="Times New Roman"/>
          <w:color w:val="000000" w:themeColor="text1"/>
          <w:kern w:val="0"/>
          <w14:ligatures w14:val="none"/>
        </w:rPr>
        <w:t xml:space="preserve">, 12, 3643–3656. </w:t>
      </w:r>
    </w:p>
    <w:p w14:paraId="539DE666" w14:textId="77777777" w:rsidR="00B15521" w:rsidRPr="0010286E" w:rsidRDefault="00B15521" w:rsidP="00A81659">
      <w:pPr>
        <w:pStyle w:val="NormalWeb"/>
        <w:spacing w:before="0" w:beforeAutospacing="0" w:after="120" w:afterAutospacing="0"/>
        <w:jc w:val="both"/>
        <w:rPr>
          <w:color w:val="000000" w:themeColor="text1"/>
        </w:rPr>
      </w:pPr>
      <w:proofErr w:type="spellStart"/>
      <w:r w:rsidRPr="0010286E">
        <w:rPr>
          <w:color w:val="000000" w:themeColor="text1"/>
        </w:rPr>
        <w:t>Onoyima</w:t>
      </w:r>
      <w:proofErr w:type="spellEnd"/>
      <w:r w:rsidRPr="0010286E">
        <w:rPr>
          <w:color w:val="000000" w:themeColor="text1"/>
        </w:rPr>
        <w:t xml:space="preserve">, Christopher C., </w:t>
      </w:r>
      <w:proofErr w:type="spellStart"/>
      <w:r w:rsidRPr="0010286E">
        <w:rPr>
          <w:color w:val="000000" w:themeColor="text1"/>
        </w:rPr>
        <w:t>Ekwere</w:t>
      </w:r>
      <w:proofErr w:type="spellEnd"/>
      <w:r w:rsidRPr="0010286E">
        <w:rPr>
          <w:color w:val="000000" w:themeColor="text1"/>
        </w:rPr>
        <w:t xml:space="preserve">, </w:t>
      </w:r>
      <w:proofErr w:type="spellStart"/>
      <w:r w:rsidRPr="0010286E">
        <w:rPr>
          <w:color w:val="000000" w:themeColor="text1"/>
        </w:rPr>
        <w:t>Nkea</w:t>
      </w:r>
      <w:proofErr w:type="spellEnd"/>
      <w:r w:rsidRPr="0010286E">
        <w:rPr>
          <w:color w:val="000000" w:themeColor="text1"/>
        </w:rPr>
        <w:t xml:space="preserve"> I., &amp; Okon, Emmanuel E. (2024). Hydro-geochemical characterization and groundwater suitability for drinking and irrigation: A comparative case study. </w:t>
      </w:r>
      <w:r w:rsidRPr="0010286E">
        <w:rPr>
          <w:rStyle w:val="Emphasis"/>
          <w:rFonts w:eastAsiaTheme="majorEastAsia"/>
          <w:color w:val="000000" w:themeColor="text1"/>
        </w:rPr>
        <w:t>Journal of Applied Environmental and Biological Sciences</w:t>
      </w:r>
      <w:r w:rsidRPr="0010286E">
        <w:rPr>
          <w:color w:val="000000" w:themeColor="text1"/>
        </w:rPr>
        <w:t xml:space="preserve">, </w:t>
      </w:r>
      <w:r w:rsidRPr="0010286E">
        <w:rPr>
          <w:rStyle w:val="Strong"/>
          <w:rFonts w:eastAsiaTheme="majorEastAsia"/>
          <w:b w:val="0"/>
          <w:bCs w:val="0"/>
          <w:color w:val="000000" w:themeColor="text1"/>
        </w:rPr>
        <w:t>14</w:t>
      </w:r>
      <w:r w:rsidRPr="0010286E">
        <w:rPr>
          <w:color w:val="000000" w:themeColor="text1"/>
        </w:rPr>
        <w:t xml:space="preserve">(3), 78–94. </w:t>
      </w:r>
    </w:p>
    <w:p w14:paraId="6B9CC439" w14:textId="77777777" w:rsidR="00B15521" w:rsidRPr="009C45F6" w:rsidRDefault="00B15521" w:rsidP="009C45F6">
      <w:pPr>
        <w:spacing w:after="120" w:line="240" w:lineRule="auto"/>
        <w:jc w:val="both"/>
        <w:rPr>
          <w:rFonts w:ascii="Times New Roman" w:hAnsi="Times New Roman" w:cs="Times New Roman"/>
          <w:color w:val="000000" w:themeColor="text1"/>
          <w:sz w:val="32"/>
          <w:szCs w:val="32"/>
        </w:rPr>
      </w:pPr>
      <w:r w:rsidRPr="009C45F6">
        <w:rPr>
          <w:rFonts w:ascii="Times New Roman" w:hAnsi="Times New Roman" w:cs="Times New Roman"/>
          <w:lang w:val="en-GB"/>
        </w:rPr>
        <w:t xml:space="preserve">Qureshi, S. S., Channa, A., Memon, S. A., Khan, Q., Jamali, G. A., </w:t>
      </w:r>
      <w:proofErr w:type="spellStart"/>
      <w:r w:rsidRPr="009C45F6">
        <w:rPr>
          <w:rFonts w:ascii="Times New Roman" w:hAnsi="Times New Roman" w:cs="Times New Roman"/>
          <w:lang w:val="en-GB"/>
        </w:rPr>
        <w:t>Panhwar</w:t>
      </w:r>
      <w:proofErr w:type="spellEnd"/>
      <w:r w:rsidRPr="009C45F6">
        <w:rPr>
          <w:rFonts w:ascii="Times New Roman" w:hAnsi="Times New Roman" w:cs="Times New Roman"/>
          <w:lang w:val="en-GB"/>
        </w:rPr>
        <w:t xml:space="preserve">, A., &amp; Saleh, T. A. (2021). Assessment of physicochemical characteristics in groundwater quality parameters. </w:t>
      </w:r>
      <w:r w:rsidRPr="009C45F6">
        <w:rPr>
          <w:rFonts w:ascii="Times New Roman" w:hAnsi="Times New Roman" w:cs="Times New Roman"/>
          <w:i/>
          <w:iCs/>
          <w:lang w:val="en-GB"/>
        </w:rPr>
        <w:t>Environmental Technology &amp; Innovation</w:t>
      </w:r>
      <w:r w:rsidRPr="009C45F6">
        <w:rPr>
          <w:rFonts w:ascii="Times New Roman" w:hAnsi="Times New Roman" w:cs="Times New Roman"/>
          <w:lang w:val="en-GB"/>
        </w:rPr>
        <w:t>, 24, 101877</w:t>
      </w:r>
    </w:p>
    <w:p w14:paraId="7820B17E" w14:textId="77777777" w:rsidR="00B15521" w:rsidRPr="002F14F8" w:rsidRDefault="00B15521" w:rsidP="002F14F8">
      <w:pPr>
        <w:jc w:val="both"/>
        <w:rPr>
          <w:rFonts w:ascii="Times New Roman" w:hAnsi="Times New Roman" w:cs="Times New Roman"/>
        </w:rPr>
      </w:pPr>
      <w:r w:rsidRPr="002F14F8">
        <w:rPr>
          <w:rFonts w:ascii="Times New Roman" w:hAnsi="Times New Roman" w:cs="Times New Roman"/>
        </w:rPr>
        <w:t xml:space="preserve">Ravikumar, P., &amp; Somashekar, R. K. (2021). </w:t>
      </w:r>
      <w:proofErr w:type="spellStart"/>
      <w:r w:rsidRPr="002F14F8">
        <w:rPr>
          <w:rFonts w:ascii="Times New Roman" w:hAnsi="Times New Roman" w:cs="Times New Roman"/>
        </w:rPr>
        <w:t>Hydrochemical</w:t>
      </w:r>
      <w:proofErr w:type="spellEnd"/>
      <w:r w:rsidRPr="002F14F8">
        <w:rPr>
          <w:rFonts w:ascii="Times New Roman" w:hAnsi="Times New Roman" w:cs="Times New Roman"/>
        </w:rPr>
        <w:t xml:space="preserve"> facies characterization of groundwater using Piper and Gibbs diagrams. </w:t>
      </w:r>
      <w:r w:rsidRPr="002F14F8">
        <w:rPr>
          <w:rFonts w:ascii="Times New Roman" w:hAnsi="Times New Roman" w:cs="Times New Roman"/>
          <w:i/>
          <w:iCs/>
        </w:rPr>
        <w:t>Applied Water Science, 11</w:t>
      </w:r>
      <w:r w:rsidRPr="002F14F8">
        <w:rPr>
          <w:rFonts w:ascii="Times New Roman" w:hAnsi="Times New Roman" w:cs="Times New Roman"/>
        </w:rPr>
        <w:t xml:space="preserve">, 135. </w:t>
      </w:r>
    </w:p>
    <w:p w14:paraId="19463978" w14:textId="77777777" w:rsidR="00B15521" w:rsidRPr="002F14F8" w:rsidRDefault="00B15521" w:rsidP="002F14F8">
      <w:pPr>
        <w:jc w:val="both"/>
        <w:rPr>
          <w:rFonts w:ascii="Times New Roman" w:hAnsi="Times New Roman" w:cs="Times New Roman"/>
        </w:rPr>
      </w:pPr>
      <w:r w:rsidRPr="002F14F8">
        <w:rPr>
          <w:rFonts w:ascii="Times New Roman" w:hAnsi="Times New Roman" w:cs="Times New Roman"/>
        </w:rPr>
        <w:t xml:space="preserve">Saha, S., Reza, A. H. M. S., &amp; Roy, M. K. (2022). Geochemical processes controlling groundwater quality using Gibbs and multivariate statistical methods. </w:t>
      </w:r>
      <w:r w:rsidRPr="002F14F8">
        <w:rPr>
          <w:rFonts w:ascii="Times New Roman" w:hAnsi="Times New Roman" w:cs="Times New Roman"/>
          <w:i/>
          <w:iCs/>
        </w:rPr>
        <w:t>Environmental Monitoring and Assessment, 194</w:t>
      </w:r>
      <w:r w:rsidRPr="002F14F8">
        <w:rPr>
          <w:rFonts w:ascii="Times New Roman" w:hAnsi="Times New Roman" w:cs="Times New Roman"/>
        </w:rPr>
        <w:t xml:space="preserve">, 423. </w:t>
      </w:r>
    </w:p>
    <w:p w14:paraId="36176C76" w14:textId="77777777" w:rsidR="00B15521" w:rsidRPr="0010286E" w:rsidRDefault="00B15521" w:rsidP="00A81659">
      <w:pPr>
        <w:spacing w:after="120" w:line="240" w:lineRule="auto"/>
        <w:jc w:val="both"/>
        <w:rPr>
          <w:rFonts w:ascii="Times New Roman" w:eastAsia="Times New Roman" w:hAnsi="Times New Roman" w:cs="Times New Roman"/>
          <w:color w:val="000000" w:themeColor="text1"/>
          <w:kern w:val="0"/>
          <w14:ligatures w14:val="none"/>
        </w:rPr>
      </w:pPr>
      <w:r w:rsidRPr="0010286E">
        <w:rPr>
          <w:rFonts w:ascii="Times New Roman" w:hAnsi="Times New Roman" w:cs="Times New Roman"/>
          <w:color w:val="000000" w:themeColor="text1"/>
        </w:rPr>
        <w:t xml:space="preserve">Shuaibu, Abdullahi S. I., Adamu, A. M., </w:t>
      </w:r>
      <w:proofErr w:type="spellStart"/>
      <w:r w:rsidRPr="0010286E">
        <w:rPr>
          <w:rFonts w:ascii="Times New Roman" w:hAnsi="Times New Roman" w:cs="Times New Roman"/>
          <w:color w:val="000000" w:themeColor="text1"/>
        </w:rPr>
        <w:t>Dawuda</w:t>
      </w:r>
      <w:proofErr w:type="spellEnd"/>
      <w:r w:rsidRPr="0010286E">
        <w:rPr>
          <w:rFonts w:ascii="Times New Roman" w:hAnsi="Times New Roman" w:cs="Times New Roman"/>
          <w:color w:val="000000" w:themeColor="text1"/>
        </w:rPr>
        <w:t xml:space="preserve">, M. M., &amp; Olaniyi, O. T. (2024). </w:t>
      </w:r>
      <w:proofErr w:type="spellStart"/>
      <w:r w:rsidRPr="0010286E">
        <w:rPr>
          <w:rFonts w:ascii="Times New Roman" w:hAnsi="Times New Roman" w:cs="Times New Roman"/>
          <w:color w:val="000000" w:themeColor="text1"/>
        </w:rPr>
        <w:t>Hydrogeochemistry</w:t>
      </w:r>
      <w:proofErr w:type="spellEnd"/>
      <w:r w:rsidRPr="0010286E">
        <w:rPr>
          <w:rFonts w:ascii="Times New Roman" w:hAnsi="Times New Roman" w:cs="Times New Roman"/>
          <w:color w:val="000000" w:themeColor="text1"/>
        </w:rPr>
        <w:t xml:space="preserve"> and water quality index for groundwater in the </w:t>
      </w:r>
      <w:proofErr w:type="spellStart"/>
      <w:r w:rsidRPr="0010286E">
        <w:rPr>
          <w:rFonts w:ascii="Times New Roman" w:hAnsi="Times New Roman" w:cs="Times New Roman"/>
          <w:color w:val="000000" w:themeColor="text1"/>
        </w:rPr>
        <w:t>Komadugu</w:t>
      </w:r>
      <w:proofErr w:type="spellEnd"/>
      <w:r w:rsidRPr="0010286E">
        <w:rPr>
          <w:rFonts w:ascii="Times New Roman" w:hAnsi="Times New Roman" w:cs="Times New Roman"/>
          <w:color w:val="000000" w:themeColor="text1"/>
        </w:rPr>
        <w:t xml:space="preserve">-Yobe Basin, Nigeria. </w:t>
      </w:r>
      <w:r w:rsidRPr="0010286E">
        <w:rPr>
          <w:rStyle w:val="Emphasis"/>
          <w:rFonts w:ascii="Times New Roman" w:hAnsi="Times New Roman" w:cs="Times New Roman"/>
          <w:color w:val="000000" w:themeColor="text1"/>
        </w:rPr>
        <w:t>Water</w:t>
      </w:r>
      <w:r w:rsidRPr="0010286E">
        <w:rPr>
          <w:rFonts w:ascii="Times New Roman" w:hAnsi="Times New Roman" w:cs="Times New Roman"/>
          <w:color w:val="000000" w:themeColor="text1"/>
        </w:rPr>
        <w:t xml:space="preserve">, </w:t>
      </w:r>
      <w:r w:rsidRPr="0010286E">
        <w:rPr>
          <w:rStyle w:val="Strong"/>
          <w:rFonts w:ascii="Times New Roman" w:hAnsi="Times New Roman" w:cs="Times New Roman"/>
          <w:b w:val="0"/>
          <w:bCs w:val="0"/>
          <w:color w:val="000000" w:themeColor="text1"/>
        </w:rPr>
        <w:t>16</w:t>
      </w:r>
      <w:r w:rsidRPr="0010286E">
        <w:rPr>
          <w:rFonts w:ascii="Times New Roman" w:hAnsi="Times New Roman" w:cs="Times New Roman"/>
          <w:color w:val="000000" w:themeColor="text1"/>
        </w:rPr>
        <w:t>(4), 601.</w:t>
      </w:r>
    </w:p>
    <w:p w14:paraId="3BA8C9BA" w14:textId="77777777" w:rsidR="00B15521" w:rsidRPr="0010286E" w:rsidRDefault="00B15521" w:rsidP="00A81659">
      <w:pPr>
        <w:spacing w:after="120" w:line="240" w:lineRule="auto"/>
        <w:jc w:val="both"/>
        <w:rPr>
          <w:rFonts w:ascii="Times New Roman" w:hAnsi="Times New Roman" w:cs="Times New Roman"/>
          <w:color w:val="000000" w:themeColor="text1"/>
        </w:rPr>
      </w:pPr>
      <w:r w:rsidRPr="0010286E">
        <w:rPr>
          <w:rFonts w:ascii="Times New Roman" w:hAnsi="Times New Roman" w:cs="Times New Roman"/>
          <w:color w:val="000000" w:themeColor="text1"/>
        </w:rPr>
        <w:t xml:space="preserve">Uddin, M. G., Hasan, M. A., Chatto, S. H., Rahman, M. M., &amp; Rahman, M. S. (2023). Hydrogeochemical assessment of groundwater using multivariate statistical and water quality index approaches. </w:t>
      </w:r>
      <w:r w:rsidRPr="0010286E">
        <w:rPr>
          <w:rStyle w:val="Emphasis"/>
          <w:rFonts w:ascii="Times New Roman" w:hAnsi="Times New Roman" w:cs="Times New Roman"/>
          <w:color w:val="000000" w:themeColor="text1"/>
        </w:rPr>
        <w:t>Journal of Environmental Geochemistry &amp; Health</w:t>
      </w:r>
      <w:r w:rsidRPr="0010286E">
        <w:rPr>
          <w:rFonts w:ascii="Times New Roman" w:hAnsi="Times New Roman" w:cs="Times New Roman"/>
          <w:color w:val="000000" w:themeColor="text1"/>
        </w:rPr>
        <w:t xml:space="preserve">, </w:t>
      </w:r>
      <w:r w:rsidRPr="0010286E">
        <w:rPr>
          <w:rStyle w:val="Strong"/>
          <w:rFonts w:ascii="Times New Roman" w:hAnsi="Times New Roman" w:cs="Times New Roman"/>
          <w:b w:val="0"/>
          <w:bCs w:val="0"/>
          <w:color w:val="000000" w:themeColor="text1"/>
        </w:rPr>
        <w:t>45</w:t>
      </w:r>
      <w:r w:rsidRPr="0010286E">
        <w:rPr>
          <w:rFonts w:ascii="Times New Roman" w:hAnsi="Times New Roman" w:cs="Times New Roman"/>
          <w:color w:val="000000" w:themeColor="text1"/>
        </w:rPr>
        <w:t>, 1307–1325.</w:t>
      </w:r>
    </w:p>
    <w:p w14:paraId="554FBCC3" w14:textId="77777777" w:rsidR="00B15521" w:rsidRDefault="00B15521" w:rsidP="009C45F6">
      <w:pPr>
        <w:spacing w:after="120" w:line="240" w:lineRule="auto"/>
        <w:jc w:val="both"/>
        <w:rPr>
          <w:rFonts w:ascii="Times New Roman" w:hAnsi="Times New Roman" w:cs="Times New Roman"/>
          <w:color w:val="000000" w:themeColor="text1"/>
        </w:rPr>
      </w:pPr>
      <w:r w:rsidRPr="0010286E">
        <w:rPr>
          <w:rFonts w:ascii="Times New Roman" w:hAnsi="Times New Roman" w:cs="Times New Roman"/>
          <w:color w:val="000000" w:themeColor="text1"/>
        </w:rPr>
        <w:t xml:space="preserve">World Health Organization. (2022). </w:t>
      </w:r>
      <w:r w:rsidRPr="0010286E">
        <w:rPr>
          <w:rStyle w:val="Emphasis"/>
          <w:rFonts w:ascii="Times New Roman" w:hAnsi="Times New Roman" w:cs="Times New Roman"/>
          <w:color w:val="000000" w:themeColor="text1"/>
        </w:rPr>
        <w:t>Guidelines for drinking-water quality: Fourth edition incorporating the first and second addenda</w:t>
      </w:r>
      <w:r w:rsidRPr="0010286E">
        <w:rPr>
          <w:rFonts w:ascii="Times New Roman" w:hAnsi="Times New Roman" w:cs="Times New Roman"/>
          <w:color w:val="000000" w:themeColor="text1"/>
        </w:rPr>
        <w:t xml:space="preserve">. WHO Press. </w:t>
      </w:r>
    </w:p>
    <w:p w14:paraId="2848AC83" w14:textId="77777777" w:rsidR="0086442B" w:rsidRPr="00A81659" w:rsidRDefault="0086442B" w:rsidP="00A81659">
      <w:pPr>
        <w:pStyle w:val="NormalWeb"/>
        <w:spacing w:before="0" w:beforeAutospacing="0" w:after="120" w:afterAutospacing="0"/>
      </w:pPr>
    </w:p>
    <w:p w14:paraId="7E01B5B1" w14:textId="77777777" w:rsidR="001A6307" w:rsidRPr="00A81659" w:rsidRDefault="001A6307" w:rsidP="00A81659">
      <w:pPr>
        <w:spacing w:after="120" w:line="240" w:lineRule="auto"/>
        <w:jc w:val="both"/>
        <w:rPr>
          <w:rFonts w:ascii="Times New Roman" w:hAnsi="Times New Roman" w:cs="Times New Roman"/>
        </w:rPr>
      </w:pPr>
    </w:p>
    <w:sectPr w:rsidR="001A6307" w:rsidRPr="00A816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FA8E4" w14:textId="77777777" w:rsidR="00117741" w:rsidRDefault="00117741" w:rsidP="005913A9">
      <w:pPr>
        <w:spacing w:after="0" w:line="240" w:lineRule="auto"/>
      </w:pPr>
      <w:r>
        <w:separator/>
      </w:r>
    </w:p>
  </w:endnote>
  <w:endnote w:type="continuationSeparator" w:id="0">
    <w:p w14:paraId="5EE2A14E" w14:textId="77777777" w:rsidR="00117741" w:rsidRDefault="00117741" w:rsidP="0059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7456" w14:textId="77777777" w:rsidR="005913A9" w:rsidRDefault="00591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FFFF" w14:textId="77777777" w:rsidR="005913A9" w:rsidRDefault="005913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C9C1" w14:textId="77777777" w:rsidR="005913A9" w:rsidRDefault="00591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4B1C4" w14:textId="77777777" w:rsidR="00117741" w:rsidRDefault="00117741" w:rsidP="005913A9">
      <w:pPr>
        <w:spacing w:after="0" w:line="240" w:lineRule="auto"/>
      </w:pPr>
      <w:r>
        <w:separator/>
      </w:r>
    </w:p>
  </w:footnote>
  <w:footnote w:type="continuationSeparator" w:id="0">
    <w:p w14:paraId="1E18AB5C" w14:textId="77777777" w:rsidR="00117741" w:rsidRDefault="00117741" w:rsidP="00591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1C90" w14:textId="5E5AB895" w:rsidR="005913A9" w:rsidRDefault="00000000">
    <w:pPr>
      <w:pStyle w:val="Header"/>
    </w:pPr>
    <w:r>
      <w:rPr>
        <w:noProof/>
      </w:rPr>
      <w:pict w14:anchorId="0FA23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96E0" w14:textId="0526A8E9" w:rsidR="005913A9" w:rsidRDefault="00000000">
    <w:pPr>
      <w:pStyle w:val="Header"/>
    </w:pPr>
    <w:r>
      <w:rPr>
        <w:noProof/>
      </w:rPr>
      <w:pict w14:anchorId="300D3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38D7" w14:textId="7A0CB842" w:rsidR="005913A9" w:rsidRDefault="00000000">
    <w:pPr>
      <w:pStyle w:val="Header"/>
    </w:pPr>
    <w:r>
      <w:rPr>
        <w:noProof/>
      </w:rPr>
      <w:pict w14:anchorId="17D8F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D8C"/>
    <w:rsid w:val="00073955"/>
    <w:rsid w:val="0010286E"/>
    <w:rsid w:val="00117741"/>
    <w:rsid w:val="0013145E"/>
    <w:rsid w:val="0013506B"/>
    <w:rsid w:val="001A6307"/>
    <w:rsid w:val="001A79CF"/>
    <w:rsid w:val="001F3611"/>
    <w:rsid w:val="002F14F8"/>
    <w:rsid w:val="003167CA"/>
    <w:rsid w:val="003270F1"/>
    <w:rsid w:val="00353EB2"/>
    <w:rsid w:val="004373D7"/>
    <w:rsid w:val="004B2813"/>
    <w:rsid w:val="004C0D58"/>
    <w:rsid w:val="004C7101"/>
    <w:rsid w:val="004F4253"/>
    <w:rsid w:val="005913A9"/>
    <w:rsid w:val="005B1CDE"/>
    <w:rsid w:val="005B4A07"/>
    <w:rsid w:val="005E1284"/>
    <w:rsid w:val="00615BD4"/>
    <w:rsid w:val="006D2391"/>
    <w:rsid w:val="007E54CE"/>
    <w:rsid w:val="007F7263"/>
    <w:rsid w:val="0086442B"/>
    <w:rsid w:val="008D280F"/>
    <w:rsid w:val="008F2608"/>
    <w:rsid w:val="00966FBC"/>
    <w:rsid w:val="009B54F1"/>
    <w:rsid w:val="009C45F6"/>
    <w:rsid w:val="00A352B3"/>
    <w:rsid w:val="00A40926"/>
    <w:rsid w:val="00A81659"/>
    <w:rsid w:val="00B15521"/>
    <w:rsid w:val="00B2428E"/>
    <w:rsid w:val="00B445B5"/>
    <w:rsid w:val="00B6404A"/>
    <w:rsid w:val="00B76D8C"/>
    <w:rsid w:val="00CA7E98"/>
    <w:rsid w:val="00CB261D"/>
    <w:rsid w:val="00D15DCD"/>
    <w:rsid w:val="00D37DE0"/>
    <w:rsid w:val="00DA447A"/>
    <w:rsid w:val="00E448EB"/>
    <w:rsid w:val="00EC3290"/>
    <w:rsid w:val="00F036B4"/>
    <w:rsid w:val="00F52F08"/>
    <w:rsid w:val="00F84566"/>
    <w:rsid w:val="00FE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63DE1"/>
  <w15:chartTrackingRefBased/>
  <w15:docId w15:val="{5F9D2A2B-A9EF-4621-93B7-57C27C91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D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6D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6D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6D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6D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6D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D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D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D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D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6D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6D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6D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6D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6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D8C"/>
    <w:rPr>
      <w:rFonts w:eastAsiaTheme="majorEastAsia" w:cstheme="majorBidi"/>
      <w:color w:val="272727" w:themeColor="text1" w:themeTint="D8"/>
    </w:rPr>
  </w:style>
  <w:style w:type="paragraph" w:styleId="Title">
    <w:name w:val="Title"/>
    <w:basedOn w:val="Normal"/>
    <w:next w:val="Normal"/>
    <w:link w:val="TitleChar"/>
    <w:uiPriority w:val="10"/>
    <w:qFormat/>
    <w:rsid w:val="00B76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D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D8C"/>
    <w:pPr>
      <w:spacing w:before="160"/>
      <w:jc w:val="center"/>
    </w:pPr>
    <w:rPr>
      <w:i/>
      <w:iCs/>
      <w:color w:val="404040" w:themeColor="text1" w:themeTint="BF"/>
    </w:rPr>
  </w:style>
  <w:style w:type="character" w:customStyle="1" w:styleId="QuoteChar">
    <w:name w:val="Quote Char"/>
    <w:basedOn w:val="DefaultParagraphFont"/>
    <w:link w:val="Quote"/>
    <w:uiPriority w:val="29"/>
    <w:rsid w:val="00B76D8C"/>
    <w:rPr>
      <w:i/>
      <w:iCs/>
      <w:color w:val="404040" w:themeColor="text1" w:themeTint="BF"/>
    </w:rPr>
  </w:style>
  <w:style w:type="paragraph" w:styleId="ListParagraph">
    <w:name w:val="List Paragraph"/>
    <w:basedOn w:val="Normal"/>
    <w:uiPriority w:val="34"/>
    <w:qFormat/>
    <w:rsid w:val="00B76D8C"/>
    <w:pPr>
      <w:ind w:left="720"/>
      <w:contextualSpacing/>
    </w:pPr>
  </w:style>
  <w:style w:type="character" w:styleId="IntenseEmphasis">
    <w:name w:val="Intense Emphasis"/>
    <w:basedOn w:val="DefaultParagraphFont"/>
    <w:uiPriority w:val="21"/>
    <w:qFormat/>
    <w:rsid w:val="00B76D8C"/>
    <w:rPr>
      <w:i/>
      <w:iCs/>
      <w:color w:val="2F5496" w:themeColor="accent1" w:themeShade="BF"/>
    </w:rPr>
  </w:style>
  <w:style w:type="paragraph" w:styleId="IntenseQuote">
    <w:name w:val="Intense Quote"/>
    <w:basedOn w:val="Normal"/>
    <w:next w:val="Normal"/>
    <w:link w:val="IntenseQuoteChar"/>
    <w:uiPriority w:val="30"/>
    <w:qFormat/>
    <w:rsid w:val="00B76D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6D8C"/>
    <w:rPr>
      <w:i/>
      <w:iCs/>
      <w:color w:val="2F5496" w:themeColor="accent1" w:themeShade="BF"/>
    </w:rPr>
  </w:style>
  <w:style w:type="character" w:styleId="IntenseReference">
    <w:name w:val="Intense Reference"/>
    <w:basedOn w:val="DefaultParagraphFont"/>
    <w:uiPriority w:val="32"/>
    <w:qFormat/>
    <w:rsid w:val="00B76D8C"/>
    <w:rPr>
      <w:b/>
      <w:bCs/>
      <w:smallCaps/>
      <w:color w:val="2F5496" w:themeColor="accent1" w:themeShade="BF"/>
      <w:spacing w:val="5"/>
    </w:rPr>
  </w:style>
  <w:style w:type="character" w:styleId="Emphasis">
    <w:name w:val="Emphasis"/>
    <w:basedOn w:val="DefaultParagraphFont"/>
    <w:uiPriority w:val="20"/>
    <w:qFormat/>
    <w:rsid w:val="00E448EB"/>
    <w:rPr>
      <w:i/>
      <w:iCs/>
    </w:rPr>
  </w:style>
  <w:style w:type="character" w:styleId="Strong">
    <w:name w:val="Strong"/>
    <w:basedOn w:val="DefaultParagraphFont"/>
    <w:uiPriority w:val="22"/>
    <w:qFormat/>
    <w:rsid w:val="00CB261D"/>
    <w:rPr>
      <w:b/>
      <w:bCs/>
    </w:rPr>
  </w:style>
  <w:style w:type="paragraph" w:styleId="NormalWeb">
    <w:name w:val="Normal (Web)"/>
    <w:basedOn w:val="Normal"/>
    <w:uiPriority w:val="99"/>
    <w:unhideWhenUsed/>
    <w:rsid w:val="001A630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A6307"/>
    <w:rPr>
      <w:color w:val="0000FF"/>
      <w:u w:val="single"/>
    </w:rPr>
  </w:style>
  <w:style w:type="table" w:styleId="TableGrid">
    <w:name w:val="Table Grid"/>
    <w:basedOn w:val="TableNormal"/>
    <w:uiPriority w:val="39"/>
    <w:rsid w:val="00F84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428E"/>
    <w:rPr>
      <w:color w:val="605E5C"/>
      <w:shd w:val="clear" w:color="auto" w:fill="E1DFDD"/>
    </w:rPr>
  </w:style>
  <w:style w:type="paragraph" w:styleId="Header">
    <w:name w:val="header"/>
    <w:basedOn w:val="Normal"/>
    <w:link w:val="HeaderChar"/>
    <w:uiPriority w:val="99"/>
    <w:unhideWhenUsed/>
    <w:rsid w:val="00591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3A9"/>
  </w:style>
  <w:style w:type="paragraph" w:styleId="Footer">
    <w:name w:val="footer"/>
    <w:basedOn w:val="Normal"/>
    <w:link w:val="FooterChar"/>
    <w:uiPriority w:val="99"/>
    <w:unhideWhenUsed/>
    <w:rsid w:val="00591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10</Pages>
  <Words>4401</Words>
  <Characters>25091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2026-01-30T21:17:00Z</dcterms:created>
  <dcterms:modified xsi:type="dcterms:W3CDTF">2026-02-05T16:35:00Z</dcterms:modified>
</cp:coreProperties>
</file>