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8F37B" w14:textId="77777777" w:rsidR="00672FE1" w:rsidRPr="00672FE1" w:rsidRDefault="00672FE1" w:rsidP="00672FE1">
      <w:pPr>
        <w:jc w:val="right"/>
        <w:rPr>
          <w:rFonts w:ascii="Arial" w:hAnsi="Arial" w:cs="Arial"/>
          <w:b/>
          <w:bCs/>
          <w:i/>
          <w:iCs/>
          <w:kern w:val="28"/>
          <w:sz w:val="36"/>
          <w:u w:val="single"/>
        </w:rPr>
      </w:pPr>
      <w:r w:rsidRPr="00672FE1">
        <w:rPr>
          <w:rFonts w:ascii="Arial" w:hAnsi="Arial" w:cs="Arial"/>
          <w:b/>
          <w:bCs/>
          <w:i/>
          <w:iCs/>
          <w:kern w:val="28"/>
          <w:sz w:val="36"/>
          <w:u w:val="single"/>
        </w:rPr>
        <w:t>Original Research Article</w:t>
      </w:r>
    </w:p>
    <w:p w14:paraId="366FB16D" w14:textId="7C8309CC" w:rsidR="00754C9A" w:rsidRPr="008A160B" w:rsidRDefault="008A160B" w:rsidP="008A160B">
      <w:pPr>
        <w:pStyle w:val="Title"/>
        <w:spacing w:after="0"/>
        <w:rPr>
          <w:rFonts w:ascii="Arial" w:hAnsi="Arial" w:cs="Arial"/>
          <w:szCs w:val="36"/>
        </w:rPr>
      </w:pPr>
      <w:r w:rsidRPr="008A160B">
        <w:rPr>
          <w:rFonts w:ascii="Arial" w:hAnsi="Arial" w:cs="Arial"/>
          <w:i/>
          <w:szCs w:val="36"/>
          <w:lang w:val="en-GB"/>
        </w:rPr>
        <w:t>In vitro</w:t>
      </w:r>
      <w:r w:rsidRPr="008A160B">
        <w:rPr>
          <w:rFonts w:ascii="Arial" w:hAnsi="Arial" w:cs="Arial"/>
          <w:szCs w:val="36"/>
          <w:lang w:val="en-GB"/>
        </w:rPr>
        <w:t xml:space="preserve"> Antifungal and Antioxidant Profiling of Binuclear Thiazole-Based Schiff Base Metal Complexes</w:t>
      </w:r>
    </w:p>
    <w:p w14:paraId="2F7B4FC7" w14:textId="77777777" w:rsidR="002C57D2" w:rsidRPr="00FB3A86" w:rsidRDefault="002C57D2" w:rsidP="00441B6F">
      <w:pPr>
        <w:pStyle w:val="Affiliation"/>
        <w:spacing w:after="0" w:line="240" w:lineRule="auto"/>
        <w:jc w:val="both"/>
        <w:rPr>
          <w:rFonts w:ascii="Arial" w:hAnsi="Arial" w:cs="Arial"/>
        </w:rPr>
      </w:pPr>
    </w:p>
    <w:p w14:paraId="28B05AB7" w14:textId="77777777" w:rsidR="00B01FCD" w:rsidRPr="00FB3A86" w:rsidRDefault="008635FF" w:rsidP="00441B6F">
      <w:pPr>
        <w:pStyle w:val="Copyright"/>
        <w:spacing w:after="0" w:line="240" w:lineRule="auto"/>
        <w:jc w:val="both"/>
        <w:rPr>
          <w:rFonts w:ascii="Arial" w:hAnsi="Arial" w:cs="Arial"/>
        </w:rPr>
        <w:sectPr w:rsidR="00B01FCD" w:rsidRPr="00FB3A86" w:rsidSect="007570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492BB73" wp14:editId="2C2DFC4D">
                <wp:extent cx="5303520" cy="635"/>
                <wp:effectExtent l="13335" t="17145" r="17145"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D182B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1094D4A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8AEF10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A0B9401" w14:textId="77777777" w:rsidTr="001E44FE">
        <w:tc>
          <w:tcPr>
            <w:tcW w:w="9576" w:type="dxa"/>
            <w:shd w:val="clear" w:color="auto" w:fill="F2F2F2"/>
          </w:tcPr>
          <w:p w14:paraId="63D6E112" w14:textId="6E704D2C" w:rsidR="005631CE" w:rsidRDefault="005631CE" w:rsidP="00195C90">
            <w:pPr>
              <w:pStyle w:val="NormalWeb"/>
              <w:jc w:val="both"/>
              <w:rPr>
                <w:rFonts w:ascii="Arial" w:hAnsi="Arial" w:cs="Arial"/>
                <w:sz w:val="22"/>
                <w:szCs w:val="22"/>
              </w:rPr>
            </w:pPr>
            <w:r w:rsidRPr="005631CE">
              <w:rPr>
                <w:rFonts w:ascii="Arial" w:hAnsi="Arial" w:cs="Arial"/>
                <w:sz w:val="22"/>
                <w:szCs w:val="22"/>
              </w:rPr>
              <w:t xml:space="preserve">The rapid emergence of multidrug resistance (MDR) among pathogenic microorganisms has become a major global health concern, creating an urgent demand for new and effective pharmacophoric systems. In this context, Schiff base ligands and their transition metal complexes have gained significant attention due to their structural versatility and promising biological activities. The present study investigates the </w:t>
            </w:r>
            <w:r w:rsidRPr="005631CE">
              <w:rPr>
                <w:rFonts w:ascii="Arial" w:hAnsi="Arial" w:cs="Arial"/>
                <w:i/>
                <w:sz w:val="22"/>
                <w:szCs w:val="22"/>
              </w:rPr>
              <w:t>in vitro</w:t>
            </w:r>
            <w:r w:rsidRPr="005631CE">
              <w:rPr>
                <w:rFonts w:ascii="Arial" w:hAnsi="Arial" w:cs="Arial"/>
                <w:sz w:val="22"/>
                <w:szCs w:val="22"/>
              </w:rPr>
              <w:t xml:space="preserve"> antifungal and antioxidant activities of a thiazole-based Schiff base ligand</w:t>
            </w:r>
            <w:r w:rsidR="00982084">
              <w:rPr>
                <w:rFonts w:ascii="Arial" w:hAnsi="Arial" w:cs="Arial"/>
                <w:sz w:val="22"/>
                <w:szCs w:val="22"/>
              </w:rPr>
              <w:t xml:space="preserve">, </w:t>
            </w:r>
            <w:r w:rsidRPr="005631CE">
              <w:rPr>
                <w:rFonts w:ascii="Arial" w:hAnsi="Arial" w:cs="Arial"/>
                <w:sz w:val="22"/>
                <w:szCs w:val="22"/>
              </w:rPr>
              <w:t xml:space="preserve">LA and its binuclear complexes with biologically relevant transition metal ions, namely </w:t>
            </w:r>
            <w:proofErr w:type="gramStart"/>
            <w:r w:rsidRPr="005631CE">
              <w:rPr>
                <w:rFonts w:ascii="Arial" w:hAnsi="Arial" w:cs="Arial"/>
                <w:sz w:val="22"/>
                <w:szCs w:val="22"/>
              </w:rPr>
              <w:t>Co(</w:t>
            </w:r>
            <w:proofErr w:type="gramEnd"/>
            <w:r w:rsidRPr="005631CE">
              <w:rPr>
                <w:rFonts w:ascii="Arial" w:hAnsi="Arial" w:cs="Arial"/>
                <w:sz w:val="22"/>
                <w:szCs w:val="22"/>
              </w:rPr>
              <w:t>II), Ni(II), Cu(II), and Zn(II).</w:t>
            </w:r>
            <w:r w:rsidR="00195C90" w:rsidRPr="00195C90">
              <w:rPr>
                <w:rFonts w:ascii="Arial" w:hAnsi="Arial" w:cs="Arial"/>
                <w:sz w:val="22"/>
                <w:szCs w:val="22"/>
              </w:rPr>
              <w:t xml:space="preserve"> </w:t>
            </w:r>
            <w:r w:rsidRPr="005631CE">
              <w:rPr>
                <w:rFonts w:ascii="Arial" w:hAnsi="Arial" w:cs="Arial"/>
                <w:sz w:val="22"/>
                <w:szCs w:val="22"/>
              </w:rPr>
              <w:t xml:space="preserve">The antifungal activity of the ligand and its metal complexes was evaluated against </w:t>
            </w:r>
            <w:r w:rsidRPr="005631CE">
              <w:rPr>
                <w:rFonts w:ascii="Arial" w:hAnsi="Arial" w:cs="Arial"/>
                <w:i/>
                <w:sz w:val="22"/>
                <w:szCs w:val="22"/>
              </w:rPr>
              <w:t xml:space="preserve">Aspergillus </w:t>
            </w:r>
            <w:proofErr w:type="spellStart"/>
            <w:r w:rsidRPr="005631CE">
              <w:rPr>
                <w:rFonts w:ascii="Arial" w:hAnsi="Arial" w:cs="Arial"/>
                <w:i/>
                <w:sz w:val="22"/>
                <w:szCs w:val="22"/>
              </w:rPr>
              <w:t>niger</w:t>
            </w:r>
            <w:proofErr w:type="spellEnd"/>
            <w:r w:rsidRPr="005631CE">
              <w:rPr>
                <w:rFonts w:ascii="Arial" w:hAnsi="Arial" w:cs="Arial"/>
                <w:sz w:val="22"/>
                <w:szCs w:val="22"/>
              </w:rPr>
              <w:t xml:space="preserve"> and </w:t>
            </w:r>
            <w:proofErr w:type="spellStart"/>
            <w:r w:rsidRPr="005631CE">
              <w:rPr>
                <w:rFonts w:ascii="Arial" w:hAnsi="Arial" w:cs="Arial"/>
                <w:i/>
                <w:sz w:val="22"/>
                <w:szCs w:val="22"/>
              </w:rPr>
              <w:t>Fusarium</w:t>
            </w:r>
            <w:proofErr w:type="spellEnd"/>
            <w:r w:rsidRPr="005631CE">
              <w:rPr>
                <w:rFonts w:ascii="Arial" w:hAnsi="Arial" w:cs="Arial"/>
                <w:i/>
                <w:sz w:val="22"/>
                <w:szCs w:val="22"/>
              </w:rPr>
              <w:t xml:space="preserve"> </w:t>
            </w:r>
            <w:proofErr w:type="spellStart"/>
            <w:r w:rsidRPr="005631CE">
              <w:rPr>
                <w:rFonts w:ascii="Arial" w:hAnsi="Arial" w:cs="Arial"/>
                <w:i/>
                <w:sz w:val="22"/>
                <w:szCs w:val="22"/>
              </w:rPr>
              <w:t>oxysporum</w:t>
            </w:r>
            <w:proofErr w:type="spellEnd"/>
            <w:r w:rsidRPr="005631CE">
              <w:rPr>
                <w:rFonts w:ascii="Arial" w:hAnsi="Arial" w:cs="Arial"/>
                <w:sz w:val="22"/>
                <w:szCs w:val="22"/>
              </w:rPr>
              <w:t xml:space="preserve"> using the mycelial growth inhibition method, while antioxidant potential was assessed through the DPPH free radical scavenging assay. The results clearly demonstrate that coordination of the Schiff base ligand with metal ions significantly enhances its biological performance. Among the investigated complexes, the </w:t>
            </w:r>
            <w:proofErr w:type="gramStart"/>
            <w:r w:rsidRPr="005631CE">
              <w:rPr>
                <w:rFonts w:ascii="Arial" w:hAnsi="Arial" w:cs="Arial"/>
                <w:sz w:val="22"/>
                <w:szCs w:val="22"/>
              </w:rPr>
              <w:t>Cu(</w:t>
            </w:r>
            <w:proofErr w:type="gramEnd"/>
            <w:r w:rsidRPr="005631CE">
              <w:rPr>
                <w:rFonts w:ascii="Arial" w:hAnsi="Arial" w:cs="Arial"/>
                <w:sz w:val="22"/>
                <w:szCs w:val="22"/>
              </w:rPr>
              <w:t>II) complex exhibited the highest antioxidant activity, whereas the Ni(II) and Cu(II) complexes showed superior antifungal efficacy compared to the free ligand.</w:t>
            </w:r>
            <w:r>
              <w:t xml:space="preserve"> </w:t>
            </w:r>
            <w:r w:rsidRPr="005631CE">
              <w:rPr>
                <w:rFonts w:ascii="Arial" w:hAnsi="Arial" w:cs="Arial"/>
                <w:sz w:val="22"/>
                <w:szCs w:val="22"/>
              </w:rPr>
              <w:t>The observed enhancement in activity is attributed to metal-induced modulation of redox behavior, increased lipophilicity, and improved interaction with biological targets.</w:t>
            </w:r>
          </w:p>
          <w:p w14:paraId="667312AE" w14:textId="0FF92396" w:rsidR="00195C90" w:rsidRPr="00195C90" w:rsidRDefault="00195C90" w:rsidP="00195C90">
            <w:pPr>
              <w:pStyle w:val="NormalWeb"/>
              <w:jc w:val="both"/>
              <w:rPr>
                <w:rFonts w:ascii="Arial" w:hAnsi="Arial" w:cs="Arial"/>
                <w:sz w:val="22"/>
                <w:szCs w:val="22"/>
              </w:rPr>
            </w:pPr>
            <w:r w:rsidRPr="00195C90">
              <w:rPr>
                <w:rFonts w:ascii="Arial" w:hAnsi="Arial" w:cs="Arial"/>
                <w:sz w:val="22"/>
                <w:szCs w:val="22"/>
              </w:rPr>
              <w:t>This study is particularly important for the scientific community as it establishes a clear link between the structural features of thiazole-based Schiff base metal complexes and their biological activities. By systematically evaluating multiple metal complexes, the work demonstrates how coordination chemistry can be strategically employed to improve antifungal and antioxidant efficacy, addressing the global challenge of MDR microorganisms. The findings provide valuable guidance for the design of novel metal-based therapeutic agents and Active Pharmaceutical Ingredients (APIs), while the correlation between metal type, structural properties, and biological performance contributes to advancing research in medicinal chemistry and bioinorganic chemistry.</w:t>
            </w:r>
          </w:p>
          <w:p w14:paraId="6CC704AF" w14:textId="3BC58959" w:rsidR="00505F06" w:rsidRPr="00BA1B01" w:rsidRDefault="00505F06" w:rsidP="00A21DBE">
            <w:pPr>
              <w:pStyle w:val="NormalWeb"/>
              <w:jc w:val="both"/>
              <w:rPr>
                <w:rFonts w:ascii="Arial" w:eastAsia="Calibri" w:hAnsi="Arial" w:cs="Arial"/>
                <w:szCs w:val="22"/>
              </w:rPr>
            </w:pPr>
          </w:p>
        </w:tc>
      </w:tr>
    </w:tbl>
    <w:p w14:paraId="1939A988" w14:textId="77777777" w:rsidR="00636EB2" w:rsidRDefault="00636EB2" w:rsidP="00441B6F">
      <w:pPr>
        <w:pStyle w:val="Body"/>
        <w:spacing w:after="0"/>
        <w:rPr>
          <w:rFonts w:ascii="Arial" w:hAnsi="Arial" w:cs="Arial"/>
          <w:i/>
        </w:rPr>
      </w:pPr>
    </w:p>
    <w:p w14:paraId="54297E9A" w14:textId="77777777" w:rsidR="00220AA0" w:rsidRPr="004E3544" w:rsidRDefault="00A24E7E" w:rsidP="00220AA0">
      <w:pPr>
        <w:jc w:val="both"/>
        <w:rPr>
          <w:rFonts w:ascii="Times New Roman" w:hAnsi="Times New Roman"/>
          <w:sz w:val="24"/>
          <w:szCs w:val="24"/>
        </w:rPr>
      </w:pPr>
      <w:r>
        <w:rPr>
          <w:rFonts w:ascii="Arial" w:hAnsi="Arial" w:cs="Arial"/>
          <w:i/>
        </w:rPr>
        <w:t xml:space="preserve">Keywords: </w:t>
      </w:r>
      <w:r w:rsidR="00220AA0" w:rsidRPr="00220AA0">
        <w:rPr>
          <w:rFonts w:ascii="Arial" w:hAnsi="Arial" w:cs="Arial"/>
        </w:rPr>
        <w:t>Thiazole Schiff base; binuclear metal complexes; antifungal activity; antioxidant activity.</w:t>
      </w:r>
    </w:p>
    <w:p w14:paraId="56EABCA0" w14:textId="77777777" w:rsidR="00790ADA" w:rsidRDefault="00790ADA" w:rsidP="00441B6F">
      <w:pPr>
        <w:pStyle w:val="Body"/>
        <w:spacing w:after="0"/>
        <w:rPr>
          <w:rFonts w:ascii="Arial" w:hAnsi="Arial" w:cs="Arial"/>
          <w:i/>
        </w:rPr>
      </w:pPr>
    </w:p>
    <w:p w14:paraId="04697BE8" w14:textId="77777777" w:rsidR="00505F06" w:rsidRPr="00A24E7E" w:rsidRDefault="00505F06" w:rsidP="00441B6F">
      <w:pPr>
        <w:pStyle w:val="Body"/>
        <w:spacing w:after="0"/>
        <w:rPr>
          <w:rFonts w:ascii="Arial" w:hAnsi="Arial" w:cs="Arial"/>
          <w:i/>
        </w:rPr>
      </w:pPr>
    </w:p>
    <w:p w14:paraId="5DC31BBE" w14:textId="77777777" w:rsidR="00274226" w:rsidRDefault="00274226" w:rsidP="00441B6F">
      <w:pPr>
        <w:pStyle w:val="AbstHead"/>
        <w:spacing w:after="0"/>
        <w:jc w:val="both"/>
        <w:rPr>
          <w:rFonts w:ascii="Arial" w:hAnsi="Arial" w:cs="Arial"/>
        </w:rPr>
      </w:pPr>
    </w:p>
    <w:p w14:paraId="210C252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9FA6744" w14:textId="77777777" w:rsidR="00790ADA" w:rsidRPr="00FB3A86" w:rsidRDefault="00790ADA" w:rsidP="00441B6F">
      <w:pPr>
        <w:pStyle w:val="AbstHead"/>
        <w:spacing w:after="0"/>
        <w:jc w:val="both"/>
        <w:rPr>
          <w:rFonts w:ascii="Arial" w:hAnsi="Arial" w:cs="Arial"/>
        </w:rPr>
      </w:pPr>
    </w:p>
    <w:p w14:paraId="46587F95" w14:textId="6C77EAA0" w:rsidR="0076762F" w:rsidRPr="0076762F" w:rsidRDefault="000B0DEC" w:rsidP="0076762F">
      <w:pPr>
        <w:pStyle w:val="NormalWeb"/>
        <w:jc w:val="both"/>
        <w:rPr>
          <w:rFonts w:ascii="Arial" w:hAnsi="Arial" w:cs="Arial"/>
          <w:sz w:val="20"/>
          <w:szCs w:val="20"/>
        </w:rPr>
      </w:pPr>
      <w:r w:rsidRPr="000B0DEC">
        <w:rPr>
          <w:rFonts w:ascii="Arial" w:hAnsi="Arial" w:cs="Arial"/>
          <w:sz w:val="20"/>
          <w:szCs w:val="20"/>
        </w:rPr>
        <w:t xml:space="preserve">The ongoing demand for novel bioactive molecules provides strong motivation and significant opportunities for synthetic chemists to design and develop new organic and </w:t>
      </w:r>
      <w:proofErr w:type="spellStart"/>
      <w:r w:rsidRPr="000B0DEC">
        <w:rPr>
          <w:rFonts w:ascii="Arial" w:hAnsi="Arial" w:cs="Arial"/>
          <w:sz w:val="20"/>
          <w:szCs w:val="20"/>
        </w:rPr>
        <w:t>metallo</w:t>
      </w:r>
      <w:proofErr w:type="spellEnd"/>
      <w:r w:rsidRPr="000B0DEC">
        <w:rPr>
          <w:rFonts w:ascii="Arial" w:hAnsi="Arial" w:cs="Arial"/>
          <w:sz w:val="20"/>
          <w:szCs w:val="20"/>
        </w:rPr>
        <w:t>-organic compounds for applications in pharmaceutical and agricultural sectors.</w:t>
      </w:r>
      <w:r w:rsidR="0076762F" w:rsidRPr="0076762F">
        <w:rPr>
          <w:rFonts w:ascii="Arial" w:hAnsi="Arial" w:cs="Arial"/>
          <w:sz w:val="20"/>
          <w:szCs w:val="20"/>
        </w:rPr>
        <w:t xml:space="preserve"> Schiff base ligands and their transition metal complexes have long been recognized as an important class of coordination compounds due to their facile synthesis, versatile coordination behavior, and wide-ranging applications in electrochemistry, catalysis, and medicinal chemistry. The presence of the azomethine (</w:t>
      </w:r>
      <w:r w:rsidR="00BE1C60">
        <w:rPr>
          <w:rFonts w:ascii="Arial" w:hAnsi="Arial" w:cs="Arial"/>
          <w:sz w:val="20"/>
          <w:szCs w:val="20"/>
        </w:rPr>
        <w:t>-</w:t>
      </w:r>
      <w:r w:rsidR="0076762F" w:rsidRPr="0076762F">
        <w:rPr>
          <w:rFonts w:ascii="Arial" w:hAnsi="Arial" w:cs="Arial"/>
          <w:sz w:val="20"/>
          <w:szCs w:val="20"/>
        </w:rPr>
        <w:t>C=N</w:t>
      </w:r>
      <w:r w:rsidR="00BE1C60">
        <w:rPr>
          <w:rFonts w:ascii="Arial" w:hAnsi="Arial" w:cs="Arial"/>
          <w:sz w:val="20"/>
          <w:szCs w:val="20"/>
        </w:rPr>
        <w:t>-</w:t>
      </w:r>
      <w:r w:rsidR="0076762F" w:rsidRPr="0076762F">
        <w:rPr>
          <w:rFonts w:ascii="Arial" w:hAnsi="Arial" w:cs="Arial"/>
          <w:sz w:val="20"/>
          <w:szCs w:val="20"/>
        </w:rPr>
        <w:t>) functional group provides an effective donor site for metal coordination, enabling the formation of stable complexes with diverse geometries and electronic properties. Modulation of these properties through rational ligand design remains a key strategy for developing functional metal-based systems</w:t>
      </w:r>
      <w:r w:rsidR="00C67AF7">
        <w:rPr>
          <w:rFonts w:ascii="Arial" w:hAnsi="Arial" w:cs="Arial"/>
          <w:sz w:val="20"/>
          <w:szCs w:val="20"/>
        </w:rPr>
        <w:t xml:space="preserve"> [</w:t>
      </w:r>
      <w:r w:rsidR="00C06660">
        <w:rPr>
          <w:rFonts w:ascii="Arial" w:hAnsi="Arial" w:cs="Arial"/>
          <w:sz w:val="20"/>
          <w:szCs w:val="20"/>
        </w:rPr>
        <w:t>1, 2</w:t>
      </w:r>
      <w:r w:rsidR="00C67AF7">
        <w:rPr>
          <w:rFonts w:ascii="Arial" w:hAnsi="Arial" w:cs="Arial"/>
          <w:sz w:val="20"/>
          <w:szCs w:val="20"/>
        </w:rPr>
        <w:t>]</w:t>
      </w:r>
      <w:r w:rsidR="0076762F" w:rsidRPr="0076762F">
        <w:rPr>
          <w:rFonts w:ascii="Arial" w:hAnsi="Arial" w:cs="Arial"/>
          <w:sz w:val="20"/>
          <w:szCs w:val="20"/>
        </w:rPr>
        <w:t>.</w:t>
      </w:r>
    </w:p>
    <w:p w14:paraId="4C2355D6" w14:textId="2213EF40" w:rsidR="0076762F" w:rsidRDefault="0076762F" w:rsidP="0076762F">
      <w:pPr>
        <w:jc w:val="both"/>
        <w:rPr>
          <w:rFonts w:ascii="Arial" w:hAnsi="Arial" w:cs="Arial"/>
        </w:rPr>
      </w:pPr>
      <w:r w:rsidRPr="0076762F">
        <w:rPr>
          <w:rFonts w:ascii="Arial" w:hAnsi="Arial" w:cs="Arial"/>
        </w:rPr>
        <w:t xml:space="preserve">Schiff base ligands containing heterocyclic moieties such as thiazole have attracted considerable attention due to their versatile coordination behavior and promising biological properties. Metal complexes derived from such ligands often show enhanced antimicrobial and antioxidant activities as compared to their parent ligands. The present work is exclusively focused on the evaluation of their antifungal and antioxidant properties. </w:t>
      </w:r>
      <w:r w:rsidR="00CB599A" w:rsidRPr="00CB599A">
        <w:rPr>
          <w:rFonts w:ascii="Arial" w:hAnsi="Arial" w:cs="Arial"/>
        </w:rPr>
        <w:t>The antimicrobial activity of the synthesized Schiff base ligand and its corresponding metal complexes will be evaluated against various fungal strains to assess their potential as antifungal agents</w:t>
      </w:r>
      <w:r w:rsidR="00CB599A">
        <w:t>.</w:t>
      </w:r>
      <w:r w:rsidR="00C67AF7">
        <w:rPr>
          <w:rFonts w:ascii="Arial" w:hAnsi="Arial" w:cs="Arial"/>
        </w:rPr>
        <w:t xml:space="preserve"> [</w:t>
      </w:r>
      <w:r w:rsidR="00C06660">
        <w:rPr>
          <w:rFonts w:ascii="Arial" w:hAnsi="Arial" w:cs="Arial"/>
        </w:rPr>
        <w:t>3</w:t>
      </w:r>
      <w:r w:rsidR="00C67AF7">
        <w:rPr>
          <w:rFonts w:ascii="Arial" w:hAnsi="Arial" w:cs="Arial"/>
        </w:rPr>
        <w:t>-</w:t>
      </w:r>
      <w:r w:rsidR="00C06660">
        <w:rPr>
          <w:rFonts w:ascii="Arial" w:hAnsi="Arial" w:cs="Arial"/>
        </w:rPr>
        <w:t>5</w:t>
      </w:r>
      <w:r w:rsidR="00C67AF7">
        <w:rPr>
          <w:rFonts w:ascii="Arial" w:hAnsi="Arial" w:cs="Arial"/>
        </w:rPr>
        <w:t>]</w:t>
      </w:r>
      <w:r w:rsidRPr="0076762F">
        <w:rPr>
          <w:rFonts w:ascii="Arial" w:hAnsi="Arial" w:cs="Arial"/>
        </w:rPr>
        <w:t>.</w:t>
      </w:r>
    </w:p>
    <w:p w14:paraId="71CE328E" w14:textId="77777777" w:rsidR="00CB599A" w:rsidRPr="0076762F" w:rsidRDefault="00CB599A" w:rsidP="0076762F">
      <w:pPr>
        <w:jc w:val="both"/>
        <w:rPr>
          <w:rFonts w:ascii="Arial" w:hAnsi="Arial" w:cs="Arial"/>
        </w:rPr>
      </w:pPr>
    </w:p>
    <w:p w14:paraId="02A0E35D" w14:textId="77777777" w:rsidR="0076762F" w:rsidRPr="0076762F" w:rsidRDefault="0076762F" w:rsidP="0076762F">
      <w:pPr>
        <w:jc w:val="both"/>
        <w:rPr>
          <w:rFonts w:ascii="Arial" w:hAnsi="Arial" w:cs="Arial"/>
        </w:rPr>
      </w:pPr>
      <w:r w:rsidRPr="0076762F">
        <w:rPr>
          <w:rFonts w:ascii="Arial" w:hAnsi="Arial" w:cs="Arial"/>
        </w:rPr>
        <w:t xml:space="preserve">The analysis will also consider how such coordination affects the biological activity of the ligand, thereby providing valuable information for the further development of metal-based drugs and therapeutic biomaterials. Against this backdrop, this study advances the understanding of the potential application of Schiff base metal complexes in medicine by focusing on the structural and biological characteristics of the complexes </w:t>
      </w:r>
      <w:r w:rsidRPr="002610E3">
        <w:rPr>
          <w:rFonts w:ascii="Arial" w:hAnsi="Arial" w:cs="Arial"/>
        </w:rPr>
        <w:t>[</w:t>
      </w:r>
      <w:r w:rsidR="002610E3" w:rsidRPr="002610E3">
        <w:rPr>
          <w:rFonts w:ascii="Arial" w:hAnsi="Arial" w:cs="Arial"/>
        </w:rPr>
        <w:t>6-8</w:t>
      </w:r>
      <w:r w:rsidRPr="002610E3">
        <w:rPr>
          <w:rFonts w:ascii="Arial" w:hAnsi="Arial" w:cs="Arial"/>
        </w:rPr>
        <w:t>].</w:t>
      </w:r>
    </w:p>
    <w:p w14:paraId="713F1A7C" w14:textId="77777777" w:rsidR="0076762F" w:rsidRPr="0076762F" w:rsidRDefault="0076762F" w:rsidP="0076762F">
      <w:pPr>
        <w:pStyle w:val="NormalWeb"/>
        <w:jc w:val="both"/>
        <w:rPr>
          <w:rFonts w:ascii="Arial" w:hAnsi="Arial" w:cs="Arial"/>
          <w:sz w:val="20"/>
          <w:szCs w:val="20"/>
        </w:rPr>
      </w:pPr>
      <w:r w:rsidRPr="0076762F">
        <w:rPr>
          <w:rFonts w:ascii="Arial" w:hAnsi="Arial" w:cs="Arial"/>
          <w:sz w:val="20"/>
          <w:szCs w:val="20"/>
        </w:rPr>
        <w:t xml:space="preserve">The present study is exclusively devoted to the systematic evaluation of the antifungal and antioxidant activities of a newly synthesized thiazole-based Schiff base ligand and its corresponding binuclear metal complexes. The ligand was coordinated with biologically relevant transition metal ions, namely </w:t>
      </w:r>
      <w:proofErr w:type="gramStart"/>
      <w:r w:rsidRPr="0076762F">
        <w:rPr>
          <w:rFonts w:ascii="Arial" w:hAnsi="Arial" w:cs="Arial"/>
          <w:sz w:val="20"/>
          <w:szCs w:val="20"/>
        </w:rPr>
        <w:t>Co(</w:t>
      </w:r>
      <w:proofErr w:type="gramEnd"/>
      <w:r w:rsidRPr="0076762F">
        <w:rPr>
          <w:rFonts w:ascii="Arial" w:hAnsi="Arial" w:cs="Arial"/>
          <w:sz w:val="20"/>
          <w:szCs w:val="20"/>
        </w:rPr>
        <w:t>II), Ni(II), Cu(II), and Zn(II), to investigate the influence of metal chelation on biological performance. Schiff base ligands containing thiazole moieties are of considerable interest due to their structural versatility and well-documented pharmacological potential. In particular, metal complexation is known to significantly modulate the physicochemical and biological properties of such ligands by enhancing stability, lipophilicity, and redox behavior.</w:t>
      </w:r>
    </w:p>
    <w:p w14:paraId="1CE7EDA1" w14:textId="1B807215" w:rsidR="0076762F" w:rsidRPr="0076762F" w:rsidRDefault="0076762F" w:rsidP="0076762F">
      <w:pPr>
        <w:pStyle w:val="NormalWeb"/>
        <w:jc w:val="both"/>
        <w:rPr>
          <w:rFonts w:ascii="Arial" w:hAnsi="Arial" w:cs="Arial"/>
          <w:sz w:val="20"/>
          <w:szCs w:val="20"/>
        </w:rPr>
      </w:pPr>
      <w:r w:rsidRPr="0076762F">
        <w:rPr>
          <w:rFonts w:ascii="Arial" w:hAnsi="Arial" w:cs="Arial"/>
          <w:sz w:val="20"/>
          <w:szCs w:val="20"/>
        </w:rPr>
        <w:t>In this context, the antifungal activity of the synthesized ligand and its binuclear metal complexes was assessed against selected pathogenic fungal strains to determine their inhibitory efficacy and structure</w:t>
      </w:r>
      <w:r w:rsidR="00367CB4">
        <w:rPr>
          <w:rFonts w:ascii="Arial" w:hAnsi="Arial" w:cs="Arial"/>
          <w:sz w:val="20"/>
          <w:szCs w:val="20"/>
        </w:rPr>
        <w:t>-</w:t>
      </w:r>
      <w:r w:rsidRPr="0076762F">
        <w:rPr>
          <w:rFonts w:ascii="Arial" w:hAnsi="Arial" w:cs="Arial"/>
          <w:sz w:val="20"/>
          <w:szCs w:val="20"/>
        </w:rPr>
        <w:t>activity relationships. Additionally, the antioxidant potential of the compounds was evaluated using established in vitro assays to examine their ability to scavenge free radicals and mitigate oxidative stress. A comparative analysis between the free ligand and its metal complexes was carried out to elucidate the role of the coordinated metal ions in enhancing or modifying biological activity. The findings of this study aim to contribute to the development of novel metal-based therapeutic agents with improved antifungal and antioxidant properties.</w:t>
      </w:r>
    </w:p>
    <w:p w14:paraId="0893F728" w14:textId="77777777" w:rsidR="00790ADA" w:rsidRPr="00FB3A86" w:rsidRDefault="00790ADA" w:rsidP="00441B6F">
      <w:pPr>
        <w:pStyle w:val="Body"/>
        <w:spacing w:after="0"/>
        <w:rPr>
          <w:rFonts w:ascii="Arial" w:hAnsi="Arial" w:cs="Arial"/>
        </w:rPr>
      </w:pPr>
    </w:p>
    <w:p w14:paraId="36517000" w14:textId="7A6B932E" w:rsidR="0076762F" w:rsidRDefault="00902823" w:rsidP="0076762F">
      <w:pPr>
        <w:pStyle w:val="AbstHead"/>
        <w:spacing w:after="0"/>
        <w:jc w:val="both"/>
        <w:rPr>
          <w:rFonts w:ascii="Arial" w:hAnsi="Arial" w:cs="Arial"/>
        </w:rPr>
      </w:pPr>
      <w:r>
        <w:rPr>
          <w:rFonts w:ascii="Arial" w:hAnsi="Arial" w:cs="Arial"/>
        </w:rPr>
        <w:lastRenderedPageBreak/>
        <w:t>2. material</w:t>
      </w:r>
      <w:r w:rsidR="00423771">
        <w:rPr>
          <w:rFonts w:ascii="Arial" w:hAnsi="Arial" w:cs="Arial"/>
        </w:rPr>
        <w:t>S</w:t>
      </w:r>
      <w:r>
        <w:rPr>
          <w:rFonts w:ascii="Arial" w:hAnsi="Arial" w:cs="Arial"/>
        </w:rPr>
        <w:t xml:space="preserve"> and method</w:t>
      </w:r>
      <w:r w:rsidR="00000F8F">
        <w:rPr>
          <w:rFonts w:ascii="Arial" w:hAnsi="Arial" w:cs="Arial"/>
        </w:rPr>
        <w:t xml:space="preserve">s </w:t>
      </w:r>
    </w:p>
    <w:p w14:paraId="6D428F88" w14:textId="77777777" w:rsidR="00E106B8" w:rsidRPr="004E3544" w:rsidRDefault="00E106B8" w:rsidP="0076762F">
      <w:pPr>
        <w:pStyle w:val="AbstHead"/>
        <w:spacing w:after="0"/>
        <w:jc w:val="both"/>
        <w:rPr>
          <w:rFonts w:ascii="Times New Roman" w:hAnsi="Times New Roman"/>
          <w:b w:val="0"/>
          <w:sz w:val="24"/>
          <w:szCs w:val="24"/>
        </w:rPr>
      </w:pPr>
    </w:p>
    <w:p w14:paraId="2D8944F3" w14:textId="77777777" w:rsidR="0076762F" w:rsidRPr="00E106B8" w:rsidRDefault="0076762F" w:rsidP="0076762F">
      <w:pPr>
        <w:jc w:val="both"/>
        <w:rPr>
          <w:rFonts w:ascii="Arial" w:hAnsi="Arial" w:cs="Arial"/>
          <w:b/>
          <w:sz w:val="22"/>
          <w:szCs w:val="22"/>
        </w:rPr>
      </w:pPr>
      <w:r w:rsidRPr="00E106B8">
        <w:rPr>
          <w:rFonts w:ascii="Arial" w:hAnsi="Arial" w:cs="Arial"/>
          <w:b/>
          <w:sz w:val="22"/>
          <w:szCs w:val="22"/>
        </w:rPr>
        <w:t xml:space="preserve">2.1 Materials </w:t>
      </w:r>
    </w:p>
    <w:p w14:paraId="0626F187" w14:textId="77777777" w:rsidR="00E106B8" w:rsidRPr="0076762F" w:rsidRDefault="00E106B8" w:rsidP="0076762F">
      <w:pPr>
        <w:jc w:val="both"/>
        <w:rPr>
          <w:rFonts w:ascii="Arial" w:hAnsi="Arial" w:cs="Arial"/>
          <w:b/>
        </w:rPr>
      </w:pPr>
    </w:p>
    <w:p w14:paraId="62228BF2" w14:textId="77777777" w:rsidR="00795009" w:rsidRDefault="00795009" w:rsidP="0076762F">
      <w:pPr>
        <w:jc w:val="both"/>
        <w:rPr>
          <w:rFonts w:ascii="Arial" w:hAnsi="Arial" w:cs="Arial"/>
        </w:rPr>
      </w:pPr>
      <w:r w:rsidRPr="00795009">
        <w:rPr>
          <w:rFonts w:ascii="Arial" w:hAnsi="Arial" w:cs="Arial"/>
        </w:rPr>
        <w:t>All chemicals and reagents employed in the biological assays were of analytical grade and used as received. Dimethyl sulfoxide (DMSO) was used as a solvent for preparing stock solutions of the ligand and metal complexes. Malt extract agar (MEA) was used for antifungal studies, and DPPH (2,2-diphenyl-1-picrylhydrazyl) was used for antioxidant assays.</w:t>
      </w:r>
    </w:p>
    <w:p w14:paraId="0B520FAA" w14:textId="77777777" w:rsidR="00795009" w:rsidRDefault="00795009" w:rsidP="0076762F">
      <w:pPr>
        <w:jc w:val="both"/>
        <w:rPr>
          <w:rFonts w:ascii="Arial" w:hAnsi="Arial" w:cs="Arial"/>
        </w:rPr>
      </w:pPr>
    </w:p>
    <w:p w14:paraId="7D1DE79E" w14:textId="77777777" w:rsidR="00795009" w:rsidRPr="00795009" w:rsidRDefault="00795009" w:rsidP="00795009">
      <w:pPr>
        <w:jc w:val="both"/>
        <w:rPr>
          <w:rFonts w:ascii="Arial" w:hAnsi="Arial" w:cs="Arial"/>
          <w:b/>
          <w:sz w:val="22"/>
          <w:szCs w:val="22"/>
        </w:rPr>
      </w:pPr>
      <w:r w:rsidRPr="00795009">
        <w:rPr>
          <w:rFonts w:ascii="Arial" w:hAnsi="Arial" w:cs="Arial"/>
          <w:b/>
          <w:sz w:val="22"/>
          <w:szCs w:val="22"/>
        </w:rPr>
        <w:t>2.2 Synthesis and Preliminary Spectral Confirmation</w:t>
      </w:r>
    </w:p>
    <w:p w14:paraId="7F4B8BC9" w14:textId="77777777" w:rsidR="00795009" w:rsidRPr="00795009" w:rsidRDefault="00795009" w:rsidP="00795009">
      <w:pPr>
        <w:jc w:val="both"/>
        <w:rPr>
          <w:rFonts w:ascii="Arial" w:hAnsi="Arial" w:cs="Arial"/>
          <w:b/>
          <w:sz w:val="22"/>
          <w:szCs w:val="22"/>
        </w:rPr>
      </w:pPr>
    </w:p>
    <w:p w14:paraId="7636E3E8" w14:textId="77777777" w:rsidR="009A7C53" w:rsidRPr="009A7C53" w:rsidRDefault="009A7C53" w:rsidP="009A7C53">
      <w:pPr>
        <w:jc w:val="both"/>
        <w:rPr>
          <w:rFonts w:ascii="Arial" w:hAnsi="Arial" w:cs="Arial"/>
        </w:rPr>
      </w:pPr>
      <w:r w:rsidRPr="009A7C53">
        <w:rPr>
          <w:rFonts w:ascii="Arial" w:hAnsi="Arial" w:cs="Arial"/>
        </w:rPr>
        <w:t xml:space="preserve">The </w:t>
      </w:r>
      <w:proofErr w:type="spellStart"/>
      <w:r w:rsidRPr="009A7C53">
        <w:rPr>
          <w:rFonts w:ascii="Arial" w:hAnsi="Arial" w:cs="Arial"/>
        </w:rPr>
        <w:t>thiazole</w:t>
      </w:r>
      <w:proofErr w:type="spellEnd"/>
      <w:r w:rsidRPr="009A7C53">
        <w:rPr>
          <w:rFonts w:ascii="Arial" w:hAnsi="Arial" w:cs="Arial"/>
        </w:rPr>
        <w:t xml:space="preserve">-based Schiff base ligand (LA) and its binuclear </w:t>
      </w:r>
      <w:proofErr w:type="gramStart"/>
      <w:r w:rsidRPr="009A7C53">
        <w:rPr>
          <w:rFonts w:ascii="Arial" w:hAnsi="Arial" w:cs="Arial"/>
        </w:rPr>
        <w:t>Co(</w:t>
      </w:r>
      <w:proofErr w:type="gramEnd"/>
      <w:r w:rsidRPr="009A7C53">
        <w:rPr>
          <w:rFonts w:ascii="Arial" w:hAnsi="Arial" w:cs="Arial"/>
        </w:rPr>
        <w:t>II), Ni(II), Cu(II), and Zn(II) complexes were prepared following standard coordination chemistry procedures. The synthesis was performed solely to provide sufficient quantities of compounds for biological evaluation, and no synthetic novelty or optimization is claimed.</w:t>
      </w:r>
    </w:p>
    <w:p w14:paraId="32D24440" w14:textId="77777777" w:rsidR="009A7C53" w:rsidRPr="009A7C53" w:rsidRDefault="009A7C53" w:rsidP="009A7C53">
      <w:pPr>
        <w:jc w:val="both"/>
        <w:rPr>
          <w:rFonts w:ascii="Arial" w:hAnsi="Arial" w:cs="Arial"/>
        </w:rPr>
      </w:pPr>
      <w:r w:rsidRPr="009A7C53">
        <w:rPr>
          <w:rFonts w:ascii="Arial" w:hAnsi="Arial" w:cs="Arial"/>
        </w:rPr>
        <w:t xml:space="preserve">Preliminary spectral confirmation was carried out to ensure compound identity prior to bioassays. Infrared spectra of the ligand displayed a characteristic </w:t>
      </w:r>
      <w:proofErr w:type="spellStart"/>
      <w:r w:rsidRPr="009A7C53">
        <w:rPr>
          <w:rFonts w:ascii="Arial" w:hAnsi="Arial" w:cs="Arial"/>
        </w:rPr>
        <w:t>azomethine</w:t>
      </w:r>
      <w:proofErr w:type="spellEnd"/>
      <w:r w:rsidRPr="009A7C53">
        <w:rPr>
          <w:rFonts w:ascii="Arial" w:hAnsi="Arial" w:cs="Arial"/>
        </w:rPr>
        <w:t xml:space="preserve"> (C=N) stretching band at 1607 cm</w:t>
      </w:r>
      <w:r w:rsidRPr="009A7C53">
        <w:rPr>
          <w:rFonts w:ascii="Cambria Math" w:hAnsi="Cambria Math" w:cs="Cambria Math"/>
        </w:rPr>
        <w:t>⁻</w:t>
      </w:r>
      <w:r w:rsidRPr="009A7C53">
        <w:rPr>
          <w:rFonts w:ascii="Arial" w:hAnsi="Arial" w:cs="Arial"/>
        </w:rPr>
        <w:t>¹, which shifted to lower wavenumbers (1578–1596 cm</w:t>
      </w:r>
      <w:r w:rsidRPr="009A7C53">
        <w:rPr>
          <w:rFonts w:ascii="Cambria Math" w:hAnsi="Cambria Math" w:cs="Cambria Math"/>
        </w:rPr>
        <w:t>⁻</w:t>
      </w:r>
      <w:r w:rsidRPr="009A7C53">
        <w:rPr>
          <w:rFonts w:ascii="Arial" w:hAnsi="Arial" w:cs="Arial"/>
        </w:rPr>
        <w:t xml:space="preserve">¹) upon coordination with metal ions, indicating the involvement of the </w:t>
      </w:r>
      <w:proofErr w:type="spellStart"/>
      <w:r w:rsidRPr="009A7C53">
        <w:rPr>
          <w:rFonts w:ascii="Arial" w:hAnsi="Arial" w:cs="Arial"/>
        </w:rPr>
        <w:t>azomethine</w:t>
      </w:r>
      <w:proofErr w:type="spellEnd"/>
      <w:r w:rsidRPr="009A7C53">
        <w:rPr>
          <w:rFonts w:ascii="Arial" w:hAnsi="Arial" w:cs="Arial"/>
        </w:rPr>
        <w:t xml:space="preserve"> nitrogen in metal binding. Additional bands corresponding to metal-nitrogen (520–538 cm</w:t>
      </w:r>
      <w:r w:rsidRPr="009A7C53">
        <w:rPr>
          <w:rFonts w:ascii="Cambria Math" w:hAnsi="Cambria Math" w:cs="Cambria Math"/>
        </w:rPr>
        <w:t>⁻</w:t>
      </w:r>
      <w:r w:rsidRPr="009A7C53">
        <w:rPr>
          <w:rFonts w:ascii="Arial" w:hAnsi="Arial" w:cs="Arial"/>
        </w:rPr>
        <w:t>¹) and metal-chloride (401–408 cm</w:t>
      </w:r>
      <w:r w:rsidRPr="009A7C53">
        <w:rPr>
          <w:rFonts w:ascii="Cambria Math" w:hAnsi="Cambria Math" w:cs="Cambria Math"/>
        </w:rPr>
        <w:t>⁻</w:t>
      </w:r>
      <w:r w:rsidRPr="009A7C53">
        <w:rPr>
          <w:rFonts w:ascii="Arial" w:hAnsi="Arial" w:cs="Arial"/>
        </w:rPr>
        <w:t>¹) interactions further supported complex formation.</w:t>
      </w:r>
    </w:p>
    <w:p w14:paraId="270BAF28" w14:textId="26823271" w:rsidR="00CB599A" w:rsidRPr="00795009" w:rsidRDefault="009A7C53" w:rsidP="009A7C53">
      <w:pPr>
        <w:jc w:val="both"/>
        <w:rPr>
          <w:rFonts w:ascii="Arial" w:hAnsi="Arial" w:cs="Arial"/>
        </w:rPr>
      </w:pPr>
      <w:r w:rsidRPr="009A7C53">
        <w:rPr>
          <w:rFonts w:ascii="Arial" w:hAnsi="Arial" w:cs="Arial"/>
        </w:rPr>
        <w:t>UV-Visible spectra showed ligand-centered π→π* transitions at 278 nm and n→π* transitions at 355 nm, while the metal complexes exhibited red-shifted π→π* (303–306 nm) and n→π* (373–385 nm) bands, consistent with coordination. These spectral observations confirm the formation of the metal complexes and provide assurance of their identity for subsequent biological studies.</w:t>
      </w:r>
    </w:p>
    <w:p w14:paraId="5BFF5F7F" w14:textId="77777777" w:rsidR="00795009" w:rsidRDefault="00795009" w:rsidP="00CB599A">
      <w:pPr>
        <w:jc w:val="both"/>
        <w:rPr>
          <w:rFonts w:ascii="Arial" w:hAnsi="Arial" w:cs="Arial"/>
          <w:b/>
          <w:bCs/>
          <w:sz w:val="22"/>
          <w:szCs w:val="22"/>
        </w:rPr>
      </w:pPr>
    </w:p>
    <w:p w14:paraId="7156185F" w14:textId="2DE8EE01" w:rsidR="0076762F" w:rsidRPr="00E106B8" w:rsidRDefault="0076762F" w:rsidP="00CB599A">
      <w:pPr>
        <w:jc w:val="both"/>
        <w:rPr>
          <w:rFonts w:ascii="Arial" w:hAnsi="Arial" w:cs="Arial"/>
          <w:b/>
          <w:bCs/>
          <w:sz w:val="22"/>
          <w:szCs w:val="22"/>
        </w:rPr>
      </w:pPr>
      <w:r w:rsidRPr="00E106B8">
        <w:rPr>
          <w:rFonts w:ascii="Arial" w:hAnsi="Arial" w:cs="Arial"/>
          <w:b/>
          <w:bCs/>
          <w:sz w:val="22"/>
          <w:szCs w:val="22"/>
        </w:rPr>
        <w:t xml:space="preserve">2.3 Antifungal activity </w:t>
      </w:r>
    </w:p>
    <w:p w14:paraId="0EF1F504" w14:textId="77777777" w:rsidR="00E106B8" w:rsidRPr="0076762F" w:rsidRDefault="00E106B8" w:rsidP="0076762F">
      <w:pPr>
        <w:rPr>
          <w:rFonts w:ascii="Arial" w:hAnsi="Arial" w:cs="Arial"/>
          <w:b/>
          <w:bCs/>
        </w:rPr>
      </w:pPr>
    </w:p>
    <w:p w14:paraId="735161B5" w14:textId="15540A76" w:rsidR="0076762F" w:rsidRDefault="0076762F" w:rsidP="0076762F">
      <w:pPr>
        <w:jc w:val="both"/>
        <w:rPr>
          <w:rFonts w:ascii="Arial" w:hAnsi="Arial" w:cs="Arial"/>
        </w:rPr>
      </w:pPr>
      <w:r w:rsidRPr="0076762F">
        <w:rPr>
          <w:rFonts w:ascii="Arial" w:hAnsi="Arial" w:cs="Arial"/>
        </w:rPr>
        <w:t>The antifungal activity of the synthesized Schiff base ligand LA and its corresponding metal complexes, LA-</w:t>
      </w:r>
      <w:r w:rsidR="003D6A1D">
        <w:rPr>
          <w:rFonts w:ascii="Arial" w:hAnsi="Arial" w:cs="Arial"/>
        </w:rPr>
        <w:t>A(</w:t>
      </w:r>
      <w:r w:rsidRPr="0076762F">
        <w:rPr>
          <w:rFonts w:ascii="Arial" w:hAnsi="Arial" w:cs="Arial"/>
        </w:rPr>
        <w:t>Co</w:t>
      </w:r>
      <w:r w:rsidR="003D6A1D">
        <w:rPr>
          <w:rFonts w:ascii="Arial" w:hAnsi="Arial" w:cs="Arial"/>
        </w:rPr>
        <w:t>)</w:t>
      </w:r>
      <w:r w:rsidRPr="0076762F">
        <w:rPr>
          <w:rFonts w:ascii="Arial" w:hAnsi="Arial" w:cs="Arial"/>
        </w:rPr>
        <w:t>, LA-</w:t>
      </w:r>
      <w:r w:rsidR="003D6A1D">
        <w:rPr>
          <w:rFonts w:ascii="Arial" w:hAnsi="Arial" w:cs="Arial"/>
        </w:rPr>
        <w:t>B(</w:t>
      </w:r>
      <w:r w:rsidRPr="0076762F">
        <w:rPr>
          <w:rFonts w:ascii="Arial" w:hAnsi="Arial" w:cs="Arial"/>
        </w:rPr>
        <w:t>Ni</w:t>
      </w:r>
      <w:r w:rsidR="003D6A1D">
        <w:rPr>
          <w:rFonts w:ascii="Arial" w:hAnsi="Arial" w:cs="Arial"/>
        </w:rPr>
        <w:t>)</w:t>
      </w:r>
      <w:r w:rsidRPr="0076762F">
        <w:rPr>
          <w:rFonts w:ascii="Arial" w:hAnsi="Arial" w:cs="Arial"/>
        </w:rPr>
        <w:t>, LA-</w:t>
      </w:r>
      <w:r w:rsidR="003D6A1D">
        <w:rPr>
          <w:rFonts w:ascii="Arial" w:hAnsi="Arial" w:cs="Arial"/>
        </w:rPr>
        <w:t>C(</w:t>
      </w:r>
      <w:r w:rsidRPr="0076762F">
        <w:rPr>
          <w:rFonts w:ascii="Arial" w:hAnsi="Arial" w:cs="Arial"/>
        </w:rPr>
        <w:t>Cu</w:t>
      </w:r>
      <w:r w:rsidR="003D6A1D">
        <w:rPr>
          <w:rFonts w:ascii="Arial" w:hAnsi="Arial" w:cs="Arial"/>
        </w:rPr>
        <w:t>)</w:t>
      </w:r>
      <w:r w:rsidRPr="0076762F">
        <w:rPr>
          <w:rFonts w:ascii="Arial" w:hAnsi="Arial" w:cs="Arial"/>
        </w:rPr>
        <w:t xml:space="preserve"> and LA-</w:t>
      </w:r>
      <w:r w:rsidR="003D6A1D">
        <w:rPr>
          <w:rFonts w:ascii="Arial" w:hAnsi="Arial" w:cs="Arial"/>
        </w:rPr>
        <w:t>D(</w:t>
      </w:r>
      <w:r w:rsidRPr="0076762F">
        <w:rPr>
          <w:rFonts w:ascii="Arial" w:hAnsi="Arial" w:cs="Arial"/>
        </w:rPr>
        <w:t>Zn</w:t>
      </w:r>
      <w:r w:rsidR="003D6A1D">
        <w:rPr>
          <w:rFonts w:ascii="Arial" w:hAnsi="Arial" w:cs="Arial"/>
        </w:rPr>
        <w:t>)</w:t>
      </w:r>
      <w:r w:rsidRPr="0076762F">
        <w:rPr>
          <w:rFonts w:ascii="Arial" w:hAnsi="Arial" w:cs="Arial"/>
        </w:rPr>
        <w:t xml:space="preserve"> was tested against the growth of </w:t>
      </w:r>
      <w:r w:rsidRPr="0076762F">
        <w:rPr>
          <w:rFonts w:ascii="Arial" w:hAnsi="Arial" w:cs="Arial"/>
          <w:i/>
          <w:iCs/>
        </w:rPr>
        <w:t xml:space="preserve">Aspergillus </w:t>
      </w:r>
      <w:proofErr w:type="spellStart"/>
      <w:r w:rsidRPr="0076762F">
        <w:rPr>
          <w:rFonts w:ascii="Arial" w:hAnsi="Arial" w:cs="Arial"/>
          <w:i/>
          <w:iCs/>
        </w:rPr>
        <w:t>niger</w:t>
      </w:r>
      <w:proofErr w:type="spellEnd"/>
      <w:r w:rsidRPr="0076762F">
        <w:rPr>
          <w:rFonts w:ascii="Arial" w:hAnsi="Arial" w:cs="Arial"/>
        </w:rPr>
        <w:t xml:space="preserve"> and </w:t>
      </w:r>
      <w:proofErr w:type="spellStart"/>
      <w:r w:rsidRPr="0076762F">
        <w:rPr>
          <w:rFonts w:ascii="Arial" w:hAnsi="Arial" w:cs="Arial"/>
          <w:i/>
          <w:iCs/>
        </w:rPr>
        <w:t>Fusarium</w:t>
      </w:r>
      <w:proofErr w:type="spellEnd"/>
      <w:r w:rsidRPr="0076762F">
        <w:rPr>
          <w:rFonts w:ascii="Arial" w:hAnsi="Arial" w:cs="Arial"/>
          <w:i/>
          <w:iCs/>
        </w:rPr>
        <w:t xml:space="preserve"> </w:t>
      </w:r>
      <w:proofErr w:type="spellStart"/>
      <w:r w:rsidRPr="0076762F">
        <w:rPr>
          <w:rFonts w:ascii="Arial" w:hAnsi="Arial" w:cs="Arial"/>
          <w:i/>
          <w:iCs/>
        </w:rPr>
        <w:t>oxysporum</w:t>
      </w:r>
      <w:proofErr w:type="spellEnd"/>
      <w:r w:rsidRPr="0076762F">
        <w:rPr>
          <w:rFonts w:ascii="Arial" w:hAnsi="Arial" w:cs="Arial"/>
        </w:rPr>
        <w:t xml:space="preserve"> using the mycelial growth inhibition technique. Sterilized 2% malt extract agar (MEA) was poured into 9 cm Petri plates under aseptic conditions and allowed to solidify. Test compounds were dissolved in DMSO to get stock solutions of 1 mg mL</w:t>
      </w:r>
      <w:r w:rsidRPr="0076762F">
        <w:rPr>
          <w:rFonts w:ascii="Cambria Math" w:hAnsi="Cambria Math" w:cs="Cambria Math"/>
        </w:rPr>
        <w:t>⁻</w:t>
      </w:r>
      <w:r w:rsidRPr="0076762F">
        <w:rPr>
          <w:rFonts w:ascii="Arial" w:hAnsi="Arial" w:cs="Arial"/>
        </w:rPr>
        <w:t>¹ and mixed with the medium so that the final concentrations were 50, 75, and 100 µg mL</w:t>
      </w:r>
      <w:r w:rsidRPr="0076762F">
        <w:rPr>
          <w:rFonts w:ascii="Cambria Math" w:hAnsi="Cambria Math" w:cs="Cambria Math"/>
        </w:rPr>
        <w:t>⁻</w:t>
      </w:r>
      <w:r w:rsidRPr="0076762F">
        <w:rPr>
          <w:rFonts w:ascii="Arial" w:hAnsi="Arial" w:cs="Arial"/>
        </w:rPr>
        <w:t xml:space="preserve">¹, while DMSO-containing plates were used as </w:t>
      </w:r>
      <w:r w:rsidR="003D6A1D">
        <w:rPr>
          <w:rFonts w:ascii="Arial" w:hAnsi="Arial" w:cs="Arial"/>
        </w:rPr>
        <w:t xml:space="preserve">a </w:t>
      </w:r>
      <w:r w:rsidRPr="0076762F">
        <w:rPr>
          <w:rFonts w:ascii="Arial" w:hAnsi="Arial" w:cs="Arial"/>
        </w:rPr>
        <w:t xml:space="preserve">control. A 1.5 mm agar disc taken from the periphery of a 7-day-old fungal culture was placed at the </w:t>
      </w:r>
      <w:proofErr w:type="spellStart"/>
      <w:r w:rsidRPr="0076762F">
        <w:rPr>
          <w:rFonts w:ascii="Arial" w:hAnsi="Arial" w:cs="Arial"/>
        </w:rPr>
        <w:t>centre</w:t>
      </w:r>
      <w:proofErr w:type="spellEnd"/>
      <w:r w:rsidRPr="0076762F">
        <w:rPr>
          <w:rFonts w:ascii="Arial" w:hAnsi="Arial" w:cs="Arial"/>
        </w:rPr>
        <w:t xml:space="preserve"> of each plate. The inoculated plates were maintained at 25 °C for 7 days, after which the colony diameter of the fungal growth was measured [9]. The percentage of growth inhibition was calculated relative to equation 1.</w:t>
      </w:r>
    </w:p>
    <w:p w14:paraId="141E52FE" w14:textId="77777777" w:rsidR="00723F43" w:rsidRPr="0076762F" w:rsidRDefault="00723F43" w:rsidP="0076762F">
      <w:pPr>
        <w:jc w:val="both"/>
        <w:rPr>
          <w:rFonts w:ascii="Arial" w:hAnsi="Arial" w:cs="Arial"/>
        </w:rPr>
      </w:pPr>
    </w:p>
    <w:p w14:paraId="6A62A606" w14:textId="27E58024" w:rsidR="0076762F" w:rsidRDefault="006917CC" w:rsidP="0076762F">
      <w:pPr>
        <w:ind w:firstLine="720"/>
        <w:jc w:val="center"/>
        <w:rPr>
          <w:rFonts w:ascii="Arial" w:eastAsiaTheme="minorEastAsia" w:hAnsi="Arial" w:cs="Arial"/>
        </w:rPr>
      </w:pPr>
      <m:oMath>
        <m:r>
          <m:rPr>
            <m:sty m:val="p"/>
          </m:rPr>
          <w:rPr>
            <w:rFonts w:ascii="Cambria Math" w:hAnsi="Cambria Math" w:cs="Arial"/>
          </w:rPr>
          <m:t>Growth inhibition (%) = [(D₀ - Dₜ) / D₀] × 100</m:t>
        </m:r>
        <m:r>
          <w:rPr>
            <w:rFonts w:ascii="Cambria Math" w:hAnsi="Cambria Math" w:cs="Arial"/>
          </w:rPr>
          <m:t xml:space="preserve">                  </m:t>
        </m:r>
      </m:oMath>
      <w:r w:rsidR="0076762F" w:rsidRPr="0076762F">
        <w:rPr>
          <w:rFonts w:ascii="Arial" w:eastAsiaTheme="minorEastAsia" w:hAnsi="Arial" w:cs="Arial"/>
        </w:rPr>
        <w:t>(1)</w:t>
      </w:r>
    </w:p>
    <w:p w14:paraId="65882685" w14:textId="77777777" w:rsidR="00723F43" w:rsidRPr="0076762F" w:rsidRDefault="00723F43" w:rsidP="0076762F">
      <w:pPr>
        <w:ind w:firstLine="720"/>
        <w:jc w:val="center"/>
        <w:rPr>
          <w:rFonts w:ascii="Arial" w:hAnsi="Arial" w:cs="Arial"/>
        </w:rPr>
      </w:pPr>
    </w:p>
    <w:p w14:paraId="333A9D33" w14:textId="0D771A19" w:rsidR="0076762F" w:rsidRDefault="0076762F" w:rsidP="0076762F">
      <w:pPr>
        <w:rPr>
          <w:rFonts w:ascii="Arial" w:hAnsi="Arial" w:cs="Arial"/>
        </w:rPr>
      </w:pPr>
      <w:r w:rsidRPr="0076762F">
        <w:rPr>
          <w:rFonts w:ascii="Arial" w:hAnsi="Arial" w:cs="Arial"/>
        </w:rPr>
        <w:t xml:space="preserve">where </w:t>
      </w:r>
      <w:r w:rsidRPr="0076762F">
        <w:rPr>
          <w:rFonts w:ascii="Arial" w:hAnsi="Arial" w:cs="Arial"/>
          <w:i/>
          <w:iCs/>
        </w:rPr>
        <w:t>D</w:t>
      </w:r>
      <w:r w:rsidRPr="007B43C1">
        <w:rPr>
          <w:rFonts w:ascii="Arial" w:hAnsi="Arial" w:cs="Arial"/>
          <w:vertAlign w:val="subscript"/>
        </w:rPr>
        <w:t>t</w:t>
      </w:r>
      <w:r w:rsidRPr="0076762F">
        <w:rPr>
          <w:rFonts w:ascii="Arial" w:hAnsi="Arial" w:cs="Arial"/>
        </w:rPr>
        <w:t xml:space="preserve"> denotes the diameter of the fungal colony in the presence of the test compounds, and </w:t>
      </w:r>
      <w:r w:rsidRPr="0076762F">
        <w:rPr>
          <w:rFonts w:ascii="Arial" w:hAnsi="Arial" w:cs="Arial"/>
          <w:i/>
          <w:iCs/>
        </w:rPr>
        <w:t>D</w:t>
      </w:r>
      <w:r w:rsidR="007B43C1" w:rsidRPr="007B43C1">
        <w:rPr>
          <w:rFonts w:ascii="Arial" w:hAnsi="Arial" w:cs="Arial"/>
          <w:vertAlign w:val="subscript"/>
        </w:rPr>
        <w:t>0</w:t>
      </w:r>
      <w:r w:rsidRPr="0076762F">
        <w:rPr>
          <w:rFonts w:ascii="Arial" w:hAnsi="Arial" w:cs="Arial"/>
        </w:rPr>
        <w:t xml:space="preserve"> represents the colony diameter</w:t>
      </w:r>
      <w:r w:rsidR="00E4011F">
        <w:rPr>
          <w:rFonts w:ascii="Arial" w:hAnsi="Arial" w:cs="Arial"/>
        </w:rPr>
        <w:t xml:space="preserve"> observed in the control plates</w:t>
      </w:r>
      <w:r w:rsidRPr="00880390">
        <w:rPr>
          <w:rFonts w:ascii="Arial" w:hAnsi="Arial" w:cs="Arial"/>
        </w:rPr>
        <w:t>.</w:t>
      </w:r>
    </w:p>
    <w:p w14:paraId="368DF0B2" w14:textId="77777777" w:rsidR="00D5158D" w:rsidRPr="0076762F" w:rsidRDefault="00D5158D" w:rsidP="0076762F">
      <w:pPr>
        <w:rPr>
          <w:rFonts w:ascii="Arial" w:hAnsi="Arial" w:cs="Arial"/>
        </w:rPr>
      </w:pPr>
    </w:p>
    <w:p w14:paraId="6AAD820B" w14:textId="7E57B35A" w:rsidR="0076762F" w:rsidRDefault="00D5158D" w:rsidP="000B6C98">
      <w:pPr>
        <w:jc w:val="both"/>
      </w:pPr>
      <w:r w:rsidRPr="003F4BC8">
        <w:t>All experiments were performed in triplicate (n = 3). Data are presented as mean ± SD. Statistical significance was evaluated using one-way ANOVA (P &lt; 0.05).</w:t>
      </w:r>
    </w:p>
    <w:p w14:paraId="058889F8" w14:textId="77777777" w:rsidR="00D5158D" w:rsidRPr="0076762F" w:rsidRDefault="00D5158D" w:rsidP="0076762F">
      <w:pPr>
        <w:rPr>
          <w:rFonts w:ascii="Arial" w:hAnsi="Arial" w:cs="Arial"/>
        </w:rPr>
      </w:pPr>
    </w:p>
    <w:p w14:paraId="1D62DC01" w14:textId="77777777" w:rsidR="0076762F" w:rsidRPr="00E106B8" w:rsidRDefault="0076762F" w:rsidP="0076762F">
      <w:pPr>
        <w:rPr>
          <w:rFonts w:ascii="Arial" w:hAnsi="Arial" w:cs="Arial"/>
          <w:b/>
          <w:bCs/>
          <w:sz w:val="22"/>
          <w:szCs w:val="22"/>
        </w:rPr>
      </w:pPr>
      <w:r w:rsidRPr="00E106B8">
        <w:rPr>
          <w:rFonts w:ascii="Arial" w:hAnsi="Arial" w:cs="Arial"/>
          <w:b/>
          <w:bCs/>
          <w:sz w:val="22"/>
          <w:szCs w:val="22"/>
        </w:rPr>
        <w:t>2.4 Antioxidant Activity</w:t>
      </w:r>
    </w:p>
    <w:p w14:paraId="749EDD70" w14:textId="77777777" w:rsidR="00E106B8" w:rsidRPr="0076762F" w:rsidRDefault="00E106B8" w:rsidP="0076762F">
      <w:pPr>
        <w:rPr>
          <w:rFonts w:ascii="Arial" w:hAnsi="Arial" w:cs="Arial"/>
          <w:b/>
          <w:bCs/>
        </w:rPr>
      </w:pPr>
    </w:p>
    <w:p w14:paraId="0DA2120B" w14:textId="52AEEF88" w:rsidR="0076762F" w:rsidRDefault="0076762F" w:rsidP="0076762F">
      <w:pPr>
        <w:jc w:val="both"/>
        <w:rPr>
          <w:rFonts w:ascii="Arial" w:hAnsi="Arial" w:cs="Arial"/>
        </w:rPr>
      </w:pPr>
      <w:r w:rsidRPr="0076762F">
        <w:rPr>
          <w:rFonts w:ascii="Arial" w:hAnsi="Arial" w:cs="Arial"/>
        </w:rPr>
        <w:lastRenderedPageBreak/>
        <w:t xml:space="preserve">The synthesized compound's free radical scavenging activity, </w:t>
      </w:r>
      <w:r w:rsidRPr="003F27E7">
        <w:rPr>
          <w:rFonts w:ascii="Arial" w:hAnsi="Arial" w:cs="Arial"/>
        </w:rPr>
        <w:t>was assayed</w:t>
      </w:r>
      <w:r w:rsidRPr="0076762F">
        <w:rPr>
          <w:rFonts w:ascii="Arial" w:hAnsi="Arial" w:cs="Arial"/>
        </w:rPr>
        <w:t xml:space="preserve"> by the method involving DPPH (2,2-diphenyl-1-picrylhydrazyl). Stock solution of DPPH (50 µM) was prepared in methanol. In DMSO, test solutions of the compounds (100, 200, 300, and 400 µg mL</w:t>
      </w:r>
      <w:r w:rsidRPr="0076762F">
        <w:rPr>
          <w:rFonts w:ascii="Cambria Math" w:hAnsi="Cambria Math" w:cs="Cambria Math"/>
        </w:rPr>
        <w:t>⁻</w:t>
      </w:r>
      <w:r w:rsidRPr="0076762F">
        <w:rPr>
          <w:rFonts w:ascii="Arial" w:hAnsi="Arial" w:cs="Arial"/>
        </w:rPr>
        <w:t>¹) were prepared. For each assay, the 1 mL test solution was mixed with 5 mL freshly prepared DPPH solution. Reaction mixtures were shaken thoroughly and incubated at room temperature in the dark for 30 min. At 517 nm against a control solution, the decrease in absorbance was recorded using a UV</w:t>
      </w:r>
      <w:r w:rsidR="003D6A1D">
        <w:rPr>
          <w:rFonts w:ascii="Arial" w:hAnsi="Arial" w:cs="Arial"/>
        </w:rPr>
        <w:t>-</w:t>
      </w:r>
      <w:r w:rsidRPr="0076762F">
        <w:rPr>
          <w:rFonts w:ascii="Arial" w:hAnsi="Arial" w:cs="Arial"/>
        </w:rPr>
        <w:t>Visible spectrophotometer. The radical scavenging efficiency of the tested compounds was expressed as the percentage inhibition of DPPH radicals and calculated using the following equation-2:</w:t>
      </w:r>
    </w:p>
    <w:p w14:paraId="1D9AE952" w14:textId="77777777" w:rsidR="00723F43" w:rsidRPr="0076762F" w:rsidRDefault="00723F43" w:rsidP="0076762F">
      <w:pPr>
        <w:jc w:val="both"/>
        <w:rPr>
          <w:rFonts w:ascii="Arial" w:hAnsi="Arial" w:cs="Arial"/>
        </w:rPr>
      </w:pPr>
    </w:p>
    <w:p w14:paraId="5AF5A08A" w14:textId="77777777" w:rsidR="0076762F" w:rsidRPr="00723F43" w:rsidRDefault="0076762F" w:rsidP="0076762F">
      <w:pPr>
        <w:jc w:val="both"/>
        <w:rPr>
          <w:rFonts w:ascii="Arial" w:hAnsi="Arial" w:cs="Arial"/>
        </w:rPr>
      </w:pPr>
      <m:oMathPara>
        <m:oMathParaPr>
          <m:jc m:val="center"/>
        </m:oMathParaPr>
        <m:oMath>
          <m:r>
            <m:rPr>
              <m:sty m:val="p"/>
            </m:rPr>
            <w:rPr>
              <w:rFonts w:ascii="Cambria Math" w:hAnsi="Cambria Math" w:cs="Arial"/>
            </w:rPr>
            <m:t>% DPPH Scavanging=</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A</m:t>
                  </m:r>
                </m:e>
                <m:sub>
                  <m:r>
                    <w:rPr>
                      <w:rFonts w:ascii="Cambria Math" w:hAnsi="Cambria Math" w:cs="Arial"/>
                    </w:rPr>
                    <m:t>control</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sample</m:t>
                  </m:r>
                </m:sub>
              </m:sSub>
            </m:num>
            <m:den>
              <m:sSub>
                <m:sSubPr>
                  <m:ctrlPr>
                    <w:rPr>
                      <w:rFonts w:ascii="Cambria Math" w:hAnsi="Cambria Math" w:cs="Arial"/>
                    </w:rPr>
                  </m:ctrlPr>
                </m:sSubPr>
                <m:e>
                  <m:r>
                    <w:rPr>
                      <w:rFonts w:ascii="Cambria Math" w:hAnsi="Cambria Math" w:cs="Arial"/>
                    </w:rPr>
                    <m:t>A</m:t>
                  </m:r>
                </m:e>
                <m:sub>
                  <m:r>
                    <w:rPr>
                      <w:rFonts w:ascii="Cambria Math" w:hAnsi="Cambria Math" w:cs="Arial"/>
                    </w:rPr>
                    <m:t>control</m:t>
                  </m:r>
                </m:sub>
              </m:sSub>
            </m:den>
          </m:f>
          <m:r>
            <w:rPr>
              <w:rFonts w:ascii="Cambria Math" w:hAnsi="Cambria Math" w:cs="Arial"/>
            </w:rPr>
            <m:t xml:space="preserve"> X 100                  (2)                               </m:t>
          </m:r>
        </m:oMath>
      </m:oMathPara>
    </w:p>
    <w:p w14:paraId="1C1CBF5A" w14:textId="77777777" w:rsidR="00723F43" w:rsidRPr="0076762F" w:rsidRDefault="00723F43" w:rsidP="0076762F">
      <w:pPr>
        <w:jc w:val="both"/>
        <w:rPr>
          <w:rFonts w:ascii="Arial" w:hAnsi="Arial" w:cs="Arial"/>
        </w:rPr>
      </w:pPr>
    </w:p>
    <w:p w14:paraId="15E5A4C8" w14:textId="6724C01B" w:rsidR="0076762F" w:rsidRPr="0076762F" w:rsidRDefault="008E3DCF" w:rsidP="0076762F">
      <w:pPr>
        <w:jc w:val="both"/>
        <w:rPr>
          <w:rFonts w:ascii="Arial" w:hAnsi="Arial" w:cs="Arial"/>
        </w:rPr>
      </w:pPr>
      <w:r>
        <w:t xml:space="preserve">Here, </w:t>
      </w:r>
      <w:proofErr w:type="spellStart"/>
      <w:r>
        <w:rPr>
          <w:rStyle w:val="Strong"/>
        </w:rPr>
        <w:t>A_control</w:t>
      </w:r>
      <w:proofErr w:type="spellEnd"/>
      <w:r>
        <w:t xml:space="preserve"> refers to the absorbance of the DPPH solution without any test compound (DPPH + DMSO), while </w:t>
      </w:r>
      <w:proofErr w:type="spellStart"/>
      <w:r>
        <w:rPr>
          <w:rStyle w:val="Strong"/>
        </w:rPr>
        <w:t>A_sample</w:t>
      </w:r>
      <w:proofErr w:type="spellEnd"/>
      <w:r>
        <w:t xml:space="preserve"> represents the absorbance of the DPPH solution in the presence of the test compound</w:t>
      </w:r>
      <w:r w:rsidRPr="00880390">
        <w:rPr>
          <w:rFonts w:ascii="Arial" w:hAnsi="Arial" w:cs="Arial"/>
        </w:rPr>
        <w:t xml:space="preserve"> </w:t>
      </w:r>
      <w:r w:rsidR="0076762F" w:rsidRPr="00880390">
        <w:rPr>
          <w:rFonts w:ascii="Arial" w:hAnsi="Arial" w:cs="Arial"/>
        </w:rPr>
        <w:t>[</w:t>
      </w:r>
      <w:r w:rsidR="002610E3">
        <w:rPr>
          <w:rFonts w:ascii="Arial" w:hAnsi="Arial" w:cs="Arial"/>
        </w:rPr>
        <w:t>10</w:t>
      </w:r>
      <w:r w:rsidR="0076762F" w:rsidRPr="00880390">
        <w:rPr>
          <w:rFonts w:ascii="Arial" w:hAnsi="Arial" w:cs="Arial"/>
        </w:rPr>
        <w:t>].</w:t>
      </w:r>
    </w:p>
    <w:p w14:paraId="25EF5244" w14:textId="77777777" w:rsidR="00790ADA" w:rsidRPr="00FB3A86" w:rsidRDefault="00790ADA" w:rsidP="00441B6F">
      <w:pPr>
        <w:pStyle w:val="Body"/>
        <w:spacing w:after="0"/>
        <w:rPr>
          <w:rFonts w:ascii="Arial" w:hAnsi="Arial" w:cs="Arial"/>
        </w:rPr>
      </w:pPr>
    </w:p>
    <w:p w14:paraId="6933CAB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2F51B1D" w14:textId="77777777" w:rsidR="00790ADA" w:rsidRPr="00FB3A86" w:rsidRDefault="00790ADA" w:rsidP="00441B6F">
      <w:pPr>
        <w:pStyle w:val="Head1"/>
        <w:spacing w:after="0"/>
        <w:jc w:val="both"/>
        <w:rPr>
          <w:rFonts w:ascii="Arial" w:hAnsi="Arial" w:cs="Arial"/>
        </w:rPr>
      </w:pPr>
    </w:p>
    <w:p w14:paraId="101DDD56" w14:textId="77777777" w:rsidR="00821658" w:rsidRDefault="00821658" w:rsidP="00E106B8">
      <w:pPr>
        <w:rPr>
          <w:rFonts w:ascii="Arial" w:hAnsi="Arial" w:cs="Arial"/>
          <w:b/>
          <w:bCs/>
          <w:sz w:val="22"/>
          <w:szCs w:val="22"/>
        </w:rPr>
      </w:pPr>
      <w:r w:rsidRPr="00E106B8">
        <w:rPr>
          <w:rFonts w:ascii="Arial" w:hAnsi="Arial" w:cs="Arial"/>
          <w:b/>
          <w:bCs/>
          <w:sz w:val="22"/>
          <w:szCs w:val="22"/>
        </w:rPr>
        <w:t>3.1 Antioxidant Activity</w:t>
      </w:r>
    </w:p>
    <w:p w14:paraId="64C0EFC1" w14:textId="77777777" w:rsidR="00E106B8" w:rsidRPr="00E106B8" w:rsidRDefault="00E106B8" w:rsidP="00E106B8">
      <w:pPr>
        <w:rPr>
          <w:rFonts w:ascii="Arial" w:hAnsi="Arial" w:cs="Arial"/>
          <w:sz w:val="22"/>
          <w:szCs w:val="22"/>
        </w:rPr>
      </w:pPr>
    </w:p>
    <w:p w14:paraId="58BAA2D7" w14:textId="0D9A0746" w:rsidR="00821658" w:rsidRPr="00E106B8" w:rsidRDefault="00821658" w:rsidP="00E106B8">
      <w:pPr>
        <w:jc w:val="both"/>
        <w:rPr>
          <w:rFonts w:ascii="Arial" w:hAnsi="Arial" w:cs="Arial"/>
        </w:rPr>
      </w:pPr>
      <w:r w:rsidRPr="00E106B8">
        <w:rPr>
          <w:rFonts w:ascii="Arial" w:hAnsi="Arial" w:cs="Arial"/>
        </w:rPr>
        <w:t>The antioxidant activity of the synthesized Schiff base ligand (LA) and its metal complexes, LA-A(Co), LA-B(Ni), LA-C(Cu), and LA-D(Zn) were determined by the free radical scavenging assay using the DPPH assay, with ascorbic acid as a standard. The percentage scavenging activity was determined at various concentrations ranging from 100 to 400 µg mL</w:t>
      </w:r>
      <w:r w:rsidRPr="00E106B8">
        <w:rPr>
          <w:rFonts w:ascii="Cambria Math" w:hAnsi="Cambria Math" w:cs="Cambria Math"/>
        </w:rPr>
        <w:t>⁻</w:t>
      </w:r>
      <w:r w:rsidRPr="00E106B8">
        <w:rPr>
          <w:rFonts w:ascii="Arial" w:hAnsi="Arial" w:cs="Arial"/>
        </w:rPr>
        <w:t xml:space="preserve">¹, and plots were drawn as shown in Fig. 1.  It was observed that all tested compounds dose-dependently increased their activity in scavenging the free radicals. As expected, ascorbic acid was found to possess the highest antioxidant activity at all points of concentration. </w:t>
      </w:r>
      <w:r w:rsidR="00F422F9" w:rsidRPr="00F422F9">
        <w:rPr>
          <w:rFonts w:ascii="Arial" w:hAnsi="Arial" w:cs="Arial"/>
        </w:rPr>
        <w:t>The free ligand (LA) showed moderate DPPH radical scavenging activity that increased progressively with increasing concentration. Coordination with transition metal ions resulted in a marked enhancement of antioxidant activity for all binuclear complexes relative to the free ligand, highlighting the beneficial role of metal chelation.</w:t>
      </w:r>
      <w:r w:rsidRPr="00E106B8">
        <w:rPr>
          <w:rFonts w:ascii="Arial" w:hAnsi="Arial" w:cs="Arial"/>
        </w:rPr>
        <w:t xml:space="preserve"> Among the metal complexes, the highest scavenging ability has been shown for the </w:t>
      </w:r>
      <w:proofErr w:type="gramStart"/>
      <w:r w:rsidRPr="00E106B8">
        <w:rPr>
          <w:rFonts w:ascii="Arial" w:hAnsi="Arial" w:cs="Arial"/>
        </w:rPr>
        <w:t>Cu(</w:t>
      </w:r>
      <w:proofErr w:type="gramEnd"/>
      <w:r w:rsidRPr="00E106B8">
        <w:rPr>
          <w:rFonts w:ascii="Arial" w:hAnsi="Arial" w:cs="Arial"/>
        </w:rPr>
        <w:t>II) complex [LA-C(Cu)], at all concentrations, followed by Zn(II), Ni(II), and Co(II) complexes. At a concentration of 400 µg mL</w:t>
      </w:r>
      <w:r w:rsidRPr="00E106B8">
        <w:rPr>
          <w:rFonts w:ascii="Cambria Math" w:hAnsi="Cambria Math" w:cs="Cambria Math"/>
        </w:rPr>
        <w:t>⁻</w:t>
      </w:r>
      <w:r w:rsidRPr="00E106B8">
        <w:rPr>
          <w:rFonts w:ascii="Arial" w:hAnsi="Arial" w:cs="Arial"/>
        </w:rPr>
        <w:t xml:space="preserve">¹, a study revealed that the order of antioxidant efficacy is as follows: Ascorbic acid &gt; LA-C(Cu) &gt; LA-D(Zn) &gt; LA-B(Ni) &gt; LA-A(Co) &gt; LA. The increase in antioxidant activity for metal ions has been attributed to a rise in electron donations owing to metal interactions. Based on their redox properties, Cupric ions are found to be involved in more </w:t>
      </w:r>
      <w:proofErr w:type="spellStart"/>
      <w:r w:rsidRPr="00E106B8">
        <w:rPr>
          <w:rFonts w:ascii="Arial" w:hAnsi="Arial" w:cs="Arial"/>
        </w:rPr>
        <w:t>favourable</w:t>
      </w:r>
      <w:proofErr w:type="spellEnd"/>
      <w:r w:rsidRPr="00E106B8">
        <w:rPr>
          <w:rFonts w:ascii="Arial" w:hAnsi="Arial" w:cs="Arial"/>
        </w:rPr>
        <w:t xml:space="preserve"> redox cycles for effective free radical scavenging. The findings from this study support that metal ions are capable of increasing the antioxidant potential of N</w:t>
      </w:r>
      <w:r w:rsidR="007E52C6">
        <w:rPr>
          <w:rFonts w:ascii="Arial" w:hAnsi="Arial" w:cs="Arial"/>
        </w:rPr>
        <w:t xml:space="preserve">2-N2 </w:t>
      </w:r>
      <w:r w:rsidRPr="00E106B8">
        <w:rPr>
          <w:rFonts w:ascii="Arial" w:hAnsi="Arial" w:cs="Arial"/>
        </w:rPr>
        <w:t xml:space="preserve">donor ligand LA considerably; hence, all synthesized metal complexes exhibit a considerable ability for free radical scavenging </w:t>
      </w:r>
      <w:r w:rsidRPr="00BF6EEB">
        <w:rPr>
          <w:rFonts w:ascii="Arial" w:hAnsi="Arial" w:cs="Arial"/>
        </w:rPr>
        <w:t>[</w:t>
      </w:r>
      <w:r w:rsidR="002610E3">
        <w:rPr>
          <w:rFonts w:ascii="Arial" w:hAnsi="Arial" w:cs="Arial"/>
        </w:rPr>
        <w:t>11</w:t>
      </w:r>
      <w:r w:rsidR="00BF6EEB">
        <w:rPr>
          <w:rFonts w:ascii="Arial" w:hAnsi="Arial" w:cs="Arial"/>
        </w:rPr>
        <w:t>-</w:t>
      </w:r>
      <w:r w:rsidR="002610E3">
        <w:rPr>
          <w:rFonts w:ascii="Arial" w:hAnsi="Arial" w:cs="Arial"/>
        </w:rPr>
        <w:t>13</w:t>
      </w:r>
      <w:r w:rsidRPr="00E106B8">
        <w:rPr>
          <w:rFonts w:ascii="Arial" w:hAnsi="Arial" w:cs="Arial"/>
        </w:rPr>
        <w:t>].</w:t>
      </w:r>
    </w:p>
    <w:p w14:paraId="0B06093F" w14:textId="77777777" w:rsidR="00821658" w:rsidRPr="00E106B8" w:rsidRDefault="00821658" w:rsidP="00E106B8">
      <w:pPr>
        <w:rPr>
          <w:rFonts w:ascii="Arial" w:hAnsi="Arial" w:cs="Arial"/>
        </w:rPr>
      </w:pPr>
    </w:p>
    <w:p w14:paraId="019D6206" w14:textId="77777777" w:rsidR="00821658" w:rsidRPr="00E106B8" w:rsidRDefault="00821658" w:rsidP="00E106B8">
      <w:pPr>
        <w:jc w:val="center"/>
        <w:rPr>
          <w:rFonts w:ascii="Arial" w:hAnsi="Arial" w:cs="Arial"/>
          <w:b/>
          <w:bCs/>
        </w:rPr>
      </w:pPr>
      <w:r w:rsidRPr="00E106B8">
        <w:rPr>
          <w:rFonts w:ascii="Arial" w:hAnsi="Arial" w:cs="Arial"/>
          <w:b/>
          <w:bCs/>
          <w:noProof/>
        </w:rPr>
        <w:lastRenderedPageBreak/>
        <w:drawing>
          <wp:inline distT="0" distB="0" distL="0" distR="0" wp14:anchorId="7DC6566B" wp14:editId="0DB252E5">
            <wp:extent cx="4257968" cy="2524125"/>
            <wp:effectExtent l="0" t="0" r="9525" b="0"/>
            <wp:docPr id="448168168" name="Picture 5">
              <a:extLst xmlns:a="http://schemas.openxmlformats.org/drawingml/2006/main">
                <a:ext uri="{FF2B5EF4-FFF2-40B4-BE49-F238E27FC236}">
                  <a16:creationId xmlns:a16="http://schemas.microsoft.com/office/drawing/2014/main" id="{2B650710-D116-5FA9-FF99-4C804ABCF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B650710-D116-5FA9-FF99-4C804ABCF03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369" cy="2594906"/>
                    </a:xfrm>
                    <a:prstGeom prst="rect">
                      <a:avLst/>
                    </a:prstGeom>
                  </pic:spPr>
                </pic:pic>
              </a:graphicData>
            </a:graphic>
          </wp:inline>
        </w:drawing>
      </w:r>
    </w:p>
    <w:p w14:paraId="6D01CB45" w14:textId="77777777" w:rsidR="001E18FD" w:rsidRDefault="001E18FD" w:rsidP="00E106B8">
      <w:pPr>
        <w:rPr>
          <w:rFonts w:ascii="Arial" w:hAnsi="Arial" w:cs="Arial"/>
          <w:b/>
          <w:bCs/>
        </w:rPr>
      </w:pPr>
    </w:p>
    <w:p w14:paraId="0DC63322" w14:textId="54376A9C" w:rsidR="00821658" w:rsidRPr="00E106B8" w:rsidRDefault="00821658" w:rsidP="00E106B8">
      <w:pPr>
        <w:rPr>
          <w:rFonts w:ascii="Arial" w:hAnsi="Arial" w:cs="Arial"/>
        </w:rPr>
      </w:pPr>
      <w:r w:rsidRPr="00E106B8">
        <w:rPr>
          <w:rFonts w:ascii="Arial" w:hAnsi="Arial" w:cs="Arial"/>
          <w:b/>
          <w:bCs/>
        </w:rPr>
        <w:t>Fig</w:t>
      </w:r>
      <w:r w:rsidR="00E106B8">
        <w:rPr>
          <w:rFonts w:ascii="Arial" w:hAnsi="Arial" w:cs="Arial"/>
          <w:b/>
          <w:bCs/>
        </w:rPr>
        <w:t>.</w:t>
      </w:r>
      <w:r w:rsidRPr="00E106B8">
        <w:rPr>
          <w:rFonts w:ascii="Arial" w:hAnsi="Arial" w:cs="Arial"/>
          <w:b/>
          <w:bCs/>
        </w:rPr>
        <w:t xml:space="preserve"> 1</w:t>
      </w:r>
      <w:r w:rsidR="00E106B8">
        <w:rPr>
          <w:rFonts w:ascii="Arial" w:hAnsi="Arial" w:cs="Arial"/>
          <w:b/>
          <w:bCs/>
        </w:rPr>
        <w:t>.</w:t>
      </w:r>
      <w:r w:rsidRPr="00E106B8">
        <w:rPr>
          <w:rFonts w:ascii="Arial" w:hAnsi="Arial" w:cs="Arial"/>
        </w:rPr>
        <w:t xml:space="preserve"> </w:t>
      </w:r>
      <w:r w:rsidR="00E106B8" w:rsidRPr="00E106B8">
        <w:rPr>
          <w:rFonts w:ascii="Arial" w:hAnsi="Arial" w:cs="Arial"/>
          <w:b/>
        </w:rPr>
        <w:t>Represents</w:t>
      </w:r>
      <w:r w:rsidRPr="00E106B8">
        <w:rPr>
          <w:rFonts w:ascii="Arial" w:hAnsi="Arial" w:cs="Arial"/>
          <w:b/>
        </w:rPr>
        <w:t xml:space="preserve"> the % DPPH scavenging activity graph of synthesized Schiff base ligand LA and its metal complexes. </w:t>
      </w:r>
    </w:p>
    <w:p w14:paraId="07A4669D" w14:textId="77777777" w:rsidR="00821658" w:rsidRPr="00E106B8" w:rsidRDefault="00821658" w:rsidP="00E106B8">
      <w:pPr>
        <w:rPr>
          <w:rFonts w:ascii="Arial" w:hAnsi="Arial" w:cs="Arial"/>
        </w:rPr>
      </w:pPr>
    </w:p>
    <w:p w14:paraId="49014A0C" w14:textId="77777777" w:rsidR="00821658" w:rsidRDefault="00821658" w:rsidP="00E106B8">
      <w:pPr>
        <w:rPr>
          <w:rFonts w:ascii="Arial" w:hAnsi="Arial" w:cs="Arial"/>
          <w:b/>
          <w:bCs/>
          <w:sz w:val="22"/>
          <w:szCs w:val="22"/>
        </w:rPr>
      </w:pPr>
      <w:r w:rsidRPr="00E106B8">
        <w:rPr>
          <w:rFonts w:ascii="Arial" w:hAnsi="Arial" w:cs="Arial"/>
          <w:b/>
          <w:bCs/>
          <w:sz w:val="22"/>
          <w:szCs w:val="22"/>
        </w:rPr>
        <w:t>3.2 Antifungal activity</w:t>
      </w:r>
    </w:p>
    <w:p w14:paraId="5182889C" w14:textId="77777777" w:rsidR="00E106B8" w:rsidRPr="00E106B8" w:rsidRDefault="00E106B8" w:rsidP="00E106B8">
      <w:pPr>
        <w:rPr>
          <w:rFonts w:ascii="Arial" w:hAnsi="Arial" w:cs="Arial"/>
          <w:sz w:val="22"/>
          <w:szCs w:val="22"/>
        </w:rPr>
      </w:pPr>
    </w:p>
    <w:p w14:paraId="17BFAD87" w14:textId="54E2E08B" w:rsidR="00821658" w:rsidRPr="0055308F" w:rsidRDefault="00E4011F" w:rsidP="00E106B8">
      <w:pPr>
        <w:jc w:val="both"/>
        <w:rPr>
          <w:rFonts w:ascii="Arial" w:hAnsi="Arial" w:cs="Arial"/>
        </w:rPr>
      </w:pPr>
      <w:r w:rsidRPr="0055308F">
        <w:rPr>
          <w:rFonts w:ascii="Arial" w:hAnsi="Arial" w:cs="Arial"/>
        </w:rPr>
        <w:t>The antifungal potential of the Schiff base ligand (LA) and its binuclear metal complexes</w:t>
      </w:r>
      <w:r w:rsidR="00982084">
        <w:rPr>
          <w:rFonts w:ascii="Arial" w:hAnsi="Arial" w:cs="Arial"/>
        </w:rPr>
        <w:t>-</w:t>
      </w:r>
      <w:r w:rsidRPr="0055308F">
        <w:rPr>
          <w:rFonts w:ascii="Arial" w:hAnsi="Arial" w:cs="Arial"/>
        </w:rPr>
        <w:t>LA-A (Co), LA-B (Ni), LA-C (Cu), and LA-D (Zn)</w:t>
      </w:r>
      <w:r w:rsidR="00982084">
        <w:rPr>
          <w:rFonts w:ascii="Arial" w:hAnsi="Arial" w:cs="Arial"/>
        </w:rPr>
        <w:t>-</w:t>
      </w:r>
      <w:r w:rsidRPr="0055308F">
        <w:rPr>
          <w:rFonts w:ascii="Arial" w:hAnsi="Arial" w:cs="Arial"/>
        </w:rPr>
        <w:t xml:space="preserve">was </w:t>
      </w:r>
      <w:r w:rsidR="00590197" w:rsidRPr="0055308F">
        <w:rPr>
          <w:rFonts w:ascii="Arial" w:hAnsi="Arial" w:cs="Arial"/>
        </w:rPr>
        <w:t xml:space="preserve">evaluated </w:t>
      </w:r>
      <w:r w:rsidR="00590197" w:rsidRPr="0055308F">
        <w:rPr>
          <w:rFonts w:ascii="Arial" w:hAnsi="Arial" w:cs="Arial"/>
          <w:i/>
        </w:rPr>
        <w:t>in vitro</w:t>
      </w:r>
      <w:r w:rsidRPr="0055308F">
        <w:rPr>
          <w:rFonts w:ascii="Arial" w:hAnsi="Arial" w:cs="Arial"/>
        </w:rPr>
        <w:t xml:space="preserve"> against </w:t>
      </w:r>
      <w:r w:rsidRPr="0055308F">
        <w:rPr>
          <w:rStyle w:val="Emphasis"/>
          <w:rFonts w:ascii="Arial" w:hAnsi="Arial" w:cs="Arial"/>
        </w:rPr>
        <w:t xml:space="preserve">Aspergillus </w:t>
      </w:r>
      <w:proofErr w:type="spellStart"/>
      <w:r w:rsidRPr="0055308F">
        <w:rPr>
          <w:rStyle w:val="Emphasis"/>
          <w:rFonts w:ascii="Arial" w:hAnsi="Arial" w:cs="Arial"/>
        </w:rPr>
        <w:t>niger</w:t>
      </w:r>
      <w:proofErr w:type="spellEnd"/>
      <w:r w:rsidRPr="0055308F">
        <w:rPr>
          <w:rFonts w:ascii="Arial" w:hAnsi="Arial" w:cs="Arial"/>
        </w:rPr>
        <w:t xml:space="preserve"> and </w:t>
      </w:r>
      <w:proofErr w:type="spellStart"/>
      <w:r w:rsidRPr="0055308F">
        <w:rPr>
          <w:rStyle w:val="Emphasis"/>
          <w:rFonts w:ascii="Arial" w:hAnsi="Arial" w:cs="Arial"/>
        </w:rPr>
        <w:t>Fusarium</w:t>
      </w:r>
      <w:proofErr w:type="spellEnd"/>
      <w:r w:rsidRPr="0055308F">
        <w:rPr>
          <w:rStyle w:val="Emphasis"/>
          <w:rFonts w:ascii="Arial" w:hAnsi="Arial" w:cs="Arial"/>
        </w:rPr>
        <w:t xml:space="preserve"> </w:t>
      </w:r>
      <w:proofErr w:type="spellStart"/>
      <w:r w:rsidRPr="0055308F">
        <w:rPr>
          <w:rStyle w:val="Emphasis"/>
          <w:rFonts w:ascii="Arial" w:hAnsi="Arial" w:cs="Arial"/>
        </w:rPr>
        <w:t>oxysporum</w:t>
      </w:r>
      <w:proofErr w:type="spellEnd"/>
      <w:r w:rsidR="00590197" w:rsidRPr="0055308F">
        <w:rPr>
          <w:rStyle w:val="Emphasis"/>
          <w:rFonts w:ascii="Arial" w:hAnsi="Arial" w:cs="Arial"/>
        </w:rPr>
        <w:t xml:space="preserve"> </w:t>
      </w:r>
      <w:r w:rsidR="00590197" w:rsidRPr="0055308F">
        <w:rPr>
          <w:rStyle w:val="Emphasis"/>
          <w:rFonts w:ascii="Arial" w:hAnsi="Arial" w:cs="Arial"/>
          <w:i w:val="0"/>
        </w:rPr>
        <w:t>using the mycelial growth inhibition method</w:t>
      </w:r>
      <w:r w:rsidRPr="0055308F">
        <w:rPr>
          <w:rFonts w:ascii="Arial" w:hAnsi="Arial" w:cs="Arial"/>
        </w:rPr>
        <w:t xml:space="preserve">. Bavistin was used as a positive control to benchmark antifungal efficacy, while DMSO and drug-free plates served as negative controls to account for baseline growth and solvent effects </w:t>
      </w:r>
      <w:r w:rsidR="00821658" w:rsidRPr="0055308F">
        <w:rPr>
          <w:rFonts w:ascii="Arial" w:hAnsi="Arial" w:cs="Arial"/>
        </w:rPr>
        <w:t xml:space="preserve">(Table 1). The ligand LA showed moderate inhibitory activity, having 67.41% against </w:t>
      </w:r>
      <w:r w:rsidR="00821658" w:rsidRPr="0055308F">
        <w:rPr>
          <w:rFonts w:ascii="Arial" w:hAnsi="Arial" w:cs="Arial"/>
          <w:i/>
          <w:iCs/>
        </w:rPr>
        <w:t xml:space="preserve">A. </w:t>
      </w:r>
      <w:proofErr w:type="spellStart"/>
      <w:r w:rsidR="00821658" w:rsidRPr="0055308F">
        <w:rPr>
          <w:rFonts w:ascii="Arial" w:hAnsi="Arial" w:cs="Arial"/>
          <w:i/>
          <w:iCs/>
        </w:rPr>
        <w:t>niger</w:t>
      </w:r>
      <w:proofErr w:type="spellEnd"/>
      <w:r w:rsidR="00821658" w:rsidRPr="0055308F">
        <w:rPr>
          <w:rFonts w:ascii="Arial" w:hAnsi="Arial" w:cs="Arial"/>
        </w:rPr>
        <w:t xml:space="preserve"> and 59.37% against </w:t>
      </w:r>
      <w:r w:rsidR="00821658" w:rsidRPr="0055308F">
        <w:rPr>
          <w:rFonts w:ascii="Arial" w:hAnsi="Arial" w:cs="Arial"/>
          <w:i/>
          <w:iCs/>
        </w:rPr>
        <w:t xml:space="preserve">F. </w:t>
      </w:r>
      <w:proofErr w:type="spellStart"/>
      <w:r w:rsidR="00821658" w:rsidRPr="0055308F">
        <w:rPr>
          <w:rFonts w:ascii="Arial" w:hAnsi="Arial" w:cs="Arial"/>
          <w:i/>
          <w:iCs/>
        </w:rPr>
        <w:t>oxysporum</w:t>
      </w:r>
      <w:proofErr w:type="spellEnd"/>
      <w:r w:rsidR="00821658" w:rsidRPr="0055308F">
        <w:rPr>
          <w:rFonts w:ascii="Arial" w:hAnsi="Arial" w:cs="Arial"/>
        </w:rPr>
        <w:t xml:space="preserve">. There was a remarkable increase in inhibitory activity upon binding to the metal. The most potent compound among the complexes was </w:t>
      </w:r>
      <w:r w:rsidR="00703131">
        <w:rPr>
          <w:rFonts w:ascii="Arial" w:hAnsi="Arial" w:cs="Arial"/>
        </w:rPr>
        <w:t>LA-C(Cu), which exhibited</w:t>
      </w:r>
      <w:r w:rsidR="00821658" w:rsidRPr="0055308F">
        <w:rPr>
          <w:rFonts w:ascii="Arial" w:hAnsi="Arial" w:cs="Arial"/>
        </w:rPr>
        <w:t xml:space="preserve"> 88.76% inhibitory activity against </w:t>
      </w:r>
      <w:r w:rsidR="00821658" w:rsidRPr="0055308F">
        <w:rPr>
          <w:rFonts w:ascii="Arial" w:hAnsi="Arial" w:cs="Arial"/>
          <w:i/>
        </w:rPr>
        <w:t xml:space="preserve">A. </w:t>
      </w:r>
      <w:proofErr w:type="spellStart"/>
      <w:r w:rsidR="00821658" w:rsidRPr="0055308F">
        <w:rPr>
          <w:rFonts w:ascii="Arial" w:hAnsi="Arial" w:cs="Arial"/>
          <w:i/>
        </w:rPr>
        <w:t>niger</w:t>
      </w:r>
      <w:proofErr w:type="spellEnd"/>
      <w:r w:rsidR="00821658" w:rsidRPr="0055308F">
        <w:rPr>
          <w:rFonts w:ascii="Arial" w:hAnsi="Arial" w:cs="Arial"/>
        </w:rPr>
        <w:t xml:space="preserve"> and 82.81% against </w:t>
      </w:r>
      <w:r w:rsidR="00821658" w:rsidRPr="00703131">
        <w:rPr>
          <w:rFonts w:ascii="Arial" w:hAnsi="Arial" w:cs="Arial"/>
          <w:i/>
        </w:rPr>
        <w:t xml:space="preserve">F. </w:t>
      </w:r>
      <w:proofErr w:type="spellStart"/>
      <w:r w:rsidR="00821658" w:rsidRPr="00703131">
        <w:rPr>
          <w:rFonts w:ascii="Arial" w:hAnsi="Arial" w:cs="Arial"/>
          <w:i/>
        </w:rPr>
        <w:t>oxysporum</w:t>
      </w:r>
      <w:proofErr w:type="spellEnd"/>
      <w:r w:rsidR="00821658" w:rsidRPr="0055308F">
        <w:rPr>
          <w:rFonts w:ascii="Arial" w:hAnsi="Arial" w:cs="Arial"/>
        </w:rPr>
        <w:t xml:space="preserve">. The </w:t>
      </w:r>
      <w:proofErr w:type="gramStart"/>
      <w:r w:rsidR="00821658" w:rsidRPr="0055308F">
        <w:rPr>
          <w:rFonts w:ascii="Arial" w:hAnsi="Arial" w:cs="Arial"/>
        </w:rPr>
        <w:t>Ni(</w:t>
      </w:r>
      <w:proofErr w:type="gramEnd"/>
      <w:r w:rsidR="00821658" w:rsidRPr="0055308F">
        <w:rPr>
          <w:rFonts w:ascii="Arial" w:hAnsi="Arial" w:cs="Arial"/>
        </w:rPr>
        <w:t xml:space="preserve">II) complex, LA-B(Ni), </w:t>
      </w:r>
      <w:r w:rsidR="00703131">
        <w:rPr>
          <w:rFonts w:ascii="Arial" w:hAnsi="Arial" w:cs="Arial"/>
        </w:rPr>
        <w:t xml:space="preserve">exhibited relatively strong inhibitory activity, especially against </w:t>
      </w:r>
      <w:r w:rsidR="00703131" w:rsidRPr="00703131">
        <w:rPr>
          <w:rFonts w:ascii="Arial" w:hAnsi="Arial" w:cs="Arial"/>
          <w:i/>
          <w:iCs/>
        </w:rPr>
        <w:t xml:space="preserve">F. </w:t>
      </w:r>
      <w:proofErr w:type="spellStart"/>
      <w:r w:rsidR="00703131" w:rsidRPr="00703131">
        <w:rPr>
          <w:rFonts w:ascii="Arial" w:hAnsi="Arial" w:cs="Arial"/>
          <w:i/>
          <w:iCs/>
        </w:rPr>
        <w:t>oxysporum</w:t>
      </w:r>
      <w:proofErr w:type="spellEnd"/>
      <w:r w:rsidR="00703131">
        <w:rPr>
          <w:rFonts w:ascii="Arial" w:hAnsi="Arial" w:cs="Arial"/>
        </w:rPr>
        <w:t xml:space="preserve"> (92.81%), demonstrating an inhibitory trend comparable to that of </w:t>
      </w:r>
      <w:r w:rsidR="00D0613A" w:rsidRPr="0055308F">
        <w:rPr>
          <w:rFonts w:ascii="Arial" w:hAnsi="Arial" w:cs="Arial"/>
        </w:rPr>
        <w:t xml:space="preserve">the standard antifungal drug </w:t>
      </w:r>
      <w:r w:rsidR="00821658" w:rsidRPr="0055308F">
        <w:rPr>
          <w:rFonts w:ascii="Arial" w:hAnsi="Arial" w:cs="Arial"/>
        </w:rPr>
        <w:t xml:space="preserve">Bavistin (96.8%). The LA-A(Co) and LA-D(Zn) complexes showed improved inhibitory activity against the tested organisms compared to the free ligand; </w:t>
      </w:r>
      <w:r w:rsidR="005C3696" w:rsidRPr="0055308F">
        <w:rPr>
          <w:rFonts w:ascii="Arial" w:hAnsi="Arial" w:cs="Arial"/>
        </w:rPr>
        <w:t>Thus, the general trend of antifungal activity against both fungal species indicates that coordination of the Schiff base ligand with transition metal ions enhances the inhibitory efficacy of the ligand system. This enhancement may be attributed to chelation effects, which increase lipophilicity and modify electron distribution, thereby facilitating penetration through the fungal cell membrane and interaction with intracellular targets in vivo. The observed antifungal response may involve biocidal and/or biostatic effe</w:t>
      </w:r>
      <w:r w:rsidR="003C7BE5">
        <w:rPr>
          <w:rFonts w:ascii="Arial" w:hAnsi="Arial" w:cs="Arial"/>
        </w:rPr>
        <w:t>cts, acting synergistically [14-</w:t>
      </w:r>
      <w:r w:rsidR="005C3696" w:rsidRPr="0055308F">
        <w:rPr>
          <w:rFonts w:ascii="Arial" w:hAnsi="Arial" w:cs="Arial"/>
        </w:rPr>
        <w:t>1</w:t>
      </w:r>
      <w:r w:rsidR="003C7BE5">
        <w:rPr>
          <w:rFonts w:ascii="Arial" w:hAnsi="Arial" w:cs="Arial"/>
        </w:rPr>
        <w:t>8</w:t>
      </w:r>
      <w:r w:rsidR="005C3696" w:rsidRPr="0055308F">
        <w:rPr>
          <w:rFonts w:ascii="Arial" w:hAnsi="Arial" w:cs="Arial"/>
        </w:rPr>
        <w:t>].</w:t>
      </w:r>
    </w:p>
    <w:p w14:paraId="2F70DA41" w14:textId="77777777" w:rsidR="00E106B8" w:rsidRPr="0055308F" w:rsidRDefault="00E106B8" w:rsidP="00E106B8">
      <w:pPr>
        <w:rPr>
          <w:rFonts w:ascii="Arial" w:hAnsi="Arial" w:cs="Arial"/>
          <w:b/>
        </w:rPr>
      </w:pPr>
    </w:p>
    <w:p w14:paraId="1771AAA9" w14:textId="77777777" w:rsidR="00E106B8" w:rsidRDefault="00E106B8" w:rsidP="00E106B8">
      <w:pPr>
        <w:rPr>
          <w:rFonts w:ascii="Arial" w:hAnsi="Arial"/>
          <w:b/>
        </w:rPr>
      </w:pPr>
    </w:p>
    <w:p w14:paraId="7EACCDF6" w14:textId="77777777" w:rsidR="00821658" w:rsidRPr="00E106B8" w:rsidRDefault="00E106B8" w:rsidP="00E106B8">
      <w:pPr>
        <w:jc w:val="center"/>
        <w:rPr>
          <w:rFonts w:ascii="Arial" w:hAnsi="Arial" w:cs="Arial"/>
          <w:b/>
        </w:rPr>
      </w:pPr>
      <w:r>
        <w:rPr>
          <w:rFonts w:ascii="Arial" w:hAnsi="Arial"/>
          <w:b/>
        </w:rPr>
        <w:t>Table 1.</w:t>
      </w:r>
      <w:r w:rsidR="00821658" w:rsidRPr="00E106B8">
        <w:rPr>
          <w:rFonts w:ascii="Arial" w:hAnsi="Arial" w:cs="Arial"/>
        </w:rPr>
        <w:t xml:space="preserve"> </w:t>
      </w:r>
      <w:r w:rsidRPr="00E106B8">
        <w:rPr>
          <w:rFonts w:ascii="Arial" w:hAnsi="Arial" w:cs="Arial"/>
          <w:b/>
        </w:rPr>
        <w:t>Represents</w:t>
      </w:r>
      <w:r w:rsidR="00821658" w:rsidRPr="00E106B8">
        <w:rPr>
          <w:rFonts w:ascii="Arial" w:hAnsi="Arial" w:cs="Arial"/>
          <w:b/>
        </w:rPr>
        <w:t xml:space="preserve"> the fungal growth inhibition % data of synthesized Schiff base ligand LA and its metal complexes.</w:t>
      </w:r>
    </w:p>
    <w:p w14:paraId="46665BE4" w14:textId="77777777" w:rsidR="00821658" w:rsidRPr="00E106B8" w:rsidRDefault="00821658" w:rsidP="00E106B8">
      <w:pPr>
        <w:rPr>
          <w:rFonts w:ascii="Arial" w:hAnsi="Arial" w:cs="Arial"/>
        </w:rPr>
      </w:pPr>
    </w:p>
    <w:tbl>
      <w:tblPr>
        <w:tblpPr w:leftFromText="180" w:rightFromText="180" w:vertAnchor="text" w:horzAnchor="margin" w:tblpXSpec="center" w:tblpY="-95"/>
        <w:tblW w:w="6571" w:type="dxa"/>
        <w:shd w:val="clear" w:color="auto" w:fill="EEECE1" w:themeFill="background2"/>
        <w:tblCellMar>
          <w:left w:w="0" w:type="dxa"/>
          <w:right w:w="0" w:type="dxa"/>
        </w:tblCellMar>
        <w:tblLook w:val="0420" w:firstRow="1" w:lastRow="0" w:firstColumn="0" w:lastColumn="0" w:noHBand="0" w:noVBand="1"/>
      </w:tblPr>
      <w:tblGrid>
        <w:gridCol w:w="1936"/>
        <w:gridCol w:w="2273"/>
        <w:gridCol w:w="2362"/>
      </w:tblGrid>
      <w:tr w:rsidR="00821658" w:rsidRPr="00E106B8" w14:paraId="22DC0EA2" w14:textId="77777777" w:rsidTr="00E106B8">
        <w:trPr>
          <w:trHeight w:val="95"/>
        </w:trPr>
        <w:tc>
          <w:tcPr>
            <w:tcW w:w="1936" w:type="dxa"/>
            <w:vMerge w:val="restart"/>
            <w:tcBorders>
              <w:top w:val="single" w:sz="4" w:space="0" w:color="auto"/>
              <w:left w:val="single" w:sz="8" w:space="0" w:color="FFFFFF"/>
              <w:bottom w:val="single" w:sz="24" w:space="0" w:color="FFFFFF"/>
              <w:right w:val="single" w:sz="8" w:space="0" w:color="FFFFFF"/>
            </w:tcBorders>
            <w:shd w:val="clear" w:color="auto" w:fill="EEECE1" w:themeFill="background2"/>
            <w:tcMar>
              <w:top w:w="72" w:type="dxa"/>
              <w:left w:w="144" w:type="dxa"/>
              <w:bottom w:w="72" w:type="dxa"/>
              <w:right w:w="144" w:type="dxa"/>
            </w:tcMar>
            <w:hideMark/>
          </w:tcPr>
          <w:p w14:paraId="5FE007AD" w14:textId="77777777" w:rsidR="00821658" w:rsidRPr="00E106B8" w:rsidRDefault="00821658" w:rsidP="00E106B8">
            <w:pPr>
              <w:jc w:val="both"/>
              <w:rPr>
                <w:rFonts w:ascii="Arial" w:hAnsi="Arial" w:cs="Arial"/>
                <w:b/>
                <w:bCs/>
              </w:rPr>
            </w:pPr>
            <w:r w:rsidRPr="00E106B8">
              <w:rPr>
                <w:rFonts w:ascii="Arial" w:hAnsi="Arial" w:cs="Arial"/>
                <w:b/>
                <w:bCs/>
              </w:rPr>
              <w:lastRenderedPageBreak/>
              <w:t>Compounds</w:t>
            </w:r>
          </w:p>
        </w:tc>
        <w:tc>
          <w:tcPr>
            <w:tcW w:w="4635" w:type="dxa"/>
            <w:gridSpan w:val="2"/>
            <w:tcBorders>
              <w:top w:val="single" w:sz="4" w:space="0" w:color="auto"/>
              <w:left w:val="single" w:sz="8" w:space="0" w:color="FFFFFF"/>
              <w:bottom w:val="single" w:sz="4" w:space="0" w:color="auto"/>
              <w:right w:val="single" w:sz="8" w:space="0" w:color="FFFFFF"/>
            </w:tcBorders>
            <w:shd w:val="clear" w:color="auto" w:fill="EEECE1" w:themeFill="background2"/>
            <w:tcMar>
              <w:top w:w="72" w:type="dxa"/>
              <w:left w:w="144" w:type="dxa"/>
              <w:bottom w:w="72" w:type="dxa"/>
              <w:right w:w="144" w:type="dxa"/>
            </w:tcMar>
            <w:hideMark/>
          </w:tcPr>
          <w:p w14:paraId="30936D7D" w14:textId="77777777" w:rsidR="00821658" w:rsidRPr="00E106B8" w:rsidRDefault="00821658" w:rsidP="00E106B8">
            <w:pPr>
              <w:jc w:val="both"/>
              <w:rPr>
                <w:rFonts w:ascii="Arial" w:hAnsi="Arial" w:cs="Arial"/>
                <w:b/>
                <w:bCs/>
              </w:rPr>
            </w:pPr>
            <w:r w:rsidRPr="00E106B8">
              <w:rPr>
                <w:rFonts w:ascii="Arial" w:hAnsi="Arial" w:cs="Arial"/>
                <w:b/>
                <w:bCs/>
              </w:rPr>
              <w:t>Growth Inhibition %</w:t>
            </w:r>
          </w:p>
        </w:tc>
      </w:tr>
      <w:tr w:rsidR="00821658" w:rsidRPr="00E106B8" w14:paraId="1A5DE5A1" w14:textId="77777777" w:rsidTr="0055308F">
        <w:trPr>
          <w:trHeight w:val="86"/>
        </w:trPr>
        <w:tc>
          <w:tcPr>
            <w:tcW w:w="0" w:type="auto"/>
            <w:vMerge/>
            <w:tcBorders>
              <w:top w:val="single" w:sz="8" w:space="0" w:color="FFFFFF"/>
              <w:left w:val="single" w:sz="8" w:space="0" w:color="FFFFFF"/>
              <w:bottom w:val="single" w:sz="4" w:space="0" w:color="auto"/>
              <w:right w:val="single" w:sz="8" w:space="0" w:color="FFFFFF"/>
            </w:tcBorders>
            <w:shd w:val="clear" w:color="auto" w:fill="EEECE1" w:themeFill="background2"/>
            <w:vAlign w:val="center"/>
            <w:hideMark/>
          </w:tcPr>
          <w:p w14:paraId="6F2A157F" w14:textId="77777777" w:rsidR="00821658" w:rsidRPr="00E106B8" w:rsidRDefault="00821658" w:rsidP="00E106B8">
            <w:pPr>
              <w:jc w:val="both"/>
              <w:rPr>
                <w:rFonts w:ascii="Arial" w:hAnsi="Arial" w:cs="Arial"/>
              </w:rPr>
            </w:pPr>
          </w:p>
        </w:tc>
        <w:tc>
          <w:tcPr>
            <w:tcW w:w="2273" w:type="dxa"/>
            <w:tcBorders>
              <w:top w:val="single" w:sz="4" w:space="0" w:color="auto"/>
              <w:left w:val="single" w:sz="24" w:space="0" w:color="FFFFFF"/>
              <w:bottom w:val="single" w:sz="4" w:space="0" w:color="auto"/>
              <w:right w:val="single" w:sz="8" w:space="0" w:color="FFFFFF"/>
            </w:tcBorders>
            <w:shd w:val="clear" w:color="auto" w:fill="EEECE1" w:themeFill="background2"/>
            <w:tcMar>
              <w:top w:w="72" w:type="dxa"/>
              <w:left w:w="144" w:type="dxa"/>
              <w:bottom w:w="72" w:type="dxa"/>
              <w:right w:w="144" w:type="dxa"/>
            </w:tcMar>
            <w:hideMark/>
          </w:tcPr>
          <w:p w14:paraId="3C878F44" w14:textId="77777777" w:rsidR="00821658" w:rsidRPr="00E106B8" w:rsidRDefault="00821658" w:rsidP="00E106B8">
            <w:pPr>
              <w:jc w:val="both"/>
              <w:rPr>
                <w:rFonts w:ascii="Arial" w:hAnsi="Arial" w:cs="Arial"/>
                <w:b/>
                <w:bCs/>
                <w:i/>
              </w:rPr>
            </w:pPr>
            <w:r w:rsidRPr="00E106B8">
              <w:rPr>
                <w:rFonts w:ascii="Arial" w:hAnsi="Arial" w:cs="Arial"/>
                <w:b/>
                <w:bCs/>
                <w:i/>
              </w:rPr>
              <w:t xml:space="preserve">Aspergillus </w:t>
            </w:r>
          </w:p>
          <w:p w14:paraId="378FED5C" w14:textId="77777777" w:rsidR="00821658" w:rsidRPr="00E106B8" w:rsidRDefault="00821658" w:rsidP="00E106B8">
            <w:pPr>
              <w:jc w:val="both"/>
              <w:rPr>
                <w:rFonts w:ascii="Arial" w:hAnsi="Arial" w:cs="Arial"/>
                <w:b/>
                <w:bCs/>
              </w:rPr>
            </w:pPr>
            <w:proofErr w:type="spellStart"/>
            <w:r w:rsidRPr="00E106B8">
              <w:rPr>
                <w:rFonts w:ascii="Arial" w:hAnsi="Arial" w:cs="Arial"/>
                <w:b/>
                <w:bCs/>
                <w:i/>
              </w:rPr>
              <w:t>niger</w:t>
            </w:r>
            <w:proofErr w:type="spellEnd"/>
            <w:r w:rsidRPr="00E106B8">
              <w:rPr>
                <w:rFonts w:ascii="Arial" w:hAnsi="Arial" w:cs="Arial"/>
                <w:b/>
                <w:bCs/>
              </w:rPr>
              <w:t xml:space="preserve"> </w:t>
            </w:r>
          </w:p>
        </w:tc>
        <w:tc>
          <w:tcPr>
            <w:tcW w:w="2362" w:type="dxa"/>
            <w:tcBorders>
              <w:top w:val="single" w:sz="4" w:space="0" w:color="auto"/>
              <w:left w:val="single" w:sz="8" w:space="0" w:color="FFFFFF"/>
              <w:bottom w:val="single" w:sz="4" w:space="0" w:color="auto"/>
              <w:right w:val="single" w:sz="8" w:space="0" w:color="FFFFFF"/>
            </w:tcBorders>
            <w:shd w:val="clear" w:color="auto" w:fill="EEECE1" w:themeFill="background2"/>
            <w:tcMar>
              <w:top w:w="72" w:type="dxa"/>
              <w:left w:w="144" w:type="dxa"/>
              <w:bottom w:w="72" w:type="dxa"/>
              <w:right w:w="144" w:type="dxa"/>
            </w:tcMar>
            <w:hideMark/>
          </w:tcPr>
          <w:p w14:paraId="2791AB1B" w14:textId="77777777" w:rsidR="00821658" w:rsidRPr="00E106B8" w:rsidRDefault="00821658" w:rsidP="00E106B8">
            <w:pPr>
              <w:jc w:val="both"/>
              <w:rPr>
                <w:rFonts w:ascii="Arial" w:hAnsi="Arial" w:cs="Arial"/>
                <w:b/>
                <w:bCs/>
                <w:i/>
              </w:rPr>
            </w:pPr>
            <w:proofErr w:type="spellStart"/>
            <w:r w:rsidRPr="00E106B8">
              <w:rPr>
                <w:rFonts w:ascii="Arial" w:hAnsi="Arial" w:cs="Arial"/>
                <w:b/>
                <w:bCs/>
                <w:i/>
              </w:rPr>
              <w:t>Fusarium</w:t>
            </w:r>
            <w:proofErr w:type="spellEnd"/>
            <w:r w:rsidRPr="00E106B8">
              <w:rPr>
                <w:rFonts w:ascii="Arial" w:hAnsi="Arial" w:cs="Arial"/>
                <w:b/>
                <w:bCs/>
                <w:i/>
              </w:rPr>
              <w:t xml:space="preserve"> </w:t>
            </w:r>
            <w:proofErr w:type="spellStart"/>
            <w:r w:rsidRPr="00E106B8">
              <w:rPr>
                <w:rFonts w:ascii="Arial" w:hAnsi="Arial" w:cs="Arial"/>
                <w:b/>
                <w:bCs/>
                <w:i/>
              </w:rPr>
              <w:t>oxysporum</w:t>
            </w:r>
            <w:proofErr w:type="spellEnd"/>
          </w:p>
        </w:tc>
      </w:tr>
      <w:tr w:rsidR="00821658" w:rsidRPr="00E106B8" w14:paraId="3A989975" w14:textId="77777777" w:rsidTr="0055308F">
        <w:trPr>
          <w:trHeight w:val="60"/>
        </w:trPr>
        <w:tc>
          <w:tcPr>
            <w:tcW w:w="1936"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F3F1B85" w14:textId="71DBE958" w:rsidR="00821658" w:rsidRPr="00E106B8" w:rsidRDefault="004D3EE6" w:rsidP="00E106B8">
            <w:pPr>
              <w:jc w:val="both"/>
              <w:rPr>
                <w:rFonts w:ascii="Arial" w:hAnsi="Arial" w:cs="Arial"/>
                <w:b/>
                <w:bCs/>
              </w:rPr>
            </w:pPr>
            <w:r>
              <w:rPr>
                <w:rFonts w:ascii="Arial" w:hAnsi="Arial" w:cs="Arial"/>
                <w:b/>
                <w:bCs/>
              </w:rPr>
              <w:t>Bavistin</w:t>
            </w:r>
          </w:p>
        </w:tc>
        <w:tc>
          <w:tcPr>
            <w:tcW w:w="2273"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530F8279" w14:textId="77777777" w:rsidR="00821658" w:rsidRPr="00E106B8" w:rsidRDefault="00821658" w:rsidP="00E106B8">
            <w:pPr>
              <w:jc w:val="both"/>
              <w:rPr>
                <w:rFonts w:ascii="Arial" w:hAnsi="Arial" w:cs="Arial"/>
              </w:rPr>
            </w:pPr>
            <w:r w:rsidRPr="00E106B8">
              <w:rPr>
                <w:rFonts w:ascii="Arial" w:hAnsi="Arial" w:cs="Arial"/>
              </w:rPr>
              <w:t>97.75</w:t>
            </w:r>
          </w:p>
        </w:tc>
        <w:tc>
          <w:tcPr>
            <w:tcW w:w="2362" w:type="dxa"/>
            <w:tcBorders>
              <w:top w:val="single" w:sz="4" w:space="0" w:color="auto"/>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50D4EE6" w14:textId="77777777" w:rsidR="00821658" w:rsidRPr="00E106B8" w:rsidRDefault="00821658" w:rsidP="00E106B8">
            <w:pPr>
              <w:jc w:val="both"/>
              <w:rPr>
                <w:rFonts w:ascii="Arial" w:hAnsi="Arial" w:cs="Arial"/>
              </w:rPr>
            </w:pPr>
            <w:r w:rsidRPr="00E106B8">
              <w:rPr>
                <w:rFonts w:ascii="Arial" w:hAnsi="Arial" w:cs="Arial"/>
              </w:rPr>
              <w:t>96.8</w:t>
            </w:r>
          </w:p>
        </w:tc>
      </w:tr>
      <w:tr w:rsidR="00821658" w:rsidRPr="00E106B8" w14:paraId="28922086" w14:textId="77777777" w:rsidTr="0055308F">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0B43F76C" w14:textId="77777777" w:rsidR="00821658" w:rsidRPr="00E106B8" w:rsidRDefault="00821658" w:rsidP="00E106B8">
            <w:pPr>
              <w:jc w:val="both"/>
              <w:rPr>
                <w:rFonts w:ascii="Arial" w:hAnsi="Arial" w:cs="Arial"/>
                <w:b/>
                <w:bCs/>
              </w:rPr>
            </w:pPr>
            <w:r w:rsidRPr="00E106B8">
              <w:rPr>
                <w:rFonts w:ascii="Arial" w:hAnsi="Arial" w:cs="Arial"/>
                <w:b/>
                <w:bCs/>
              </w:rPr>
              <w:t>DMSO</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49779C83" w14:textId="77777777" w:rsidR="00821658" w:rsidRPr="00E106B8" w:rsidRDefault="00821658" w:rsidP="00E106B8">
            <w:pPr>
              <w:jc w:val="both"/>
              <w:rPr>
                <w:rFonts w:ascii="Arial" w:hAnsi="Arial" w:cs="Arial"/>
              </w:rPr>
            </w:pPr>
            <w:r w:rsidRPr="00E106B8">
              <w:rPr>
                <w:rFonts w:ascii="Arial" w:hAnsi="Arial" w:cs="Arial"/>
              </w:rPr>
              <w:t>42.69</w:t>
            </w:r>
          </w:p>
        </w:tc>
        <w:tc>
          <w:tcPr>
            <w:tcW w:w="236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0CBC22DD" w14:textId="1C93D194" w:rsidR="00821658" w:rsidRPr="00E106B8" w:rsidRDefault="00821658" w:rsidP="004D3EE6">
            <w:pPr>
              <w:tabs>
                <w:tab w:val="right" w:pos="2146"/>
              </w:tabs>
              <w:jc w:val="both"/>
              <w:rPr>
                <w:rFonts w:ascii="Arial" w:hAnsi="Arial" w:cs="Arial"/>
              </w:rPr>
            </w:pPr>
            <w:r w:rsidRPr="00E106B8">
              <w:rPr>
                <w:rFonts w:ascii="Arial" w:hAnsi="Arial" w:cs="Arial"/>
              </w:rPr>
              <w:t>46.87</w:t>
            </w:r>
            <w:r w:rsidR="004D3EE6">
              <w:rPr>
                <w:rFonts w:ascii="Arial" w:hAnsi="Arial" w:cs="Arial"/>
              </w:rPr>
              <w:tab/>
            </w:r>
          </w:p>
        </w:tc>
      </w:tr>
      <w:tr w:rsidR="0055308F" w:rsidRPr="00E106B8" w14:paraId="4EE74CB2" w14:textId="77777777" w:rsidTr="00F942F5">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08F67CEA" w14:textId="4588AD7C" w:rsidR="0055308F" w:rsidRPr="00E106B8" w:rsidRDefault="0055308F" w:rsidP="00E106B8">
            <w:pPr>
              <w:jc w:val="both"/>
              <w:rPr>
                <w:rFonts w:ascii="Arial" w:hAnsi="Arial" w:cs="Arial"/>
                <w:b/>
                <w:bCs/>
              </w:rPr>
            </w:pPr>
            <w:r w:rsidRPr="00E106B8">
              <w:rPr>
                <w:rFonts w:ascii="Arial" w:hAnsi="Arial" w:cs="Arial"/>
                <w:b/>
                <w:bCs/>
              </w:rPr>
              <w:t>LA</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322D461" w14:textId="4D44EEBB" w:rsidR="0055308F" w:rsidRPr="00E106B8" w:rsidRDefault="0055308F" w:rsidP="00E106B8">
            <w:pPr>
              <w:jc w:val="both"/>
              <w:rPr>
                <w:rFonts w:ascii="Arial" w:hAnsi="Arial" w:cs="Arial"/>
              </w:rPr>
            </w:pPr>
            <w:r w:rsidRPr="00E106B8">
              <w:rPr>
                <w:rFonts w:ascii="Arial" w:hAnsi="Arial" w:cs="Arial"/>
              </w:rPr>
              <w:t>67.41</w:t>
            </w:r>
          </w:p>
        </w:tc>
        <w:tc>
          <w:tcPr>
            <w:tcW w:w="236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A3A6FFF" w14:textId="2D25C541" w:rsidR="0055308F" w:rsidRPr="00E106B8" w:rsidRDefault="0055308F" w:rsidP="00E106B8">
            <w:pPr>
              <w:jc w:val="both"/>
              <w:rPr>
                <w:rFonts w:ascii="Arial" w:hAnsi="Arial" w:cs="Arial"/>
              </w:rPr>
            </w:pPr>
            <w:r w:rsidRPr="00E106B8">
              <w:rPr>
                <w:rFonts w:ascii="Arial" w:hAnsi="Arial" w:cs="Arial"/>
              </w:rPr>
              <w:t>59.37</w:t>
            </w:r>
          </w:p>
        </w:tc>
      </w:tr>
      <w:tr w:rsidR="0055308F" w:rsidRPr="00E106B8" w14:paraId="6182DB1F" w14:textId="77777777" w:rsidTr="00F942F5">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A76384F" w14:textId="1C740036" w:rsidR="0055308F" w:rsidRPr="00E106B8" w:rsidRDefault="0055308F" w:rsidP="008A160B">
            <w:pPr>
              <w:jc w:val="both"/>
              <w:rPr>
                <w:rFonts w:ascii="Arial" w:hAnsi="Arial" w:cs="Arial"/>
                <w:b/>
                <w:bCs/>
              </w:rPr>
            </w:pPr>
            <w:r w:rsidRPr="00E106B8">
              <w:rPr>
                <w:rFonts w:ascii="Arial" w:hAnsi="Arial" w:cs="Arial"/>
                <w:b/>
                <w:bCs/>
              </w:rPr>
              <w:t>L</w:t>
            </w:r>
            <w:r>
              <w:rPr>
                <w:rFonts w:ascii="Arial" w:hAnsi="Arial" w:cs="Arial"/>
                <w:b/>
                <w:bCs/>
              </w:rPr>
              <w:t>A</w:t>
            </w:r>
            <w:r w:rsidRPr="00E106B8">
              <w:rPr>
                <w:rFonts w:ascii="Arial" w:hAnsi="Arial" w:cs="Arial"/>
                <w:b/>
                <w:bCs/>
              </w:rPr>
              <w:t>-A(Co)</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445AFAE7" w14:textId="0682FEFA" w:rsidR="0055308F" w:rsidRPr="00E106B8" w:rsidRDefault="0055308F" w:rsidP="00E106B8">
            <w:pPr>
              <w:jc w:val="both"/>
              <w:rPr>
                <w:rFonts w:ascii="Arial" w:hAnsi="Arial" w:cs="Arial"/>
              </w:rPr>
            </w:pPr>
            <w:r w:rsidRPr="00E106B8">
              <w:rPr>
                <w:rFonts w:ascii="Arial" w:hAnsi="Arial" w:cs="Arial"/>
              </w:rPr>
              <w:t>71.91</w:t>
            </w:r>
          </w:p>
        </w:tc>
        <w:tc>
          <w:tcPr>
            <w:tcW w:w="236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1583F57" w14:textId="4182B594" w:rsidR="0055308F" w:rsidRPr="00E106B8" w:rsidRDefault="0055308F" w:rsidP="00E106B8">
            <w:pPr>
              <w:jc w:val="both"/>
              <w:rPr>
                <w:rFonts w:ascii="Arial" w:hAnsi="Arial" w:cs="Arial"/>
              </w:rPr>
            </w:pPr>
            <w:r w:rsidRPr="00E106B8">
              <w:rPr>
                <w:rFonts w:ascii="Arial" w:hAnsi="Arial" w:cs="Arial"/>
              </w:rPr>
              <w:t>64.06</w:t>
            </w:r>
          </w:p>
        </w:tc>
      </w:tr>
      <w:tr w:rsidR="0055308F" w:rsidRPr="00E106B8" w14:paraId="39EA718E" w14:textId="77777777" w:rsidTr="00F942F5">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41D3177" w14:textId="216B538A" w:rsidR="0055308F" w:rsidRPr="00E106B8" w:rsidRDefault="0055308F" w:rsidP="008A160B">
            <w:pPr>
              <w:jc w:val="both"/>
              <w:rPr>
                <w:rFonts w:ascii="Arial" w:hAnsi="Arial" w:cs="Arial"/>
                <w:b/>
                <w:bCs/>
              </w:rPr>
            </w:pPr>
            <w:r w:rsidRPr="00E106B8">
              <w:rPr>
                <w:rFonts w:ascii="Arial" w:hAnsi="Arial" w:cs="Arial"/>
                <w:b/>
                <w:bCs/>
              </w:rPr>
              <w:t>LA-B(Ni)</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1EFF9014" w14:textId="525ACD27" w:rsidR="0055308F" w:rsidRPr="00E106B8" w:rsidRDefault="0055308F" w:rsidP="00E106B8">
            <w:pPr>
              <w:jc w:val="both"/>
              <w:rPr>
                <w:rFonts w:ascii="Arial" w:hAnsi="Arial" w:cs="Arial"/>
              </w:rPr>
            </w:pPr>
            <w:r w:rsidRPr="00E106B8">
              <w:rPr>
                <w:rFonts w:ascii="Arial" w:hAnsi="Arial" w:cs="Arial"/>
              </w:rPr>
              <w:t>84.26</w:t>
            </w:r>
          </w:p>
        </w:tc>
        <w:tc>
          <w:tcPr>
            <w:tcW w:w="236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4D470DD5" w14:textId="5D15BB54" w:rsidR="0055308F" w:rsidRPr="00E106B8" w:rsidRDefault="0055308F" w:rsidP="00E106B8">
            <w:pPr>
              <w:jc w:val="both"/>
              <w:rPr>
                <w:rFonts w:ascii="Arial" w:hAnsi="Arial" w:cs="Arial"/>
              </w:rPr>
            </w:pPr>
            <w:r w:rsidRPr="00E106B8">
              <w:rPr>
                <w:rFonts w:ascii="Arial" w:hAnsi="Arial" w:cs="Arial"/>
              </w:rPr>
              <w:t>92.81</w:t>
            </w:r>
          </w:p>
        </w:tc>
      </w:tr>
      <w:tr w:rsidR="0055308F" w:rsidRPr="00E106B8" w14:paraId="045FB50F" w14:textId="77777777" w:rsidTr="00F942F5">
        <w:trPr>
          <w:trHeight w:val="60"/>
        </w:trPr>
        <w:tc>
          <w:tcPr>
            <w:tcW w:w="1936"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721331DE" w14:textId="61A3B159" w:rsidR="0055308F" w:rsidRPr="00E106B8" w:rsidRDefault="0055308F" w:rsidP="00E106B8">
            <w:pPr>
              <w:jc w:val="both"/>
              <w:rPr>
                <w:rFonts w:ascii="Arial" w:hAnsi="Arial" w:cs="Arial"/>
                <w:b/>
                <w:bCs/>
              </w:rPr>
            </w:pPr>
            <w:r w:rsidRPr="00E106B8">
              <w:rPr>
                <w:rFonts w:ascii="Arial" w:hAnsi="Arial" w:cs="Arial"/>
                <w:b/>
                <w:bCs/>
              </w:rPr>
              <w:t>LA-C(Cu)</w:t>
            </w:r>
          </w:p>
        </w:tc>
        <w:tc>
          <w:tcPr>
            <w:tcW w:w="2273"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656D1752" w14:textId="68A7B5A1" w:rsidR="0055308F" w:rsidRPr="00E106B8" w:rsidRDefault="0055308F" w:rsidP="00E106B8">
            <w:pPr>
              <w:jc w:val="both"/>
              <w:rPr>
                <w:rFonts w:ascii="Arial" w:hAnsi="Arial" w:cs="Arial"/>
              </w:rPr>
            </w:pPr>
            <w:r w:rsidRPr="00E106B8">
              <w:rPr>
                <w:rFonts w:ascii="Arial" w:hAnsi="Arial" w:cs="Arial"/>
              </w:rPr>
              <w:t>88.76</w:t>
            </w:r>
          </w:p>
        </w:tc>
        <w:tc>
          <w:tcPr>
            <w:tcW w:w="2362" w:type="dxa"/>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2524806E" w14:textId="7E95D8CB" w:rsidR="0055308F" w:rsidRPr="00E106B8" w:rsidRDefault="0055308F" w:rsidP="00E106B8">
            <w:pPr>
              <w:jc w:val="both"/>
              <w:rPr>
                <w:rFonts w:ascii="Arial" w:hAnsi="Arial" w:cs="Arial"/>
              </w:rPr>
            </w:pPr>
            <w:r w:rsidRPr="00E106B8">
              <w:rPr>
                <w:rFonts w:ascii="Arial" w:hAnsi="Arial" w:cs="Arial"/>
              </w:rPr>
              <w:t>82.81</w:t>
            </w:r>
          </w:p>
        </w:tc>
      </w:tr>
      <w:tr w:rsidR="0055308F" w:rsidRPr="00E106B8" w14:paraId="4927B1CF" w14:textId="77777777" w:rsidTr="00F942F5">
        <w:trPr>
          <w:trHeight w:val="60"/>
        </w:trPr>
        <w:tc>
          <w:tcPr>
            <w:tcW w:w="1936"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hideMark/>
          </w:tcPr>
          <w:p w14:paraId="66B1C3A8" w14:textId="167F23E5" w:rsidR="0055308F" w:rsidRPr="00E106B8" w:rsidRDefault="0055308F" w:rsidP="00E106B8">
            <w:pPr>
              <w:jc w:val="both"/>
              <w:rPr>
                <w:rFonts w:ascii="Arial" w:hAnsi="Arial" w:cs="Arial"/>
                <w:b/>
                <w:bCs/>
              </w:rPr>
            </w:pPr>
            <w:r w:rsidRPr="00E106B8">
              <w:rPr>
                <w:rFonts w:ascii="Arial" w:hAnsi="Arial" w:cs="Arial"/>
                <w:b/>
                <w:bCs/>
              </w:rPr>
              <w:t>LA-D(Zn)</w:t>
            </w:r>
          </w:p>
        </w:tc>
        <w:tc>
          <w:tcPr>
            <w:tcW w:w="2273"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hideMark/>
          </w:tcPr>
          <w:p w14:paraId="4CAC019C" w14:textId="19D57CC9" w:rsidR="0055308F" w:rsidRPr="00E106B8" w:rsidRDefault="0055308F" w:rsidP="00E106B8">
            <w:pPr>
              <w:jc w:val="both"/>
              <w:rPr>
                <w:rFonts w:ascii="Arial" w:hAnsi="Arial" w:cs="Arial"/>
              </w:rPr>
            </w:pPr>
            <w:r w:rsidRPr="00E106B8">
              <w:rPr>
                <w:rFonts w:ascii="Arial" w:hAnsi="Arial" w:cs="Arial"/>
              </w:rPr>
              <w:t>77.52</w:t>
            </w:r>
          </w:p>
        </w:tc>
        <w:tc>
          <w:tcPr>
            <w:tcW w:w="2362"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hideMark/>
          </w:tcPr>
          <w:p w14:paraId="7DC6A7FE" w14:textId="41CD343A" w:rsidR="0055308F" w:rsidRPr="00E106B8" w:rsidRDefault="0055308F" w:rsidP="00E106B8">
            <w:pPr>
              <w:jc w:val="both"/>
              <w:rPr>
                <w:rFonts w:ascii="Arial" w:hAnsi="Arial" w:cs="Arial"/>
              </w:rPr>
            </w:pPr>
            <w:r w:rsidRPr="00E106B8">
              <w:rPr>
                <w:rFonts w:ascii="Arial" w:hAnsi="Arial" w:cs="Arial"/>
              </w:rPr>
              <w:t>67.18</w:t>
            </w:r>
          </w:p>
        </w:tc>
      </w:tr>
      <w:tr w:rsidR="0055308F" w:rsidRPr="00E106B8" w14:paraId="21FE8D1B" w14:textId="77777777" w:rsidTr="00F942F5">
        <w:trPr>
          <w:trHeight w:val="23"/>
        </w:trPr>
        <w:tc>
          <w:tcPr>
            <w:tcW w:w="1936"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tcPr>
          <w:p w14:paraId="12DD39D4" w14:textId="5A58F549" w:rsidR="0055308F" w:rsidRPr="00E106B8" w:rsidRDefault="0055308F" w:rsidP="00E106B8">
            <w:pPr>
              <w:jc w:val="both"/>
              <w:rPr>
                <w:rFonts w:ascii="Arial" w:hAnsi="Arial" w:cs="Arial"/>
                <w:b/>
                <w:bCs/>
              </w:rPr>
            </w:pPr>
          </w:p>
        </w:tc>
        <w:tc>
          <w:tcPr>
            <w:tcW w:w="2273"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tcPr>
          <w:p w14:paraId="4C003582" w14:textId="07D6E697" w:rsidR="0055308F" w:rsidRPr="00E106B8" w:rsidRDefault="0055308F" w:rsidP="00E106B8">
            <w:pPr>
              <w:jc w:val="both"/>
              <w:rPr>
                <w:rFonts w:ascii="Arial" w:hAnsi="Arial" w:cs="Arial"/>
              </w:rPr>
            </w:pPr>
          </w:p>
        </w:tc>
        <w:tc>
          <w:tcPr>
            <w:tcW w:w="2362" w:type="dxa"/>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108" w:type="dxa"/>
              <w:bottom w:w="0" w:type="dxa"/>
              <w:right w:w="108" w:type="dxa"/>
            </w:tcMar>
          </w:tcPr>
          <w:p w14:paraId="3F119E9C" w14:textId="648CC7B9" w:rsidR="0055308F" w:rsidRPr="00E106B8" w:rsidRDefault="0055308F" w:rsidP="00E106B8">
            <w:pPr>
              <w:jc w:val="both"/>
              <w:rPr>
                <w:rFonts w:ascii="Arial" w:hAnsi="Arial" w:cs="Arial"/>
              </w:rPr>
            </w:pPr>
          </w:p>
        </w:tc>
      </w:tr>
    </w:tbl>
    <w:p w14:paraId="3D7814C2" w14:textId="77777777" w:rsidR="00821658" w:rsidRPr="00E106B8" w:rsidRDefault="00821658" w:rsidP="00E106B8">
      <w:pPr>
        <w:rPr>
          <w:rFonts w:ascii="Arial" w:hAnsi="Arial" w:cs="Arial"/>
          <w:b/>
          <w:bCs/>
        </w:rPr>
      </w:pPr>
    </w:p>
    <w:p w14:paraId="42C1290C" w14:textId="77777777" w:rsidR="00821658" w:rsidRPr="00E106B8" w:rsidRDefault="00821658" w:rsidP="00E106B8">
      <w:pPr>
        <w:jc w:val="both"/>
        <w:rPr>
          <w:rFonts w:ascii="Arial" w:hAnsi="Arial" w:cs="Arial"/>
          <w:b/>
          <w:bCs/>
        </w:rPr>
      </w:pPr>
    </w:p>
    <w:p w14:paraId="075091A5" w14:textId="77777777" w:rsidR="00821658" w:rsidRPr="00E106B8" w:rsidRDefault="00821658" w:rsidP="00E106B8">
      <w:pPr>
        <w:jc w:val="both"/>
        <w:rPr>
          <w:rFonts w:ascii="Arial" w:hAnsi="Arial" w:cs="Arial"/>
          <w:b/>
          <w:bCs/>
        </w:rPr>
      </w:pPr>
    </w:p>
    <w:p w14:paraId="38F02A14" w14:textId="77777777" w:rsidR="00821658" w:rsidRPr="00E106B8" w:rsidRDefault="00821658" w:rsidP="00E106B8">
      <w:pPr>
        <w:jc w:val="both"/>
        <w:rPr>
          <w:rFonts w:ascii="Arial" w:hAnsi="Arial" w:cs="Arial"/>
          <w:b/>
          <w:bCs/>
        </w:rPr>
      </w:pPr>
    </w:p>
    <w:p w14:paraId="708B1183" w14:textId="77777777" w:rsidR="00821658" w:rsidRPr="00E106B8" w:rsidRDefault="00821658" w:rsidP="00E106B8">
      <w:pPr>
        <w:jc w:val="both"/>
        <w:rPr>
          <w:rFonts w:ascii="Arial" w:hAnsi="Arial" w:cs="Arial"/>
          <w:b/>
          <w:bCs/>
        </w:rPr>
      </w:pPr>
    </w:p>
    <w:p w14:paraId="222BBD09" w14:textId="77777777" w:rsidR="00821658" w:rsidRPr="00E106B8" w:rsidRDefault="00821658" w:rsidP="00E106B8">
      <w:pPr>
        <w:jc w:val="both"/>
        <w:rPr>
          <w:rFonts w:ascii="Arial" w:hAnsi="Arial" w:cs="Arial"/>
          <w:b/>
          <w:bCs/>
        </w:rPr>
      </w:pPr>
    </w:p>
    <w:p w14:paraId="02FFD239" w14:textId="77777777" w:rsidR="00821658" w:rsidRPr="00E106B8" w:rsidRDefault="00821658" w:rsidP="00E106B8">
      <w:pPr>
        <w:jc w:val="both"/>
        <w:rPr>
          <w:rFonts w:ascii="Arial" w:hAnsi="Arial" w:cs="Arial"/>
          <w:b/>
          <w:bCs/>
        </w:rPr>
      </w:pPr>
    </w:p>
    <w:p w14:paraId="2B3080EB" w14:textId="77777777" w:rsidR="00821658" w:rsidRPr="00E106B8" w:rsidRDefault="00821658" w:rsidP="00E106B8">
      <w:pPr>
        <w:jc w:val="both"/>
        <w:rPr>
          <w:rFonts w:ascii="Arial" w:hAnsi="Arial" w:cs="Arial"/>
          <w:b/>
          <w:bCs/>
        </w:rPr>
      </w:pPr>
    </w:p>
    <w:p w14:paraId="7ECE714A" w14:textId="77777777" w:rsidR="00821658" w:rsidRPr="00E106B8" w:rsidRDefault="00821658" w:rsidP="00E106B8">
      <w:pPr>
        <w:jc w:val="both"/>
        <w:rPr>
          <w:rFonts w:ascii="Arial" w:hAnsi="Arial" w:cs="Arial"/>
          <w:b/>
          <w:bCs/>
        </w:rPr>
      </w:pPr>
    </w:p>
    <w:p w14:paraId="50DD2462" w14:textId="77777777" w:rsidR="00821658" w:rsidRPr="00E106B8" w:rsidRDefault="00821658" w:rsidP="00E106B8">
      <w:pPr>
        <w:jc w:val="both"/>
        <w:rPr>
          <w:rFonts w:ascii="Arial" w:hAnsi="Arial" w:cs="Arial"/>
          <w:b/>
          <w:bCs/>
        </w:rPr>
      </w:pPr>
    </w:p>
    <w:p w14:paraId="4EC9B139" w14:textId="77777777" w:rsidR="00821658" w:rsidRPr="00E106B8" w:rsidRDefault="00821658" w:rsidP="00E106B8">
      <w:pPr>
        <w:jc w:val="both"/>
        <w:rPr>
          <w:rFonts w:ascii="Arial" w:hAnsi="Arial" w:cs="Arial"/>
          <w:b/>
          <w:bCs/>
        </w:rPr>
      </w:pPr>
    </w:p>
    <w:p w14:paraId="2AA0A795" w14:textId="77777777" w:rsidR="00821658" w:rsidRPr="00E106B8" w:rsidRDefault="00821658" w:rsidP="00E106B8">
      <w:pPr>
        <w:jc w:val="both"/>
        <w:rPr>
          <w:rFonts w:ascii="Arial" w:hAnsi="Arial" w:cs="Arial"/>
          <w:b/>
          <w:bCs/>
        </w:rPr>
      </w:pPr>
    </w:p>
    <w:p w14:paraId="7049CABB" w14:textId="77777777" w:rsidR="00821658" w:rsidRDefault="00821658" w:rsidP="00E106B8">
      <w:pPr>
        <w:jc w:val="both"/>
        <w:rPr>
          <w:rFonts w:ascii="Arial" w:hAnsi="Arial" w:cs="Arial"/>
          <w:b/>
          <w:bCs/>
        </w:rPr>
      </w:pPr>
    </w:p>
    <w:p w14:paraId="59F34C56" w14:textId="77777777" w:rsidR="00E106B8" w:rsidRPr="00E106B8" w:rsidRDefault="00E106B8" w:rsidP="00E106B8">
      <w:pPr>
        <w:jc w:val="both"/>
        <w:rPr>
          <w:rFonts w:ascii="Arial" w:hAnsi="Arial" w:cs="Arial"/>
          <w:b/>
          <w:bCs/>
        </w:rPr>
      </w:pPr>
    </w:p>
    <w:p w14:paraId="65C4685D" w14:textId="1AEE34DA" w:rsidR="00821658" w:rsidRPr="00E106B8" w:rsidRDefault="00E9125D" w:rsidP="00E106B8">
      <w:pPr>
        <w:jc w:val="center"/>
        <w:rPr>
          <w:rFonts w:ascii="Arial" w:hAnsi="Arial" w:cs="Arial"/>
          <w:b/>
          <w:bCs/>
        </w:rPr>
      </w:pPr>
      <w:r>
        <w:rPr>
          <w:rFonts w:ascii="Arial" w:hAnsi="Arial" w:cs="Arial"/>
          <w:b/>
          <w:bCs/>
          <w:noProof/>
        </w:rPr>
        <w:drawing>
          <wp:inline distT="0" distB="0" distL="0" distR="0" wp14:anchorId="3700159F" wp14:editId="194A3EDE">
            <wp:extent cx="3862518" cy="2453640"/>
            <wp:effectExtent l="0" t="0" r="5080" b="3810"/>
            <wp:docPr id="373464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64885" name="Picture 3734648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6753" cy="2469035"/>
                    </a:xfrm>
                    <a:prstGeom prst="rect">
                      <a:avLst/>
                    </a:prstGeom>
                  </pic:spPr>
                </pic:pic>
              </a:graphicData>
            </a:graphic>
          </wp:inline>
        </w:drawing>
      </w:r>
      <w:r>
        <w:rPr>
          <w:rFonts w:ascii="Arial" w:hAnsi="Arial" w:cs="Arial"/>
          <w:b/>
          <w:bCs/>
          <w:noProof/>
        </w:rPr>
        <w:drawing>
          <wp:inline distT="0" distB="0" distL="0" distR="0" wp14:anchorId="3F6E4C43" wp14:editId="0570819B">
            <wp:extent cx="3924300" cy="2173473"/>
            <wp:effectExtent l="0" t="0" r="0" b="0"/>
            <wp:docPr id="12622728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2813" name="Picture 12622728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2766" cy="2178162"/>
                    </a:xfrm>
                    <a:prstGeom prst="rect">
                      <a:avLst/>
                    </a:prstGeom>
                  </pic:spPr>
                </pic:pic>
              </a:graphicData>
            </a:graphic>
          </wp:inline>
        </w:drawing>
      </w:r>
    </w:p>
    <w:p w14:paraId="3AE4B1EB" w14:textId="77777777" w:rsidR="00821658" w:rsidRPr="00E106B8" w:rsidRDefault="00821658" w:rsidP="00E106B8">
      <w:pPr>
        <w:jc w:val="both"/>
        <w:rPr>
          <w:rFonts w:ascii="Arial" w:hAnsi="Arial" w:cs="Arial"/>
          <w:b/>
          <w:bCs/>
        </w:rPr>
      </w:pPr>
      <w:r w:rsidRPr="00E106B8">
        <w:rPr>
          <w:rFonts w:ascii="Arial" w:hAnsi="Arial" w:cs="Arial"/>
          <w:b/>
          <w:bCs/>
        </w:rPr>
        <w:t xml:space="preserve">                                                           (a)</w:t>
      </w:r>
    </w:p>
    <w:p w14:paraId="728A610E" w14:textId="77777777" w:rsidR="00821658" w:rsidRPr="00E106B8" w:rsidRDefault="00821658" w:rsidP="00E106B8">
      <w:pPr>
        <w:jc w:val="both"/>
        <w:rPr>
          <w:rFonts w:ascii="Arial" w:hAnsi="Arial" w:cs="Arial"/>
          <w:b/>
          <w:bCs/>
          <w:noProof/>
        </w:rPr>
      </w:pPr>
      <w:r w:rsidRPr="00E106B8">
        <w:rPr>
          <w:rFonts w:ascii="Arial" w:hAnsi="Arial" w:cs="Arial"/>
          <w:b/>
          <w:bCs/>
          <w:noProof/>
        </w:rPr>
        <w:lastRenderedPageBreak/>
        <w:drawing>
          <wp:inline distT="0" distB="0" distL="0" distR="0" wp14:anchorId="7C38F55C" wp14:editId="72A66BF7">
            <wp:extent cx="5143500" cy="1947545"/>
            <wp:effectExtent l="0" t="0" r="0" b="0"/>
            <wp:docPr id="15" name="Picture 14">
              <a:extLst xmlns:a="http://schemas.openxmlformats.org/drawingml/2006/main">
                <a:ext uri="{FF2B5EF4-FFF2-40B4-BE49-F238E27FC236}">
                  <a16:creationId xmlns:a16="http://schemas.microsoft.com/office/drawing/2014/main" id="{2B968968-4DE8-8FE0-D526-2BDD966FE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B968968-4DE8-8FE0-D526-2BDD966FE47C}"/>
                        </a:ext>
                      </a:extLst>
                    </pic:cNvPr>
                    <pic:cNvPicPr>
                      <a:picLocks noChangeAspect="1"/>
                    </pic:cNvPicPr>
                  </pic:nvPicPr>
                  <pic:blipFill>
                    <a:blip r:embed="rId17" cstate="print">
                      <a:extLst>
                        <a:ext uri="{28A0092B-C50C-407E-A947-70E740481C1C}">
                          <a14:useLocalDpi xmlns:a14="http://schemas.microsoft.com/office/drawing/2010/main" val="0"/>
                        </a:ext>
                      </a:extLst>
                    </a:blip>
                    <a:srcRect t="8844" b="30292"/>
                    <a:stretch/>
                  </pic:blipFill>
                  <pic:spPr>
                    <a:xfrm>
                      <a:off x="0" y="0"/>
                      <a:ext cx="5143500" cy="1947545"/>
                    </a:xfrm>
                    <a:prstGeom prst="rect">
                      <a:avLst/>
                    </a:prstGeom>
                  </pic:spPr>
                </pic:pic>
              </a:graphicData>
            </a:graphic>
          </wp:inline>
        </w:drawing>
      </w:r>
    </w:p>
    <w:p w14:paraId="41BA4A60" w14:textId="77777777" w:rsidR="00821658" w:rsidRPr="00E106B8" w:rsidRDefault="00821658" w:rsidP="00E106B8">
      <w:pPr>
        <w:jc w:val="both"/>
        <w:rPr>
          <w:rFonts w:ascii="Arial" w:hAnsi="Arial" w:cs="Arial"/>
          <w:noProof/>
        </w:rPr>
      </w:pPr>
      <w:r w:rsidRPr="00E106B8">
        <w:rPr>
          <w:rFonts w:ascii="Arial" w:hAnsi="Arial" w:cs="Arial"/>
          <w:noProof/>
        </w:rPr>
        <w:t xml:space="preserve">                                                                      (b)</w:t>
      </w:r>
    </w:p>
    <w:p w14:paraId="22C41B1F" w14:textId="77777777" w:rsidR="00821658" w:rsidRPr="00E106B8" w:rsidRDefault="00821658" w:rsidP="00E106B8">
      <w:pPr>
        <w:jc w:val="both"/>
        <w:rPr>
          <w:rFonts w:ascii="Arial" w:hAnsi="Arial" w:cs="Arial"/>
        </w:rPr>
      </w:pPr>
      <w:r w:rsidRPr="00E106B8">
        <w:rPr>
          <w:rFonts w:ascii="Arial" w:hAnsi="Arial" w:cs="Arial"/>
          <w:b/>
          <w:bCs/>
          <w:noProof/>
        </w:rPr>
        <w:t>Fig</w:t>
      </w:r>
      <w:r w:rsidR="00E106B8">
        <w:rPr>
          <w:rFonts w:ascii="Arial" w:hAnsi="Arial" w:cs="Arial"/>
          <w:b/>
          <w:bCs/>
          <w:noProof/>
        </w:rPr>
        <w:t>.</w:t>
      </w:r>
      <w:r w:rsidRPr="00E106B8">
        <w:rPr>
          <w:rFonts w:ascii="Arial" w:hAnsi="Arial" w:cs="Arial"/>
          <w:b/>
          <w:bCs/>
          <w:noProof/>
        </w:rPr>
        <w:t xml:space="preserve"> 2</w:t>
      </w:r>
      <w:r w:rsidR="00E106B8">
        <w:rPr>
          <w:rFonts w:ascii="Arial" w:hAnsi="Arial" w:cs="Arial"/>
          <w:b/>
          <w:bCs/>
          <w:noProof/>
        </w:rPr>
        <w:t>.</w:t>
      </w:r>
      <w:r w:rsidRPr="00E106B8">
        <w:rPr>
          <w:rFonts w:ascii="Arial" w:hAnsi="Arial" w:cs="Arial"/>
          <w:noProof/>
        </w:rPr>
        <w:t xml:space="preserve"> (a) Graphical representation of % Growth inhibition of newly synthesized compounds against two fungal strains </w:t>
      </w:r>
      <w:r w:rsidRPr="00E106B8">
        <w:rPr>
          <w:rFonts w:ascii="Arial" w:hAnsi="Arial" w:cs="Arial"/>
          <w:i/>
          <w:iCs/>
          <w:noProof/>
        </w:rPr>
        <w:t>Aspergillus niger</w:t>
      </w:r>
      <w:r w:rsidRPr="00E106B8">
        <w:rPr>
          <w:rFonts w:ascii="Arial" w:hAnsi="Arial" w:cs="Arial"/>
          <w:noProof/>
        </w:rPr>
        <w:t xml:space="preserve"> and </w:t>
      </w:r>
      <w:r w:rsidRPr="00E106B8">
        <w:rPr>
          <w:rFonts w:ascii="Arial" w:hAnsi="Arial" w:cs="Arial"/>
          <w:i/>
          <w:iCs/>
          <w:noProof/>
        </w:rPr>
        <w:t xml:space="preserve">Fusarium oxysporum;  and (b) pictorial representation of </w:t>
      </w:r>
      <w:r w:rsidRPr="00E106B8">
        <w:rPr>
          <w:rFonts w:ascii="Arial" w:hAnsi="Arial" w:cs="Arial"/>
          <w:noProof/>
        </w:rPr>
        <w:t xml:space="preserve">% Growth inhibition of newly synthesized compounds against two fungal strains </w:t>
      </w:r>
      <w:r w:rsidRPr="00E106B8">
        <w:rPr>
          <w:rFonts w:ascii="Arial" w:hAnsi="Arial" w:cs="Arial"/>
          <w:i/>
          <w:iCs/>
          <w:noProof/>
        </w:rPr>
        <w:t>Aspergillus niger</w:t>
      </w:r>
      <w:r w:rsidRPr="00E106B8">
        <w:rPr>
          <w:rFonts w:ascii="Arial" w:hAnsi="Arial" w:cs="Arial"/>
          <w:noProof/>
        </w:rPr>
        <w:t xml:space="preserve"> and </w:t>
      </w:r>
      <w:r w:rsidRPr="00E106B8">
        <w:rPr>
          <w:rFonts w:ascii="Arial" w:hAnsi="Arial" w:cs="Arial"/>
          <w:i/>
          <w:iCs/>
          <w:noProof/>
        </w:rPr>
        <w:t>Fusarium oxysporum.</w:t>
      </w:r>
    </w:p>
    <w:p w14:paraId="58512A5C" w14:textId="77777777" w:rsidR="00E106B8" w:rsidRDefault="00E106B8" w:rsidP="00441B6F">
      <w:pPr>
        <w:tabs>
          <w:tab w:val="left" w:pos="1080"/>
        </w:tabs>
        <w:jc w:val="both"/>
        <w:rPr>
          <w:rFonts w:ascii="Arial" w:hAnsi="Arial"/>
          <w:b/>
        </w:rPr>
      </w:pPr>
    </w:p>
    <w:p w14:paraId="3CD2EACE" w14:textId="77777777" w:rsidR="00E106B8" w:rsidRDefault="00E106B8" w:rsidP="00441B6F">
      <w:pPr>
        <w:tabs>
          <w:tab w:val="left" w:pos="1080"/>
        </w:tabs>
        <w:jc w:val="both"/>
        <w:rPr>
          <w:rFonts w:ascii="Arial" w:hAnsi="Arial"/>
          <w:b/>
        </w:rPr>
      </w:pPr>
    </w:p>
    <w:p w14:paraId="0286C372" w14:textId="77777777" w:rsidR="00790ADA" w:rsidRPr="00FB3A86" w:rsidRDefault="00790ADA" w:rsidP="00441B6F">
      <w:pPr>
        <w:pStyle w:val="Body"/>
        <w:spacing w:after="0"/>
        <w:rPr>
          <w:rFonts w:ascii="Arial" w:hAnsi="Arial" w:cs="Arial"/>
        </w:rPr>
      </w:pPr>
    </w:p>
    <w:p w14:paraId="0704A16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7B03CEA" w14:textId="77777777" w:rsidR="00790ADA" w:rsidRPr="00FB3A86" w:rsidRDefault="00790ADA" w:rsidP="00441B6F">
      <w:pPr>
        <w:pStyle w:val="ConcHead"/>
        <w:spacing w:after="0"/>
        <w:jc w:val="both"/>
        <w:rPr>
          <w:rFonts w:ascii="Arial" w:hAnsi="Arial" w:cs="Arial"/>
        </w:rPr>
      </w:pPr>
    </w:p>
    <w:p w14:paraId="566D64EC" w14:textId="77777777" w:rsidR="00942777" w:rsidRPr="00942777" w:rsidRDefault="00942777" w:rsidP="00942777">
      <w:pPr>
        <w:jc w:val="both"/>
        <w:rPr>
          <w:rFonts w:ascii="Arial" w:hAnsi="Arial" w:cs="Arial"/>
        </w:rPr>
      </w:pPr>
      <w:r w:rsidRPr="00942777">
        <w:rPr>
          <w:rFonts w:ascii="Arial" w:hAnsi="Arial" w:cs="Arial"/>
        </w:rPr>
        <w:t xml:space="preserve">The present study demonstrates that coordination of a thiazole-based Schiff base ligand with biologically relevant transition metal ions significantly enhances its antifungal and antioxidant activities. Comparative evaluation revealed that binuclear metal complexes exhibit superior biological performance compared to the free ligand, with the </w:t>
      </w:r>
      <w:proofErr w:type="gramStart"/>
      <w:r w:rsidRPr="00942777">
        <w:rPr>
          <w:rFonts w:ascii="Arial" w:hAnsi="Arial" w:cs="Arial"/>
        </w:rPr>
        <w:t>Cu(</w:t>
      </w:r>
      <w:proofErr w:type="gramEnd"/>
      <w:r w:rsidRPr="00942777">
        <w:rPr>
          <w:rFonts w:ascii="Arial" w:hAnsi="Arial" w:cs="Arial"/>
        </w:rPr>
        <w:t xml:space="preserve">II) complex showing the highest antioxidant activity and the Ni(II) and Cu(II) complexes displaying pronounced antifungal efficacy against </w:t>
      </w:r>
      <w:r w:rsidRPr="00942777">
        <w:rPr>
          <w:rFonts w:ascii="Arial" w:hAnsi="Arial" w:cs="Arial"/>
          <w:i/>
        </w:rPr>
        <w:t xml:space="preserve">Aspergillus </w:t>
      </w:r>
      <w:proofErr w:type="spellStart"/>
      <w:r w:rsidRPr="00942777">
        <w:rPr>
          <w:rFonts w:ascii="Arial" w:hAnsi="Arial" w:cs="Arial"/>
          <w:i/>
        </w:rPr>
        <w:t>niger</w:t>
      </w:r>
      <w:proofErr w:type="spellEnd"/>
      <w:r w:rsidRPr="00942777">
        <w:rPr>
          <w:rFonts w:ascii="Arial" w:hAnsi="Arial" w:cs="Arial"/>
        </w:rPr>
        <w:t xml:space="preserve"> and </w:t>
      </w:r>
      <w:proofErr w:type="spellStart"/>
      <w:r w:rsidRPr="00942777">
        <w:rPr>
          <w:rFonts w:ascii="Arial" w:hAnsi="Arial" w:cs="Arial"/>
          <w:i/>
        </w:rPr>
        <w:t>Fusarium</w:t>
      </w:r>
      <w:proofErr w:type="spellEnd"/>
      <w:r w:rsidRPr="00942777">
        <w:rPr>
          <w:rFonts w:ascii="Arial" w:hAnsi="Arial" w:cs="Arial"/>
          <w:i/>
        </w:rPr>
        <w:t xml:space="preserve"> </w:t>
      </w:r>
      <w:proofErr w:type="spellStart"/>
      <w:r w:rsidRPr="00942777">
        <w:rPr>
          <w:rFonts w:ascii="Arial" w:hAnsi="Arial" w:cs="Arial"/>
          <w:i/>
        </w:rPr>
        <w:t>oxysporum</w:t>
      </w:r>
      <w:proofErr w:type="spellEnd"/>
      <w:r w:rsidRPr="00942777">
        <w:rPr>
          <w:rFonts w:ascii="Arial" w:hAnsi="Arial" w:cs="Arial"/>
        </w:rPr>
        <w:t>.</w:t>
      </w:r>
    </w:p>
    <w:p w14:paraId="3DC583A2" w14:textId="77777777" w:rsidR="00942777" w:rsidRPr="00942777" w:rsidRDefault="00942777" w:rsidP="00942777">
      <w:pPr>
        <w:jc w:val="both"/>
        <w:rPr>
          <w:rFonts w:ascii="Arial" w:hAnsi="Arial" w:cs="Arial"/>
        </w:rPr>
      </w:pPr>
    </w:p>
    <w:p w14:paraId="70A397FA" w14:textId="77777777" w:rsidR="00942777" w:rsidRDefault="00942777" w:rsidP="00942777">
      <w:pPr>
        <w:jc w:val="both"/>
        <w:rPr>
          <w:rFonts w:ascii="Arial" w:hAnsi="Arial" w:cs="Arial"/>
        </w:rPr>
      </w:pPr>
      <w:r w:rsidRPr="00942777">
        <w:rPr>
          <w:rFonts w:ascii="Arial" w:hAnsi="Arial" w:cs="Arial"/>
        </w:rPr>
        <w:t>The enhancement in activity is attributed to metal-induced modulation of physicochemical properties, including increased lipophilicity and favorable redox behavior. These findings underscore the importance of metal coordination in designing effective bioactive compounds and support the potential of thiazole-based binuclear metal complexes as promising candidates for further development as antifungal and antioxidant agents. Future investigations focusing on mechanistic studies and in vivo evaluation may further establish their therapeutic relevance.</w:t>
      </w:r>
    </w:p>
    <w:p w14:paraId="5482DB65" w14:textId="77777777" w:rsidR="00790ADA" w:rsidRPr="00FB3A86" w:rsidRDefault="00790ADA" w:rsidP="00441B6F">
      <w:pPr>
        <w:pStyle w:val="Body"/>
        <w:spacing w:after="0"/>
        <w:rPr>
          <w:rFonts w:ascii="Arial" w:hAnsi="Arial" w:cs="Arial"/>
        </w:rPr>
      </w:pPr>
    </w:p>
    <w:p w14:paraId="44E755D6" w14:textId="07CCDD16" w:rsidR="005C784C" w:rsidRDefault="005C784C" w:rsidP="00E046CA">
      <w:pPr>
        <w:pStyle w:val="ReferHead"/>
        <w:spacing w:after="0"/>
        <w:jc w:val="both"/>
        <w:rPr>
          <w:rFonts w:ascii="Arial" w:hAnsi="Arial" w:cs="Arial"/>
          <w:b w:val="0"/>
          <w:caps w:val="0"/>
          <w:sz w:val="20"/>
        </w:rPr>
      </w:pPr>
    </w:p>
    <w:p w14:paraId="79D4DBDD" w14:textId="77777777" w:rsidR="00E046CA" w:rsidRDefault="00E046CA" w:rsidP="00441B6F">
      <w:pPr>
        <w:pStyle w:val="ReferHead"/>
        <w:spacing w:after="0"/>
        <w:jc w:val="both"/>
        <w:rPr>
          <w:rFonts w:ascii="Arial" w:hAnsi="Arial" w:cs="Arial"/>
          <w:bCs/>
        </w:rPr>
      </w:pPr>
    </w:p>
    <w:p w14:paraId="7603A76A" w14:textId="77777777" w:rsidR="005C784C" w:rsidRDefault="005C784C" w:rsidP="00441B6F">
      <w:pPr>
        <w:pStyle w:val="ReferHead"/>
        <w:spacing w:after="0"/>
        <w:jc w:val="both"/>
        <w:rPr>
          <w:rFonts w:ascii="Arial" w:hAnsi="Arial" w:cs="Arial"/>
          <w:bCs/>
        </w:rPr>
      </w:pPr>
      <w:r>
        <w:rPr>
          <w:rFonts w:ascii="Arial" w:hAnsi="Arial" w:cs="Arial"/>
          <w:bCs/>
        </w:rPr>
        <w:t>Ethical approval</w:t>
      </w:r>
    </w:p>
    <w:p w14:paraId="053A90B6" w14:textId="77777777" w:rsidR="005C784C" w:rsidRPr="002B685A" w:rsidRDefault="005C784C" w:rsidP="00441B6F">
      <w:pPr>
        <w:pStyle w:val="ReferHead"/>
        <w:spacing w:after="0"/>
        <w:jc w:val="both"/>
        <w:rPr>
          <w:rFonts w:ascii="Arial" w:hAnsi="Arial" w:cs="Arial"/>
          <w:bCs/>
        </w:rPr>
      </w:pPr>
    </w:p>
    <w:p w14:paraId="32CE4BB1" w14:textId="77777777" w:rsidR="004863A8" w:rsidRPr="004863A8" w:rsidRDefault="004863A8" w:rsidP="004863A8">
      <w:pPr>
        <w:spacing w:line="480" w:lineRule="auto"/>
        <w:rPr>
          <w:rFonts w:ascii="Arial" w:hAnsi="Arial" w:cs="Arial"/>
        </w:rPr>
      </w:pPr>
      <w:r w:rsidRPr="004863A8">
        <w:rPr>
          <w:rFonts w:ascii="Arial" w:hAnsi="Arial" w:cs="Arial"/>
        </w:rPr>
        <w:t>No ethical approval was necessary for this study</w:t>
      </w:r>
    </w:p>
    <w:p w14:paraId="0F3E3E94" w14:textId="3614746C" w:rsidR="00A01C3C" w:rsidRDefault="00A01C3C" w:rsidP="00A01C3C">
      <w:pPr>
        <w:rPr>
          <w:b/>
        </w:rPr>
      </w:pPr>
      <w:r w:rsidRPr="00942777">
        <w:rPr>
          <w:b/>
        </w:rPr>
        <w:t>Disclaimer (Artificial intelligence)</w:t>
      </w:r>
    </w:p>
    <w:p w14:paraId="49C315C5" w14:textId="77777777" w:rsidR="00942777" w:rsidRPr="00942777" w:rsidRDefault="00942777" w:rsidP="00A01C3C">
      <w:pPr>
        <w:rPr>
          <w:b/>
        </w:rPr>
      </w:pPr>
    </w:p>
    <w:p w14:paraId="61F36C69" w14:textId="5B967507" w:rsidR="00A01C3C" w:rsidRPr="00740879" w:rsidRDefault="00942777" w:rsidP="00A01C3C">
      <w:pPr>
        <w:rPr>
          <w:highlight w:val="yellow"/>
        </w:rPr>
      </w:pPr>
      <w:r w:rsidRPr="00942777">
        <w:t>The authors declare that no generative artificial intelligence tools were used in the preparation or editing of this manuscript</w:t>
      </w:r>
      <w:r w:rsidR="00A01C3C" w:rsidRPr="00942777">
        <w:t xml:space="preserve">. </w:t>
      </w:r>
    </w:p>
    <w:p w14:paraId="2F3A9A45" w14:textId="77777777" w:rsidR="00906D91" w:rsidRDefault="00906D91" w:rsidP="00441B6F">
      <w:pPr>
        <w:pStyle w:val="ReferHead"/>
        <w:spacing w:after="0"/>
        <w:jc w:val="both"/>
        <w:rPr>
          <w:rFonts w:ascii="Arial" w:hAnsi="Arial" w:cs="Arial"/>
        </w:rPr>
      </w:pPr>
    </w:p>
    <w:p w14:paraId="763D2227" w14:textId="77777777" w:rsidR="00906D91" w:rsidRDefault="00906D91" w:rsidP="00441B6F">
      <w:pPr>
        <w:pStyle w:val="ReferHead"/>
        <w:spacing w:after="0"/>
        <w:jc w:val="both"/>
        <w:rPr>
          <w:rFonts w:ascii="Arial" w:hAnsi="Arial" w:cs="Arial"/>
        </w:rPr>
      </w:pPr>
    </w:p>
    <w:p w14:paraId="2254314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2F21A20" w14:textId="77777777" w:rsidR="00790ADA" w:rsidRPr="00FB3A86" w:rsidRDefault="00790ADA" w:rsidP="00441B6F">
      <w:pPr>
        <w:pStyle w:val="ReferHead"/>
        <w:spacing w:after="0"/>
        <w:jc w:val="both"/>
        <w:rPr>
          <w:rFonts w:ascii="Arial" w:hAnsi="Arial" w:cs="Arial"/>
        </w:rPr>
      </w:pPr>
    </w:p>
    <w:p w14:paraId="121A8E4B" w14:textId="77777777" w:rsidR="00DF063D" w:rsidRDefault="00DF063D" w:rsidP="00DF063D">
      <w:pPr>
        <w:pStyle w:val="NormalWeb"/>
        <w:numPr>
          <w:ilvl w:val="0"/>
          <w:numId w:val="36"/>
        </w:numPr>
        <w:jc w:val="both"/>
      </w:pPr>
      <w:proofErr w:type="spellStart"/>
      <w:r>
        <w:t>Lemilemu</w:t>
      </w:r>
      <w:proofErr w:type="spellEnd"/>
      <w:r>
        <w:t xml:space="preserve">, F., </w:t>
      </w:r>
      <w:proofErr w:type="spellStart"/>
      <w:r>
        <w:t>Bitew</w:t>
      </w:r>
      <w:proofErr w:type="spellEnd"/>
      <w:r>
        <w:t xml:space="preserve">, M., </w:t>
      </w:r>
      <w:proofErr w:type="spellStart"/>
      <w:r>
        <w:t>Demissie</w:t>
      </w:r>
      <w:proofErr w:type="spellEnd"/>
      <w:r>
        <w:t xml:space="preserve">, T. B., </w:t>
      </w:r>
      <w:proofErr w:type="spellStart"/>
      <w:r>
        <w:t>Eswaramoorthy</w:t>
      </w:r>
      <w:proofErr w:type="spellEnd"/>
      <w:r>
        <w:t xml:space="preserve">, R., &amp; </w:t>
      </w:r>
      <w:proofErr w:type="spellStart"/>
      <w:r>
        <w:t>Endale</w:t>
      </w:r>
      <w:proofErr w:type="spellEnd"/>
      <w:r>
        <w:t xml:space="preserve">, M. (2021). Synthesis, antibacterial and antioxidant activities of </w:t>
      </w:r>
      <w:proofErr w:type="spellStart"/>
      <w:r>
        <w:t>thiazole</w:t>
      </w:r>
      <w:proofErr w:type="spellEnd"/>
      <w:r>
        <w:t xml:space="preserve">-based Schiff base derivatives: A combined experimental and computational study. </w:t>
      </w:r>
      <w:r>
        <w:rPr>
          <w:rStyle w:val="Emphasis"/>
        </w:rPr>
        <w:t>BMC Chemistry, 15</w:t>
      </w:r>
      <w:r>
        <w:t>(1), 67.</w:t>
      </w:r>
    </w:p>
    <w:p w14:paraId="1FD191AA" w14:textId="77777777" w:rsidR="00DF063D" w:rsidRDefault="00DF063D" w:rsidP="00DF063D">
      <w:pPr>
        <w:pStyle w:val="NormalWeb"/>
        <w:numPr>
          <w:ilvl w:val="0"/>
          <w:numId w:val="36"/>
        </w:numPr>
        <w:jc w:val="both"/>
      </w:pPr>
      <w:proofErr w:type="spellStart"/>
      <w:r>
        <w:t>Sahoo</w:t>
      </w:r>
      <w:proofErr w:type="spellEnd"/>
      <w:r>
        <w:t xml:space="preserve">, J., &amp; </w:t>
      </w:r>
      <w:proofErr w:type="spellStart"/>
      <w:r>
        <w:t>Paidesetty</w:t>
      </w:r>
      <w:proofErr w:type="spellEnd"/>
      <w:r>
        <w:t xml:space="preserve">, S. K. (2018). Biological investigation of novel metal complexes of 2-amino-4-substituted </w:t>
      </w:r>
      <w:proofErr w:type="spellStart"/>
      <w:r>
        <w:t>phenylthiazole</w:t>
      </w:r>
      <w:proofErr w:type="spellEnd"/>
      <w:r>
        <w:t xml:space="preserve"> Schiff bases. </w:t>
      </w:r>
      <w:r>
        <w:rPr>
          <w:rStyle w:val="Emphasis"/>
        </w:rPr>
        <w:t xml:space="preserve">Journal of </w:t>
      </w:r>
      <w:proofErr w:type="spellStart"/>
      <w:r>
        <w:rPr>
          <w:rStyle w:val="Emphasis"/>
        </w:rPr>
        <w:t>Taibah</w:t>
      </w:r>
      <w:proofErr w:type="spellEnd"/>
      <w:r>
        <w:rPr>
          <w:rStyle w:val="Emphasis"/>
        </w:rPr>
        <w:t xml:space="preserve"> University Medical Sciences, 13</w:t>
      </w:r>
      <w:r>
        <w:t>(2), 142–155.</w:t>
      </w:r>
    </w:p>
    <w:p w14:paraId="45CDE5FF" w14:textId="77777777" w:rsidR="00DF063D" w:rsidRPr="00C67AF7" w:rsidRDefault="00DF063D" w:rsidP="00DF063D">
      <w:pPr>
        <w:pStyle w:val="NormalWeb"/>
        <w:numPr>
          <w:ilvl w:val="0"/>
          <w:numId w:val="36"/>
        </w:numPr>
        <w:jc w:val="both"/>
      </w:pPr>
      <w:proofErr w:type="spellStart"/>
      <w:r w:rsidRPr="00C67AF7">
        <w:rPr>
          <w:rStyle w:val="Strong"/>
          <w:b w:val="0"/>
        </w:rPr>
        <w:t>Malav</w:t>
      </w:r>
      <w:proofErr w:type="spellEnd"/>
      <w:r w:rsidRPr="00C67AF7">
        <w:rPr>
          <w:rStyle w:val="Strong"/>
          <w:b w:val="0"/>
        </w:rPr>
        <w:t>, R., &amp; Ray, S. (2025).</w:t>
      </w:r>
      <w:r w:rsidRPr="00C67AF7">
        <w:t xml:space="preserve"> Recent advances in the synthesis and versatile applications of transition metal complexes featuring Schiff base ligands. </w:t>
      </w:r>
      <w:r w:rsidRPr="00C67AF7">
        <w:rPr>
          <w:rStyle w:val="Emphasis"/>
        </w:rPr>
        <w:t>RSC Advances, 15</w:t>
      </w:r>
      <w:r w:rsidRPr="00C67AF7">
        <w:t xml:space="preserve">(28), 22889–22914. https://doi.org/10.1039/d5ra03626G </w:t>
      </w:r>
    </w:p>
    <w:p w14:paraId="06FD4D2B" w14:textId="77777777" w:rsidR="00DF063D" w:rsidRPr="00C67AF7" w:rsidRDefault="00DF063D" w:rsidP="00DF063D">
      <w:pPr>
        <w:pStyle w:val="NormalWeb"/>
        <w:numPr>
          <w:ilvl w:val="0"/>
          <w:numId w:val="36"/>
        </w:numPr>
        <w:jc w:val="both"/>
      </w:pPr>
      <w:proofErr w:type="spellStart"/>
      <w:r w:rsidRPr="00C67AF7">
        <w:rPr>
          <w:rStyle w:val="Strong"/>
          <w:b w:val="0"/>
        </w:rPr>
        <w:t>Achonye</w:t>
      </w:r>
      <w:proofErr w:type="spellEnd"/>
      <w:r w:rsidRPr="00C67AF7">
        <w:rPr>
          <w:rStyle w:val="Strong"/>
          <w:b w:val="0"/>
        </w:rPr>
        <w:t xml:space="preserve">, C. C., </w:t>
      </w:r>
      <w:proofErr w:type="spellStart"/>
      <w:r w:rsidRPr="00C67AF7">
        <w:rPr>
          <w:rStyle w:val="Strong"/>
          <w:b w:val="0"/>
        </w:rPr>
        <w:t>Ezenweke</w:t>
      </w:r>
      <w:proofErr w:type="spellEnd"/>
      <w:r w:rsidRPr="00C67AF7">
        <w:rPr>
          <w:rStyle w:val="Strong"/>
          <w:b w:val="0"/>
        </w:rPr>
        <w:t xml:space="preserve">, L. O., </w:t>
      </w:r>
      <w:proofErr w:type="spellStart"/>
      <w:r w:rsidRPr="00C67AF7">
        <w:rPr>
          <w:rStyle w:val="Strong"/>
          <w:b w:val="0"/>
        </w:rPr>
        <w:t>Ojiako</w:t>
      </w:r>
      <w:proofErr w:type="spellEnd"/>
      <w:r w:rsidRPr="00C67AF7">
        <w:rPr>
          <w:rStyle w:val="Strong"/>
          <w:b w:val="0"/>
        </w:rPr>
        <w:t xml:space="preserve">, E. N., &amp; </w:t>
      </w:r>
      <w:proofErr w:type="spellStart"/>
      <w:r w:rsidRPr="00C67AF7">
        <w:rPr>
          <w:rStyle w:val="Strong"/>
          <w:b w:val="0"/>
        </w:rPr>
        <w:t>Ogbuagu</w:t>
      </w:r>
      <w:proofErr w:type="spellEnd"/>
      <w:r w:rsidRPr="00C67AF7">
        <w:rPr>
          <w:rStyle w:val="Strong"/>
          <w:b w:val="0"/>
        </w:rPr>
        <w:t>, O. E. (2025).</w:t>
      </w:r>
      <w:r w:rsidRPr="00C67AF7">
        <w:rPr>
          <w:b/>
        </w:rPr>
        <w:t xml:space="preserve"> </w:t>
      </w:r>
      <w:r w:rsidRPr="00C67AF7">
        <w:t xml:space="preserve">Spectroscopic and biological investigations of 4-[(1E)-N-(2-aminophenyl)ethanimidoyl]-3-methyl-1-phenyl-1H-pyrazol-5-ol and its Copper(II) complex. </w:t>
      </w:r>
      <w:r w:rsidRPr="00C67AF7">
        <w:rPr>
          <w:rStyle w:val="Emphasis"/>
        </w:rPr>
        <w:t>International Journal of Research and Innovation in Applied Science (IJRIAS), 10</w:t>
      </w:r>
      <w:r w:rsidRPr="00C67AF7">
        <w:t xml:space="preserve">(11). </w:t>
      </w:r>
    </w:p>
    <w:p w14:paraId="3E8622D1" w14:textId="77777777" w:rsidR="00DF063D" w:rsidRDefault="00DF063D" w:rsidP="00DF063D">
      <w:pPr>
        <w:pStyle w:val="NormalWeb"/>
        <w:numPr>
          <w:ilvl w:val="0"/>
          <w:numId w:val="36"/>
        </w:numPr>
        <w:jc w:val="both"/>
      </w:pPr>
      <w:proofErr w:type="spellStart"/>
      <w:r w:rsidRPr="00C67AF7">
        <w:rPr>
          <w:rStyle w:val="Strong"/>
          <w:b w:val="0"/>
        </w:rPr>
        <w:t>Bhosale</w:t>
      </w:r>
      <w:proofErr w:type="spellEnd"/>
      <w:r w:rsidRPr="00C67AF7">
        <w:rPr>
          <w:rStyle w:val="Strong"/>
          <w:b w:val="0"/>
        </w:rPr>
        <w:t xml:space="preserve">, D. G., </w:t>
      </w:r>
      <w:proofErr w:type="spellStart"/>
      <w:r w:rsidRPr="00C67AF7">
        <w:rPr>
          <w:rStyle w:val="Strong"/>
          <w:b w:val="0"/>
        </w:rPr>
        <w:t>Nimal</w:t>
      </w:r>
      <w:proofErr w:type="spellEnd"/>
      <w:r w:rsidRPr="00C67AF7">
        <w:rPr>
          <w:rStyle w:val="Strong"/>
          <w:b w:val="0"/>
        </w:rPr>
        <w:t xml:space="preserve">, S., </w:t>
      </w:r>
      <w:proofErr w:type="spellStart"/>
      <w:r w:rsidRPr="00C67AF7">
        <w:rPr>
          <w:rStyle w:val="Strong"/>
          <w:b w:val="0"/>
        </w:rPr>
        <w:t>Gacche</w:t>
      </w:r>
      <w:proofErr w:type="spellEnd"/>
      <w:r w:rsidRPr="00C67AF7">
        <w:rPr>
          <w:rStyle w:val="Strong"/>
          <w:b w:val="0"/>
        </w:rPr>
        <w:t xml:space="preserve">, R., </w:t>
      </w:r>
      <w:proofErr w:type="spellStart"/>
      <w:r w:rsidRPr="00C67AF7">
        <w:rPr>
          <w:rStyle w:val="Strong"/>
          <w:b w:val="0"/>
        </w:rPr>
        <w:t>Raut</w:t>
      </w:r>
      <w:proofErr w:type="spellEnd"/>
      <w:r w:rsidRPr="00C67AF7">
        <w:rPr>
          <w:rStyle w:val="Strong"/>
          <w:b w:val="0"/>
        </w:rPr>
        <w:t xml:space="preserve">, D., </w:t>
      </w:r>
      <w:proofErr w:type="spellStart"/>
      <w:r w:rsidRPr="00C67AF7">
        <w:rPr>
          <w:rStyle w:val="Strong"/>
          <w:b w:val="0"/>
        </w:rPr>
        <w:t>Chaudhari</w:t>
      </w:r>
      <w:proofErr w:type="spellEnd"/>
      <w:r w:rsidRPr="00C67AF7">
        <w:rPr>
          <w:rStyle w:val="Strong"/>
          <w:b w:val="0"/>
        </w:rPr>
        <w:t xml:space="preserve">, P. B., </w:t>
      </w:r>
      <w:proofErr w:type="spellStart"/>
      <w:r w:rsidRPr="00C67AF7">
        <w:rPr>
          <w:rStyle w:val="Strong"/>
          <w:b w:val="0"/>
        </w:rPr>
        <w:t>Deshmukh</w:t>
      </w:r>
      <w:proofErr w:type="spellEnd"/>
      <w:r w:rsidRPr="00C67AF7">
        <w:rPr>
          <w:rStyle w:val="Strong"/>
          <w:b w:val="0"/>
        </w:rPr>
        <w:t xml:space="preserve">, P., </w:t>
      </w:r>
      <w:proofErr w:type="spellStart"/>
      <w:r w:rsidRPr="00C67AF7">
        <w:rPr>
          <w:rStyle w:val="Strong"/>
          <w:b w:val="0"/>
        </w:rPr>
        <w:t>Puri</w:t>
      </w:r>
      <w:proofErr w:type="spellEnd"/>
      <w:r w:rsidRPr="00C67AF7">
        <w:rPr>
          <w:rStyle w:val="Strong"/>
          <w:b w:val="0"/>
        </w:rPr>
        <w:t xml:space="preserve">, G., </w:t>
      </w:r>
      <w:proofErr w:type="spellStart"/>
      <w:r w:rsidRPr="00C67AF7">
        <w:rPr>
          <w:rStyle w:val="Strong"/>
          <w:b w:val="0"/>
        </w:rPr>
        <w:t>Khobragade</w:t>
      </w:r>
      <w:proofErr w:type="spellEnd"/>
      <w:r w:rsidRPr="00C67AF7">
        <w:rPr>
          <w:rStyle w:val="Strong"/>
          <w:b w:val="0"/>
        </w:rPr>
        <w:t xml:space="preserve">, R., &amp; </w:t>
      </w:r>
      <w:proofErr w:type="spellStart"/>
      <w:r w:rsidRPr="00C67AF7">
        <w:rPr>
          <w:rStyle w:val="Strong"/>
          <w:b w:val="0"/>
        </w:rPr>
        <w:t>Lawand</w:t>
      </w:r>
      <w:proofErr w:type="spellEnd"/>
      <w:r w:rsidRPr="00C67AF7">
        <w:rPr>
          <w:rStyle w:val="Strong"/>
          <w:b w:val="0"/>
        </w:rPr>
        <w:t>, A. S. (2024).</w:t>
      </w:r>
      <w:r w:rsidRPr="00C67AF7">
        <w:t xml:space="preserve"> Novel </w:t>
      </w:r>
      <w:proofErr w:type="gramStart"/>
      <w:r w:rsidRPr="00C67AF7">
        <w:t>Co(</w:t>
      </w:r>
      <w:proofErr w:type="gramEnd"/>
      <w:r w:rsidRPr="00C67AF7">
        <w:t xml:space="preserve">II), Cu(II) and Zn(II) complexes derived from </w:t>
      </w:r>
      <w:proofErr w:type="spellStart"/>
      <w:r w:rsidRPr="00C67AF7">
        <w:t>thiazole</w:t>
      </w:r>
      <w:proofErr w:type="spellEnd"/>
      <w:r w:rsidRPr="00C67AF7">
        <w:t xml:space="preserve"> containing Schiff base ligands: Green synthesis, antimicrobial and anti-cancer studies. </w:t>
      </w:r>
      <w:r w:rsidRPr="00C67AF7">
        <w:rPr>
          <w:rStyle w:val="Emphasis"/>
        </w:rPr>
        <w:t>Inorganic Chemistry Communications, 170</w:t>
      </w:r>
      <w:r w:rsidRPr="00C67AF7">
        <w:t>, 113320.</w:t>
      </w:r>
      <w:r>
        <w:t xml:space="preserve"> https://doi.org/10.1016/j.inoche.2024.113320 </w:t>
      </w:r>
    </w:p>
    <w:p w14:paraId="3AF28E9B" w14:textId="77777777" w:rsidR="00DF063D" w:rsidRDefault="00DF063D" w:rsidP="00DF063D">
      <w:pPr>
        <w:pStyle w:val="NormalWeb"/>
        <w:numPr>
          <w:ilvl w:val="0"/>
          <w:numId w:val="36"/>
        </w:numPr>
        <w:jc w:val="both"/>
      </w:pPr>
      <w:r>
        <w:t xml:space="preserve">Catalano, A., </w:t>
      </w:r>
      <w:proofErr w:type="spellStart"/>
      <w:r>
        <w:t>Sinicropi</w:t>
      </w:r>
      <w:proofErr w:type="spellEnd"/>
      <w:r>
        <w:t xml:space="preserve">, M. S., </w:t>
      </w:r>
      <w:proofErr w:type="spellStart"/>
      <w:r>
        <w:t>Iacopetta</w:t>
      </w:r>
      <w:proofErr w:type="spellEnd"/>
      <w:r>
        <w:t xml:space="preserve">, D., </w:t>
      </w:r>
      <w:proofErr w:type="spellStart"/>
      <w:r>
        <w:t>Ceramella</w:t>
      </w:r>
      <w:proofErr w:type="spellEnd"/>
      <w:r>
        <w:t xml:space="preserve">, J., </w:t>
      </w:r>
      <w:proofErr w:type="spellStart"/>
      <w:r>
        <w:t>Mariconda</w:t>
      </w:r>
      <w:proofErr w:type="spellEnd"/>
      <w:r>
        <w:t xml:space="preserve">, A., </w:t>
      </w:r>
      <w:proofErr w:type="spellStart"/>
      <w:r>
        <w:t>Rosano</w:t>
      </w:r>
      <w:proofErr w:type="spellEnd"/>
      <w:r>
        <w:t xml:space="preserve">, C., </w:t>
      </w:r>
      <w:proofErr w:type="spellStart"/>
      <w:r>
        <w:t>Scali</w:t>
      </w:r>
      <w:proofErr w:type="spellEnd"/>
      <w:r>
        <w:t xml:space="preserve">, E., </w:t>
      </w:r>
      <w:proofErr w:type="spellStart"/>
      <w:r>
        <w:t>Saturnino</w:t>
      </w:r>
      <w:proofErr w:type="spellEnd"/>
      <w:r>
        <w:t xml:space="preserve">, C., &amp; Longo, P. (2021). A review on the advancements in the field of metal complexes with Schiff bases as </w:t>
      </w:r>
      <w:proofErr w:type="spellStart"/>
      <w:r>
        <w:t>antiproliferative</w:t>
      </w:r>
      <w:proofErr w:type="spellEnd"/>
      <w:r>
        <w:t xml:space="preserve"> agents. </w:t>
      </w:r>
      <w:r>
        <w:rPr>
          <w:rStyle w:val="Emphasis"/>
        </w:rPr>
        <w:t>Applied Sciences, 11</w:t>
      </w:r>
      <w:r>
        <w:t xml:space="preserve">(13), 6027. </w:t>
      </w:r>
      <w:hyperlink r:id="rId18" w:history="1">
        <w:r w:rsidRPr="006D4A97">
          <w:rPr>
            <w:rStyle w:val="Hyperlink"/>
            <w:color w:val="auto"/>
          </w:rPr>
          <w:t>https://doi.org/10.3390/app11136027</w:t>
        </w:r>
      </w:hyperlink>
    </w:p>
    <w:p w14:paraId="0655B29E" w14:textId="77777777" w:rsidR="00DF063D" w:rsidRDefault="00DF063D" w:rsidP="00DF063D">
      <w:pPr>
        <w:pStyle w:val="NormalWeb"/>
        <w:numPr>
          <w:ilvl w:val="0"/>
          <w:numId w:val="36"/>
        </w:numPr>
        <w:jc w:val="both"/>
      </w:pPr>
      <w:r>
        <w:t xml:space="preserve">Rai, A., Pradhan, P., </w:t>
      </w:r>
      <w:proofErr w:type="spellStart"/>
      <w:r>
        <w:t>Sahoo</w:t>
      </w:r>
      <w:proofErr w:type="spellEnd"/>
      <w:r>
        <w:t xml:space="preserve">, J., </w:t>
      </w:r>
      <w:proofErr w:type="spellStart"/>
      <w:r>
        <w:t>Nayak</w:t>
      </w:r>
      <w:proofErr w:type="spellEnd"/>
      <w:r>
        <w:t xml:space="preserve">, R., &amp; Jena, S. (2023). Antimicrobial peptides as future therapeutics: Challenges and prospects. </w:t>
      </w:r>
      <w:r>
        <w:rPr>
          <w:rStyle w:val="Emphasis"/>
        </w:rPr>
        <w:t>Current Research in Microbial Sciences, 6</w:t>
      </w:r>
      <w:r>
        <w:t>, 100211.</w:t>
      </w:r>
    </w:p>
    <w:p w14:paraId="20B216DD" w14:textId="77777777" w:rsidR="00DF063D" w:rsidRDefault="00DF063D" w:rsidP="00DF063D">
      <w:pPr>
        <w:pStyle w:val="NormalWeb"/>
        <w:numPr>
          <w:ilvl w:val="0"/>
          <w:numId w:val="36"/>
        </w:numPr>
        <w:jc w:val="both"/>
      </w:pPr>
      <w:r>
        <w:t xml:space="preserve">Das, K., </w:t>
      </w:r>
      <w:proofErr w:type="spellStart"/>
      <w:r>
        <w:t>Datta</w:t>
      </w:r>
      <w:proofErr w:type="spellEnd"/>
      <w:r>
        <w:t xml:space="preserve">, A., </w:t>
      </w:r>
      <w:proofErr w:type="spellStart"/>
      <w:r>
        <w:t>Massera</w:t>
      </w:r>
      <w:proofErr w:type="spellEnd"/>
      <w:r>
        <w:t xml:space="preserve">, C., &amp; Sinha, C. (2019). Structural diversity, topology and luminescent properties of a two-dimensional </w:t>
      </w:r>
      <w:proofErr w:type="gramStart"/>
      <w:r>
        <w:t>Cd(</w:t>
      </w:r>
      <w:proofErr w:type="gramEnd"/>
      <w:r>
        <w:t xml:space="preserve">II) coordination polymer incorporating 4,4′-dipyridyl and 4,4′-sulfonyldibenzoic acid. </w:t>
      </w:r>
      <w:r>
        <w:rPr>
          <w:rStyle w:val="Emphasis"/>
        </w:rPr>
        <w:t>Journal of Molecular Structure, 1179</w:t>
      </w:r>
      <w:r>
        <w:t xml:space="preserve">, 618–622. </w:t>
      </w:r>
    </w:p>
    <w:p w14:paraId="6B23F05A" w14:textId="77777777" w:rsidR="00DF063D" w:rsidRDefault="00DF063D" w:rsidP="00DF063D">
      <w:pPr>
        <w:pStyle w:val="NormalWeb"/>
        <w:numPr>
          <w:ilvl w:val="0"/>
          <w:numId w:val="36"/>
        </w:numPr>
        <w:jc w:val="both"/>
      </w:pPr>
      <w:r>
        <w:t xml:space="preserve">Lu, J., Huang, Y., Liu, R., Liang, Y., Zhang, H., Shen, N., Yang, D., &amp; Jiang, M. (2024). Antimicrobial mechanisms and antifungal activity of compounds generated by banana rhizosphere </w:t>
      </w:r>
      <w:r>
        <w:rPr>
          <w:rStyle w:val="Emphasis"/>
        </w:rPr>
        <w:t>Pseudomonas aeruginosa</w:t>
      </w:r>
      <w:r>
        <w:t xml:space="preserve"> Gxun-2 against </w:t>
      </w:r>
      <w:proofErr w:type="spellStart"/>
      <w:r>
        <w:rPr>
          <w:rStyle w:val="Emphasis"/>
        </w:rPr>
        <w:t>Fusarium</w:t>
      </w:r>
      <w:proofErr w:type="spellEnd"/>
      <w:r>
        <w:rPr>
          <w:rStyle w:val="Emphasis"/>
        </w:rPr>
        <w:t xml:space="preserve"> </w:t>
      </w:r>
      <w:proofErr w:type="spellStart"/>
      <w:r>
        <w:rPr>
          <w:rStyle w:val="Emphasis"/>
        </w:rPr>
        <w:t>oxysporum</w:t>
      </w:r>
      <w:proofErr w:type="spellEnd"/>
      <w:r>
        <w:t xml:space="preserve"> f. sp. </w:t>
      </w:r>
      <w:proofErr w:type="spellStart"/>
      <w:r>
        <w:rPr>
          <w:rStyle w:val="Emphasis"/>
        </w:rPr>
        <w:t>cubense</w:t>
      </w:r>
      <w:proofErr w:type="spellEnd"/>
      <w:r>
        <w:t xml:space="preserve">. </w:t>
      </w:r>
      <w:r>
        <w:rPr>
          <w:rStyle w:val="Emphasis"/>
        </w:rPr>
        <w:t>Frontiers in Microbiology, 15</w:t>
      </w:r>
      <w:r>
        <w:t>, 1456847.</w:t>
      </w:r>
    </w:p>
    <w:p w14:paraId="5CC8A541" w14:textId="77777777" w:rsidR="00DF063D" w:rsidRDefault="00DF063D" w:rsidP="00DF063D">
      <w:pPr>
        <w:pStyle w:val="NormalWeb"/>
        <w:numPr>
          <w:ilvl w:val="0"/>
          <w:numId w:val="36"/>
        </w:numPr>
        <w:jc w:val="both"/>
      </w:pPr>
      <w:proofErr w:type="spellStart"/>
      <w:r>
        <w:t>Baliyan</w:t>
      </w:r>
      <w:proofErr w:type="spellEnd"/>
      <w:r>
        <w:t xml:space="preserve">, S., Mukherjee, R., </w:t>
      </w:r>
      <w:proofErr w:type="spellStart"/>
      <w:r>
        <w:t>Priyadarshini</w:t>
      </w:r>
      <w:proofErr w:type="spellEnd"/>
      <w:r>
        <w:t xml:space="preserve">, A., </w:t>
      </w:r>
      <w:proofErr w:type="spellStart"/>
      <w:r>
        <w:t>Vibhuti</w:t>
      </w:r>
      <w:proofErr w:type="spellEnd"/>
      <w:r>
        <w:t xml:space="preserve">, A., Gupta, A., Pandey, R. P., &amp; Chang, C.-M. (2022). Determination of antioxidants by DPPH radical scavenging activity and quantitative phytochemical analysis of </w:t>
      </w:r>
      <w:proofErr w:type="spellStart"/>
      <w:r>
        <w:rPr>
          <w:rStyle w:val="Emphasis"/>
        </w:rPr>
        <w:t>Ficus</w:t>
      </w:r>
      <w:proofErr w:type="spellEnd"/>
      <w:r>
        <w:rPr>
          <w:rStyle w:val="Emphasis"/>
        </w:rPr>
        <w:t xml:space="preserve"> </w:t>
      </w:r>
      <w:proofErr w:type="spellStart"/>
      <w:r>
        <w:rPr>
          <w:rStyle w:val="Emphasis"/>
        </w:rPr>
        <w:t>religiosa</w:t>
      </w:r>
      <w:proofErr w:type="spellEnd"/>
      <w:r>
        <w:t xml:space="preserve">. </w:t>
      </w:r>
      <w:r>
        <w:rPr>
          <w:rStyle w:val="Emphasis"/>
        </w:rPr>
        <w:t>Molecules, 27</w:t>
      </w:r>
      <w:r>
        <w:t xml:space="preserve">(4), 1326. </w:t>
      </w:r>
      <w:proofErr w:type="gramStart"/>
      <w:r>
        <w:t>doi:</w:t>
      </w:r>
      <w:proofErr w:type="gramEnd"/>
      <w:r>
        <w:t xml:space="preserve">10.3390/molecules27041326. </w:t>
      </w:r>
    </w:p>
    <w:p w14:paraId="1878927F" w14:textId="77777777" w:rsidR="00DF063D" w:rsidRDefault="00DF063D" w:rsidP="00DF063D">
      <w:pPr>
        <w:pStyle w:val="NormalWeb"/>
        <w:numPr>
          <w:ilvl w:val="0"/>
          <w:numId w:val="36"/>
        </w:numPr>
        <w:jc w:val="both"/>
      </w:pPr>
      <w:proofErr w:type="spellStart"/>
      <w:r>
        <w:lastRenderedPageBreak/>
        <w:t>Ashrafuzzaman</w:t>
      </w:r>
      <w:proofErr w:type="spellEnd"/>
      <w:r>
        <w:t xml:space="preserve">, M., </w:t>
      </w:r>
      <w:proofErr w:type="spellStart"/>
      <w:r>
        <w:t>Khanm</w:t>
      </w:r>
      <w:proofErr w:type="spellEnd"/>
      <w:r>
        <w:t xml:space="preserve"> Camellia, F., Rahman, M. H., Hossain, M. D., Hossain, M. T., Rahman, H., </w:t>
      </w:r>
      <w:proofErr w:type="spellStart"/>
      <w:r>
        <w:t>Shovon</w:t>
      </w:r>
      <w:proofErr w:type="spellEnd"/>
      <w:r>
        <w:t xml:space="preserve">, G. M., Paul, G. K., </w:t>
      </w:r>
      <w:proofErr w:type="spellStart"/>
      <w:r>
        <w:t>Zahan</w:t>
      </w:r>
      <w:proofErr w:type="spellEnd"/>
      <w:r>
        <w:t xml:space="preserve">, M. K.-E., &amp; </w:t>
      </w:r>
      <w:proofErr w:type="spellStart"/>
      <w:r>
        <w:t>Haque</w:t>
      </w:r>
      <w:proofErr w:type="spellEnd"/>
      <w:r>
        <w:t xml:space="preserve">, M. M. (2023). Synthesis, characterization, antibacterial and antioxidant activities of </w:t>
      </w:r>
      <w:proofErr w:type="gramStart"/>
      <w:r>
        <w:t>Cu(</w:t>
      </w:r>
      <w:proofErr w:type="gramEnd"/>
      <w:r>
        <w:t xml:space="preserve">II), Ni(II), and Zn(II) mixed ligand complexes containing isoniazid based bidentate Schiff base. </w:t>
      </w:r>
      <w:r>
        <w:rPr>
          <w:rStyle w:val="Emphasis"/>
        </w:rPr>
        <w:t>Asian Journal of Chemical Sciences, 13</w:t>
      </w:r>
      <w:r>
        <w:t xml:space="preserve">(5), 112–122. </w:t>
      </w:r>
    </w:p>
    <w:p w14:paraId="6498CA7B" w14:textId="77777777" w:rsidR="00DF063D" w:rsidRDefault="00DF063D" w:rsidP="00DF063D">
      <w:pPr>
        <w:pStyle w:val="NormalWeb"/>
        <w:numPr>
          <w:ilvl w:val="0"/>
          <w:numId w:val="36"/>
        </w:numPr>
        <w:jc w:val="both"/>
      </w:pPr>
      <w:proofErr w:type="spellStart"/>
      <w:r>
        <w:t>Saif</w:t>
      </w:r>
      <w:proofErr w:type="spellEnd"/>
      <w:r>
        <w:t>, M., El-</w:t>
      </w:r>
      <w:proofErr w:type="spellStart"/>
      <w:r>
        <w:t>Shafiy</w:t>
      </w:r>
      <w:proofErr w:type="spellEnd"/>
      <w:r>
        <w:t xml:space="preserve">, H. F., </w:t>
      </w:r>
      <w:proofErr w:type="spellStart"/>
      <w:r>
        <w:t>Mashaly</w:t>
      </w:r>
      <w:proofErr w:type="spellEnd"/>
      <w:r>
        <w:t xml:space="preserve">, M. M., </w:t>
      </w:r>
      <w:proofErr w:type="spellStart"/>
      <w:r>
        <w:t>Eid</w:t>
      </w:r>
      <w:proofErr w:type="spellEnd"/>
      <w:r>
        <w:t xml:space="preserve">, M. F., &amp; Fouad, R. (2016). Synthesis, characterization, and antioxidant/cytotoxic activity of new </w:t>
      </w:r>
      <w:proofErr w:type="spellStart"/>
      <w:r>
        <w:t>chromone</w:t>
      </w:r>
      <w:proofErr w:type="spellEnd"/>
      <w:r>
        <w:t xml:space="preserve"> Schiff base </w:t>
      </w:r>
      <w:proofErr w:type="spellStart"/>
      <w:r>
        <w:t>nano</w:t>
      </w:r>
      <w:proofErr w:type="spellEnd"/>
      <w:r>
        <w:t xml:space="preserve">-complexes of </w:t>
      </w:r>
      <w:proofErr w:type="gramStart"/>
      <w:r>
        <w:t>Zn(</w:t>
      </w:r>
      <w:proofErr w:type="gramEnd"/>
      <w:r>
        <w:t xml:space="preserve">II), Cu(II), Ni(II) and Co(II). </w:t>
      </w:r>
      <w:r>
        <w:rPr>
          <w:rStyle w:val="Emphasis"/>
        </w:rPr>
        <w:t>Journal of Molecular Structure, 1118</w:t>
      </w:r>
      <w:r>
        <w:t>, 75–82.</w:t>
      </w:r>
    </w:p>
    <w:p w14:paraId="549CC14D" w14:textId="77777777" w:rsidR="00DF063D" w:rsidRDefault="00DF063D" w:rsidP="00DF063D">
      <w:pPr>
        <w:pStyle w:val="NormalWeb"/>
        <w:numPr>
          <w:ilvl w:val="0"/>
          <w:numId w:val="36"/>
        </w:numPr>
        <w:jc w:val="both"/>
      </w:pPr>
      <w:r>
        <w:t xml:space="preserve">Ramadan, M. M., </w:t>
      </w:r>
      <w:proofErr w:type="spellStart"/>
      <w:r>
        <w:t>Naeem</w:t>
      </w:r>
      <w:proofErr w:type="spellEnd"/>
      <w:r>
        <w:t xml:space="preserve">, A. M. A., </w:t>
      </w:r>
      <w:proofErr w:type="spellStart"/>
      <w:r>
        <w:t>Aboelhasan</w:t>
      </w:r>
      <w:proofErr w:type="spellEnd"/>
      <w:r>
        <w:t xml:space="preserve">, A. E., &amp; Abdel Aziz, A. A. (2024). DNA binding and antioxidant activities of novel synthesized </w:t>
      </w:r>
      <w:proofErr w:type="gramStart"/>
      <w:r>
        <w:t>Fe(</w:t>
      </w:r>
      <w:proofErr w:type="gramEnd"/>
      <w:r>
        <w:t xml:space="preserve">III), Ni(II) and Cu(II) complexes derived from </w:t>
      </w:r>
      <w:proofErr w:type="spellStart"/>
      <w:r>
        <w:t>monodentate</w:t>
      </w:r>
      <w:proofErr w:type="spellEnd"/>
      <w:r>
        <w:t xml:space="preserve"> V-shaped Schiff bases. </w:t>
      </w:r>
      <w:r>
        <w:rPr>
          <w:rStyle w:val="Emphasis"/>
        </w:rPr>
        <w:t>Journal of Transition Metal Complexes, 7</w:t>
      </w:r>
      <w:r>
        <w:t xml:space="preserve">, Article 246166. </w:t>
      </w:r>
    </w:p>
    <w:p w14:paraId="1CB0810A" w14:textId="77777777" w:rsidR="00DF063D" w:rsidRDefault="00DF063D" w:rsidP="00DF063D">
      <w:pPr>
        <w:pStyle w:val="NormalWeb"/>
        <w:numPr>
          <w:ilvl w:val="0"/>
          <w:numId w:val="36"/>
        </w:numPr>
        <w:jc w:val="both"/>
      </w:pPr>
      <w:r w:rsidRPr="003C7BE5">
        <w:t xml:space="preserve">Khan, S. J.; </w:t>
      </w:r>
      <w:proofErr w:type="spellStart"/>
      <w:r w:rsidRPr="003C7BE5">
        <w:t>Marufa</w:t>
      </w:r>
      <w:proofErr w:type="spellEnd"/>
      <w:r w:rsidRPr="003C7BE5">
        <w:t xml:space="preserve">, S. S.; Sultan, M. I.; et al. Novel </w:t>
      </w:r>
      <w:proofErr w:type="spellStart"/>
      <w:r w:rsidRPr="003C7BE5">
        <w:t>thiophene</w:t>
      </w:r>
      <w:proofErr w:type="spellEnd"/>
      <w:r w:rsidRPr="003C7BE5">
        <w:t>–</w:t>
      </w:r>
      <w:proofErr w:type="spellStart"/>
      <w:r w:rsidRPr="003C7BE5">
        <w:t>thiazole</w:t>
      </w:r>
      <w:proofErr w:type="spellEnd"/>
      <w:r w:rsidRPr="003C7BE5">
        <w:t xml:space="preserve">‑Schiff base hybrids: design, synthesis, antimicrobial and antioxidant activity with ADMET prediction, molecular docking and dynamics study. RSC Adv. 2025, 15, 45690–45706. </w:t>
      </w:r>
      <w:hyperlink r:id="rId19" w:history="1">
        <w:r w:rsidRPr="000A158C">
          <w:rPr>
            <w:rStyle w:val="Hyperlink"/>
          </w:rPr>
          <w:t>https://doi.org/10.1039/D5RA07357J</w:t>
        </w:r>
      </w:hyperlink>
    </w:p>
    <w:p w14:paraId="3A531CD9" w14:textId="77777777" w:rsidR="00DF063D" w:rsidRDefault="00DF063D" w:rsidP="00DF063D">
      <w:pPr>
        <w:pStyle w:val="NormalWeb"/>
        <w:numPr>
          <w:ilvl w:val="0"/>
          <w:numId w:val="36"/>
        </w:numPr>
        <w:jc w:val="both"/>
      </w:pPr>
      <w:proofErr w:type="spellStart"/>
      <w:r w:rsidRPr="00690884">
        <w:t>Adly</w:t>
      </w:r>
      <w:proofErr w:type="spellEnd"/>
      <w:r w:rsidRPr="00690884">
        <w:t>, O. M., El-</w:t>
      </w:r>
      <w:proofErr w:type="spellStart"/>
      <w:r w:rsidRPr="00690884">
        <w:t>Shafiy</w:t>
      </w:r>
      <w:proofErr w:type="spellEnd"/>
      <w:r w:rsidRPr="00690884">
        <w:t xml:space="preserve">, H. F., &amp; </w:t>
      </w:r>
      <w:proofErr w:type="spellStart"/>
      <w:r w:rsidRPr="00690884">
        <w:t>Shebl</w:t>
      </w:r>
      <w:proofErr w:type="spellEnd"/>
      <w:r w:rsidRPr="00690884">
        <w:t>, M. (2019). Synthesis, spectroscopic studies, DFT calculations, antimicrobial and antitumor activity of tridentate NNO Schiff base metal complexes based on 5-acetyl-4-hydroxy-2H-1, 3-thiazine-2, 6 (3H)-</w:t>
      </w:r>
      <w:proofErr w:type="spellStart"/>
      <w:r w:rsidRPr="00690884">
        <w:t>dione</w:t>
      </w:r>
      <w:proofErr w:type="spellEnd"/>
      <w:r w:rsidRPr="00690884">
        <w:t>. </w:t>
      </w:r>
      <w:r w:rsidRPr="00690884">
        <w:rPr>
          <w:i/>
          <w:iCs/>
        </w:rPr>
        <w:t>Journal of Molecular Structure</w:t>
      </w:r>
      <w:r w:rsidRPr="00690884">
        <w:t>, </w:t>
      </w:r>
      <w:r w:rsidRPr="00690884">
        <w:rPr>
          <w:i/>
          <w:iCs/>
        </w:rPr>
        <w:t>1196</w:t>
      </w:r>
      <w:r w:rsidRPr="00690884">
        <w:t>, 805-818.</w:t>
      </w:r>
    </w:p>
    <w:p w14:paraId="21867DDC" w14:textId="77777777" w:rsidR="00DF063D" w:rsidRDefault="00DF063D" w:rsidP="00DF063D">
      <w:pPr>
        <w:pStyle w:val="NormalWeb"/>
        <w:numPr>
          <w:ilvl w:val="0"/>
          <w:numId w:val="36"/>
        </w:numPr>
        <w:jc w:val="both"/>
      </w:pPr>
      <w:proofErr w:type="spellStart"/>
      <w:r>
        <w:t>Yimer</w:t>
      </w:r>
      <w:proofErr w:type="spellEnd"/>
      <w:r>
        <w:t>, A. M. (2014). Chemical synthesis, spectral characterization and antimicrobial studies on complexes of Ni(II), Cu(II) and Zn(II) with N,N-di(o-</w:t>
      </w:r>
      <w:proofErr w:type="spellStart"/>
      <w:r>
        <w:t>hydroxybenzenoylmethylene</w:t>
      </w:r>
      <w:proofErr w:type="spellEnd"/>
      <w:r>
        <w:t>)</w:t>
      </w:r>
      <w:proofErr w:type="spellStart"/>
      <w:r>
        <w:t>ethylenediamine</w:t>
      </w:r>
      <w:proofErr w:type="spellEnd"/>
      <w:r>
        <w:t xml:space="preserve">. </w:t>
      </w:r>
      <w:r>
        <w:rPr>
          <w:rStyle w:val="Emphasis"/>
        </w:rPr>
        <w:t>American Journal of Bioscience, 2</w:t>
      </w:r>
      <w:r>
        <w:t>(6-1), 22–34.</w:t>
      </w:r>
    </w:p>
    <w:p w14:paraId="3F973045" w14:textId="77777777" w:rsidR="00DF063D" w:rsidRDefault="00DF063D" w:rsidP="00DF063D">
      <w:pPr>
        <w:pStyle w:val="NormalWeb"/>
        <w:numPr>
          <w:ilvl w:val="0"/>
          <w:numId w:val="36"/>
        </w:numPr>
        <w:jc w:val="both"/>
      </w:pPr>
      <w:proofErr w:type="spellStart"/>
      <w:r w:rsidRPr="003C7BE5">
        <w:t>Unki</w:t>
      </w:r>
      <w:proofErr w:type="spellEnd"/>
      <w:r w:rsidRPr="003C7BE5">
        <w:t xml:space="preserve">, S. N.; </w:t>
      </w:r>
      <w:proofErr w:type="spellStart"/>
      <w:r w:rsidRPr="003C7BE5">
        <w:t>Kalalbandi</w:t>
      </w:r>
      <w:proofErr w:type="spellEnd"/>
      <w:r w:rsidRPr="003C7BE5">
        <w:t xml:space="preserve">, V. K. A.; </w:t>
      </w:r>
      <w:proofErr w:type="spellStart"/>
      <w:r w:rsidRPr="003C7BE5">
        <w:t>Karekal</w:t>
      </w:r>
      <w:proofErr w:type="spellEnd"/>
      <w:r w:rsidRPr="003C7BE5">
        <w:t xml:space="preserve">, M. R. Synergistic antimicrobial and antioxidant effects of indole Schiff base‑metal (II) complexes: a dual approach. Chem. </w:t>
      </w:r>
      <w:proofErr w:type="spellStart"/>
      <w:r w:rsidRPr="003C7BE5">
        <w:t>Biodivers</w:t>
      </w:r>
      <w:proofErr w:type="spellEnd"/>
      <w:r w:rsidRPr="003C7BE5">
        <w:t xml:space="preserve">. 2025, 22(11), e00955. </w:t>
      </w:r>
      <w:hyperlink r:id="rId20" w:history="1">
        <w:r w:rsidRPr="000A158C">
          <w:rPr>
            <w:rStyle w:val="Hyperlink"/>
          </w:rPr>
          <w:t>https://doi.org/10.1002/cbdv.202500955</w:t>
        </w:r>
      </w:hyperlink>
    </w:p>
    <w:p w14:paraId="2623AE9F" w14:textId="77777777" w:rsidR="00DF063D" w:rsidRDefault="00DF063D" w:rsidP="00DF063D">
      <w:pPr>
        <w:pStyle w:val="NormalWeb"/>
        <w:numPr>
          <w:ilvl w:val="0"/>
          <w:numId w:val="36"/>
        </w:numPr>
        <w:jc w:val="both"/>
      </w:pPr>
      <w:proofErr w:type="spellStart"/>
      <w:r w:rsidRPr="006A740C">
        <w:t>Varshney</w:t>
      </w:r>
      <w:proofErr w:type="spellEnd"/>
      <w:r w:rsidRPr="006A740C">
        <w:t>, A., &amp; Mishra, A. P. (2023). Synthesis, spectral characterization, computational studies, antifungal, DNA interaction, antioxidant and fluorescence property of novel Schiff base ligand and its metal chelates. </w:t>
      </w:r>
      <w:proofErr w:type="spellStart"/>
      <w:r w:rsidRPr="006A740C">
        <w:rPr>
          <w:i/>
          <w:iCs/>
        </w:rPr>
        <w:t>Spectrochimica</w:t>
      </w:r>
      <w:proofErr w:type="spellEnd"/>
      <w:r w:rsidRPr="006A740C">
        <w:rPr>
          <w:i/>
          <w:iCs/>
        </w:rPr>
        <w:t xml:space="preserve"> </w:t>
      </w:r>
      <w:proofErr w:type="spellStart"/>
      <w:r w:rsidRPr="006A740C">
        <w:rPr>
          <w:i/>
          <w:iCs/>
        </w:rPr>
        <w:t>Acta</w:t>
      </w:r>
      <w:proofErr w:type="spellEnd"/>
      <w:r w:rsidRPr="006A740C">
        <w:rPr>
          <w:i/>
          <w:iCs/>
        </w:rPr>
        <w:t xml:space="preserve"> Part A: Molecular and </w:t>
      </w:r>
      <w:proofErr w:type="spellStart"/>
      <w:r w:rsidRPr="006A740C">
        <w:rPr>
          <w:i/>
          <w:iCs/>
        </w:rPr>
        <w:t>Biomolecular</w:t>
      </w:r>
      <w:proofErr w:type="spellEnd"/>
      <w:r w:rsidRPr="006A740C">
        <w:rPr>
          <w:i/>
          <w:iCs/>
        </w:rPr>
        <w:t xml:space="preserve"> Spectroscopy</w:t>
      </w:r>
      <w:r w:rsidRPr="006A740C">
        <w:t>, </w:t>
      </w:r>
      <w:r w:rsidRPr="006A740C">
        <w:rPr>
          <w:i/>
          <w:iCs/>
        </w:rPr>
        <w:t>297</w:t>
      </w:r>
      <w:r w:rsidRPr="006A740C">
        <w:t>, 122765.</w:t>
      </w:r>
    </w:p>
    <w:p w14:paraId="5911F9FE" w14:textId="77777777" w:rsidR="003C7BE5" w:rsidRDefault="003C7BE5" w:rsidP="003C7BE5">
      <w:pPr>
        <w:pStyle w:val="NormalWeb"/>
        <w:ind w:left="720"/>
        <w:jc w:val="both"/>
      </w:pPr>
      <w:bookmarkStart w:id="0" w:name="_GoBack"/>
      <w:bookmarkEnd w:id="0"/>
    </w:p>
    <w:sectPr w:rsidR="003C7BE5" w:rsidSect="007570B9">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C1A9B" w14:textId="77777777" w:rsidR="004E3AAD" w:rsidRDefault="004E3AAD" w:rsidP="00C37E61">
      <w:r>
        <w:separator/>
      </w:r>
    </w:p>
  </w:endnote>
  <w:endnote w:type="continuationSeparator" w:id="0">
    <w:p w14:paraId="70996038" w14:textId="77777777" w:rsidR="004E3AAD" w:rsidRDefault="004E3AA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431D" w14:textId="77777777" w:rsidR="007570B9" w:rsidRDefault="007570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BFAF" w14:textId="77777777" w:rsidR="007570B9" w:rsidRDefault="007570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B81C9" w14:textId="77777777" w:rsidR="009E048A" w:rsidRDefault="009E048A">
    <w:pPr>
      <w:pStyle w:val="Footer"/>
      <w:rPr>
        <w:rFonts w:ascii="Arial" w:hAnsi="Arial" w:cs="Arial"/>
        <w:sz w:val="16"/>
      </w:rPr>
    </w:pPr>
  </w:p>
  <w:p w14:paraId="1CAEA54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3087E65" w14:textId="77777777" w:rsidR="009E048A" w:rsidRDefault="009E048A">
    <w:pPr>
      <w:pStyle w:val="Footer"/>
      <w:rPr>
        <w:rFonts w:ascii="Arial" w:hAnsi="Arial" w:cs="Arial"/>
        <w:sz w:val="16"/>
      </w:rPr>
    </w:pPr>
  </w:p>
  <w:p w14:paraId="27E5D97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E241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4E591" w14:textId="77777777" w:rsidR="004E3AAD" w:rsidRDefault="004E3AAD" w:rsidP="00C37E61">
      <w:r>
        <w:separator/>
      </w:r>
    </w:p>
  </w:footnote>
  <w:footnote w:type="continuationSeparator" w:id="0">
    <w:p w14:paraId="1F8B13DE" w14:textId="77777777" w:rsidR="004E3AAD" w:rsidRDefault="004E3AA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EE8DA" w14:textId="46268DCF" w:rsidR="007570B9" w:rsidRDefault="004E3AAD">
    <w:pPr>
      <w:pStyle w:val="Header"/>
    </w:pPr>
    <w:r>
      <w:rPr>
        <w:noProof/>
      </w:rPr>
      <w:pict w14:anchorId="5533F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7969" w14:textId="4C06C2FD" w:rsidR="007570B9" w:rsidRDefault="004E3AAD">
    <w:pPr>
      <w:pStyle w:val="Header"/>
    </w:pPr>
    <w:r>
      <w:rPr>
        <w:noProof/>
      </w:rPr>
      <w:pict w14:anchorId="6794A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84D68" w14:textId="725D3D9B" w:rsidR="00296529" w:rsidRPr="00296529" w:rsidRDefault="004E3AAD" w:rsidP="00296529">
    <w:pPr>
      <w:ind w:left="2160"/>
      <w:jc w:val="center"/>
      <w:rPr>
        <w:rFonts w:ascii="Times New Roman" w:eastAsia="Calibri" w:hAnsi="Times New Roman"/>
        <w:i/>
        <w:sz w:val="18"/>
        <w:szCs w:val="22"/>
      </w:rPr>
    </w:pPr>
    <w:r>
      <w:rPr>
        <w:noProof/>
      </w:rPr>
      <w:pict w14:anchorId="4E6E2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8E79C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E2AF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7FCD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F023D4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F618D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32321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8352" w14:textId="40326A6C" w:rsidR="007570B9" w:rsidRDefault="004E3AAD">
    <w:pPr>
      <w:pStyle w:val="Header"/>
    </w:pPr>
    <w:r>
      <w:rPr>
        <w:noProof/>
      </w:rPr>
      <w:pict w14:anchorId="54684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B67B4" w14:textId="11FE6A30" w:rsidR="007570B9" w:rsidRDefault="004E3AAD">
    <w:pPr>
      <w:pStyle w:val="Header"/>
    </w:pPr>
    <w:r>
      <w:rPr>
        <w:noProof/>
      </w:rPr>
      <w:pict w14:anchorId="18911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A4419" w14:textId="58544ADA" w:rsidR="007570B9" w:rsidRDefault="004E3AAD">
    <w:pPr>
      <w:pStyle w:val="Header"/>
    </w:pPr>
    <w:r>
      <w:rPr>
        <w:noProof/>
      </w:rPr>
      <w:pict w14:anchorId="5F04D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A571D"/>
    <w:multiLevelType w:val="multilevel"/>
    <w:tmpl w:val="70C8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8E2BBC"/>
    <w:multiLevelType w:val="hybridMultilevel"/>
    <w:tmpl w:val="C794F7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AE73FD"/>
    <w:multiLevelType w:val="hybridMultilevel"/>
    <w:tmpl w:val="0396F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759EE"/>
    <w:multiLevelType w:val="multilevel"/>
    <w:tmpl w:val="82F8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F046849"/>
    <w:multiLevelType w:val="hybridMultilevel"/>
    <w:tmpl w:val="E5AA3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43C46B33"/>
    <w:multiLevelType w:val="hybridMultilevel"/>
    <w:tmpl w:val="AB263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B30732"/>
    <w:multiLevelType w:val="multilevel"/>
    <w:tmpl w:val="8496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513D4D"/>
    <w:multiLevelType w:val="multilevel"/>
    <w:tmpl w:val="CBDE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14B15"/>
    <w:multiLevelType w:val="multilevel"/>
    <w:tmpl w:val="32DA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1676DD7"/>
    <w:multiLevelType w:val="hybridMultilevel"/>
    <w:tmpl w:val="310C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7328FC"/>
    <w:multiLevelType w:val="hybridMultilevel"/>
    <w:tmpl w:val="D48C7A2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BE90A7D"/>
    <w:multiLevelType w:val="multilevel"/>
    <w:tmpl w:val="30F81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E62A04"/>
    <w:multiLevelType w:val="multilevel"/>
    <w:tmpl w:val="1D42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3F66A60"/>
    <w:multiLevelType w:val="multilevel"/>
    <w:tmpl w:val="6E30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6"/>
  </w:num>
  <w:num w:numId="9">
    <w:abstractNumId w:val="39"/>
  </w:num>
  <w:num w:numId="10">
    <w:abstractNumId w:val="2"/>
  </w:num>
  <w:num w:numId="11">
    <w:abstractNumId w:val="29"/>
  </w:num>
  <w:num w:numId="12">
    <w:abstractNumId w:val="3"/>
  </w:num>
  <w:num w:numId="13">
    <w:abstractNumId w:val="26"/>
  </w:num>
  <w:num w:numId="14">
    <w:abstractNumId w:val="11"/>
  </w:num>
  <w:num w:numId="15">
    <w:abstractNumId w:val="34"/>
  </w:num>
  <w:num w:numId="16">
    <w:abstractNumId w:val="6"/>
  </w:num>
  <w:num w:numId="17">
    <w:abstractNumId w:val="36"/>
  </w:num>
  <w:num w:numId="18">
    <w:abstractNumId w:val="19"/>
  </w:num>
  <w:num w:numId="19">
    <w:abstractNumId w:val="42"/>
  </w:num>
  <w:num w:numId="20">
    <w:abstractNumId w:val="15"/>
  </w:num>
  <w:num w:numId="21">
    <w:abstractNumId w:val="12"/>
  </w:num>
  <w:num w:numId="22">
    <w:abstractNumId w:val="17"/>
  </w:num>
  <w:num w:numId="23">
    <w:abstractNumId w:val="32"/>
  </w:num>
  <w:num w:numId="24">
    <w:abstractNumId w:val="40"/>
  </w:num>
  <w:num w:numId="25">
    <w:abstractNumId w:val="4"/>
  </w:num>
  <w:num w:numId="26">
    <w:abstractNumId w:val="23"/>
  </w:num>
  <w:num w:numId="27">
    <w:abstractNumId w:val="33"/>
  </w:num>
  <w:num w:numId="28">
    <w:abstractNumId w:val="41"/>
  </w:num>
  <w:num w:numId="29">
    <w:abstractNumId w:val="38"/>
  </w:num>
  <w:num w:numId="30">
    <w:abstractNumId w:val="14"/>
  </w:num>
  <w:num w:numId="31">
    <w:abstractNumId w:val="20"/>
  </w:num>
  <w:num w:numId="32">
    <w:abstractNumId w:val="8"/>
  </w:num>
  <w:num w:numId="33">
    <w:abstractNumId w:val="9"/>
  </w:num>
  <w:num w:numId="34">
    <w:abstractNumId w:val="27"/>
  </w:num>
  <w:num w:numId="35">
    <w:abstractNumId w:val="28"/>
  </w:num>
  <w:num w:numId="36">
    <w:abstractNumId w:val="18"/>
  </w:num>
  <w:num w:numId="37">
    <w:abstractNumId w:val="31"/>
  </w:num>
  <w:num w:numId="38">
    <w:abstractNumId w:val="5"/>
  </w:num>
  <w:num w:numId="39">
    <w:abstractNumId w:val="25"/>
  </w:num>
  <w:num w:numId="40">
    <w:abstractNumId w:val="35"/>
  </w:num>
  <w:num w:numId="41">
    <w:abstractNumId w:val="13"/>
  </w:num>
  <w:num w:numId="42">
    <w:abstractNumId w:val="30"/>
  </w:num>
  <w:num w:numId="43">
    <w:abstractNumId w:val="2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5B6C"/>
    <w:rsid w:val="00030174"/>
    <w:rsid w:val="0004579C"/>
    <w:rsid w:val="000512FC"/>
    <w:rsid w:val="00052E04"/>
    <w:rsid w:val="000A47FA"/>
    <w:rsid w:val="000A65D3"/>
    <w:rsid w:val="000B0DEC"/>
    <w:rsid w:val="000B1E33"/>
    <w:rsid w:val="000B6C98"/>
    <w:rsid w:val="000C117E"/>
    <w:rsid w:val="000D689F"/>
    <w:rsid w:val="000E7B7B"/>
    <w:rsid w:val="000E7D62"/>
    <w:rsid w:val="00100086"/>
    <w:rsid w:val="00103357"/>
    <w:rsid w:val="00123C9F"/>
    <w:rsid w:val="00126190"/>
    <w:rsid w:val="00130F17"/>
    <w:rsid w:val="001320BF"/>
    <w:rsid w:val="001562A2"/>
    <w:rsid w:val="001603AB"/>
    <w:rsid w:val="0016232D"/>
    <w:rsid w:val="00163BC4"/>
    <w:rsid w:val="00191062"/>
    <w:rsid w:val="00192B72"/>
    <w:rsid w:val="00195C90"/>
    <w:rsid w:val="001A29D8"/>
    <w:rsid w:val="001A5CAA"/>
    <w:rsid w:val="001B0427"/>
    <w:rsid w:val="001D3A51"/>
    <w:rsid w:val="001E10D2"/>
    <w:rsid w:val="001E18FD"/>
    <w:rsid w:val="001E25B4"/>
    <w:rsid w:val="001E44FE"/>
    <w:rsid w:val="00200595"/>
    <w:rsid w:val="00204835"/>
    <w:rsid w:val="00220AA0"/>
    <w:rsid w:val="00231920"/>
    <w:rsid w:val="0023195C"/>
    <w:rsid w:val="0024282C"/>
    <w:rsid w:val="002460DC"/>
    <w:rsid w:val="00250985"/>
    <w:rsid w:val="002556F6"/>
    <w:rsid w:val="002610E3"/>
    <w:rsid w:val="00264648"/>
    <w:rsid w:val="00274226"/>
    <w:rsid w:val="00283105"/>
    <w:rsid w:val="00284C4C"/>
    <w:rsid w:val="00287E68"/>
    <w:rsid w:val="00296529"/>
    <w:rsid w:val="002B27FB"/>
    <w:rsid w:val="002B685A"/>
    <w:rsid w:val="002C57D2"/>
    <w:rsid w:val="002E0D56"/>
    <w:rsid w:val="00315186"/>
    <w:rsid w:val="0033343E"/>
    <w:rsid w:val="003512C2"/>
    <w:rsid w:val="003608DE"/>
    <w:rsid w:val="00367CB4"/>
    <w:rsid w:val="00371FB6"/>
    <w:rsid w:val="00373847"/>
    <w:rsid w:val="003763C1"/>
    <w:rsid w:val="00376BBE"/>
    <w:rsid w:val="0039224F"/>
    <w:rsid w:val="003A43A4"/>
    <w:rsid w:val="003A7E18"/>
    <w:rsid w:val="003C4C86"/>
    <w:rsid w:val="003C6258"/>
    <w:rsid w:val="003C7BE5"/>
    <w:rsid w:val="003D6A1D"/>
    <w:rsid w:val="003E2904"/>
    <w:rsid w:val="003F27E7"/>
    <w:rsid w:val="003F4BC8"/>
    <w:rsid w:val="00401927"/>
    <w:rsid w:val="0041027F"/>
    <w:rsid w:val="00412475"/>
    <w:rsid w:val="00423771"/>
    <w:rsid w:val="00423789"/>
    <w:rsid w:val="00426ADB"/>
    <w:rsid w:val="00440F43"/>
    <w:rsid w:val="00441B6F"/>
    <w:rsid w:val="00446221"/>
    <w:rsid w:val="00450E62"/>
    <w:rsid w:val="004539DB"/>
    <w:rsid w:val="00471A80"/>
    <w:rsid w:val="004863A8"/>
    <w:rsid w:val="004D305E"/>
    <w:rsid w:val="004D3EE6"/>
    <w:rsid w:val="004D4277"/>
    <w:rsid w:val="004E3AAD"/>
    <w:rsid w:val="00502516"/>
    <w:rsid w:val="00505F06"/>
    <w:rsid w:val="00506828"/>
    <w:rsid w:val="00523C06"/>
    <w:rsid w:val="0053056E"/>
    <w:rsid w:val="0055308F"/>
    <w:rsid w:val="00554FDA"/>
    <w:rsid w:val="005631CE"/>
    <w:rsid w:val="00590197"/>
    <w:rsid w:val="005C3696"/>
    <w:rsid w:val="005C784C"/>
    <w:rsid w:val="005D17F6"/>
    <w:rsid w:val="005D1FFB"/>
    <w:rsid w:val="005E5539"/>
    <w:rsid w:val="00602BF5"/>
    <w:rsid w:val="006058B2"/>
    <w:rsid w:val="00617FDD"/>
    <w:rsid w:val="00633614"/>
    <w:rsid w:val="00633F68"/>
    <w:rsid w:val="00636EB2"/>
    <w:rsid w:val="006375B8"/>
    <w:rsid w:val="00640FC8"/>
    <w:rsid w:val="0066510A"/>
    <w:rsid w:val="0066580A"/>
    <w:rsid w:val="00672FE1"/>
    <w:rsid w:val="00673F9F"/>
    <w:rsid w:val="00686953"/>
    <w:rsid w:val="00687DEA"/>
    <w:rsid w:val="00687E67"/>
    <w:rsid w:val="006917CC"/>
    <w:rsid w:val="006967F7"/>
    <w:rsid w:val="006A250C"/>
    <w:rsid w:val="006B21D3"/>
    <w:rsid w:val="006B57D0"/>
    <w:rsid w:val="006D30FF"/>
    <w:rsid w:val="006D4A97"/>
    <w:rsid w:val="006D6940"/>
    <w:rsid w:val="006F11EC"/>
    <w:rsid w:val="0070082C"/>
    <w:rsid w:val="00703131"/>
    <w:rsid w:val="00723F43"/>
    <w:rsid w:val="007369E6"/>
    <w:rsid w:val="00746E59"/>
    <w:rsid w:val="00754C9A"/>
    <w:rsid w:val="0075599A"/>
    <w:rsid w:val="007570B9"/>
    <w:rsid w:val="00761A03"/>
    <w:rsid w:val="00761D52"/>
    <w:rsid w:val="0076762F"/>
    <w:rsid w:val="0077749E"/>
    <w:rsid w:val="00790154"/>
    <w:rsid w:val="00790ADA"/>
    <w:rsid w:val="00795009"/>
    <w:rsid w:val="007B3BFD"/>
    <w:rsid w:val="007B43C1"/>
    <w:rsid w:val="007D2288"/>
    <w:rsid w:val="007E088F"/>
    <w:rsid w:val="007E52C6"/>
    <w:rsid w:val="007F7B32"/>
    <w:rsid w:val="00804BC2"/>
    <w:rsid w:val="0081431A"/>
    <w:rsid w:val="00821658"/>
    <w:rsid w:val="0083216F"/>
    <w:rsid w:val="008431FA"/>
    <w:rsid w:val="00843963"/>
    <w:rsid w:val="00860000"/>
    <w:rsid w:val="008635FF"/>
    <w:rsid w:val="00863BD3"/>
    <w:rsid w:val="008641ED"/>
    <w:rsid w:val="00866D66"/>
    <w:rsid w:val="008671C6"/>
    <w:rsid w:val="00875803"/>
    <w:rsid w:val="00880390"/>
    <w:rsid w:val="00891A94"/>
    <w:rsid w:val="008A160B"/>
    <w:rsid w:val="008B459E"/>
    <w:rsid w:val="008E13AE"/>
    <w:rsid w:val="008E1506"/>
    <w:rsid w:val="008E3DCF"/>
    <w:rsid w:val="008E710C"/>
    <w:rsid w:val="008F69D6"/>
    <w:rsid w:val="00902823"/>
    <w:rsid w:val="00906D91"/>
    <w:rsid w:val="00915CA6"/>
    <w:rsid w:val="00917335"/>
    <w:rsid w:val="00927834"/>
    <w:rsid w:val="00936C17"/>
    <w:rsid w:val="00942777"/>
    <w:rsid w:val="009500A6"/>
    <w:rsid w:val="00957C18"/>
    <w:rsid w:val="009659BA"/>
    <w:rsid w:val="00982084"/>
    <w:rsid w:val="00983040"/>
    <w:rsid w:val="009A7C53"/>
    <w:rsid w:val="009B3FB9"/>
    <w:rsid w:val="009C2465"/>
    <w:rsid w:val="009D35A0"/>
    <w:rsid w:val="009D7EB7"/>
    <w:rsid w:val="009E048A"/>
    <w:rsid w:val="009E08E9"/>
    <w:rsid w:val="009E3DB9"/>
    <w:rsid w:val="009E6E35"/>
    <w:rsid w:val="009F0EDA"/>
    <w:rsid w:val="00A01C3C"/>
    <w:rsid w:val="00A03B96"/>
    <w:rsid w:val="00A05B19"/>
    <w:rsid w:val="00A1134E"/>
    <w:rsid w:val="00A177FC"/>
    <w:rsid w:val="00A21DBE"/>
    <w:rsid w:val="00A24E7E"/>
    <w:rsid w:val="00A258C3"/>
    <w:rsid w:val="00A347C0"/>
    <w:rsid w:val="00A51431"/>
    <w:rsid w:val="00A539AD"/>
    <w:rsid w:val="00A54D23"/>
    <w:rsid w:val="00A877D8"/>
    <w:rsid w:val="00A94063"/>
    <w:rsid w:val="00AA6219"/>
    <w:rsid w:val="00AA74E0"/>
    <w:rsid w:val="00AB703F"/>
    <w:rsid w:val="00AB79E6"/>
    <w:rsid w:val="00AC6BB8"/>
    <w:rsid w:val="00AD64D3"/>
    <w:rsid w:val="00AE008F"/>
    <w:rsid w:val="00B01FCD"/>
    <w:rsid w:val="00B1776C"/>
    <w:rsid w:val="00B44F3A"/>
    <w:rsid w:val="00B52583"/>
    <w:rsid w:val="00B52896"/>
    <w:rsid w:val="00B700B2"/>
    <w:rsid w:val="00B90087"/>
    <w:rsid w:val="00B95236"/>
    <w:rsid w:val="00B96BD9"/>
    <w:rsid w:val="00BA1B01"/>
    <w:rsid w:val="00BA2641"/>
    <w:rsid w:val="00BB37AA"/>
    <w:rsid w:val="00BC53A0"/>
    <w:rsid w:val="00BE1C60"/>
    <w:rsid w:val="00BE62AD"/>
    <w:rsid w:val="00BF121F"/>
    <w:rsid w:val="00BF1F80"/>
    <w:rsid w:val="00BF6EEB"/>
    <w:rsid w:val="00C06660"/>
    <w:rsid w:val="00C166EF"/>
    <w:rsid w:val="00C17EB0"/>
    <w:rsid w:val="00C27F5F"/>
    <w:rsid w:val="00C30A0F"/>
    <w:rsid w:val="00C37E61"/>
    <w:rsid w:val="00C45229"/>
    <w:rsid w:val="00C458CC"/>
    <w:rsid w:val="00C60CD7"/>
    <w:rsid w:val="00C67AF7"/>
    <w:rsid w:val="00C70F1B"/>
    <w:rsid w:val="00C71A47"/>
    <w:rsid w:val="00C7464C"/>
    <w:rsid w:val="00C85588"/>
    <w:rsid w:val="00CA3A2D"/>
    <w:rsid w:val="00CB599A"/>
    <w:rsid w:val="00CD6755"/>
    <w:rsid w:val="00CD6856"/>
    <w:rsid w:val="00CE0089"/>
    <w:rsid w:val="00CE793C"/>
    <w:rsid w:val="00CF193C"/>
    <w:rsid w:val="00D0613A"/>
    <w:rsid w:val="00D166D7"/>
    <w:rsid w:val="00D173F1"/>
    <w:rsid w:val="00D5158D"/>
    <w:rsid w:val="00D74CB0"/>
    <w:rsid w:val="00D8295D"/>
    <w:rsid w:val="00DC2A65"/>
    <w:rsid w:val="00DE15F0"/>
    <w:rsid w:val="00DE5663"/>
    <w:rsid w:val="00DE78AA"/>
    <w:rsid w:val="00DF063D"/>
    <w:rsid w:val="00E046CA"/>
    <w:rsid w:val="00E053D0"/>
    <w:rsid w:val="00E106B8"/>
    <w:rsid w:val="00E15994"/>
    <w:rsid w:val="00E3114E"/>
    <w:rsid w:val="00E31A70"/>
    <w:rsid w:val="00E35B02"/>
    <w:rsid w:val="00E4011F"/>
    <w:rsid w:val="00E66496"/>
    <w:rsid w:val="00E66B35"/>
    <w:rsid w:val="00E66E10"/>
    <w:rsid w:val="00E769F6"/>
    <w:rsid w:val="00E8407C"/>
    <w:rsid w:val="00E84F3C"/>
    <w:rsid w:val="00E9125D"/>
    <w:rsid w:val="00EA012C"/>
    <w:rsid w:val="00EA01D2"/>
    <w:rsid w:val="00EC6A55"/>
    <w:rsid w:val="00ED0288"/>
    <w:rsid w:val="00ED588D"/>
    <w:rsid w:val="00EE52CB"/>
    <w:rsid w:val="00EF581D"/>
    <w:rsid w:val="00EF7FD8"/>
    <w:rsid w:val="00F06F59"/>
    <w:rsid w:val="00F07F91"/>
    <w:rsid w:val="00F17988"/>
    <w:rsid w:val="00F31584"/>
    <w:rsid w:val="00F422F9"/>
    <w:rsid w:val="00F469F0"/>
    <w:rsid w:val="00F51C0A"/>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72D79B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D51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515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76762F"/>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C67AF7"/>
    <w:rPr>
      <w:b/>
      <w:bCs/>
    </w:rPr>
  </w:style>
  <w:style w:type="character" w:customStyle="1" w:styleId="Heading2Char">
    <w:name w:val="Heading 2 Char"/>
    <w:basedOn w:val="DefaultParagraphFont"/>
    <w:link w:val="Heading2"/>
    <w:semiHidden/>
    <w:rsid w:val="00D5158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D5158D"/>
    <w:rPr>
      <w:rFonts w:asciiTheme="majorHAnsi" w:eastAsiaTheme="majorEastAsia" w:hAnsiTheme="majorHAnsi" w:cstheme="majorBidi"/>
      <w:color w:val="243F60" w:themeColor="accent1" w:themeShade="7F"/>
      <w:sz w:val="24"/>
      <w:szCs w:val="24"/>
    </w:rPr>
  </w:style>
  <w:style w:type="character" w:customStyle="1" w:styleId="katex-mathml">
    <w:name w:val="katex-mathml"/>
    <w:basedOn w:val="DefaultParagraphFont"/>
    <w:rsid w:val="00D5158D"/>
  </w:style>
  <w:style w:type="character" w:customStyle="1" w:styleId="mord">
    <w:name w:val="mord"/>
    <w:basedOn w:val="DefaultParagraphFont"/>
    <w:rsid w:val="00D5158D"/>
  </w:style>
  <w:style w:type="character" w:customStyle="1" w:styleId="mrel">
    <w:name w:val="mrel"/>
    <w:basedOn w:val="DefaultParagraphFont"/>
    <w:rsid w:val="00D5158D"/>
  </w:style>
  <w:style w:type="character" w:customStyle="1" w:styleId="vlist-s">
    <w:name w:val="vlist-s"/>
    <w:basedOn w:val="DefaultParagraphFont"/>
    <w:rsid w:val="00D5158D"/>
  </w:style>
  <w:style w:type="character" w:customStyle="1" w:styleId="mbin">
    <w:name w:val="mbin"/>
    <w:basedOn w:val="DefaultParagraphFont"/>
    <w:rsid w:val="00D5158D"/>
  </w:style>
  <w:style w:type="paragraph" w:styleId="z-TopofForm">
    <w:name w:val="HTML Top of Form"/>
    <w:basedOn w:val="Normal"/>
    <w:next w:val="Normal"/>
    <w:link w:val="z-TopofFormChar"/>
    <w:hidden/>
    <w:uiPriority w:val="99"/>
    <w:semiHidden/>
    <w:unhideWhenUsed/>
    <w:rsid w:val="00D5158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5158D"/>
    <w:rPr>
      <w:rFonts w:ascii="Arial" w:hAnsi="Arial" w:cs="Arial"/>
      <w:vanish/>
      <w:sz w:val="16"/>
      <w:szCs w:val="16"/>
    </w:rPr>
  </w:style>
  <w:style w:type="paragraph" w:customStyle="1" w:styleId="placeholder">
    <w:name w:val="placeholder"/>
    <w:basedOn w:val="Normal"/>
    <w:rsid w:val="00D5158D"/>
    <w:pPr>
      <w:spacing w:before="100" w:beforeAutospacing="1" w:after="100" w:afterAutospacing="1"/>
    </w:pPr>
    <w:rPr>
      <w:rFonts w:ascii="Times New Roman" w:hAnsi="Times New Roman"/>
      <w:sz w:val="24"/>
      <w:szCs w:val="24"/>
    </w:rPr>
  </w:style>
  <w:style w:type="paragraph" w:styleId="z-BottomofForm">
    <w:name w:val="HTML Bottom of Form"/>
    <w:basedOn w:val="Normal"/>
    <w:next w:val="Normal"/>
    <w:link w:val="z-BottomofFormChar"/>
    <w:hidden/>
    <w:uiPriority w:val="99"/>
    <w:semiHidden/>
    <w:unhideWhenUsed/>
    <w:rsid w:val="00D5158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5158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4750369">
      <w:bodyDiv w:val="1"/>
      <w:marLeft w:val="0"/>
      <w:marRight w:val="0"/>
      <w:marTop w:val="0"/>
      <w:marBottom w:val="0"/>
      <w:divBdr>
        <w:top w:val="none" w:sz="0" w:space="0" w:color="auto"/>
        <w:left w:val="none" w:sz="0" w:space="0" w:color="auto"/>
        <w:bottom w:val="none" w:sz="0" w:space="0" w:color="auto"/>
        <w:right w:val="none" w:sz="0" w:space="0" w:color="auto"/>
      </w:divBdr>
    </w:div>
    <w:div w:id="3376635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2287815">
      <w:bodyDiv w:val="1"/>
      <w:marLeft w:val="0"/>
      <w:marRight w:val="0"/>
      <w:marTop w:val="0"/>
      <w:marBottom w:val="0"/>
      <w:divBdr>
        <w:top w:val="none" w:sz="0" w:space="0" w:color="auto"/>
        <w:left w:val="none" w:sz="0" w:space="0" w:color="auto"/>
        <w:bottom w:val="none" w:sz="0" w:space="0" w:color="auto"/>
        <w:right w:val="none" w:sz="0" w:space="0" w:color="auto"/>
      </w:divBdr>
      <w:divsChild>
        <w:div w:id="709498528">
          <w:marLeft w:val="0"/>
          <w:marRight w:val="0"/>
          <w:marTop w:val="0"/>
          <w:marBottom w:val="0"/>
          <w:divBdr>
            <w:top w:val="none" w:sz="0" w:space="0" w:color="auto"/>
            <w:left w:val="none" w:sz="0" w:space="0" w:color="auto"/>
            <w:bottom w:val="none" w:sz="0" w:space="0" w:color="auto"/>
            <w:right w:val="none" w:sz="0" w:space="0" w:color="auto"/>
          </w:divBdr>
          <w:divsChild>
            <w:div w:id="1888029758">
              <w:marLeft w:val="0"/>
              <w:marRight w:val="0"/>
              <w:marTop w:val="0"/>
              <w:marBottom w:val="0"/>
              <w:divBdr>
                <w:top w:val="none" w:sz="0" w:space="0" w:color="auto"/>
                <w:left w:val="none" w:sz="0" w:space="0" w:color="auto"/>
                <w:bottom w:val="none" w:sz="0" w:space="0" w:color="auto"/>
                <w:right w:val="none" w:sz="0" w:space="0" w:color="auto"/>
              </w:divBdr>
              <w:divsChild>
                <w:div w:id="1840122819">
                  <w:marLeft w:val="0"/>
                  <w:marRight w:val="0"/>
                  <w:marTop w:val="0"/>
                  <w:marBottom w:val="0"/>
                  <w:divBdr>
                    <w:top w:val="none" w:sz="0" w:space="0" w:color="auto"/>
                    <w:left w:val="none" w:sz="0" w:space="0" w:color="auto"/>
                    <w:bottom w:val="none" w:sz="0" w:space="0" w:color="auto"/>
                    <w:right w:val="none" w:sz="0" w:space="0" w:color="auto"/>
                  </w:divBdr>
                  <w:divsChild>
                    <w:div w:id="1345402663">
                      <w:marLeft w:val="0"/>
                      <w:marRight w:val="0"/>
                      <w:marTop w:val="0"/>
                      <w:marBottom w:val="0"/>
                      <w:divBdr>
                        <w:top w:val="none" w:sz="0" w:space="0" w:color="auto"/>
                        <w:left w:val="none" w:sz="0" w:space="0" w:color="auto"/>
                        <w:bottom w:val="none" w:sz="0" w:space="0" w:color="auto"/>
                        <w:right w:val="none" w:sz="0" w:space="0" w:color="auto"/>
                      </w:divBdr>
                      <w:divsChild>
                        <w:div w:id="1919905485">
                          <w:marLeft w:val="0"/>
                          <w:marRight w:val="0"/>
                          <w:marTop w:val="0"/>
                          <w:marBottom w:val="0"/>
                          <w:divBdr>
                            <w:top w:val="none" w:sz="0" w:space="0" w:color="auto"/>
                            <w:left w:val="none" w:sz="0" w:space="0" w:color="auto"/>
                            <w:bottom w:val="none" w:sz="0" w:space="0" w:color="auto"/>
                            <w:right w:val="none" w:sz="0" w:space="0" w:color="auto"/>
                          </w:divBdr>
                          <w:divsChild>
                            <w:div w:id="1218975752">
                              <w:marLeft w:val="0"/>
                              <w:marRight w:val="0"/>
                              <w:marTop w:val="0"/>
                              <w:marBottom w:val="0"/>
                              <w:divBdr>
                                <w:top w:val="none" w:sz="0" w:space="0" w:color="auto"/>
                                <w:left w:val="none" w:sz="0" w:space="0" w:color="auto"/>
                                <w:bottom w:val="none" w:sz="0" w:space="0" w:color="auto"/>
                                <w:right w:val="none" w:sz="0" w:space="0" w:color="auto"/>
                              </w:divBdr>
                              <w:divsChild>
                                <w:div w:id="1667250095">
                                  <w:marLeft w:val="0"/>
                                  <w:marRight w:val="0"/>
                                  <w:marTop w:val="0"/>
                                  <w:marBottom w:val="0"/>
                                  <w:divBdr>
                                    <w:top w:val="none" w:sz="0" w:space="0" w:color="auto"/>
                                    <w:left w:val="none" w:sz="0" w:space="0" w:color="auto"/>
                                    <w:bottom w:val="none" w:sz="0" w:space="0" w:color="auto"/>
                                    <w:right w:val="none" w:sz="0" w:space="0" w:color="auto"/>
                                  </w:divBdr>
                                  <w:divsChild>
                                    <w:div w:id="327291598">
                                      <w:marLeft w:val="0"/>
                                      <w:marRight w:val="0"/>
                                      <w:marTop w:val="0"/>
                                      <w:marBottom w:val="0"/>
                                      <w:divBdr>
                                        <w:top w:val="none" w:sz="0" w:space="0" w:color="auto"/>
                                        <w:left w:val="none" w:sz="0" w:space="0" w:color="auto"/>
                                        <w:bottom w:val="none" w:sz="0" w:space="0" w:color="auto"/>
                                        <w:right w:val="none" w:sz="0" w:space="0" w:color="auto"/>
                                      </w:divBdr>
                                      <w:divsChild>
                                        <w:div w:id="4790149">
                                          <w:marLeft w:val="0"/>
                                          <w:marRight w:val="0"/>
                                          <w:marTop w:val="0"/>
                                          <w:marBottom w:val="0"/>
                                          <w:divBdr>
                                            <w:top w:val="none" w:sz="0" w:space="0" w:color="auto"/>
                                            <w:left w:val="none" w:sz="0" w:space="0" w:color="auto"/>
                                            <w:bottom w:val="none" w:sz="0" w:space="0" w:color="auto"/>
                                            <w:right w:val="none" w:sz="0" w:space="0" w:color="auto"/>
                                          </w:divBdr>
                                          <w:divsChild>
                                            <w:div w:id="14017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24623">
                  <w:marLeft w:val="0"/>
                  <w:marRight w:val="0"/>
                  <w:marTop w:val="0"/>
                  <w:marBottom w:val="0"/>
                  <w:divBdr>
                    <w:top w:val="none" w:sz="0" w:space="0" w:color="auto"/>
                    <w:left w:val="none" w:sz="0" w:space="0" w:color="auto"/>
                    <w:bottom w:val="none" w:sz="0" w:space="0" w:color="auto"/>
                    <w:right w:val="none" w:sz="0" w:space="0" w:color="auto"/>
                  </w:divBdr>
                  <w:divsChild>
                    <w:div w:id="1089932335">
                      <w:marLeft w:val="0"/>
                      <w:marRight w:val="0"/>
                      <w:marTop w:val="0"/>
                      <w:marBottom w:val="0"/>
                      <w:divBdr>
                        <w:top w:val="none" w:sz="0" w:space="0" w:color="auto"/>
                        <w:left w:val="none" w:sz="0" w:space="0" w:color="auto"/>
                        <w:bottom w:val="none" w:sz="0" w:space="0" w:color="auto"/>
                        <w:right w:val="none" w:sz="0" w:space="0" w:color="auto"/>
                      </w:divBdr>
                      <w:divsChild>
                        <w:div w:id="1123646174">
                          <w:marLeft w:val="0"/>
                          <w:marRight w:val="0"/>
                          <w:marTop w:val="0"/>
                          <w:marBottom w:val="0"/>
                          <w:divBdr>
                            <w:top w:val="none" w:sz="0" w:space="0" w:color="auto"/>
                            <w:left w:val="none" w:sz="0" w:space="0" w:color="auto"/>
                            <w:bottom w:val="none" w:sz="0" w:space="0" w:color="auto"/>
                            <w:right w:val="none" w:sz="0" w:space="0" w:color="auto"/>
                          </w:divBdr>
                          <w:divsChild>
                            <w:div w:id="236746665">
                              <w:marLeft w:val="0"/>
                              <w:marRight w:val="0"/>
                              <w:marTop w:val="0"/>
                              <w:marBottom w:val="0"/>
                              <w:divBdr>
                                <w:top w:val="none" w:sz="0" w:space="0" w:color="auto"/>
                                <w:left w:val="none" w:sz="0" w:space="0" w:color="auto"/>
                                <w:bottom w:val="none" w:sz="0" w:space="0" w:color="auto"/>
                                <w:right w:val="none" w:sz="0" w:space="0" w:color="auto"/>
                              </w:divBdr>
                              <w:divsChild>
                                <w:div w:id="1521972963">
                                  <w:marLeft w:val="0"/>
                                  <w:marRight w:val="0"/>
                                  <w:marTop w:val="0"/>
                                  <w:marBottom w:val="0"/>
                                  <w:divBdr>
                                    <w:top w:val="none" w:sz="0" w:space="0" w:color="auto"/>
                                    <w:left w:val="none" w:sz="0" w:space="0" w:color="auto"/>
                                    <w:bottom w:val="none" w:sz="0" w:space="0" w:color="auto"/>
                                    <w:right w:val="none" w:sz="0" w:space="0" w:color="auto"/>
                                  </w:divBdr>
                                  <w:divsChild>
                                    <w:div w:id="1021274328">
                                      <w:marLeft w:val="0"/>
                                      <w:marRight w:val="0"/>
                                      <w:marTop w:val="0"/>
                                      <w:marBottom w:val="0"/>
                                      <w:divBdr>
                                        <w:top w:val="none" w:sz="0" w:space="0" w:color="auto"/>
                                        <w:left w:val="none" w:sz="0" w:space="0" w:color="auto"/>
                                        <w:bottom w:val="none" w:sz="0" w:space="0" w:color="auto"/>
                                        <w:right w:val="none" w:sz="0" w:space="0" w:color="auto"/>
                                      </w:divBdr>
                                      <w:divsChild>
                                        <w:div w:id="12898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301170">
                  <w:marLeft w:val="0"/>
                  <w:marRight w:val="0"/>
                  <w:marTop w:val="0"/>
                  <w:marBottom w:val="0"/>
                  <w:divBdr>
                    <w:top w:val="none" w:sz="0" w:space="0" w:color="auto"/>
                    <w:left w:val="none" w:sz="0" w:space="0" w:color="auto"/>
                    <w:bottom w:val="none" w:sz="0" w:space="0" w:color="auto"/>
                    <w:right w:val="none" w:sz="0" w:space="0" w:color="auto"/>
                  </w:divBdr>
                  <w:divsChild>
                    <w:div w:id="1815564864">
                      <w:marLeft w:val="0"/>
                      <w:marRight w:val="0"/>
                      <w:marTop w:val="0"/>
                      <w:marBottom w:val="0"/>
                      <w:divBdr>
                        <w:top w:val="none" w:sz="0" w:space="0" w:color="auto"/>
                        <w:left w:val="none" w:sz="0" w:space="0" w:color="auto"/>
                        <w:bottom w:val="none" w:sz="0" w:space="0" w:color="auto"/>
                        <w:right w:val="none" w:sz="0" w:space="0" w:color="auto"/>
                      </w:divBdr>
                      <w:divsChild>
                        <w:div w:id="711737124">
                          <w:marLeft w:val="0"/>
                          <w:marRight w:val="0"/>
                          <w:marTop w:val="0"/>
                          <w:marBottom w:val="0"/>
                          <w:divBdr>
                            <w:top w:val="none" w:sz="0" w:space="0" w:color="auto"/>
                            <w:left w:val="none" w:sz="0" w:space="0" w:color="auto"/>
                            <w:bottom w:val="none" w:sz="0" w:space="0" w:color="auto"/>
                            <w:right w:val="none" w:sz="0" w:space="0" w:color="auto"/>
                          </w:divBdr>
                          <w:divsChild>
                            <w:div w:id="2058626345">
                              <w:marLeft w:val="0"/>
                              <w:marRight w:val="0"/>
                              <w:marTop w:val="0"/>
                              <w:marBottom w:val="0"/>
                              <w:divBdr>
                                <w:top w:val="none" w:sz="0" w:space="0" w:color="auto"/>
                                <w:left w:val="none" w:sz="0" w:space="0" w:color="auto"/>
                                <w:bottom w:val="none" w:sz="0" w:space="0" w:color="auto"/>
                                <w:right w:val="none" w:sz="0" w:space="0" w:color="auto"/>
                              </w:divBdr>
                              <w:divsChild>
                                <w:div w:id="766661544">
                                  <w:marLeft w:val="0"/>
                                  <w:marRight w:val="0"/>
                                  <w:marTop w:val="0"/>
                                  <w:marBottom w:val="0"/>
                                  <w:divBdr>
                                    <w:top w:val="none" w:sz="0" w:space="0" w:color="auto"/>
                                    <w:left w:val="none" w:sz="0" w:space="0" w:color="auto"/>
                                    <w:bottom w:val="none" w:sz="0" w:space="0" w:color="auto"/>
                                    <w:right w:val="none" w:sz="0" w:space="0" w:color="auto"/>
                                  </w:divBdr>
                                  <w:divsChild>
                                    <w:div w:id="5336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96737">
          <w:marLeft w:val="0"/>
          <w:marRight w:val="0"/>
          <w:marTop w:val="0"/>
          <w:marBottom w:val="0"/>
          <w:divBdr>
            <w:top w:val="none" w:sz="0" w:space="0" w:color="auto"/>
            <w:left w:val="none" w:sz="0" w:space="0" w:color="auto"/>
            <w:bottom w:val="none" w:sz="0" w:space="0" w:color="auto"/>
            <w:right w:val="none" w:sz="0" w:space="0" w:color="auto"/>
          </w:divBdr>
          <w:divsChild>
            <w:div w:id="596908844">
              <w:marLeft w:val="0"/>
              <w:marRight w:val="0"/>
              <w:marTop w:val="0"/>
              <w:marBottom w:val="0"/>
              <w:divBdr>
                <w:top w:val="none" w:sz="0" w:space="0" w:color="auto"/>
                <w:left w:val="none" w:sz="0" w:space="0" w:color="auto"/>
                <w:bottom w:val="none" w:sz="0" w:space="0" w:color="auto"/>
                <w:right w:val="none" w:sz="0" w:space="0" w:color="auto"/>
              </w:divBdr>
              <w:divsChild>
                <w:div w:id="672683045">
                  <w:marLeft w:val="0"/>
                  <w:marRight w:val="0"/>
                  <w:marTop w:val="0"/>
                  <w:marBottom w:val="0"/>
                  <w:divBdr>
                    <w:top w:val="none" w:sz="0" w:space="0" w:color="auto"/>
                    <w:left w:val="none" w:sz="0" w:space="0" w:color="auto"/>
                    <w:bottom w:val="none" w:sz="0" w:space="0" w:color="auto"/>
                    <w:right w:val="none" w:sz="0" w:space="0" w:color="auto"/>
                  </w:divBdr>
                  <w:divsChild>
                    <w:div w:id="185756524">
                      <w:marLeft w:val="0"/>
                      <w:marRight w:val="0"/>
                      <w:marTop w:val="0"/>
                      <w:marBottom w:val="0"/>
                      <w:divBdr>
                        <w:top w:val="none" w:sz="0" w:space="0" w:color="auto"/>
                        <w:left w:val="none" w:sz="0" w:space="0" w:color="auto"/>
                        <w:bottom w:val="none" w:sz="0" w:space="0" w:color="auto"/>
                        <w:right w:val="none" w:sz="0" w:space="0" w:color="auto"/>
                      </w:divBdr>
                      <w:divsChild>
                        <w:div w:id="404257954">
                          <w:marLeft w:val="0"/>
                          <w:marRight w:val="0"/>
                          <w:marTop w:val="0"/>
                          <w:marBottom w:val="0"/>
                          <w:divBdr>
                            <w:top w:val="none" w:sz="0" w:space="0" w:color="auto"/>
                            <w:left w:val="none" w:sz="0" w:space="0" w:color="auto"/>
                            <w:bottom w:val="none" w:sz="0" w:space="0" w:color="auto"/>
                            <w:right w:val="none" w:sz="0" w:space="0" w:color="auto"/>
                          </w:divBdr>
                          <w:divsChild>
                            <w:div w:id="1230070431">
                              <w:marLeft w:val="0"/>
                              <w:marRight w:val="0"/>
                              <w:marTop w:val="0"/>
                              <w:marBottom w:val="0"/>
                              <w:divBdr>
                                <w:top w:val="none" w:sz="0" w:space="0" w:color="auto"/>
                                <w:left w:val="none" w:sz="0" w:space="0" w:color="auto"/>
                                <w:bottom w:val="none" w:sz="0" w:space="0" w:color="auto"/>
                                <w:right w:val="none" w:sz="0" w:space="0" w:color="auto"/>
                              </w:divBdr>
                              <w:divsChild>
                                <w:div w:id="634065529">
                                  <w:marLeft w:val="0"/>
                                  <w:marRight w:val="0"/>
                                  <w:marTop w:val="0"/>
                                  <w:marBottom w:val="0"/>
                                  <w:divBdr>
                                    <w:top w:val="none" w:sz="0" w:space="0" w:color="auto"/>
                                    <w:left w:val="none" w:sz="0" w:space="0" w:color="auto"/>
                                    <w:bottom w:val="none" w:sz="0" w:space="0" w:color="auto"/>
                                    <w:right w:val="none" w:sz="0" w:space="0" w:color="auto"/>
                                  </w:divBdr>
                                  <w:divsChild>
                                    <w:div w:id="134950749">
                                      <w:marLeft w:val="0"/>
                                      <w:marRight w:val="0"/>
                                      <w:marTop w:val="0"/>
                                      <w:marBottom w:val="0"/>
                                      <w:divBdr>
                                        <w:top w:val="none" w:sz="0" w:space="0" w:color="auto"/>
                                        <w:left w:val="none" w:sz="0" w:space="0" w:color="auto"/>
                                        <w:bottom w:val="none" w:sz="0" w:space="0" w:color="auto"/>
                                        <w:right w:val="none" w:sz="0" w:space="0" w:color="auto"/>
                                      </w:divBdr>
                                      <w:divsChild>
                                        <w:div w:id="1295595330">
                                          <w:marLeft w:val="0"/>
                                          <w:marRight w:val="0"/>
                                          <w:marTop w:val="0"/>
                                          <w:marBottom w:val="0"/>
                                          <w:divBdr>
                                            <w:top w:val="none" w:sz="0" w:space="0" w:color="auto"/>
                                            <w:left w:val="none" w:sz="0" w:space="0" w:color="auto"/>
                                            <w:bottom w:val="none" w:sz="0" w:space="0" w:color="auto"/>
                                            <w:right w:val="none" w:sz="0" w:space="0" w:color="auto"/>
                                          </w:divBdr>
                                          <w:divsChild>
                                            <w:div w:id="1960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027933">
      <w:bodyDiv w:val="1"/>
      <w:marLeft w:val="0"/>
      <w:marRight w:val="0"/>
      <w:marTop w:val="0"/>
      <w:marBottom w:val="0"/>
      <w:divBdr>
        <w:top w:val="none" w:sz="0" w:space="0" w:color="auto"/>
        <w:left w:val="none" w:sz="0" w:space="0" w:color="auto"/>
        <w:bottom w:val="none" w:sz="0" w:space="0" w:color="auto"/>
        <w:right w:val="none" w:sz="0" w:space="0" w:color="auto"/>
      </w:divBdr>
    </w:div>
    <w:div w:id="12297302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731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90/app1113602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doi.org/10.1002/cbdv.2025009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1039/D5RA07357J"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65B70-0BE8-4A60-9E91-B36AF9CB5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9</Pages>
  <Words>3158</Words>
  <Characters>18004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21120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11</cp:revision>
  <cp:lastPrinted>1999-07-06T11:00:00Z</cp:lastPrinted>
  <dcterms:created xsi:type="dcterms:W3CDTF">2026-02-15T07:39:00Z</dcterms:created>
  <dcterms:modified xsi:type="dcterms:W3CDTF">2026-02-15T07:40:00Z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0c643f62-cf45-4717-a088-0c81f9120cb0</vt:lpwstr>
  </property>
</Properties>
</file>