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63CD3" w14:textId="77777777" w:rsidR="00754C9A" w:rsidRDefault="00754C9A" w:rsidP="00441B6F">
      <w:pPr>
        <w:pStyle w:val="Title"/>
        <w:spacing w:after="0"/>
        <w:jc w:val="both"/>
        <w:rPr>
          <w:rFonts w:ascii="Arial" w:hAnsi="Arial" w:cs="Arial"/>
        </w:rPr>
      </w:pPr>
    </w:p>
    <w:p w14:paraId="1A0853EE" w14:textId="77777777" w:rsidR="00A258C3" w:rsidRPr="00790ADA" w:rsidRDefault="00C6653B" w:rsidP="00C6653B">
      <w:pPr>
        <w:pStyle w:val="Author"/>
        <w:spacing w:line="240" w:lineRule="auto"/>
        <w:rPr>
          <w:rFonts w:ascii="Arial" w:hAnsi="Arial" w:cs="Arial"/>
          <w:sz w:val="36"/>
        </w:rPr>
      </w:pPr>
      <w:r w:rsidRPr="00C6653B">
        <w:rPr>
          <w:rFonts w:ascii="Arial" w:hAnsi="Arial" w:cs="Arial"/>
          <w:bCs/>
          <w:iCs/>
          <w:kern w:val="28"/>
          <w:sz w:val="36"/>
        </w:rPr>
        <w:t xml:space="preserve">The effect of different magnetic field orientation to the early stage growth dynamics of </w:t>
      </w:r>
      <w:proofErr w:type="spellStart"/>
      <w:r w:rsidRPr="00C6653B">
        <w:rPr>
          <w:rFonts w:ascii="Arial" w:hAnsi="Arial" w:cs="Arial"/>
          <w:bCs/>
          <w:iCs/>
          <w:kern w:val="28"/>
          <w:sz w:val="36"/>
        </w:rPr>
        <w:t>magnetoprimed</w:t>
      </w:r>
      <w:proofErr w:type="spellEnd"/>
      <w:r w:rsidRPr="00C6653B">
        <w:rPr>
          <w:rFonts w:ascii="Arial" w:hAnsi="Arial" w:cs="Arial"/>
          <w:bCs/>
          <w:iCs/>
          <w:kern w:val="28"/>
          <w:sz w:val="36"/>
        </w:rPr>
        <w:t xml:space="preserve"> </w:t>
      </w:r>
      <w:r w:rsidRPr="00D47E06">
        <w:rPr>
          <w:rFonts w:ascii="Arial" w:hAnsi="Arial" w:cs="Arial"/>
          <w:bCs/>
          <w:i/>
          <w:iCs/>
          <w:kern w:val="28"/>
          <w:sz w:val="36"/>
        </w:rPr>
        <w:t xml:space="preserve">Brassica </w:t>
      </w:r>
      <w:proofErr w:type="spellStart"/>
      <w:r w:rsidRPr="00D47E06">
        <w:rPr>
          <w:rFonts w:ascii="Arial" w:hAnsi="Arial" w:cs="Arial"/>
          <w:bCs/>
          <w:i/>
          <w:iCs/>
          <w:kern w:val="28"/>
          <w:sz w:val="36"/>
        </w:rPr>
        <w:t>rapa</w:t>
      </w:r>
      <w:proofErr w:type="spellEnd"/>
    </w:p>
    <w:p w14:paraId="2C1C89C8" w14:textId="77777777" w:rsidR="00790ADA" w:rsidRDefault="00790ADA" w:rsidP="00441B6F">
      <w:pPr>
        <w:pStyle w:val="Affiliation"/>
        <w:spacing w:after="0" w:line="240" w:lineRule="auto"/>
        <w:jc w:val="both"/>
        <w:rPr>
          <w:rFonts w:ascii="Arial" w:hAnsi="Arial" w:cs="Arial"/>
        </w:rPr>
      </w:pPr>
    </w:p>
    <w:p w14:paraId="5DDE93BF" w14:textId="77777777" w:rsidR="002C57D2" w:rsidRPr="00FB3A86" w:rsidRDefault="002C57D2" w:rsidP="00441B6F">
      <w:pPr>
        <w:pStyle w:val="Affiliation"/>
        <w:spacing w:after="0" w:line="240" w:lineRule="auto"/>
        <w:jc w:val="both"/>
        <w:rPr>
          <w:rFonts w:ascii="Arial" w:hAnsi="Arial" w:cs="Arial"/>
        </w:rPr>
      </w:pPr>
    </w:p>
    <w:p w14:paraId="3ED6FB46" w14:textId="77777777" w:rsidR="00B01FCD" w:rsidRPr="00FB3A86" w:rsidRDefault="00C6653B" w:rsidP="00441B6F">
      <w:pPr>
        <w:pStyle w:val="Copyright"/>
        <w:spacing w:after="0" w:line="240" w:lineRule="auto"/>
        <w:jc w:val="both"/>
        <w:rPr>
          <w:rFonts w:ascii="Arial" w:hAnsi="Arial" w:cs="Arial"/>
        </w:rPr>
        <w:sectPr w:rsidR="00B01FCD" w:rsidRPr="00FB3A86" w:rsidSect="00F635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52E1639" wp14:editId="04178996">
                <wp:extent cx="5303520" cy="635"/>
                <wp:effectExtent l="0" t="12700" r="5080"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F0C8A6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" strokeweight="1.5pt">
                <o:lock v:ext="edit" shapetype="f"/>
                <w10:anchorlock/>
              </v:shape>
            </w:pict>
          </mc:Fallback>
        </mc:AlternateContent>
      </w:r>
      <w:r w:rsidR="00FB3A86">
        <w:rPr>
          <w:rFonts w:ascii="Arial" w:hAnsi="Arial" w:cs="Arial"/>
        </w:rPr>
        <w:t>.</w:t>
      </w:r>
    </w:p>
    <w:p w14:paraId="5872940E"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EA6BEF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588C5EB" w14:textId="77777777" w:rsidTr="001E44FE">
        <w:tc>
          <w:tcPr>
            <w:tcW w:w="9576" w:type="dxa"/>
            <w:shd w:val="clear" w:color="auto" w:fill="F2F2F2"/>
          </w:tcPr>
          <w:p w14:paraId="1DF805EF" w14:textId="77777777" w:rsidR="00C6653B" w:rsidRPr="00C6653B" w:rsidRDefault="00C6653B" w:rsidP="00C6653B">
            <w:pPr>
              <w:pStyle w:val="Body"/>
              <w:spacing w:after="0"/>
              <w:rPr>
                <w:rFonts w:ascii="Arial" w:eastAsia="Calibri" w:hAnsi="Arial" w:cs="Arial"/>
                <w:szCs w:val="22"/>
              </w:rPr>
            </w:pPr>
            <w:r w:rsidRPr="00BA1B01">
              <w:rPr>
                <w:rFonts w:ascii="Arial" w:eastAsia="Calibri" w:hAnsi="Arial" w:cs="Arial"/>
                <w:b/>
                <w:szCs w:val="22"/>
              </w:rPr>
              <w:t xml:space="preserve">Aims: </w:t>
            </w:r>
            <w:r>
              <w:rPr>
                <w:rFonts w:ascii="Arial" w:eastAsia="Calibri" w:hAnsi="Arial" w:cs="Arial"/>
                <w:szCs w:val="22"/>
              </w:rPr>
              <w:t xml:space="preserve">This study explores the difference in the germination dynamics of </w:t>
            </w:r>
            <w:r>
              <w:rPr>
                <w:rFonts w:ascii="Arial" w:eastAsia="Calibri" w:hAnsi="Arial" w:cs="Arial"/>
                <w:i/>
                <w:szCs w:val="22"/>
              </w:rPr>
              <w:t xml:space="preserve">Brassica rapa </w:t>
            </w:r>
            <w:r>
              <w:rPr>
                <w:rFonts w:ascii="Arial" w:eastAsia="Calibri" w:hAnsi="Arial" w:cs="Arial"/>
                <w:szCs w:val="22"/>
              </w:rPr>
              <w:t xml:space="preserve">seeds as exposed to different magnetic field orientation during </w:t>
            </w:r>
            <w:proofErr w:type="spellStart"/>
            <w:r>
              <w:rPr>
                <w:rFonts w:ascii="Arial" w:eastAsia="Calibri" w:hAnsi="Arial" w:cs="Arial"/>
                <w:szCs w:val="22"/>
              </w:rPr>
              <w:t>magnetopriming</w:t>
            </w:r>
            <w:proofErr w:type="spellEnd"/>
            <w:r>
              <w:rPr>
                <w:rFonts w:ascii="Arial" w:eastAsia="Calibri" w:hAnsi="Arial" w:cs="Arial"/>
                <w:szCs w:val="22"/>
              </w:rPr>
              <w:t>.</w:t>
            </w:r>
          </w:p>
          <w:p w14:paraId="4F086842" w14:textId="77777777" w:rsidR="00C6653B" w:rsidRDefault="00C6653B" w:rsidP="00441B6F">
            <w:pPr>
              <w:pStyle w:val="Body"/>
              <w:spacing w:after="0"/>
              <w:rPr>
                <w:rFonts w:ascii="Arial" w:eastAsia="Calibri" w:hAnsi="Arial" w:cs="Arial"/>
                <w:szCs w:val="22"/>
              </w:rPr>
            </w:pPr>
            <w:r w:rsidRPr="00C6653B">
              <w:rPr>
                <w:rFonts w:ascii="Arial" w:eastAsia="Calibri" w:hAnsi="Arial" w:cs="Arial"/>
                <w:b/>
                <w:szCs w:val="22"/>
              </w:rPr>
              <w:t>Place and Duration of Study:</w:t>
            </w:r>
            <w:r>
              <w:rPr>
                <w:rFonts w:ascii="Arial" w:eastAsia="Calibri" w:hAnsi="Arial" w:cs="Arial"/>
                <w:szCs w:val="22"/>
              </w:rPr>
              <w:t xml:space="preserve"> Central Mindanao University (Bukidnon, Philippines) and Cebu Normal University (Cebu, Philippines), between September to October 2024.</w:t>
            </w:r>
          </w:p>
          <w:p w14:paraId="10947BEE" w14:textId="3D3755D2" w:rsidR="00C6653B" w:rsidRDefault="00C6653B" w:rsidP="00C6653B">
            <w:pPr>
              <w:pStyle w:val="Body"/>
              <w:spacing w:after="0"/>
              <w:rPr>
                <w:rFonts w:ascii="Arial" w:eastAsia="Calibri" w:hAnsi="Arial" w:cs="Arial"/>
                <w:szCs w:val="22"/>
              </w:rPr>
            </w:pPr>
            <w:r w:rsidRPr="00C6653B">
              <w:rPr>
                <w:rFonts w:ascii="Arial" w:eastAsia="Calibri" w:hAnsi="Arial" w:cs="Arial"/>
                <w:b/>
                <w:szCs w:val="22"/>
              </w:rPr>
              <w:t>Methodology</w:t>
            </w:r>
            <w:r>
              <w:rPr>
                <w:rFonts w:ascii="Arial" w:eastAsia="Calibri" w:hAnsi="Arial" w:cs="Arial"/>
                <w:szCs w:val="22"/>
              </w:rPr>
              <w:t xml:space="preserve">: </w:t>
            </w:r>
            <w:r w:rsidRPr="00C6653B">
              <w:rPr>
                <w:rFonts w:ascii="Arial" w:eastAsia="Calibri" w:hAnsi="Arial" w:cs="Arial"/>
                <w:szCs w:val="22"/>
              </w:rPr>
              <w:t xml:space="preserve">Seeds of </w:t>
            </w:r>
            <w:r w:rsidRPr="00C6653B">
              <w:rPr>
                <w:rFonts w:ascii="Arial" w:eastAsia="Calibri" w:hAnsi="Arial" w:cs="Arial"/>
                <w:i/>
                <w:szCs w:val="22"/>
              </w:rPr>
              <w:t>B</w:t>
            </w:r>
            <w:r>
              <w:rPr>
                <w:rFonts w:ascii="Arial" w:eastAsia="Calibri" w:hAnsi="Arial" w:cs="Arial"/>
                <w:i/>
                <w:szCs w:val="22"/>
              </w:rPr>
              <w:t>.</w:t>
            </w:r>
            <w:r w:rsidRPr="00C6653B">
              <w:rPr>
                <w:rFonts w:ascii="Arial" w:eastAsia="Calibri" w:hAnsi="Arial" w:cs="Arial"/>
                <w:i/>
                <w:szCs w:val="22"/>
              </w:rPr>
              <w:t xml:space="preserve"> rapa</w:t>
            </w:r>
            <w:r w:rsidRPr="00C6653B">
              <w:rPr>
                <w:rFonts w:ascii="Arial" w:eastAsia="Calibri" w:hAnsi="Arial" w:cs="Arial"/>
                <w:szCs w:val="22"/>
              </w:rPr>
              <w:t xml:space="preserve"> were exposed to either north or south magnetic poles of neodymium magnets</w:t>
            </w:r>
            <w:r w:rsidR="0056224C">
              <w:rPr>
                <w:rFonts w:ascii="Arial" w:eastAsia="Calibri" w:hAnsi="Arial" w:cs="Arial"/>
                <w:szCs w:val="22"/>
              </w:rPr>
              <w:t xml:space="preserve"> (87.2 </w:t>
            </w:r>
            <w:proofErr w:type="spellStart"/>
            <w:r w:rsidR="0056224C">
              <w:rPr>
                <w:rFonts w:ascii="Arial" w:eastAsia="Calibri" w:hAnsi="Arial" w:cs="Arial"/>
                <w:szCs w:val="22"/>
              </w:rPr>
              <w:t>mT</w:t>
            </w:r>
            <w:proofErr w:type="spellEnd"/>
            <w:r w:rsidR="0056224C">
              <w:rPr>
                <w:rFonts w:ascii="Arial" w:eastAsia="Calibri" w:hAnsi="Arial" w:cs="Arial"/>
                <w:szCs w:val="22"/>
              </w:rPr>
              <w:t>)</w:t>
            </w:r>
            <w:r w:rsidRPr="00C6653B">
              <w:rPr>
                <w:rFonts w:ascii="Arial" w:eastAsia="Calibri" w:hAnsi="Arial" w:cs="Arial"/>
                <w:szCs w:val="22"/>
              </w:rPr>
              <w:t xml:space="preserve"> for 6 h, 12 h, and 24 h</w:t>
            </w:r>
            <w:r w:rsidR="00BA31BB">
              <w:rPr>
                <w:rFonts w:ascii="Arial" w:eastAsia="Calibri" w:hAnsi="Arial" w:cs="Arial"/>
                <w:szCs w:val="22"/>
              </w:rPr>
              <w:t xml:space="preserve"> (1</w:t>
            </w:r>
            <w:r w:rsidR="0034171C">
              <w:rPr>
                <w:rFonts w:ascii="Arial" w:eastAsia="Calibri" w:hAnsi="Arial" w:cs="Arial"/>
                <w:szCs w:val="22"/>
              </w:rPr>
              <w:t>5</w:t>
            </w:r>
            <w:r w:rsidR="00BA31BB">
              <w:rPr>
                <w:rFonts w:ascii="Arial" w:eastAsia="Calibri" w:hAnsi="Arial" w:cs="Arial"/>
                <w:szCs w:val="22"/>
              </w:rPr>
              <w:t>0 seeds per treatment and for control)</w:t>
            </w:r>
            <w:r w:rsidRPr="00C6653B">
              <w:rPr>
                <w:rFonts w:ascii="Arial" w:eastAsia="Calibri" w:hAnsi="Arial" w:cs="Arial"/>
                <w:szCs w:val="22"/>
              </w:rPr>
              <w:t>; these seeds were then germinated and were assessed for growth parameters.</w:t>
            </w:r>
            <w:r>
              <w:rPr>
                <w:rFonts w:ascii="Arial" w:eastAsia="Calibri" w:hAnsi="Arial" w:cs="Arial"/>
                <w:szCs w:val="22"/>
              </w:rPr>
              <w:t xml:space="preserve"> Microscopic assessments were made after 24 h and 48 h, while daily root and shoot length measurements were taken daily from day 3-7. Analysis of variance as well as Tukey’s post hoc analysis were employed in determining statistical difference.</w:t>
            </w:r>
          </w:p>
          <w:p w14:paraId="2B6305AC" w14:textId="77777777" w:rsidR="00C6653B" w:rsidRDefault="00C6653B" w:rsidP="00C6653B">
            <w:pPr>
              <w:pStyle w:val="Body"/>
              <w:spacing w:after="0"/>
              <w:rPr>
                <w:rFonts w:ascii="Arial" w:eastAsia="Calibri" w:hAnsi="Arial" w:cs="Arial"/>
                <w:szCs w:val="22"/>
              </w:rPr>
            </w:pPr>
            <w:r w:rsidRPr="00C6653B">
              <w:rPr>
                <w:rFonts w:ascii="Arial" w:eastAsia="Calibri" w:hAnsi="Arial" w:cs="Arial"/>
                <w:b/>
                <w:szCs w:val="22"/>
              </w:rPr>
              <w:t>Results</w:t>
            </w:r>
            <w:r>
              <w:rPr>
                <w:rFonts w:ascii="Arial" w:eastAsia="Calibri" w:hAnsi="Arial" w:cs="Arial"/>
                <w:szCs w:val="22"/>
              </w:rPr>
              <w:t xml:space="preserve">: </w:t>
            </w:r>
            <w:r w:rsidRPr="00C6653B">
              <w:rPr>
                <w:rFonts w:ascii="Arial" w:eastAsia="Calibri" w:hAnsi="Arial" w:cs="Arial"/>
                <w:szCs w:val="22"/>
              </w:rPr>
              <w:t>Results showed that north-primed seeds had longer hypocotyls and primary roots in the first 48 h, particularly those exposed for 6 h and 12 h. Though there were multiple changes in the dynamics of shoot and root lengths between days 3 through 7, 12 h north-primed and 24 h south-primed seeds were consistently shorter throughout this timeframe. These changes in dynamics were traced to be statistically significant. Also, more significant measurement changes in roots than shoots in the first four days, while it reverses in the last two days.</w:t>
            </w:r>
          </w:p>
          <w:p w14:paraId="10DD5168" w14:textId="665FBE6F" w:rsidR="00505F06" w:rsidRPr="00BA1B01" w:rsidRDefault="00C6653B" w:rsidP="00441B6F">
            <w:pPr>
              <w:pStyle w:val="Body"/>
              <w:spacing w:after="0"/>
              <w:rPr>
                <w:rFonts w:ascii="Arial" w:eastAsia="Calibri" w:hAnsi="Arial" w:cs="Arial"/>
                <w:szCs w:val="22"/>
              </w:rPr>
            </w:pPr>
            <w:r w:rsidRPr="00C6653B">
              <w:rPr>
                <w:rFonts w:ascii="Arial" w:eastAsia="Calibri" w:hAnsi="Arial" w:cs="Arial"/>
                <w:b/>
                <w:szCs w:val="22"/>
              </w:rPr>
              <w:t>Conclusion</w:t>
            </w:r>
            <w:r>
              <w:rPr>
                <w:rFonts w:ascii="Arial" w:eastAsia="Calibri" w:hAnsi="Arial" w:cs="Arial"/>
                <w:szCs w:val="22"/>
              </w:rPr>
              <w:t xml:space="preserve">: </w:t>
            </w:r>
            <w:r w:rsidRPr="00C6653B">
              <w:rPr>
                <w:rFonts w:ascii="Arial" w:eastAsia="Calibri" w:hAnsi="Arial" w:cs="Arial"/>
                <w:szCs w:val="22"/>
              </w:rPr>
              <w:t xml:space="preserve">The differences between various treatments and control groups implies that magnetic orientation and time exposure can influence the dynamics of developmental changes at this growth stage in </w:t>
            </w:r>
            <w:r w:rsidRPr="00C6653B">
              <w:rPr>
                <w:rFonts w:ascii="Arial" w:eastAsia="Calibri" w:hAnsi="Arial" w:cs="Arial"/>
                <w:i/>
                <w:szCs w:val="22"/>
              </w:rPr>
              <w:t xml:space="preserve">B. </w:t>
            </w:r>
            <w:proofErr w:type="spellStart"/>
            <w:r w:rsidRPr="00C6653B">
              <w:rPr>
                <w:rFonts w:ascii="Arial" w:eastAsia="Calibri" w:hAnsi="Arial" w:cs="Arial"/>
                <w:i/>
                <w:szCs w:val="22"/>
              </w:rPr>
              <w:t>rapa</w:t>
            </w:r>
            <w:proofErr w:type="spellEnd"/>
            <w:r w:rsidR="0056224C">
              <w:rPr>
                <w:rFonts w:ascii="Arial" w:eastAsia="Calibri" w:hAnsi="Arial" w:cs="Arial"/>
                <w:i/>
                <w:szCs w:val="22"/>
              </w:rPr>
              <w:t xml:space="preserve"> </w:t>
            </w:r>
            <w:r w:rsidR="0056224C">
              <w:rPr>
                <w:rFonts w:ascii="Arial" w:eastAsia="Calibri" w:hAnsi="Arial" w:cs="Arial"/>
                <w:szCs w:val="22"/>
              </w:rPr>
              <w:t>which can further implicate that such approach can be efficient in improving crop yield</w:t>
            </w:r>
            <w:r w:rsidRPr="00C6653B">
              <w:rPr>
                <w:rFonts w:ascii="Arial" w:eastAsia="Calibri" w:hAnsi="Arial" w:cs="Arial"/>
                <w:szCs w:val="22"/>
              </w:rPr>
              <w:t>.</w:t>
            </w:r>
            <w:r w:rsidR="00BA31BB">
              <w:rPr>
                <w:rFonts w:ascii="Arial" w:eastAsia="Calibri" w:hAnsi="Arial" w:cs="Arial"/>
                <w:szCs w:val="22"/>
              </w:rPr>
              <w:t xml:space="preserve"> Changes in the seeds’ biomolecular structures when exposed to magnetic fields are the primary causes of the observed differences in magnetically treated seeds.</w:t>
            </w:r>
            <w:r w:rsidRPr="00C6653B">
              <w:rPr>
                <w:rFonts w:ascii="Arial" w:eastAsia="Calibri" w:hAnsi="Arial" w:cs="Arial"/>
                <w:szCs w:val="22"/>
              </w:rPr>
              <w:t xml:space="preserve"> Similar studies using different crops are hereby recommended.</w:t>
            </w:r>
          </w:p>
        </w:tc>
      </w:tr>
    </w:tbl>
    <w:p w14:paraId="3B1D989F" w14:textId="77777777" w:rsidR="00636EB2" w:rsidRDefault="00636EB2" w:rsidP="00441B6F">
      <w:pPr>
        <w:pStyle w:val="Body"/>
        <w:spacing w:after="0"/>
        <w:rPr>
          <w:rFonts w:ascii="Arial" w:hAnsi="Arial" w:cs="Arial"/>
          <w:i/>
        </w:rPr>
      </w:pPr>
    </w:p>
    <w:p w14:paraId="7974D3D7" w14:textId="77777777" w:rsidR="00A24E7E" w:rsidRDefault="00A24E7E" w:rsidP="00441B6F">
      <w:pPr>
        <w:pStyle w:val="Body"/>
        <w:spacing w:after="0"/>
        <w:rPr>
          <w:rFonts w:ascii="Arial" w:hAnsi="Arial" w:cs="Arial"/>
          <w:i/>
        </w:rPr>
      </w:pPr>
      <w:r>
        <w:rPr>
          <w:rFonts w:ascii="Arial" w:hAnsi="Arial" w:cs="Arial"/>
          <w:i/>
        </w:rPr>
        <w:t xml:space="preserve">Keywords: </w:t>
      </w:r>
      <w:r w:rsidR="00C6653B" w:rsidRPr="00C6653B">
        <w:rPr>
          <w:rFonts w:ascii="Arial" w:hAnsi="Arial" w:cs="Arial"/>
        </w:rPr>
        <w:t>Brassica rapa</w:t>
      </w:r>
      <w:r w:rsidR="00C6653B" w:rsidRPr="00C6653B">
        <w:rPr>
          <w:rFonts w:ascii="Arial" w:hAnsi="Arial" w:cs="Arial"/>
          <w:i/>
        </w:rPr>
        <w:t>, germination, magnetic field orientation, static magnetic field</w:t>
      </w:r>
    </w:p>
    <w:p w14:paraId="11EFD545" w14:textId="77777777" w:rsidR="00790ADA" w:rsidRDefault="00790ADA" w:rsidP="00441B6F">
      <w:pPr>
        <w:pStyle w:val="Body"/>
        <w:spacing w:after="0"/>
        <w:rPr>
          <w:rFonts w:ascii="Arial" w:hAnsi="Arial" w:cs="Arial"/>
          <w:i/>
        </w:rPr>
      </w:pPr>
    </w:p>
    <w:p w14:paraId="38D57CC7" w14:textId="77777777" w:rsidR="00505F06" w:rsidRPr="00A24E7E" w:rsidRDefault="00505F06" w:rsidP="00441B6F">
      <w:pPr>
        <w:pStyle w:val="Body"/>
        <w:spacing w:after="0"/>
        <w:rPr>
          <w:rFonts w:ascii="Arial" w:hAnsi="Arial" w:cs="Arial"/>
          <w:i/>
        </w:rPr>
      </w:pPr>
    </w:p>
    <w:p w14:paraId="7120A76C"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CC3BEDE" w14:textId="77777777" w:rsidR="00C6653B" w:rsidRPr="00FB3A86" w:rsidRDefault="00C6653B" w:rsidP="00441B6F">
      <w:pPr>
        <w:pStyle w:val="AbstHead"/>
        <w:spacing w:after="0"/>
        <w:jc w:val="both"/>
        <w:rPr>
          <w:rFonts w:ascii="Arial" w:hAnsi="Arial" w:cs="Arial"/>
        </w:rPr>
      </w:pPr>
    </w:p>
    <w:p w14:paraId="4C7DFC07" w14:textId="77777777" w:rsidR="00C6653B" w:rsidRPr="00C6653B" w:rsidRDefault="00C6653B" w:rsidP="00C6653B">
      <w:pPr>
        <w:pStyle w:val="Body"/>
        <w:rPr>
          <w:rFonts w:ascii="Arial" w:hAnsi="Arial" w:cs="Arial"/>
        </w:rPr>
      </w:pPr>
      <w:r w:rsidRPr="00C6653B">
        <w:rPr>
          <w:rFonts w:ascii="Arial" w:hAnsi="Arial" w:cs="Arial"/>
        </w:rPr>
        <w:t xml:space="preserve">One of the emerging fields in biology is </w:t>
      </w:r>
      <w:proofErr w:type="spellStart"/>
      <w:r w:rsidRPr="00C6653B">
        <w:rPr>
          <w:rFonts w:ascii="Arial" w:hAnsi="Arial" w:cs="Arial"/>
        </w:rPr>
        <w:t>magnetobiology</w:t>
      </w:r>
      <w:proofErr w:type="spellEnd"/>
      <w:r w:rsidRPr="00C6653B">
        <w:rPr>
          <w:rFonts w:ascii="Arial" w:hAnsi="Arial" w:cs="Arial"/>
        </w:rPr>
        <w:t xml:space="preserve"> where distinct responses of different organisms are being studied. This field invokes concepts in physics, biology and even chemistry. In </w:t>
      </w:r>
      <w:proofErr w:type="spellStart"/>
      <w:r w:rsidRPr="00C6653B">
        <w:rPr>
          <w:rFonts w:ascii="Arial" w:hAnsi="Arial" w:cs="Arial"/>
        </w:rPr>
        <w:t>magnetobiological</w:t>
      </w:r>
      <w:proofErr w:type="spellEnd"/>
      <w:r w:rsidRPr="00C6653B">
        <w:rPr>
          <w:rFonts w:ascii="Arial" w:hAnsi="Arial" w:cs="Arial"/>
        </w:rPr>
        <w:t xml:space="preserve"> studies, different organisms are subjected to magnetic field intensities that are usually higher than the earth’s magnetic field. According to Volpe (2014), the response of biological systems to magnetic field is dependent on the organism’s complexities and that it affects macro and </w:t>
      </w:r>
      <w:proofErr w:type="spellStart"/>
      <w:r w:rsidRPr="00C6653B">
        <w:rPr>
          <w:rFonts w:ascii="Arial" w:hAnsi="Arial" w:cs="Arial"/>
        </w:rPr>
        <w:t>micromolecules</w:t>
      </w:r>
      <w:proofErr w:type="spellEnd"/>
      <w:r w:rsidRPr="00C6653B">
        <w:rPr>
          <w:rFonts w:ascii="Arial" w:hAnsi="Arial" w:cs="Arial"/>
        </w:rPr>
        <w:t xml:space="preserve">, ions, cells and tissues. There are already known various applications of the different techniques and strategies developed in </w:t>
      </w:r>
      <w:proofErr w:type="spellStart"/>
      <w:r w:rsidRPr="00C6653B">
        <w:rPr>
          <w:rFonts w:ascii="Arial" w:hAnsi="Arial" w:cs="Arial"/>
        </w:rPr>
        <w:t>magnetobiology</w:t>
      </w:r>
      <w:proofErr w:type="spellEnd"/>
      <w:r w:rsidRPr="00C6653B">
        <w:rPr>
          <w:rFonts w:ascii="Arial" w:hAnsi="Arial" w:cs="Arial"/>
        </w:rPr>
        <w:t xml:space="preserve"> particularly in medicine and agriculture (</w:t>
      </w:r>
      <w:proofErr w:type="spellStart"/>
      <w:r w:rsidRPr="00C6653B">
        <w:rPr>
          <w:rFonts w:ascii="Arial" w:hAnsi="Arial" w:cs="Arial"/>
        </w:rPr>
        <w:t>Liboff</w:t>
      </w:r>
      <w:proofErr w:type="spellEnd"/>
      <w:r w:rsidRPr="00C6653B">
        <w:rPr>
          <w:rFonts w:ascii="Arial" w:hAnsi="Arial" w:cs="Arial"/>
        </w:rPr>
        <w:t xml:space="preserve">, 2004; </w:t>
      </w:r>
      <w:proofErr w:type="spellStart"/>
      <w:r w:rsidRPr="00C6653B">
        <w:rPr>
          <w:rFonts w:ascii="Arial" w:hAnsi="Arial" w:cs="Arial"/>
        </w:rPr>
        <w:t>Makinistian</w:t>
      </w:r>
      <w:proofErr w:type="spellEnd"/>
      <w:r w:rsidRPr="00C6653B">
        <w:rPr>
          <w:rFonts w:ascii="Arial" w:hAnsi="Arial" w:cs="Arial"/>
        </w:rPr>
        <w:t xml:space="preserve">, 2009; </w:t>
      </w:r>
      <w:proofErr w:type="spellStart"/>
      <w:r w:rsidRPr="00C6653B">
        <w:rPr>
          <w:rFonts w:ascii="Arial" w:hAnsi="Arial" w:cs="Arial"/>
        </w:rPr>
        <w:t>Buchachenko</w:t>
      </w:r>
      <w:proofErr w:type="spellEnd"/>
      <w:r w:rsidRPr="00C6653B">
        <w:rPr>
          <w:rFonts w:ascii="Arial" w:hAnsi="Arial" w:cs="Arial"/>
        </w:rPr>
        <w:t xml:space="preserve">, 2014; </w:t>
      </w:r>
      <w:proofErr w:type="spellStart"/>
      <w:r w:rsidRPr="00C6653B">
        <w:rPr>
          <w:rFonts w:ascii="Arial" w:hAnsi="Arial" w:cs="Arial"/>
        </w:rPr>
        <w:t>Binhi</w:t>
      </w:r>
      <w:proofErr w:type="spellEnd"/>
      <w:r w:rsidRPr="00C6653B">
        <w:rPr>
          <w:rFonts w:ascii="Arial" w:hAnsi="Arial" w:cs="Arial"/>
        </w:rPr>
        <w:t xml:space="preserve"> &amp; Rubin, 2022). In medicine for instance, the study of Prasad et al. (2017) had demonstrated that the exposure of the human oligodendrocyte cells to an oscillating static magnetic field had led to the expression of certain genes related to the enhanced myelination of the magnetically exposed neural cells implying early maturation. Further, the report also stipulated that aside from changes in myelination events, influx of calcium ions was also observed in these cells. Similar results were also reported by Jung et al. (2014), Ho et al. (2019), Özgün et al. (2019), and Dolgova et al. (2021).</w:t>
      </w:r>
    </w:p>
    <w:p w14:paraId="183A66EC" w14:textId="77777777" w:rsidR="00C6653B" w:rsidRPr="00C6653B" w:rsidRDefault="00C6653B" w:rsidP="00C6653B">
      <w:pPr>
        <w:pStyle w:val="Body"/>
        <w:rPr>
          <w:rFonts w:ascii="Arial" w:hAnsi="Arial" w:cs="Arial"/>
        </w:rPr>
      </w:pPr>
      <w:r w:rsidRPr="00C6653B">
        <w:rPr>
          <w:rFonts w:ascii="Arial" w:hAnsi="Arial" w:cs="Arial"/>
        </w:rPr>
        <w:lastRenderedPageBreak/>
        <w:t>In botanical terms, the effects of magnetic field to plants were also investigated especially on the early growth dynamics of plants. Early stage plant growth is a crucial stage for the success of a plant’s life cycle and is critical to the overall dynamics of an ecosystem (Paine et al., 2012) and that the key for this success lies on the quality of seeds (</w:t>
      </w:r>
      <w:proofErr w:type="spellStart"/>
      <w:r w:rsidRPr="00C6653B">
        <w:rPr>
          <w:rFonts w:ascii="Arial" w:hAnsi="Arial" w:cs="Arial"/>
        </w:rPr>
        <w:t>Starodubtseva</w:t>
      </w:r>
      <w:proofErr w:type="spellEnd"/>
      <w:r w:rsidRPr="00C6653B">
        <w:rPr>
          <w:rFonts w:ascii="Arial" w:hAnsi="Arial" w:cs="Arial"/>
        </w:rPr>
        <w:t xml:space="preserve"> &amp; </w:t>
      </w:r>
      <w:proofErr w:type="spellStart"/>
      <w:r w:rsidRPr="00C6653B">
        <w:rPr>
          <w:rFonts w:ascii="Arial" w:hAnsi="Arial" w:cs="Arial"/>
        </w:rPr>
        <w:t>Livinskiy</w:t>
      </w:r>
      <w:proofErr w:type="spellEnd"/>
      <w:r w:rsidRPr="00C6653B">
        <w:rPr>
          <w:rFonts w:ascii="Arial" w:hAnsi="Arial" w:cs="Arial"/>
        </w:rPr>
        <w:t xml:space="preserve">, 2018; </w:t>
      </w:r>
      <w:proofErr w:type="spellStart"/>
      <w:r w:rsidRPr="00C6653B">
        <w:rPr>
          <w:rFonts w:ascii="Arial" w:hAnsi="Arial" w:cs="Arial"/>
        </w:rPr>
        <w:t>Kokonov</w:t>
      </w:r>
      <w:proofErr w:type="spellEnd"/>
      <w:r w:rsidRPr="00C6653B">
        <w:rPr>
          <w:rFonts w:ascii="Arial" w:hAnsi="Arial" w:cs="Arial"/>
        </w:rPr>
        <w:t xml:space="preserve"> et al., 2021). There are various ways where seeds are primed or preconditioned prior to planting that eventually produce plants that can grow better and become more resilient to various environmental stressors (Di Girolamo &amp; </w:t>
      </w:r>
      <w:proofErr w:type="spellStart"/>
      <w:r w:rsidRPr="00C6653B">
        <w:rPr>
          <w:rFonts w:ascii="Arial" w:hAnsi="Arial" w:cs="Arial"/>
        </w:rPr>
        <w:t>Barbanti</w:t>
      </w:r>
      <w:proofErr w:type="spellEnd"/>
      <w:r w:rsidRPr="00C6653B">
        <w:rPr>
          <w:rFonts w:ascii="Arial" w:hAnsi="Arial" w:cs="Arial"/>
        </w:rPr>
        <w:t xml:space="preserve">, 2012; </w:t>
      </w:r>
      <w:proofErr w:type="spellStart"/>
      <w:r w:rsidRPr="00C6653B">
        <w:rPr>
          <w:rFonts w:ascii="Arial" w:hAnsi="Arial" w:cs="Arial"/>
        </w:rPr>
        <w:t>Jisha</w:t>
      </w:r>
      <w:proofErr w:type="spellEnd"/>
      <w:r w:rsidRPr="00C6653B">
        <w:rPr>
          <w:rFonts w:ascii="Arial" w:hAnsi="Arial" w:cs="Arial"/>
        </w:rPr>
        <w:t xml:space="preserve"> et al., 2012; Paparella et al., 2015). accordingly, priming strategies are economically and environmentally sustainable (Farooq et al., 2019). And one of the promising priming techniques is known as </w:t>
      </w:r>
      <w:proofErr w:type="spellStart"/>
      <w:r w:rsidRPr="00C6653B">
        <w:rPr>
          <w:rFonts w:ascii="Arial" w:hAnsi="Arial" w:cs="Arial"/>
        </w:rPr>
        <w:t>magnetopriming</w:t>
      </w:r>
      <w:proofErr w:type="spellEnd"/>
      <w:r w:rsidRPr="00C6653B">
        <w:rPr>
          <w:rFonts w:ascii="Arial" w:hAnsi="Arial" w:cs="Arial"/>
        </w:rPr>
        <w:t xml:space="preserve"> (</w:t>
      </w:r>
      <w:proofErr w:type="spellStart"/>
      <w:r w:rsidRPr="00C6653B">
        <w:rPr>
          <w:rFonts w:ascii="Arial" w:hAnsi="Arial" w:cs="Arial"/>
        </w:rPr>
        <w:t>Sarraf</w:t>
      </w:r>
      <w:proofErr w:type="spellEnd"/>
      <w:r w:rsidRPr="00C6653B">
        <w:rPr>
          <w:rFonts w:ascii="Arial" w:hAnsi="Arial" w:cs="Arial"/>
        </w:rPr>
        <w:t xml:space="preserve"> et al., 2020).</w:t>
      </w:r>
    </w:p>
    <w:p w14:paraId="138B1F10" w14:textId="77777777" w:rsidR="00C6653B" w:rsidRPr="00C6653B" w:rsidRDefault="00C6653B" w:rsidP="00C6653B">
      <w:pPr>
        <w:pStyle w:val="Body"/>
        <w:rPr>
          <w:rFonts w:ascii="Arial" w:hAnsi="Arial" w:cs="Arial"/>
        </w:rPr>
      </w:pPr>
      <w:r w:rsidRPr="00C6653B">
        <w:rPr>
          <w:rFonts w:ascii="Arial" w:hAnsi="Arial" w:cs="Arial"/>
        </w:rPr>
        <w:t xml:space="preserve">In </w:t>
      </w:r>
      <w:proofErr w:type="spellStart"/>
      <w:r w:rsidRPr="00C6653B">
        <w:rPr>
          <w:rFonts w:ascii="Arial" w:hAnsi="Arial" w:cs="Arial"/>
        </w:rPr>
        <w:t>magnetopriming</w:t>
      </w:r>
      <w:proofErr w:type="spellEnd"/>
      <w:r w:rsidRPr="00C6653B">
        <w:rPr>
          <w:rFonts w:ascii="Arial" w:hAnsi="Arial" w:cs="Arial"/>
        </w:rPr>
        <w:t xml:space="preserve">, seeds are exposed to a specific range of magnetic intensity prior to sowing. Currently, there are already multiple reports that testify that the priming of seeds with magnetic field can result in an increase in yield and that </w:t>
      </w:r>
      <w:proofErr w:type="spellStart"/>
      <w:r w:rsidRPr="00C6653B">
        <w:rPr>
          <w:rFonts w:ascii="Arial" w:hAnsi="Arial" w:cs="Arial"/>
        </w:rPr>
        <w:t>magnetoprimed</w:t>
      </w:r>
      <w:proofErr w:type="spellEnd"/>
      <w:r w:rsidRPr="00C6653B">
        <w:rPr>
          <w:rFonts w:ascii="Arial" w:hAnsi="Arial" w:cs="Arial"/>
        </w:rPr>
        <w:t xml:space="preserve"> seeds are more resistant to specific environmental stress in several crops (Teixeira da Silva &amp; Dobránszki, 2016). Several of these reports had attributed to the enhanced seed vigor that resulted from the exposure of magnetic field which can then account for better germination to maturation dynamics (Gupta et al., 2015). In addition, there are several biochemical events, particularly the expression of certain genes, that can cause significant advantage for </w:t>
      </w:r>
      <w:proofErr w:type="spellStart"/>
      <w:r w:rsidRPr="00C6653B">
        <w:rPr>
          <w:rFonts w:ascii="Arial" w:hAnsi="Arial" w:cs="Arial"/>
        </w:rPr>
        <w:t>magnetoprimed</w:t>
      </w:r>
      <w:proofErr w:type="spellEnd"/>
      <w:r w:rsidRPr="00C6653B">
        <w:rPr>
          <w:rFonts w:ascii="Arial" w:hAnsi="Arial" w:cs="Arial"/>
        </w:rPr>
        <w:t xml:space="preserve"> seeds during the germination phase including water uptake, enhanced seed metabolism and photosynthesis, and increased biomass accumulation (Bhardwaj et al., 2012; Kataria, 2017; Sarraf et al., 2021; Torres-Osorio et al., 2024).</w:t>
      </w:r>
    </w:p>
    <w:p w14:paraId="5B336C8C" w14:textId="77777777" w:rsidR="00C6653B" w:rsidRPr="00C6653B" w:rsidRDefault="00C6653B" w:rsidP="00C6653B">
      <w:pPr>
        <w:pStyle w:val="Body"/>
        <w:rPr>
          <w:rFonts w:ascii="Arial" w:hAnsi="Arial" w:cs="Arial"/>
        </w:rPr>
      </w:pPr>
      <w:r w:rsidRPr="00C6653B">
        <w:rPr>
          <w:rFonts w:ascii="Arial" w:hAnsi="Arial" w:cs="Arial"/>
        </w:rPr>
        <w:t xml:space="preserve">According to the review paper by Maffei (2014), there are various applications of </w:t>
      </w:r>
      <w:proofErr w:type="spellStart"/>
      <w:r w:rsidRPr="00C6653B">
        <w:rPr>
          <w:rFonts w:ascii="Arial" w:hAnsi="Arial" w:cs="Arial"/>
        </w:rPr>
        <w:t>magnetopriming</w:t>
      </w:r>
      <w:proofErr w:type="spellEnd"/>
      <w:r w:rsidRPr="00C6653B">
        <w:rPr>
          <w:rFonts w:ascii="Arial" w:hAnsi="Arial" w:cs="Arial"/>
        </w:rPr>
        <w:t xml:space="preserve"> particularly in the future of agriculture that can help address the United Nation’s Sustainable Development Goal 2 (SDG 2) which specifically addresses the impending issues of food security through sustainable agricultural methodologies. Aside from being a sustainable agricultural strategy where it can potentially produce high-yielding and stress-resistant crops, the technique is also seen to be adapted for the futuristic interplanetary human agriculture. </w:t>
      </w:r>
    </w:p>
    <w:p w14:paraId="5ED8187D" w14:textId="77777777" w:rsidR="00790ADA" w:rsidRDefault="00C6653B" w:rsidP="00C6653B">
      <w:pPr>
        <w:pStyle w:val="Body"/>
        <w:spacing w:after="0"/>
        <w:rPr>
          <w:rFonts w:ascii="Arial" w:hAnsi="Arial" w:cs="Arial"/>
        </w:rPr>
      </w:pPr>
      <w:r w:rsidRPr="00C6653B">
        <w:rPr>
          <w:rFonts w:ascii="Arial" w:hAnsi="Arial" w:cs="Arial"/>
        </w:rPr>
        <w:t xml:space="preserve">Though the positive effect of </w:t>
      </w:r>
      <w:proofErr w:type="spellStart"/>
      <w:r w:rsidRPr="00C6653B">
        <w:rPr>
          <w:rFonts w:ascii="Arial" w:hAnsi="Arial" w:cs="Arial"/>
        </w:rPr>
        <w:t>magnetopriming</w:t>
      </w:r>
      <w:proofErr w:type="spellEnd"/>
      <w:r w:rsidRPr="00C6653B">
        <w:rPr>
          <w:rFonts w:ascii="Arial" w:hAnsi="Arial" w:cs="Arial"/>
        </w:rPr>
        <w:t xml:space="preserve"> to the overall growth of plants and its potential to be a strategy for a sustainable agriculture technique is well reported, it seems that these reports have not considered the specific magnetic orientation where these seeds were primed and with respect to time exposure. These two factors are deemed important especially that the inclusion of these two parameters is arguably not in consideration in </w:t>
      </w:r>
      <w:proofErr w:type="spellStart"/>
      <w:r w:rsidRPr="00C6653B">
        <w:rPr>
          <w:rFonts w:ascii="Arial" w:hAnsi="Arial" w:cs="Arial"/>
        </w:rPr>
        <w:t>magnetopriminng</w:t>
      </w:r>
      <w:proofErr w:type="spellEnd"/>
      <w:r w:rsidRPr="00C6653B">
        <w:rPr>
          <w:rFonts w:ascii="Arial" w:hAnsi="Arial" w:cs="Arial"/>
        </w:rPr>
        <w:t xml:space="preserve"> studies. This paper therefore investigates the impact of different magnetic orientation and length of exposure on the early stage growth of the economically-significant crop </w:t>
      </w:r>
      <w:r w:rsidRPr="00C6653B">
        <w:rPr>
          <w:rFonts w:ascii="Arial" w:hAnsi="Arial" w:cs="Arial"/>
          <w:i/>
        </w:rPr>
        <w:t>Brassica rapa</w:t>
      </w:r>
      <w:r w:rsidRPr="00C6653B">
        <w:rPr>
          <w:rFonts w:ascii="Arial" w:hAnsi="Arial" w:cs="Arial"/>
        </w:rPr>
        <w:t>.</w:t>
      </w:r>
    </w:p>
    <w:p w14:paraId="23306740" w14:textId="77777777" w:rsidR="00C6653B" w:rsidRPr="00FB3A86" w:rsidRDefault="00C6653B" w:rsidP="00C6653B">
      <w:pPr>
        <w:pStyle w:val="Body"/>
        <w:spacing w:after="0"/>
        <w:rPr>
          <w:rFonts w:ascii="Arial" w:hAnsi="Arial" w:cs="Arial"/>
        </w:rPr>
      </w:pPr>
    </w:p>
    <w:p w14:paraId="12F5D50D"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BFAFC2E" w14:textId="77777777" w:rsidR="00C6653B" w:rsidRPr="00FB3A86" w:rsidRDefault="00C6653B" w:rsidP="00441B6F">
      <w:pPr>
        <w:pStyle w:val="AbstHead"/>
        <w:spacing w:after="0"/>
        <w:jc w:val="both"/>
        <w:rPr>
          <w:rFonts w:ascii="Arial" w:hAnsi="Arial" w:cs="Arial"/>
        </w:rPr>
      </w:pPr>
    </w:p>
    <w:p w14:paraId="66A97435" w14:textId="77777777" w:rsidR="00C6653B" w:rsidRPr="00C6653B" w:rsidRDefault="00737EE8" w:rsidP="00C6653B">
      <w:pPr>
        <w:pStyle w:val="Body"/>
        <w:rPr>
          <w:rFonts w:ascii="Arial" w:hAnsi="Arial" w:cs="Arial"/>
        </w:rPr>
      </w:pPr>
      <w:r>
        <w:rPr>
          <w:rFonts w:ascii="Arial" w:hAnsi="Arial" w:cs="Arial"/>
          <w:b/>
        </w:rPr>
        <w:t xml:space="preserve">2.1 </w:t>
      </w:r>
      <w:proofErr w:type="spellStart"/>
      <w:r w:rsidR="00C6653B" w:rsidRPr="00C6653B">
        <w:rPr>
          <w:rFonts w:ascii="Arial" w:hAnsi="Arial" w:cs="Arial"/>
          <w:b/>
        </w:rPr>
        <w:t>Magnetopriming</w:t>
      </w:r>
      <w:proofErr w:type="spellEnd"/>
      <w:r w:rsidR="00C6653B" w:rsidRPr="00C6653B">
        <w:rPr>
          <w:rFonts w:ascii="Arial" w:hAnsi="Arial" w:cs="Arial"/>
        </w:rPr>
        <w:t xml:space="preserve"> </w:t>
      </w:r>
    </w:p>
    <w:p w14:paraId="0DDC0D11" w14:textId="004BB62D" w:rsidR="00C6653B" w:rsidRDefault="00C6653B" w:rsidP="00C6653B">
      <w:pPr>
        <w:pStyle w:val="Body"/>
        <w:rPr>
          <w:rFonts w:ascii="Arial" w:hAnsi="Arial" w:cs="Arial"/>
        </w:rPr>
      </w:pPr>
      <w:r>
        <w:rPr>
          <w:rFonts w:ascii="Arial" w:hAnsi="Arial" w:cs="Arial"/>
        </w:rPr>
        <w:t>Seeds of</w:t>
      </w:r>
      <w:r w:rsidRPr="00C6653B">
        <w:rPr>
          <w:rFonts w:ascii="Arial" w:hAnsi="Arial" w:cs="Arial"/>
        </w:rPr>
        <w:t xml:space="preserve"> </w:t>
      </w:r>
      <w:r w:rsidRPr="00C6653B">
        <w:rPr>
          <w:rFonts w:ascii="Arial" w:hAnsi="Arial" w:cs="Arial"/>
          <w:i/>
        </w:rPr>
        <w:t xml:space="preserve">B. </w:t>
      </w:r>
      <w:proofErr w:type="spellStart"/>
      <w:r w:rsidRPr="00C6653B">
        <w:rPr>
          <w:rFonts w:ascii="Arial" w:hAnsi="Arial" w:cs="Arial"/>
          <w:i/>
        </w:rPr>
        <w:t>rapa</w:t>
      </w:r>
      <w:proofErr w:type="spellEnd"/>
      <w:r w:rsidRPr="00C6653B">
        <w:rPr>
          <w:rFonts w:ascii="Arial" w:hAnsi="Arial" w:cs="Arial"/>
        </w:rPr>
        <w:t xml:space="preserve"> variety </w:t>
      </w:r>
      <w:proofErr w:type="spellStart"/>
      <w:r w:rsidRPr="00C6653B">
        <w:rPr>
          <w:rFonts w:ascii="Arial" w:hAnsi="Arial" w:cs="Arial"/>
        </w:rPr>
        <w:t>Pavito</w:t>
      </w:r>
      <w:proofErr w:type="spellEnd"/>
      <w:r w:rsidRPr="00C6653B">
        <w:rPr>
          <w:rFonts w:ascii="Arial" w:hAnsi="Arial" w:cs="Arial"/>
        </w:rPr>
        <w:t xml:space="preserve"> </w:t>
      </w:r>
      <w:r>
        <w:rPr>
          <w:rFonts w:ascii="Arial" w:hAnsi="Arial" w:cs="Arial"/>
        </w:rPr>
        <w:t xml:space="preserve">were purchased as pack from </w:t>
      </w:r>
      <w:r w:rsidRPr="00C6653B">
        <w:rPr>
          <w:rFonts w:ascii="Arial" w:hAnsi="Arial" w:cs="Arial"/>
        </w:rPr>
        <w:t>East-West Seed Company, Inc., Bulacan, Philippines</w:t>
      </w:r>
      <w:r>
        <w:rPr>
          <w:rFonts w:ascii="Arial" w:hAnsi="Arial" w:cs="Arial"/>
        </w:rPr>
        <w:t>. Approximately 1</w:t>
      </w:r>
      <w:r w:rsidR="0034171C">
        <w:rPr>
          <w:rFonts w:ascii="Arial" w:hAnsi="Arial" w:cs="Arial"/>
        </w:rPr>
        <w:t>5</w:t>
      </w:r>
      <w:r>
        <w:rPr>
          <w:rFonts w:ascii="Arial" w:hAnsi="Arial" w:cs="Arial"/>
        </w:rPr>
        <w:t>0 seeds for the control and each of the treatment</w:t>
      </w:r>
      <w:r w:rsidRPr="00C6653B">
        <w:rPr>
          <w:rFonts w:ascii="Arial" w:hAnsi="Arial" w:cs="Arial"/>
        </w:rPr>
        <w:t xml:space="preserve"> were placed in a specially 3D-printed cup with</w:t>
      </w:r>
      <w:r>
        <w:rPr>
          <w:rFonts w:ascii="Arial" w:hAnsi="Arial" w:cs="Arial"/>
        </w:rPr>
        <w:t xml:space="preserve"> a</w:t>
      </w:r>
      <w:r w:rsidRPr="00C6653B">
        <w:rPr>
          <w:rFonts w:ascii="Arial" w:hAnsi="Arial" w:cs="Arial"/>
        </w:rPr>
        <w:t xml:space="preserve"> permanent static neodymium disc magnet (NdFeB). The magnets used here had the following details: magnetic intensity - 87.2 </w:t>
      </w:r>
      <w:proofErr w:type="spellStart"/>
      <w:r w:rsidRPr="00C6653B">
        <w:rPr>
          <w:rFonts w:ascii="Arial" w:hAnsi="Arial" w:cs="Arial"/>
        </w:rPr>
        <w:t>mT</w:t>
      </w:r>
      <w:proofErr w:type="spellEnd"/>
      <w:r w:rsidRPr="00C6653B">
        <w:rPr>
          <w:rFonts w:ascii="Arial" w:hAnsi="Arial" w:cs="Arial"/>
        </w:rPr>
        <w:t xml:space="preserve"> (</w:t>
      </w:r>
      <w:proofErr w:type="spellStart"/>
      <w:r w:rsidRPr="00C6653B">
        <w:rPr>
          <w:rFonts w:ascii="Arial" w:hAnsi="Arial" w:cs="Arial"/>
        </w:rPr>
        <w:t>millitesla</w:t>
      </w:r>
      <w:proofErr w:type="spellEnd"/>
      <w:r w:rsidRPr="00C6653B">
        <w:rPr>
          <w:rFonts w:ascii="Arial" w:hAnsi="Arial" w:cs="Arial"/>
        </w:rPr>
        <w:t>), diameter - 30 mm, thickness - 3 mm, and were firmly attached at the bottom of their respective cups. A cup then can either have south or north-oriented magnets (Figure 1)</w:t>
      </w:r>
      <w:r>
        <w:rPr>
          <w:rFonts w:ascii="Arial" w:hAnsi="Arial" w:cs="Arial"/>
        </w:rPr>
        <w:t xml:space="preserve"> depending on how they were deliberately attached at the bottom of the cup</w:t>
      </w:r>
      <w:r w:rsidRPr="00C6653B">
        <w:rPr>
          <w:rFonts w:ascii="Arial" w:hAnsi="Arial" w:cs="Arial"/>
        </w:rPr>
        <w:t xml:space="preserve">. For the priming, these seeds were categorized based on what magnetic orientation they were exposed to and the length of exposure time (6 h, 12 h, 24 h). Hence, the following are the treatment groups: three north-primed groups (6N, 12N, 24N) and three south-primed groups (6S, 12S, 24S); meanwhile the control group (C) comprised the magnetically unexposed seeds. The priming commenced at 6:00 PM with the 24N and 24S groups being set-up first, </w:t>
      </w:r>
      <w:r w:rsidRPr="00C6653B">
        <w:rPr>
          <w:rFonts w:ascii="Arial" w:hAnsi="Arial" w:cs="Arial"/>
        </w:rPr>
        <w:lastRenderedPageBreak/>
        <w:t xml:space="preserve">followed by the 12N and 12S groups at 6:00 AM, and the 6N and 6S groups at 12:00 NN. Through this scheme, the </w:t>
      </w:r>
      <w:r w:rsidR="0034171C" w:rsidRPr="002F5A54">
        <w:rPr>
          <w:rFonts w:ascii="Times New Roman" w:hAnsi="Times New Roman"/>
          <w:noProof/>
          <w:color w:val="000000" w:themeColor="text1"/>
          <w:sz w:val="24"/>
          <w:szCs w:val="24"/>
        </w:rPr>
        <w:drawing>
          <wp:anchor distT="0" distB="0" distL="114300" distR="114300" simplePos="0" relativeHeight="251655680" behindDoc="0" locked="0" layoutInCell="1" allowOverlap="1" wp14:anchorId="70F5DDA8" wp14:editId="4A4AE065">
            <wp:simplePos x="0" y="0"/>
            <wp:positionH relativeFrom="column">
              <wp:posOffset>604299</wp:posOffset>
            </wp:positionH>
            <wp:positionV relativeFrom="paragraph">
              <wp:posOffset>516228</wp:posOffset>
            </wp:positionV>
            <wp:extent cx="5205095" cy="2035175"/>
            <wp:effectExtent l="0" t="0" r="0" b="0"/>
            <wp:wrapTopAndBottom/>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205095" cy="2035175"/>
                    </a:xfrm>
                    <a:prstGeom prst="rect">
                      <a:avLst/>
                    </a:prstGeom>
                    <a:ln/>
                  </pic:spPr>
                </pic:pic>
              </a:graphicData>
            </a:graphic>
            <wp14:sizeRelH relativeFrom="page">
              <wp14:pctWidth>0</wp14:pctWidth>
            </wp14:sizeRelH>
            <wp14:sizeRelV relativeFrom="page">
              <wp14:pctHeight>0</wp14:pctHeight>
            </wp14:sizeRelV>
          </wp:anchor>
        </w:drawing>
      </w:r>
      <w:r w:rsidRPr="00C6653B">
        <w:rPr>
          <w:rFonts w:ascii="Arial" w:hAnsi="Arial" w:cs="Arial"/>
        </w:rPr>
        <w:t xml:space="preserve">termination of the </w:t>
      </w:r>
      <w:proofErr w:type="spellStart"/>
      <w:r w:rsidRPr="00C6653B">
        <w:rPr>
          <w:rFonts w:ascii="Arial" w:hAnsi="Arial" w:cs="Arial"/>
        </w:rPr>
        <w:t>magnetopriming</w:t>
      </w:r>
      <w:proofErr w:type="spellEnd"/>
      <w:r w:rsidRPr="00C6653B">
        <w:rPr>
          <w:rFonts w:ascii="Arial" w:hAnsi="Arial" w:cs="Arial"/>
        </w:rPr>
        <w:t xml:space="preserve"> of seeds was synchronized. </w:t>
      </w:r>
    </w:p>
    <w:p w14:paraId="4DEE09A9" w14:textId="4599AF94" w:rsidR="00737EE8" w:rsidRPr="00C6653B" w:rsidRDefault="00737EE8" w:rsidP="00C6653B">
      <w:pPr>
        <w:pStyle w:val="Body"/>
        <w:rPr>
          <w:rFonts w:ascii="Arial" w:hAnsi="Arial" w:cs="Arial"/>
        </w:rPr>
      </w:pPr>
    </w:p>
    <w:p w14:paraId="3FF572FC" w14:textId="0C2FC6DE" w:rsidR="00C6653B" w:rsidRPr="00FD2EE7" w:rsidRDefault="00C6653B" w:rsidP="00C6653B">
      <w:pPr>
        <w:pStyle w:val="Body"/>
        <w:rPr>
          <w:rFonts w:ascii="Arial" w:hAnsi="Arial" w:cs="Arial"/>
          <w:b/>
        </w:rPr>
      </w:pPr>
      <w:r w:rsidRPr="00FD2EE7">
        <w:rPr>
          <w:rFonts w:ascii="Arial" w:hAnsi="Arial" w:cs="Arial"/>
          <w:b/>
        </w:rPr>
        <w:t xml:space="preserve">Figure 1. Schematic diagram of the principle of </w:t>
      </w:r>
      <w:proofErr w:type="spellStart"/>
      <w:r w:rsidRPr="00FD2EE7">
        <w:rPr>
          <w:rFonts w:ascii="Arial" w:hAnsi="Arial" w:cs="Arial"/>
          <w:b/>
        </w:rPr>
        <w:t>magnetopriming</w:t>
      </w:r>
      <w:proofErr w:type="spellEnd"/>
      <w:r w:rsidRPr="00FD2EE7">
        <w:rPr>
          <w:rFonts w:ascii="Arial" w:hAnsi="Arial" w:cs="Arial"/>
          <w:b/>
        </w:rPr>
        <w:t xml:space="preserve"> implemented in this study.</w:t>
      </w:r>
    </w:p>
    <w:p w14:paraId="4648F82D" w14:textId="79FF1E27" w:rsidR="00C6653B" w:rsidRPr="00C6653B" w:rsidRDefault="00C6653B" w:rsidP="00C6653B">
      <w:pPr>
        <w:pStyle w:val="Body"/>
        <w:rPr>
          <w:rFonts w:ascii="Arial" w:hAnsi="Arial" w:cs="Arial"/>
        </w:rPr>
      </w:pPr>
    </w:p>
    <w:p w14:paraId="7865ACE3" w14:textId="115EF335" w:rsidR="00C6653B" w:rsidRPr="00C6653B" w:rsidRDefault="00737EE8" w:rsidP="00C6653B">
      <w:pPr>
        <w:pStyle w:val="Body"/>
        <w:rPr>
          <w:rFonts w:ascii="Arial" w:hAnsi="Arial" w:cs="Arial"/>
        </w:rPr>
      </w:pPr>
      <w:r>
        <w:rPr>
          <w:rFonts w:ascii="Arial" w:hAnsi="Arial" w:cs="Arial"/>
          <w:b/>
        </w:rPr>
        <w:t xml:space="preserve">2.2 </w:t>
      </w:r>
      <w:r w:rsidR="00C6653B" w:rsidRPr="00737EE8">
        <w:rPr>
          <w:rFonts w:ascii="Arial" w:hAnsi="Arial" w:cs="Arial"/>
          <w:b/>
        </w:rPr>
        <w:t>Germination</w:t>
      </w:r>
      <w:r w:rsidR="00C6653B" w:rsidRPr="00C6653B">
        <w:rPr>
          <w:rFonts w:ascii="Arial" w:hAnsi="Arial" w:cs="Arial"/>
        </w:rPr>
        <w:t xml:space="preserve"> </w:t>
      </w:r>
    </w:p>
    <w:p w14:paraId="6FA678CC" w14:textId="560954BD" w:rsidR="00C6653B" w:rsidRPr="00C6653B" w:rsidRDefault="00C6653B" w:rsidP="00C6653B">
      <w:pPr>
        <w:pStyle w:val="Body"/>
        <w:rPr>
          <w:rFonts w:ascii="Arial" w:hAnsi="Arial" w:cs="Arial"/>
        </w:rPr>
      </w:pPr>
      <w:r w:rsidRPr="00C6653B">
        <w:rPr>
          <w:rFonts w:ascii="Arial" w:hAnsi="Arial" w:cs="Arial"/>
        </w:rPr>
        <w:t xml:space="preserve">After </w:t>
      </w:r>
      <w:proofErr w:type="spellStart"/>
      <w:r w:rsidRPr="00C6653B">
        <w:rPr>
          <w:rFonts w:ascii="Arial" w:hAnsi="Arial" w:cs="Arial"/>
        </w:rPr>
        <w:t>magnetopriming</w:t>
      </w:r>
      <w:proofErr w:type="spellEnd"/>
      <w:r w:rsidRPr="00C6653B">
        <w:rPr>
          <w:rFonts w:ascii="Arial" w:hAnsi="Arial" w:cs="Arial"/>
        </w:rPr>
        <w:t xml:space="preserve">, these seeds were </w:t>
      </w:r>
      <w:proofErr w:type="spellStart"/>
      <w:r w:rsidRPr="00C6653B">
        <w:rPr>
          <w:rFonts w:ascii="Arial" w:hAnsi="Arial" w:cs="Arial"/>
        </w:rPr>
        <w:t>transfered</w:t>
      </w:r>
      <w:proofErr w:type="spellEnd"/>
      <w:r w:rsidRPr="00C6653B">
        <w:rPr>
          <w:rFonts w:ascii="Arial" w:hAnsi="Arial" w:cs="Arial"/>
        </w:rPr>
        <w:t xml:space="preserve"> to their respective modified seedling trays, including the unexposed seeds of the control group. The seedling trays had the dimensions of 118 mm x 175 mm (length x width).  Each trey had approximately 100 g of loam soil that was previously treated with hot water. Seeds were individually planted in their respective treys</w:t>
      </w:r>
      <w:r w:rsidR="008D00B4">
        <w:rPr>
          <w:rFonts w:ascii="Arial" w:hAnsi="Arial" w:cs="Arial"/>
        </w:rPr>
        <w:t xml:space="preserve"> (50 seeds per trey with three replicates)</w:t>
      </w:r>
      <w:r w:rsidRPr="00C6653B">
        <w:rPr>
          <w:rFonts w:ascii="Arial" w:hAnsi="Arial" w:cs="Arial"/>
        </w:rPr>
        <w:t xml:space="preserve"> with an approximate distance of 10 mm between each seed, and a depth of 10 mm (Figure 2). Employing the randomized complete block design (RCBD),</w:t>
      </w:r>
      <w:r w:rsidR="008D00B4">
        <w:rPr>
          <w:rFonts w:ascii="Arial" w:hAnsi="Arial" w:cs="Arial"/>
        </w:rPr>
        <w:t xml:space="preserve"> three blocks were set up where each block has a representative for the treatment and control groups.</w:t>
      </w:r>
      <w:r w:rsidRPr="00C6653B">
        <w:rPr>
          <w:rFonts w:ascii="Arial" w:hAnsi="Arial" w:cs="Arial"/>
        </w:rPr>
        <w:t xml:space="preserve"> </w:t>
      </w:r>
      <w:r w:rsidR="008D00B4">
        <w:rPr>
          <w:rFonts w:ascii="Arial" w:hAnsi="Arial" w:cs="Arial"/>
        </w:rPr>
        <w:t>Th</w:t>
      </w:r>
      <w:r w:rsidRPr="00C6653B">
        <w:rPr>
          <w:rFonts w:ascii="Arial" w:hAnsi="Arial" w:cs="Arial"/>
        </w:rPr>
        <w:t xml:space="preserve">e seeds were then allowed to germinate inside a modified greenhouse for up to 7 days. </w:t>
      </w:r>
      <w:r w:rsidR="008D00B4">
        <w:rPr>
          <w:rFonts w:ascii="Arial" w:hAnsi="Arial" w:cs="Arial"/>
        </w:rPr>
        <w:t>3</w:t>
      </w:r>
      <w:r w:rsidRPr="00C6653B">
        <w:rPr>
          <w:rFonts w:ascii="Arial" w:hAnsi="Arial" w:cs="Arial"/>
        </w:rPr>
        <w:t xml:space="preserve">0 germinated seeds from each trey were carefully harvested daily starting from day 3. Harvested plants were washed with water and were allowed to drip for 5 minutes. Using a digital caliper, shoot and root lengths were measured from individual plants. Data was then recorded. Both </w:t>
      </w:r>
      <w:proofErr w:type="spellStart"/>
      <w:r w:rsidRPr="00C6653B">
        <w:rPr>
          <w:rFonts w:ascii="Arial" w:hAnsi="Arial" w:cs="Arial"/>
        </w:rPr>
        <w:t>magnetopriming</w:t>
      </w:r>
      <w:proofErr w:type="spellEnd"/>
      <w:r w:rsidRPr="00C6653B">
        <w:rPr>
          <w:rFonts w:ascii="Arial" w:hAnsi="Arial" w:cs="Arial"/>
        </w:rPr>
        <w:t xml:space="preserve"> and growth measurements were conducted at Central Mindanao University, Maramag, Bukidnon, Philippines. </w:t>
      </w:r>
    </w:p>
    <w:p w14:paraId="60751F85" w14:textId="2D8CF6FB" w:rsidR="00C6653B" w:rsidRDefault="00C6653B" w:rsidP="00C6653B">
      <w:pPr>
        <w:pStyle w:val="Body"/>
        <w:rPr>
          <w:rFonts w:ascii="Arial" w:hAnsi="Arial" w:cs="Arial"/>
        </w:rPr>
      </w:pPr>
      <w:r w:rsidRPr="00C6653B">
        <w:rPr>
          <w:rFonts w:ascii="Arial" w:hAnsi="Arial" w:cs="Arial"/>
        </w:rPr>
        <w:t xml:space="preserve">In another set-up, approximately 20 seeds per group were germinated in-situ where they were placed in their respective petri plates. Here, sterile paper towels were placed in between seeds. After placing these towels into their respective petri plates, the towels were moistened and then covered. These plates were placed in a cabinet under room temperature. Microscopic evaluation of 24 h germinated seed was done using low power objectives of a compound light microscope. After 48 h, another microscopic evaluation was done, this time using a </w:t>
      </w:r>
      <w:proofErr w:type="spellStart"/>
      <w:r w:rsidRPr="00C6653B">
        <w:rPr>
          <w:rFonts w:ascii="Arial" w:hAnsi="Arial" w:cs="Arial"/>
        </w:rPr>
        <w:t>stereomicrocope</w:t>
      </w:r>
      <w:proofErr w:type="spellEnd"/>
      <w:r w:rsidRPr="00C6653B">
        <w:rPr>
          <w:rFonts w:ascii="Arial" w:hAnsi="Arial" w:cs="Arial"/>
        </w:rPr>
        <w:t>. Images were then generated using a smartphone.</w:t>
      </w:r>
    </w:p>
    <w:p w14:paraId="0C14BD91" w14:textId="13EBCC8F" w:rsidR="00864313" w:rsidRDefault="00864313" w:rsidP="00C6653B">
      <w:pPr>
        <w:pStyle w:val="Body"/>
        <w:rPr>
          <w:rFonts w:ascii="Arial" w:hAnsi="Arial" w:cs="Arial"/>
        </w:rPr>
      </w:pPr>
      <w:r w:rsidRPr="002F5A54">
        <w:rPr>
          <w:rFonts w:ascii="Times New Roman" w:hAnsi="Times New Roman"/>
          <w:noProof/>
          <w:color w:val="000000" w:themeColor="text1"/>
          <w:sz w:val="24"/>
          <w:szCs w:val="24"/>
        </w:rPr>
        <w:drawing>
          <wp:anchor distT="0" distB="0" distL="114300" distR="114300" simplePos="0" relativeHeight="251657728" behindDoc="0" locked="0" layoutInCell="1" allowOverlap="1" wp14:anchorId="660E3887" wp14:editId="3C3A8AF7">
            <wp:simplePos x="0" y="0"/>
            <wp:positionH relativeFrom="column">
              <wp:posOffset>739768</wp:posOffset>
            </wp:positionH>
            <wp:positionV relativeFrom="paragraph">
              <wp:posOffset>258059</wp:posOffset>
            </wp:positionV>
            <wp:extent cx="4243388" cy="1518851"/>
            <wp:effectExtent l="0" t="0" r="0" b="0"/>
            <wp:wrapTopAndBottom/>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4243388" cy="1518851"/>
                    </a:xfrm>
                    <a:prstGeom prst="rect">
                      <a:avLst/>
                    </a:prstGeom>
                    <a:ln/>
                  </pic:spPr>
                </pic:pic>
              </a:graphicData>
            </a:graphic>
            <wp14:sizeRelH relativeFrom="page">
              <wp14:pctWidth>0</wp14:pctWidth>
            </wp14:sizeRelH>
            <wp14:sizeRelV relativeFrom="page">
              <wp14:pctHeight>0</wp14:pctHeight>
            </wp14:sizeRelV>
          </wp:anchor>
        </w:drawing>
      </w:r>
    </w:p>
    <w:p w14:paraId="6AFFEF41" w14:textId="77777777" w:rsidR="00864313" w:rsidRPr="00C6653B" w:rsidRDefault="00864313" w:rsidP="00C6653B">
      <w:pPr>
        <w:pStyle w:val="Body"/>
        <w:rPr>
          <w:rFonts w:ascii="Arial" w:hAnsi="Arial" w:cs="Arial"/>
        </w:rPr>
      </w:pPr>
    </w:p>
    <w:p w14:paraId="08472370" w14:textId="77777777" w:rsidR="00C6653B" w:rsidRPr="00864313" w:rsidRDefault="00C6653B" w:rsidP="00C6653B">
      <w:pPr>
        <w:pStyle w:val="Body"/>
        <w:rPr>
          <w:rFonts w:ascii="Arial" w:hAnsi="Arial" w:cs="Arial"/>
          <w:b/>
        </w:rPr>
      </w:pPr>
      <w:r w:rsidRPr="00864313">
        <w:rPr>
          <w:rFonts w:ascii="Arial" w:hAnsi="Arial" w:cs="Arial"/>
          <w:b/>
        </w:rPr>
        <w:t>Figure 2. Schematic diagram of the set-up for the germination dynamics: placement of seeds in the seed trey (a), and the approximate measurements between seeds in the soil (b).</w:t>
      </w:r>
    </w:p>
    <w:p w14:paraId="2C27254E" w14:textId="77777777" w:rsidR="00C6653B" w:rsidRPr="00C6653B" w:rsidRDefault="00C6653B" w:rsidP="00C6653B">
      <w:pPr>
        <w:pStyle w:val="Body"/>
        <w:rPr>
          <w:rFonts w:ascii="Arial" w:hAnsi="Arial" w:cs="Arial"/>
        </w:rPr>
      </w:pPr>
    </w:p>
    <w:p w14:paraId="74CEDBDA" w14:textId="77777777" w:rsidR="00C6653B" w:rsidRPr="00C6653B" w:rsidRDefault="00737EE8" w:rsidP="00C6653B">
      <w:pPr>
        <w:pStyle w:val="Body"/>
        <w:rPr>
          <w:rFonts w:ascii="Arial" w:hAnsi="Arial" w:cs="Arial"/>
        </w:rPr>
      </w:pPr>
      <w:r>
        <w:rPr>
          <w:rFonts w:ascii="Arial" w:hAnsi="Arial" w:cs="Arial"/>
          <w:b/>
        </w:rPr>
        <w:t xml:space="preserve">2.3 </w:t>
      </w:r>
      <w:r w:rsidR="00C6653B" w:rsidRPr="00737EE8">
        <w:rPr>
          <w:rFonts w:ascii="Arial" w:hAnsi="Arial" w:cs="Arial"/>
          <w:b/>
        </w:rPr>
        <w:t>Analysis</w:t>
      </w:r>
      <w:r w:rsidR="00C6653B" w:rsidRPr="00C6653B">
        <w:rPr>
          <w:rFonts w:ascii="Arial" w:hAnsi="Arial" w:cs="Arial"/>
        </w:rPr>
        <w:t xml:space="preserve"> </w:t>
      </w:r>
    </w:p>
    <w:p w14:paraId="3ED53514" w14:textId="77777777" w:rsidR="00790ADA" w:rsidRPr="00FB3A86" w:rsidRDefault="00C6653B" w:rsidP="00C6653B">
      <w:pPr>
        <w:pStyle w:val="Body"/>
        <w:spacing w:after="0"/>
        <w:rPr>
          <w:rFonts w:ascii="Arial" w:hAnsi="Arial" w:cs="Arial"/>
        </w:rPr>
      </w:pPr>
      <w:r w:rsidRPr="00C6653B">
        <w:rPr>
          <w:rFonts w:ascii="Arial" w:hAnsi="Arial" w:cs="Arial"/>
        </w:rPr>
        <w:t xml:space="preserve">For the statistical treatment, the analysis of variance (ANOVA) was employed to determine the significant differences of these measurements based on P = 0.05. Measurements that showed significance were further treated with Tukey’s Post-hoc analysis to determine the specific treatments that showed significance. Statistical analysis was made using JASP v. 0.18.3, a free downloadable statistical software. Meanwhile, pertinent graphs were generated using </w:t>
      </w:r>
      <w:proofErr w:type="spellStart"/>
      <w:r w:rsidRPr="00C6653B">
        <w:rPr>
          <w:rFonts w:ascii="Arial" w:hAnsi="Arial" w:cs="Arial"/>
        </w:rPr>
        <w:t>JupyterLab</w:t>
      </w:r>
      <w:proofErr w:type="spellEnd"/>
      <w:r w:rsidRPr="00C6653B">
        <w:rPr>
          <w:rFonts w:ascii="Arial" w:hAnsi="Arial" w:cs="Arial"/>
        </w:rPr>
        <w:t xml:space="preserve"> v. 3.6.3.</w:t>
      </w:r>
    </w:p>
    <w:p w14:paraId="146215E9" w14:textId="77777777" w:rsidR="00790ADA" w:rsidRDefault="00790ADA" w:rsidP="00441B6F">
      <w:pPr>
        <w:pStyle w:val="Body"/>
        <w:spacing w:after="0"/>
        <w:rPr>
          <w:rFonts w:ascii="Arial" w:hAnsi="Arial" w:cs="Arial"/>
        </w:rPr>
      </w:pPr>
    </w:p>
    <w:p w14:paraId="11EF56BA" w14:textId="77777777" w:rsidR="00FD2EE7" w:rsidRPr="00FB3A86" w:rsidRDefault="00FD2EE7" w:rsidP="00441B6F">
      <w:pPr>
        <w:pStyle w:val="Body"/>
        <w:spacing w:after="0"/>
        <w:rPr>
          <w:rFonts w:ascii="Arial" w:hAnsi="Arial" w:cs="Arial"/>
        </w:rPr>
      </w:pPr>
    </w:p>
    <w:p w14:paraId="25DED13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00C4AC5" w14:textId="77777777" w:rsidR="00790ADA" w:rsidRPr="00FB3A86" w:rsidRDefault="00790ADA" w:rsidP="00441B6F">
      <w:pPr>
        <w:pStyle w:val="Head1"/>
        <w:spacing w:after="0"/>
        <w:jc w:val="both"/>
        <w:rPr>
          <w:rFonts w:ascii="Arial" w:hAnsi="Arial" w:cs="Arial"/>
        </w:rPr>
      </w:pPr>
    </w:p>
    <w:p w14:paraId="63540CAA" w14:textId="2784D37D" w:rsidR="00D47E06" w:rsidRDefault="00D47E06" w:rsidP="00737EE8">
      <w:pPr>
        <w:pStyle w:val="NoSpacing"/>
        <w:jc w:val="both"/>
        <w:rPr>
          <w:b/>
          <w:color w:val="000000" w:themeColor="text1"/>
          <w:sz w:val="20"/>
          <w:szCs w:val="20"/>
        </w:rPr>
      </w:pPr>
      <w:r w:rsidRPr="00D47E06">
        <w:rPr>
          <w:b/>
          <w:color w:val="000000" w:themeColor="text1"/>
          <w:sz w:val="20"/>
          <w:szCs w:val="20"/>
        </w:rPr>
        <w:t>3.1 Results</w:t>
      </w:r>
    </w:p>
    <w:p w14:paraId="2DB219DC" w14:textId="77777777" w:rsidR="00D47E06" w:rsidRPr="00D47E06" w:rsidRDefault="00D47E06" w:rsidP="00737EE8">
      <w:pPr>
        <w:pStyle w:val="NoSpacing"/>
        <w:jc w:val="both"/>
        <w:rPr>
          <w:b/>
          <w:color w:val="000000" w:themeColor="text1"/>
          <w:sz w:val="20"/>
          <w:szCs w:val="20"/>
        </w:rPr>
      </w:pPr>
    </w:p>
    <w:p w14:paraId="229D5F14" w14:textId="0307F524"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Microscopic evaluation of </w:t>
      </w:r>
      <w:r w:rsidRPr="00737EE8">
        <w:rPr>
          <w:i/>
          <w:color w:val="000000" w:themeColor="text1"/>
          <w:sz w:val="20"/>
          <w:szCs w:val="20"/>
        </w:rPr>
        <w:t>B. rapa</w:t>
      </w:r>
      <w:r w:rsidRPr="00737EE8">
        <w:rPr>
          <w:color w:val="000000" w:themeColor="text1"/>
          <w:sz w:val="20"/>
          <w:szCs w:val="20"/>
        </w:rPr>
        <w:t xml:space="preserve"> seeds primed to different magnetic orientations (north and south) as well as the unexposed seeds was employed after 24 and 48 hours. Per evaluation after 24 h germination, longer hypocotyls were observed in the seeds exposed to north magnetic field for 6 and 12 h (6N, 12N), while similar hypocotyl lengths were also observed in seeds exposed to the north magnetic field for 24 h (24N). Meanwhile seeds exposed to the south magnetic field for 6 h (6S) and 24 h (24S) showed the shortest hypocotyl, which was then followed by the control group (Figure 3a).</w:t>
      </w:r>
    </w:p>
    <w:p w14:paraId="0A555152" w14:textId="77777777" w:rsidR="00737EE8" w:rsidRPr="00737EE8" w:rsidRDefault="00737EE8" w:rsidP="00737EE8">
      <w:pPr>
        <w:pStyle w:val="NoSpacing"/>
        <w:rPr>
          <w:color w:val="000000" w:themeColor="text1"/>
          <w:sz w:val="20"/>
          <w:szCs w:val="20"/>
        </w:rPr>
      </w:pPr>
    </w:p>
    <w:p w14:paraId="061D5C1B"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After 48 h, the primary root is now prominent with multiple root hairs. Here, 6N still exhibited a longer root; however, 6S had surpassed the root length of 12N, which was closely followed by the magnetically unexposed seeds (control). At this stage, both 12S and 24S showed the shortest roots (Figure 3b).</w:t>
      </w:r>
    </w:p>
    <w:p w14:paraId="2F633CD2" w14:textId="77777777" w:rsidR="00737EE8" w:rsidRPr="00737EE8" w:rsidRDefault="00737EE8" w:rsidP="00737EE8">
      <w:pPr>
        <w:pStyle w:val="NoSpacing"/>
        <w:rPr>
          <w:color w:val="000000" w:themeColor="text1"/>
          <w:sz w:val="20"/>
          <w:szCs w:val="20"/>
        </w:rPr>
      </w:pPr>
    </w:p>
    <w:p w14:paraId="0D2102EF" w14:textId="77777777" w:rsidR="00737EE8" w:rsidRPr="00737EE8" w:rsidRDefault="00737EE8" w:rsidP="00737EE8">
      <w:pPr>
        <w:pStyle w:val="NoSpacing"/>
        <w:rPr>
          <w:color w:val="000000" w:themeColor="text1"/>
          <w:sz w:val="20"/>
          <w:szCs w:val="20"/>
        </w:rPr>
      </w:pPr>
    </w:p>
    <w:p w14:paraId="467A389B" w14:textId="77777777" w:rsidR="00737EE8" w:rsidRPr="00737EE8" w:rsidRDefault="00737EE8" w:rsidP="00737EE8">
      <w:pPr>
        <w:pStyle w:val="NoSpacing"/>
        <w:rPr>
          <w:color w:val="000000" w:themeColor="text1"/>
          <w:sz w:val="20"/>
          <w:szCs w:val="20"/>
        </w:rPr>
      </w:pPr>
      <w:r w:rsidRPr="00737EE8">
        <w:rPr>
          <w:rFonts w:ascii="Times New Roman" w:hAnsi="Times New Roman" w:cs="Times New Roman"/>
          <w:noProof/>
          <w:color w:val="000000" w:themeColor="text1"/>
          <w:sz w:val="20"/>
          <w:szCs w:val="20"/>
        </w:rPr>
        <w:drawing>
          <wp:anchor distT="0" distB="0" distL="114300" distR="114300" simplePos="0" relativeHeight="251660800" behindDoc="0" locked="0" layoutInCell="1" allowOverlap="1" wp14:anchorId="4CE16CAC" wp14:editId="7F12EFBA">
            <wp:simplePos x="0" y="0"/>
            <wp:positionH relativeFrom="column">
              <wp:posOffset>0</wp:posOffset>
            </wp:positionH>
            <wp:positionV relativeFrom="paragraph">
              <wp:posOffset>635</wp:posOffset>
            </wp:positionV>
            <wp:extent cx="5758815" cy="1931910"/>
            <wp:effectExtent l="0" t="0" r="0" b="0"/>
            <wp:wrapTopAndBottom/>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758815" cy="1931910"/>
                    </a:xfrm>
                    <a:prstGeom prst="rect">
                      <a:avLst/>
                    </a:prstGeom>
                    <a:ln/>
                  </pic:spPr>
                </pic:pic>
              </a:graphicData>
            </a:graphic>
            <wp14:sizeRelH relativeFrom="page">
              <wp14:pctWidth>0</wp14:pctWidth>
            </wp14:sizeRelH>
            <wp14:sizeRelV relativeFrom="page">
              <wp14:pctHeight>0</wp14:pctHeight>
            </wp14:sizeRelV>
          </wp:anchor>
        </w:drawing>
      </w:r>
    </w:p>
    <w:p w14:paraId="59DA6B79" w14:textId="77777777" w:rsidR="00737EE8" w:rsidRPr="00FD2EE7" w:rsidRDefault="00737EE8" w:rsidP="00737EE8">
      <w:pPr>
        <w:pStyle w:val="NoSpacing"/>
        <w:rPr>
          <w:b/>
          <w:color w:val="000000" w:themeColor="text1"/>
          <w:sz w:val="20"/>
          <w:szCs w:val="20"/>
        </w:rPr>
      </w:pPr>
      <w:r w:rsidRPr="00FD2EE7">
        <w:rPr>
          <w:b/>
          <w:color w:val="000000" w:themeColor="text1"/>
          <w:sz w:val="20"/>
          <w:szCs w:val="20"/>
        </w:rPr>
        <w:t xml:space="preserve">Figure 3. Microscopic evaluation of germinated seeds after (a) 24 h and (b) 48 h. </w:t>
      </w:r>
    </w:p>
    <w:p w14:paraId="2B59E0A4" w14:textId="650BD319" w:rsidR="00737EE8" w:rsidRDefault="00737EE8" w:rsidP="00737EE8">
      <w:pPr>
        <w:pStyle w:val="NoSpacing"/>
        <w:rPr>
          <w:b/>
          <w:color w:val="000000" w:themeColor="text1"/>
          <w:sz w:val="20"/>
          <w:szCs w:val="20"/>
        </w:rPr>
      </w:pPr>
    </w:p>
    <w:p w14:paraId="11AE6337" w14:textId="77777777" w:rsidR="00D47E06" w:rsidRPr="00FD2EE7" w:rsidRDefault="00D47E06" w:rsidP="00737EE8">
      <w:pPr>
        <w:pStyle w:val="NoSpacing"/>
        <w:rPr>
          <w:b/>
          <w:color w:val="000000" w:themeColor="text1"/>
          <w:sz w:val="20"/>
          <w:szCs w:val="20"/>
        </w:rPr>
      </w:pPr>
    </w:p>
    <w:p w14:paraId="320BCBB2" w14:textId="77777777" w:rsidR="00737EE8" w:rsidRPr="00737EE8" w:rsidRDefault="00737EE8" w:rsidP="00737EE8">
      <w:pPr>
        <w:pStyle w:val="NoSpacing"/>
        <w:rPr>
          <w:color w:val="000000" w:themeColor="text1"/>
          <w:sz w:val="20"/>
          <w:szCs w:val="20"/>
        </w:rPr>
      </w:pPr>
    </w:p>
    <w:p w14:paraId="09923685"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Then for days 3 through 7, representative images of germinated seeds are shown in Figure 4. Shown here that in this timeline, root lengths of most treatment groups exhibited consistency, though changes in lengths in some groups are also observed. For example, 24S showed shorter hypocotyl and primary root in the first 48 h and such trait persisted even after 7 days of growth. Also showing length consistency starting from 48 h is 6S; it is observed that 6S started as one of the shortest hypocotyls (Figure 3a). </w:t>
      </w:r>
    </w:p>
    <w:p w14:paraId="49425166" w14:textId="2496D049" w:rsidR="00737EE8" w:rsidRDefault="00737EE8" w:rsidP="00737EE8">
      <w:pPr>
        <w:pStyle w:val="NoSpacing"/>
        <w:rPr>
          <w:color w:val="000000" w:themeColor="text1"/>
          <w:sz w:val="20"/>
          <w:szCs w:val="20"/>
        </w:rPr>
      </w:pPr>
    </w:p>
    <w:p w14:paraId="48C13F4F" w14:textId="77777777" w:rsidR="00D47E06" w:rsidRPr="00737EE8" w:rsidRDefault="00D47E06" w:rsidP="00737EE8">
      <w:pPr>
        <w:pStyle w:val="NoSpacing"/>
        <w:rPr>
          <w:color w:val="000000" w:themeColor="text1"/>
          <w:sz w:val="20"/>
          <w:szCs w:val="20"/>
        </w:rPr>
      </w:pPr>
    </w:p>
    <w:p w14:paraId="1039A208" w14:textId="77777777" w:rsidR="00737EE8" w:rsidRPr="00737EE8" w:rsidRDefault="00737EE8" w:rsidP="00737EE8">
      <w:pPr>
        <w:pStyle w:val="NoSpacing"/>
        <w:rPr>
          <w:color w:val="000000" w:themeColor="text1"/>
          <w:sz w:val="20"/>
          <w:szCs w:val="20"/>
        </w:rPr>
      </w:pPr>
    </w:p>
    <w:p w14:paraId="0E09B692" w14:textId="77777777" w:rsidR="00737EE8" w:rsidRPr="00737EE8" w:rsidRDefault="00737EE8" w:rsidP="00737EE8">
      <w:pPr>
        <w:pStyle w:val="NoSpacing"/>
        <w:rPr>
          <w:color w:val="000000" w:themeColor="text1"/>
          <w:sz w:val="20"/>
          <w:szCs w:val="20"/>
        </w:rPr>
      </w:pPr>
      <w:r w:rsidRPr="00737EE8">
        <w:rPr>
          <w:rFonts w:ascii="Times New Roman" w:hAnsi="Times New Roman" w:cs="Times New Roman"/>
          <w:noProof/>
          <w:color w:val="000000" w:themeColor="text1"/>
          <w:sz w:val="20"/>
          <w:szCs w:val="20"/>
        </w:rPr>
        <w:lastRenderedPageBreak/>
        <w:drawing>
          <wp:inline distT="114300" distB="114300" distL="114300" distR="114300" wp14:anchorId="1483AC55" wp14:editId="1A76F2CD">
            <wp:extent cx="5758815" cy="156890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t="2857"/>
                    <a:stretch>
                      <a:fillRect/>
                    </a:stretch>
                  </pic:blipFill>
                  <pic:spPr>
                    <a:xfrm>
                      <a:off x="0" y="0"/>
                      <a:ext cx="5758815" cy="1568908"/>
                    </a:xfrm>
                    <a:prstGeom prst="rect">
                      <a:avLst/>
                    </a:prstGeom>
                    <a:ln/>
                  </pic:spPr>
                </pic:pic>
              </a:graphicData>
            </a:graphic>
          </wp:inline>
        </w:drawing>
      </w:r>
    </w:p>
    <w:p w14:paraId="25ADB238" w14:textId="77777777" w:rsidR="00737EE8" w:rsidRPr="00737EE8" w:rsidRDefault="00737EE8" w:rsidP="00737EE8">
      <w:pPr>
        <w:pStyle w:val="NoSpacing"/>
        <w:rPr>
          <w:color w:val="000000" w:themeColor="text1"/>
          <w:sz w:val="20"/>
          <w:szCs w:val="20"/>
        </w:rPr>
      </w:pPr>
      <w:r w:rsidRPr="00737EE8">
        <w:rPr>
          <w:color w:val="000000" w:themeColor="text1"/>
          <w:sz w:val="20"/>
          <w:szCs w:val="20"/>
        </w:rPr>
        <w:t xml:space="preserve"> </w:t>
      </w:r>
    </w:p>
    <w:p w14:paraId="139AC425" w14:textId="77777777" w:rsidR="00737EE8" w:rsidRPr="00FD2EE7" w:rsidRDefault="00737EE8" w:rsidP="00737EE8">
      <w:pPr>
        <w:pStyle w:val="NoSpacing"/>
        <w:rPr>
          <w:b/>
          <w:color w:val="000000" w:themeColor="text1"/>
          <w:sz w:val="20"/>
          <w:szCs w:val="20"/>
        </w:rPr>
      </w:pPr>
      <w:r w:rsidRPr="00FD2EE7">
        <w:rPr>
          <w:b/>
          <w:color w:val="000000" w:themeColor="text1"/>
          <w:sz w:val="20"/>
          <w:szCs w:val="20"/>
        </w:rPr>
        <w:t xml:space="preserve">Figure 4. Growth comparison of representative germinated seeds after (a) 3 days, (b) 5 days, (c) 7 days. </w:t>
      </w:r>
    </w:p>
    <w:p w14:paraId="336382F4" w14:textId="77777777" w:rsidR="00737EE8" w:rsidRPr="00737EE8" w:rsidRDefault="00737EE8" w:rsidP="00737EE8">
      <w:pPr>
        <w:pStyle w:val="NoSpacing"/>
        <w:rPr>
          <w:color w:val="000000" w:themeColor="text1"/>
          <w:sz w:val="20"/>
          <w:szCs w:val="20"/>
        </w:rPr>
      </w:pPr>
    </w:p>
    <w:p w14:paraId="0BA3975F" w14:textId="38A69BC8" w:rsidR="00737EE8" w:rsidRDefault="00737EE8" w:rsidP="00737EE8">
      <w:pPr>
        <w:pStyle w:val="NoSpacing"/>
        <w:rPr>
          <w:color w:val="000000" w:themeColor="text1"/>
          <w:sz w:val="20"/>
          <w:szCs w:val="20"/>
        </w:rPr>
      </w:pPr>
    </w:p>
    <w:p w14:paraId="6AB31894" w14:textId="73C2C632" w:rsidR="00D47E06" w:rsidRDefault="00D47E06" w:rsidP="00737EE8">
      <w:pPr>
        <w:pStyle w:val="NoSpacing"/>
        <w:rPr>
          <w:color w:val="000000" w:themeColor="text1"/>
          <w:sz w:val="20"/>
          <w:szCs w:val="20"/>
        </w:rPr>
      </w:pPr>
    </w:p>
    <w:p w14:paraId="123A639A" w14:textId="77777777" w:rsidR="00D47E06" w:rsidRPr="00737EE8" w:rsidRDefault="00D47E06" w:rsidP="00737EE8">
      <w:pPr>
        <w:pStyle w:val="NoSpacing"/>
        <w:rPr>
          <w:color w:val="000000" w:themeColor="text1"/>
          <w:sz w:val="20"/>
          <w:szCs w:val="20"/>
        </w:rPr>
      </w:pPr>
    </w:p>
    <w:p w14:paraId="1DF2CAFD" w14:textId="77777777" w:rsidR="00737EE8" w:rsidRPr="00737EE8" w:rsidRDefault="00737EE8" w:rsidP="00737EE8">
      <w:pPr>
        <w:pStyle w:val="NoSpacing"/>
        <w:rPr>
          <w:color w:val="000000" w:themeColor="text1"/>
          <w:sz w:val="20"/>
          <w:szCs w:val="20"/>
        </w:rPr>
      </w:pPr>
      <w:r w:rsidRPr="00737EE8">
        <w:rPr>
          <w:color w:val="000000" w:themeColor="text1"/>
          <w:sz w:val="20"/>
          <w:szCs w:val="20"/>
        </w:rPr>
        <w:t xml:space="preserve"> </w:t>
      </w:r>
      <w:r w:rsidRPr="00737EE8">
        <w:rPr>
          <w:rFonts w:ascii="Times New Roman" w:hAnsi="Times New Roman" w:cs="Times New Roman"/>
          <w:noProof/>
          <w:color w:val="000000" w:themeColor="text1"/>
          <w:sz w:val="20"/>
          <w:szCs w:val="20"/>
        </w:rPr>
        <w:drawing>
          <wp:inline distT="114300" distB="114300" distL="114300" distR="114300" wp14:anchorId="604D659B" wp14:editId="143FE1EC">
            <wp:extent cx="5543815" cy="4616786"/>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543815" cy="4616786"/>
                    </a:xfrm>
                    <a:prstGeom prst="rect">
                      <a:avLst/>
                    </a:prstGeom>
                    <a:ln/>
                  </pic:spPr>
                </pic:pic>
              </a:graphicData>
            </a:graphic>
          </wp:inline>
        </w:drawing>
      </w:r>
    </w:p>
    <w:p w14:paraId="06621D96" w14:textId="77777777" w:rsidR="00737EE8" w:rsidRPr="00737EE8" w:rsidRDefault="00737EE8" w:rsidP="00737EE8">
      <w:pPr>
        <w:pStyle w:val="NoSpacing"/>
        <w:rPr>
          <w:color w:val="000000" w:themeColor="text1"/>
          <w:sz w:val="20"/>
          <w:szCs w:val="20"/>
        </w:rPr>
      </w:pPr>
    </w:p>
    <w:p w14:paraId="7D15B684" w14:textId="77777777" w:rsidR="00737EE8" w:rsidRPr="00FD2EE7" w:rsidRDefault="00737EE8" w:rsidP="00737EE8">
      <w:pPr>
        <w:pStyle w:val="NoSpacing"/>
        <w:rPr>
          <w:b/>
          <w:color w:val="000000" w:themeColor="text1"/>
          <w:sz w:val="20"/>
          <w:szCs w:val="20"/>
        </w:rPr>
      </w:pPr>
      <w:r w:rsidRPr="00FD2EE7">
        <w:rPr>
          <w:b/>
          <w:color w:val="000000" w:themeColor="text1"/>
          <w:sz w:val="20"/>
          <w:szCs w:val="20"/>
        </w:rPr>
        <w:t>Figure 5. Average shoot and root growth measurements from days 3 to day 7</w:t>
      </w:r>
    </w:p>
    <w:p w14:paraId="4507DA8B" w14:textId="77777777" w:rsidR="00737EE8" w:rsidRPr="00737EE8" w:rsidRDefault="00737EE8" w:rsidP="00737EE8">
      <w:pPr>
        <w:pStyle w:val="NoSpacing"/>
        <w:rPr>
          <w:color w:val="000000" w:themeColor="text1"/>
          <w:sz w:val="20"/>
          <w:szCs w:val="20"/>
        </w:rPr>
      </w:pPr>
    </w:p>
    <w:p w14:paraId="5957D23F" w14:textId="6A20F57E" w:rsidR="00737EE8" w:rsidRDefault="00737EE8" w:rsidP="00737EE8">
      <w:pPr>
        <w:pStyle w:val="NoSpacing"/>
        <w:rPr>
          <w:color w:val="000000" w:themeColor="text1"/>
          <w:sz w:val="20"/>
          <w:szCs w:val="20"/>
        </w:rPr>
      </w:pPr>
    </w:p>
    <w:p w14:paraId="0D76CBAD" w14:textId="77777777" w:rsidR="00D47E06" w:rsidRPr="00737EE8" w:rsidRDefault="00D47E06" w:rsidP="00737EE8">
      <w:pPr>
        <w:pStyle w:val="NoSpacing"/>
        <w:rPr>
          <w:color w:val="000000" w:themeColor="text1"/>
          <w:sz w:val="20"/>
          <w:szCs w:val="20"/>
        </w:rPr>
      </w:pPr>
    </w:p>
    <w:p w14:paraId="1929AD3B"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As seen in Figure 5, multiple changes in the average lengths of shoots and roots were observed, though overall consistency these measurements can be derived. For the shoot length, 6S has the longest shoot except only on day 6 where the control registered the longest shoot.  Across this timeline, 12N, 12S and 24S consistently exhibited shorter shoot measurements; 24S is seen to have regressed in shoot length since it started as one of having the longest shoot in day 3 and ended up as one of the shortest on day 7. </w:t>
      </w:r>
    </w:p>
    <w:p w14:paraId="6EE76AF3" w14:textId="77777777" w:rsidR="00737EE8" w:rsidRPr="00737EE8" w:rsidRDefault="00737EE8" w:rsidP="00737EE8">
      <w:pPr>
        <w:pStyle w:val="NoSpacing"/>
        <w:rPr>
          <w:color w:val="000000" w:themeColor="text1"/>
          <w:sz w:val="20"/>
          <w:szCs w:val="20"/>
        </w:rPr>
      </w:pPr>
    </w:p>
    <w:p w14:paraId="3EFEE729"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lastRenderedPageBreak/>
        <w:t xml:space="preserve">In roots, the control group is consistently having shorter root length from days 3 to 7 but ended as having longer root lengths than 12N and 24S at the end in day 7. 12N, though it started as having longer hypocotyl after 24 h and primary root after 48 h, had ended as having the shortest average root length after day 7. 12N’s average root length coincides with its average shoot length. Meanwhile, 6S is also observed to exhibit consistency in its longer root and shoot average lengths. After day 7, 6N, 24N and 12S have the longest average root lengths, while 12N and 24S where the latter is consistent with its germinated hypocotyl length in the first 24 h growth. </w:t>
      </w:r>
    </w:p>
    <w:p w14:paraId="53F6E589" w14:textId="77777777" w:rsidR="00737EE8" w:rsidRPr="00737EE8" w:rsidRDefault="00737EE8" w:rsidP="00737EE8">
      <w:pPr>
        <w:pStyle w:val="NoSpacing"/>
        <w:rPr>
          <w:color w:val="000000" w:themeColor="text1"/>
          <w:sz w:val="20"/>
          <w:szCs w:val="20"/>
        </w:rPr>
      </w:pPr>
    </w:p>
    <w:p w14:paraId="41D0AA36"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Figure 6 shows the heatmaps of the average shoot and root lengths where it considers the relative measurements between treatments. Generally, root measurement heatmap hinted that there are more measurement changes within days 3 to 5 as compared to average shoot lengths (Figure 6a); however, this observation is reversed between days 5 to 7 as there are now more changes in measurements in shoots than in roots (Figure 6b). In roots, generally all the magnetically exposed seeds registered longer measurements as compared to the unexposed seeds. This can be crucial especially that at this stage the seeds are acquiring nutrients to fuel the growth burst of the plant and that longer roots can account for better absorption of nutrients.  For 6S, even if it registered the highest average root length earlier than other treatment and control groups at day 5, yet its length in days 6 and 7 seems to have little changes. </w:t>
      </w:r>
    </w:p>
    <w:p w14:paraId="7D1EB39A" w14:textId="77777777" w:rsidR="00737EE8" w:rsidRPr="00737EE8" w:rsidRDefault="00737EE8" w:rsidP="00737EE8">
      <w:pPr>
        <w:pStyle w:val="NoSpacing"/>
        <w:rPr>
          <w:color w:val="000000" w:themeColor="text1"/>
          <w:sz w:val="20"/>
          <w:szCs w:val="20"/>
        </w:rPr>
      </w:pPr>
    </w:p>
    <w:p w14:paraId="1DDD20EB" w14:textId="77777777" w:rsidR="00737EE8" w:rsidRPr="00737EE8" w:rsidRDefault="00737EE8" w:rsidP="00737EE8">
      <w:pPr>
        <w:pStyle w:val="NoSpacing"/>
        <w:rPr>
          <w:color w:val="000000" w:themeColor="text1"/>
          <w:sz w:val="20"/>
          <w:szCs w:val="20"/>
        </w:rPr>
      </w:pPr>
    </w:p>
    <w:p w14:paraId="4744A885" w14:textId="77777777" w:rsidR="00737EE8" w:rsidRPr="00737EE8" w:rsidRDefault="00737EE8" w:rsidP="00737EE8">
      <w:pPr>
        <w:pStyle w:val="NoSpacing"/>
        <w:rPr>
          <w:color w:val="000000" w:themeColor="text1"/>
          <w:sz w:val="20"/>
          <w:szCs w:val="20"/>
        </w:rPr>
      </w:pPr>
      <w:r w:rsidRPr="00737EE8">
        <w:rPr>
          <w:color w:val="000000" w:themeColor="text1"/>
          <w:sz w:val="20"/>
          <w:szCs w:val="20"/>
        </w:rPr>
        <w:t xml:space="preserve"> </w:t>
      </w:r>
      <w:r w:rsidRPr="00737EE8">
        <w:rPr>
          <w:rFonts w:ascii="Times New Roman" w:hAnsi="Times New Roman" w:cs="Times New Roman"/>
          <w:noProof/>
          <w:color w:val="000000" w:themeColor="text1"/>
          <w:sz w:val="20"/>
          <w:szCs w:val="20"/>
        </w:rPr>
        <w:drawing>
          <wp:anchor distT="0" distB="0" distL="114300" distR="114300" simplePos="0" relativeHeight="251663872" behindDoc="0" locked="0" layoutInCell="1" allowOverlap="1" wp14:anchorId="71CAE2D0" wp14:editId="0F6C3BBA">
            <wp:simplePos x="0" y="0"/>
            <wp:positionH relativeFrom="column">
              <wp:posOffset>0</wp:posOffset>
            </wp:positionH>
            <wp:positionV relativeFrom="paragraph">
              <wp:posOffset>148590</wp:posOffset>
            </wp:positionV>
            <wp:extent cx="5758815" cy="2091690"/>
            <wp:effectExtent l="0" t="0" r="0" b="0"/>
            <wp:wrapTopAndBottom/>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758815" cy="2091690"/>
                    </a:xfrm>
                    <a:prstGeom prst="rect">
                      <a:avLst/>
                    </a:prstGeom>
                    <a:ln/>
                  </pic:spPr>
                </pic:pic>
              </a:graphicData>
            </a:graphic>
            <wp14:sizeRelH relativeFrom="page">
              <wp14:pctWidth>0</wp14:pctWidth>
            </wp14:sizeRelH>
            <wp14:sizeRelV relativeFrom="page">
              <wp14:pctHeight>0</wp14:pctHeight>
            </wp14:sizeRelV>
          </wp:anchor>
        </w:drawing>
      </w:r>
    </w:p>
    <w:p w14:paraId="3001C54B" w14:textId="77777777" w:rsidR="00737EE8" w:rsidRPr="00FD2EE7" w:rsidRDefault="00737EE8" w:rsidP="00737EE8">
      <w:pPr>
        <w:pStyle w:val="NoSpacing"/>
        <w:rPr>
          <w:b/>
          <w:color w:val="000000" w:themeColor="text1"/>
          <w:sz w:val="20"/>
          <w:szCs w:val="20"/>
        </w:rPr>
      </w:pPr>
      <w:r w:rsidRPr="00FD2EE7">
        <w:rPr>
          <w:b/>
          <w:color w:val="000000" w:themeColor="text1"/>
          <w:sz w:val="20"/>
          <w:szCs w:val="20"/>
        </w:rPr>
        <w:t>Figure 6. Heatmap showing the relative growth between control and treatment groups along the growth timeline: (a) average root length, (b) average shoot length</w:t>
      </w:r>
    </w:p>
    <w:p w14:paraId="4EFA92F4" w14:textId="77777777" w:rsidR="00737EE8" w:rsidRPr="00737EE8" w:rsidRDefault="00737EE8" w:rsidP="00737EE8">
      <w:pPr>
        <w:pStyle w:val="NoSpacing"/>
        <w:rPr>
          <w:color w:val="000000" w:themeColor="text1"/>
          <w:sz w:val="20"/>
          <w:szCs w:val="20"/>
        </w:rPr>
      </w:pPr>
    </w:p>
    <w:p w14:paraId="7DE48A21" w14:textId="21706AB7" w:rsidR="00737EE8" w:rsidRDefault="00737EE8" w:rsidP="00737EE8">
      <w:pPr>
        <w:pStyle w:val="NoSpacing"/>
        <w:rPr>
          <w:color w:val="000000" w:themeColor="text1"/>
          <w:sz w:val="20"/>
          <w:szCs w:val="20"/>
        </w:rPr>
      </w:pPr>
    </w:p>
    <w:p w14:paraId="70BAB12A" w14:textId="77777777" w:rsidR="00D47E06" w:rsidRPr="00737EE8" w:rsidRDefault="00D47E06" w:rsidP="00737EE8">
      <w:pPr>
        <w:pStyle w:val="NoSpacing"/>
        <w:rPr>
          <w:color w:val="000000" w:themeColor="text1"/>
          <w:sz w:val="20"/>
          <w:szCs w:val="20"/>
        </w:rPr>
      </w:pPr>
    </w:p>
    <w:p w14:paraId="43941EFB"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The summarized result for the analysis of variance (ANOVA) is presented in Table 1. Here, there are significant differences in the measurements of shoots and roots found all throughout the timeframe based on </w:t>
      </w:r>
      <w:r w:rsidRPr="00FD2EE7">
        <w:rPr>
          <w:i/>
          <w:color w:val="000000" w:themeColor="text1"/>
          <w:sz w:val="20"/>
          <w:szCs w:val="20"/>
        </w:rPr>
        <w:t>P</w:t>
      </w:r>
      <w:r w:rsidR="00FD2EE7">
        <w:rPr>
          <w:color w:val="000000" w:themeColor="text1"/>
          <w:sz w:val="20"/>
          <w:szCs w:val="20"/>
        </w:rPr>
        <w:t>=</w:t>
      </w:r>
      <w:r w:rsidRPr="00737EE8">
        <w:rPr>
          <w:color w:val="000000" w:themeColor="text1"/>
          <w:sz w:val="20"/>
          <w:szCs w:val="20"/>
        </w:rPr>
        <w:t>.05. But even if all growth days showed significant differences, higher statistical differences have been registered in days 5 to 7 (</w:t>
      </w:r>
      <w:r w:rsidRPr="00FD2EE7">
        <w:rPr>
          <w:i/>
          <w:color w:val="000000" w:themeColor="text1"/>
          <w:sz w:val="20"/>
          <w:szCs w:val="20"/>
        </w:rPr>
        <w:t>P</w:t>
      </w:r>
      <w:r w:rsidRPr="00737EE8">
        <w:rPr>
          <w:color w:val="000000" w:themeColor="text1"/>
          <w:sz w:val="20"/>
          <w:szCs w:val="20"/>
        </w:rPr>
        <w:t>=&lt;.001) in shoots, while days 3 to 6 in roots (</w:t>
      </w:r>
      <w:r w:rsidR="00FD2EE7">
        <w:rPr>
          <w:i/>
          <w:color w:val="000000" w:themeColor="text1"/>
          <w:sz w:val="20"/>
          <w:szCs w:val="20"/>
        </w:rPr>
        <w:t>P</w:t>
      </w:r>
      <w:r w:rsidRPr="00737EE8">
        <w:rPr>
          <w:color w:val="000000" w:themeColor="text1"/>
          <w:sz w:val="20"/>
          <w:szCs w:val="20"/>
        </w:rPr>
        <w:t xml:space="preserve">=&lt;.001). This statistical result seems to validate what is observed in the heat maps presented in </w:t>
      </w:r>
      <w:bookmarkStart w:id="0" w:name="_GoBack"/>
      <w:r w:rsidRPr="00737EE8">
        <w:rPr>
          <w:color w:val="000000" w:themeColor="text1"/>
          <w:sz w:val="20"/>
          <w:szCs w:val="20"/>
        </w:rPr>
        <w:t>Fig</w:t>
      </w:r>
      <w:bookmarkEnd w:id="0"/>
      <w:r w:rsidRPr="00737EE8">
        <w:rPr>
          <w:color w:val="000000" w:themeColor="text1"/>
          <w:sz w:val="20"/>
          <w:szCs w:val="20"/>
        </w:rPr>
        <w:t xml:space="preserve">ure 6. </w:t>
      </w:r>
    </w:p>
    <w:p w14:paraId="24755AED" w14:textId="77777777" w:rsidR="00737EE8" w:rsidRPr="00737EE8" w:rsidRDefault="00737EE8" w:rsidP="00737EE8">
      <w:pPr>
        <w:pStyle w:val="NoSpacing"/>
        <w:jc w:val="both"/>
        <w:rPr>
          <w:color w:val="000000" w:themeColor="text1"/>
          <w:sz w:val="20"/>
          <w:szCs w:val="20"/>
        </w:rPr>
      </w:pPr>
    </w:p>
    <w:p w14:paraId="452E0479" w14:textId="77777777" w:rsidR="00737EE8" w:rsidRPr="00737EE8" w:rsidRDefault="00737EE8" w:rsidP="00737EE8">
      <w:pPr>
        <w:pStyle w:val="NoSpacing"/>
        <w:rPr>
          <w:color w:val="000000" w:themeColor="text1"/>
          <w:sz w:val="20"/>
          <w:szCs w:val="20"/>
        </w:rPr>
      </w:pPr>
    </w:p>
    <w:p w14:paraId="116E6FA6" w14:textId="77777777" w:rsidR="00737EE8" w:rsidRPr="00CA2CD0" w:rsidRDefault="00737EE8" w:rsidP="00737EE8">
      <w:pPr>
        <w:pStyle w:val="NoSpacing"/>
        <w:rPr>
          <w:b/>
          <w:color w:val="000000" w:themeColor="text1"/>
          <w:sz w:val="20"/>
          <w:szCs w:val="20"/>
        </w:rPr>
      </w:pPr>
      <w:r w:rsidRPr="00CA2CD0">
        <w:rPr>
          <w:b/>
          <w:color w:val="000000" w:themeColor="text1"/>
          <w:sz w:val="20"/>
          <w:szCs w:val="20"/>
        </w:rPr>
        <w:t xml:space="preserve">Table 1. Summarized </w:t>
      </w:r>
      <w:r w:rsidRPr="00FD2EE7">
        <w:rPr>
          <w:b/>
          <w:i/>
          <w:color w:val="000000" w:themeColor="text1"/>
          <w:sz w:val="20"/>
          <w:szCs w:val="20"/>
        </w:rPr>
        <w:t>P</w:t>
      </w:r>
      <w:r w:rsidRPr="00CA2CD0">
        <w:rPr>
          <w:b/>
          <w:color w:val="000000" w:themeColor="text1"/>
          <w:sz w:val="20"/>
          <w:szCs w:val="20"/>
        </w:rPr>
        <w:t xml:space="preserve"> values of root and shoot length measurements from day 3 to day 7 (significant at </w:t>
      </w:r>
      <w:r w:rsidR="00CA2CD0" w:rsidRPr="00CA2CD0">
        <w:rPr>
          <w:b/>
          <w:i/>
          <w:color w:val="000000" w:themeColor="text1"/>
          <w:sz w:val="20"/>
          <w:szCs w:val="20"/>
        </w:rPr>
        <w:t>P</w:t>
      </w:r>
      <w:r w:rsidRPr="00CA2CD0">
        <w:rPr>
          <w:b/>
          <w:color w:val="000000" w:themeColor="text1"/>
          <w:sz w:val="20"/>
          <w:szCs w:val="20"/>
        </w:rPr>
        <w:t xml:space="preserve"> = .05)</w:t>
      </w:r>
    </w:p>
    <w:p w14:paraId="54BDF70A" w14:textId="77777777" w:rsidR="00737EE8" w:rsidRPr="00737EE8" w:rsidRDefault="00737EE8" w:rsidP="00737EE8">
      <w:pPr>
        <w:pStyle w:val="NoSpacing"/>
        <w:rPr>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2261"/>
        <w:gridCol w:w="2261"/>
      </w:tblGrid>
      <w:tr w:rsidR="00737EE8" w:rsidRPr="00737EE8" w14:paraId="3CB6F982" w14:textId="77777777" w:rsidTr="0088706D">
        <w:trPr>
          <w:jc w:val="center"/>
        </w:trPr>
        <w:tc>
          <w:tcPr>
            <w:tcW w:w="1141" w:type="dxa"/>
            <w:vMerge w:val="restart"/>
            <w:tcBorders>
              <w:top w:val="single" w:sz="4" w:space="0" w:color="auto"/>
              <w:bottom w:val="single" w:sz="4" w:space="0" w:color="auto"/>
            </w:tcBorders>
            <w:vAlign w:val="center"/>
          </w:tcPr>
          <w:p w14:paraId="16BB1C44"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Day</w:t>
            </w:r>
          </w:p>
        </w:tc>
        <w:tc>
          <w:tcPr>
            <w:tcW w:w="4522" w:type="dxa"/>
            <w:gridSpan w:val="2"/>
            <w:tcBorders>
              <w:top w:val="single" w:sz="4" w:space="0" w:color="auto"/>
              <w:bottom w:val="single" w:sz="4" w:space="0" w:color="auto"/>
            </w:tcBorders>
            <w:vAlign w:val="center"/>
          </w:tcPr>
          <w:p w14:paraId="23382A2E"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 xml:space="preserve">P </w:t>
            </w:r>
            <w:r w:rsidRPr="00737EE8">
              <w:rPr>
                <w:b/>
                <w:color w:val="000000" w:themeColor="text1"/>
                <w:sz w:val="20"/>
                <w:szCs w:val="20"/>
                <w:lang w:val="en-US"/>
              </w:rPr>
              <w:t>value</w:t>
            </w:r>
          </w:p>
        </w:tc>
      </w:tr>
      <w:tr w:rsidR="00737EE8" w:rsidRPr="00737EE8" w14:paraId="7405681F" w14:textId="77777777" w:rsidTr="0088706D">
        <w:trPr>
          <w:jc w:val="center"/>
        </w:trPr>
        <w:tc>
          <w:tcPr>
            <w:tcW w:w="1141" w:type="dxa"/>
            <w:vMerge/>
            <w:tcBorders>
              <w:top w:val="single" w:sz="4" w:space="0" w:color="auto"/>
              <w:bottom w:val="single" w:sz="4" w:space="0" w:color="auto"/>
            </w:tcBorders>
            <w:vAlign w:val="center"/>
          </w:tcPr>
          <w:p w14:paraId="528EBF0D" w14:textId="77777777" w:rsidR="00737EE8" w:rsidRPr="00737EE8" w:rsidRDefault="00737EE8" w:rsidP="0088706D">
            <w:pPr>
              <w:pStyle w:val="NoSpacing"/>
              <w:jc w:val="center"/>
              <w:rPr>
                <w:b/>
                <w:color w:val="000000" w:themeColor="text1"/>
                <w:sz w:val="20"/>
                <w:szCs w:val="20"/>
                <w:lang w:val="en-US"/>
              </w:rPr>
            </w:pPr>
          </w:p>
        </w:tc>
        <w:tc>
          <w:tcPr>
            <w:tcW w:w="2261" w:type="dxa"/>
            <w:tcBorders>
              <w:top w:val="single" w:sz="4" w:space="0" w:color="auto"/>
              <w:bottom w:val="single" w:sz="4" w:space="0" w:color="auto"/>
            </w:tcBorders>
            <w:vAlign w:val="center"/>
          </w:tcPr>
          <w:p w14:paraId="494432DC"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Shoot</w:t>
            </w:r>
          </w:p>
        </w:tc>
        <w:tc>
          <w:tcPr>
            <w:tcW w:w="2261" w:type="dxa"/>
            <w:tcBorders>
              <w:top w:val="single" w:sz="4" w:space="0" w:color="auto"/>
              <w:bottom w:val="single" w:sz="4" w:space="0" w:color="auto"/>
            </w:tcBorders>
            <w:vAlign w:val="center"/>
          </w:tcPr>
          <w:p w14:paraId="585FF34B"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Root</w:t>
            </w:r>
          </w:p>
        </w:tc>
      </w:tr>
      <w:tr w:rsidR="00737EE8" w:rsidRPr="00737EE8" w14:paraId="5781B41A" w14:textId="77777777" w:rsidTr="0088706D">
        <w:trPr>
          <w:jc w:val="center"/>
        </w:trPr>
        <w:tc>
          <w:tcPr>
            <w:tcW w:w="1141" w:type="dxa"/>
            <w:tcBorders>
              <w:top w:val="single" w:sz="4" w:space="0" w:color="auto"/>
            </w:tcBorders>
            <w:vAlign w:val="center"/>
          </w:tcPr>
          <w:p w14:paraId="0E78725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3</w:t>
            </w:r>
          </w:p>
        </w:tc>
        <w:tc>
          <w:tcPr>
            <w:tcW w:w="2261" w:type="dxa"/>
            <w:tcBorders>
              <w:top w:val="single" w:sz="4" w:space="0" w:color="auto"/>
            </w:tcBorders>
            <w:vAlign w:val="center"/>
          </w:tcPr>
          <w:p w14:paraId="3DC7177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Pr>
                <w:color w:val="000000" w:themeColor="text1"/>
                <w:sz w:val="20"/>
                <w:szCs w:val="20"/>
                <w:lang w:val="en-US"/>
              </w:rPr>
              <w:t>1</w:t>
            </w:r>
            <w:r w:rsidRPr="00737EE8">
              <w:rPr>
                <w:color w:val="000000" w:themeColor="text1"/>
                <w:sz w:val="20"/>
                <w:szCs w:val="20"/>
                <w:lang w:val="en-US"/>
              </w:rPr>
              <w:t>*</w:t>
            </w:r>
          </w:p>
        </w:tc>
        <w:tc>
          <w:tcPr>
            <w:tcW w:w="2261" w:type="dxa"/>
            <w:tcBorders>
              <w:top w:val="single" w:sz="4" w:space="0" w:color="auto"/>
            </w:tcBorders>
            <w:vAlign w:val="center"/>
          </w:tcPr>
          <w:p w14:paraId="19DD3D3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0D13C92C" w14:textId="77777777" w:rsidTr="0088706D">
        <w:trPr>
          <w:jc w:val="center"/>
        </w:trPr>
        <w:tc>
          <w:tcPr>
            <w:tcW w:w="1141" w:type="dxa"/>
            <w:vAlign w:val="center"/>
          </w:tcPr>
          <w:p w14:paraId="25E73CD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w:t>
            </w:r>
          </w:p>
        </w:tc>
        <w:tc>
          <w:tcPr>
            <w:tcW w:w="2261" w:type="dxa"/>
            <w:vAlign w:val="center"/>
          </w:tcPr>
          <w:p w14:paraId="3315AD1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.00*</w:t>
            </w:r>
          </w:p>
        </w:tc>
        <w:tc>
          <w:tcPr>
            <w:tcW w:w="2261" w:type="dxa"/>
            <w:vAlign w:val="center"/>
          </w:tcPr>
          <w:p w14:paraId="619E32E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1B2AF02D" w14:textId="77777777" w:rsidTr="0088706D">
        <w:trPr>
          <w:jc w:val="center"/>
        </w:trPr>
        <w:tc>
          <w:tcPr>
            <w:tcW w:w="1141" w:type="dxa"/>
            <w:vAlign w:val="center"/>
          </w:tcPr>
          <w:p w14:paraId="4B195D1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w:t>
            </w:r>
          </w:p>
        </w:tc>
        <w:tc>
          <w:tcPr>
            <w:tcW w:w="2261" w:type="dxa"/>
            <w:vAlign w:val="center"/>
          </w:tcPr>
          <w:p w14:paraId="27165AA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c>
          <w:tcPr>
            <w:tcW w:w="2261" w:type="dxa"/>
            <w:vAlign w:val="center"/>
          </w:tcPr>
          <w:p w14:paraId="1FA1BF0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0131593E" w14:textId="77777777" w:rsidTr="0088706D">
        <w:trPr>
          <w:jc w:val="center"/>
        </w:trPr>
        <w:tc>
          <w:tcPr>
            <w:tcW w:w="1141" w:type="dxa"/>
            <w:vAlign w:val="center"/>
          </w:tcPr>
          <w:p w14:paraId="594CA66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w:t>
            </w:r>
          </w:p>
        </w:tc>
        <w:tc>
          <w:tcPr>
            <w:tcW w:w="2261" w:type="dxa"/>
            <w:vAlign w:val="center"/>
          </w:tcPr>
          <w:p w14:paraId="6C98456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c>
          <w:tcPr>
            <w:tcW w:w="2261" w:type="dxa"/>
            <w:vAlign w:val="center"/>
          </w:tcPr>
          <w:p w14:paraId="28AC9DE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795F400C" w14:textId="77777777" w:rsidTr="0088706D">
        <w:trPr>
          <w:jc w:val="center"/>
        </w:trPr>
        <w:tc>
          <w:tcPr>
            <w:tcW w:w="1141" w:type="dxa"/>
            <w:tcBorders>
              <w:bottom w:val="single" w:sz="4" w:space="0" w:color="auto"/>
            </w:tcBorders>
            <w:vAlign w:val="center"/>
          </w:tcPr>
          <w:p w14:paraId="5D39623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w:t>
            </w:r>
          </w:p>
        </w:tc>
        <w:tc>
          <w:tcPr>
            <w:tcW w:w="2261" w:type="dxa"/>
            <w:tcBorders>
              <w:bottom w:val="single" w:sz="4" w:space="0" w:color="auto"/>
            </w:tcBorders>
            <w:vAlign w:val="center"/>
          </w:tcPr>
          <w:p w14:paraId="7D797E6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c>
          <w:tcPr>
            <w:tcW w:w="2261" w:type="dxa"/>
            <w:tcBorders>
              <w:bottom w:val="single" w:sz="4" w:space="0" w:color="auto"/>
            </w:tcBorders>
            <w:vAlign w:val="center"/>
          </w:tcPr>
          <w:p w14:paraId="38F3BB2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Pr>
                <w:color w:val="000000" w:themeColor="text1"/>
                <w:sz w:val="20"/>
                <w:szCs w:val="20"/>
                <w:lang w:val="en-US"/>
              </w:rPr>
              <w:t>1</w:t>
            </w:r>
            <w:r w:rsidRPr="00737EE8">
              <w:rPr>
                <w:color w:val="000000" w:themeColor="text1"/>
                <w:sz w:val="20"/>
                <w:szCs w:val="20"/>
                <w:lang w:val="en-US"/>
              </w:rPr>
              <w:t>*</w:t>
            </w:r>
          </w:p>
        </w:tc>
      </w:tr>
    </w:tbl>
    <w:p w14:paraId="562902BF" w14:textId="77777777" w:rsidR="00737EE8" w:rsidRPr="00737EE8" w:rsidRDefault="00737EE8" w:rsidP="00737EE8">
      <w:pPr>
        <w:pStyle w:val="NoSpacing"/>
        <w:rPr>
          <w:color w:val="000000" w:themeColor="text1"/>
          <w:sz w:val="20"/>
          <w:szCs w:val="20"/>
        </w:rPr>
      </w:pPr>
    </w:p>
    <w:p w14:paraId="7E5B32EC" w14:textId="77777777" w:rsidR="00737EE8" w:rsidRPr="00737EE8" w:rsidRDefault="00737EE8" w:rsidP="00737EE8">
      <w:pPr>
        <w:pStyle w:val="NoSpacing"/>
        <w:rPr>
          <w:color w:val="000000" w:themeColor="text1"/>
          <w:sz w:val="20"/>
          <w:szCs w:val="20"/>
        </w:rPr>
      </w:pPr>
    </w:p>
    <w:p w14:paraId="0BBD8A43" w14:textId="77777777" w:rsidR="00737EE8" w:rsidRPr="00737EE8" w:rsidRDefault="00737EE8" w:rsidP="00737EE8">
      <w:pPr>
        <w:pStyle w:val="NoSpacing"/>
        <w:rPr>
          <w:color w:val="000000" w:themeColor="text1"/>
          <w:sz w:val="20"/>
          <w:szCs w:val="20"/>
        </w:rPr>
      </w:pPr>
    </w:p>
    <w:p w14:paraId="016DF001"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Since both shoot and root growth measurements showed statistical significance through ANOVA, the data was further subjected to Tukey’s post-hoc analysis in order to determine the difference between specific treatments and the value of their statistical difference. As for the shoot length (Table 2), days 3 and 4 consistently saw significant differences between 6S, 12N and 24N where the longer measurement of 6S is significantly higher than 12N and 24N. This shows that at this </w:t>
      </w:r>
      <w:r w:rsidRPr="00737EE8">
        <w:rPr>
          <w:color w:val="000000" w:themeColor="text1"/>
          <w:sz w:val="20"/>
          <w:szCs w:val="20"/>
        </w:rPr>
        <w:lastRenderedPageBreak/>
        <w:t xml:space="preserve">stage, shoot lengths of other groups are similar. At day 5, the length of the control group is now significant over 12N and 24N. On day 6, control’s shoot length is now significant against all treatments (where control’s </w:t>
      </w:r>
      <w:r w:rsidRPr="00FD2EE7">
        <w:rPr>
          <w:i/>
          <w:color w:val="000000" w:themeColor="text1"/>
          <w:sz w:val="20"/>
          <w:szCs w:val="20"/>
        </w:rPr>
        <w:t>P</w:t>
      </w:r>
      <w:r w:rsidRPr="00737EE8">
        <w:rPr>
          <w:color w:val="000000" w:themeColor="text1"/>
          <w:sz w:val="20"/>
          <w:szCs w:val="20"/>
        </w:rPr>
        <w:t xml:space="preserve"> value is &lt;.001) except 6S; 6S meanwhile statistically has longer shoots if compared to other treatments. At day 7, the control group’s significance over 12N is still observable in which the latter is traced to be having the shortest average shoot length.</w:t>
      </w:r>
    </w:p>
    <w:p w14:paraId="719D0AA9" w14:textId="77777777" w:rsidR="00737EE8" w:rsidRPr="00737EE8" w:rsidRDefault="00737EE8" w:rsidP="00737EE8">
      <w:pPr>
        <w:pStyle w:val="NoSpacing"/>
        <w:rPr>
          <w:color w:val="000000" w:themeColor="text1"/>
          <w:sz w:val="20"/>
          <w:szCs w:val="20"/>
        </w:rPr>
      </w:pPr>
    </w:p>
    <w:p w14:paraId="30AEED5B" w14:textId="77777777" w:rsidR="00737EE8" w:rsidRPr="00737EE8" w:rsidRDefault="00737EE8" w:rsidP="00737EE8">
      <w:pPr>
        <w:pStyle w:val="NoSpacing"/>
        <w:rPr>
          <w:color w:val="000000" w:themeColor="text1"/>
          <w:sz w:val="20"/>
          <w:szCs w:val="20"/>
        </w:rPr>
      </w:pPr>
    </w:p>
    <w:p w14:paraId="41D49A18" w14:textId="77777777" w:rsidR="00737EE8" w:rsidRPr="00737EE8" w:rsidRDefault="00737EE8" w:rsidP="00737EE8">
      <w:pPr>
        <w:pStyle w:val="NoSpacing"/>
        <w:rPr>
          <w:color w:val="000000" w:themeColor="text1"/>
          <w:sz w:val="20"/>
          <w:szCs w:val="20"/>
        </w:rPr>
      </w:pPr>
    </w:p>
    <w:p w14:paraId="142862FD" w14:textId="77777777" w:rsidR="00737EE8" w:rsidRPr="00141101" w:rsidRDefault="00737EE8" w:rsidP="00737EE8">
      <w:pPr>
        <w:pStyle w:val="NoSpacing"/>
        <w:rPr>
          <w:b/>
          <w:color w:val="000000" w:themeColor="text1"/>
          <w:sz w:val="20"/>
          <w:szCs w:val="20"/>
        </w:rPr>
      </w:pPr>
      <w:r w:rsidRPr="00141101">
        <w:rPr>
          <w:b/>
          <w:color w:val="000000" w:themeColor="text1"/>
          <w:sz w:val="20"/>
          <w:szCs w:val="20"/>
        </w:rPr>
        <w:t xml:space="preserve">Table 2. Summarized Tukey’s Post Hoc </w:t>
      </w:r>
      <w:r w:rsidRPr="00141101">
        <w:rPr>
          <w:b/>
          <w:i/>
          <w:color w:val="000000" w:themeColor="text1"/>
          <w:sz w:val="20"/>
          <w:szCs w:val="20"/>
        </w:rPr>
        <w:t>P</w:t>
      </w:r>
      <w:r w:rsidRPr="00141101">
        <w:rPr>
          <w:b/>
          <w:color w:val="000000" w:themeColor="text1"/>
          <w:sz w:val="20"/>
          <w:szCs w:val="20"/>
        </w:rPr>
        <w:t xml:space="preserve"> values with significant difference in shoots (significant at </w:t>
      </w:r>
      <w:r w:rsidRPr="00141101">
        <w:rPr>
          <w:b/>
          <w:i/>
          <w:color w:val="000000" w:themeColor="text1"/>
          <w:sz w:val="20"/>
          <w:szCs w:val="20"/>
        </w:rPr>
        <w:t>P</w:t>
      </w:r>
      <w:r w:rsidRPr="00141101">
        <w:rPr>
          <w:b/>
          <w:color w:val="000000" w:themeColor="text1"/>
          <w:sz w:val="20"/>
          <w:szCs w:val="20"/>
        </w:rPr>
        <w:t xml:space="preserve"> = .05)</w:t>
      </w:r>
    </w:p>
    <w:p w14:paraId="6C6A3656" w14:textId="77777777" w:rsidR="00737EE8" w:rsidRPr="00737EE8" w:rsidRDefault="00737EE8" w:rsidP="00737EE8">
      <w:pPr>
        <w:pStyle w:val="NoSpacing"/>
        <w:rPr>
          <w:color w:val="000000" w:themeColor="text1"/>
          <w:sz w:val="20"/>
          <w:szCs w:val="20"/>
        </w:rPr>
      </w:pPr>
    </w:p>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2"/>
        <w:gridCol w:w="1066"/>
        <w:gridCol w:w="630"/>
        <w:gridCol w:w="2635"/>
        <w:gridCol w:w="1418"/>
      </w:tblGrid>
      <w:tr w:rsidR="00737EE8" w:rsidRPr="00737EE8" w14:paraId="0F1046F8" w14:textId="77777777" w:rsidTr="0088706D">
        <w:tc>
          <w:tcPr>
            <w:tcW w:w="1622" w:type="dxa"/>
            <w:tcBorders>
              <w:top w:val="single" w:sz="4" w:space="0" w:color="auto"/>
              <w:bottom w:val="single" w:sz="4" w:space="0" w:color="auto"/>
            </w:tcBorders>
            <w:vAlign w:val="center"/>
          </w:tcPr>
          <w:p w14:paraId="41B36473"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Day</w:t>
            </w:r>
          </w:p>
        </w:tc>
        <w:tc>
          <w:tcPr>
            <w:tcW w:w="1696" w:type="dxa"/>
            <w:gridSpan w:val="2"/>
            <w:tcBorders>
              <w:top w:val="single" w:sz="4" w:space="0" w:color="auto"/>
              <w:bottom w:val="single" w:sz="4" w:space="0" w:color="auto"/>
            </w:tcBorders>
            <w:vAlign w:val="center"/>
          </w:tcPr>
          <w:p w14:paraId="1A215623"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Groups</w:t>
            </w:r>
          </w:p>
        </w:tc>
        <w:tc>
          <w:tcPr>
            <w:tcW w:w="2635" w:type="dxa"/>
            <w:tcBorders>
              <w:top w:val="single" w:sz="4" w:space="0" w:color="auto"/>
              <w:bottom w:val="single" w:sz="4" w:space="0" w:color="auto"/>
            </w:tcBorders>
            <w:vAlign w:val="center"/>
          </w:tcPr>
          <w:p w14:paraId="0BF245B3"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Mean Difference (SE)</w:t>
            </w:r>
          </w:p>
        </w:tc>
        <w:tc>
          <w:tcPr>
            <w:tcW w:w="1418" w:type="dxa"/>
            <w:tcBorders>
              <w:top w:val="single" w:sz="4" w:space="0" w:color="auto"/>
              <w:bottom w:val="single" w:sz="4" w:space="0" w:color="auto"/>
            </w:tcBorders>
            <w:vAlign w:val="center"/>
          </w:tcPr>
          <w:p w14:paraId="6868945B"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 xml:space="preserve">P </w:t>
            </w:r>
            <w:r w:rsidRPr="00737EE8">
              <w:rPr>
                <w:b/>
                <w:color w:val="000000" w:themeColor="text1"/>
                <w:sz w:val="20"/>
                <w:szCs w:val="20"/>
                <w:lang w:val="en-US"/>
              </w:rPr>
              <w:t>value</w:t>
            </w:r>
          </w:p>
        </w:tc>
      </w:tr>
      <w:tr w:rsidR="00737EE8" w:rsidRPr="00737EE8" w14:paraId="3F121584" w14:textId="77777777" w:rsidTr="0088706D">
        <w:tc>
          <w:tcPr>
            <w:tcW w:w="1622" w:type="dxa"/>
            <w:vMerge w:val="restart"/>
            <w:tcBorders>
              <w:top w:val="single" w:sz="4" w:space="0" w:color="auto"/>
            </w:tcBorders>
            <w:vAlign w:val="center"/>
          </w:tcPr>
          <w:p w14:paraId="7E7F5EBF"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3</w:t>
            </w:r>
          </w:p>
        </w:tc>
        <w:tc>
          <w:tcPr>
            <w:tcW w:w="1066" w:type="dxa"/>
            <w:tcBorders>
              <w:top w:val="single" w:sz="4" w:space="0" w:color="auto"/>
            </w:tcBorders>
            <w:vAlign w:val="center"/>
          </w:tcPr>
          <w:p w14:paraId="7762D09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tcBorders>
              <w:top w:val="single" w:sz="4" w:space="0" w:color="auto"/>
            </w:tcBorders>
            <w:vAlign w:val="center"/>
          </w:tcPr>
          <w:p w14:paraId="24E990A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top w:val="single" w:sz="4" w:space="0" w:color="auto"/>
            </w:tcBorders>
            <w:vAlign w:val="center"/>
          </w:tcPr>
          <w:p w14:paraId="2F5FB92D" w14:textId="77777777" w:rsidR="00737EE8" w:rsidRPr="00737EE8" w:rsidRDefault="00737EE8" w:rsidP="0088706D">
            <w:pPr>
              <w:pStyle w:val="NoSpacing"/>
              <w:jc w:val="center"/>
              <w:rPr>
                <w:color w:val="000000" w:themeColor="text1"/>
                <w:sz w:val="20"/>
                <w:szCs w:val="20"/>
                <w:lang w:val="en-US"/>
              </w:rPr>
            </w:pPr>
            <w:r w:rsidRPr="00737EE8">
              <w:rPr>
                <w:rFonts w:eastAsia="Times New Roman"/>
                <w:color w:val="000000" w:themeColor="text1"/>
                <w:sz w:val="20"/>
                <w:szCs w:val="20"/>
              </w:rPr>
              <w:t>2.89 (±0.82)</w:t>
            </w:r>
          </w:p>
        </w:tc>
        <w:tc>
          <w:tcPr>
            <w:tcW w:w="1418" w:type="dxa"/>
            <w:tcBorders>
              <w:top w:val="single" w:sz="4" w:space="0" w:color="auto"/>
            </w:tcBorders>
            <w:vAlign w:val="center"/>
          </w:tcPr>
          <w:p w14:paraId="064FD103"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1</w:t>
            </w:r>
          </w:p>
        </w:tc>
      </w:tr>
      <w:tr w:rsidR="00737EE8" w:rsidRPr="00737EE8" w14:paraId="3AF0254B" w14:textId="77777777" w:rsidTr="0088706D">
        <w:tc>
          <w:tcPr>
            <w:tcW w:w="1622" w:type="dxa"/>
            <w:vMerge/>
            <w:tcBorders>
              <w:bottom w:val="single" w:sz="4" w:space="0" w:color="auto"/>
            </w:tcBorders>
            <w:vAlign w:val="center"/>
          </w:tcPr>
          <w:p w14:paraId="33D02FFC" w14:textId="77777777" w:rsidR="00737EE8" w:rsidRPr="00737EE8" w:rsidRDefault="00737EE8" w:rsidP="0088706D">
            <w:pPr>
              <w:pStyle w:val="NoSpacing"/>
              <w:jc w:val="center"/>
              <w:rPr>
                <w:b/>
                <w:i/>
                <w:color w:val="000000" w:themeColor="text1"/>
                <w:sz w:val="20"/>
                <w:szCs w:val="20"/>
                <w:lang w:val="en-US"/>
              </w:rPr>
            </w:pPr>
          </w:p>
        </w:tc>
        <w:tc>
          <w:tcPr>
            <w:tcW w:w="1066" w:type="dxa"/>
            <w:tcBorders>
              <w:bottom w:val="single" w:sz="4" w:space="0" w:color="auto"/>
            </w:tcBorders>
            <w:vAlign w:val="center"/>
          </w:tcPr>
          <w:p w14:paraId="54CDB7E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630" w:type="dxa"/>
            <w:tcBorders>
              <w:bottom w:val="single" w:sz="4" w:space="0" w:color="auto"/>
            </w:tcBorders>
            <w:vAlign w:val="center"/>
          </w:tcPr>
          <w:p w14:paraId="73140AB4"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bottom w:val="single" w:sz="4" w:space="0" w:color="auto"/>
            </w:tcBorders>
            <w:vAlign w:val="center"/>
          </w:tcPr>
          <w:p w14:paraId="62EB7EA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2.93 (±0.86)</w:t>
            </w:r>
          </w:p>
        </w:tc>
        <w:tc>
          <w:tcPr>
            <w:tcW w:w="1418" w:type="dxa"/>
            <w:tcBorders>
              <w:bottom w:val="single" w:sz="4" w:space="0" w:color="auto"/>
            </w:tcBorders>
            <w:vAlign w:val="center"/>
          </w:tcPr>
          <w:p w14:paraId="7F6759E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w:t>
            </w:r>
          </w:p>
        </w:tc>
      </w:tr>
      <w:tr w:rsidR="00737EE8" w:rsidRPr="00737EE8" w14:paraId="7E550E0D" w14:textId="77777777" w:rsidTr="0088706D">
        <w:tc>
          <w:tcPr>
            <w:tcW w:w="1622" w:type="dxa"/>
            <w:vMerge w:val="restart"/>
            <w:tcBorders>
              <w:top w:val="single" w:sz="4" w:space="0" w:color="auto"/>
            </w:tcBorders>
            <w:vAlign w:val="center"/>
          </w:tcPr>
          <w:p w14:paraId="29D38132"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4</w:t>
            </w:r>
          </w:p>
        </w:tc>
        <w:tc>
          <w:tcPr>
            <w:tcW w:w="1066" w:type="dxa"/>
            <w:tcBorders>
              <w:top w:val="single" w:sz="4" w:space="0" w:color="auto"/>
            </w:tcBorders>
            <w:vAlign w:val="center"/>
          </w:tcPr>
          <w:p w14:paraId="3210119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tcBorders>
              <w:top w:val="single" w:sz="4" w:space="0" w:color="auto"/>
            </w:tcBorders>
            <w:vAlign w:val="center"/>
          </w:tcPr>
          <w:p w14:paraId="2D7E963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top w:val="single" w:sz="4" w:space="0" w:color="auto"/>
            </w:tcBorders>
            <w:vAlign w:val="center"/>
          </w:tcPr>
          <w:p w14:paraId="6C55415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4.66 (±1.40)</w:t>
            </w:r>
          </w:p>
        </w:tc>
        <w:tc>
          <w:tcPr>
            <w:tcW w:w="1418" w:type="dxa"/>
            <w:tcBorders>
              <w:top w:val="single" w:sz="4" w:space="0" w:color="auto"/>
            </w:tcBorders>
            <w:vAlign w:val="center"/>
          </w:tcPr>
          <w:p w14:paraId="1DB9DCB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2</w:t>
            </w:r>
          </w:p>
        </w:tc>
      </w:tr>
      <w:tr w:rsidR="00737EE8" w:rsidRPr="00737EE8" w14:paraId="11AAD61C" w14:textId="77777777" w:rsidTr="0088706D">
        <w:tc>
          <w:tcPr>
            <w:tcW w:w="1622" w:type="dxa"/>
            <w:vMerge/>
            <w:tcBorders>
              <w:bottom w:val="single" w:sz="4" w:space="0" w:color="auto"/>
            </w:tcBorders>
            <w:vAlign w:val="center"/>
          </w:tcPr>
          <w:p w14:paraId="2009040F" w14:textId="77777777" w:rsidR="00737EE8" w:rsidRPr="00737EE8" w:rsidRDefault="00737EE8" w:rsidP="0088706D">
            <w:pPr>
              <w:pStyle w:val="NoSpacing"/>
              <w:jc w:val="center"/>
              <w:rPr>
                <w:b/>
                <w:i/>
                <w:color w:val="000000" w:themeColor="text1"/>
                <w:sz w:val="20"/>
                <w:szCs w:val="20"/>
                <w:lang w:val="en-US"/>
              </w:rPr>
            </w:pPr>
          </w:p>
        </w:tc>
        <w:tc>
          <w:tcPr>
            <w:tcW w:w="1066" w:type="dxa"/>
            <w:tcBorders>
              <w:bottom w:val="single" w:sz="4" w:space="0" w:color="auto"/>
            </w:tcBorders>
            <w:vAlign w:val="center"/>
          </w:tcPr>
          <w:p w14:paraId="14ED6654"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630" w:type="dxa"/>
            <w:tcBorders>
              <w:bottom w:val="single" w:sz="4" w:space="0" w:color="auto"/>
            </w:tcBorders>
            <w:vAlign w:val="center"/>
          </w:tcPr>
          <w:p w14:paraId="727B64C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bottom w:val="single" w:sz="4" w:space="0" w:color="auto"/>
            </w:tcBorders>
            <w:vAlign w:val="center"/>
          </w:tcPr>
          <w:p w14:paraId="02D706D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4.32 (±1.40)</w:t>
            </w:r>
          </w:p>
        </w:tc>
        <w:tc>
          <w:tcPr>
            <w:tcW w:w="1418" w:type="dxa"/>
            <w:tcBorders>
              <w:bottom w:val="single" w:sz="4" w:space="0" w:color="auto"/>
            </w:tcBorders>
            <w:vAlign w:val="center"/>
          </w:tcPr>
          <w:p w14:paraId="0E2DE4A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4</w:t>
            </w:r>
          </w:p>
        </w:tc>
      </w:tr>
      <w:tr w:rsidR="00737EE8" w:rsidRPr="00737EE8" w14:paraId="36849A32" w14:textId="77777777" w:rsidTr="0088706D">
        <w:tc>
          <w:tcPr>
            <w:tcW w:w="1622" w:type="dxa"/>
            <w:vMerge w:val="restart"/>
            <w:tcBorders>
              <w:top w:val="single" w:sz="4" w:space="0" w:color="auto"/>
            </w:tcBorders>
            <w:vAlign w:val="center"/>
          </w:tcPr>
          <w:p w14:paraId="61E4B40E"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5</w:t>
            </w:r>
          </w:p>
        </w:tc>
        <w:tc>
          <w:tcPr>
            <w:tcW w:w="1066" w:type="dxa"/>
            <w:tcBorders>
              <w:top w:val="single" w:sz="4" w:space="0" w:color="auto"/>
            </w:tcBorders>
            <w:vAlign w:val="center"/>
          </w:tcPr>
          <w:p w14:paraId="1DDC6CA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tcBorders>
              <w:top w:val="single" w:sz="4" w:space="0" w:color="auto"/>
            </w:tcBorders>
            <w:vAlign w:val="center"/>
          </w:tcPr>
          <w:p w14:paraId="2C412E44"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tcBorders>
              <w:top w:val="single" w:sz="4" w:space="0" w:color="auto"/>
            </w:tcBorders>
            <w:vAlign w:val="center"/>
          </w:tcPr>
          <w:p w14:paraId="5B98BA3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6.61 (±1.40)</w:t>
            </w:r>
          </w:p>
        </w:tc>
        <w:tc>
          <w:tcPr>
            <w:tcW w:w="1418" w:type="dxa"/>
            <w:tcBorders>
              <w:top w:val="single" w:sz="4" w:space="0" w:color="auto"/>
            </w:tcBorders>
            <w:vAlign w:val="center"/>
          </w:tcPr>
          <w:p w14:paraId="0D2DF10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3268BCD3" w14:textId="77777777" w:rsidTr="0088706D">
        <w:tc>
          <w:tcPr>
            <w:tcW w:w="1622" w:type="dxa"/>
            <w:vMerge/>
            <w:vAlign w:val="center"/>
          </w:tcPr>
          <w:p w14:paraId="181C4549"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0F9AC23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3F18558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635" w:type="dxa"/>
            <w:vAlign w:val="center"/>
          </w:tcPr>
          <w:p w14:paraId="2396B8D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5.36 (±1.37)</w:t>
            </w:r>
          </w:p>
        </w:tc>
        <w:tc>
          <w:tcPr>
            <w:tcW w:w="1418" w:type="dxa"/>
            <w:vAlign w:val="center"/>
          </w:tcPr>
          <w:p w14:paraId="683E204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.00</w:t>
            </w:r>
          </w:p>
        </w:tc>
      </w:tr>
      <w:tr w:rsidR="00737EE8" w:rsidRPr="00737EE8" w14:paraId="53E715B6" w14:textId="77777777" w:rsidTr="0088706D">
        <w:tc>
          <w:tcPr>
            <w:tcW w:w="1622" w:type="dxa"/>
            <w:vMerge/>
            <w:vAlign w:val="center"/>
          </w:tcPr>
          <w:p w14:paraId="7720C89C"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3FBD005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630" w:type="dxa"/>
            <w:vAlign w:val="center"/>
          </w:tcPr>
          <w:p w14:paraId="50C299D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vAlign w:val="center"/>
          </w:tcPr>
          <w:p w14:paraId="54959D1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4.83 (±1.39)</w:t>
            </w:r>
          </w:p>
        </w:tc>
        <w:tc>
          <w:tcPr>
            <w:tcW w:w="1418" w:type="dxa"/>
            <w:vAlign w:val="center"/>
          </w:tcPr>
          <w:p w14:paraId="0AB81AC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w:t>
            </w:r>
          </w:p>
        </w:tc>
      </w:tr>
      <w:tr w:rsidR="00737EE8" w:rsidRPr="00737EE8" w14:paraId="0496B87E" w14:textId="77777777" w:rsidTr="0088706D">
        <w:tc>
          <w:tcPr>
            <w:tcW w:w="1622" w:type="dxa"/>
            <w:vMerge/>
            <w:tcBorders>
              <w:bottom w:val="single" w:sz="4" w:space="0" w:color="auto"/>
            </w:tcBorders>
            <w:vAlign w:val="center"/>
          </w:tcPr>
          <w:p w14:paraId="6338B86A" w14:textId="77777777" w:rsidR="00737EE8" w:rsidRPr="00737EE8" w:rsidRDefault="00737EE8" w:rsidP="0088706D">
            <w:pPr>
              <w:pStyle w:val="NoSpacing"/>
              <w:jc w:val="center"/>
              <w:rPr>
                <w:b/>
                <w:i/>
                <w:color w:val="000000" w:themeColor="text1"/>
                <w:sz w:val="20"/>
                <w:szCs w:val="20"/>
                <w:lang w:val="en-US"/>
              </w:rPr>
            </w:pPr>
          </w:p>
        </w:tc>
        <w:tc>
          <w:tcPr>
            <w:tcW w:w="1066" w:type="dxa"/>
            <w:tcBorders>
              <w:bottom w:val="single" w:sz="4" w:space="0" w:color="auto"/>
            </w:tcBorders>
            <w:vAlign w:val="center"/>
          </w:tcPr>
          <w:p w14:paraId="1207976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tcBorders>
              <w:bottom w:val="single" w:sz="4" w:space="0" w:color="auto"/>
            </w:tcBorders>
            <w:vAlign w:val="center"/>
          </w:tcPr>
          <w:p w14:paraId="4848C6B4"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bottom w:val="single" w:sz="4" w:space="0" w:color="auto"/>
            </w:tcBorders>
            <w:vAlign w:val="center"/>
          </w:tcPr>
          <w:p w14:paraId="2AFBB14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5.83 (±1.32)</w:t>
            </w:r>
          </w:p>
        </w:tc>
        <w:tc>
          <w:tcPr>
            <w:tcW w:w="1418" w:type="dxa"/>
            <w:tcBorders>
              <w:bottom w:val="single" w:sz="4" w:space="0" w:color="auto"/>
            </w:tcBorders>
            <w:vAlign w:val="center"/>
          </w:tcPr>
          <w:p w14:paraId="14CC81A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6EA0DFAA" w14:textId="77777777" w:rsidTr="0088706D">
        <w:tc>
          <w:tcPr>
            <w:tcW w:w="1622" w:type="dxa"/>
            <w:vMerge w:val="restart"/>
            <w:tcBorders>
              <w:top w:val="single" w:sz="4" w:space="0" w:color="auto"/>
            </w:tcBorders>
            <w:vAlign w:val="center"/>
          </w:tcPr>
          <w:p w14:paraId="25305E91"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 xml:space="preserve">6 </w:t>
            </w:r>
          </w:p>
        </w:tc>
        <w:tc>
          <w:tcPr>
            <w:tcW w:w="1066" w:type="dxa"/>
            <w:tcBorders>
              <w:top w:val="single" w:sz="4" w:space="0" w:color="auto"/>
            </w:tcBorders>
            <w:vAlign w:val="center"/>
          </w:tcPr>
          <w:p w14:paraId="4BA89B4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tcBorders>
              <w:top w:val="single" w:sz="4" w:space="0" w:color="auto"/>
            </w:tcBorders>
            <w:vAlign w:val="center"/>
          </w:tcPr>
          <w:p w14:paraId="1E59818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2635" w:type="dxa"/>
            <w:tcBorders>
              <w:top w:val="single" w:sz="4" w:space="0" w:color="auto"/>
            </w:tcBorders>
            <w:vAlign w:val="center"/>
          </w:tcPr>
          <w:p w14:paraId="6ACBF61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6.64 (±1.46)</w:t>
            </w:r>
          </w:p>
        </w:tc>
        <w:tc>
          <w:tcPr>
            <w:tcW w:w="1418" w:type="dxa"/>
            <w:tcBorders>
              <w:top w:val="single" w:sz="4" w:space="0" w:color="auto"/>
            </w:tcBorders>
            <w:vAlign w:val="center"/>
          </w:tcPr>
          <w:p w14:paraId="2DAD5BA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55F58A4F" w14:textId="77777777" w:rsidTr="0088706D">
        <w:tc>
          <w:tcPr>
            <w:tcW w:w="1622" w:type="dxa"/>
            <w:vMerge/>
            <w:vAlign w:val="center"/>
          </w:tcPr>
          <w:p w14:paraId="2CB17518"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2EE5E8C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451F993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vAlign w:val="center"/>
          </w:tcPr>
          <w:p w14:paraId="6846CAE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8.47 (±1.46)</w:t>
            </w:r>
          </w:p>
        </w:tc>
        <w:tc>
          <w:tcPr>
            <w:tcW w:w="1418" w:type="dxa"/>
            <w:vAlign w:val="center"/>
          </w:tcPr>
          <w:p w14:paraId="7EE2983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70911F82" w14:textId="77777777" w:rsidTr="0088706D">
        <w:tc>
          <w:tcPr>
            <w:tcW w:w="1622" w:type="dxa"/>
            <w:vMerge/>
            <w:vAlign w:val="center"/>
          </w:tcPr>
          <w:p w14:paraId="47C7D1F0"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57CDCAD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0CEB6E1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635" w:type="dxa"/>
            <w:vAlign w:val="center"/>
          </w:tcPr>
          <w:p w14:paraId="3EEBA6A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7.01 (±1.49)</w:t>
            </w:r>
          </w:p>
        </w:tc>
        <w:tc>
          <w:tcPr>
            <w:tcW w:w="1418" w:type="dxa"/>
            <w:vAlign w:val="center"/>
          </w:tcPr>
          <w:p w14:paraId="7165FC6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23D585B9" w14:textId="77777777" w:rsidTr="0088706D">
        <w:tc>
          <w:tcPr>
            <w:tcW w:w="1622" w:type="dxa"/>
            <w:vMerge/>
            <w:vAlign w:val="center"/>
          </w:tcPr>
          <w:p w14:paraId="0A72B6A4"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6DD5612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2DFD227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635" w:type="dxa"/>
            <w:vAlign w:val="center"/>
          </w:tcPr>
          <w:p w14:paraId="6320B8B3"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10.14 (±1.49)</w:t>
            </w:r>
          </w:p>
        </w:tc>
        <w:tc>
          <w:tcPr>
            <w:tcW w:w="1418" w:type="dxa"/>
            <w:vAlign w:val="center"/>
          </w:tcPr>
          <w:p w14:paraId="795A9A1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6B5E6BA6" w14:textId="77777777" w:rsidTr="0088706D">
        <w:tc>
          <w:tcPr>
            <w:tcW w:w="1622" w:type="dxa"/>
            <w:vMerge/>
            <w:vAlign w:val="center"/>
          </w:tcPr>
          <w:p w14:paraId="5177D44F"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7D18CD3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3B849942"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635" w:type="dxa"/>
            <w:vAlign w:val="center"/>
          </w:tcPr>
          <w:p w14:paraId="68F8455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10.66 (±1.49)</w:t>
            </w:r>
          </w:p>
        </w:tc>
        <w:tc>
          <w:tcPr>
            <w:tcW w:w="1418" w:type="dxa"/>
            <w:vAlign w:val="center"/>
          </w:tcPr>
          <w:p w14:paraId="178884E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4CFB720A" w14:textId="77777777" w:rsidTr="0088706D">
        <w:tc>
          <w:tcPr>
            <w:tcW w:w="1622" w:type="dxa"/>
            <w:vMerge/>
            <w:vAlign w:val="center"/>
          </w:tcPr>
          <w:p w14:paraId="2054BD30"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6DEA93E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630" w:type="dxa"/>
            <w:vAlign w:val="center"/>
          </w:tcPr>
          <w:p w14:paraId="5B39115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vAlign w:val="center"/>
          </w:tcPr>
          <w:p w14:paraId="375AD30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4.41 (±1.45)</w:t>
            </w:r>
          </w:p>
        </w:tc>
        <w:tc>
          <w:tcPr>
            <w:tcW w:w="1418" w:type="dxa"/>
            <w:vAlign w:val="center"/>
          </w:tcPr>
          <w:p w14:paraId="325DA12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.04</w:t>
            </w:r>
          </w:p>
        </w:tc>
      </w:tr>
      <w:tr w:rsidR="00737EE8" w:rsidRPr="00737EE8" w14:paraId="104239E7" w14:textId="77777777" w:rsidTr="0088706D">
        <w:tc>
          <w:tcPr>
            <w:tcW w:w="1622" w:type="dxa"/>
            <w:vMerge/>
            <w:vAlign w:val="center"/>
          </w:tcPr>
          <w:p w14:paraId="6552B78E"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3158BF3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vAlign w:val="center"/>
          </w:tcPr>
          <w:p w14:paraId="34AB974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vAlign w:val="center"/>
          </w:tcPr>
          <w:p w14:paraId="35D6C4B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6.25 (±1.45)</w:t>
            </w:r>
          </w:p>
        </w:tc>
        <w:tc>
          <w:tcPr>
            <w:tcW w:w="1418" w:type="dxa"/>
            <w:vAlign w:val="center"/>
          </w:tcPr>
          <w:p w14:paraId="0B45CFD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0F431D58" w14:textId="77777777" w:rsidTr="0088706D">
        <w:tc>
          <w:tcPr>
            <w:tcW w:w="1622" w:type="dxa"/>
            <w:vMerge/>
            <w:vAlign w:val="center"/>
          </w:tcPr>
          <w:p w14:paraId="57B41681"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32D0268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630" w:type="dxa"/>
            <w:vAlign w:val="center"/>
          </w:tcPr>
          <w:p w14:paraId="766411A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vAlign w:val="center"/>
          </w:tcPr>
          <w:p w14:paraId="78069F2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4.79 (±1.48)</w:t>
            </w:r>
          </w:p>
        </w:tc>
        <w:tc>
          <w:tcPr>
            <w:tcW w:w="1418" w:type="dxa"/>
            <w:vAlign w:val="center"/>
          </w:tcPr>
          <w:p w14:paraId="31150A9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.02</w:t>
            </w:r>
          </w:p>
        </w:tc>
      </w:tr>
      <w:tr w:rsidR="00737EE8" w:rsidRPr="00737EE8" w14:paraId="3D09471C" w14:textId="77777777" w:rsidTr="0088706D">
        <w:tc>
          <w:tcPr>
            <w:tcW w:w="1622" w:type="dxa"/>
            <w:vMerge/>
            <w:vAlign w:val="center"/>
          </w:tcPr>
          <w:p w14:paraId="1CC96315"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74EAD34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630" w:type="dxa"/>
            <w:vAlign w:val="center"/>
          </w:tcPr>
          <w:p w14:paraId="6FB7280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635" w:type="dxa"/>
            <w:vAlign w:val="center"/>
          </w:tcPr>
          <w:p w14:paraId="6088407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7.92 (±1.48)</w:t>
            </w:r>
          </w:p>
        </w:tc>
        <w:tc>
          <w:tcPr>
            <w:tcW w:w="1418" w:type="dxa"/>
            <w:vAlign w:val="center"/>
          </w:tcPr>
          <w:p w14:paraId="661E8CB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4B008E2B" w14:textId="77777777" w:rsidTr="0088706D">
        <w:tc>
          <w:tcPr>
            <w:tcW w:w="1622" w:type="dxa"/>
            <w:vMerge/>
            <w:tcBorders>
              <w:bottom w:val="single" w:sz="4" w:space="0" w:color="auto"/>
            </w:tcBorders>
            <w:vAlign w:val="center"/>
          </w:tcPr>
          <w:p w14:paraId="27F9D5F7" w14:textId="77777777" w:rsidR="00737EE8" w:rsidRPr="00737EE8" w:rsidRDefault="00737EE8" w:rsidP="0088706D">
            <w:pPr>
              <w:pStyle w:val="NoSpacing"/>
              <w:jc w:val="center"/>
              <w:rPr>
                <w:b/>
                <w:i/>
                <w:color w:val="000000" w:themeColor="text1"/>
                <w:sz w:val="20"/>
                <w:szCs w:val="20"/>
                <w:lang w:val="en-US"/>
              </w:rPr>
            </w:pPr>
          </w:p>
        </w:tc>
        <w:tc>
          <w:tcPr>
            <w:tcW w:w="1066" w:type="dxa"/>
            <w:tcBorders>
              <w:bottom w:val="single" w:sz="4" w:space="0" w:color="auto"/>
            </w:tcBorders>
            <w:vAlign w:val="center"/>
          </w:tcPr>
          <w:p w14:paraId="3692219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630" w:type="dxa"/>
            <w:tcBorders>
              <w:bottom w:val="single" w:sz="4" w:space="0" w:color="auto"/>
            </w:tcBorders>
            <w:vAlign w:val="center"/>
          </w:tcPr>
          <w:p w14:paraId="1F1ECAC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635" w:type="dxa"/>
            <w:tcBorders>
              <w:bottom w:val="single" w:sz="4" w:space="0" w:color="auto"/>
            </w:tcBorders>
            <w:vAlign w:val="center"/>
          </w:tcPr>
          <w:p w14:paraId="7B5563D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8.44 (±1.48)</w:t>
            </w:r>
          </w:p>
        </w:tc>
        <w:tc>
          <w:tcPr>
            <w:tcW w:w="1418" w:type="dxa"/>
            <w:tcBorders>
              <w:bottom w:val="single" w:sz="4" w:space="0" w:color="auto"/>
            </w:tcBorders>
            <w:vAlign w:val="center"/>
          </w:tcPr>
          <w:p w14:paraId="15E345F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50750DB3" w14:textId="77777777" w:rsidTr="0088706D">
        <w:tc>
          <w:tcPr>
            <w:tcW w:w="1622" w:type="dxa"/>
            <w:vMerge w:val="restart"/>
            <w:tcBorders>
              <w:top w:val="single" w:sz="4" w:space="0" w:color="auto"/>
            </w:tcBorders>
            <w:vAlign w:val="center"/>
          </w:tcPr>
          <w:p w14:paraId="6F5AD53F"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7</w:t>
            </w:r>
          </w:p>
        </w:tc>
        <w:tc>
          <w:tcPr>
            <w:tcW w:w="1066" w:type="dxa"/>
            <w:tcBorders>
              <w:top w:val="single" w:sz="4" w:space="0" w:color="auto"/>
            </w:tcBorders>
            <w:vAlign w:val="center"/>
          </w:tcPr>
          <w:p w14:paraId="0AB3B29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tcBorders>
              <w:top w:val="single" w:sz="4" w:space="0" w:color="auto"/>
            </w:tcBorders>
            <w:vAlign w:val="center"/>
          </w:tcPr>
          <w:p w14:paraId="2AD8446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tcBorders>
              <w:top w:val="single" w:sz="4" w:space="0" w:color="auto"/>
            </w:tcBorders>
            <w:vAlign w:val="center"/>
          </w:tcPr>
          <w:p w14:paraId="45C5A1B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5.54 (±1.51)</w:t>
            </w:r>
          </w:p>
        </w:tc>
        <w:tc>
          <w:tcPr>
            <w:tcW w:w="1418" w:type="dxa"/>
            <w:tcBorders>
              <w:top w:val="single" w:sz="4" w:space="0" w:color="auto"/>
            </w:tcBorders>
            <w:vAlign w:val="center"/>
          </w:tcPr>
          <w:p w14:paraId="49DA22C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1</w:t>
            </w:r>
          </w:p>
        </w:tc>
      </w:tr>
      <w:tr w:rsidR="00737EE8" w:rsidRPr="00737EE8" w14:paraId="7316112A" w14:textId="77777777" w:rsidTr="0088706D">
        <w:tc>
          <w:tcPr>
            <w:tcW w:w="1622" w:type="dxa"/>
            <w:vMerge/>
            <w:vAlign w:val="center"/>
          </w:tcPr>
          <w:p w14:paraId="359B6AF6"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26633E8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48628EB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635" w:type="dxa"/>
            <w:vAlign w:val="center"/>
          </w:tcPr>
          <w:p w14:paraId="080AF6B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4.48 (±1.47)</w:t>
            </w:r>
          </w:p>
        </w:tc>
        <w:tc>
          <w:tcPr>
            <w:tcW w:w="1418" w:type="dxa"/>
            <w:vAlign w:val="center"/>
          </w:tcPr>
          <w:p w14:paraId="27A8000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.04</w:t>
            </w:r>
          </w:p>
        </w:tc>
      </w:tr>
      <w:tr w:rsidR="00737EE8" w:rsidRPr="00737EE8" w14:paraId="0AF99762" w14:textId="77777777" w:rsidTr="0088706D">
        <w:tc>
          <w:tcPr>
            <w:tcW w:w="1622" w:type="dxa"/>
            <w:vMerge/>
            <w:vAlign w:val="center"/>
          </w:tcPr>
          <w:p w14:paraId="309D656E"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2148F97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630" w:type="dxa"/>
            <w:vAlign w:val="center"/>
          </w:tcPr>
          <w:p w14:paraId="07970F2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vAlign w:val="center"/>
          </w:tcPr>
          <w:p w14:paraId="492D9C4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5.06 (±1.46)</w:t>
            </w:r>
          </w:p>
        </w:tc>
        <w:tc>
          <w:tcPr>
            <w:tcW w:w="1418" w:type="dxa"/>
            <w:vAlign w:val="center"/>
          </w:tcPr>
          <w:p w14:paraId="75D1C18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w:t>
            </w:r>
          </w:p>
        </w:tc>
      </w:tr>
      <w:tr w:rsidR="00737EE8" w:rsidRPr="00737EE8" w14:paraId="70760BBB" w14:textId="77777777" w:rsidTr="0088706D">
        <w:tc>
          <w:tcPr>
            <w:tcW w:w="1622" w:type="dxa"/>
            <w:vMerge/>
            <w:vAlign w:val="center"/>
          </w:tcPr>
          <w:p w14:paraId="24314785"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119186A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vAlign w:val="center"/>
          </w:tcPr>
          <w:p w14:paraId="16E72CC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635" w:type="dxa"/>
            <w:vAlign w:val="center"/>
          </w:tcPr>
          <w:p w14:paraId="3DAE8B8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4.49 (±1.46)</w:t>
            </w:r>
          </w:p>
        </w:tc>
        <w:tc>
          <w:tcPr>
            <w:tcW w:w="1418" w:type="dxa"/>
            <w:vAlign w:val="center"/>
          </w:tcPr>
          <w:p w14:paraId="6C2C098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4</w:t>
            </w:r>
          </w:p>
        </w:tc>
      </w:tr>
      <w:tr w:rsidR="00737EE8" w:rsidRPr="00737EE8" w14:paraId="2F35B5CA" w14:textId="77777777" w:rsidTr="0088706D">
        <w:tc>
          <w:tcPr>
            <w:tcW w:w="1622" w:type="dxa"/>
            <w:vMerge/>
            <w:vAlign w:val="center"/>
          </w:tcPr>
          <w:p w14:paraId="7BACEBA8"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33D98D6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vAlign w:val="center"/>
          </w:tcPr>
          <w:p w14:paraId="3C13A97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vAlign w:val="center"/>
          </w:tcPr>
          <w:p w14:paraId="5959721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5.68 (±1.43)</w:t>
            </w:r>
          </w:p>
        </w:tc>
        <w:tc>
          <w:tcPr>
            <w:tcW w:w="1418" w:type="dxa"/>
            <w:vAlign w:val="center"/>
          </w:tcPr>
          <w:p w14:paraId="577B45E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.00</w:t>
            </w:r>
          </w:p>
        </w:tc>
      </w:tr>
      <w:tr w:rsidR="00737EE8" w:rsidRPr="00737EE8" w14:paraId="5FAC2018" w14:textId="77777777" w:rsidTr="0088706D">
        <w:tc>
          <w:tcPr>
            <w:tcW w:w="1622" w:type="dxa"/>
            <w:vMerge/>
            <w:vAlign w:val="center"/>
          </w:tcPr>
          <w:p w14:paraId="3A8BDE6D"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22E0BF7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630" w:type="dxa"/>
            <w:vAlign w:val="center"/>
          </w:tcPr>
          <w:p w14:paraId="231EC14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635" w:type="dxa"/>
            <w:vAlign w:val="center"/>
          </w:tcPr>
          <w:p w14:paraId="6DE89FD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4.13 (±1.39)</w:t>
            </w:r>
          </w:p>
        </w:tc>
        <w:tc>
          <w:tcPr>
            <w:tcW w:w="1418" w:type="dxa"/>
            <w:vAlign w:val="center"/>
          </w:tcPr>
          <w:p w14:paraId="10491B6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5</w:t>
            </w:r>
          </w:p>
        </w:tc>
      </w:tr>
      <w:tr w:rsidR="00737EE8" w:rsidRPr="00737EE8" w14:paraId="7D440747" w14:textId="77777777" w:rsidTr="0088706D">
        <w:tc>
          <w:tcPr>
            <w:tcW w:w="1622" w:type="dxa"/>
            <w:vMerge/>
            <w:tcBorders>
              <w:bottom w:val="single" w:sz="4" w:space="0" w:color="auto"/>
            </w:tcBorders>
            <w:vAlign w:val="center"/>
          </w:tcPr>
          <w:p w14:paraId="695819F9" w14:textId="77777777" w:rsidR="00737EE8" w:rsidRPr="00737EE8" w:rsidRDefault="00737EE8" w:rsidP="0088706D">
            <w:pPr>
              <w:pStyle w:val="NoSpacing"/>
              <w:jc w:val="center"/>
              <w:rPr>
                <w:color w:val="000000" w:themeColor="text1"/>
                <w:sz w:val="20"/>
                <w:szCs w:val="20"/>
                <w:lang w:val="en-US"/>
              </w:rPr>
            </w:pPr>
          </w:p>
        </w:tc>
        <w:tc>
          <w:tcPr>
            <w:tcW w:w="1066" w:type="dxa"/>
            <w:tcBorders>
              <w:bottom w:val="single" w:sz="4" w:space="0" w:color="auto"/>
            </w:tcBorders>
            <w:vAlign w:val="center"/>
          </w:tcPr>
          <w:p w14:paraId="73E95CD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630" w:type="dxa"/>
            <w:tcBorders>
              <w:bottom w:val="single" w:sz="4" w:space="0" w:color="auto"/>
            </w:tcBorders>
            <w:vAlign w:val="center"/>
          </w:tcPr>
          <w:p w14:paraId="5A9AA55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635" w:type="dxa"/>
            <w:tcBorders>
              <w:bottom w:val="single" w:sz="4" w:space="0" w:color="auto"/>
            </w:tcBorders>
            <w:vAlign w:val="center"/>
          </w:tcPr>
          <w:p w14:paraId="79C5547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4.62 (±1.39)</w:t>
            </w:r>
          </w:p>
        </w:tc>
        <w:tc>
          <w:tcPr>
            <w:tcW w:w="1418" w:type="dxa"/>
            <w:tcBorders>
              <w:bottom w:val="single" w:sz="4" w:space="0" w:color="auto"/>
            </w:tcBorders>
            <w:vAlign w:val="center"/>
          </w:tcPr>
          <w:p w14:paraId="224647F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2</w:t>
            </w:r>
          </w:p>
        </w:tc>
      </w:tr>
    </w:tbl>
    <w:p w14:paraId="35D8173E" w14:textId="77777777" w:rsidR="00737EE8" w:rsidRPr="00737EE8" w:rsidRDefault="00737EE8" w:rsidP="00737EE8">
      <w:pPr>
        <w:pStyle w:val="NoSpacing"/>
        <w:rPr>
          <w:color w:val="000000" w:themeColor="text1"/>
          <w:sz w:val="20"/>
          <w:szCs w:val="20"/>
        </w:rPr>
      </w:pPr>
    </w:p>
    <w:p w14:paraId="3E008775" w14:textId="77777777" w:rsidR="00737EE8" w:rsidRPr="00737EE8" w:rsidRDefault="00737EE8" w:rsidP="00737EE8">
      <w:pPr>
        <w:pStyle w:val="NoSpacing"/>
        <w:jc w:val="both"/>
        <w:rPr>
          <w:color w:val="000000" w:themeColor="text1"/>
          <w:sz w:val="20"/>
          <w:szCs w:val="20"/>
        </w:rPr>
      </w:pPr>
    </w:p>
    <w:p w14:paraId="3559567E" w14:textId="77777777" w:rsidR="00737EE8" w:rsidRPr="00737EE8" w:rsidRDefault="00737EE8" w:rsidP="00737EE8">
      <w:pPr>
        <w:pStyle w:val="NoSpacing"/>
        <w:jc w:val="both"/>
        <w:rPr>
          <w:color w:val="000000" w:themeColor="text1"/>
          <w:sz w:val="20"/>
          <w:szCs w:val="20"/>
        </w:rPr>
      </w:pPr>
    </w:p>
    <w:p w14:paraId="3F57E216"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Post-hoc analysis was also done for root lengths (Table 3). In roots, days 3 and 4 saw that the shorter length of roots in the control group as compared with the treatment groups is significant. For instance, except for 6N at day 3, the control group is statistically different against all treatments where it indicates that at this stage of development, the magnetically treated seeds are showing growth advantage over untreated seeds due to their longer roots, which can be crucial to the overall development of </w:t>
      </w:r>
      <w:r w:rsidRPr="00737EE8">
        <w:rPr>
          <w:i/>
          <w:color w:val="000000" w:themeColor="text1"/>
          <w:sz w:val="20"/>
          <w:szCs w:val="20"/>
        </w:rPr>
        <w:t>B. rapa</w:t>
      </w:r>
      <w:r w:rsidRPr="00737EE8">
        <w:rPr>
          <w:color w:val="000000" w:themeColor="text1"/>
          <w:sz w:val="20"/>
          <w:szCs w:val="20"/>
        </w:rPr>
        <w:t xml:space="preserve">. Untreated seeds’ root measurements are seen to persist up to day 6 against 6S and 12S. With reference to the heatmap in Figure 3a, this post-hoc analysis validates that significant changes in root lengths are observable within the days 3 to 5 timeframe. </w:t>
      </w:r>
    </w:p>
    <w:p w14:paraId="29893651" w14:textId="77777777" w:rsidR="00737EE8" w:rsidRPr="00737EE8" w:rsidRDefault="00737EE8" w:rsidP="00737EE8">
      <w:pPr>
        <w:pStyle w:val="NoSpacing"/>
        <w:rPr>
          <w:color w:val="000000" w:themeColor="text1"/>
          <w:sz w:val="20"/>
          <w:szCs w:val="20"/>
        </w:rPr>
      </w:pPr>
    </w:p>
    <w:p w14:paraId="0FF5907A" w14:textId="77777777" w:rsidR="00737EE8" w:rsidRPr="00737EE8" w:rsidRDefault="00737EE8" w:rsidP="00737EE8">
      <w:pPr>
        <w:pStyle w:val="NoSpacing"/>
        <w:rPr>
          <w:color w:val="000000" w:themeColor="text1"/>
          <w:sz w:val="20"/>
          <w:szCs w:val="20"/>
        </w:rPr>
      </w:pPr>
    </w:p>
    <w:p w14:paraId="5AB463FF" w14:textId="77777777" w:rsidR="00737EE8" w:rsidRPr="00737EE8" w:rsidRDefault="00737EE8" w:rsidP="00737EE8">
      <w:pPr>
        <w:pStyle w:val="NoSpacing"/>
        <w:rPr>
          <w:color w:val="000000" w:themeColor="text1"/>
          <w:sz w:val="20"/>
          <w:szCs w:val="20"/>
        </w:rPr>
      </w:pPr>
    </w:p>
    <w:p w14:paraId="556D1902" w14:textId="77777777" w:rsidR="00737EE8" w:rsidRPr="00D859EF" w:rsidRDefault="00737EE8" w:rsidP="00737EE8">
      <w:pPr>
        <w:pStyle w:val="NoSpacing"/>
        <w:rPr>
          <w:b/>
          <w:color w:val="000000" w:themeColor="text1"/>
          <w:sz w:val="20"/>
          <w:szCs w:val="20"/>
        </w:rPr>
      </w:pPr>
      <w:r w:rsidRPr="00D859EF">
        <w:rPr>
          <w:b/>
          <w:color w:val="000000" w:themeColor="text1"/>
          <w:sz w:val="20"/>
          <w:szCs w:val="20"/>
        </w:rPr>
        <w:t xml:space="preserve">Table 3. Summarized Tukey’s Post Hoc P values with significant difference in roots (significant at </w:t>
      </w:r>
      <w:r w:rsidRPr="00D859EF">
        <w:rPr>
          <w:b/>
          <w:i/>
          <w:color w:val="000000" w:themeColor="text1"/>
          <w:sz w:val="20"/>
          <w:szCs w:val="20"/>
        </w:rPr>
        <w:t>P</w:t>
      </w:r>
      <w:r w:rsidRPr="00D859EF">
        <w:rPr>
          <w:b/>
          <w:color w:val="000000" w:themeColor="text1"/>
          <w:sz w:val="20"/>
          <w:szCs w:val="20"/>
        </w:rPr>
        <w:t xml:space="preserve"> = .05)</w:t>
      </w:r>
    </w:p>
    <w:p w14:paraId="556546BB" w14:textId="77777777" w:rsidR="00737EE8" w:rsidRPr="00737EE8" w:rsidRDefault="00737EE8" w:rsidP="00737EE8">
      <w:pPr>
        <w:pStyle w:val="NoSpacing"/>
        <w:rPr>
          <w:color w:val="000000" w:themeColor="text1"/>
          <w:sz w:val="20"/>
          <w:szCs w:val="20"/>
        </w:rPr>
      </w:pPr>
    </w:p>
    <w:tbl>
      <w:tblPr>
        <w:tblStyle w:val="TableGrid"/>
        <w:tblW w:w="0" w:type="auto"/>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1058"/>
        <w:gridCol w:w="1117"/>
        <w:gridCol w:w="2496"/>
        <w:gridCol w:w="1258"/>
      </w:tblGrid>
      <w:tr w:rsidR="00737EE8" w:rsidRPr="00737EE8" w14:paraId="34E5874E" w14:textId="77777777" w:rsidTr="0088706D">
        <w:tc>
          <w:tcPr>
            <w:tcW w:w="1580" w:type="dxa"/>
            <w:tcBorders>
              <w:top w:val="single" w:sz="4" w:space="0" w:color="auto"/>
              <w:bottom w:val="single" w:sz="4" w:space="0" w:color="auto"/>
            </w:tcBorders>
            <w:vAlign w:val="center"/>
          </w:tcPr>
          <w:p w14:paraId="29574814"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Day</w:t>
            </w:r>
          </w:p>
        </w:tc>
        <w:tc>
          <w:tcPr>
            <w:tcW w:w="2175" w:type="dxa"/>
            <w:gridSpan w:val="2"/>
            <w:tcBorders>
              <w:top w:val="single" w:sz="4" w:space="0" w:color="auto"/>
              <w:bottom w:val="single" w:sz="4" w:space="0" w:color="auto"/>
            </w:tcBorders>
            <w:vAlign w:val="center"/>
          </w:tcPr>
          <w:p w14:paraId="1475006F"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Groups</w:t>
            </w:r>
          </w:p>
        </w:tc>
        <w:tc>
          <w:tcPr>
            <w:tcW w:w="2496" w:type="dxa"/>
            <w:tcBorders>
              <w:top w:val="single" w:sz="4" w:space="0" w:color="auto"/>
              <w:bottom w:val="single" w:sz="4" w:space="0" w:color="auto"/>
            </w:tcBorders>
          </w:tcPr>
          <w:p w14:paraId="679E5BA4"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Mean Difference (SE)</w:t>
            </w:r>
          </w:p>
        </w:tc>
        <w:tc>
          <w:tcPr>
            <w:tcW w:w="1258" w:type="dxa"/>
            <w:tcBorders>
              <w:top w:val="single" w:sz="4" w:space="0" w:color="auto"/>
              <w:bottom w:val="single" w:sz="4" w:space="0" w:color="auto"/>
            </w:tcBorders>
          </w:tcPr>
          <w:p w14:paraId="412EA10F"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 xml:space="preserve">P </w:t>
            </w:r>
            <w:r w:rsidRPr="00737EE8">
              <w:rPr>
                <w:b/>
                <w:color w:val="000000" w:themeColor="text1"/>
                <w:sz w:val="20"/>
                <w:szCs w:val="20"/>
                <w:lang w:val="en-US"/>
              </w:rPr>
              <w:t>value</w:t>
            </w:r>
          </w:p>
        </w:tc>
      </w:tr>
      <w:tr w:rsidR="00737EE8" w:rsidRPr="00737EE8" w14:paraId="44999674" w14:textId="77777777" w:rsidTr="0088706D">
        <w:tc>
          <w:tcPr>
            <w:tcW w:w="1580" w:type="dxa"/>
            <w:vMerge w:val="restart"/>
            <w:tcBorders>
              <w:top w:val="single" w:sz="4" w:space="0" w:color="auto"/>
            </w:tcBorders>
            <w:vAlign w:val="center"/>
          </w:tcPr>
          <w:p w14:paraId="6484806B"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3</w:t>
            </w:r>
          </w:p>
        </w:tc>
        <w:tc>
          <w:tcPr>
            <w:tcW w:w="1058" w:type="dxa"/>
            <w:tcBorders>
              <w:top w:val="single" w:sz="4" w:space="0" w:color="auto"/>
            </w:tcBorders>
          </w:tcPr>
          <w:p w14:paraId="4A3F74D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 xml:space="preserve">Control </w:t>
            </w:r>
          </w:p>
        </w:tc>
        <w:tc>
          <w:tcPr>
            <w:tcW w:w="1117" w:type="dxa"/>
            <w:tcBorders>
              <w:top w:val="single" w:sz="4" w:space="0" w:color="auto"/>
            </w:tcBorders>
          </w:tcPr>
          <w:p w14:paraId="7F72527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2496" w:type="dxa"/>
            <w:tcBorders>
              <w:top w:val="single" w:sz="4" w:space="0" w:color="auto"/>
            </w:tcBorders>
          </w:tcPr>
          <w:p w14:paraId="5FD3855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6.57 (±2.62)</w:t>
            </w:r>
          </w:p>
        </w:tc>
        <w:tc>
          <w:tcPr>
            <w:tcW w:w="1258" w:type="dxa"/>
            <w:tcBorders>
              <w:top w:val="single" w:sz="4" w:space="0" w:color="auto"/>
            </w:tcBorders>
          </w:tcPr>
          <w:p w14:paraId="50AE2A4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w:t>
            </w:r>
          </w:p>
        </w:tc>
      </w:tr>
      <w:tr w:rsidR="00737EE8" w:rsidRPr="00737EE8" w14:paraId="0B0519A4" w14:textId="77777777" w:rsidTr="0088706D">
        <w:tc>
          <w:tcPr>
            <w:tcW w:w="1580" w:type="dxa"/>
            <w:vMerge/>
            <w:vAlign w:val="center"/>
          </w:tcPr>
          <w:p w14:paraId="532DA8BF"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19AF819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7D0BBF1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496" w:type="dxa"/>
          </w:tcPr>
          <w:p w14:paraId="46AEE6D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8.88 (±1.91)</w:t>
            </w:r>
          </w:p>
        </w:tc>
        <w:tc>
          <w:tcPr>
            <w:tcW w:w="1258" w:type="dxa"/>
          </w:tcPr>
          <w:p w14:paraId="3EDBA2E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07D97082" w14:textId="77777777" w:rsidTr="0088706D">
        <w:tc>
          <w:tcPr>
            <w:tcW w:w="1580" w:type="dxa"/>
            <w:vMerge/>
            <w:vAlign w:val="center"/>
          </w:tcPr>
          <w:p w14:paraId="5DB55203"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1018281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09C6BC8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496" w:type="dxa"/>
          </w:tcPr>
          <w:p w14:paraId="283AFCB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7.18 (±2.01)</w:t>
            </w:r>
          </w:p>
        </w:tc>
        <w:tc>
          <w:tcPr>
            <w:tcW w:w="1258" w:type="dxa"/>
          </w:tcPr>
          <w:p w14:paraId="79FD5CA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1</w:t>
            </w:r>
          </w:p>
        </w:tc>
      </w:tr>
      <w:tr w:rsidR="00737EE8" w:rsidRPr="00737EE8" w14:paraId="12CDA4C1" w14:textId="77777777" w:rsidTr="0088706D">
        <w:tc>
          <w:tcPr>
            <w:tcW w:w="1580" w:type="dxa"/>
            <w:vMerge/>
            <w:vAlign w:val="center"/>
          </w:tcPr>
          <w:p w14:paraId="3BBDD0EB"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7C0488D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55033052"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496" w:type="dxa"/>
          </w:tcPr>
          <w:p w14:paraId="76618FE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10.17 (±1.92)</w:t>
            </w:r>
          </w:p>
        </w:tc>
        <w:tc>
          <w:tcPr>
            <w:tcW w:w="1258" w:type="dxa"/>
          </w:tcPr>
          <w:p w14:paraId="17D99FA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4918E310" w14:textId="77777777" w:rsidTr="0088706D">
        <w:tc>
          <w:tcPr>
            <w:tcW w:w="1580" w:type="dxa"/>
            <w:vMerge/>
            <w:vAlign w:val="center"/>
          </w:tcPr>
          <w:p w14:paraId="76363B9A"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19998BB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3290CBC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Pr>
          <w:p w14:paraId="77E79B1D"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6.50 (±2.05)</w:t>
            </w:r>
          </w:p>
        </w:tc>
        <w:tc>
          <w:tcPr>
            <w:tcW w:w="1258" w:type="dxa"/>
          </w:tcPr>
          <w:p w14:paraId="0B369C5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3</w:t>
            </w:r>
          </w:p>
        </w:tc>
      </w:tr>
      <w:tr w:rsidR="00737EE8" w:rsidRPr="00737EE8" w14:paraId="307556E7" w14:textId="77777777" w:rsidTr="0088706D">
        <w:tc>
          <w:tcPr>
            <w:tcW w:w="1580" w:type="dxa"/>
            <w:vMerge/>
            <w:tcBorders>
              <w:bottom w:val="single" w:sz="4" w:space="0" w:color="auto"/>
            </w:tcBorders>
            <w:vAlign w:val="center"/>
          </w:tcPr>
          <w:p w14:paraId="5ACBC9C2" w14:textId="77777777" w:rsidR="00737EE8" w:rsidRPr="00737EE8" w:rsidRDefault="00737EE8" w:rsidP="0088706D">
            <w:pPr>
              <w:pStyle w:val="NoSpacing"/>
              <w:jc w:val="center"/>
              <w:rPr>
                <w:b/>
                <w:i/>
                <w:color w:val="000000" w:themeColor="text1"/>
                <w:sz w:val="20"/>
                <w:szCs w:val="20"/>
                <w:lang w:val="en-US"/>
              </w:rPr>
            </w:pPr>
          </w:p>
        </w:tc>
        <w:tc>
          <w:tcPr>
            <w:tcW w:w="1058" w:type="dxa"/>
            <w:tcBorders>
              <w:bottom w:val="single" w:sz="4" w:space="0" w:color="auto"/>
            </w:tcBorders>
          </w:tcPr>
          <w:p w14:paraId="5707F55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Borders>
              <w:bottom w:val="single" w:sz="4" w:space="0" w:color="auto"/>
            </w:tcBorders>
          </w:tcPr>
          <w:p w14:paraId="675CBB1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Borders>
              <w:bottom w:val="single" w:sz="4" w:space="0" w:color="auto"/>
            </w:tcBorders>
          </w:tcPr>
          <w:p w14:paraId="6B83289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9.52 (±2.03)</w:t>
            </w:r>
          </w:p>
        </w:tc>
        <w:tc>
          <w:tcPr>
            <w:tcW w:w="1258" w:type="dxa"/>
            <w:tcBorders>
              <w:bottom w:val="single" w:sz="4" w:space="0" w:color="auto"/>
            </w:tcBorders>
          </w:tcPr>
          <w:p w14:paraId="21B8252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030E4E93" w14:textId="77777777" w:rsidTr="0088706D">
        <w:tc>
          <w:tcPr>
            <w:tcW w:w="1580" w:type="dxa"/>
            <w:vMerge w:val="restart"/>
            <w:tcBorders>
              <w:top w:val="single" w:sz="4" w:space="0" w:color="auto"/>
            </w:tcBorders>
            <w:vAlign w:val="center"/>
          </w:tcPr>
          <w:p w14:paraId="2093B5AF"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4</w:t>
            </w:r>
          </w:p>
        </w:tc>
        <w:tc>
          <w:tcPr>
            <w:tcW w:w="1058" w:type="dxa"/>
            <w:tcBorders>
              <w:top w:val="single" w:sz="4" w:space="0" w:color="auto"/>
            </w:tcBorders>
          </w:tcPr>
          <w:p w14:paraId="5DADC54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Borders>
              <w:top w:val="single" w:sz="4" w:space="0" w:color="auto"/>
            </w:tcBorders>
          </w:tcPr>
          <w:p w14:paraId="6E76124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2496" w:type="dxa"/>
            <w:tcBorders>
              <w:top w:val="single" w:sz="4" w:space="0" w:color="auto"/>
            </w:tcBorders>
          </w:tcPr>
          <w:p w14:paraId="42A9083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11.84 (±2.62)</w:t>
            </w:r>
          </w:p>
        </w:tc>
        <w:tc>
          <w:tcPr>
            <w:tcW w:w="1258" w:type="dxa"/>
            <w:tcBorders>
              <w:top w:val="single" w:sz="4" w:space="0" w:color="auto"/>
            </w:tcBorders>
          </w:tcPr>
          <w:p w14:paraId="69ABE8C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7F8FA83E" w14:textId="77777777" w:rsidTr="0088706D">
        <w:tc>
          <w:tcPr>
            <w:tcW w:w="1580" w:type="dxa"/>
            <w:vMerge/>
            <w:vAlign w:val="center"/>
          </w:tcPr>
          <w:p w14:paraId="56E911ED"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4661979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2901CC02"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496" w:type="dxa"/>
          </w:tcPr>
          <w:p w14:paraId="44FC332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11.57 (±2.56)</w:t>
            </w:r>
          </w:p>
        </w:tc>
        <w:tc>
          <w:tcPr>
            <w:tcW w:w="1258" w:type="dxa"/>
          </w:tcPr>
          <w:p w14:paraId="1A4260F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4EC4BE00" w14:textId="77777777" w:rsidTr="0088706D">
        <w:tc>
          <w:tcPr>
            <w:tcW w:w="1580" w:type="dxa"/>
            <w:vMerge/>
            <w:vAlign w:val="center"/>
          </w:tcPr>
          <w:p w14:paraId="453646AA"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4E41B03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4911FA42"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496" w:type="dxa"/>
          </w:tcPr>
          <w:p w14:paraId="51BA8C5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8.80 (±2.56)</w:t>
            </w:r>
          </w:p>
        </w:tc>
        <w:tc>
          <w:tcPr>
            <w:tcW w:w="1258" w:type="dxa"/>
          </w:tcPr>
          <w:p w14:paraId="7CA7DC8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.012</w:t>
            </w:r>
          </w:p>
        </w:tc>
      </w:tr>
      <w:tr w:rsidR="00737EE8" w:rsidRPr="00737EE8" w14:paraId="7AAE2779" w14:textId="77777777" w:rsidTr="0088706D">
        <w:tc>
          <w:tcPr>
            <w:tcW w:w="1580" w:type="dxa"/>
            <w:vMerge/>
            <w:vAlign w:val="center"/>
          </w:tcPr>
          <w:p w14:paraId="6CB9E96D"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333CFC3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45A4F9D6"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496" w:type="dxa"/>
          </w:tcPr>
          <w:p w14:paraId="65116C7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15.91 (±2.53)</w:t>
            </w:r>
          </w:p>
        </w:tc>
        <w:tc>
          <w:tcPr>
            <w:tcW w:w="1258" w:type="dxa"/>
          </w:tcPr>
          <w:p w14:paraId="687C113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6E96CB5A" w14:textId="77777777" w:rsidTr="0088706D">
        <w:tc>
          <w:tcPr>
            <w:tcW w:w="1580" w:type="dxa"/>
            <w:vMerge/>
            <w:vAlign w:val="center"/>
          </w:tcPr>
          <w:p w14:paraId="062D56C1"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1465DF1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232C38F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Pr>
          <w:p w14:paraId="7291493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8.57 (±2.51)</w:t>
            </w:r>
          </w:p>
        </w:tc>
        <w:tc>
          <w:tcPr>
            <w:tcW w:w="1258" w:type="dxa"/>
          </w:tcPr>
          <w:p w14:paraId="4AB3CB9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1</w:t>
            </w:r>
          </w:p>
        </w:tc>
      </w:tr>
      <w:tr w:rsidR="00737EE8" w:rsidRPr="00737EE8" w14:paraId="683AF969" w14:textId="77777777" w:rsidTr="0088706D">
        <w:tc>
          <w:tcPr>
            <w:tcW w:w="1580" w:type="dxa"/>
            <w:vMerge/>
            <w:vAlign w:val="center"/>
          </w:tcPr>
          <w:p w14:paraId="2A0437EE"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7EE25F3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4D6C35F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Pr>
          <w:p w14:paraId="4B60504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7.80 (±2.58)</w:t>
            </w:r>
          </w:p>
        </w:tc>
        <w:tc>
          <w:tcPr>
            <w:tcW w:w="1258" w:type="dxa"/>
          </w:tcPr>
          <w:p w14:paraId="48F4891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.04</w:t>
            </w:r>
          </w:p>
        </w:tc>
      </w:tr>
      <w:tr w:rsidR="00737EE8" w:rsidRPr="00737EE8" w14:paraId="2DF89563" w14:textId="77777777" w:rsidTr="0088706D">
        <w:tc>
          <w:tcPr>
            <w:tcW w:w="1580" w:type="dxa"/>
            <w:vMerge/>
            <w:tcBorders>
              <w:bottom w:val="single" w:sz="4" w:space="0" w:color="auto"/>
            </w:tcBorders>
            <w:vAlign w:val="center"/>
          </w:tcPr>
          <w:p w14:paraId="397F1FBD" w14:textId="77777777" w:rsidR="00737EE8" w:rsidRPr="00737EE8" w:rsidRDefault="00737EE8" w:rsidP="0088706D">
            <w:pPr>
              <w:pStyle w:val="NoSpacing"/>
              <w:jc w:val="center"/>
              <w:rPr>
                <w:b/>
                <w:i/>
                <w:color w:val="000000" w:themeColor="text1"/>
                <w:sz w:val="20"/>
                <w:szCs w:val="20"/>
                <w:lang w:val="en-US"/>
              </w:rPr>
            </w:pPr>
          </w:p>
        </w:tc>
        <w:tc>
          <w:tcPr>
            <w:tcW w:w="1058" w:type="dxa"/>
            <w:tcBorders>
              <w:bottom w:val="single" w:sz="4" w:space="0" w:color="auto"/>
            </w:tcBorders>
          </w:tcPr>
          <w:p w14:paraId="5CF1736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1117" w:type="dxa"/>
            <w:tcBorders>
              <w:bottom w:val="single" w:sz="4" w:space="0" w:color="auto"/>
            </w:tcBorders>
          </w:tcPr>
          <w:p w14:paraId="35E4CC7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Borders>
              <w:bottom w:val="single" w:sz="4" w:space="0" w:color="auto"/>
            </w:tcBorders>
          </w:tcPr>
          <w:p w14:paraId="25841AB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8.11 (±2.62)</w:t>
            </w:r>
          </w:p>
        </w:tc>
        <w:tc>
          <w:tcPr>
            <w:tcW w:w="1258" w:type="dxa"/>
            <w:tcBorders>
              <w:bottom w:val="single" w:sz="4" w:space="0" w:color="auto"/>
            </w:tcBorders>
          </w:tcPr>
          <w:p w14:paraId="5800B3A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4</w:t>
            </w:r>
          </w:p>
        </w:tc>
      </w:tr>
      <w:tr w:rsidR="00737EE8" w:rsidRPr="00737EE8" w14:paraId="52F17A87" w14:textId="77777777" w:rsidTr="0088706D">
        <w:tc>
          <w:tcPr>
            <w:tcW w:w="1580" w:type="dxa"/>
            <w:vMerge w:val="restart"/>
            <w:tcBorders>
              <w:top w:val="single" w:sz="4" w:space="0" w:color="auto"/>
            </w:tcBorders>
            <w:vAlign w:val="center"/>
          </w:tcPr>
          <w:p w14:paraId="3487C5A4"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5</w:t>
            </w:r>
          </w:p>
        </w:tc>
        <w:tc>
          <w:tcPr>
            <w:tcW w:w="1058" w:type="dxa"/>
            <w:tcBorders>
              <w:top w:val="single" w:sz="4" w:space="0" w:color="auto"/>
            </w:tcBorders>
          </w:tcPr>
          <w:p w14:paraId="57B5F3C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Borders>
              <w:top w:val="single" w:sz="4" w:space="0" w:color="auto"/>
            </w:tcBorders>
          </w:tcPr>
          <w:p w14:paraId="7A55F2E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496" w:type="dxa"/>
            <w:tcBorders>
              <w:top w:val="single" w:sz="4" w:space="0" w:color="auto"/>
            </w:tcBorders>
          </w:tcPr>
          <w:p w14:paraId="4E54916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17.51 (±3.64)</w:t>
            </w:r>
          </w:p>
        </w:tc>
        <w:tc>
          <w:tcPr>
            <w:tcW w:w="1258" w:type="dxa"/>
            <w:tcBorders>
              <w:top w:val="single" w:sz="4" w:space="0" w:color="auto"/>
            </w:tcBorders>
          </w:tcPr>
          <w:p w14:paraId="1D5B4EF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2FEA4384" w14:textId="77777777" w:rsidTr="0088706D">
        <w:tc>
          <w:tcPr>
            <w:tcW w:w="1580" w:type="dxa"/>
            <w:vMerge/>
            <w:vAlign w:val="center"/>
          </w:tcPr>
          <w:p w14:paraId="14F65F3E"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4AB08AF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71CFFD7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Pr>
          <w:p w14:paraId="533BD95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12.98 (±3.62)</w:t>
            </w:r>
          </w:p>
        </w:tc>
        <w:tc>
          <w:tcPr>
            <w:tcW w:w="1258" w:type="dxa"/>
          </w:tcPr>
          <w:p w14:paraId="3A0D6BB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1</w:t>
            </w:r>
          </w:p>
        </w:tc>
      </w:tr>
      <w:tr w:rsidR="00737EE8" w:rsidRPr="00737EE8" w14:paraId="154D8B3E" w14:textId="77777777" w:rsidTr="0088706D">
        <w:tc>
          <w:tcPr>
            <w:tcW w:w="1580" w:type="dxa"/>
            <w:vMerge/>
            <w:tcBorders>
              <w:bottom w:val="single" w:sz="4" w:space="0" w:color="auto"/>
            </w:tcBorders>
            <w:vAlign w:val="center"/>
          </w:tcPr>
          <w:p w14:paraId="492CF858" w14:textId="77777777" w:rsidR="00737EE8" w:rsidRPr="00737EE8" w:rsidRDefault="00737EE8" w:rsidP="0088706D">
            <w:pPr>
              <w:pStyle w:val="NoSpacing"/>
              <w:jc w:val="center"/>
              <w:rPr>
                <w:b/>
                <w:i/>
                <w:color w:val="000000" w:themeColor="text1"/>
                <w:sz w:val="20"/>
                <w:szCs w:val="20"/>
                <w:lang w:val="en-US"/>
              </w:rPr>
            </w:pPr>
          </w:p>
        </w:tc>
        <w:tc>
          <w:tcPr>
            <w:tcW w:w="1058" w:type="dxa"/>
            <w:tcBorders>
              <w:bottom w:val="single" w:sz="4" w:space="0" w:color="auto"/>
            </w:tcBorders>
          </w:tcPr>
          <w:p w14:paraId="5D40163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1117" w:type="dxa"/>
            <w:tcBorders>
              <w:bottom w:val="single" w:sz="4" w:space="0" w:color="auto"/>
            </w:tcBorders>
          </w:tcPr>
          <w:p w14:paraId="7EA047E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Borders>
              <w:bottom w:val="single" w:sz="4" w:space="0" w:color="auto"/>
            </w:tcBorders>
          </w:tcPr>
          <w:p w14:paraId="65F3CE5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10.85 (±3.50)</w:t>
            </w:r>
          </w:p>
        </w:tc>
        <w:tc>
          <w:tcPr>
            <w:tcW w:w="1258" w:type="dxa"/>
            <w:tcBorders>
              <w:bottom w:val="single" w:sz="4" w:space="0" w:color="auto"/>
            </w:tcBorders>
          </w:tcPr>
          <w:p w14:paraId="55400D5D"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4</w:t>
            </w:r>
          </w:p>
        </w:tc>
      </w:tr>
      <w:tr w:rsidR="00737EE8" w:rsidRPr="00737EE8" w14:paraId="61FEDB5F" w14:textId="77777777" w:rsidTr="0088706D">
        <w:tc>
          <w:tcPr>
            <w:tcW w:w="1580" w:type="dxa"/>
            <w:vMerge w:val="restart"/>
            <w:tcBorders>
              <w:top w:val="single" w:sz="4" w:space="0" w:color="auto"/>
            </w:tcBorders>
            <w:vAlign w:val="center"/>
          </w:tcPr>
          <w:p w14:paraId="5AE396EC"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6</w:t>
            </w:r>
          </w:p>
        </w:tc>
        <w:tc>
          <w:tcPr>
            <w:tcW w:w="1058" w:type="dxa"/>
            <w:tcBorders>
              <w:top w:val="single" w:sz="4" w:space="0" w:color="auto"/>
            </w:tcBorders>
          </w:tcPr>
          <w:p w14:paraId="6821CDE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Borders>
              <w:top w:val="single" w:sz="4" w:space="0" w:color="auto"/>
            </w:tcBorders>
          </w:tcPr>
          <w:p w14:paraId="73E5D00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496" w:type="dxa"/>
            <w:tcBorders>
              <w:top w:val="single" w:sz="4" w:space="0" w:color="auto"/>
            </w:tcBorders>
          </w:tcPr>
          <w:p w14:paraId="526B12C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10.76 (±2.94)</w:t>
            </w:r>
          </w:p>
        </w:tc>
        <w:tc>
          <w:tcPr>
            <w:tcW w:w="1258" w:type="dxa"/>
            <w:tcBorders>
              <w:top w:val="single" w:sz="4" w:space="0" w:color="auto"/>
            </w:tcBorders>
          </w:tcPr>
          <w:p w14:paraId="70BB718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1</w:t>
            </w:r>
          </w:p>
        </w:tc>
      </w:tr>
      <w:tr w:rsidR="00737EE8" w:rsidRPr="00737EE8" w14:paraId="4F7B95AD" w14:textId="77777777" w:rsidTr="0088706D">
        <w:tc>
          <w:tcPr>
            <w:tcW w:w="1580" w:type="dxa"/>
            <w:vMerge/>
            <w:vAlign w:val="center"/>
          </w:tcPr>
          <w:p w14:paraId="0932C69F"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7BFA85F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54F179F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Pr>
          <w:p w14:paraId="4EE1E07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9.45 (±2.92)</w:t>
            </w:r>
          </w:p>
        </w:tc>
        <w:tc>
          <w:tcPr>
            <w:tcW w:w="1258" w:type="dxa"/>
          </w:tcPr>
          <w:p w14:paraId="4A6CEAE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.02</w:t>
            </w:r>
          </w:p>
        </w:tc>
      </w:tr>
      <w:tr w:rsidR="00737EE8" w:rsidRPr="00737EE8" w14:paraId="68F5B605" w14:textId="77777777" w:rsidTr="0088706D">
        <w:tc>
          <w:tcPr>
            <w:tcW w:w="1580" w:type="dxa"/>
            <w:vMerge/>
            <w:tcBorders>
              <w:bottom w:val="single" w:sz="4" w:space="0" w:color="auto"/>
            </w:tcBorders>
            <w:vAlign w:val="center"/>
          </w:tcPr>
          <w:p w14:paraId="5329E2D1" w14:textId="77777777" w:rsidR="00737EE8" w:rsidRPr="00737EE8" w:rsidRDefault="00737EE8" w:rsidP="0088706D">
            <w:pPr>
              <w:pStyle w:val="NoSpacing"/>
              <w:jc w:val="center"/>
              <w:rPr>
                <w:b/>
                <w:i/>
                <w:color w:val="000000" w:themeColor="text1"/>
                <w:sz w:val="20"/>
                <w:szCs w:val="20"/>
                <w:lang w:val="en-US"/>
              </w:rPr>
            </w:pPr>
          </w:p>
        </w:tc>
        <w:tc>
          <w:tcPr>
            <w:tcW w:w="1058" w:type="dxa"/>
            <w:tcBorders>
              <w:bottom w:val="single" w:sz="4" w:space="0" w:color="auto"/>
            </w:tcBorders>
          </w:tcPr>
          <w:p w14:paraId="08EF450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1117" w:type="dxa"/>
            <w:tcBorders>
              <w:bottom w:val="single" w:sz="4" w:space="0" w:color="auto"/>
            </w:tcBorders>
          </w:tcPr>
          <w:p w14:paraId="5E37832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Borders>
              <w:bottom w:val="single" w:sz="4" w:space="0" w:color="auto"/>
            </w:tcBorders>
          </w:tcPr>
          <w:p w14:paraId="12AFE4D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9.66 (±2.90)</w:t>
            </w:r>
          </w:p>
        </w:tc>
        <w:tc>
          <w:tcPr>
            <w:tcW w:w="1258" w:type="dxa"/>
            <w:tcBorders>
              <w:bottom w:val="single" w:sz="4" w:space="0" w:color="auto"/>
            </w:tcBorders>
          </w:tcPr>
          <w:p w14:paraId="00EB966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2</w:t>
            </w:r>
          </w:p>
        </w:tc>
      </w:tr>
      <w:tr w:rsidR="00737EE8" w:rsidRPr="00737EE8" w14:paraId="1C7F31A0" w14:textId="77777777" w:rsidTr="0088706D">
        <w:tc>
          <w:tcPr>
            <w:tcW w:w="1580" w:type="dxa"/>
            <w:vMerge w:val="restart"/>
            <w:tcBorders>
              <w:top w:val="single" w:sz="4" w:space="0" w:color="auto"/>
            </w:tcBorders>
            <w:vAlign w:val="center"/>
          </w:tcPr>
          <w:p w14:paraId="3554DE65"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7</w:t>
            </w:r>
          </w:p>
        </w:tc>
        <w:tc>
          <w:tcPr>
            <w:tcW w:w="1058" w:type="dxa"/>
            <w:tcBorders>
              <w:top w:val="single" w:sz="4" w:space="0" w:color="auto"/>
            </w:tcBorders>
          </w:tcPr>
          <w:p w14:paraId="13E4A24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1117" w:type="dxa"/>
            <w:tcBorders>
              <w:top w:val="single" w:sz="4" w:space="0" w:color="auto"/>
            </w:tcBorders>
          </w:tcPr>
          <w:p w14:paraId="45336D7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496" w:type="dxa"/>
            <w:tcBorders>
              <w:top w:val="single" w:sz="4" w:space="0" w:color="auto"/>
            </w:tcBorders>
          </w:tcPr>
          <w:p w14:paraId="60FB53F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12.33 (±3.90)</w:t>
            </w:r>
          </w:p>
        </w:tc>
        <w:tc>
          <w:tcPr>
            <w:tcW w:w="1258" w:type="dxa"/>
            <w:tcBorders>
              <w:top w:val="single" w:sz="4" w:space="0" w:color="auto"/>
            </w:tcBorders>
          </w:tcPr>
          <w:p w14:paraId="24D1B7A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.03</w:t>
            </w:r>
          </w:p>
        </w:tc>
      </w:tr>
      <w:tr w:rsidR="00737EE8" w:rsidRPr="00737EE8" w14:paraId="4ED70199" w14:textId="77777777" w:rsidTr="0088706D">
        <w:tc>
          <w:tcPr>
            <w:tcW w:w="1580" w:type="dxa"/>
            <w:vMerge/>
            <w:tcBorders>
              <w:bottom w:val="single" w:sz="4" w:space="0" w:color="auto"/>
            </w:tcBorders>
            <w:vAlign w:val="center"/>
          </w:tcPr>
          <w:p w14:paraId="569F8431" w14:textId="77777777" w:rsidR="00737EE8" w:rsidRPr="00737EE8" w:rsidRDefault="00737EE8" w:rsidP="0088706D">
            <w:pPr>
              <w:pStyle w:val="NoSpacing"/>
              <w:jc w:val="center"/>
              <w:rPr>
                <w:b/>
                <w:color w:val="000000" w:themeColor="text1"/>
                <w:sz w:val="20"/>
                <w:szCs w:val="20"/>
                <w:lang w:val="en-US"/>
              </w:rPr>
            </w:pPr>
          </w:p>
        </w:tc>
        <w:tc>
          <w:tcPr>
            <w:tcW w:w="1058" w:type="dxa"/>
            <w:tcBorders>
              <w:bottom w:val="single" w:sz="4" w:space="0" w:color="auto"/>
            </w:tcBorders>
          </w:tcPr>
          <w:p w14:paraId="409F271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1117" w:type="dxa"/>
            <w:tcBorders>
              <w:bottom w:val="single" w:sz="4" w:space="0" w:color="auto"/>
            </w:tcBorders>
          </w:tcPr>
          <w:p w14:paraId="34AA73C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Borders>
              <w:bottom w:val="single" w:sz="4" w:space="0" w:color="auto"/>
            </w:tcBorders>
          </w:tcPr>
          <w:p w14:paraId="0A290A9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12.14 (±3.82)</w:t>
            </w:r>
          </w:p>
        </w:tc>
        <w:tc>
          <w:tcPr>
            <w:tcW w:w="1258" w:type="dxa"/>
            <w:tcBorders>
              <w:bottom w:val="single" w:sz="4" w:space="0" w:color="auto"/>
            </w:tcBorders>
          </w:tcPr>
          <w:p w14:paraId="63870BA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3</w:t>
            </w:r>
          </w:p>
        </w:tc>
      </w:tr>
    </w:tbl>
    <w:p w14:paraId="2965350F" w14:textId="77777777" w:rsidR="00737EE8" w:rsidRPr="00737EE8" w:rsidRDefault="00737EE8" w:rsidP="00737EE8">
      <w:pPr>
        <w:pStyle w:val="NoSpacing"/>
        <w:rPr>
          <w:color w:val="000000" w:themeColor="text1"/>
          <w:sz w:val="20"/>
          <w:szCs w:val="20"/>
        </w:rPr>
      </w:pPr>
    </w:p>
    <w:p w14:paraId="2AB13833" w14:textId="11DD0A96" w:rsidR="00737EE8" w:rsidRDefault="00737EE8" w:rsidP="00737EE8">
      <w:pPr>
        <w:pStyle w:val="NoSpacing"/>
        <w:rPr>
          <w:color w:val="000000" w:themeColor="text1"/>
          <w:sz w:val="20"/>
          <w:szCs w:val="20"/>
        </w:rPr>
      </w:pPr>
    </w:p>
    <w:p w14:paraId="67EBD2AA" w14:textId="5CFDAA1C" w:rsidR="00335858" w:rsidRDefault="00335858" w:rsidP="00737EE8">
      <w:pPr>
        <w:pStyle w:val="NoSpacing"/>
        <w:rPr>
          <w:color w:val="000000" w:themeColor="text1"/>
          <w:sz w:val="20"/>
          <w:szCs w:val="20"/>
        </w:rPr>
      </w:pPr>
    </w:p>
    <w:p w14:paraId="0A73D2A9" w14:textId="186552BF" w:rsidR="00335858" w:rsidRDefault="00335858" w:rsidP="00737EE8">
      <w:pPr>
        <w:pStyle w:val="NoSpacing"/>
        <w:rPr>
          <w:color w:val="000000" w:themeColor="text1"/>
          <w:sz w:val="20"/>
          <w:szCs w:val="20"/>
        </w:rPr>
      </w:pPr>
    </w:p>
    <w:p w14:paraId="02242974" w14:textId="4057063B" w:rsidR="00335858" w:rsidRDefault="00335858" w:rsidP="00737EE8">
      <w:pPr>
        <w:pStyle w:val="NoSpacing"/>
        <w:rPr>
          <w:color w:val="000000" w:themeColor="text1"/>
          <w:sz w:val="20"/>
          <w:szCs w:val="20"/>
        </w:rPr>
      </w:pPr>
    </w:p>
    <w:p w14:paraId="6596DD06" w14:textId="12834BF1" w:rsidR="00335858" w:rsidRPr="00335858" w:rsidRDefault="00335858" w:rsidP="00737EE8">
      <w:pPr>
        <w:pStyle w:val="NoSpacing"/>
        <w:rPr>
          <w:b/>
          <w:color w:val="000000" w:themeColor="text1"/>
          <w:sz w:val="20"/>
          <w:szCs w:val="20"/>
        </w:rPr>
      </w:pPr>
      <w:r>
        <w:rPr>
          <w:b/>
          <w:color w:val="000000" w:themeColor="text1"/>
          <w:sz w:val="20"/>
          <w:szCs w:val="20"/>
        </w:rPr>
        <w:t>Discussion</w:t>
      </w:r>
    </w:p>
    <w:p w14:paraId="4B122332" w14:textId="77777777" w:rsidR="00335858" w:rsidRDefault="00335858" w:rsidP="00737EE8">
      <w:pPr>
        <w:pStyle w:val="NoSpacing"/>
        <w:jc w:val="both"/>
        <w:rPr>
          <w:color w:val="000000" w:themeColor="text1"/>
          <w:sz w:val="20"/>
          <w:szCs w:val="20"/>
        </w:rPr>
      </w:pPr>
    </w:p>
    <w:p w14:paraId="6BC5B565" w14:textId="5D8ED1C4"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This study investigates how magnetic orientation and exposure time could affect the early stage growth dynamics of </w:t>
      </w:r>
      <w:r w:rsidRPr="00737EE8">
        <w:rPr>
          <w:i/>
          <w:color w:val="000000" w:themeColor="text1"/>
          <w:sz w:val="20"/>
          <w:szCs w:val="20"/>
        </w:rPr>
        <w:t>B. rapa</w:t>
      </w:r>
      <w:r w:rsidRPr="00737EE8">
        <w:rPr>
          <w:color w:val="000000" w:themeColor="text1"/>
          <w:sz w:val="20"/>
          <w:szCs w:val="20"/>
        </w:rPr>
        <w:t xml:space="preserve"> as such a topic is least reported in </w:t>
      </w:r>
      <w:proofErr w:type="spellStart"/>
      <w:r w:rsidRPr="00737EE8">
        <w:rPr>
          <w:color w:val="000000" w:themeColor="text1"/>
          <w:sz w:val="20"/>
          <w:szCs w:val="20"/>
        </w:rPr>
        <w:t>magnetopriming</w:t>
      </w:r>
      <w:proofErr w:type="spellEnd"/>
      <w:r w:rsidRPr="00737EE8">
        <w:rPr>
          <w:color w:val="000000" w:themeColor="text1"/>
          <w:sz w:val="20"/>
          <w:szCs w:val="20"/>
        </w:rPr>
        <w:t xml:space="preserve"> studies. Based on the result, it is evident that magnetic orientation and length of exposure of seeds can indeed have significant impact to the overall germination dynamics and growth of seeds particularly in shoot and root lengths; such report is arguably one of the first to be made particularly in the context of using Philippine crop where duration of exposure with respect to magnetic field orientation has been factored in. Most previously reported </w:t>
      </w:r>
      <w:proofErr w:type="spellStart"/>
      <w:r w:rsidRPr="00737EE8">
        <w:rPr>
          <w:color w:val="000000" w:themeColor="text1"/>
          <w:sz w:val="20"/>
          <w:szCs w:val="20"/>
        </w:rPr>
        <w:t>magnetopriming</w:t>
      </w:r>
      <w:proofErr w:type="spellEnd"/>
      <w:r w:rsidRPr="00737EE8">
        <w:rPr>
          <w:color w:val="000000" w:themeColor="text1"/>
          <w:sz w:val="20"/>
          <w:szCs w:val="20"/>
        </w:rPr>
        <w:t xml:space="preserve"> studies did not specify (or had not considered) the distinct effects of the direction of magnetic field to biological systems. This report so far has reinforced the observation of Rosales et al. (2018) where they also analyzed the growth of various crops as response to the different magnetic polarities; however, the said study employed only around a maximum intensity of 2 </w:t>
      </w:r>
      <w:proofErr w:type="spellStart"/>
      <w:r w:rsidRPr="00737EE8">
        <w:rPr>
          <w:color w:val="000000" w:themeColor="text1"/>
          <w:sz w:val="20"/>
          <w:szCs w:val="20"/>
        </w:rPr>
        <w:t>mT</w:t>
      </w:r>
      <w:proofErr w:type="spellEnd"/>
      <w:r w:rsidRPr="00737EE8">
        <w:rPr>
          <w:color w:val="000000" w:themeColor="text1"/>
          <w:sz w:val="20"/>
          <w:szCs w:val="20"/>
        </w:rPr>
        <w:t xml:space="preserve"> as compared to this study’s 87.2 </w:t>
      </w:r>
      <w:proofErr w:type="spellStart"/>
      <w:r w:rsidRPr="00737EE8">
        <w:rPr>
          <w:color w:val="000000" w:themeColor="text1"/>
          <w:sz w:val="20"/>
          <w:szCs w:val="20"/>
        </w:rPr>
        <w:t>mT.</w:t>
      </w:r>
      <w:proofErr w:type="spellEnd"/>
      <w:r w:rsidRPr="00737EE8">
        <w:rPr>
          <w:color w:val="000000" w:themeColor="text1"/>
          <w:sz w:val="20"/>
          <w:szCs w:val="20"/>
        </w:rPr>
        <w:t xml:space="preserve"> The observations made here can potentially open up various research inquiries for plant scientists particularly on how different species of plants react to magnetic field. Hence in </w:t>
      </w:r>
      <w:proofErr w:type="spellStart"/>
      <w:r w:rsidRPr="00737EE8">
        <w:rPr>
          <w:color w:val="000000" w:themeColor="text1"/>
          <w:sz w:val="20"/>
          <w:szCs w:val="20"/>
        </w:rPr>
        <w:t>magnetopriming</w:t>
      </w:r>
      <w:proofErr w:type="spellEnd"/>
      <w:r w:rsidRPr="00737EE8">
        <w:rPr>
          <w:color w:val="000000" w:themeColor="text1"/>
          <w:sz w:val="20"/>
          <w:szCs w:val="20"/>
        </w:rPr>
        <w:t xml:space="preserve"> studies, duration of magnetic field exposure, species of crop, and the magnetic field </w:t>
      </w:r>
      <w:proofErr w:type="spellStart"/>
      <w:r w:rsidRPr="00737EE8">
        <w:rPr>
          <w:color w:val="000000" w:themeColor="text1"/>
          <w:sz w:val="20"/>
          <w:szCs w:val="20"/>
        </w:rPr>
        <w:t>orientataion</w:t>
      </w:r>
      <w:proofErr w:type="spellEnd"/>
      <w:r w:rsidRPr="00737EE8">
        <w:rPr>
          <w:color w:val="000000" w:themeColor="text1"/>
          <w:sz w:val="20"/>
          <w:szCs w:val="20"/>
        </w:rPr>
        <w:t xml:space="preserve"> can now all be factored in particularly on the germination performance of crops that are being studied. Currently, studies on </w:t>
      </w:r>
      <w:proofErr w:type="spellStart"/>
      <w:r w:rsidRPr="00737EE8">
        <w:rPr>
          <w:color w:val="000000" w:themeColor="text1"/>
          <w:sz w:val="20"/>
          <w:szCs w:val="20"/>
        </w:rPr>
        <w:t>magnetopriming</w:t>
      </w:r>
      <w:proofErr w:type="spellEnd"/>
      <w:r w:rsidRPr="00737EE8">
        <w:rPr>
          <w:color w:val="000000" w:themeColor="text1"/>
          <w:sz w:val="20"/>
          <w:szCs w:val="20"/>
        </w:rPr>
        <w:t xml:space="preserve"> in the Philippines remains to be unexplored and understudied, thus any existing strategies on </w:t>
      </w:r>
      <w:proofErr w:type="spellStart"/>
      <w:r w:rsidRPr="00737EE8">
        <w:rPr>
          <w:color w:val="000000" w:themeColor="text1"/>
          <w:sz w:val="20"/>
          <w:szCs w:val="20"/>
        </w:rPr>
        <w:t>magnetopriming</w:t>
      </w:r>
      <w:proofErr w:type="spellEnd"/>
      <w:r w:rsidRPr="00737EE8">
        <w:rPr>
          <w:color w:val="000000" w:themeColor="text1"/>
          <w:sz w:val="20"/>
          <w:szCs w:val="20"/>
        </w:rPr>
        <w:t xml:space="preserve"> and its modifications can provide multiple research inquiries to those that are working on crop production and plant physiology as well. </w:t>
      </w:r>
    </w:p>
    <w:p w14:paraId="1ACCDEBA" w14:textId="77777777" w:rsidR="00737EE8" w:rsidRPr="00737EE8" w:rsidRDefault="00737EE8" w:rsidP="00737EE8">
      <w:pPr>
        <w:pStyle w:val="NoSpacing"/>
        <w:jc w:val="both"/>
        <w:rPr>
          <w:color w:val="000000" w:themeColor="text1"/>
          <w:sz w:val="20"/>
          <w:szCs w:val="20"/>
        </w:rPr>
      </w:pPr>
    </w:p>
    <w:p w14:paraId="408942F0"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According to Ventura et al. (2012), the events that comprise seed vigor is a crucial property for seeds as such property can contribute to the overall performance of plants in the field. Multiple papers had already reported that the priming of seeds with magnetic fields had improved the quality and germination of soybeans (de Faria et al., 2023), onion (</w:t>
      </w:r>
      <w:proofErr w:type="spellStart"/>
      <w:r w:rsidRPr="00737EE8">
        <w:rPr>
          <w:color w:val="000000" w:themeColor="text1"/>
          <w:sz w:val="20"/>
          <w:szCs w:val="20"/>
        </w:rPr>
        <w:t>Zalama</w:t>
      </w:r>
      <w:proofErr w:type="spellEnd"/>
      <w:r w:rsidRPr="00737EE8">
        <w:rPr>
          <w:color w:val="000000" w:themeColor="text1"/>
          <w:sz w:val="20"/>
          <w:szCs w:val="20"/>
        </w:rPr>
        <w:t xml:space="preserve"> &amp; </w:t>
      </w:r>
      <w:proofErr w:type="spellStart"/>
      <w:r w:rsidRPr="00737EE8">
        <w:rPr>
          <w:color w:val="000000" w:themeColor="text1"/>
          <w:sz w:val="20"/>
          <w:szCs w:val="20"/>
        </w:rPr>
        <w:t>Fathala</w:t>
      </w:r>
      <w:proofErr w:type="spellEnd"/>
      <w:r w:rsidRPr="00737EE8">
        <w:rPr>
          <w:color w:val="000000" w:themeColor="text1"/>
          <w:sz w:val="20"/>
          <w:szCs w:val="20"/>
        </w:rPr>
        <w:t xml:space="preserve">, 2020), and tomato (Anand et al., 2019). The increased vigor of </w:t>
      </w:r>
      <w:proofErr w:type="spellStart"/>
      <w:r w:rsidRPr="00737EE8">
        <w:rPr>
          <w:color w:val="000000" w:themeColor="text1"/>
          <w:sz w:val="20"/>
          <w:szCs w:val="20"/>
        </w:rPr>
        <w:t>magnetoprimed</w:t>
      </w:r>
      <w:proofErr w:type="spellEnd"/>
      <w:r w:rsidRPr="00737EE8">
        <w:rPr>
          <w:color w:val="000000" w:themeColor="text1"/>
          <w:sz w:val="20"/>
          <w:szCs w:val="20"/>
        </w:rPr>
        <w:t xml:space="preserve"> seeds over their unexposed counterparts can grow to have roots and shoots that are longer, greater leaf area, higher water content, and are known to be stress tolerant (</w:t>
      </w:r>
      <w:proofErr w:type="spellStart"/>
      <w:r w:rsidRPr="00737EE8">
        <w:rPr>
          <w:color w:val="000000" w:themeColor="text1"/>
          <w:sz w:val="20"/>
          <w:szCs w:val="20"/>
        </w:rPr>
        <w:t>Abhary</w:t>
      </w:r>
      <w:proofErr w:type="spellEnd"/>
      <w:r w:rsidRPr="00737EE8">
        <w:rPr>
          <w:color w:val="000000" w:themeColor="text1"/>
          <w:sz w:val="20"/>
          <w:szCs w:val="20"/>
        </w:rPr>
        <w:t xml:space="preserve"> &amp; </w:t>
      </w:r>
      <w:proofErr w:type="spellStart"/>
      <w:r w:rsidRPr="00737EE8">
        <w:rPr>
          <w:color w:val="000000" w:themeColor="text1"/>
          <w:sz w:val="20"/>
          <w:szCs w:val="20"/>
        </w:rPr>
        <w:t>Akhkha</w:t>
      </w:r>
      <w:proofErr w:type="spellEnd"/>
      <w:r w:rsidRPr="00737EE8">
        <w:rPr>
          <w:color w:val="000000" w:themeColor="text1"/>
          <w:sz w:val="20"/>
          <w:szCs w:val="20"/>
        </w:rPr>
        <w:t xml:space="preserve">, 2021) and improved hydration especially during germination (Thomas et al., 2013). Further, Saletnik et al. (2022) emphasized that enhanced absorption of micro and macronutrients places </w:t>
      </w:r>
      <w:proofErr w:type="spellStart"/>
      <w:r w:rsidRPr="00737EE8">
        <w:rPr>
          <w:color w:val="000000" w:themeColor="text1"/>
          <w:sz w:val="20"/>
          <w:szCs w:val="20"/>
        </w:rPr>
        <w:t>magnetoprimed</w:t>
      </w:r>
      <w:proofErr w:type="spellEnd"/>
      <w:r w:rsidRPr="00737EE8">
        <w:rPr>
          <w:color w:val="000000" w:themeColor="text1"/>
          <w:sz w:val="20"/>
          <w:szCs w:val="20"/>
        </w:rPr>
        <w:t xml:space="preserve"> seeds at an advantage in terms of plant growth and development.</w:t>
      </w:r>
    </w:p>
    <w:p w14:paraId="6CD9C1F5" w14:textId="77777777" w:rsidR="00737EE8" w:rsidRPr="00737EE8" w:rsidRDefault="00737EE8" w:rsidP="00737EE8">
      <w:pPr>
        <w:pStyle w:val="NoSpacing"/>
        <w:jc w:val="both"/>
        <w:rPr>
          <w:color w:val="000000" w:themeColor="text1"/>
          <w:sz w:val="20"/>
          <w:szCs w:val="20"/>
        </w:rPr>
      </w:pPr>
    </w:p>
    <w:p w14:paraId="78F2CCDC"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Exposing seeds to magnetic fields are also known to cause biochemical and genetic changes in plants. For example, Anand et al. (2019) reported that tomato seeds primed to magnetic fields for 30 min under 100 </w:t>
      </w:r>
      <w:proofErr w:type="spellStart"/>
      <w:r w:rsidRPr="00737EE8">
        <w:rPr>
          <w:color w:val="000000" w:themeColor="text1"/>
          <w:sz w:val="20"/>
          <w:szCs w:val="20"/>
        </w:rPr>
        <w:t>mT</w:t>
      </w:r>
      <w:proofErr w:type="spellEnd"/>
      <w:r w:rsidRPr="00737EE8">
        <w:rPr>
          <w:color w:val="000000" w:themeColor="text1"/>
          <w:sz w:val="20"/>
          <w:szCs w:val="20"/>
        </w:rPr>
        <w:t xml:space="preserve"> showed that multiple genes are being expressed that react with hydrogen peroxide (H2O2), a molecule related to cellular stress. These genes (AO, RACK1, ArcA2, SOD1, SOD9) were expressed in higher quantities in </w:t>
      </w:r>
      <w:proofErr w:type="spellStart"/>
      <w:r w:rsidRPr="00737EE8">
        <w:rPr>
          <w:color w:val="000000" w:themeColor="text1"/>
          <w:sz w:val="20"/>
          <w:szCs w:val="20"/>
        </w:rPr>
        <w:t>magnetoprimed</w:t>
      </w:r>
      <w:proofErr w:type="spellEnd"/>
      <w:r w:rsidRPr="00737EE8">
        <w:rPr>
          <w:color w:val="000000" w:themeColor="text1"/>
          <w:sz w:val="20"/>
          <w:szCs w:val="20"/>
        </w:rPr>
        <w:t xml:space="preserve"> seeds than those unexposed seeds. Several other similar reports were made by Kataria et al. (2022), </w:t>
      </w:r>
      <w:proofErr w:type="spellStart"/>
      <w:r w:rsidRPr="00737EE8">
        <w:rPr>
          <w:color w:val="000000" w:themeColor="text1"/>
          <w:sz w:val="20"/>
          <w:szCs w:val="20"/>
        </w:rPr>
        <w:t>Raipuria</w:t>
      </w:r>
      <w:proofErr w:type="spellEnd"/>
      <w:r w:rsidRPr="00737EE8">
        <w:rPr>
          <w:color w:val="000000" w:themeColor="text1"/>
          <w:sz w:val="20"/>
          <w:szCs w:val="20"/>
        </w:rPr>
        <w:t xml:space="preserve"> et al. (2021), Saletnik et al. (2022), and Wang et al. (2024). Currently, the expression of these genes, and possibly other genes, are all related to the development of stress tolerant properties among </w:t>
      </w:r>
      <w:proofErr w:type="spellStart"/>
      <w:r w:rsidRPr="00737EE8">
        <w:rPr>
          <w:color w:val="000000" w:themeColor="text1"/>
          <w:sz w:val="20"/>
          <w:szCs w:val="20"/>
        </w:rPr>
        <w:t>magnetoprimed</w:t>
      </w:r>
      <w:proofErr w:type="spellEnd"/>
      <w:r w:rsidRPr="00737EE8">
        <w:rPr>
          <w:color w:val="000000" w:themeColor="text1"/>
          <w:sz w:val="20"/>
          <w:szCs w:val="20"/>
        </w:rPr>
        <w:t xml:space="preserve"> seeds which are displayed even during the germination stage of plant development. </w:t>
      </w:r>
    </w:p>
    <w:p w14:paraId="15AA13AD" w14:textId="77777777" w:rsidR="00737EE8" w:rsidRPr="00737EE8" w:rsidRDefault="00737EE8" w:rsidP="00737EE8">
      <w:pPr>
        <w:pStyle w:val="NoSpacing"/>
        <w:jc w:val="both"/>
        <w:rPr>
          <w:color w:val="000000" w:themeColor="text1"/>
          <w:sz w:val="20"/>
          <w:szCs w:val="20"/>
        </w:rPr>
      </w:pPr>
    </w:p>
    <w:p w14:paraId="0499DDA0" w14:textId="77777777" w:rsidR="006E340E" w:rsidRDefault="00737EE8" w:rsidP="00FD2EE7">
      <w:pPr>
        <w:pStyle w:val="NoSpacing"/>
        <w:jc w:val="both"/>
        <w:rPr>
          <w:color w:val="000000" w:themeColor="text1"/>
          <w:sz w:val="20"/>
          <w:szCs w:val="20"/>
        </w:rPr>
      </w:pPr>
      <w:r w:rsidRPr="00737EE8">
        <w:rPr>
          <w:color w:val="000000" w:themeColor="text1"/>
          <w:sz w:val="20"/>
          <w:szCs w:val="20"/>
        </w:rPr>
        <w:t xml:space="preserve">Though the actual cellular mechanism of the impact of </w:t>
      </w:r>
      <w:proofErr w:type="spellStart"/>
      <w:r w:rsidRPr="00737EE8">
        <w:rPr>
          <w:color w:val="000000" w:themeColor="text1"/>
          <w:sz w:val="20"/>
          <w:szCs w:val="20"/>
        </w:rPr>
        <w:t>magnetopriming</w:t>
      </w:r>
      <w:proofErr w:type="spellEnd"/>
      <w:r w:rsidRPr="00737EE8">
        <w:rPr>
          <w:color w:val="000000" w:themeColor="text1"/>
          <w:sz w:val="20"/>
          <w:szCs w:val="20"/>
        </w:rPr>
        <w:t xml:space="preserve"> is still largely unknown, a leading theory is that there are structural changes in the cells upon exposure to magnetic fields due to what is known as the Lorentz force when magnetic fields influence the behavior of ions where unpaired electron can become tiny magnets in cells. </w:t>
      </w:r>
      <w:proofErr w:type="spellStart"/>
      <w:r w:rsidRPr="00737EE8">
        <w:rPr>
          <w:color w:val="000000" w:themeColor="text1"/>
          <w:sz w:val="20"/>
          <w:szCs w:val="20"/>
        </w:rPr>
        <w:t>Zablotskii</w:t>
      </w:r>
      <w:proofErr w:type="spellEnd"/>
      <w:r w:rsidRPr="00737EE8">
        <w:rPr>
          <w:color w:val="000000" w:themeColor="text1"/>
          <w:sz w:val="20"/>
          <w:szCs w:val="20"/>
        </w:rPr>
        <w:t xml:space="preserve"> et al. (2021) had demonstrated that magnetic fields can indeed influence the flow of various molecules across the cell membrane. In their report, they discussed that magnetic fields can affect the diffusion rates of diamagnetic (zero net spin) and paramagnetic (nonzero net spin) molecules (with unpaired electrons), be transported into the cells or those molecules that are part of the structure of the cell membrane. Freire et al. (2020) reported that the Lorentz force can introduce some friction between the cellular membrane walls and ions that can eventually result in the reduction of the cell’s conductance; the </w:t>
      </w:r>
      <w:r w:rsidRPr="00737EE8">
        <w:rPr>
          <w:color w:val="000000" w:themeColor="text1"/>
          <w:sz w:val="20"/>
          <w:szCs w:val="20"/>
        </w:rPr>
        <w:lastRenderedPageBreak/>
        <w:t xml:space="preserve">reduction of conductance suppresses the cation potentials which therefore can further certain inhibit cellular activities. Hayashi and </w:t>
      </w:r>
      <w:proofErr w:type="spellStart"/>
      <w:r w:rsidRPr="00737EE8">
        <w:rPr>
          <w:color w:val="000000" w:themeColor="text1"/>
          <w:sz w:val="20"/>
          <w:szCs w:val="20"/>
        </w:rPr>
        <w:t>Kakikawa</w:t>
      </w:r>
      <w:proofErr w:type="spellEnd"/>
      <w:r w:rsidRPr="00737EE8">
        <w:rPr>
          <w:color w:val="000000" w:themeColor="text1"/>
          <w:sz w:val="20"/>
          <w:szCs w:val="20"/>
        </w:rPr>
        <w:t xml:space="preserve"> (2021) added that even at 50 </w:t>
      </w:r>
      <w:proofErr w:type="spellStart"/>
      <w:r w:rsidRPr="00737EE8">
        <w:rPr>
          <w:color w:val="000000" w:themeColor="text1"/>
          <w:sz w:val="20"/>
          <w:szCs w:val="20"/>
        </w:rPr>
        <w:t>mT</w:t>
      </w:r>
      <w:proofErr w:type="spellEnd"/>
      <w:r w:rsidRPr="00737EE8">
        <w:rPr>
          <w:color w:val="000000" w:themeColor="text1"/>
          <w:sz w:val="20"/>
          <w:szCs w:val="20"/>
        </w:rPr>
        <w:t xml:space="preserve">, a relatively low intensity magnetic field, there are already observable changes in cell permeability in animal cell experiments (in comparison, this study employed 87.2 </w:t>
      </w:r>
      <w:proofErr w:type="spellStart"/>
      <w:r w:rsidRPr="00737EE8">
        <w:rPr>
          <w:color w:val="000000" w:themeColor="text1"/>
          <w:sz w:val="20"/>
          <w:szCs w:val="20"/>
        </w:rPr>
        <w:t>mT</w:t>
      </w:r>
      <w:proofErr w:type="spellEnd"/>
      <w:r w:rsidRPr="00737EE8">
        <w:rPr>
          <w:color w:val="000000" w:themeColor="text1"/>
          <w:sz w:val="20"/>
          <w:szCs w:val="20"/>
        </w:rPr>
        <w:t xml:space="preserve">). </w:t>
      </w:r>
    </w:p>
    <w:p w14:paraId="03556A04" w14:textId="77777777" w:rsidR="006E340E" w:rsidRDefault="006E340E" w:rsidP="00FD2EE7">
      <w:pPr>
        <w:pStyle w:val="NoSpacing"/>
        <w:jc w:val="both"/>
        <w:rPr>
          <w:color w:val="000000" w:themeColor="text1"/>
          <w:sz w:val="20"/>
          <w:szCs w:val="20"/>
        </w:rPr>
      </w:pPr>
    </w:p>
    <w:p w14:paraId="38C1A226" w14:textId="4CAF6531" w:rsidR="00790ADA" w:rsidRPr="00FD2EE7" w:rsidRDefault="00737EE8" w:rsidP="00FD2EE7">
      <w:pPr>
        <w:pStyle w:val="NoSpacing"/>
        <w:jc w:val="both"/>
        <w:rPr>
          <w:color w:val="000000" w:themeColor="text1"/>
          <w:sz w:val="20"/>
          <w:szCs w:val="20"/>
        </w:rPr>
      </w:pPr>
      <w:r w:rsidRPr="00737EE8">
        <w:rPr>
          <w:color w:val="000000" w:themeColor="text1"/>
          <w:sz w:val="20"/>
          <w:szCs w:val="20"/>
        </w:rPr>
        <w:t>T</w:t>
      </w:r>
      <w:r w:rsidR="006E340E">
        <w:rPr>
          <w:color w:val="000000" w:themeColor="text1"/>
          <w:sz w:val="20"/>
          <w:szCs w:val="20"/>
        </w:rPr>
        <w:t>he biophysical properties described above</w:t>
      </w:r>
      <w:r w:rsidRPr="00737EE8">
        <w:rPr>
          <w:color w:val="000000" w:themeColor="text1"/>
          <w:sz w:val="20"/>
          <w:szCs w:val="20"/>
        </w:rPr>
        <w:t>, where changes in the cell’s molecular configuration particularly in the cell membrane, can then be responsible for the difference in the growth dynamics described in this study.</w:t>
      </w:r>
      <w:r w:rsidR="006E340E">
        <w:rPr>
          <w:color w:val="000000" w:themeColor="text1"/>
          <w:sz w:val="20"/>
          <w:szCs w:val="20"/>
        </w:rPr>
        <w:t xml:space="preserve"> It is still not clear, however, as to how much these magnetic exposure can cause changes inside the cells of the seeds especially when the length of exposure and the direction of the magnetic field will be factored in. </w:t>
      </w:r>
      <w:r w:rsidR="007F453B">
        <w:rPr>
          <w:color w:val="000000" w:themeColor="text1"/>
          <w:sz w:val="20"/>
          <w:szCs w:val="20"/>
        </w:rPr>
        <w:t>And another concern is whether these biomolecular changes can either be permanent or temporary; also, whether these changes can be passed down to succeeding generations. In addition,</w:t>
      </w:r>
      <w:r w:rsidRPr="00737EE8">
        <w:rPr>
          <w:color w:val="000000" w:themeColor="text1"/>
          <w:sz w:val="20"/>
          <w:szCs w:val="20"/>
        </w:rPr>
        <w:t xml:space="preserve"> existing literature still poorly describes the difference in magnetic orientations and its effects to the configurations of biomolecules that participate in the transfer of nutrients, and how it influences other metabolic events inside </w:t>
      </w:r>
      <w:proofErr w:type="spellStart"/>
      <w:r w:rsidRPr="00737EE8">
        <w:rPr>
          <w:color w:val="000000" w:themeColor="text1"/>
          <w:sz w:val="20"/>
          <w:szCs w:val="20"/>
        </w:rPr>
        <w:t>magnetoprimed</w:t>
      </w:r>
      <w:proofErr w:type="spellEnd"/>
      <w:r w:rsidRPr="00737EE8">
        <w:rPr>
          <w:color w:val="000000" w:themeColor="text1"/>
          <w:sz w:val="20"/>
          <w:szCs w:val="20"/>
        </w:rPr>
        <w:t xml:space="preserve"> cells.</w:t>
      </w:r>
      <w:r w:rsidR="006E340E">
        <w:rPr>
          <w:color w:val="000000" w:themeColor="text1"/>
          <w:sz w:val="20"/>
          <w:szCs w:val="20"/>
        </w:rPr>
        <w:t xml:space="preserve"> These concerns can be appropriately addressed in more advanced inquiries employing multiple approaches in biophysics and biochemistry particularly the omics-related technologies.</w:t>
      </w:r>
      <w:r w:rsidRPr="00737EE8">
        <w:rPr>
          <w:color w:val="000000" w:themeColor="text1"/>
          <w:sz w:val="20"/>
          <w:szCs w:val="20"/>
        </w:rPr>
        <w:t xml:space="preserve"> The result of this study can provide hint that magnetic orientation can result to different molecular modifications particularly in cellular permeability</w:t>
      </w:r>
      <w:r w:rsidR="006E340E">
        <w:rPr>
          <w:color w:val="000000" w:themeColor="text1"/>
          <w:sz w:val="20"/>
          <w:szCs w:val="20"/>
        </w:rPr>
        <w:t>.</w:t>
      </w:r>
    </w:p>
    <w:p w14:paraId="36FBC0DA" w14:textId="77777777" w:rsidR="006E340E" w:rsidRDefault="006E340E" w:rsidP="00441B6F">
      <w:pPr>
        <w:pStyle w:val="ConcHead"/>
        <w:spacing w:after="0"/>
        <w:jc w:val="both"/>
        <w:rPr>
          <w:rFonts w:ascii="Arial" w:hAnsi="Arial" w:cs="Arial"/>
        </w:rPr>
      </w:pPr>
    </w:p>
    <w:p w14:paraId="77765E86" w14:textId="2B6E067D"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31528E7" w14:textId="77777777" w:rsidR="00790ADA" w:rsidRPr="00FB3A86" w:rsidRDefault="00790ADA" w:rsidP="00441B6F">
      <w:pPr>
        <w:pStyle w:val="ConcHead"/>
        <w:spacing w:after="0"/>
        <w:jc w:val="both"/>
        <w:rPr>
          <w:rFonts w:ascii="Arial" w:hAnsi="Arial" w:cs="Arial"/>
        </w:rPr>
      </w:pPr>
    </w:p>
    <w:p w14:paraId="2DCEE0E3" w14:textId="345B3D42" w:rsidR="00FD2EE7" w:rsidRDefault="00FD2EE7" w:rsidP="00441B6F">
      <w:pPr>
        <w:pStyle w:val="AcknHead"/>
        <w:spacing w:after="0"/>
        <w:jc w:val="both"/>
        <w:rPr>
          <w:rFonts w:ascii="Arial" w:hAnsi="Arial" w:cs="Arial"/>
          <w:b w:val="0"/>
          <w:caps w:val="0"/>
          <w:sz w:val="20"/>
        </w:rPr>
      </w:pPr>
      <w:r w:rsidRPr="00FD2EE7">
        <w:rPr>
          <w:rFonts w:ascii="Arial" w:hAnsi="Arial" w:cs="Arial"/>
          <w:b w:val="0"/>
          <w:caps w:val="0"/>
          <w:sz w:val="20"/>
        </w:rPr>
        <w:t xml:space="preserve">In conclusion, the result of this study suggests that it is consistent with multiple results on the germination and growth advantage of </w:t>
      </w:r>
      <w:proofErr w:type="spellStart"/>
      <w:r w:rsidRPr="00FD2EE7">
        <w:rPr>
          <w:rFonts w:ascii="Arial" w:hAnsi="Arial" w:cs="Arial"/>
          <w:b w:val="0"/>
          <w:caps w:val="0"/>
          <w:sz w:val="20"/>
        </w:rPr>
        <w:t>magnetopriming</w:t>
      </w:r>
      <w:proofErr w:type="spellEnd"/>
      <w:r w:rsidRPr="00FD2EE7">
        <w:rPr>
          <w:rFonts w:ascii="Arial" w:hAnsi="Arial" w:cs="Arial"/>
          <w:b w:val="0"/>
          <w:caps w:val="0"/>
          <w:sz w:val="20"/>
        </w:rPr>
        <w:t xml:space="preserve"> seeds, adding validity to this technique that is geared towards sustainable food production. However, it is shown in this study that there is growth distinction</w:t>
      </w:r>
      <w:r>
        <w:rPr>
          <w:rFonts w:ascii="Arial" w:hAnsi="Arial" w:cs="Arial"/>
          <w:b w:val="0"/>
          <w:caps w:val="0"/>
          <w:sz w:val="20"/>
        </w:rPr>
        <w:t xml:space="preserve"> during the earliest stages of plant development</w:t>
      </w:r>
      <w:r w:rsidRPr="00FD2EE7">
        <w:rPr>
          <w:rFonts w:ascii="Arial" w:hAnsi="Arial" w:cs="Arial"/>
          <w:b w:val="0"/>
          <w:caps w:val="0"/>
          <w:sz w:val="20"/>
        </w:rPr>
        <w:t xml:space="preserve"> when seeds are primed to different magnetic orientation</w:t>
      </w:r>
      <w:r w:rsidR="0060456F">
        <w:rPr>
          <w:rFonts w:ascii="Arial" w:hAnsi="Arial" w:cs="Arial"/>
          <w:b w:val="0"/>
          <w:caps w:val="0"/>
          <w:sz w:val="20"/>
        </w:rPr>
        <w:t>, implying that the different direction of the magnetic field can incur different responses</w:t>
      </w:r>
      <w:r>
        <w:rPr>
          <w:rFonts w:ascii="Arial" w:hAnsi="Arial" w:cs="Arial"/>
          <w:b w:val="0"/>
          <w:caps w:val="0"/>
          <w:sz w:val="20"/>
        </w:rPr>
        <w:t xml:space="preserve">; such observation can be </w:t>
      </w:r>
      <w:r w:rsidR="009315A6">
        <w:rPr>
          <w:rFonts w:ascii="Arial" w:hAnsi="Arial" w:cs="Arial"/>
          <w:b w:val="0"/>
          <w:caps w:val="0"/>
          <w:sz w:val="20"/>
        </w:rPr>
        <w:t xml:space="preserve">an </w:t>
      </w:r>
      <w:r>
        <w:rPr>
          <w:rFonts w:ascii="Arial" w:hAnsi="Arial" w:cs="Arial"/>
          <w:b w:val="0"/>
          <w:caps w:val="0"/>
          <w:sz w:val="20"/>
        </w:rPr>
        <w:t>indication of potential physiological advantages when seeds are primed to specific magnetic field orientation with respect to the length of exposure</w:t>
      </w:r>
      <w:r w:rsidRPr="00FD2EE7">
        <w:rPr>
          <w:rFonts w:ascii="Arial" w:hAnsi="Arial" w:cs="Arial"/>
          <w:b w:val="0"/>
          <w:caps w:val="0"/>
          <w:sz w:val="20"/>
        </w:rPr>
        <w:t xml:space="preserve">. Hence, future </w:t>
      </w:r>
      <w:proofErr w:type="spellStart"/>
      <w:r w:rsidRPr="00FD2EE7">
        <w:rPr>
          <w:rFonts w:ascii="Arial" w:hAnsi="Arial" w:cs="Arial"/>
          <w:b w:val="0"/>
          <w:caps w:val="0"/>
          <w:sz w:val="20"/>
        </w:rPr>
        <w:t>magnetopriming</w:t>
      </w:r>
      <w:proofErr w:type="spellEnd"/>
      <w:r w:rsidRPr="00FD2EE7">
        <w:rPr>
          <w:rFonts w:ascii="Arial" w:hAnsi="Arial" w:cs="Arial"/>
          <w:b w:val="0"/>
          <w:caps w:val="0"/>
          <w:sz w:val="20"/>
        </w:rPr>
        <w:t xml:space="preserve"> studies can now consider magnetic orientation as a factor for biochemical and cellular events that are pertinent to plant growth in addition to magnetic intensity and exposure time. </w:t>
      </w:r>
    </w:p>
    <w:p w14:paraId="74963C6E" w14:textId="77777777" w:rsidR="00FD2EE7" w:rsidRDefault="00FD2EE7" w:rsidP="00441B6F">
      <w:pPr>
        <w:pStyle w:val="AcknHead"/>
        <w:spacing w:after="0"/>
        <w:jc w:val="both"/>
        <w:rPr>
          <w:rFonts w:ascii="Arial" w:hAnsi="Arial" w:cs="Arial"/>
        </w:rPr>
      </w:pPr>
    </w:p>
    <w:p w14:paraId="767166DB" w14:textId="201D6EF2" w:rsidR="00FD2EE7" w:rsidRDefault="00FD2EE7" w:rsidP="00441B6F">
      <w:pPr>
        <w:pStyle w:val="ReferHead"/>
        <w:spacing w:after="0"/>
        <w:jc w:val="both"/>
        <w:rPr>
          <w:rFonts w:ascii="Arial" w:hAnsi="Arial" w:cs="Arial"/>
          <w:b w:val="0"/>
          <w:caps w:val="0"/>
          <w:sz w:val="20"/>
        </w:rPr>
      </w:pPr>
    </w:p>
    <w:p w14:paraId="06945F3B" w14:textId="77777777" w:rsidR="00263510" w:rsidRPr="00CA3906" w:rsidRDefault="00263510" w:rsidP="00263510">
      <w:pPr>
        <w:rPr>
          <w:b/>
          <w:highlight w:val="yellow"/>
        </w:rPr>
      </w:pPr>
      <w:r w:rsidRPr="00CA3906">
        <w:rPr>
          <w:b/>
          <w:highlight w:val="yellow"/>
        </w:rPr>
        <w:t>Disclaimer (Artificial intelligence)</w:t>
      </w:r>
    </w:p>
    <w:p w14:paraId="051611A9" w14:textId="77777777" w:rsidR="00263510" w:rsidRPr="00740879" w:rsidRDefault="00263510" w:rsidP="00263510">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24360392" w14:textId="4733C0B8" w:rsidR="00F63543" w:rsidRDefault="00F63543" w:rsidP="00441B6F">
      <w:pPr>
        <w:pStyle w:val="ReferHead"/>
        <w:spacing w:after="0"/>
        <w:jc w:val="both"/>
        <w:rPr>
          <w:rFonts w:ascii="Arial" w:hAnsi="Arial" w:cs="Arial"/>
          <w:b w:val="0"/>
          <w:caps w:val="0"/>
          <w:sz w:val="20"/>
        </w:rPr>
      </w:pPr>
    </w:p>
    <w:p w14:paraId="27753407" w14:textId="77777777" w:rsidR="00F63543" w:rsidRDefault="00F63543" w:rsidP="00441B6F">
      <w:pPr>
        <w:pStyle w:val="ReferHead"/>
        <w:spacing w:after="0"/>
        <w:jc w:val="both"/>
        <w:rPr>
          <w:rFonts w:ascii="Arial" w:hAnsi="Arial" w:cs="Arial"/>
          <w:b w:val="0"/>
          <w:caps w:val="0"/>
          <w:sz w:val="20"/>
        </w:rPr>
      </w:pPr>
    </w:p>
    <w:p w14:paraId="7783DA96" w14:textId="77777777" w:rsidR="00860000" w:rsidRDefault="00860000" w:rsidP="00441B6F">
      <w:pPr>
        <w:pStyle w:val="ReferHead"/>
        <w:spacing w:after="0"/>
        <w:jc w:val="both"/>
        <w:rPr>
          <w:rFonts w:ascii="Arial" w:hAnsi="Arial" w:cs="Arial"/>
        </w:rPr>
      </w:pPr>
    </w:p>
    <w:p w14:paraId="1865B69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11A6958" w14:textId="77777777" w:rsidR="00790ADA" w:rsidRPr="00FB3A86" w:rsidRDefault="00790ADA" w:rsidP="00441B6F">
      <w:pPr>
        <w:pStyle w:val="ReferHead"/>
        <w:spacing w:after="0"/>
        <w:jc w:val="both"/>
        <w:rPr>
          <w:rFonts w:ascii="Arial" w:hAnsi="Arial" w:cs="Arial"/>
        </w:rPr>
      </w:pPr>
    </w:p>
    <w:p w14:paraId="3D480812" w14:textId="77777777" w:rsidR="00FD2EE7" w:rsidRDefault="00FD2EE7" w:rsidP="00441B6F">
      <w:pPr>
        <w:pStyle w:val="Body"/>
        <w:spacing w:after="0"/>
        <w:rPr>
          <w:rFonts w:ascii="Arial" w:hAnsi="Arial" w:cs="Arial"/>
        </w:rPr>
      </w:pPr>
    </w:p>
    <w:p w14:paraId="0F6A6FBC" w14:textId="77777777" w:rsidR="00FD2EE7" w:rsidRPr="00FD2EE7" w:rsidRDefault="00FD2EE7" w:rsidP="00213C9C">
      <w:pPr>
        <w:pStyle w:val="Body"/>
        <w:numPr>
          <w:ilvl w:val="0"/>
          <w:numId w:val="31"/>
        </w:numPr>
        <w:rPr>
          <w:rFonts w:ascii="Arial" w:hAnsi="Arial" w:cs="Arial"/>
        </w:rPr>
      </w:pPr>
      <w:proofErr w:type="spellStart"/>
      <w:r w:rsidRPr="00FD2EE7">
        <w:rPr>
          <w:rFonts w:ascii="Arial" w:hAnsi="Arial" w:cs="Arial"/>
        </w:rPr>
        <w:t>Abhary</w:t>
      </w:r>
      <w:proofErr w:type="spellEnd"/>
      <w:r w:rsidRPr="00FD2EE7">
        <w:rPr>
          <w:rFonts w:ascii="Arial" w:hAnsi="Arial" w:cs="Arial"/>
        </w:rPr>
        <w:t xml:space="preserve"> M.K., </w:t>
      </w:r>
      <w:proofErr w:type="spellStart"/>
      <w:r w:rsidRPr="00FD2EE7">
        <w:rPr>
          <w:rFonts w:ascii="Arial" w:hAnsi="Arial" w:cs="Arial"/>
        </w:rPr>
        <w:t>Akhkha</w:t>
      </w:r>
      <w:proofErr w:type="spellEnd"/>
      <w:r w:rsidRPr="00FD2EE7">
        <w:rPr>
          <w:rFonts w:ascii="Arial" w:hAnsi="Arial" w:cs="Arial"/>
        </w:rPr>
        <w:t>, A. (2023). Effects of neodymium magneto</w:t>
      </w:r>
      <w:r w:rsidRPr="00FD2EE7">
        <w:rPr>
          <w:rFonts w:ascii="Cambria Math" w:hAnsi="Cambria Math" w:cs="Cambria Math"/>
        </w:rPr>
        <w:t>‐</w:t>
      </w:r>
      <w:r w:rsidRPr="00FD2EE7">
        <w:rPr>
          <w:rFonts w:ascii="Arial" w:hAnsi="Arial" w:cs="Arial"/>
        </w:rPr>
        <w:t xml:space="preserve">priming on seed germination and salinity tolerance in tomato. </w:t>
      </w:r>
      <w:proofErr w:type="spellStart"/>
      <w:r w:rsidRPr="00FD2EE7">
        <w:rPr>
          <w:rFonts w:ascii="Arial" w:hAnsi="Arial" w:cs="Arial"/>
        </w:rPr>
        <w:t>Bioelectromagnetics</w:t>
      </w:r>
      <w:proofErr w:type="spellEnd"/>
      <w:r w:rsidRPr="00FD2EE7">
        <w:rPr>
          <w:rFonts w:ascii="Arial" w:hAnsi="Arial" w:cs="Arial"/>
        </w:rPr>
        <w:t xml:space="preserve">, 44(1-2), 47-56. https://doi.org/10.1002/bem.22438 </w:t>
      </w:r>
    </w:p>
    <w:p w14:paraId="014D46EF"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Anand, A., Kumari, A., Thakur, M., Koul, A. (2019). Hydrogen peroxide signaling integrates with phytohormones during the germination of </w:t>
      </w:r>
      <w:proofErr w:type="spellStart"/>
      <w:r w:rsidRPr="00FD2EE7">
        <w:rPr>
          <w:rFonts w:ascii="Arial" w:hAnsi="Arial" w:cs="Arial"/>
        </w:rPr>
        <w:t>magnetoprimed</w:t>
      </w:r>
      <w:proofErr w:type="spellEnd"/>
      <w:r w:rsidRPr="00FD2EE7">
        <w:rPr>
          <w:rFonts w:ascii="Arial" w:hAnsi="Arial" w:cs="Arial"/>
        </w:rPr>
        <w:t xml:space="preserve"> tomato seeds. Scientific Reports, 9(1), 8814. https://doi.org/10.1038/s41598-019-45102-5</w:t>
      </w:r>
    </w:p>
    <w:p w14:paraId="0CA6E4D1"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Bhardwaj J., Anand, A., Nagarajan, S. (2012). Biochemical and biophysical changes associated with </w:t>
      </w:r>
      <w:proofErr w:type="spellStart"/>
      <w:r w:rsidRPr="00FD2EE7">
        <w:rPr>
          <w:rFonts w:ascii="Arial" w:hAnsi="Arial" w:cs="Arial"/>
        </w:rPr>
        <w:t>magnetopriming</w:t>
      </w:r>
      <w:proofErr w:type="spellEnd"/>
      <w:r w:rsidRPr="00FD2EE7">
        <w:rPr>
          <w:rFonts w:ascii="Arial" w:hAnsi="Arial" w:cs="Arial"/>
        </w:rPr>
        <w:t xml:space="preserve"> in germinating cucumber seeds. Plant Physiology and Biochemistry, 57, 67-73.  https://doi.org/10.1016/j.plaphy.2012.05.008</w:t>
      </w:r>
    </w:p>
    <w:p w14:paraId="79A4DCEC" w14:textId="77777777" w:rsidR="00FD2EE7" w:rsidRPr="00FD2EE7" w:rsidRDefault="00FD2EE7" w:rsidP="00213C9C">
      <w:pPr>
        <w:pStyle w:val="Body"/>
        <w:numPr>
          <w:ilvl w:val="0"/>
          <w:numId w:val="31"/>
        </w:numPr>
        <w:rPr>
          <w:rFonts w:ascii="Arial" w:hAnsi="Arial" w:cs="Arial"/>
        </w:rPr>
      </w:pPr>
      <w:proofErr w:type="spellStart"/>
      <w:r w:rsidRPr="00FD2EE7">
        <w:rPr>
          <w:rFonts w:ascii="Arial" w:hAnsi="Arial" w:cs="Arial"/>
        </w:rPr>
        <w:t>Binhi</w:t>
      </w:r>
      <w:proofErr w:type="spellEnd"/>
      <w:r w:rsidRPr="00FD2EE7">
        <w:rPr>
          <w:rFonts w:ascii="Arial" w:hAnsi="Arial" w:cs="Arial"/>
        </w:rPr>
        <w:t xml:space="preserve">, V.N., Rubin, A.B. (2022). Theoretical concepts in </w:t>
      </w:r>
      <w:proofErr w:type="spellStart"/>
      <w:r w:rsidRPr="00FD2EE7">
        <w:rPr>
          <w:rFonts w:ascii="Arial" w:hAnsi="Arial" w:cs="Arial"/>
        </w:rPr>
        <w:t>magnetobiology</w:t>
      </w:r>
      <w:proofErr w:type="spellEnd"/>
      <w:r w:rsidRPr="00FD2EE7">
        <w:rPr>
          <w:rFonts w:ascii="Arial" w:hAnsi="Arial" w:cs="Arial"/>
        </w:rPr>
        <w:t xml:space="preserve"> after 40 years of research. Cells, 11(2), 274. https://doi.org/10.3390/cells11020274</w:t>
      </w:r>
    </w:p>
    <w:p w14:paraId="44BC3B83" w14:textId="77777777" w:rsidR="00FD2EE7" w:rsidRPr="00FD2EE7" w:rsidRDefault="00FD2EE7" w:rsidP="00213C9C">
      <w:pPr>
        <w:pStyle w:val="Body"/>
        <w:numPr>
          <w:ilvl w:val="0"/>
          <w:numId w:val="31"/>
        </w:numPr>
        <w:rPr>
          <w:rFonts w:ascii="Arial" w:hAnsi="Arial" w:cs="Arial"/>
        </w:rPr>
      </w:pPr>
      <w:proofErr w:type="spellStart"/>
      <w:r w:rsidRPr="00FD2EE7">
        <w:rPr>
          <w:rFonts w:ascii="Arial" w:hAnsi="Arial" w:cs="Arial"/>
        </w:rPr>
        <w:t>Buchachenko</w:t>
      </w:r>
      <w:proofErr w:type="spellEnd"/>
      <w:r w:rsidRPr="00FD2EE7">
        <w:rPr>
          <w:rFonts w:ascii="Arial" w:hAnsi="Arial" w:cs="Arial"/>
        </w:rPr>
        <w:t xml:space="preserve"> A.L. (2014). Magnetic field-dependent molecular and chemical processes in biochemistry, genetics and medicine. Russian Chemical Reviews, 83(1), 1. 0.1070/RC2014v083n01ABEH004335</w:t>
      </w:r>
    </w:p>
    <w:p w14:paraId="0443F6DF" w14:textId="77777777" w:rsidR="00FD2EE7" w:rsidRPr="00FD2EE7" w:rsidRDefault="00FD2EE7" w:rsidP="00213C9C">
      <w:pPr>
        <w:pStyle w:val="Body"/>
        <w:numPr>
          <w:ilvl w:val="0"/>
          <w:numId w:val="31"/>
        </w:numPr>
        <w:rPr>
          <w:rFonts w:ascii="Arial" w:hAnsi="Arial" w:cs="Arial"/>
        </w:rPr>
      </w:pPr>
      <w:r w:rsidRPr="00FD2EE7">
        <w:rPr>
          <w:rFonts w:ascii="Arial" w:hAnsi="Arial" w:cs="Arial"/>
        </w:rPr>
        <w:t>de Faria R.Q., Dos Santos, A.R., Batista, T.B., Gariepy, Y., da Silva, E.A., Sartori, M.M., Raghavan, V. (2023). The Effect of Magneto-Priming on the Physiological Quality of Soybean Seeds. Plants, 12(7), 1477. https://doi.org/10.3390/plants1207147</w:t>
      </w:r>
    </w:p>
    <w:p w14:paraId="3E627A2A"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Di Girolamo, G., and </w:t>
      </w:r>
      <w:proofErr w:type="spellStart"/>
      <w:r w:rsidRPr="00FD2EE7">
        <w:rPr>
          <w:rFonts w:ascii="Arial" w:hAnsi="Arial" w:cs="Arial"/>
        </w:rPr>
        <w:t>Barbanti</w:t>
      </w:r>
      <w:proofErr w:type="spellEnd"/>
      <w:r w:rsidRPr="00FD2EE7">
        <w:rPr>
          <w:rFonts w:ascii="Arial" w:hAnsi="Arial" w:cs="Arial"/>
        </w:rPr>
        <w:t xml:space="preserve">, L. (2012). Treatment conditions and biochemical processes influencing seed priming effectiveness. Italian Journal of Agronomy, 7(2), e25-e25.           https://doi.org/10.4081/ija.2012.e25        </w:t>
      </w:r>
    </w:p>
    <w:p w14:paraId="62F57D17" w14:textId="77777777" w:rsidR="00FD2EE7" w:rsidRPr="00FD2EE7" w:rsidRDefault="00FD2EE7" w:rsidP="00213C9C">
      <w:pPr>
        <w:pStyle w:val="Body"/>
        <w:numPr>
          <w:ilvl w:val="0"/>
          <w:numId w:val="31"/>
        </w:numPr>
        <w:rPr>
          <w:rFonts w:ascii="Arial" w:hAnsi="Arial" w:cs="Arial"/>
        </w:rPr>
      </w:pPr>
      <w:r w:rsidRPr="00FD2EE7">
        <w:rPr>
          <w:rFonts w:ascii="Arial" w:hAnsi="Arial" w:cs="Arial"/>
        </w:rPr>
        <w:lastRenderedPageBreak/>
        <w:t>Dolgova, N., Wei, Z., Spink, B., Gui, L., Hua, Q., Truong, D., ...  Zhang, Y. (2021). Low-field magnetic stimulation accelerates the differentiation of oligodendrocyte precursor cells via non-canonical TGF-β signaling pathways. Molecular Neurobiology, 58, 855-866. https://doi.org/10.1007/s12035-020-02157-0</w:t>
      </w:r>
    </w:p>
    <w:p w14:paraId="7ECCC167"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Farooq, M., Usman, M., Nadeem, F., </w:t>
      </w:r>
      <w:proofErr w:type="spellStart"/>
      <w:r w:rsidRPr="00FD2EE7">
        <w:rPr>
          <w:rFonts w:ascii="Arial" w:hAnsi="Arial" w:cs="Arial"/>
        </w:rPr>
        <w:t>ur</w:t>
      </w:r>
      <w:proofErr w:type="spellEnd"/>
      <w:r w:rsidRPr="00FD2EE7">
        <w:rPr>
          <w:rFonts w:ascii="Arial" w:hAnsi="Arial" w:cs="Arial"/>
        </w:rPr>
        <w:t xml:space="preserve"> Rehman, H., Wahid, A., Basra, S.M., Siddique, K.H. (2019). Seed priming in field crops: potential benefits, adoption and challenges. Crop and Pasture Science, 70(9), 731-771. https://doi.org/10.1071/CP18604</w:t>
      </w:r>
    </w:p>
    <w:p w14:paraId="10249BC2"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Freire, </w:t>
      </w:r>
      <w:proofErr w:type="gramStart"/>
      <w:r w:rsidRPr="00FD2EE7">
        <w:rPr>
          <w:rFonts w:ascii="Arial" w:hAnsi="Arial" w:cs="Arial"/>
        </w:rPr>
        <w:t>M.J,,</w:t>
      </w:r>
      <w:proofErr w:type="gramEnd"/>
      <w:r w:rsidRPr="00FD2EE7">
        <w:rPr>
          <w:rFonts w:ascii="Arial" w:hAnsi="Arial" w:cs="Arial"/>
        </w:rPr>
        <w:t xml:space="preserve"> Bernal-Méndez, J., Pérez, A.T. (2020). The Lorentz force on ions in membrane channels of neurons as a mechanism for transcranial static magnetic stimulation. Electromagnetic Biology and Medicine, 39(4), 310-315. https://doi.org/10.1080/15368378.2020.1793172</w:t>
      </w:r>
    </w:p>
    <w:p w14:paraId="67782762"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Gupta, M.K., Anand, A., Paul, V., Dahuja, A., Singh, A.K. (2015). Reactive oxygen species mediated improvement in </w:t>
      </w:r>
      <w:proofErr w:type="spellStart"/>
      <w:r w:rsidRPr="00FD2EE7">
        <w:rPr>
          <w:rFonts w:ascii="Arial" w:hAnsi="Arial" w:cs="Arial"/>
        </w:rPr>
        <w:t>vigour</w:t>
      </w:r>
      <w:proofErr w:type="spellEnd"/>
      <w:r w:rsidRPr="00FD2EE7">
        <w:rPr>
          <w:rFonts w:ascii="Arial" w:hAnsi="Arial" w:cs="Arial"/>
        </w:rPr>
        <w:t xml:space="preserve"> of static and pulsed magneto-primed cherry tomato seeds. Indian Journal of Plant Physiology, 20, 197-204. https://doi.org/10.1007/s40502-015-0161-8</w:t>
      </w:r>
    </w:p>
    <w:p w14:paraId="078BC681"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Hayashi, S., and </w:t>
      </w:r>
      <w:proofErr w:type="spellStart"/>
      <w:r w:rsidRPr="00FD2EE7">
        <w:rPr>
          <w:rFonts w:ascii="Arial" w:hAnsi="Arial" w:cs="Arial"/>
        </w:rPr>
        <w:t>Kakikawa</w:t>
      </w:r>
      <w:proofErr w:type="spellEnd"/>
      <w:r w:rsidRPr="00FD2EE7">
        <w:rPr>
          <w:rFonts w:ascii="Arial" w:hAnsi="Arial" w:cs="Arial"/>
        </w:rPr>
        <w:t>, M. 2021. Exposure to 60 Hz magnetic field can affect membrane proteins and membrane potential in human cancer cells. Electromagnetic Biology and Medicine, 40(4), 459-466. https://doi.org/10.1080/15368378.2021.1958340</w:t>
      </w:r>
    </w:p>
    <w:p w14:paraId="184AE58F" w14:textId="77777777" w:rsidR="00FD2EE7" w:rsidRPr="00FD2EE7" w:rsidRDefault="00FD2EE7" w:rsidP="00213C9C">
      <w:pPr>
        <w:pStyle w:val="Body"/>
        <w:numPr>
          <w:ilvl w:val="0"/>
          <w:numId w:val="31"/>
        </w:numPr>
        <w:rPr>
          <w:rFonts w:ascii="Arial" w:hAnsi="Arial" w:cs="Arial"/>
        </w:rPr>
      </w:pPr>
      <w:r w:rsidRPr="00FD2EE7">
        <w:rPr>
          <w:rFonts w:ascii="Arial" w:hAnsi="Arial" w:cs="Arial"/>
        </w:rPr>
        <w:t>Ho, S.Y., Chen, I.C., Chen, Y.J., Lee, C.H., Fu, C.M., Liu, F.C., Liou, H.H. (2019). Static magnetic field induced neural stem/progenitor cell early differentiation and promotes maturation. Stem Cells International, 2019(1), 8790176. https://doi.org/10.1155/2019/8790176</w:t>
      </w:r>
    </w:p>
    <w:p w14:paraId="0C555640" w14:textId="77777777" w:rsidR="00FD2EE7" w:rsidRPr="00FD2EE7" w:rsidRDefault="00FD2EE7" w:rsidP="00213C9C">
      <w:pPr>
        <w:pStyle w:val="Body"/>
        <w:numPr>
          <w:ilvl w:val="0"/>
          <w:numId w:val="31"/>
        </w:numPr>
        <w:rPr>
          <w:rFonts w:ascii="Arial" w:hAnsi="Arial" w:cs="Arial"/>
        </w:rPr>
      </w:pPr>
      <w:r w:rsidRPr="00FD2EE7">
        <w:rPr>
          <w:rFonts w:ascii="Arial" w:hAnsi="Arial" w:cs="Arial"/>
        </w:rPr>
        <w:t>Ibrahim, E.A. 2016. Seed priming to alleviate salinity stress in germinating seeds. Journal of Plant Physiology, 192, 38-46. https://doi.org/10.1016/j.jplph.2015.12.011</w:t>
      </w:r>
    </w:p>
    <w:p w14:paraId="40DA8AAD"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Jisha, K.C., Vijayakumari, K., </w:t>
      </w:r>
      <w:proofErr w:type="spellStart"/>
      <w:r w:rsidRPr="00FD2EE7">
        <w:rPr>
          <w:rFonts w:ascii="Arial" w:hAnsi="Arial" w:cs="Arial"/>
        </w:rPr>
        <w:t>Puthur</w:t>
      </w:r>
      <w:proofErr w:type="spellEnd"/>
      <w:r w:rsidRPr="00FD2EE7">
        <w:rPr>
          <w:rFonts w:ascii="Arial" w:hAnsi="Arial" w:cs="Arial"/>
        </w:rPr>
        <w:t xml:space="preserve">, J.T. (2013). Seed priming for abiotic stress tolerance: an overview. Acta </w:t>
      </w:r>
      <w:proofErr w:type="spellStart"/>
      <w:r w:rsidRPr="00FD2EE7">
        <w:rPr>
          <w:rFonts w:ascii="Arial" w:hAnsi="Arial" w:cs="Arial"/>
        </w:rPr>
        <w:t>Physiologiae</w:t>
      </w:r>
      <w:proofErr w:type="spellEnd"/>
      <w:r w:rsidRPr="00FD2EE7">
        <w:rPr>
          <w:rFonts w:ascii="Arial" w:hAnsi="Arial" w:cs="Arial"/>
        </w:rPr>
        <w:t xml:space="preserve"> Plantarum, 35, 1381-1396. https://doi.org/10.1007/s11738-012-1186-5</w:t>
      </w:r>
    </w:p>
    <w:p w14:paraId="1B06D5E2"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Jung, I.S., Kim, H.J., Noh, R., Kim, S.C., Kim, C.W. (2014). Effects of extremely low frequency magnetic fields on NGF induced neuronal differentiation of PC12 cells. </w:t>
      </w:r>
      <w:proofErr w:type="spellStart"/>
      <w:r w:rsidRPr="00FD2EE7">
        <w:rPr>
          <w:rFonts w:ascii="Arial" w:hAnsi="Arial" w:cs="Arial"/>
        </w:rPr>
        <w:t>Bioelectromagnetics</w:t>
      </w:r>
      <w:proofErr w:type="spellEnd"/>
      <w:r w:rsidRPr="00FD2EE7">
        <w:rPr>
          <w:rFonts w:ascii="Arial" w:hAnsi="Arial" w:cs="Arial"/>
        </w:rPr>
        <w:t>, 35(7), 459-469. https://doi.org/10.1002/bem.21861</w:t>
      </w:r>
    </w:p>
    <w:p w14:paraId="7047FA11"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Kataria, S. (2017). Role of reactive oxygen species in </w:t>
      </w:r>
      <w:proofErr w:type="spellStart"/>
      <w:r w:rsidRPr="00FD2EE7">
        <w:rPr>
          <w:rFonts w:ascii="Arial" w:hAnsi="Arial" w:cs="Arial"/>
        </w:rPr>
        <w:t>magnetoprimed</w:t>
      </w:r>
      <w:proofErr w:type="spellEnd"/>
      <w:r w:rsidRPr="00FD2EE7">
        <w:rPr>
          <w:rFonts w:ascii="Arial" w:hAnsi="Arial" w:cs="Arial"/>
        </w:rPr>
        <w:t xml:space="preserve"> induced acceleration of germination and early growth characteristics of seeds. Reactive Oxygen Species in Plants: Boon or Bane</w:t>
      </w:r>
      <w:r w:rsidRPr="00FD2EE7">
        <w:rPr>
          <w:rFonts w:ascii="Cambria Math" w:hAnsi="Cambria Math" w:cs="Cambria Math"/>
        </w:rPr>
        <w:t>‐</w:t>
      </w:r>
      <w:r w:rsidRPr="00FD2EE7">
        <w:rPr>
          <w:rFonts w:ascii="Arial" w:hAnsi="Arial" w:cs="Arial"/>
        </w:rPr>
        <w:t>Revisiting the Role of ROS, 75-88. https://doi.org/10.1002/9781119324928.ch4</w:t>
      </w:r>
    </w:p>
    <w:p w14:paraId="14515C82"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Kataria, S., Anand, A., </w:t>
      </w:r>
      <w:proofErr w:type="spellStart"/>
      <w:r w:rsidRPr="00FD2EE7">
        <w:rPr>
          <w:rFonts w:ascii="Arial" w:hAnsi="Arial" w:cs="Arial"/>
        </w:rPr>
        <w:t>Raipuria</w:t>
      </w:r>
      <w:proofErr w:type="spellEnd"/>
      <w:r w:rsidRPr="00FD2EE7">
        <w:rPr>
          <w:rFonts w:ascii="Arial" w:hAnsi="Arial" w:cs="Arial"/>
        </w:rPr>
        <w:t xml:space="preserve">, R.K., Kumar, S., Jain, M., Watts, A., </w:t>
      </w:r>
      <w:proofErr w:type="spellStart"/>
      <w:r w:rsidRPr="00FD2EE7">
        <w:rPr>
          <w:rFonts w:ascii="Arial" w:hAnsi="Arial" w:cs="Arial"/>
        </w:rPr>
        <w:t>Brestic</w:t>
      </w:r>
      <w:proofErr w:type="spellEnd"/>
      <w:r w:rsidRPr="00FD2EE7">
        <w:rPr>
          <w:rFonts w:ascii="Arial" w:hAnsi="Arial" w:cs="Arial"/>
        </w:rPr>
        <w:t xml:space="preserve">, M. (2022). </w:t>
      </w:r>
      <w:proofErr w:type="spellStart"/>
      <w:r w:rsidRPr="00FD2EE7">
        <w:rPr>
          <w:rFonts w:ascii="Arial" w:hAnsi="Arial" w:cs="Arial"/>
        </w:rPr>
        <w:t>Magnetopriming</w:t>
      </w:r>
      <w:proofErr w:type="spellEnd"/>
      <w:r w:rsidRPr="00FD2EE7">
        <w:rPr>
          <w:rFonts w:ascii="Arial" w:hAnsi="Arial" w:cs="Arial"/>
        </w:rPr>
        <w:t xml:space="preserve"> actuates nitric oxide synthesis to regulate phytohormones for improving germination of soybean seeds under salt stress. Cells, 11(14), 2174. https://doi.org/10.3390/cells11142174</w:t>
      </w:r>
    </w:p>
    <w:p w14:paraId="1056A44C" w14:textId="77777777" w:rsidR="00FD2EE7" w:rsidRPr="00FD2EE7" w:rsidRDefault="00FD2EE7" w:rsidP="00213C9C">
      <w:pPr>
        <w:pStyle w:val="Body"/>
        <w:numPr>
          <w:ilvl w:val="0"/>
          <w:numId w:val="31"/>
        </w:numPr>
        <w:rPr>
          <w:rFonts w:ascii="Arial" w:hAnsi="Arial" w:cs="Arial"/>
        </w:rPr>
      </w:pPr>
      <w:proofErr w:type="spellStart"/>
      <w:r w:rsidRPr="00FD2EE7">
        <w:rPr>
          <w:rFonts w:ascii="Arial" w:hAnsi="Arial" w:cs="Arial"/>
        </w:rPr>
        <w:t>Kokonov</w:t>
      </w:r>
      <w:proofErr w:type="spellEnd"/>
      <w:r w:rsidRPr="00FD2EE7">
        <w:rPr>
          <w:rFonts w:ascii="Arial" w:hAnsi="Arial" w:cs="Arial"/>
        </w:rPr>
        <w:t xml:space="preserve">, S.I., </w:t>
      </w:r>
      <w:proofErr w:type="spellStart"/>
      <w:r w:rsidRPr="00FD2EE7">
        <w:rPr>
          <w:rFonts w:ascii="Arial" w:hAnsi="Arial" w:cs="Arial"/>
        </w:rPr>
        <w:t>Ryabova</w:t>
      </w:r>
      <w:proofErr w:type="spellEnd"/>
      <w:r w:rsidRPr="00FD2EE7">
        <w:rPr>
          <w:rFonts w:ascii="Arial" w:hAnsi="Arial" w:cs="Arial"/>
        </w:rPr>
        <w:t xml:space="preserve">, T.N., </w:t>
      </w:r>
      <w:proofErr w:type="spellStart"/>
      <w:r w:rsidRPr="00FD2EE7">
        <w:rPr>
          <w:rFonts w:ascii="Arial" w:hAnsi="Arial" w:cs="Arial"/>
        </w:rPr>
        <w:t>Votintsev</w:t>
      </w:r>
      <w:proofErr w:type="spellEnd"/>
      <w:r w:rsidRPr="00FD2EE7">
        <w:rPr>
          <w:rFonts w:ascii="Arial" w:hAnsi="Arial" w:cs="Arial"/>
        </w:rPr>
        <w:t xml:space="preserve">, A.I., </w:t>
      </w:r>
      <w:proofErr w:type="spellStart"/>
      <w:r w:rsidRPr="00FD2EE7">
        <w:rPr>
          <w:rFonts w:ascii="Arial" w:hAnsi="Arial" w:cs="Arial"/>
        </w:rPr>
        <w:t>Mokeeva</w:t>
      </w:r>
      <w:proofErr w:type="spellEnd"/>
      <w:r w:rsidRPr="00FD2EE7">
        <w:rPr>
          <w:rFonts w:ascii="Arial" w:hAnsi="Arial" w:cs="Arial"/>
        </w:rPr>
        <w:t xml:space="preserve">, S.A., </w:t>
      </w:r>
      <w:proofErr w:type="spellStart"/>
      <w:r w:rsidRPr="00FD2EE7">
        <w:rPr>
          <w:rFonts w:ascii="Arial" w:hAnsi="Arial" w:cs="Arial"/>
        </w:rPr>
        <w:t>Vorobyeva</w:t>
      </w:r>
      <w:proofErr w:type="spellEnd"/>
      <w:r w:rsidRPr="00FD2EE7">
        <w:rPr>
          <w:rFonts w:ascii="Arial" w:hAnsi="Arial" w:cs="Arial"/>
        </w:rPr>
        <w:t xml:space="preserve">, S.L., </w:t>
      </w:r>
      <w:proofErr w:type="spellStart"/>
      <w:r w:rsidRPr="00FD2EE7">
        <w:rPr>
          <w:rFonts w:ascii="Arial" w:hAnsi="Arial" w:cs="Arial"/>
        </w:rPr>
        <w:t>Esenkulova</w:t>
      </w:r>
      <w:proofErr w:type="spellEnd"/>
      <w:r w:rsidRPr="00FD2EE7">
        <w:rPr>
          <w:rFonts w:ascii="Arial" w:hAnsi="Arial" w:cs="Arial"/>
        </w:rPr>
        <w:t xml:space="preserve">, O.V. (2021). Influence of </w:t>
      </w:r>
      <w:proofErr w:type="spellStart"/>
      <w:r w:rsidRPr="00FD2EE7">
        <w:rPr>
          <w:rFonts w:ascii="Arial" w:hAnsi="Arial" w:cs="Arial"/>
        </w:rPr>
        <w:t>presowing</w:t>
      </w:r>
      <w:proofErr w:type="spellEnd"/>
      <w:r w:rsidRPr="00FD2EE7">
        <w:rPr>
          <w:rFonts w:ascii="Arial" w:hAnsi="Arial" w:cs="Arial"/>
        </w:rPr>
        <w:t xml:space="preserve"> seed treatment on the yield of variegated alfalfa and eastern </w:t>
      </w:r>
      <w:proofErr w:type="spellStart"/>
      <w:r w:rsidRPr="00FD2EE7">
        <w:rPr>
          <w:rFonts w:ascii="Arial" w:hAnsi="Arial" w:cs="Arial"/>
        </w:rPr>
        <w:t>galega</w:t>
      </w:r>
      <w:proofErr w:type="spellEnd"/>
      <w:r w:rsidRPr="00FD2EE7">
        <w:rPr>
          <w:rFonts w:ascii="Arial" w:hAnsi="Arial" w:cs="Arial"/>
        </w:rPr>
        <w:t xml:space="preserve">. Plant Science Today, 8(2), 250-254. https://doi.org/10.14719/pst.2021.8.2.1000        </w:t>
      </w:r>
    </w:p>
    <w:p w14:paraId="66E9AC82" w14:textId="77777777" w:rsidR="00FD2EE7" w:rsidRPr="00FD2EE7" w:rsidRDefault="00FD2EE7" w:rsidP="00213C9C">
      <w:pPr>
        <w:pStyle w:val="Body"/>
        <w:numPr>
          <w:ilvl w:val="0"/>
          <w:numId w:val="31"/>
        </w:numPr>
        <w:rPr>
          <w:rFonts w:ascii="Arial" w:hAnsi="Arial" w:cs="Arial"/>
        </w:rPr>
      </w:pPr>
      <w:proofErr w:type="spellStart"/>
      <w:r w:rsidRPr="00FD2EE7">
        <w:rPr>
          <w:rFonts w:ascii="Arial" w:hAnsi="Arial" w:cs="Arial"/>
        </w:rPr>
        <w:t>Liboff</w:t>
      </w:r>
      <w:proofErr w:type="spellEnd"/>
      <w:r w:rsidRPr="00FD2EE7">
        <w:rPr>
          <w:rFonts w:ascii="Arial" w:hAnsi="Arial" w:cs="Arial"/>
        </w:rPr>
        <w:t>, A.R. (2004). Toward an electromagnetic paradigm for biology and medicine. The Journal of Alternative &amp; Complementary Medicine, 10(1), 41-47. https://doi.org/10.1089/107555304322848940</w:t>
      </w:r>
    </w:p>
    <w:p w14:paraId="2D8BDA35" w14:textId="77777777" w:rsidR="00FD2EE7" w:rsidRPr="00FD2EE7" w:rsidRDefault="00FD2EE7" w:rsidP="00213C9C">
      <w:pPr>
        <w:pStyle w:val="Body"/>
        <w:numPr>
          <w:ilvl w:val="0"/>
          <w:numId w:val="31"/>
        </w:numPr>
        <w:rPr>
          <w:rFonts w:ascii="Arial" w:hAnsi="Arial" w:cs="Arial"/>
        </w:rPr>
      </w:pPr>
      <w:r w:rsidRPr="00FD2EE7">
        <w:rPr>
          <w:rFonts w:ascii="Arial" w:hAnsi="Arial" w:cs="Arial"/>
        </w:rPr>
        <w:t>Maffei, M.E. (2014). Magnetic field effects on plant growth, development, and evolution. Frontiers in Plant Science, 5, 445. https://doi.org/10.3389/fpls.2014.00445</w:t>
      </w:r>
    </w:p>
    <w:p w14:paraId="693EFB11" w14:textId="77777777" w:rsidR="00FD2EE7" w:rsidRPr="00FD2EE7" w:rsidRDefault="00FD2EE7" w:rsidP="00213C9C">
      <w:pPr>
        <w:pStyle w:val="Body"/>
        <w:numPr>
          <w:ilvl w:val="0"/>
          <w:numId w:val="31"/>
        </w:numPr>
        <w:rPr>
          <w:rFonts w:ascii="Arial" w:hAnsi="Arial" w:cs="Arial"/>
        </w:rPr>
      </w:pPr>
      <w:proofErr w:type="spellStart"/>
      <w:r w:rsidRPr="00FD2EE7">
        <w:rPr>
          <w:rFonts w:ascii="Arial" w:hAnsi="Arial" w:cs="Arial"/>
        </w:rPr>
        <w:t>Makinistian</w:t>
      </w:r>
      <w:proofErr w:type="spellEnd"/>
      <w:r w:rsidRPr="00FD2EE7">
        <w:rPr>
          <w:rFonts w:ascii="Arial" w:hAnsi="Arial" w:cs="Arial"/>
        </w:rPr>
        <w:t xml:space="preserve">, L. (2016). A novel system of coils for </w:t>
      </w:r>
      <w:proofErr w:type="spellStart"/>
      <w:r w:rsidRPr="00FD2EE7">
        <w:rPr>
          <w:rFonts w:ascii="Arial" w:hAnsi="Arial" w:cs="Arial"/>
        </w:rPr>
        <w:t>magnetobiology</w:t>
      </w:r>
      <w:proofErr w:type="spellEnd"/>
      <w:r w:rsidRPr="00FD2EE7">
        <w:rPr>
          <w:rFonts w:ascii="Arial" w:hAnsi="Arial" w:cs="Arial"/>
        </w:rPr>
        <w:t xml:space="preserve"> research. Review of Scientific Instruments, 87(11). https://doi.org/10.1063/1.4968200</w:t>
      </w:r>
    </w:p>
    <w:p w14:paraId="3032B6E2"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Özgün, A., </w:t>
      </w:r>
      <w:proofErr w:type="spellStart"/>
      <w:r w:rsidRPr="00FD2EE7">
        <w:rPr>
          <w:rFonts w:ascii="Arial" w:hAnsi="Arial" w:cs="Arial"/>
        </w:rPr>
        <w:t>Marote</w:t>
      </w:r>
      <w:proofErr w:type="spellEnd"/>
      <w:r w:rsidRPr="00FD2EE7">
        <w:rPr>
          <w:rFonts w:ascii="Arial" w:hAnsi="Arial" w:cs="Arial"/>
        </w:rPr>
        <w:t xml:space="preserve">, A., </w:t>
      </w:r>
      <w:proofErr w:type="spellStart"/>
      <w:r w:rsidRPr="00FD2EE7">
        <w:rPr>
          <w:rFonts w:ascii="Arial" w:hAnsi="Arial" w:cs="Arial"/>
        </w:rPr>
        <w:t>Behie</w:t>
      </w:r>
      <w:proofErr w:type="spellEnd"/>
      <w:r w:rsidRPr="00FD2EE7">
        <w:rPr>
          <w:rFonts w:ascii="Arial" w:hAnsi="Arial" w:cs="Arial"/>
        </w:rPr>
        <w:t xml:space="preserve">, L.A., Salgado, A., </w:t>
      </w:r>
      <w:proofErr w:type="spellStart"/>
      <w:r w:rsidRPr="00FD2EE7">
        <w:rPr>
          <w:rFonts w:ascii="Arial" w:hAnsi="Arial" w:cs="Arial"/>
        </w:rPr>
        <w:t>Garipcan</w:t>
      </w:r>
      <w:proofErr w:type="spellEnd"/>
      <w:r w:rsidRPr="00FD2EE7">
        <w:rPr>
          <w:rFonts w:ascii="Arial" w:hAnsi="Arial" w:cs="Arial"/>
        </w:rPr>
        <w:t>, B. (2019). Extremely low frequency magnetic field induces human neuronal differentiation through NMDA receptor activation. Journal of Neural Transmission, 126(10), 1281-1290. https://doi.org/10.1007/s00702-019-02045-5</w:t>
      </w:r>
    </w:p>
    <w:p w14:paraId="249ED1AC" w14:textId="77777777" w:rsidR="00FD2EE7" w:rsidRPr="00FD2EE7" w:rsidRDefault="00FD2EE7" w:rsidP="00213C9C">
      <w:pPr>
        <w:pStyle w:val="Body"/>
        <w:numPr>
          <w:ilvl w:val="0"/>
          <w:numId w:val="31"/>
        </w:numPr>
        <w:rPr>
          <w:rFonts w:ascii="Arial" w:hAnsi="Arial" w:cs="Arial"/>
        </w:rPr>
      </w:pPr>
      <w:r w:rsidRPr="00FD2EE7">
        <w:rPr>
          <w:rFonts w:ascii="Arial" w:hAnsi="Arial" w:cs="Arial"/>
        </w:rPr>
        <w:lastRenderedPageBreak/>
        <w:t xml:space="preserve">Prasad, A., Teh, D.B.L., Blasia, A., Chai, C., Wu, Y., </w:t>
      </w:r>
      <w:proofErr w:type="spellStart"/>
      <w:r w:rsidRPr="00FD2EE7">
        <w:rPr>
          <w:rFonts w:ascii="Arial" w:hAnsi="Arial" w:cs="Arial"/>
        </w:rPr>
        <w:t>Gharibani</w:t>
      </w:r>
      <w:proofErr w:type="spellEnd"/>
      <w:r w:rsidRPr="00FD2EE7">
        <w:rPr>
          <w:rFonts w:ascii="Arial" w:hAnsi="Arial" w:cs="Arial"/>
        </w:rPr>
        <w:t>, P.M., ... All, A.H. (2017). Static magnetic field stimulation enhances oligodendrocyte differentiation and secretion of neurotrophic factors. Scientific Reports, 7(1), 6743. https://doi.org/10.1038/s41598-017-06331-8</w:t>
      </w:r>
    </w:p>
    <w:p w14:paraId="7BDE7797"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Paine, C.T., </w:t>
      </w:r>
      <w:proofErr w:type="spellStart"/>
      <w:r w:rsidRPr="00FD2EE7">
        <w:rPr>
          <w:rFonts w:ascii="Arial" w:hAnsi="Arial" w:cs="Arial"/>
        </w:rPr>
        <w:t>Marthews</w:t>
      </w:r>
      <w:proofErr w:type="spellEnd"/>
      <w:r w:rsidRPr="00FD2EE7">
        <w:rPr>
          <w:rFonts w:ascii="Arial" w:hAnsi="Arial" w:cs="Arial"/>
        </w:rPr>
        <w:t>, T.R., Vogt, D.R., Purves, D., Rees, M., Hector, A., Turnbull, L.A. (2012). How to fit nonlinear plant growth models and calculate growth rates: an update for ecologists. Methods in Ecology and Evolution, 3(2), 245-256. https://doi.org/10.1111/j.2041-210X.2011.00155.x</w:t>
      </w:r>
    </w:p>
    <w:p w14:paraId="209EE055"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Paparella, S., Araújo, S.S., Rossi, G., </w:t>
      </w:r>
      <w:proofErr w:type="spellStart"/>
      <w:r w:rsidRPr="00FD2EE7">
        <w:rPr>
          <w:rFonts w:ascii="Arial" w:hAnsi="Arial" w:cs="Arial"/>
        </w:rPr>
        <w:t>Wijayasinghe</w:t>
      </w:r>
      <w:proofErr w:type="spellEnd"/>
      <w:r w:rsidRPr="00FD2EE7">
        <w:rPr>
          <w:rFonts w:ascii="Arial" w:hAnsi="Arial" w:cs="Arial"/>
        </w:rPr>
        <w:t xml:space="preserve">, M.A.L.A.K.A., </w:t>
      </w:r>
      <w:proofErr w:type="spellStart"/>
      <w:r w:rsidRPr="00FD2EE7">
        <w:rPr>
          <w:rFonts w:ascii="Arial" w:hAnsi="Arial" w:cs="Arial"/>
        </w:rPr>
        <w:t>Carbonera</w:t>
      </w:r>
      <w:proofErr w:type="spellEnd"/>
      <w:r w:rsidRPr="00FD2EE7">
        <w:rPr>
          <w:rFonts w:ascii="Arial" w:hAnsi="Arial" w:cs="Arial"/>
        </w:rPr>
        <w:t xml:space="preserve">, D., </w:t>
      </w:r>
      <w:proofErr w:type="spellStart"/>
      <w:r w:rsidRPr="00FD2EE7">
        <w:rPr>
          <w:rFonts w:ascii="Arial" w:hAnsi="Arial" w:cs="Arial"/>
        </w:rPr>
        <w:t>Balestrazzi</w:t>
      </w:r>
      <w:proofErr w:type="spellEnd"/>
      <w:r w:rsidRPr="00FD2EE7">
        <w:rPr>
          <w:rFonts w:ascii="Arial" w:hAnsi="Arial" w:cs="Arial"/>
        </w:rPr>
        <w:t>, A. (2015). Seed priming: state of the art and new perspectives. Plant Cell Reports, 34, 1281-1293. https://doi.org/10.1007/s00299-015-1784-y</w:t>
      </w:r>
    </w:p>
    <w:p w14:paraId="0A10D5C1" w14:textId="77777777" w:rsidR="00FD2EE7" w:rsidRPr="00FD2EE7" w:rsidRDefault="00FD2EE7" w:rsidP="00213C9C">
      <w:pPr>
        <w:pStyle w:val="Body"/>
        <w:numPr>
          <w:ilvl w:val="0"/>
          <w:numId w:val="31"/>
        </w:numPr>
        <w:rPr>
          <w:rFonts w:ascii="Arial" w:hAnsi="Arial" w:cs="Arial"/>
        </w:rPr>
      </w:pPr>
      <w:proofErr w:type="spellStart"/>
      <w:r w:rsidRPr="00FD2EE7">
        <w:rPr>
          <w:rFonts w:ascii="Arial" w:hAnsi="Arial" w:cs="Arial"/>
        </w:rPr>
        <w:t>Raipuria</w:t>
      </w:r>
      <w:proofErr w:type="spellEnd"/>
      <w:r w:rsidRPr="00FD2EE7">
        <w:rPr>
          <w:rFonts w:ascii="Arial" w:hAnsi="Arial" w:cs="Arial"/>
        </w:rPr>
        <w:t xml:space="preserve">, R.K., </w:t>
      </w:r>
      <w:proofErr w:type="spellStart"/>
      <w:r w:rsidRPr="00FD2EE7">
        <w:rPr>
          <w:rFonts w:ascii="Arial" w:hAnsi="Arial" w:cs="Arial"/>
        </w:rPr>
        <w:t>Kataria</w:t>
      </w:r>
      <w:proofErr w:type="spellEnd"/>
      <w:r w:rsidRPr="00FD2EE7">
        <w:rPr>
          <w:rFonts w:ascii="Arial" w:hAnsi="Arial" w:cs="Arial"/>
        </w:rPr>
        <w:t>, S., Watts, A., Jain, M. (2021). Magneto-priming promotes nitric oxide via nitric oxide synthase to ameliorate the UV-B stress during germination of soybean seedlings. Journal of Photochemistry and Photobiology B: Biology, 220, 112211. https://doi.org/10.1016/j.jphotobiol.2021.112211</w:t>
      </w:r>
    </w:p>
    <w:p w14:paraId="42E4FB6B" w14:textId="77777777" w:rsidR="00FD2EE7" w:rsidRPr="00FD2EE7" w:rsidRDefault="00FD2EE7" w:rsidP="00213C9C">
      <w:pPr>
        <w:pStyle w:val="Body"/>
        <w:numPr>
          <w:ilvl w:val="0"/>
          <w:numId w:val="31"/>
        </w:numPr>
        <w:rPr>
          <w:rFonts w:ascii="Arial" w:hAnsi="Arial" w:cs="Arial"/>
        </w:rPr>
      </w:pPr>
      <w:r w:rsidRPr="00FD2EE7">
        <w:rPr>
          <w:rFonts w:ascii="Arial" w:hAnsi="Arial" w:cs="Arial"/>
        </w:rPr>
        <w:t>Rosales, S., Daniels, D., &amp; Tzib, L. (2018). The Effects of Neodymium and Ceramic Magnets on the Germination and Growth Rate of Coriander (Coriandrum sativum) in Ex-vitro Conditions. Int J Adv Sci Res Eng, 4(9), 17-22. https://doi.org/10.31695/IJASRE.2018.32865</w:t>
      </w:r>
    </w:p>
    <w:p w14:paraId="658E1B73"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Saletnik, B., Saletnik, A., </w:t>
      </w:r>
      <w:proofErr w:type="spellStart"/>
      <w:r w:rsidRPr="00FD2EE7">
        <w:rPr>
          <w:rFonts w:ascii="Arial" w:hAnsi="Arial" w:cs="Arial"/>
        </w:rPr>
        <w:t>Słysz</w:t>
      </w:r>
      <w:proofErr w:type="spellEnd"/>
      <w:r w:rsidRPr="00FD2EE7">
        <w:rPr>
          <w:rFonts w:ascii="Arial" w:hAnsi="Arial" w:cs="Arial"/>
        </w:rPr>
        <w:t xml:space="preserve">, E., </w:t>
      </w:r>
      <w:proofErr w:type="spellStart"/>
      <w:r w:rsidRPr="00FD2EE7">
        <w:rPr>
          <w:rFonts w:ascii="Arial" w:hAnsi="Arial" w:cs="Arial"/>
        </w:rPr>
        <w:t>Zaguła</w:t>
      </w:r>
      <w:proofErr w:type="spellEnd"/>
      <w:r w:rsidRPr="00FD2EE7">
        <w:rPr>
          <w:rFonts w:ascii="Arial" w:hAnsi="Arial" w:cs="Arial"/>
        </w:rPr>
        <w:t xml:space="preserve">, G., </w:t>
      </w:r>
      <w:proofErr w:type="spellStart"/>
      <w:r w:rsidRPr="00FD2EE7">
        <w:rPr>
          <w:rFonts w:ascii="Arial" w:hAnsi="Arial" w:cs="Arial"/>
        </w:rPr>
        <w:t>Bajcar</w:t>
      </w:r>
      <w:proofErr w:type="spellEnd"/>
      <w:r w:rsidRPr="00FD2EE7">
        <w:rPr>
          <w:rFonts w:ascii="Arial" w:hAnsi="Arial" w:cs="Arial"/>
        </w:rPr>
        <w:t>, M., Puchalska-Sarna, A., Puchalski, C. (2022). The static magnetic field regulates the structure, biochemical activity, and gene expression of plants. Molecules, 27(18), 5823. https://doi.org/10.3390/molecules27185823</w:t>
      </w:r>
    </w:p>
    <w:p w14:paraId="17BFF3FB"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Sarraf, M., Kataria, S., </w:t>
      </w:r>
      <w:proofErr w:type="spellStart"/>
      <w:r w:rsidRPr="00FD2EE7">
        <w:rPr>
          <w:rFonts w:ascii="Arial" w:hAnsi="Arial" w:cs="Arial"/>
        </w:rPr>
        <w:t>Taimourya</w:t>
      </w:r>
      <w:proofErr w:type="spellEnd"/>
      <w:r w:rsidRPr="00FD2EE7">
        <w:rPr>
          <w:rFonts w:ascii="Arial" w:hAnsi="Arial" w:cs="Arial"/>
        </w:rPr>
        <w:t xml:space="preserve">, H., Santos, L.O., </w:t>
      </w:r>
      <w:proofErr w:type="spellStart"/>
      <w:r w:rsidRPr="00FD2EE7">
        <w:rPr>
          <w:rFonts w:ascii="Arial" w:hAnsi="Arial" w:cs="Arial"/>
        </w:rPr>
        <w:t>Menegatti</w:t>
      </w:r>
      <w:proofErr w:type="spellEnd"/>
      <w:r w:rsidRPr="00FD2EE7">
        <w:rPr>
          <w:rFonts w:ascii="Arial" w:hAnsi="Arial" w:cs="Arial"/>
        </w:rPr>
        <w:t>, R.D., Jain, M., ... Liu, S. (2020). Magnetic field (MF) applications in plants: An overview. Plants, 9(9), 1139. https://doi.org/10.3390/plants9091139</w:t>
      </w:r>
    </w:p>
    <w:p w14:paraId="39FF988F"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Sarraf, M., </w:t>
      </w:r>
      <w:proofErr w:type="spellStart"/>
      <w:r w:rsidRPr="00FD2EE7">
        <w:rPr>
          <w:rFonts w:ascii="Arial" w:hAnsi="Arial" w:cs="Arial"/>
        </w:rPr>
        <w:t>Deamici</w:t>
      </w:r>
      <w:proofErr w:type="spellEnd"/>
      <w:r w:rsidRPr="00FD2EE7">
        <w:rPr>
          <w:rFonts w:ascii="Arial" w:hAnsi="Arial" w:cs="Arial"/>
        </w:rPr>
        <w:t xml:space="preserve">, K.M., </w:t>
      </w:r>
      <w:proofErr w:type="spellStart"/>
      <w:r w:rsidRPr="00FD2EE7">
        <w:rPr>
          <w:rFonts w:ascii="Arial" w:hAnsi="Arial" w:cs="Arial"/>
        </w:rPr>
        <w:t>Taimourya</w:t>
      </w:r>
      <w:proofErr w:type="spellEnd"/>
      <w:r w:rsidRPr="00FD2EE7">
        <w:rPr>
          <w:rFonts w:ascii="Arial" w:hAnsi="Arial" w:cs="Arial"/>
        </w:rPr>
        <w:t xml:space="preserve">, H., Islam, M., Kataria, S., </w:t>
      </w:r>
      <w:proofErr w:type="spellStart"/>
      <w:r w:rsidRPr="00FD2EE7">
        <w:rPr>
          <w:rFonts w:ascii="Arial" w:hAnsi="Arial" w:cs="Arial"/>
        </w:rPr>
        <w:t>Raipuria</w:t>
      </w:r>
      <w:proofErr w:type="spellEnd"/>
      <w:r w:rsidRPr="00FD2EE7">
        <w:rPr>
          <w:rFonts w:ascii="Arial" w:hAnsi="Arial" w:cs="Arial"/>
        </w:rPr>
        <w:t xml:space="preserve">, R.K., ... </w:t>
      </w:r>
      <w:proofErr w:type="spellStart"/>
      <w:r w:rsidRPr="00FD2EE7">
        <w:rPr>
          <w:rFonts w:ascii="Arial" w:hAnsi="Arial" w:cs="Arial"/>
        </w:rPr>
        <w:t>Brestic</w:t>
      </w:r>
      <w:proofErr w:type="spellEnd"/>
      <w:r w:rsidRPr="00FD2EE7">
        <w:rPr>
          <w:rFonts w:ascii="Arial" w:hAnsi="Arial" w:cs="Arial"/>
        </w:rPr>
        <w:t xml:space="preserve">, M. (2021). Effect of </w:t>
      </w:r>
      <w:proofErr w:type="spellStart"/>
      <w:r w:rsidRPr="00FD2EE7">
        <w:rPr>
          <w:rFonts w:ascii="Arial" w:hAnsi="Arial" w:cs="Arial"/>
        </w:rPr>
        <w:t>magnetopriming</w:t>
      </w:r>
      <w:proofErr w:type="spellEnd"/>
      <w:r w:rsidRPr="00FD2EE7">
        <w:rPr>
          <w:rFonts w:ascii="Arial" w:hAnsi="Arial" w:cs="Arial"/>
        </w:rPr>
        <w:t xml:space="preserve"> on photosynthetic performance of plants. International Journal of Molecular Sciences, 22(17), 9353. https://doi.org/10.3390/ijms22179353</w:t>
      </w:r>
    </w:p>
    <w:p w14:paraId="1D8C7E84" w14:textId="77777777" w:rsidR="00FD2EE7" w:rsidRPr="00FD2EE7" w:rsidRDefault="00FD2EE7" w:rsidP="00213C9C">
      <w:pPr>
        <w:pStyle w:val="Body"/>
        <w:numPr>
          <w:ilvl w:val="0"/>
          <w:numId w:val="31"/>
        </w:numPr>
        <w:rPr>
          <w:rFonts w:ascii="Arial" w:hAnsi="Arial" w:cs="Arial"/>
        </w:rPr>
      </w:pPr>
      <w:proofErr w:type="spellStart"/>
      <w:r w:rsidRPr="00FD2EE7">
        <w:rPr>
          <w:rFonts w:ascii="Arial" w:hAnsi="Arial" w:cs="Arial"/>
        </w:rPr>
        <w:t>Starodubtseva</w:t>
      </w:r>
      <w:proofErr w:type="spellEnd"/>
      <w:r w:rsidRPr="00FD2EE7">
        <w:rPr>
          <w:rFonts w:ascii="Arial" w:hAnsi="Arial" w:cs="Arial"/>
        </w:rPr>
        <w:t xml:space="preserve">, G.P., </w:t>
      </w:r>
      <w:proofErr w:type="spellStart"/>
      <w:r w:rsidRPr="00FD2EE7">
        <w:rPr>
          <w:rFonts w:ascii="Arial" w:hAnsi="Arial" w:cs="Arial"/>
        </w:rPr>
        <w:t>Livinskiy</w:t>
      </w:r>
      <w:proofErr w:type="spellEnd"/>
      <w:r w:rsidRPr="00FD2EE7">
        <w:rPr>
          <w:rFonts w:ascii="Arial" w:hAnsi="Arial" w:cs="Arial"/>
        </w:rPr>
        <w:t xml:space="preserve">, S.A., </w:t>
      </w:r>
      <w:proofErr w:type="spellStart"/>
      <w:r w:rsidRPr="00FD2EE7">
        <w:rPr>
          <w:rFonts w:ascii="Arial" w:hAnsi="Arial" w:cs="Arial"/>
        </w:rPr>
        <w:t>Gabriyelyan</w:t>
      </w:r>
      <w:proofErr w:type="spellEnd"/>
      <w:r w:rsidRPr="00FD2EE7">
        <w:rPr>
          <w:rFonts w:ascii="Arial" w:hAnsi="Arial" w:cs="Arial"/>
        </w:rPr>
        <w:t xml:space="preserve">, S.Z., </w:t>
      </w:r>
      <w:proofErr w:type="spellStart"/>
      <w:r w:rsidRPr="00FD2EE7">
        <w:rPr>
          <w:rFonts w:ascii="Arial" w:hAnsi="Arial" w:cs="Arial"/>
        </w:rPr>
        <w:t>Lubaya</w:t>
      </w:r>
      <w:proofErr w:type="spellEnd"/>
      <w:r w:rsidRPr="00FD2EE7">
        <w:rPr>
          <w:rFonts w:ascii="Arial" w:hAnsi="Arial" w:cs="Arial"/>
        </w:rPr>
        <w:t xml:space="preserve">, S.I., </w:t>
      </w:r>
      <w:proofErr w:type="spellStart"/>
      <w:r w:rsidRPr="00FD2EE7">
        <w:rPr>
          <w:rFonts w:ascii="Arial" w:hAnsi="Arial" w:cs="Arial"/>
        </w:rPr>
        <w:t>Afanacev</w:t>
      </w:r>
      <w:proofErr w:type="spellEnd"/>
      <w:r w:rsidRPr="00FD2EE7">
        <w:rPr>
          <w:rFonts w:ascii="Arial" w:hAnsi="Arial" w:cs="Arial"/>
        </w:rPr>
        <w:t xml:space="preserve">, M.A. (2018). Process control of pre-sowing seed treatment by pulsed electric field. Acta </w:t>
      </w:r>
      <w:proofErr w:type="spellStart"/>
      <w:r w:rsidRPr="00FD2EE7">
        <w:rPr>
          <w:rFonts w:ascii="Arial" w:hAnsi="Arial" w:cs="Arial"/>
        </w:rPr>
        <w:t>Technologica</w:t>
      </w:r>
      <w:proofErr w:type="spellEnd"/>
      <w:r w:rsidRPr="00FD2EE7">
        <w:rPr>
          <w:rFonts w:ascii="Arial" w:hAnsi="Arial" w:cs="Arial"/>
        </w:rPr>
        <w:t xml:space="preserve"> </w:t>
      </w:r>
      <w:proofErr w:type="spellStart"/>
      <w:r w:rsidRPr="00FD2EE7">
        <w:rPr>
          <w:rFonts w:ascii="Arial" w:hAnsi="Arial" w:cs="Arial"/>
        </w:rPr>
        <w:t>Agriculturae</w:t>
      </w:r>
      <w:proofErr w:type="spellEnd"/>
      <w:r w:rsidRPr="00FD2EE7">
        <w:rPr>
          <w:rFonts w:ascii="Arial" w:hAnsi="Arial" w:cs="Arial"/>
        </w:rPr>
        <w:t>, 21(1), 28-32. 10.2478/ata-2018-0006</w:t>
      </w:r>
    </w:p>
    <w:p w14:paraId="31DE5C41"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Teixeira da Silva, J.A., Dobránszki, J. (2016). Magnetic fields: how is plant growth and development </w:t>
      </w:r>
      <w:proofErr w:type="gramStart"/>
      <w:r w:rsidRPr="00FD2EE7">
        <w:rPr>
          <w:rFonts w:ascii="Arial" w:hAnsi="Arial" w:cs="Arial"/>
        </w:rPr>
        <w:t>impacted?.</w:t>
      </w:r>
      <w:proofErr w:type="gramEnd"/>
      <w:r w:rsidRPr="00FD2EE7">
        <w:rPr>
          <w:rFonts w:ascii="Arial" w:hAnsi="Arial" w:cs="Arial"/>
        </w:rPr>
        <w:t xml:space="preserve"> </w:t>
      </w:r>
      <w:proofErr w:type="spellStart"/>
      <w:r w:rsidRPr="00FD2EE7">
        <w:rPr>
          <w:rFonts w:ascii="Arial" w:hAnsi="Arial" w:cs="Arial"/>
        </w:rPr>
        <w:t>Protoplasma</w:t>
      </w:r>
      <w:proofErr w:type="spellEnd"/>
      <w:r w:rsidRPr="00FD2EE7">
        <w:rPr>
          <w:rFonts w:ascii="Arial" w:hAnsi="Arial" w:cs="Arial"/>
        </w:rPr>
        <w:t>, 253(2), 231-248. https://doi.org/10.1007/s00709-015-0820-7</w:t>
      </w:r>
    </w:p>
    <w:p w14:paraId="3A85FC56"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Thomas, S., Anand, A., </w:t>
      </w:r>
      <w:proofErr w:type="spellStart"/>
      <w:r w:rsidRPr="00FD2EE7">
        <w:rPr>
          <w:rFonts w:ascii="Arial" w:hAnsi="Arial" w:cs="Arial"/>
        </w:rPr>
        <w:t>Chinnusamy</w:t>
      </w:r>
      <w:proofErr w:type="spellEnd"/>
      <w:r w:rsidRPr="00FD2EE7">
        <w:rPr>
          <w:rFonts w:ascii="Arial" w:hAnsi="Arial" w:cs="Arial"/>
        </w:rPr>
        <w:t xml:space="preserve">, V., Dahuja, A., Basu, S. (2013). </w:t>
      </w:r>
      <w:proofErr w:type="spellStart"/>
      <w:r w:rsidRPr="00FD2EE7">
        <w:rPr>
          <w:rFonts w:ascii="Arial" w:hAnsi="Arial" w:cs="Arial"/>
        </w:rPr>
        <w:t>Magnetopriming</w:t>
      </w:r>
      <w:proofErr w:type="spellEnd"/>
      <w:r w:rsidRPr="00FD2EE7">
        <w:rPr>
          <w:rFonts w:ascii="Arial" w:hAnsi="Arial" w:cs="Arial"/>
        </w:rPr>
        <w:t xml:space="preserve"> circumvents the effect of salinity stress on germination in chickpea seeds. Acta </w:t>
      </w:r>
      <w:proofErr w:type="spellStart"/>
      <w:r w:rsidRPr="00FD2EE7">
        <w:rPr>
          <w:rFonts w:ascii="Arial" w:hAnsi="Arial" w:cs="Arial"/>
        </w:rPr>
        <w:t>Physiologiae</w:t>
      </w:r>
      <w:proofErr w:type="spellEnd"/>
      <w:r w:rsidRPr="00FD2EE7">
        <w:rPr>
          <w:rFonts w:ascii="Arial" w:hAnsi="Arial" w:cs="Arial"/>
        </w:rPr>
        <w:t xml:space="preserve"> Plantarum, 35, 3401-3411.  https://doi.org/10.1007/s11738-013-1375-x</w:t>
      </w:r>
    </w:p>
    <w:p w14:paraId="412E3719"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Torres-Osorio, J., Villa-Carmona, E., Zamorano-Montanez, C. (2024). Physiological efficiency during the vegetative stage of tomato crops developed from magnetically treated seeds. </w:t>
      </w:r>
      <w:proofErr w:type="spellStart"/>
      <w:r w:rsidRPr="00FD2EE7">
        <w:rPr>
          <w:rFonts w:ascii="Arial" w:hAnsi="Arial" w:cs="Arial"/>
        </w:rPr>
        <w:t>Heliyon</w:t>
      </w:r>
      <w:proofErr w:type="spellEnd"/>
      <w:r w:rsidRPr="00FD2EE7">
        <w:rPr>
          <w:rFonts w:ascii="Arial" w:hAnsi="Arial" w:cs="Arial"/>
        </w:rPr>
        <w:t>.  https://doi.org/10.17632/7xp5zd7vgy.1</w:t>
      </w:r>
    </w:p>
    <w:p w14:paraId="25049B57"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Ventura, L., Donà, M., Macovei, A., </w:t>
      </w:r>
      <w:proofErr w:type="spellStart"/>
      <w:r w:rsidRPr="00FD2EE7">
        <w:rPr>
          <w:rFonts w:ascii="Arial" w:hAnsi="Arial" w:cs="Arial"/>
        </w:rPr>
        <w:t>Carbonera</w:t>
      </w:r>
      <w:proofErr w:type="spellEnd"/>
      <w:r w:rsidRPr="00FD2EE7">
        <w:rPr>
          <w:rFonts w:ascii="Arial" w:hAnsi="Arial" w:cs="Arial"/>
        </w:rPr>
        <w:t xml:space="preserve">, D., </w:t>
      </w:r>
      <w:proofErr w:type="spellStart"/>
      <w:r w:rsidRPr="00FD2EE7">
        <w:rPr>
          <w:rFonts w:ascii="Arial" w:hAnsi="Arial" w:cs="Arial"/>
        </w:rPr>
        <w:t>Buttafava</w:t>
      </w:r>
      <w:proofErr w:type="spellEnd"/>
      <w:r w:rsidRPr="00FD2EE7">
        <w:rPr>
          <w:rFonts w:ascii="Arial" w:hAnsi="Arial" w:cs="Arial"/>
        </w:rPr>
        <w:t xml:space="preserve">, A., </w:t>
      </w:r>
      <w:proofErr w:type="spellStart"/>
      <w:r w:rsidRPr="00FD2EE7">
        <w:rPr>
          <w:rFonts w:ascii="Arial" w:hAnsi="Arial" w:cs="Arial"/>
        </w:rPr>
        <w:t>Mondoni</w:t>
      </w:r>
      <w:proofErr w:type="spellEnd"/>
      <w:r w:rsidRPr="00FD2EE7">
        <w:rPr>
          <w:rFonts w:ascii="Arial" w:hAnsi="Arial" w:cs="Arial"/>
        </w:rPr>
        <w:t>, A., ...</w:t>
      </w:r>
      <w:proofErr w:type="spellStart"/>
      <w:r w:rsidRPr="00FD2EE7">
        <w:rPr>
          <w:rFonts w:ascii="Arial" w:hAnsi="Arial" w:cs="Arial"/>
        </w:rPr>
        <w:t>Balestrazzi</w:t>
      </w:r>
      <w:proofErr w:type="spellEnd"/>
      <w:r w:rsidRPr="00FD2EE7">
        <w:rPr>
          <w:rFonts w:ascii="Arial" w:hAnsi="Arial" w:cs="Arial"/>
        </w:rPr>
        <w:t>, A. (2012). Understanding the molecular pathways associated with seed vigor. Plant Physiology and Biochemistry, 60, 196-206. https://doi.org/10.1016/j.plaphy.2012.07.031</w:t>
      </w:r>
    </w:p>
    <w:p w14:paraId="3CC8299A"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Volpe, P. (2014). A theoretical overview of </w:t>
      </w:r>
      <w:proofErr w:type="spellStart"/>
      <w:r w:rsidRPr="00FD2EE7">
        <w:rPr>
          <w:rFonts w:ascii="Arial" w:hAnsi="Arial" w:cs="Arial"/>
        </w:rPr>
        <w:t>bioresponse</w:t>
      </w:r>
      <w:proofErr w:type="spellEnd"/>
      <w:r w:rsidRPr="00FD2EE7">
        <w:rPr>
          <w:rFonts w:ascii="Arial" w:hAnsi="Arial" w:cs="Arial"/>
        </w:rPr>
        <w:t xml:space="preserve"> to magnetic fields on the Earth’s surface. International Journal of Geosciences, 5(10), 1149. http://dx.doi.org/10.4236/ijg.2014.510097</w:t>
      </w:r>
    </w:p>
    <w:p w14:paraId="65F0E058" w14:textId="77777777" w:rsidR="00FD2EE7" w:rsidRPr="00FD2EE7" w:rsidRDefault="00FD2EE7" w:rsidP="00213C9C">
      <w:pPr>
        <w:pStyle w:val="Body"/>
        <w:numPr>
          <w:ilvl w:val="0"/>
          <w:numId w:val="31"/>
        </w:numPr>
        <w:rPr>
          <w:rFonts w:ascii="Arial" w:hAnsi="Arial" w:cs="Arial"/>
        </w:rPr>
      </w:pPr>
      <w:r w:rsidRPr="00FD2EE7">
        <w:rPr>
          <w:rFonts w:ascii="Arial" w:hAnsi="Arial" w:cs="Arial"/>
        </w:rPr>
        <w:t xml:space="preserve">Zablotskii, V., Polyakova, T., </w:t>
      </w:r>
      <w:proofErr w:type="spellStart"/>
      <w:r w:rsidRPr="00FD2EE7">
        <w:rPr>
          <w:rFonts w:ascii="Arial" w:hAnsi="Arial" w:cs="Arial"/>
        </w:rPr>
        <w:t>Dejneka</w:t>
      </w:r>
      <w:proofErr w:type="spellEnd"/>
      <w:r w:rsidRPr="00FD2EE7">
        <w:rPr>
          <w:rFonts w:ascii="Arial" w:hAnsi="Arial" w:cs="Arial"/>
        </w:rPr>
        <w:t>, A. (2021). Effects of high magnetic fields on the diffusion of biologically active molecules. Cells, 11(1), 81. 10.3390/cells11010081</w:t>
      </w:r>
    </w:p>
    <w:p w14:paraId="64DB8348" w14:textId="77777777" w:rsidR="00284C4C" w:rsidRDefault="00FD2EE7" w:rsidP="00213C9C">
      <w:pPr>
        <w:pStyle w:val="Body"/>
        <w:numPr>
          <w:ilvl w:val="0"/>
          <w:numId w:val="31"/>
        </w:numPr>
        <w:spacing w:after="0"/>
        <w:rPr>
          <w:rFonts w:ascii="Arial" w:hAnsi="Arial" w:cs="Arial"/>
        </w:rPr>
      </w:pPr>
      <w:proofErr w:type="spellStart"/>
      <w:r w:rsidRPr="00FD2EE7">
        <w:rPr>
          <w:rFonts w:ascii="Arial" w:hAnsi="Arial" w:cs="Arial"/>
        </w:rPr>
        <w:t>Zalama</w:t>
      </w:r>
      <w:proofErr w:type="spellEnd"/>
      <w:r w:rsidRPr="00FD2EE7">
        <w:rPr>
          <w:rFonts w:ascii="Arial" w:hAnsi="Arial" w:cs="Arial"/>
        </w:rPr>
        <w:t xml:space="preserve">, M.T., </w:t>
      </w:r>
      <w:proofErr w:type="spellStart"/>
      <w:r w:rsidRPr="00FD2EE7">
        <w:rPr>
          <w:rFonts w:ascii="Arial" w:hAnsi="Arial" w:cs="Arial"/>
        </w:rPr>
        <w:t>Fathalla</w:t>
      </w:r>
      <w:proofErr w:type="spellEnd"/>
      <w:r w:rsidRPr="00FD2EE7">
        <w:rPr>
          <w:rFonts w:ascii="Arial" w:hAnsi="Arial" w:cs="Arial"/>
        </w:rPr>
        <w:t>, F.H. (2020). Enhancement Onion Seed Germination and Seedling Vigor Traits through Magneto-Priming Techniques. Journal of Plant Production, 11(12), 1529-1537. 10.21608/jpp.2020.149826</w:t>
      </w:r>
    </w:p>
    <w:p w14:paraId="54484FE6" w14:textId="77777777" w:rsidR="00B01FCD" w:rsidRPr="00FB3A86" w:rsidRDefault="00B01FCD" w:rsidP="00441B6F">
      <w:pPr>
        <w:pStyle w:val="Appendix"/>
        <w:spacing w:after="0"/>
        <w:jc w:val="both"/>
        <w:rPr>
          <w:rFonts w:ascii="Arial" w:hAnsi="Arial" w:cs="Arial"/>
          <w:b w:val="0"/>
        </w:rPr>
      </w:pPr>
    </w:p>
    <w:sectPr w:rsidR="00B01FCD" w:rsidRPr="00FB3A86" w:rsidSect="00F63543">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B71E3" w14:textId="77777777" w:rsidR="00DF74C5" w:rsidRDefault="00DF74C5" w:rsidP="00C37E61">
      <w:r>
        <w:separator/>
      </w:r>
    </w:p>
  </w:endnote>
  <w:endnote w:type="continuationSeparator" w:id="0">
    <w:p w14:paraId="03A52EF6" w14:textId="77777777" w:rsidR="00DF74C5" w:rsidRDefault="00DF74C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054E" w14:textId="77777777" w:rsidR="00F63543" w:rsidRDefault="00F63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4039B" w14:textId="77777777" w:rsidR="00F63543" w:rsidRDefault="00F635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4D7C" w14:textId="77777777" w:rsidR="009E048A" w:rsidRDefault="009E048A">
    <w:pPr>
      <w:pStyle w:val="Footer"/>
      <w:rPr>
        <w:rFonts w:ascii="Arial" w:hAnsi="Arial" w:cs="Arial"/>
        <w:sz w:val="16"/>
      </w:rPr>
    </w:pPr>
  </w:p>
  <w:p w14:paraId="1D6678F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F3BA3A6" w14:textId="77777777" w:rsidR="009E048A" w:rsidRDefault="009E048A">
    <w:pPr>
      <w:pStyle w:val="Footer"/>
      <w:rPr>
        <w:rFonts w:ascii="Arial" w:hAnsi="Arial" w:cs="Arial"/>
        <w:sz w:val="16"/>
      </w:rPr>
    </w:pPr>
  </w:p>
  <w:p w14:paraId="2E02042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240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11321" w14:textId="77777777" w:rsidR="00DF74C5" w:rsidRDefault="00DF74C5" w:rsidP="00C37E61">
      <w:r>
        <w:separator/>
      </w:r>
    </w:p>
  </w:footnote>
  <w:footnote w:type="continuationSeparator" w:id="0">
    <w:p w14:paraId="503E5756" w14:textId="77777777" w:rsidR="00DF74C5" w:rsidRDefault="00DF74C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31120" w14:textId="56A6548B" w:rsidR="00F63543" w:rsidRDefault="00DF74C5">
    <w:pPr>
      <w:pStyle w:val="Header"/>
    </w:pPr>
    <w:r>
      <w:rPr>
        <w:noProof/>
      </w:rPr>
      <w:pict w14:anchorId="0D321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684.1pt;height:77.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9207F" w14:textId="0CA0AE99" w:rsidR="00F63543" w:rsidRDefault="00DF74C5">
    <w:pPr>
      <w:pStyle w:val="Header"/>
    </w:pPr>
    <w:r>
      <w:rPr>
        <w:noProof/>
      </w:rPr>
      <w:pict w14:anchorId="6E109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684.1pt;height:77.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E84D0" w14:textId="4F9F3036" w:rsidR="00296529" w:rsidRPr="00296529" w:rsidRDefault="00DF74C5" w:rsidP="00296529">
    <w:pPr>
      <w:ind w:left="2160"/>
      <w:jc w:val="center"/>
      <w:rPr>
        <w:rFonts w:ascii="Times New Roman" w:eastAsia="Calibri" w:hAnsi="Times New Roman"/>
        <w:i/>
        <w:sz w:val="18"/>
        <w:szCs w:val="22"/>
      </w:rPr>
    </w:pPr>
    <w:r>
      <w:rPr>
        <w:noProof/>
      </w:rPr>
      <w:pict w14:anchorId="26F2E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alt="" style="position:absolute;left:0;text-align:left;margin-left:0;margin-top:0;width:684.1pt;height:77.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7579EA9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1288FB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1D836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468A7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3AC9E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E5F7DA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AC01" w14:textId="7C340C4D" w:rsidR="00F63543" w:rsidRDefault="00DF74C5">
    <w:pPr>
      <w:pStyle w:val="Header"/>
    </w:pPr>
    <w:r>
      <w:rPr>
        <w:noProof/>
      </w:rPr>
      <w:pict w14:anchorId="3DF50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684.1pt;height:77.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4994E" w14:textId="428B556A" w:rsidR="00F63543" w:rsidRDefault="00DF74C5">
    <w:pPr>
      <w:pStyle w:val="Header"/>
    </w:pPr>
    <w:r>
      <w:rPr>
        <w:noProof/>
      </w:rPr>
      <w:pict w14:anchorId="69281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684.1pt;height:77.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08A80" w14:textId="1256EA9C" w:rsidR="00F63543" w:rsidRDefault="00DF74C5">
    <w:pPr>
      <w:pStyle w:val="Header"/>
    </w:pPr>
    <w:r>
      <w:rPr>
        <w:noProof/>
      </w:rPr>
      <w:pict w14:anchorId="28AD1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684.1pt;height:77.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0A83DF8"/>
    <w:multiLevelType w:val="hybridMultilevel"/>
    <w:tmpl w:val="3FC4A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C1C8D"/>
    <w:rsid w:val="000D689F"/>
    <w:rsid w:val="000E7B7B"/>
    <w:rsid w:val="000E7D62"/>
    <w:rsid w:val="00103357"/>
    <w:rsid w:val="00123C9F"/>
    <w:rsid w:val="00126190"/>
    <w:rsid w:val="00130F17"/>
    <w:rsid w:val="001320BF"/>
    <w:rsid w:val="00141101"/>
    <w:rsid w:val="00163BC4"/>
    <w:rsid w:val="00181002"/>
    <w:rsid w:val="00191062"/>
    <w:rsid w:val="00192B72"/>
    <w:rsid w:val="001A29D8"/>
    <w:rsid w:val="001A5CAA"/>
    <w:rsid w:val="001B0427"/>
    <w:rsid w:val="001D2980"/>
    <w:rsid w:val="001D3A51"/>
    <w:rsid w:val="001E10D2"/>
    <w:rsid w:val="001E25B4"/>
    <w:rsid w:val="001E44FE"/>
    <w:rsid w:val="00200595"/>
    <w:rsid w:val="00204835"/>
    <w:rsid w:val="00213C9C"/>
    <w:rsid w:val="00231920"/>
    <w:rsid w:val="0023195C"/>
    <w:rsid w:val="0024282C"/>
    <w:rsid w:val="002460DC"/>
    <w:rsid w:val="00250985"/>
    <w:rsid w:val="002556F6"/>
    <w:rsid w:val="00263510"/>
    <w:rsid w:val="002749B6"/>
    <w:rsid w:val="00283105"/>
    <w:rsid w:val="00284C4C"/>
    <w:rsid w:val="00287E68"/>
    <w:rsid w:val="00296529"/>
    <w:rsid w:val="002B27FB"/>
    <w:rsid w:val="002B685A"/>
    <w:rsid w:val="002C57D2"/>
    <w:rsid w:val="002E0D56"/>
    <w:rsid w:val="00315186"/>
    <w:rsid w:val="0033343E"/>
    <w:rsid w:val="00335858"/>
    <w:rsid w:val="0034171C"/>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40662"/>
    <w:rsid w:val="00554FDA"/>
    <w:rsid w:val="0056224C"/>
    <w:rsid w:val="00587D03"/>
    <w:rsid w:val="005C784C"/>
    <w:rsid w:val="005D17F6"/>
    <w:rsid w:val="005E5539"/>
    <w:rsid w:val="00602BF5"/>
    <w:rsid w:val="0060456F"/>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340E"/>
    <w:rsid w:val="006F11EC"/>
    <w:rsid w:val="0070082C"/>
    <w:rsid w:val="007369E6"/>
    <w:rsid w:val="00737EE8"/>
    <w:rsid w:val="00746E59"/>
    <w:rsid w:val="00754C9A"/>
    <w:rsid w:val="0075599A"/>
    <w:rsid w:val="00761D52"/>
    <w:rsid w:val="0077749E"/>
    <w:rsid w:val="00790ADA"/>
    <w:rsid w:val="007D2288"/>
    <w:rsid w:val="007E088F"/>
    <w:rsid w:val="007F453B"/>
    <w:rsid w:val="007F7B32"/>
    <w:rsid w:val="00804BC2"/>
    <w:rsid w:val="0081431A"/>
    <w:rsid w:val="0083216F"/>
    <w:rsid w:val="00860000"/>
    <w:rsid w:val="00863BD3"/>
    <w:rsid w:val="008641ED"/>
    <w:rsid w:val="00864313"/>
    <w:rsid w:val="00866D66"/>
    <w:rsid w:val="008671C6"/>
    <w:rsid w:val="00875803"/>
    <w:rsid w:val="008B459E"/>
    <w:rsid w:val="008B509F"/>
    <w:rsid w:val="008D00B4"/>
    <w:rsid w:val="008E13AE"/>
    <w:rsid w:val="008E1506"/>
    <w:rsid w:val="008E710C"/>
    <w:rsid w:val="008F69D6"/>
    <w:rsid w:val="008F6D95"/>
    <w:rsid w:val="009025E6"/>
    <w:rsid w:val="00902823"/>
    <w:rsid w:val="00915CA6"/>
    <w:rsid w:val="00927834"/>
    <w:rsid w:val="009315A6"/>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198F"/>
    <w:rsid w:val="00AB703F"/>
    <w:rsid w:val="00AC6BB8"/>
    <w:rsid w:val="00AE008F"/>
    <w:rsid w:val="00B01FCD"/>
    <w:rsid w:val="00B1776C"/>
    <w:rsid w:val="00B52583"/>
    <w:rsid w:val="00B52896"/>
    <w:rsid w:val="00B95236"/>
    <w:rsid w:val="00B96BD9"/>
    <w:rsid w:val="00BA1B01"/>
    <w:rsid w:val="00BA2641"/>
    <w:rsid w:val="00BA31BB"/>
    <w:rsid w:val="00BB37AA"/>
    <w:rsid w:val="00BC53A0"/>
    <w:rsid w:val="00BE62AD"/>
    <w:rsid w:val="00BF121F"/>
    <w:rsid w:val="00BF1F80"/>
    <w:rsid w:val="00C166EF"/>
    <w:rsid w:val="00C17EB0"/>
    <w:rsid w:val="00C27F5F"/>
    <w:rsid w:val="00C30A0F"/>
    <w:rsid w:val="00C37E61"/>
    <w:rsid w:val="00C6653B"/>
    <w:rsid w:val="00C70F1B"/>
    <w:rsid w:val="00C71A47"/>
    <w:rsid w:val="00C7464C"/>
    <w:rsid w:val="00C85588"/>
    <w:rsid w:val="00CA2CD0"/>
    <w:rsid w:val="00CD6755"/>
    <w:rsid w:val="00CD6856"/>
    <w:rsid w:val="00CE0089"/>
    <w:rsid w:val="00CE18AC"/>
    <w:rsid w:val="00CE793C"/>
    <w:rsid w:val="00CF193C"/>
    <w:rsid w:val="00D173F1"/>
    <w:rsid w:val="00D47E06"/>
    <w:rsid w:val="00D74CB0"/>
    <w:rsid w:val="00D8295D"/>
    <w:rsid w:val="00D859EF"/>
    <w:rsid w:val="00DC2A65"/>
    <w:rsid w:val="00DE15F0"/>
    <w:rsid w:val="00DE5663"/>
    <w:rsid w:val="00DE78AA"/>
    <w:rsid w:val="00DF74C5"/>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3543"/>
    <w:rsid w:val="00F755E4"/>
    <w:rsid w:val="00F77D02"/>
    <w:rsid w:val="00FB3A86"/>
    <w:rsid w:val="00FD2EE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770D8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737EE8"/>
    <w:rPr>
      <w:rFonts w:ascii="Arial" w:eastAsia="Arial" w:hAnsi="Arial" w:cs="Arial"/>
      <w:sz w:val="22"/>
      <w:szCs w:val="22"/>
      <w:lang w:val="en-PH"/>
    </w:rPr>
  </w:style>
  <w:style w:type="paragraph" w:styleId="NormalWeb">
    <w:name w:val="Normal (Web)"/>
    <w:basedOn w:val="Normal"/>
    <w:uiPriority w:val="99"/>
    <w:semiHidden/>
    <w:unhideWhenUsed/>
    <w:rsid w:val="0056224C"/>
    <w:pPr>
      <w:spacing w:before="100" w:beforeAutospacing="1" w:after="100" w:afterAutospacing="1"/>
    </w:pPr>
    <w:rPr>
      <w:rFonts w:ascii="Times New Roman" w:eastAsiaTheme="minorEastAsia" w:hAnsi="Times New Roman"/>
      <w:sz w:val="24"/>
      <w:szCs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6B1BB-52BA-426B-B720-9343B8CCE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11</Pages>
  <Words>5220</Words>
  <Characters>29757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34908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19</cp:revision>
  <cp:lastPrinted>1999-07-06T11:00:00Z</cp:lastPrinted>
  <dcterms:created xsi:type="dcterms:W3CDTF">2026-02-05T03:06:00Z</dcterms:created>
  <dcterms:modified xsi:type="dcterms:W3CDTF">2026-02-12T10:41:00Z</dcterms:modified>
</cp:coreProperties>
</file>