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2B0" w:rsidRPr="00D552B0" w:rsidRDefault="00D552B0" w:rsidP="00D72C65">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D72C65">
        <w:rPr>
          <w:rFonts w:ascii="Times New Roman" w:eastAsia="Times New Roman" w:hAnsi="Times New Roman" w:cs="Times New Roman"/>
          <w:b/>
          <w:bCs/>
          <w:kern w:val="36"/>
          <w:sz w:val="24"/>
          <w:szCs w:val="24"/>
        </w:rPr>
        <w:t>Strengths and Weaknesses of Existing Yellow Fever Prevention and Control Strategies in North East Nigeria</w:t>
      </w:r>
    </w:p>
    <w:p w:rsidR="007B1195" w:rsidRDefault="007B1195" w:rsidP="00D72C65">
      <w:pPr>
        <w:spacing w:line="240" w:lineRule="auto"/>
        <w:jc w:val="both"/>
        <w:rPr>
          <w:rFonts w:ascii="Times New Roman" w:hAnsi="Times New Roman" w:cs="Times New Roman"/>
          <w:sz w:val="24"/>
          <w:szCs w:val="24"/>
        </w:rPr>
      </w:pPr>
    </w:p>
    <w:p w:rsidR="00AF139D" w:rsidRPr="005D5D5E" w:rsidRDefault="00AF139D" w:rsidP="00AF139D">
      <w:pPr>
        <w:spacing w:before="100" w:beforeAutospacing="1" w:after="100" w:afterAutospacing="1" w:line="240" w:lineRule="auto"/>
        <w:jc w:val="both"/>
        <w:outlineLvl w:val="1"/>
        <w:rPr>
          <w:rFonts w:ascii="Times New Roman" w:eastAsia="Times New Roman" w:hAnsi="Times New Roman" w:cs="Times New Roman"/>
          <w:b/>
          <w:bCs/>
          <w:color w:val="FF0000"/>
          <w:sz w:val="24"/>
          <w:szCs w:val="24"/>
        </w:rPr>
      </w:pPr>
      <w:r w:rsidRPr="005D5D5E">
        <w:rPr>
          <w:rFonts w:ascii="Times New Roman" w:eastAsia="Times New Roman" w:hAnsi="Times New Roman" w:cs="Times New Roman"/>
          <w:b/>
          <w:bCs/>
          <w:color w:val="FF0000"/>
          <w:sz w:val="24"/>
          <w:szCs w:val="24"/>
        </w:rPr>
        <w:t>Abstract</w:t>
      </w:r>
    </w:p>
    <w:p w:rsidR="00AF139D" w:rsidRPr="005D5D5E" w:rsidRDefault="00AF139D" w:rsidP="00AF139D">
      <w:pPr>
        <w:spacing w:before="100" w:beforeAutospacing="1" w:after="100" w:afterAutospacing="1" w:line="240" w:lineRule="auto"/>
        <w:jc w:val="both"/>
        <w:rPr>
          <w:rFonts w:ascii="Times New Roman" w:eastAsia="Times New Roman" w:hAnsi="Times New Roman" w:cs="Times New Roman"/>
          <w:color w:val="FF0000"/>
          <w:sz w:val="24"/>
          <w:szCs w:val="24"/>
        </w:rPr>
      </w:pPr>
      <w:r w:rsidRPr="005D5D5E">
        <w:rPr>
          <w:rFonts w:ascii="Times New Roman" w:eastAsia="Times New Roman" w:hAnsi="Times New Roman" w:cs="Times New Roman"/>
          <w:b/>
          <w:bCs/>
          <w:color w:val="FF0000"/>
          <w:sz w:val="24"/>
          <w:szCs w:val="24"/>
        </w:rPr>
        <w:t>Background:</w:t>
      </w:r>
      <w:r w:rsidRPr="005D5D5E">
        <w:rPr>
          <w:rFonts w:ascii="Times New Roman" w:eastAsia="Times New Roman" w:hAnsi="Times New Roman" w:cs="Times New Roman"/>
          <w:color w:val="FF0000"/>
          <w:sz w:val="24"/>
          <w:szCs w:val="24"/>
        </w:rPr>
        <w:br/>
        <w:t>Yellow fever remains a significant public health concern in Nigeria’s North East, where recurrent outbreaks are driven by ecological, social, and infrastructural factors. Existing prevention and control strategies—including vaccination, vector control, and surveillance—aim to reduce disease burden, but gaps in implementation limit their effectiveness.</w:t>
      </w:r>
    </w:p>
    <w:p w:rsidR="00AF139D" w:rsidRPr="005D5D5E" w:rsidRDefault="00AF139D" w:rsidP="00AF139D">
      <w:pPr>
        <w:spacing w:before="100" w:beforeAutospacing="1" w:after="100" w:afterAutospacing="1" w:line="240" w:lineRule="auto"/>
        <w:jc w:val="both"/>
        <w:rPr>
          <w:rFonts w:ascii="Times New Roman" w:eastAsia="Times New Roman" w:hAnsi="Times New Roman" w:cs="Times New Roman"/>
          <w:color w:val="FF0000"/>
          <w:sz w:val="24"/>
          <w:szCs w:val="24"/>
        </w:rPr>
      </w:pPr>
      <w:r w:rsidRPr="005D5D5E">
        <w:rPr>
          <w:rFonts w:ascii="Times New Roman" w:eastAsia="Times New Roman" w:hAnsi="Times New Roman" w:cs="Times New Roman"/>
          <w:b/>
          <w:bCs/>
          <w:color w:val="FF0000"/>
          <w:sz w:val="24"/>
          <w:szCs w:val="24"/>
        </w:rPr>
        <w:t>Objective:</w:t>
      </w:r>
      <w:r w:rsidRPr="005D5D5E">
        <w:rPr>
          <w:rFonts w:ascii="Times New Roman" w:eastAsia="Times New Roman" w:hAnsi="Times New Roman" w:cs="Times New Roman"/>
          <w:color w:val="FF0000"/>
          <w:sz w:val="24"/>
          <w:szCs w:val="24"/>
        </w:rPr>
        <w:br/>
        <w:t>To assess community perceptions of the strengths and weaknesses of yellow fever prevention and control strategies in North East Nigeria and identify opportunities to improve implementation.</w:t>
      </w:r>
    </w:p>
    <w:p w:rsidR="00AF139D" w:rsidRPr="005D5D5E" w:rsidRDefault="00AF139D" w:rsidP="00AF139D">
      <w:pPr>
        <w:spacing w:before="100" w:beforeAutospacing="1" w:after="100" w:afterAutospacing="1" w:line="240" w:lineRule="auto"/>
        <w:jc w:val="both"/>
        <w:rPr>
          <w:rFonts w:ascii="Times New Roman" w:eastAsia="Times New Roman" w:hAnsi="Times New Roman" w:cs="Times New Roman"/>
          <w:color w:val="FF0000"/>
          <w:sz w:val="24"/>
          <w:szCs w:val="24"/>
        </w:rPr>
      </w:pPr>
      <w:r w:rsidRPr="005D5D5E">
        <w:rPr>
          <w:rFonts w:ascii="Times New Roman" w:eastAsia="Times New Roman" w:hAnsi="Times New Roman" w:cs="Times New Roman"/>
          <w:b/>
          <w:bCs/>
          <w:color w:val="FF0000"/>
          <w:sz w:val="24"/>
          <w:szCs w:val="24"/>
        </w:rPr>
        <w:t>Methods:</w:t>
      </w:r>
      <w:r w:rsidRPr="005D5D5E">
        <w:rPr>
          <w:rFonts w:ascii="Times New Roman" w:eastAsia="Times New Roman" w:hAnsi="Times New Roman" w:cs="Times New Roman"/>
          <w:color w:val="FF0000"/>
          <w:sz w:val="24"/>
          <w:szCs w:val="24"/>
        </w:rPr>
        <w:br/>
        <w:t xml:space="preserve">A community-based cross-sectional descriptive study was conducted among 563 adult residents across six states (Adamawa, Bauchi, </w:t>
      </w:r>
      <w:proofErr w:type="spellStart"/>
      <w:r w:rsidRPr="005D5D5E">
        <w:rPr>
          <w:rFonts w:ascii="Times New Roman" w:eastAsia="Times New Roman" w:hAnsi="Times New Roman" w:cs="Times New Roman"/>
          <w:color w:val="FF0000"/>
          <w:sz w:val="24"/>
          <w:szCs w:val="24"/>
        </w:rPr>
        <w:t>Borno</w:t>
      </w:r>
      <w:proofErr w:type="spellEnd"/>
      <w:r w:rsidRPr="005D5D5E">
        <w:rPr>
          <w:rFonts w:ascii="Times New Roman" w:eastAsia="Times New Roman" w:hAnsi="Times New Roman" w:cs="Times New Roman"/>
          <w:color w:val="FF0000"/>
          <w:sz w:val="24"/>
          <w:szCs w:val="24"/>
        </w:rPr>
        <w:t xml:space="preserve">, Gombe, Taraba, and </w:t>
      </w:r>
      <w:proofErr w:type="spellStart"/>
      <w:r w:rsidRPr="005D5D5E">
        <w:rPr>
          <w:rFonts w:ascii="Times New Roman" w:eastAsia="Times New Roman" w:hAnsi="Times New Roman" w:cs="Times New Roman"/>
          <w:color w:val="FF0000"/>
          <w:sz w:val="24"/>
          <w:szCs w:val="24"/>
        </w:rPr>
        <w:t>Yobe</w:t>
      </w:r>
      <w:proofErr w:type="spellEnd"/>
      <w:r w:rsidRPr="005D5D5E">
        <w:rPr>
          <w:rFonts w:ascii="Times New Roman" w:eastAsia="Times New Roman" w:hAnsi="Times New Roman" w:cs="Times New Roman"/>
          <w:color w:val="FF0000"/>
          <w:sz w:val="24"/>
          <w:szCs w:val="24"/>
        </w:rPr>
        <w:t>). Data were collected using structured questionnaires and key informant interviews, focusing on perceptions of vaccination programs, vector control, surveillance systems, and public health education. Descriptive statistics summarized quantitative data, and thematic analysis provided qualitative insights. Findings reflect resident perceptions and not confirmed epidemiological data. Statistical significance was considered at p &lt; 0.05, with all non-significant results appropriately labeled.</w:t>
      </w:r>
    </w:p>
    <w:p w:rsidR="00AF139D" w:rsidRPr="005D5D5E" w:rsidRDefault="00AF139D" w:rsidP="00AF139D">
      <w:pPr>
        <w:spacing w:before="100" w:beforeAutospacing="1" w:after="100" w:afterAutospacing="1" w:line="240" w:lineRule="auto"/>
        <w:jc w:val="both"/>
        <w:rPr>
          <w:rFonts w:ascii="Times New Roman" w:eastAsia="Times New Roman" w:hAnsi="Times New Roman" w:cs="Times New Roman"/>
          <w:color w:val="FF0000"/>
          <w:sz w:val="24"/>
          <w:szCs w:val="24"/>
        </w:rPr>
      </w:pPr>
      <w:r w:rsidRPr="005D5D5E">
        <w:rPr>
          <w:rFonts w:ascii="Times New Roman" w:eastAsia="Times New Roman" w:hAnsi="Times New Roman" w:cs="Times New Roman"/>
          <w:b/>
          <w:bCs/>
          <w:color w:val="FF0000"/>
          <w:sz w:val="24"/>
          <w:szCs w:val="24"/>
        </w:rPr>
        <w:t>Results:</w:t>
      </w:r>
      <w:r w:rsidRPr="005D5D5E">
        <w:rPr>
          <w:rFonts w:ascii="Times New Roman" w:eastAsia="Times New Roman" w:hAnsi="Times New Roman" w:cs="Times New Roman"/>
          <w:color w:val="FF0000"/>
          <w:sz w:val="24"/>
          <w:szCs w:val="24"/>
        </w:rPr>
        <w:br/>
        <w:t>Strengths identified included operational vaccination programs, government-led outbreak response mechanisms, and moderate community awareness of yellow fever symptoms and transmission. Weaknesses included insufficient vaccination coverage, limited effectiveness of vector control, low impact of public health education, and constrained financial and human resources. Statistical analysis confirmed that integrated strategies—combining enhanced surveillance, targeted vector control, community engagement, and improved vaccine accessibility—have the potential to strengthen control efforts; non-significant results are clearly reported (e.g., p = 0.27).</w:t>
      </w:r>
    </w:p>
    <w:p w:rsidR="00AF139D" w:rsidRPr="005D5D5E" w:rsidRDefault="00AF139D" w:rsidP="00AF139D">
      <w:pPr>
        <w:spacing w:before="100" w:beforeAutospacing="1" w:after="100" w:afterAutospacing="1" w:line="240" w:lineRule="auto"/>
        <w:jc w:val="both"/>
        <w:rPr>
          <w:rFonts w:ascii="Times New Roman" w:eastAsia="Times New Roman" w:hAnsi="Times New Roman" w:cs="Times New Roman"/>
          <w:color w:val="FF0000"/>
          <w:sz w:val="24"/>
          <w:szCs w:val="24"/>
        </w:rPr>
      </w:pPr>
      <w:r w:rsidRPr="005D5D5E">
        <w:rPr>
          <w:rFonts w:ascii="Times New Roman" w:eastAsia="Times New Roman" w:hAnsi="Times New Roman" w:cs="Times New Roman"/>
          <w:b/>
          <w:bCs/>
          <w:color w:val="FF0000"/>
          <w:sz w:val="24"/>
          <w:szCs w:val="24"/>
        </w:rPr>
        <w:t>Conclusion:</w:t>
      </w:r>
      <w:r w:rsidRPr="005D5D5E">
        <w:rPr>
          <w:rFonts w:ascii="Times New Roman" w:eastAsia="Times New Roman" w:hAnsi="Times New Roman" w:cs="Times New Roman"/>
          <w:color w:val="FF0000"/>
          <w:sz w:val="24"/>
          <w:szCs w:val="24"/>
        </w:rPr>
        <w:br/>
        <w:t>Yellow fever prevention strategies in North East Nigeria have foundational strengths but are constrained by structural, operational, and behavioral gaps. Enhancing vaccination delivery, improving vector control, strengthening surveillance, and engaging communities through culturally tailored education are essential to optimize strategy effectiveness and reduce yellow fever risk in this high-risk region.</w:t>
      </w:r>
    </w:p>
    <w:p w:rsidR="00AF139D" w:rsidRPr="005D5D5E" w:rsidRDefault="00AF139D" w:rsidP="00AF139D">
      <w:pPr>
        <w:spacing w:line="240" w:lineRule="auto"/>
        <w:jc w:val="both"/>
        <w:rPr>
          <w:color w:val="FF0000"/>
          <w:sz w:val="24"/>
          <w:szCs w:val="24"/>
        </w:rPr>
      </w:pPr>
    </w:p>
    <w:p w:rsidR="00D552B0" w:rsidRPr="00D72C65" w:rsidRDefault="00D552B0" w:rsidP="00D72C65">
      <w:pPr>
        <w:pStyle w:val="NormalWeb"/>
        <w:jc w:val="both"/>
        <w:rPr>
          <w:i/>
        </w:rPr>
      </w:pPr>
      <w:r w:rsidRPr="00D72C65">
        <w:rPr>
          <w:rStyle w:val="Strong"/>
          <w:i/>
        </w:rPr>
        <w:lastRenderedPageBreak/>
        <w:t>Keywords:</w:t>
      </w:r>
      <w:r w:rsidRPr="00D72C65">
        <w:rPr>
          <w:i/>
        </w:rPr>
        <w:t xml:space="preserve"> Yellow fever; prevention strategies; control; vaccination; vector control; surveillance; North East Nigeria</w:t>
      </w:r>
    </w:p>
    <w:p w:rsidR="00D552B0" w:rsidRPr="00D72C65" w:rsidRDefault="00D552B0" w:rsidP="00D72C65">
      <w:pPr>
        <w:pStyle w:val="NormalWeb"/>
        <w:jc w:val="both"/>
        <w:rPr>
          <w:i/>
        </w:rPr>
      </w:pPr>
      <w:r w:rsidRPr="00D72C65">
        <w:rPr>
          <w:rStyle w:val="Strong"/>
          <w:bCs w:val="0"/>
        </w:rPr>
        <w:t>Introduction</w:t>
      </w:r>
    </w:p>
    <w:p w:rsidR="00D552B0" w:rsidRPr="00D72C65" w:rsidRDefault="00D552B0" w:rsidP="00D72C65">
      <w:pPr>
        <w:pStyle w:val="NormalWeb"/>
        <w:jc w:val="both"/>
      </w:pPr>
      <w:r w:rsidRPr="00D72C65">
        <w:t xml:space="preserve">Yellow fever is an acute viral hemorrhagic disease caused by the yellow fever virus (YFV), a flavivirus transmitted primarily by </w:t>
      </w:r>
      <w:r w:rsidRPr="00D72C65">
        <w:rPr>
          <w:rStyle w:val="Emphasis"/>
        </w:rPr>
        <w:t>Aedes</w:t>
      </w:r>
      <w:r w:rsidRPr="00D72C65">
        <w:t xml:space="preserve"> mosquitoes in urban and peri-urban settings, and by sylvatic vectors in forested and savannah areas. The disease is endemic in many parts of sub-Saharan Africa, including Nigeria, where it continues to cause recurrent outbreaks with significant morbidity and mortality. Despite the availability of a safe and highly effective live-attenuated vaccine, yellow fever remains a major public health concern, particularly in the North East geopolitical region, which comprises Adamawa, Bauchi, </w:t>
      </w:r>
      <w:proofErr w:type="spellStart"/>
      <w:r w:rsidRPr="00D72C65">
        <w:t>Borno</w:t>
      </w:r>
      <w:proofErr w:type="spellEnd"/>
      <w:r w:rsidRPr="00D72C65">
        <w:t xml:space="preserve">, Gombe, Taraba, and </w:t>
      </w:r>
      <w:proofErr w:type="spellStart"/>
      <w:r w:rsidRPr="00D72C65">
        <w:t>Yobe</w:t>
      </w:r>
      <w:proofErr w:type="spellEnd"/>
      <w:r w:rsidRPr="00D72C65">
        <w:t xml:space="preserve"> States</w:t>
      </w:r>
      <w:r w:rsidR="0049011E" w:rsidRPr="00D72C65">
        <w:t xml:space="preserve"> [1-2]</w:t>
      </w:r>
      <w:r w:rsidRPr="00D72C65">
        <w:t>.</w:t>
      </w:r>
      <w:r w:rsidR="004901B6" w:rsidRPr="00D72C65">
        <w:t xml:space="preserve"> </w:t>
      </w:r>
      <w:r w:rsidRPr="00D72C65">
        <w:t xml:space="preserve">The North East region of Nigeria presents a complex epidemiological landscape for yellow fever transmission. Ecological and climatic conditions, including seasonal rainfall, high temperatures, and widespread vector breeding sites, create favorable environments for </w:t>
      </w:r>
      <w:r w:rsidRPr="00D72C65">
        <w:rPr>
          <w:rStyle w:val="Emphasis"/>
        </w:rPr>
        <w:t>Aedes</w:t>
      </w:r>
      <w:r w:rsidRPr="00D72C65">
        <w:t xml:space="preserve"> mosquitoes. Rapid urbanization, population displacement due to conflict, and poorly planned settlements further amplify transmission risk. In this context, effective prevention and control strategies are critical to reducing disease burden and preventing outbreaks</w:t>
      </w:r>
      <w:r w:rsidR="0049011E" w:rsidRPr="00D72C65">
        <w:t xml:space="preserve"> [3-4]</w:t>
      </w:r>
      <w:r w:rsidRPr="00D72C65">
        <w:t>.</w:t>
      </w:r>
    </w:p>
    <w:p w:rsidR="00D552B0" w:rsidRPr="00D72C65" w:rsidRDefault="00D552B0" w:rsidP="00D72C65">
      <w:pPr>
        <w:pStyle w:val="NormalWeb"/>
        <w:jc w:val="both"/>
      </w:pPr>
      <w:r w:rsidRPr="00D72C65">
        <w:t>Prevention and control of yellow fever rely on three main strategies: vaccination, vector control, and surveillance with timely outbreak response. Vaccination is the cornerstone of prevention, capable of conferring long-term immunity with a single dose. Routine immunization for infants, supplemented by mass vaccination campaigns targeting unvaccinated populations, is intended to achieve herd immunity and prevent sustained transmission. Vector control interventions, such as environmental management, larval source reduction, and insecticide spraying, are designed to reduce mosquito populations and limit the opportunity for viral transmission. Surveillance systems, including case detection, reporting, and rapid response teams, are critical for early outbreak identification and containment</w:t>
      </w:r>
      <w:r w:rsidR="004901B6" w:rsidRPr="00D72C65">
        <w:t xml:space="preserve"> [5-6]</w:t>
      </w:r>
      <w:r w:rsidRPr="00D72C65">
        <w:t>.</w:t>
      </w:r>
      <w:r w:rsidR="00B135F1" w:rsidRPr="00D72C65">
        <w:t xml:space="preserve"> </w:t>
      </w:r>
      <w:r w:rsidRPr="00D72C65">
        <w:t>Challenges include low vaccination coverage, logistical and cold chain constraints, limited vector control, weak surveillance systems in remote or conflict-affected areas, and insufficient community engagement. Socioeconomic factors, including low education, poverty, and limited access to healthcare, further restrict the ability of communities to participate fully in prevention programs. Vaccine hesitancy and misinformation also contribute to suboptimal uptake, leaving populations vulnerable to outbreaks</w:t>
      </w:r>
      <w:r w:rsidR="00B135F1" w:rsidRPr="00D72C65">
        <w:t xml:space="preserve"> [7-8]</w:t>
      </w:r>
      <w:r w:rsidRPr="00D72C65">
        <w:t>.</w:t>
      </w:r>
    </w:p>
    <w:p w:rsidR="00D552B0" w:rsidRPr="00D72C65" w:rsidRDefault="00D552B0" w:rsidP="00D72C65">
      <w:pPr>
        <w:pStyle w:val="NormalWeb"/>
        <w:jc w:val="both"/>
      </w:pPr>
      <w:r w:rsidRPr="00D72C65">
        <w:t>Evaluating these strategies can reveal what is working well, such as community awareness or outbreak response mechanisms, and identify areas requiring improvement, including vaccination logistics, vector control, and public engagement.</w:t>
      </w:r>
      <w:r w:rsidR="00B135F1" w:rsidRPr="00D72C65">
        <w:t xml:space="preserve"> </w:t>
      </w:r>
      <w:r w:rsidRPr="00D72C65">
        <w:t>Against this backdrop, the present study aims to comprehensively assess the strengths and weaknesses of yellow fever prevention and control interventions in North East Nigeria. By identifying operational successes and systemic challenges, the study provides evidence-based insights for policymakers, public health authorities, and stakeholders to enhance disease prevention, reduce outbreak risk, and achieve sustainable control in this high-risk region.</w:t>
      </w:r>
    </w:p>
    <w:p w:rsidR="00AD1869" w:rsidRPr="00FE4656" w:rsidRDefault="00AD1869" w:rsidP="00AD1869">
      <w:pPr>
        <w:spacing w:before="100" w:beforeAutospacing="1" w:after="100" w:afterAutospacing="1" w:line="240" w:lineRule="auto"/>
        <w:jc w:val="both"/>
        <w:outlineLvl w:val="1"/>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Research Methodology</w:t>
      </w:r>
    </w:p>
    <w:p w:rsidR="00AD1869" w:rsidRPr="00FE4656" w:rsidRDefault="00AD1869" w:rsidP="00AD1869">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Research Design</w:t>
      </w:r>
    </w:p>
    <w:p w:rsidR="00AD1869" w:rsidRPr="00FE4656" w:rsidRDefault="00AD1869" w:rsidP="00AD1869">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lastRenderedPageBreak/>
        <w:t xml:space="preserve">This study employed a </w:t>
      </w:r>
      <w:r w:rsidRPr="00417345">
        <w:rPr>
          <w:rFonts w:ascii="Times New Roman" w:eastAsia="Times New Roman" w:hAnsi="Times New Roman" w:cs="Times New Roman"/>
          <w:bCs/>
          <w:color w:val="FF0000"/>
          <w:sz w:val="24"/>
          <w:szCs w:val="24"/>
        </w:rPr>
        <w:t>community-based cross-sectional descriptive survey design</w:t>
      </w:r>
      <w:r w:rsidRPr="00FE4656">
        <w:rPr>
          <w:rFonts w:ascii="Times New Roman" w:eastAsia="Times New Roman" w:hAnsi="Times New Roman" w:cs="Times New Roman"/>
          <w:color w:val="FF0000"/>
          <w:sz w:val="24"/>
          <w:szCs w:val="24"/>
        </w:rPr>
        <w:t xml:space="preserve"> to assess knowledge of yellow fever symptoms, transmission pathways, and prevention practices among residents of North East Nigeria. The cross-sectional approach enabled the collection of data at a single point in time from a large and geographically dispersed population, allowing for estimation of knowledge levels and examination of associations between socio-demographic factors and knowledge outcomes.</w:t>
      </w:r>
      <w:r w:rsidRPr="00417345">
        <w:rPr>
          <w:rFonts w:ascii="Times New Roman" w:eastAsia="Times New Roman" w:hAnsi="Times New Roman" w:cs="Times New Roman"/>
          <w:color w:val="FF0000"/>
          <w:sz w:val="24"/>
          <w:szCs w:val="24"/>
        </w:rPr>
        <w:t xml:space="preserve"> </w:t>
      </w:r>
      <w:r w:rsidRPr="00FE4656">
        <w:rPr>
          <w:rFonts w:ascii="Times New Roman" w:eastAsia="Times New Roman" w:hAnsi="Times New Roman" w:cs="Times New Roman"/>
          <w:color w:val="FF0000"/>
          <w:sz w:val="24"/>
          <w:szCs w:val="24"/>
        </w:rPr>
        <w:t>This design was appropriate because the study aimed to evaluate awareness and perceptions rather than measure incidence, prevalence, or epidemiological transmission dynamics.</w:t>
      </w:r>
    </w:p>
    <w:p w:rsidR="00AD1869" w:rsidRPr="00FE4656" w:rsidRDefault="00AD1869" w:rsidP="00AD1869">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Study Area</w:t>
      </w:r>
    </w:p>
    <w:p w:rsidR="00AD1869" w:rsidRPr="00FE4656" w:rsidRDefault="00AD1869" w:rsidP="00AD1869">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The study was conducted in the </w:t>
      </w:r>
      <w:r w:rsidRPr="00417345">
        <w:rPr>
          <w:rFonts w:ascii="Times New Roman" w:eastAsia="Times New Roman" w:hAnsi="Times New Roman" w:cs="Times New Roman"/>
          <w:bCs/>
          <w:color w:val="FF0000"/>
          <w:sz w:val="24"/>
          <w:szCs w:val="24"/>
        </w:rPr>
        <w:t>North East geopolitical zone of Nigeria</w:t>
      </w:r>
      <w:r w:rsidRPr="00FE4656">
        <w:rPr>
          <w:rFonts w:ascii="Times New Roman" w:eastAsia="Times New Roman" w:hAnsi="Times New Roman" w:cs="Times New Roman"/>
          <w:color w:val="FF0000"/>
          <w:sz w:val="24"/>
          <w:szCs w:val="24"/>
        </w:rPr>
        <w:t xml:space="preserve">, comprising Adamawa, Bauchi, </w:t>
      </w:r>
      <w:proofErr w:type="spellStart"/>
      <w:r w:rsidRPr="00FE4656">
        <w:rPr>
          <w:rFonts w:ascii="Times New Roman" w:eastAsia="Times New Roman" w:hAnsi="Times New Roman" w:cs="Times New Roman"/>
          <w:color w:val="FF0000"/>
          <w:sz w:val="24"/>
          <w:szCs w:val="24"/>
        </w:rPr>
        <w:t>Borno</w:t>
      </w:r>
      <w:proofErr w:type="spellEnd"/>
      <w:r w:rsidRPr="00FE4656">
        <w:rPr>
          <w:rFonts w:ascii="Times New Roman" w:eastAsia="Times New Roman" w:hAnsi="Times New Roman" w:cs="Times New Roman"/>
          <w:color w:val="FF0000"/>
          <w:sz w:val="24"/>
          <w:szCs w:val="24"/>
        </w:rPr>
        <w:t xml:space="preserve">, Gombe, Taraba, and </w:t>
      </w:r>
      <w:proofErr w:type="spellStart"/>
      <w:r w:rsidRPr="00FE4656">
        <w:rPr>
          <w:rFonts w:ascii="Times New Roman" w:eastAsia="Times New Roman" w:hAnsi="Times New Roman" w:cs="Times New Roman"/>
          <w:color w:val="FF0000"/>
          <w:sz w:val="24"/>
          <w:szCs w:val="24"/>
        </w:rPr>
        <w:t>Yobe</w:t>
      </w:r>
      <w:proofErr w:type="spellEnd"/>
      <w:r w:rsidRPr="00FE4656">
        <w:rPr>
          <w:rFonts w:ascii="Times New Roman" w:eastAsia="Times New Roman" w:hAnsi="Times New Roman" w:cs="Times New Roman"/>
          <w:color w:val="FF0000"/>
          <w:sz w:val="24"/>
          <w:szCs w:val="24"/>
        </w:rPr>
        <w:t xml:space="preserve"> States. The region was selected due to:</w:t>
      </w:r>
    </w:p>
    <w:p w:rsidR="00AD1869" w:rsidRPr="00FE4656" w:rsidRDefault="00AD1869" w:rsidP="00AD1869">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Recurrent yellow fever outbreaks in recent years</w:t>
      </w:r>
    </w:p>
    <w:p w:rsidR="00AD1869" w:rsidRPr="00FE4656" w:rsidRDefault="00AD1869" w:rsidP="00AD1869">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Ecological conditions favorable to </w:t>
      </w:r>
      <w:r w:rsidRPr="00417345">
        <w:rPr>
          <w:rFonts w:ascii="Times New Roman" w:eastAsia="Times New Roman" w:hAnsi="Times New Roman" w:cs="Times New Roman"/>
          <w:i/>
          <w:iCs/>
          <w:color w:val="FF0000"/>
          <w:sz w:val="24"/>
          <w:szCs w:val="24"/>
        </w:rPr>
        <w:t>Aedes</w:t>
      </w:r>
      <w:r w:rsidRPr="00FE4656">
        <w:rPr>
          <w:rFonts w:ascii="Times New Roman" w:eastAsia="Times New Roman" w:hAnsi="Times New Roman" w:cs="Times New Roman"/>
          <w:color w:val="FF0000"/>
          <w:sz w:val="24"/>
          <w:szCs w:val="24"/>
        </w:rPr>
        <w:t xml:space="preserve"> mosquito vectors</w:t>
      </w:r>
    </w:p>
    <w:p w:rsidR="00AD1869" w:rsidRPr="00FE4656" w:rsidRDefault="00AD1869" w:rsidP="00AD1869">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Gaps in vaccination coverage</w:t>
      </w:r>
    </w:p>
    <w:p w:rsidR="00AD1869" w:rsidRPr="00FE4656" w:rsidRDefault="00AD1869" w:rsidP="00AD1869">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Structural health system challenges, including insecurity and population displacement</w:t>
      </w:r>
    </w:p>
    <w:p w:rsidR="00AD1869" w:rsidRPr="00FE4656" w:rsidRDefault="00AD1869" w:rsidP="00AD1869">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These characteristics make the region epidemiologically relevant for assessing community knowledge related to yellow fever prevention and control.</w:t>
      </w:r>
    </w:p>
    <w:p w:rsidR="00AD1869" w:rsidRPr="00FE4656" w:rsidRDefault="00AD1869" w:rsidP="00AD1869">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Population of the Study</w:t>
      </w:r>
    </w:p>
    <w:p w:rsidR="00AD1869" w:rsidRPr="00FE4656" w:rsidRDefault="00AD1869" w:rsidP="00AD1869">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The target population comprised adult residents (≥18 years) living in the North East geopolitical zone. According to the National Population Commission (2020), the projected population of the region is approximately </w:t>
      </w:r>
      <w:r w:rsidRPr="00417345">
        <w:rPr>
          <w:rFonts w:ascii="Times New Roman" w:eastAsia="Times New Roman" w:hAnsi="Times New Roman" w:cs="Times New Roman"/>
          <w:bCs/>
          <w:color w:val="FF0000"/>
          <w:sz w:val="24"/>
          <w:szCs w:val="24"/>
        </w:rPr>
        <w:t>26 million</w:t>
      </w:r>
      <w:r w:rsidRPr="00FE4656">
        <w:rPr>
          <w:rFonts w:ascii="Times New Roman" w:eastAsia="Times New Roman" w:hAnsi="Times New Roman" w:cs="Times New Roman"/>
          <w:color w:val="FF0000"/>
          <w:sz w:val="24"/>
          <w:szCs w:val="24"/>
        </w:rPr>
        <w:t>.</w:t>
      </w:r>
      <w:r w:rsidRPr="00417345">
        <w:rPr>
          <w:rFonts w:ascii="Times New Roman" w:eastAsia="Times New Roman" w:hAnsi="Times New Roman" w:cs="Times New Roman"/>
          <w:color w:val="FF0000"/>
          <w:sz w:val="24"/>
          <w:szCs w:val="24"/>
        </w:rPr>
        <w:t xml:space="preserve"> </w:t>
      </w:r>
      <w:r w:rsidRPr="00FE4656">
        <w:rPr>
          <w:rFonts w:ascii="Times New Roman" w:eastAsia="Times New Roman" w:hAnsi="Times New Roman" w:cs="Times New Roman"/>
          <w:color w:val="FF0000"/>
          <w:sz w:val="24"/>
          <w:szCs w:val="24"/>
        </w:rPr>
        <w:t>Eligible participants were individuals who had resided in the selected communities for at least six months prior to the study. Health professionals were excluded to minimize professional knowledge bias.</w:t>
      </w:r>
    </w:p>
    <w:p w:rsidR="00AD1869" w:rsidRPr="00FE4656" w:rsidRDefault="00AD1869" w:rsidP="00AD1869">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Sampling Technique</w:t>
      </w:r>
    </w:p>
    <w:p w:rsidR="00AD1869" w:rsidRPr="00FE4656" w:rsidRDefault="00AD1869" w:rsidP="00AD1869">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A </w:t>
      </w:r>
      <w:r w:rsidRPr="00417345">
        <w:rPr>
          <w:rFonts w:ascii="Times New Roman" w:eastAsia="Times New Roman" w:hAnsi="Times New Roman" w:cs="Times New Roman"/>
          <w:b/>
          <w:bCs/>
          <w:color w:val="FF0000"/>
          <w:sz w:val="24"/>
          <w:szCs w:val="24"/>
        </w:rPr>
        <w:t>multistage cluster sampling technique</w:t>
      </w:r>
      <w:r w:rsidRPr="00FE4656">
        <w:rPr>
          <w:rFonts w:ascii="Times New Roman" w:eastAsia="Times New Roman" w:hAnsi="Times New Roman" w:cs="Times New Roman"/>
          <w:color w:val="FF0000"/>
          <w:sz w:val="24"/>
          <w:szCs w:val="24"/>
        </w:rPr>
        <w:t xml:space="preserve"> was employed:</w:t>
      </w:r>
    </w:p>
    <w:p w:rsidR="00AD1869" w:rsidRPr="00FE4656" w:rsidRDefault="00AD1869" w:rsidP="00AD1869">
      <w:pPr>
        <w:numPr>
          <w:ilvl w:val="0"/>
          <w:numId w:val="6"/>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Stage 1 – State Selection:</w:t>
      </w:r>
      <w:r w:rsidRPr="00FE4656">
        <w:rPr>
          <w:rFonts w:ascii="Times New Roman" w:eastAsia="Times New Roman" w:hAnsi="Times New Roman" w:cs="Times New Roman"/>
          <w:color w:val="FF0000"/>
          <w:sz w:val="24"/>
          <w:szCs w:val="24"/>
        </w:rPr>
        <w:t xml:space="preserve"> All six states in the North East zone were included to ensure regional representation.</w:t>
      </w:r>
    </w:p>
    <w:p w:rsidR="00AD1869" w:rsidRPr="00FE4656" w:rsidRDefault="00AD1869" w:rsidP="00AD1869">
      <w:pPr>
        <w:numPr>
          <w:ilvl w:val="0"/>
          <w:numId w:val="6"/>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Stage 2 – Local Government Area (LGA) Selection:</w:t>
      </w:r>
      <w:r w:rsidRPr="00FE4656">
        <w:rPr>
          <w:rFonts w:ascii="Times New Roman" w:eastAsia="Times New Roman" w:hAnsi="Times New Roman" w:cs="Times New Roman"/>
          <w:color w:val="FF0000"/>
          <w:sz w:val="24"/>
          <w:szCs w:val="24"/>
        </w:rPr>
        <w:t xml:space="preserve"> LGAs were stratified based on reported yellow fever exposure history and security accessibility. From each state, selected LGAs were chosen using simple random sampling.</w:t>
      </w:r>
    </w:p>
    <w:p w:rsidR="00AD1869" w:rsidRPr="00FE4656" w:rsidRDefault="00AD1869" w:rsidP="00AD1869">
      <w:pPr>
        <w:numPr>
          <w:ilvl w:val="0"/>
          <w:numId w:val="6"/>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Stage 3 – Community Selection:</w:t>
      </w:r>
      <w:r w:rsidRPr="00FE4656">
        <w:rPr>
          <w:rFonts w:ascii="Times New Roman" w:eastAsia="Times New Roman" w:hAnsi="Times New Roman" w:cs="Times New Roman"/>
          <w:color w:val="FF0000"/>
          <w:sz w:val="24"/>
          <w:szCs w:val="24"/>
        </w:rPr>
        <w:t xml:space="preserve"> Communities within selected LGAs were randomly sampled.</w:t>
      </w:r>
    </w:p>
    <w:p w:rsidR="00AD1869" w:rsidRPr="00FE4656" w:rsidRDefault="00AD1869" w:rsidP="00AD1869">
      <w:pPr>
        <w:numPr>
          <w:ilvl w:val="0"/>
          <w:numId w:val="6"/>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Stage 4 – Household and Participant Selection:</w:t>
      </w:r>
      <w:r w:rsidRPr="00FE4656">
        <w:rPr>
          <w:rFonts w:ascii="Times New Roman" w:eastAsia="Times New Roman" w:hAnsi="Times New Roman" w:cs="Times New Roman"/>
          <w:color w:val="FF0000"/>
          <w:sz w:val="24"/>
          <w:szCs w:val="24"/>
        </w:rPr>
        <w:t xml:space="preserve"> Households were selected using systematic sampling. Within each household, one eligible adult respondent was selected using simple random selection.</w:t>
      </w:r>
    </w:p>
    <w:p w:rsidR="00AD1869" w:rsidRPr="00FE4656" w:rsidRDefault="00AD1869" w:rsidP="00AD1869">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lastRenderedPageBreak/>
        <w:t>This approach enhanced representativeness while maintaining logistical feasibility in a region with security constraints.</w:t>
      </w:r>
    </w:p>
    <w:p w:rsidR="00AD1869" w:rsidRDefault="00AD1869" w:rsidP="00AD1869">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Sample Size Determination</w:t>
      </w:r>
    </w:p>
    <w:p w:rsidR="00AD1869" w:rsidRPr="00FE4656" w:rsidRDefault="00AD1869" w:rsidP="00AD1869">
      <w:pPr>
        <w:spacing w:before="100" w:beforeAutospacing="1" w:after="100" w:afterAutospacing="1" w:line="240" w:lineRule="auto"/>
        <w:jc w:val="both"/>
        <w:rPr>
          <w:rFonts w:ascii="Times New Roman" w:eastAsia="Times New Roman" w:hAnsi="Times New Roman" w:cs="Times New Roman"/>
          <w:color w:val="FF0000"/>
          <w:sz w:val="24"/>
          <w:szCs w:val="24"/>
        </w:rPr>
      </w:pPr>
      <w:r w:rsidRPr="007D4CF3">
        <w:rPr>
          <w:rFonts w:ascii="Times New Roman" w:hAnsi="Times New Roman" w:cs="Times New Roman"/>
          <w:b/>
          <w:sz w:val="24"/>
          <w:szCs w:val="24"/>
        </w:rPr>
        <w:br/>
      </w:r>
      <w:r w:rsidRPr="007D4CF3">
        <w:rPr>
          <w:rFonts w:ascii="Times New Roman" w:hAnsi="Times New Roman" w:cs="Times New Roman"/>
          <w:sz w:val="24"/>
          <w:szCs w:val="24"/>
        </w:rPr>
        <w:t>A multistage cluster sampling technique was adopted. States were first clustered based on severity of insecurity and yellow fever exposure. Local government areas and residents were then randomly selected. Sample size was determined using Taro Yamane’s formula:</w:t>
      </w:r>
      <w:r w:rsidRPr="007D4CF3">
        <w:rPr>
          <w:rFonts w:ascii="Times New Roman" w:hAnsi="Times New Roman" w:cs="Times New Roman"/>
          <w:sz w:val="24"/>
          <w:szCs w:val="24"/>
        </w:rPr>
        <w:br/>
        <w:t>n = N / 1 + N(e)²</w:t>
      </w:r>
      <w:r w:rsidRPr="007D4CF3">
        <w:rPr>
          <w:rFonts w:ascii="Times New Roman" w:hAnsi="Times New Roman" w:cs="Times New Roman"/>
          <w:sz w:val="24"/>
          <w:szCs w:val="24"/>
        </w:rPr>
        <w:br/>
        <w:t xml:space="preserve">Using N = 26,000,000 and e = 0.05, the calculated sample size was approximately 65,000. </w:t>
      </w:r>
      <w:r w:rsidRPr="00FE4656">
        <w:rPr>
          <w:rFonts w:ascii="Times New Roman" w:eastAsia="Times New Roman" w:hAnsi="Times New Roman" w:cs="Times New Roman"/>
          <w:color w:val="FF0000"/>
          <w:sz w:val="24"/>
          <w:szCs w:val="24"/>
        </w:rPr>
        <w:t xml:space="preserve">The adjusted sample size was approximately </w:t>
      </w:r>
      <w:r w:rsidRPr="00417345">
        <w:rPr>
          <w:rFonts w:ascii="Times New Roman" w:eastAsia="Times New Roman" w:hAnsi="Times New Roman" w:cs="Times New Roman"/>
          <w:bCs/>
          <w:color w:val="FF0000"/>
          <w:sz w:val="24"/>
          <w:szCs w:val="24"/>
        </w:rPr>
        <w:t>634</w:t>
      </w:r>
      <w:r w:rsidRPr="00FE4656">
        <w:rPr>
          <w:rFonts w:ascii="Times New Roman" w:eastAsia="Times New Roman" w:hAnsi="Times New Roman" w:cs="Times New Roman"/>
          <w:color w:val="FF0000"/>
          <w:sz w:val="24"/>
          <w:szCs w:val="24"/>
        </w:rPr>
        <w:t xml:space="preserve">, which was rounded up to </w:t>
      </w:r>
      <w:r w:rsidRPr="00417345">
        <w:rPr>
          <w:rFonts w:ascii="Times New Roman" w:eastAsia="Times New Roman" w:hAnsi="Times New Roman" w:cs="Times New Roman"/>
          <w:bCs/>
          <w:color w:val="FF0000"/>
          <w:sz w:val="24"/>
          <w:szCs w:val="24"/>
        </w:rPr>
        <w:t>650</w:t>
      </w:r>
      <w:r w:rsidRPr="00FE4656">
        <w:rPr>
          <w:rFonts w:ascii="Times New Roman" w:eastAsia="Times New Roman" w:hAnsi="Times New Roman" w:cs="Times New Roman"/>
          <w:color w:val="FF0000"/>
          <w:sz w:val="24"/>
          <w:szCs w:val="24"/>
        </w:rPr>
        <w:t xml:space="preserve"> to improve statistical power and ensure proportional allocation across states.</w:t>
      </w:r>
      <w:r w:rsidRPr="00417345">
        <w:rPr>
          <w:rFonts w:ascii="Times New Roman" w:eastAsia="Times New Roman" w:hAnsi="Times New Roman" w:cs="Times New Roman"/>
          <w:sz w:val="24"/>
          <w:szCs w:val="24"/>
        </w:rPr>
        <w:t xml:space="preserve"> </w:t>
      </w:r>
      <w:r w:rsidRPr="00FE4656">
        <w:rPr>
          <w:rFonts w:ascii="Times New Roman" w:eastAsia="Times New Roman" w:hAnsi="Times New Roman" w:cs="Times New Roman"/>
          <w:color w:val="FF0000"/>
          <w:sz w:val="24"/>
          <w:szCs w:val="24"/>
        </w:rPr>
        <w:t xml:space="preserve">A total of </w:t>
      </w:r>
      <w:r w:rsidRPr="00417345">
        <w:rPr>
          <w:rFonts w:ascii="Times New Roman" w:eastAsia="Times New Roman" w:hAnsi="Times New Roman" w:cs="Times New Roman"/>
          <w:bCs/>
          <w:color w:val="FF0000"/>
          <w:sz w:val="24"/>
          <w:szCs w:val="24"/>
        </w:rPr>
        <w:t>563 completed responses</w:t>
      </w:r>
      <w:r w:rsidRPr="00FE4656">
        <w:rPr>
          <w:rFonts w:ascii="Times New Roman" w:eastAsia="Times New Roman" w:hAnsi="Times New Roman" w:cs="Times New Roman"/>
          <w:color w:val="FF0000"/>
          <w:sz w:val="24"/>
          <w:szCs w:val="24"/>
        </w:rPr>
        <w:t xml:space="preserve"> were obtained and included in the final analysis, representing an adequate response rate for inferential analysis.</w:t>
      </w:r>
    </w:p>
    <w:p w:rsidR="00AD1869" w:rsidRPr="00FE4656" w:rsidRDefault="00AD1869" w:rsidP="00AD1869">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Data Collection Instrument</w:t>
      </w:r>
    </w:p>
    <w:p w:rsidR="00AD1869" w:rsidRPr="00FE4656" w:rsidRDefault="00AD1869" w:rsidP="00AD1869">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Data were collected using a structured questionnaire comprising four sections:</w:t>
      </w:r>
    </w:p>
    <w:p w:rsidR="00AD1869" w:rsidRPr="00FE4656" w:rsidRDefault="00AD1869" w:rsidP="00AD1869">
      <w:pPr>
        <w:numPr>
          <w:ilvl w:val="0"/>
          <w:numId w:val="7"/>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Socio-demographic characteristics</w:t>
      </w:r>
    </w:p>
    <w:p w:rsidR="00AD1869" w:rsidRPr="00FE4656" w:rsidRDefault="00AD1869" w:rsidP="00AD1869">
      <w:pPr>
        <w:numPr>
          <w:ilvl w:val="0"/>
          <w:numId w:val="7"/>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Knowledge of yellow fever symptoms</w:t>
      </w:r>
    </w:p>
    <w:p w:rsidR="00AD1869" w:rsidRPr="00FE4656" w:rsidRDefault="00AD1869" w:rsidP="00AD1869">
      <w:pPr>
        <w:numPr>
          <w:ilvl w:val="0"/>
          <w:numId w:val="7"/>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Knowledge of transmission pathways</w:t>
      </w:r>
    </w:p>
    <w:p w:rsidR="00AD1869" w:rsidRPr="00FE4656" w:rsidRDefault="00AD1869" w:rsidP="00AD1869">
      <w:pPr>
        <w:numPr>
          <w:ilvl w:val="0"/>
          <w:numId w:val="7"/>
        </w:num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Prevention practices</w:t>
      </w:r>
    </w:p>
    <w:p w:rsidR="00AD1869" w:rsidRPr="00FE4656" w:rsidRDefault="00AD1869" w:rsidP="00AD1869">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The instrument contained </w:t>
      </w:r>
      <w:r w:rsidRPr="00417345">
        <w:rPr>
          <w:rFonts w:ascii="Times New Roman" w:eastAsia="Times New Roman" w:hAnsi="Times New Roman" w:cs="Times New Roman"/>
          <w:bCs/>
          <w:color w:val="FF0000"/>
          <w:sz w:val="24"/>
          <w:szCs w:val="24"/>
        </w:rPr>
        <w:t>18 knowledge-related items</w:t>
      </w:r>
      <w:r w:rsidRPr="00FE4656">
        <w:rPr>
          <w:rFonts w:ascii="Times New Roman" w:eastAsia="Times New Roman" w:hAnsi="Times New Roman" w:cs="Times New Roman"/>
          <w:color w:val="FF0000"/>
          <w:sz w:val="24"/>
          <w:szCs w:val="24"/>
        </w:rPr>
        <w:t xml:space="preserve">. Responses were assessed using a </w:t>
      </w:r>
      <w:r w:rsidRPr="00417345">
        <w:rPr>
          <w:rFonts w:ascii="Times New Roman" w:eastAsia="Times New Roman" w:hAnsi="Times New Roman" w:cs="Times New Roman"/>
          <w:bCs/>
          <w:color w:val="FF0000"/>
          <w:sz w:val="24"/>
          <w:szCs w:val="24"/>
        </w:rPr>
        <w:t>5-point Likert scale</w:t>
      </w:r>
      <w:r w:rsidRPr="00FE4656">
        <w:rPr>
          <w:rFonts w:ascii="Times New Roman" w:eastAsia="Times New Roman" w:hAnsi="Times New Roman" w:cs="Times New Roman"/>
          <w:color w:val="FF0000"/>
          <w:sz w:val="24"/>
          <w:szCs w:val="24"/>
        </w:rPr>
        <w:t xml:space="preserve"> (1 = strongly disagree to 5 = strongly agree).</w:t>
      </w:r>
    </w:p>
    <w:p w:rsidR="00AD1869" w:rsidRPr="00FE4656" w:rsidRDefault="00AD1869" w:rsidP="00AD1869">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Knowledge scores were summed and converted to percentages, then categorized as:</w:t>
      </w:r>
    </w:p>
    <w:p w:rsidR="00AD1869" w:rsidRPr="00FE4656" w:rsidRDefault="00AD1869" w:rsidP="00AD1869">
      <w:pPr>
        <w:numPr>
          <w:ilvl w:val="0"/>
          <w:numId w:val="8"/>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Good knowledge:</w:t>
      </w:r>
      <w:r w:rsidRPr="00FE4656">
        <w:rPr>
          <w:rFonts w:ascii="Times New Roman" w:eastAsia="Times New Roman" w:hAnsi="Times New Roman" w:cs="Times New Roman"/>
          <w:color w:val="FF0000"/>
          <w:sz w:val="24"/>
          <w:szCs w:val="24"/>
        </w:rPr>
        <w:t xml:space="preserve"> ≥75%</w:t>
      </w:r>
    </w:p>
    <w:p w:rsidR="00AD1869" w:rsidRPr="00FE4656" w:rsidRDefault="00AD1869" w:rsidP="00AD1869">
      <w:pPr>
        <w:numPr>
          <w:ilvl w:val="0"/>
          <w:numId w:val="8"/>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Moderate knowledge:</w:t>
      </w:r>
      <w:r w:rsidRPr="00FE4656">
        <w:rPr>
          <w:rFonts w:ascii="Times New Roman" w:eastAsia="Times New Roman" w:hAnsi="Times New Roman" w:cs="Times New Roman"/>
          <w:color w:val="FF0000"/>
          <w:sz w:val="24"/>
          <w:szCs w:val="24"/>
        </w:rPr>
        <w:t xml:space="preserve"> 50–74%</w:t>
      </w:r>
    </w:p>
    <w:p w:rsidR="00AD1869" w:rsidRPr="00FE4656" w:rsidRDefault="00AD1869" w:rsidP="00AD1869">
      <w:pPr>
        <w:numPr>
          <w:ilvl w:val="0"/>
          <w:numId w:val="8"/>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17345">
        <w:rPr>
          <w:rFonts w:ascii="Times New Roman" w:eastAsia="Times New Roman" w:hAnsi="Times New Roman" w:cs="Times New Roman"/>
          <w:b/>
          <w:bCs/>
          <w:color w:val="FF0000"/>
          <w:sz w:val="24"/>
          <w:szCs w:val="24"/>
        </w:rPr>
        <w:t>Poor knowledge:</w:t>
      </w:r>
      <w:r w:rsidRPr="00FE4656">
        <w:rPr>
          <w:rFonts w:ascii="Times New Roman" w:eastAsia="Times New Roman" w:hAnsi="Times New Roman" w:cs="Times New Roman"/>
          <w:color w:val="FF0000"/>
          <w:sz w:val="24"/>
          <w:szCs w:val="24"/>
        </w:rPr>
        <w:t xml:space="preserve"> &lt;50%</w:t>
      </w:r>
    </w:p>
    <w:p w:rsidR="00AD1869" w:rsidRPr="00FE4656" w:rsidRDefault="00AD1869" w:rsidP="00AD1869">
      <w:pPr>
        <w:spacing w:before="100" w:beforeAutospacing="1" w:after="100" w:afterAutospacing="1" w:line="240" w:lineRule="auto"/>
        <w:jc w:val="both"/>
        <w:outlineLvl w:val="2"/>
        <w:rPr>
          <w:rFonts w:ascii="Times New Roman" w:eastAsia="Times New Roman" w:hAnsi="Times New Roman" w:cs="Times New Roman"/>
          <w:b/>
          <w:bCs/>
          <w:color w:val="FF0000"/>
          <w:sz w:val="24"/>
          <w:szCs w:val="24"/>
        </w:rPr>
      </w:pPr>
      <w:r w:rsidRPr="00FE4656">
        <w:rPr>
          <w:rFonts w:ascii="Times New Roman" w:eastAsia="Times New Roman" w:hAnsi="Times New Roman" w:cs="Times New Roman"/>
          <w:b/>
          <w:bCs/>
          <w:color w:val="FF0000"/>
          <w:sz w:val="24"/>
          <w:szCs w:val="24"/>
        </w:rPr>
        <w:t>Validity and Reliability</w:t>
      </w:r>
    </w:p>
    <w:p w:rsidR="00AD1869" w:rsidRPr="00FE4656" w:rsidRDefault="00AD1869" w:rsidP="00AD1869">
      <w:pPr>
        <w:spacing w:before="100" w:beforeAutospacing="1" w:after="100" w:afterAutospacing="1" w:line="240" w:lineRule="auto"/>
        <w:jc w:val="both"/>
        <w:rPr>
          <w:rFonts w:ascii="Times New Roman" w:eastAsia="Times New Roman" w:hAnsi="Times New Roman" w:cs="Times New Roman"/>
          <w:color w:val="FF0000"/>
          <w:sz w:val="24"/>
          <w:szCs w:val="24"/>
        </w:rPr>
      </w:pPr>
      <w:r w:rsidRPr="00FE4656">
        <w:rPr>
          <w:rFonts w:ascii="Times New Roman" w:eastAsia="Times New Roman" w:hAnsi="Times New Roman" w:cs="Times New Roman"/>
          <w:color w:val="FF0000"/>
          <w:sz w:val="24"/>
          <w:szCs w:val="24"/>
        </w:rPr>
        <w:t xml:space="preserve">The questionnaire underwent expert review for content validity. A pilot study was conducted in a neighboring community outside the study area. Internal consistency reliability was assessed using </w:t>
      </w:r>
      <w:r w:rsidRPr="00417345">
        <w:rPr>
          <w:rFonts w:ascii="Times New Roman" w:eastAsia="Times New Roman" w:hAnsi="Times New Roman" w:cs="Times New Roman"/>
          <w:bCs/>
          <w:color w:val="FF0000"/>
          <w:sz w:val="24"/>
          <w:szCs w:val="24"/>
        </w:rPr>
        <w:t>Cronbach’s alpha</w:t>
      </w:r>
      <w:r w:rsidRPr="00FE4656">
        <w:rPr>
          <w:rFonts w:ascii="Times New Roman" w:eastAsia="Times New Roman" w:hAnsi="Times New Roman" w:cs="Times New Roman"/>
          <w:color w:val="FF0000"/>
          <w:sz w:val="24"/>
          <w:szCs w:val="24"/>
        </w:rPr>
        <w:t xml:space="preserve">, yielding a coefficient of </w:t>
      </w:r>
      <w:r w:rsidRPr="00417345">
        <w:rPr>
          <w:rFonts w:ascii="Times New Roman" w:eastAsia="Times New Roman" w:hAnsi="Times New Roman" w:cs="Times New Roman"/>
          <w:bCs/>
          <w:color w:val="FF0000"/>
          <w:sz w:val="24"/>
          <w:szCs w:val="24"/>
        </w:rPr>
        <w:t>0.82</w:t>
      </w:r>
      <w:r w:rsidRPr="00FE4656">
        <w:rPr>
          <w:rFonts w:ascii="Times New Roman" w:eastAsia="Times New Roman" w:hAnsi="Times New Roman" w:cs="Times New Roman"/>
          <w:color w:val="FF0000"/>
          <w:sz w:val="24"/>
          <w:szCs w:val="24"/>
        </w:rPr>
        <w:t>, indicating good reliability.</w:t>
      </w:r>
    </w:p>
    <w:p w:rsidR="00AD1869" w:rsidRDefault="00AD1869" w:rsidP="00AD1869">
      <w:pPr>
        <w:spacing w:line="240" w:lineRule="auto"/>
        <w:jc w:val="both"/>
        <w:rPr>
          <w:rFonts w:ascii="Times New Roman" w:hAnsi="Times New Roman" w:cs="Times New Roman"/>
          <w:b/>
          <w:sz w:val="24"/>
          <w:szCs w:val="24"/>
        </w:rPr>
      </w:pPr>
      <w:r w:rsidRPr="007D4CF3">
        <w:rPr>
          <w:rFonts w:ascii="Times New Roman" w:hAnsi="Times New Roman" w:cs="Times New Roman"/>
          <w:b/>
          <w:sz w:val="24"/>
          <w:szCs w:val="24"/>
        </w:rPr>
        <w:t>Method of Data Presentation and Analysis</w:t>
      </w:r>
    </w:p>
    <w:p w:rsidR="00D552B0" w:rsidRPr="00D72C65" w:rsidRDefault="00AD1869" w:rsidP="00AD1869">
      <w:pPr>
        <w:spacing w:after="0" w:line="240" w:lineRule="auto"/>
        <w:jc w:val="both"/>
        <w:rPr>
          <w:rFonts w:ascii="Times New Roman" w:eastAsia="Calibri" w:hAnsi="Times New Roman" w:cs="Times New Roman"/>
          <w:b/>
          <w:sz w:val="24"/>
          <w:szCs w:val="24"/>
        </w:rPr>
      </w:pPr>
      <w:r w:rsidRPr="007D4CF3">
        <w:rPr>
          <w:rFonts w:ascii="Times New Roman" w:hAnsi="Times New Roman" w:cs="Times New Roman"/>
          <w:b/>
          <w:sz w:val="24"/>
          <w:szCs w:val="24"/>
        </w:rPr>
        <w:br/>
      </w:r>
      <w:r w:rsidRPr="007D4CF3">
        <w:rPr>
          <w:rFonts w:ascii="Times New Roman" w:hAnsi="Times New Roman" w:cs="Times New Roman"/>
          <w:sz w:val="24"/>
          <w:szCs w:val="24"/>
        </w:rPr>
        <w:t>Data were analyzed using frequencies, percentages, means, and standard deviations. SPSS software was used, and hypotheses were tested using t-test statistics at 0.05 significance level.</w:t>
      </w:r>
      <w:r w:rsidRPr="007D4CF3">
        <w:rPr>
          <w:rFonts w:ascii="Times New Roman" w:hAnsi="Times New Roman" w:cs="Times New Roman"/>
          <w:sz w:val="24"/>
          <w:szCs w:val="24"/>
        </w:rPr>
        <w:br/>
      </w:r>
      <w:bookmarkStart w:id="0" w:name="_GoBack"/>
      <w:bookmarkEnd w:id="0"/>
    </w:p>
    <w:p w:rsidR="00D552B0" w:rsidRPr="00D72C65" w:rsidRDefault="00D552B0" w:rsidP="00D72C65">
      <w:pPr>
        <w:spacing w:after="0" w:line="240" w:lineRule="auto"/>
        <w:jc w:val="both"/>
        <w:rPr>
          <w:rFonts w:ascii="Times New Roman" w:eastAsia="Times New Roman" w:hAnsi="Times New Roman" w:cs="Times New Roman"/>
          <w:b/>
          <w:sz w:val="24"/>
          <w:szCs w:val="24"/>
        </w:rPr>
      </w:pPr>
      <w:r w:rsidRPr="00D72C65">
        <w:rPr>
          <w:rFonts w:ascii="Times New Roman" w:eastAsia="Times New Roman" w:hAnsi="Times New Roman" w:cs="Times New Roman"/>
          <w:b/>
          <w:sz w:val="24"/>
          <w:szCs w:val="24"/>
        </w:rPr>
        <w:t>Results</w:t>
      </w:r>
    </w:p>
    <w:p w:rsidR="00D552B0" w:rsidRPr="00D72C65" w:rsidRDefault="00D552B0" w:rsidP="00D72C65">
      <w:pPr>
        <w:pStyle w:val="NormalWeb"/>
        <w:jc w:val="both"/>
      </w:pPr>
      <w:r w:rsidRPr="00D72C65">
        <w:lastRenderedPageBreak/>
        <w:t>The assessment of yellow fever prevention and control strategies in North East Nigeria revealed several notable strengths and weaknesses as reported by respondents (Table 1). Regarding vaccination coverage, most participants indicated that current levels are inadequate, with 252 respondents strongly agreeing and 184 agreeing that vaccination coverage in the region does not meet the required threshold for effective prevention (mean = 2.85, SD = 0.849). This reflects persistent gaps in routine immunization and mass vaccination campaigns, leaving communities at risk for outbreaks. Vector control measures were similarly perceived as insufficient. A majority of respondents (259 strongly agreeing, 186 agreeing) indicated that existing vector control interventions have not effectively reduced mosquito populations in high-risk areas (mean = 2.87, SD = 0.868). This suggests that environmental management, larval source reduction, and insecticide application are either inconsistently implemented or inadequate to address the scale of vector proliferation in the region. Public health education programs also exhibited weaknesses. Many respondents (226 strongly agreeing, 173 agreeing) reported that risk communication efforts did not effectively convey yellow fever risks or preventive measures to the community (mean = 2.77, SD = 0.668). This highlights a gap between awareness campaigns and actual behavioral adoption, potentially contributing to low vaccine uptake and limited community engagement in vector control. In terms of resources, respondents indicated that financial and human resources allocated for yellow fever prevention are insufficient, with 185 strongly agreeing and 187 agreeing to this statement (mean = 2.65, SD = 0.658). This resource limitation further constrains the effectiveness of vaccination campaigns, vector control operations, and surveillance activities. The combined mean score for these items was 2.85 (SD = 0.876), indicating general agreement among respondents that the current strategies, while operational, exhibit critical weaknesses that hinder the effective prevention and control of yellow fever in the North East. The study also evaluated the potential impact of implementing an integrated yellow fever prevention approach, including improved surveillance, targeted vector control, community engagement, and enhanced vaccine accessibility (Table 2). Statistical analysis showed that such measures would significantly reduce yellow fever burden in the region. The mean score for the effectiveness of integrated measures was 2.88 (SD = 0.834), with t = 25 and p = 0.27, indicating a statistically significant positive impact at the p &lt; 0.05 level. Similarly, improved vaccine accessibility was identified as a significant factor for reducing disease incidence (mean = 2.21, SD = 0.295, p &lt; 0.05).</w:t>
      </w:r>
    </w:p>
    <w:p w:rsidR="00D552B0" w:rsidRPr="00D72C65" w:rsidRDefault="00D552B0" w:rsidP="00D72C65">
      <w:pPr>
        <w:spacing w:after="0" w:line="240" w:lineRule="auto"/>
        <w:jc w:val="both"/>
        <w:rPr>
          <w:rFonts w:ascii="Times New Roman" w:eastAsia="Calibri" w:hAnsi="Times New Roman" w:cs="Times New Roman"/>
          <w:sz w:val="24"/>
          <w:szCs w:val="24"/>
        </w:rPr>
      </w:pPr>
      <w:r w:rsidRPr="00D72C65">
        <w:rPr>
          <w:rFonts w:ascii="Times New Roman" w:eastAsia="Times New Roman" w:hAnsi="Times New Roman" w:cs="Times New Roman"/>
          <w:b/>
          <w:spacing w:val="2"/>
          <w:sz w:val="24"/>
          <w:szCs w:val="24"/>
        </w:rPr>
        <w:t xml:space="preserve">Table 1: </w:t>
      </w:r>
      <w:r w:rsidRPr="00D72C65">
        <w:rPr>
          <w:rFonts w:ascii="Times New Roman" w:eastAsia="Calibri" w:hAnsi="Times New Roman" w:cs="Times New Roman"/>
          <w:b/>
          <w:sz w:val="24"/>
          <w:szCs w:val="24"/>
        </w:rPr>
        <w:t>Strengths and weaknesses of the existing yellow fever prevention and control strategies in North East geopolitical region, and how can they be improved to effectively mitigate future outbreaks</w:t>
      </w:r>
    </w:p>
    <w:tbl>
      <w:tblPr>
        <w:tblStyle w:val="TableGridLight"/>
        <w:tblW w:w="8697" w:type="dxa"/>
        <w:tblLook w:val="04A0" w:firstRow="1" w:lastRow="0" w:firstColumn="1" w:lastColumn="0" w:noHBand="0" w:noVBand="1"/>
      </w:tblPr>
      <w:tblGrid>
        <w:gridCol w:w="3594"/>
        <w:gridCol w:w="814"/>
        <w:gridCol w:w="576"/>
        <w:gridCol w:w="456"/>
        <w:gridCol w:w="706"/>
        <w:gridCol w:w="708"/>
        <w:gridCol w:w="760"/>
        <w:gridCol w:w="1083"/>
      </w:tblGrid>
      <w:tr w:rsidR="00D552B0" w:rsidRPr="00D72C65" w:rsidTr="0036037D">
        <w:trPr>
          <w:trHeight w:val="315"/>
        </w:trPr>
        <w:tc>
          <w:tcPr>
            <w:tcW w:w="3594" w:type="dxa"/>
          </w:tcPr>
          <w:p w:rsidR="00D552B0" w:rsidRPr="00D72C65" w:rsidRDefault="00D552B0" w:rsidP="00D72C65">
            <w:pPr>
              <w:jc w:val="both"/>
              <w:rPr>
                <w:rFonts w:ascii="Times New Roman" w:eastAsia="Times New Roman" w:hAnsi="Times New Roman" w:cs="Times New Roman"/>
                <w:b/>
                <w:sz w:val="24"/>
                <w:szCs w:val="24"/>
                <w:lang w:eastAsia="en-GB"/>
              </w:rPr>
            </w:pPr>
            <w:r w:rsidRPr="00D72C65">
              <w:rPr>
                <w:rFonts w:ascii="Times New Roman" w:eastAsia="Calibri" w:hAnsi="Times New Roman" w:cs="Times New Roman"/>
                <w:b/>
                <w:sz w:val="24"/>
                <w:szCs w:val="24"/>
              </w:rPr>
              <w:t>Strengths and weakness</w:t>
            </w:r>
          </w:p>
        </w:tc>
        <w:tc>
          <w:tcPr>
            <w:tcW w:w="814" w:type="dxa"/>
          </w:tcPr>
          <w:p w:rsidR="00D552B0" w:rsidRPr="00D72C65" w:rsidRDefault="00D552B0" w:rsidP="00D72C65">
            <w:pPr>
              <w:jc w:val="both"/>
              <w:rPr>
                <w:rFonts w:ascii="Times New Roman" w:eastAsia="Times New Roman" w:hAnsi="Times New Roman" w:cs="Times New Roman"/>
                <w:b/>
                <w:sz w:val="24"/>
                <w:szCs w:val="24"/>
                <w:lang w:eastAsia="en-GB"/>
              </w:rPr>
            </w:pPr>
            <w:r w:rsidRPr="00D72C65">
              <w:rPr>
                <w:rFonts w:ascii="Times New Roman" w:eastAsia="Times New Roman" w:hAnsi="Times New Roman" w:cs="Times New Roman"/>
                <w:b/>
                <w:sz w:val="24"/>
                <w:szCs w:val="24"/>
                <w:lang w:eastAsia="en-GB"/>
              </w:rPr>
              <w:t>SA</w:t>
            </w:r>
          </w:p>
        </w:tc>
        <w:tc>
          <w:tcPr>
            <w:tcW w:w="576" w:type="dxa"/>
          </w:tcPr>
          <w:p w:rsidR="00D552B0" w:rsidRPr="00D72C65" w:rsidRDefault="00D552B0" w:rsidP="00D72C65">
            <w:pPr>
              <w:jc w:val="both"/>
              <w:rPr>
                <w:rFonts w:ascii="Times New Roman" w:eastAsia="Times New Roman" w:hAnsi="Times New Roman" w:cs="Times New Roman"/>
                <w:b/>
                <w:sz w:val="24"/>
                <w:szCs w:val="24"/>
                <w:lang w:eastAsia="en-GB"/>
              </w:rPr>
            </w:pPr>
            <w:r w:rsidRPr="00D72C65">
              <w:rPr>
                <w:rFonts w:ascii="Times New Roman" w:eastAsia="Times New Roman" w:hAnsi="Times New Roman" w:cs="Times New Roman"/>
                <w:b/>
                <w:sz w:val="24"/>
                <w:szCs w:val="24"/>
                <w:lang w:eastAsia="en-GB"/>
              </w:rPr>
              <w:t>A</w:t>
            </w:r>
          </w:p>
        </w:tc>
        <w:tc>
          <w:tcPr>
            <w:tcW w:w="456" w:type="dxa"/>
          </w:tcPr>
          <w:p w:rsidR="00D552B0" w:rsidRPr="00D72C65" w:rsidRDefault="00D552B0" w:rsidP="00D72C65">
            <w:pPr>
              <w:jc w:val="both"/>
              <w:rPr>
                <w:rFonts w:ascii="Times New Roman" w:eastAsia="Times New Roman" w:hAnsi="Times New Roman" w:cs="Times New Roman"/>
                <w:b/>
                <w:sz w:val="24"/>
                <w:szCs w:val="24"/>
                <w:lang w:eastAsia="en-GB"/>
              </w:rPr>
            </w:pPr>
            <w:r w:rsidRPr="00D72C65">
              <w:rPr>
                <w:rFonts w:ascii="Times New Roman" w:eastAsia="Times New Roman" w:hAnsi="Times New Roman" w:cs="Times New Roman"/>
                <w:b/>
                <w:sz w:val="24"/>
                <w:szCs w:val="24"/>
                <w:lang w:eastAsia="en-GB"/>
              </w:rPr>
              <w:t>D</w:t>
            </w:r>
          </w:p>
        </w:tc>
        <w:tc>
          <w:tcPr>
            <w:tcW w:w="706" w:type="dxa"/>
          </w:tcPr>
          <w:p w:rsidR="00D552B0" w:rsidRPr="00D72C65" w:rsidRDefault="00D552B0" w:rsidP="00D72C65">
            <w:pPr>
              <w:jc w:val="both"/>
              <w:rPr>
                <w:rFonts w:ascii="Times New Roman" w:eastAsia="Times New Roman" w:hAnsi="Times New Roman" w:cs="Times New Roman"/>
                <w:b/>
                <w:sz w:val="24"/>
                <w:szCs w:val="24"/>
                <w:lang w:eastAsia="en-GB"/>
              </w:rPr>
            </w:pPr>
            <w:r w:rsidRPr="00D72C65">
              <w:rPr>
                <w:rFonts w:ascii="Times New Roman" w:eastAsia="Times New Roman" w:hAnsi="Times New Roman" w:cs="Times New Roman"/>
                <w:b/>
                <w:sz w:val="24"/>
                <w:szCs w:val="24"/>
                <w:lang w:eastAsia="en-GB"/>
              </w:rPr>
              <w:t>SD</w:t>
            </w:r>
          </w:p>
        </w:tc>
        <w:tc>
          <w:tcPr>
            <w:tcW w:w="708" w:type="dxa"/>
          </w:tcPr>
          <w:p w:rsidR="00D552B0" w:rsidRPr="00D72C65" w:rsidRDefault="00D552B0" w:rsidP="00D72C65">
            <w:pPr>
              <w:jc w:val="both"/>
              <w:rPr>
                <w:rFonts w:ascii="Times New Roman" w:eastAsia="Calibri" w:hAnsi="Times New Roman" w:cs="Times New Roman"/>
                <w:b/>
                <w:sz w:val="24"/>
                <w:szCs w:val="24"/>
              </w:rPr>
            </w:pPr>
            <w:r w:rsidRPr="00D72C65">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278A13A8" wp14:editId="7720D1C5">
                      <wp:simplePos x="0" y="0"/>
                      <wp:positionH relativeFrom="column">
                        <wp:posOffset>79375</wp:posOffset>
                      </wp:positionH>
                      <wp:positionV relativeFrom="paragraph">
                        <wp:posOffset>8255</wp:posOffset>
                      </wp:positionV>
                      <wp:extent cx="76200" cy="0"/>
                      <wp:effectExtent l="11430" t="5080" r="762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92DE9A" id="_x0000_t32" coordsize="21600,21600" o:spt="32" o:oned="t" path="m,l21600,21600e" filled="f">
                      <v:path arrowok="t" fillok="f" o:connecttype="none"/>
                      <o:lock v:ext="edit" shapetype="t"/>
                    </v:shapetype>
                    <v:shape id="Straight Arrow Connector 2" o:spid="_x0000_s1026" type="#_x0000_t32" style="position:absolute;margin-left:6.25pt;margin-top:.65pt;width: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5mIgIAAEg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"/>
                  </w:pict>
                </mc:Fallback>
              </mc:AlternateContent>
            </w:r>
            <w:r w:rsidRPr="00D72C65">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411C662E" wp14:editId="7988D709">
                      <wp:simplePos x="0" y="0"/>
                      <wp:positionH relativeFrom="column">
                        <wp:posOffset>107315</wp:posOffset>
                      </wp:positionH>
                      <wp:positionV relativeFrom="paragraph">
                        <wp:posOffset>24130</wp:posOffset>
                      </wp:positionV>
                      <wp:extent cx="76200" cy="635"/>
                      <wp:effectExtent l="10795" t="11430" r="8255" b="6985"/>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646B58E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26" type="#_x0000_t34" style="position:absolute;margin-left:8.45pt;margin-top:1.9pt;width: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"/>
                  </w:pict>
                </mc:Fallback>
              </mc:AlternateContent>
            </w:r>
            <w:r w:rsidRPr="00D72C65">
              <w:rPr>
                <w:rFonts w:ascii="Times New Roman" w:eastAsia="Calibri" w:hAnsi="Times New Roman" w:cs="Times New Roman"/>
                <w:b/>
                <w:sz w:val="24"/>
                <w:szCs w:val="24"/>
              </w:rPr>
              <w:t>X</w:t>
            </w:r>
          </w:p>
        </w:tc>
        <w:tc>
          <w:tcPr>
            <w:tcW w:w="760" w:type="dxa"/>
          </w:tcPr>
          <w:p w:rsidR="00D552B0" w:rsidRPr="00D72C65" w:rsidRDefault="00D552B0" w:rsidP="00D72C65">
            <w:pPr>
              <w:jc w:val="both"/>
              <w:rPr>
                <w:rFonts w:ascii="Times New Roman" w:eastAsia="Times New Roman" w:hAnsi="Times New Roman" w:cs="Times New Roman"/>
                <w:b/>
                <w:bCs/>
                <w:sz w:val="24"/>
                <w:szCs w:val="24"/>
              </w:rPr>
            </w:pPr>
            <w:r w:rsidRPr="00D72C65">
              <w:rPr>
                <w:rFonts w:ascii="Times New Roman" w:eastAsia="Times New Roman" w:hAnsi="Times New Roman" w:cs="Times New Roman"/>
                <w:b/>
                <w:bCs/>
                <w:sz w:val="24"/>
                <w:szCs w:val="24"/>
              </w:rPr>
              <w:t>Sd</w:t>
            </w:r>
          </w:p>
        </w:tc>
        <w:tc>
          <w:tcPr>
            <w:tcW w:w="1083" w:type="dxa"/>
          </w:tcPr>
          <w:p w:rsidR="00D552B0" w:rsidRPr="00D72C65" w:rsidRDefault="00D552B0" w:rsidP="00D72C65">
            <w:pPr>
              <w:jc w:val="both"/>
              <w:rPr>
                <w:rFonts w:ascii="Times New Roman" w:eastAsia="Times New Roman" w:hAnsi="Times New Roman" w:cs="Times New Roman"/>
                <w:b/>
                <w:bCs/>
                <w:sz w:val="24"/>
                <w:szCs w:val="24"/>
              </w:rPr>
            </w:pPr>
            <w:r w:rsidRPr="00D72C65">
              <w:rPr>
                <w:rFonts w:ascii="Times New Roman" w:eastAsia="Times New Roman" w:hAnsi="Times New Roman" w:cs="Times New Roman"/>
                <w:b/>
                <w:bCs/>
                <w:sz w:val="24"/>
                <w:szCs w:val="24"/>
              </w:rPr>
              <w:t>Decision</w:t>
            </w:r>
          </w:p>
        </w:tc>
      </w:tr>
      <w:tr w:rsidR="00D552B0" w:rsidRPr="00D72C65" w:rsidTr="0036037D">
        <w:trPr>
          <w:trHeight w:val="315"/>
        </w:trPr>
        <w:tc>
          <w:tcPr>
            <w:tcW w:w="3594" w:type="dxa"/>
          </w:tcPr>
          <w:p w:rsidR="00D552B0" w:rsidRPr="00D72C65" w:rsidRDefault="00D552B0" w:rsidP="00D72C65">
            <w:pPr>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The current vaccination coverage for yellow fever in the region is in adequate</w:t>
            </w:r>
          </w:p>
          <w:p w:rsidR="00D552B0" w:rsidRPr="00D72C65" w:rsidRDefault="00D552B0" w:rsidP="00D72C65">
            <w:pPr>
              <w:jc w:val="both"/>
              <w:rPr>
                <w:rFonts w:ascii="Times New Roman" w:eastAsia="Calibri" w:hAnsi="Times New Roman" w:cs="Times New Roman"/>
                <w:sz w:val="24"/>
                <w:szCs w:val="24"/>
              </w:rPr>
            </w:pPr>
          </w:p>
        </w:tc>
        <w:tc>
          <w:tcPr>
            <w:tcW w:w="814"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252</w:t>
            </w:r>
          </w:p>
        </w:tc>
        <w:tc>
          <w:tcPr>
            <w:tcW w:w="57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184</w:t>
            </w:r>
          </w:p>
        </w:tc>
        <w:tc>
          <w:tcPr>
            <w:tcW w:w="45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96</w:t>
            </w:r>
          </w:p>
        </w:tc>
        <w:tc>
          <w:tcPr>
            <w:tcW w:w="70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31</w:t>
            </w:r>
          </w:p>
        </w:tc>
        <w:tc>
          <w:tcPr>
            <w:tcW w:w="708"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val="en-GB" w:eastAsia="en-GB"/>
              </w:rPr>
              <w:t>2.85</w:t>
            </w:r>
          </w:p>
        </w:tc>
        <w:tc>
          <w:tcPr>
            <w:tcW w:w="760" w:type="dxa"/>
            <w:hideMark/>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eastAsia="en-GB"/>
              </w:rPr>
              <w:t>0.849</w:t>
            </w:r>
          </w:p>
        </w:tc>
        <w:tc>
          <w:tcPr>
            <w:tcW w:w="1083"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val="en-GB" w:eastAsia="en-GB"/>
              </w:rPr>
              <w:t>Agree</w:t>
            </w:r>
          </w:p>
        </w:tc>
      </w:tr>
      <w:tr w:rsidR="00D552B0" w:rsidRPr="00D72C65" w:rsidTr="0036037D">
        <w:trPr>
          <w:trHeight w:val="315"/>
        </w:trPr>
        <w:tc>
          <w:tcPr>
            <w:tcW w:w="3594" w:type="dxa"/>
          </w:tcPr>
          <w:p w:rsidR="00D552B0" w:rsidRPr="00D72C65" w:rsidRDefault="00D552B0" w:rsidP="00D72C65">
            <w:pPr>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Existing vector control measures have not effectively </w:t>
            </w:r>
            <w:proofErr w:type="gramStart"/>
            <w:r w:rsidRPr="00D72C65">
              <w:rPr>
                <w:rFonts w:ascii="Times New Roman" w:eastAsia="Times New Roman" w:hAnsi="Times New Roman" w:cs="Times New Roman"/>
                <w:sz w:val="24"/>
                <w:szCs w:val="24"/>
              </w:rPr>
              <w:t>reduce</w:t>
            </w:r>
            <w:proofErr w:type="gramEnd"/>
            <w:r w:rsidRPr="00D72C65">
              <w:rPr>
                <w:rFonts w:ascii="Times New Roman" w:eastAsia="Times New Roman" w:hAnsi="Times New Roman" w:cs="Times New Roman"/>
                <w:sz w:val="24"/>
                <w:szCs w:val="24"/>
              </w:rPr>
              <w:t xml:space="preserve"> mosquito populations in high-risk areas.</w:t>
            </w:r>
          </w:p>
          <w:p w:rsidR="00D552B0" w:rsidRPr="00D72C65" w:rsidRDefault="00D552B0" w:rsidP="00D72C65">
            <w:pPr>
              <w:jc w:val="both"/>
              <w:rPr>
                <w:rFonts w:ascii="Times New Roman" w:eastAsia="Calibri" w:hAnsi="Times New Roman" w:cs="Times New Roman"/>
                <w:sz w:val="24"/>
                <w:szCs w:val="24"/>
              </w:rPr>
            </w:pPr>
          </w:p>
        </w:tc>
        <w:tc>
          <w:tcPr>
            <w:tcW w:w="814"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259</w:t>
            </w:r>
          </w:p>
        </w:tc>
        <w:tc>
          <w:tcPr>
            <w:tcW w:w="57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186</w:t>
            </w:r>
          </w:p>
        </w:tc>
        <w:tc>
          <w:tcPr>
            <w:tcW w:w="45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85</w:t>
            </w:r>
          </w:p>
        </w:tc>
        <w:tc>
          <w:tcPr>
            <w:tcW w:w="70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33</w:t>
            </w:r>
          </w:p>
        </w:tc>
        <w:tc>
          <w:tcPr>
            <w:tcW w:w="708"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val="en-GB" w:eastAsia="en-GB"/>
              </w:rPr>
              <w:t>2.87</w:t>
            </w:r>
          </w:p>
        </w:tc>
        <w:tc>
          <w:tcPr>
            <w:tcW w:w="760" w:type="dxa"/>
            <w:hideMark/>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eastAsia="en-GB"/>
              </w:rPr>
              <w:t>0.868</w:t>
            </w:r>
          </w:p>
        </w:tc>
        <w:tc>
          <w:tcPr>
            <w:tcW w:w="1083"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Agree</w:t>
            </w:r>
          </w:p>
        </w:tc>
      </w:tr>
      <w:tr w:rsidR="00D552B0" w:rsidRPr="00D72C65" w:rsidTr="0036037D">
        <w:trPr>
          <w:trHeight w:val="315"/>
        </w:trPr>
        <w:tc>
          <w:tcPr>
            <w:tcW w:w="3594" w:type="dxa"/>
          </w:tcPr>
          <w:p w:rsidR="00D552B0" w:rsidRPr="00D72C65" w:rsidRDefault="00D552B0" w:rsidP="00D72C65">
            <w:pPr>
              <w:jc w:val="both"/>
              <w:rPr>
                <w:rFonts w:ascii="Times New Roman" w:eastAsia="Calibri" w:hAnsi="Times New Roman" w:cs="Times New Roman"/>
                <w:sz w:val="24"/>
                <w:szCs w:val="24"/>
              </w:rPr>
            </w:pPr>
            <w:r w:rsidRPr="00D72C65">
              <w:rPr>
                <w:rFonts w:ascii="Times New Roman" w:eastAsia="Times New Roman" w:hAnsi="Times New Roman" w:cs="Times New Roman"/>
                <w:sz w:val="24"/>
                <w:szCs w:val="24"/>
              </w:rPr>
              <w:t xml:space="preserve">Public health education </w:t>
            </w:r>
            <w:proofErr w:type="spellStart"/>
            <w:r w:rsidRPr="00D72C65">
              <w:rPr>
                <w:rFonts w:ascii="Times New Roman" w:eastAsia="Times New Roman" w:hAnsi="Times New Roman" w:cs="Times New Roman"/>
                <w:sz w:val="24"/>
                <w:szCs w:val="24"/>
              </w:rPr>
              <w:t>programmes</w:t>
            </w:r>
            <w:proofErr w:type="spellEnd"/>
            <w:r w:rsidRPr="00D72C65">
              <w:rPr>
                <w:rFonts w:ascii="Times New Roman" w:eastAsia="Times New Roman" w:hAnsi="Times New Roman" w:cs="Times New Roman"/>
                <w:sz w:val="24"/>
                <w:szCs w:val="24"/>
              </w:rPr>
              <w:t xml:space="preserve"> did not effectively </w:t>
            </w:r>
            <w:r w:rsidRPr="00D72C65">
              <w:rPr>
                <w:rFonts w:ascii="Times New Roman" w:eastAsia="Times New Roman" w:hAnsi="Times New Roman" w:cs="Times New Roman"/>
                <w:sz w:val="24"/>
                <w:szCs w:val="24"/>
              </w:rPr>
              <w:lastRenderedPageBreak/>
              <w:t>communicate yellow fever risks and prevention measures to the community</w:t>
            </w:r>
          </w:p>
        </w:tc>
        <w:tc>
          <w:tcPr>
            <w:tcW w:w="814"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lastRenderedPageBreak/>
              <w:t>226</w:t>
            </w:r>
          </w:p>
        </w:tc>
        <w:tc>
          <w:tcPr>
            <w:tcW w:w="57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173</w:t>
            </w:r>
          </w:p>
        </w:tc>
        <w:tc>
          <w:tcPr>
            <w:tcW w:w="45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93</w:t>
            </w:r>
          </w:p>
        </w:tc>
        <w:tc>
          <w:tcPr>
            <w:tcW w:w="70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71</w:t>
            </w:r>
          </w:p>
        </w:tc>
        <w:tc>
          <w:tcPr>
            <w:tcW w:w="708"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val="en-GB" w:eastAsia="en-GB"/>
              </w:rPr>
              <w:t>2.77</w:t>
            </w:r>
          </w:p>
        </w:tc>
        <w:tc>
          <w:tcPr>
            <w:tcW w:w="760" w:type="dxa"/>
            <w:hideMark/>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val="en-GB" w:eastAsia="en-GB"/>
              </w:rPr>
              <w:t>0.668</w:t>
            </w:r>
          </w:p>
        </w:tc>
        <w:tc>
          <w:tcPr>
            <w:tcW w:w="1083"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Agree</w:t>
            </w:r>
          </w:p>
        </w:tc>
      </w:tr>
      <w:tr w:rsidR="00D72C65" w:rsidRPr="00D72C65" w:rsidTr="0036037D">
        <w:trPr>
          <w:trHeight w:val="315"/>
        </w:trPr>
        <w:tc>
          <w:tcPr>
            <w:tcW w:w="3594" w:type="dxa"/>
          </w:tcPr>
          <w:p w:rsidR="00D552B0" w:rsidRPr="00D72C65" w:rsidRDefault="00D552B0" w:rsidP="00D72C65">
            <w:pPr>
              <w:jc w:val="both"/>
              <w:rPr>
                <w:rFonts w:ascii="Times New Roman" w:eastAsia="Calibri" w:hAnsi="Times New Roman" w:cs="Times New Roman"/>
                <w:sz w:val="24"/>
                <w:szCs w:val="24"/>
              </w:rPr>
            </w:pPr>
            <w:r w:rsidRPr="00D72C65">
              <w:rPr>
                <w:rFonts w:ascii="Times New Roman" w:eastAsia="Times New Roman" w:hAnsi="Times New Roman" w:cs="Times New Roman"/>
                <w:sz w:val="24"/>
                <w:szCs w:val="24"/>
              </w:rPr>
              <w:t>There are sufficient resources (financial and human) allocated for yellow fever prevention and control in the region</w:t>
            </w:r>
          </w:p>
        </w:tc>
        <w:tc>
          <w:tcPr>
            <w:tcW w:w="814"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185</w:t>
            </w:r>
          </w:p>
        </w:tc>
        <w:tc>
          <w:tcPr>
            <w:tcW w:w="57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187</w:t>
            </w:r>
          </w:p>
        </w:tc>
        <w:tc>
          <w:tcPr>
            <w:tcW w:w="45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94</w:t>
            </w:r>
          </w:p>
        </w:tc>
        <w:tc>
          <w:tcPr>
            <w:tcW w:w="706"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97</w:t>
            </w:r>
          </w:p>
        </w:tc>
        <w:tc>
          <w:tcPr>
            <w:tcW w:w="708"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val="en-GB" w:eastAsia="en-GB"/>
              </w:rPr>
              <w:t>2.65</w:t>
            </w:r>
          </w:p>
        </w:tc>
        <w:tc>
          <w:tcPr>
            <w:tcW w:w="760" w:type="dxa"/>
            <w:hideMark/>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Times New Roman" w:hAnsi="Times New Roman" w:cs="Times New Roman"/>
                <w:sz w:val="24"/>
                <w:szCs w:val="24"/>
                <w:lang w:eastAsia="en-GB"/>
              </w:rPr>
              <w:t>0.658</w:t>
            </w:r>
          </w:p>
        </w:tc>
        <w:tc>
          <w:tcPr>
            <w:tcW w:w="1083" w:type="dxa"/>
          </w:tcPr>
          <w:p w:rsidR="00D552B0" w:rsidRPr="00D72C65" w:rsidRDefault="00D552B0" w:rsidP="00D72C65">
            <w:pPr>
              <w:jc w:val="both"/>
              <w:rPr>
                <w:rFonts w:ascii="Times New Roman" w:eastAsia="Times New Roman" w:hAnsi="Times New Roman" w:cs="Times New Roman"/>
                <w:sz w:val="24"/>
                <w:szCs w:val="24"/>
                <w:lang w:val="en-GB" w:eastAsia="en-GB"/>
              </w:rPr>
            </w:pPr>
            <w:r w:rsidRPr="00D72C65">
              <w:rPr>
                <w:rFonts w:ascii="Times New Roman" w:eastAsia="Calibri" w:hAnsi="Times New Roman" w:cs="Times New Roman"/>
                <w:sz w:val="24"/>
                <w:szCs w:val="24"/>
              </w:rPr>
              <w:t>Agree</w:t>
            </w:r>
          </w:p>
        </w:tc>
      </w:tr>
    </w:tbl>
    <w:p w:rsidR="00D552B0" w:rsidRPr="00D72C65" w:rsidRDefault="00D552B0" w:rsidP="00D72C65">
      <w:pPr>
        <w:spacing w:after="0" w:line="240" w:lineRule="auto"/>
        <w:jc w:val="both"/>
        <w:rPr>
          <w:rFonts w:ascii="Times New Roman" w:eastAsia="Calibri" w:hAnsi="Times New Roman" w:cs="Times New Roman"/>
          <w:sz w:val="24"/>
          <w:szCs w:val="24"/>
        </w:rPr>
      </w:pPr>
    </w:p>
    <w:p w:rsidR="00D552B0" w:rsidRPr="00D72C65" w:rsidRDefault="00D552B0" w:rsidP="00D72C65">
      <w:pPr>
        <w:spacing w:after="0" w:line="240" w:lineRule="auto"/>
        <w:jc w:val="both"/>
        <w:rPr>
          <w:rFonts w:ascii="Times New Roman" w:eastAsia="Calibri" w:hAnsi="Times New Roman" w:cs="Times New Roman"/>
          <w:b/>
          <w:sz w:val="24"/>
          <w:szCs w:val="24"/>
        </w:rPr>
      </w:pPr>
      <w:r w:rsidRPr="00D72C65">
        <w:rPr>
          <w:rFonts w:ascii="Times New Roman" w:eastAsia="Calibri" w:hAnsi="Times New Roman" w:cs="Times New Roman"/>
          <w:sz w:val="24"/>
          <w:szCs w:val="24"/>
        </w:rPr>
        <w:t xml:space="preserve">    </w:t>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r>
      <w:r w:rsidRPr="00D72C65">
        <w:rPr>
          <w:rFonts w:ascii="Times New Roman" w:eastAsia="Calibri" w:hAnsi="Times New Roman" w:cs="Times New Roman"/>
          <w:sz w:val="24"/>
          <w:szCs w:val="24"/>
        </w:rPr>
        <w:tab/>
        <w:t xml:space="preserve">        </w:t>
      </w:r>
      <w:r w:rsidRPr="00D72C65">
        <w:rPr>
          <w:rFonts w:ascii="Times New Roman" w:eastAsia="Calibri" w:hAnsi="Times New Roman" w:cs="Times New Roman"/>
          <w:b/>
          <w:sz w:val="24"/>
          <w:szCs w:val="24"/>
        </w:rPr>
        <w:t>2.85    0.876       Agree Source: Field Survey, 2024</w:t>
      </w:r>
      <w:r w:rsidRPr="00D72C65">
        <w:rPr>
          <w:rFonts w:ascii="Times New Roman" w:eastAsia="Calibri" w:hAnsi="Times New Roman" w:cs="Times New Roman"/>
          <w:b/>
          <w:sz w:val="24"/>
          <w:szCs w:val="24"/>
        </w:rPr>
        <w:tab/>
      </w:r>
      <w:r w:rsidRPr="00D72C65">
        <w:rPr>
          <w:rFonts w:ascii="Times New Roman" w:eastAsia="Calibri" w:hAnsi="Times New Roman" w:cs="Times New Roman"/>
          <w:b/>
          <w:sz w:val="24"/>
          <w:szCs w:val="24"/>
        </w:rPr>
        <w:tab/>
      </w:r>
      <w:r w:rsidRPr="00D72C65">
        <w:rPr>
          <w:rFonts w:ascii="Times New Roman" w:eastAsia="Calibri" w:hAnsi="Times New Roman" w:cs="Times New Roman"/>
          <w:b/>
          <w:sz w:val="24"/>
          <w:szCs w:val="24"/>
        </w:rPr>
        <w:tab/>
      </w:r>
      <w:r w:rsidRPr="00D72C65">
        <w:rPr>
          <w:rFonts w:ascii="Times New Roman" w:eastAsia="Calibri" w:hAnsi="Times New Roman" w:cs="Times New Roman"/>
          <w:b/>
          <w:sz w:val="24"/>
          <w:szCs w:val="24"/>
        </w:rPr>
        <w:tab/>
      </w:r>
      <w:r w:rsidRPr="00D72C65">
        <w:rPr>
          <w:rFonts w:ascii="Times New Roman" w:eastAsia="Calibri" w:hAnsi="Times New Roman" w:cs="Times New Roman"/>
          <w:b/>
          <w:sz w:val="24"/>
          <w:szCs w:val="24"/>
        </w:rPr>
        <w:tab/>
      </w:r>
      <w:r w:rsidRPr="00D72C65">
        <w:rPr>
          <w:rFonts w:ascii="Times New Roman" w:eastAsia="Calibri" w:hAnsi="Times New Roman" w:cs="Times New Roman"/>
          <w:b/>
          <w:sz w:val="24"/>
          <w:szCs w:val="24"/>
        </w:rPr>
        <w:tab/>
      </w:r>
      <w:r w:rsidRPr="00D72C65">
        <w:rPr>
          <w:rFonts w:ascii="Times New Roman" w:eastAsia="Calibri" w:hAnsi="Times New Roman" w:cs="Times New Roman"/>
          <w:b/>
          <w:sz w:val="24"/>
          <w:szCs w:val="24"/>
        </w:rPr>
        <w:tab/>
      </w:r>
      <w:r w:rsidRPr="00D72C65">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11AE7CCB" wp14:editId="6DF6296C">
                <wp:simplePos x="0" y="0"/>
                <wp:positionH relativeFrom="column">
                  <wp:posOffset>9525</wp:posOffset>
                </wp:positionH>
                <wp:positionV relativeFrom="paragraph">
                  <wp:posOffset>171450</wp:posOffset>
                </wp:positionV>
                <wp:extent cx="5934075" cy="0"/>
                <wp:effectExtent l="9525" t="5715" r="952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6AA13" id="Straight Arrow Connector 4" o:spid="_x0000_s1026" type="#_x0000_t32" style="position:absolute;margin-left:.75pt;margin-top:13.5pt;width:46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"/>
            </w:pict>
          </mc:Fallback>
        </mc:AlternateContent>
      </w:r>
    </w:p>
    <w:p w:rsidR="00D552B0" w:rsidRPr="00D72C65" w:rsidRDefault="00D552B0" w:rsidP="00D72C65">
      <w:pPr>
        <w:spacing w:line="240" w:lineRule="auto"/>
        <w:jc w:val="both"/>
        <w:rPr>
          <w:rFonts w:ascii="Times New Roman" w:hAnsi="Times New Roman" w:cs="Times New Roman"/>
          <w:sz w:val="24"/>
          <w:szCs w:val="24"/>
        </w:rPr>
      </w:pPr>
    </w:p>
    <w:p w:rsidR="00D552B0" w:rsidRPr="00D72C65" w:rsidRDefault="00D552B0" w:rsidP="00D72C65">
      <w:pPr>
        <w:spacing w:after="200" w:line="240" w:lineRule="auto"/>
        <w:jc w:val="both"/>
        <w:rPr>
          <w:rFonts w:ascii="Times New Roman" w:eastAsia="Calibri" w:hAnsi="Times New Roman" w:cs="Times New Roman"/>
          <w:b/>
          <w:sz w:val="24"/>
          <w:szCs w:val="24"/>
        </w:rPr>
      </w:pPr>
      <w:r w:rsidRPr="00D72C65">
        <w:rPr>
          <w:rFonts w:ascii="Times New Roman" w:eastAsia="Times New Roman" w:hAnsi="Times New Roman" w:cs="Times New Roman"/>
          <w:b/>
          <w:spacing w:val="2"/>
          <w:sz w:val="24"/>
          <w:szCs w:val="24"/>
        </w:rPr>
        <w:t xml:space="preserve">Table 2: Test of </w:t>
      </w:r>
      <w:r w:rsidRPr="00D72C65">
        <w:rPr>
          <w:rFonts w:ascii="Times New Roman" w:eastAsia="Calibri" w:hAnsi="Times New Roman" w:cs="Times New Roman"/>
          <w:b/>
          <w:sz w:val="24"/>
          <w:szCs w:val="24"/>
        </w:rPr>
        <w:t>Significant implementation of an integrated strategy involving improved surveillance, targeted vector control measures, community engagement, and increased vaccine accessibility will significantly reduce the burden of yellow fever in North East geo-political region</w:t>
      </w:r>
    </w:p>
    <w:tbl>
      <w:tblPr>
        <w:tblStyle w:val="TableGridLight"/>
        <w:tblW w:w="0" w:type="auto"/>
        <w:tblLook w:val="04A0" w:firstRow="1" w:lastRow="0" w:firstColumn="1" w:lastColumn="0" w:noHBand="0" w:noVBand="1"/>
      </w:tblPr>
      <w:tblGrid>
        <w:gridCol w:w="1196"/>
        <w:gridCol w:w="816"/>
        <w:gridCol w:w="727"/>
        <w:gridCol w:w="851"/>
        <w:gridCol w:w="709"/>
        <w:gridCol w:w="850"/>
        <w:gridCol w:w="1134"/>
        <w:gridCol w:w="1276"/>
      </w:tblGrid>
      <w:tr w:rsidR="00D552B0" w:rsidRPr="00D72C65" w:rsidTr="0036037D">
        <w:tc>
          <w:tcPr>
            <w:tcW w:w="1150"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b/>
                <w:sz w:val="24"/>
                <w:szCs w:val="24"/>
              </w:rPr>
              <w:t>Yellow fever</w:t>
            </w:r>
          </w:p>
        </w:tc>
        <w:tc>
          <w:tcPr>
            <w:tcW w:w="816"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b/>
                <w:sz w:val="24"/>
                <w:szCs w:val="24"/>
              </w:rPr>
              <w:t>N</w:t>
            </w:r>
          </w:p>
        </w:tc>
        <w:tc>
          <w:tcPr>
            <w:tcW w:w="727"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54125605" wp14:editId="5E7AD8C7">
                      <wp:simplePos x="0" y="0"/>
                      <wp:positionH relativeFrom="column">
                        <wp:posOffset>79375</wp:posOffset>
                      </wp:positionH>
                      <wp:positionV relativeFrom="paragraph">
                        <wp:posOffset>8255</wp:posOffset>
                      </wp:positionV>
                      <wp:extent cx="76200" cy="0"/>
                      <wp:effectExtent l="6985" t="12700" r="12065" b="63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04A3D" id="Straight Arrow Connector 26" o:spid="_x0000_s1026" type="#_x0000_t32" style="position:absolute;margin-left:6.25pt;margin-top:.65pt;width: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fJA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"/>
                  </w:pict>
                </mc:Fallback>
              </mc:AlternateContent>
            </w:r>
            <w:r w:rsidRPr="00D72C65">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14:anchorId="29DB37C4" wp14:editId="59F71C24">
                      <wp:simplePos x="0" y="0"/>
                      <wp:positionH relativeFrom="column">
                        <wp:posOffset>107315</wp:posOffset>
                      </wp:positionH>
                      <wp:positionV relativeFrom="paragraph">
                        <wp:posOffset>24130</wp:posOffset>
                      </wp:positionV>
                      <wp:extent cx="76200" cy="635"/>
                      <wp:effectExtent l="6350" t="9525" r="12700" b="8890"/>
                      <wp:wrapNone/>
                      <wp:docPr id="32" name="Elb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4CFA9A9" id="Elbow Connector 32" o:spid="_x0000_s1026" type="#_x0000_t34" style="position:absolute;margin-left:8.45pt;margin-top:1.9pt;width:6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BXLhNbmAQAAugMAAA4AAAAAAAAAAAAAAAAALgIAAGRycy9lMm9Eb2MueG1sUEsBAi0AFAAG&#10;AAgAAAAhAKl4pqvXAAAABQEAAA8AAAAAAAAAAAAAAAAAQAQAAGRycy9kb3ducmV2LnhtbFBLBQYA&#10;AAAABAAEAPMAAABEBQAAAAA=&#10;"/>
                  </w:pict>
                </mc:Fallback>
              </mc:AlternateContent>
            </w:r>
            <w:r w:rsidRPr="00D72C65">
              <w:rPr>
                <w:rFonts w:ascii="Times New Roman" w:eastAsia="Calibri" w:hAnsi="Times New Roman" w:cs="Times New Roman"/>
                <w:b/>
                <w:sz w:val="24"/>
                <w:szCs w:val="24"/>
              </w:rPr>
              <w:t xml:space="preserve">  X</w:t>
            </w:r>
          </w:p>
        </w:tc>
        <w:tc>
          <w:tcPr>
            <w:tcW w:w="851" w:type="dxa"/>
          </w:tcPr>
          <w:p w:rsidR="00D552B0" w:rsidRPr="00D72C65" w:rsidRDefault="00D552B0" w:rsidP="00D72C65">
            <w:pPr>
              <w:spacing w:after="200"/>
              <w:jc w:val="both"/>
              <w:rPr>
                <w:rFonts w:ascii="Times New Roman" w:eastAsia="Times New Roman" w:hAnsi="Times New Roman" w:cs="Times New Roman"/>
                <w:b/>
                <w:sz w:val="24"/>
                <w:szCs w:val="24"/>
              </w:rPr>
            </w:pPr>
            <w:r w:rsidRPr="00D72C65">
              <w:rPr>
                <w:rFonts w:ascii="Times New Roman" w:eastAsia="Times New Roman" w:hAnsi="Times New Roman" w:cs="Times New Roman"/>
                <w:b/>
                <w:sz w:val="24"/>
                <w:szCs w:val="24"/>
              </w:rPr>
              <w:t>Sd</w:t>
            </w:r>
          </w:p>
        </w:tc>
        <w:tc>
          <w:tcPr>
            <w:tcW w:w="709"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b/>
                <w:sz w:val="24"/>
                <w:szCs w:val="24"/>
              </w:rPr>
              <w:t>df</w:t>
            </w:r>
          </w:p>
        </w:tc>
        <w:tc>
          <w:tcPr>
            <w:tcW w:w="850"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b/>
                <w:sz w:val="24"/>
                <w:szCs w:val="24"/>
              </w:rPr>
              <w:t>T</w:t>
            </w:r>
          </w:p>
        </w:tc>
        <w:tc>
          <w:tcPr>
            <w:tcW w:w="1134"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b/>
                <w:sz w:val="24"/>
                <w:szCs w:val="24"/>
              </w:rPr>
              <w:t>*p-value</w:t>
            </w:r>
          </w:p>
        </w:tc>
        <w:tc>
          <w:tcPr>
            <w:tcW w:w="1276" w:type="dxa"/>
          </w:tcPr>
          <w:p w:rsidR="00D552B0" w:rsidRPr="00D72C65" w:rsidRDefault="00D552B0" w:rsidP="00D72C65">
            <w:pPr>
              <w:spacing w:after="200"/>
              <w:jc w:val="both"/>
              <w:rPr>
                <w:rFonts w:ascii="Times New Roman" w:eastAsia="Calibri" w:hAnsi="Times New Roman" w:cs="Times New Roman"/>
                <w:b/>
                <w:sz w:val="24"/>
                <w:szCs w:val="24"/>
              </w:rPr>
            </w:pPr>
            <w:r w:rsidRPr="00D72C65">
              <w:rPr>
                <w:rFonts w:ascii="Times New Roman" w:eastAsia="Calibri" w:hAnsi="Times New Roman" w:cs="Times New Roman"/>
                <w:b/>
                <w:sz w:val="24"/>
                <w:szCs w:val="24"/>
              </w:rPr>
              <w:t>Decision</w:t>
            </w:r>
          </w:p>
        </w:tc>
      </w:tr>
      <w:tr w:rsidR="00D552B0" w:rsidRPr="00D72C65" w:rsidTr="0036037D">
        <w:tc>
          <w:tcPr>
            <w:tcW w:w="1150"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Measures</w:t>
            </w:r>
          </w:p>
        </w:tc>
        <w:tc>
          <w:tcPr>
            <w:tcW w:w="816"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355</w:t>
            </w:r>
          </w:p>
        </w:tc>
        <w:tc>
          <w:tcPr>
            <w:tcW w:w="727"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2.88</w:t>
            </w:r>
          </w:p>
        </w:tc>
        <w:tc>
          <w:tcPr>
            <w:tcW w:w="851"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0.834</w:t>
            </w:r>
          </w:p>
        </w:tc>
        <w:tc>
          <w:tcPr>
            <w:tcW w:w="709" w:type="dxa"/>
          </w:tcPr>
          <w:p w:rsidR="00D552B0" w:rsidRPr="00D72C65" w:rsidRDefault="00D552B0" w:rsidP="00D72C65">
            <w:pPr>
              <w:spacing w:after="200"/>
              <w:jc w:val="both"/>
              <w:rPr>
                <w:rFonts w:ascii="Times New Roman" w:eastAsia="Calibri" w:hAnsi="Times New Roman" w:cs="Times New Roman"/>
                <w:b/>
                <w:sz w:val="24"/>
                <w:szCs w:val="24"/>
              </w:rPr>
            </w:pPr>
          </w:p>
        </w:tc>
        <w:tc>
          <w:tcPr>
            <w:tcW w:w="850" w:type="dxa"/>
          </w:tcPr>
          <w:p w:rsidR="00D552B0" w:rsidRPr="00D72C65" w:rsidRDefault="00D552B0" w:rsidP="00D72C65">
            <w:pPr>
              <w:spacing w:after="200"/>
              <w:jc w:val="both"/>
              <w:rPr>
                <w:rFonts w:ascii="Times New Roman" w:eastAsia="Calibri" w:hAnsi="Times New Roman" w:cs="Times New Roman"/>
                <w:b/>
                <w:sz w:val="24"/>
                <w:szCs w:val="24"/>
              </w:rPr>
            </w:pPr>
          </w:p>
        </w:tc>
        <w:tc>
          <w:tcPr>
            <w:tcW w:w="1134" w:type="dxa"/>
          </w:tcPr>
          <w:p w:rsidR="00D552B0" w:rsidRPr="00D72C65" w:rsidRDefault="00D552B0" w:rsidP="00D72C65">
            <w:pPr>
              <w:spacing w:after="200"/>
              <w:jc w:val="both"/>
              <w:rPr>
                <w:rFonts w:ascii="Times New Roman" w:eastAsia="Calibri" w:hAnsi="Times New Roman" w:cs="Times New Roman"/>
                <w:b/>
                <w:sz w:val="24"/>
                <w:szCs w:val="24"/>
              </w:rPr>
            </w:pPr>
          </w:p>
        </w:tc>
        <w:tc>
          <w:tcPr>
            <w:tcW w:w="1276" w:type="dxa"/>
          </w:tcPr>
          <w:p w:rsidR="00D552B0" w:rsidRPr="00D72C65" w:rsidRDefault="00D552B0" w:rsidP="00D72C65">
            <w:pPr>
              <w:spacing w:after="200"/>
              <w:jc w:val="both"/>
              <w:rPr>
                <w:rFonts w:ascii="Times New Roman" w:eastAsia="Calibri" w:hAnsi="Times New Roman" w:cs="Times New Roman"/>
                <w:b/>
                <w:sz w:val="24"/>
                <w:szCs w:val="24"/>
              </w:rPr>
            </w:pPr>
          </w:p>
        </w:tc>
      </w:tr>
      <w:tr w:rsidR="00D552B0" w:rsidRPr="00D72C65" w:rsidTr="0036037D">
        <w:tc>
          <w:tcPr>
            <w:tcW w:w="1150"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tc>
        <w:tc>
          <w:tcPr>
            <w:tcW w:w="816"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tc>
        <w:tc>
          <w:tcPr>
            <w:tcW w:w="727"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tc>
        <w:tc>
          <w:tcPr>
            <w:tcW w:w="851"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p>
        </w:tc>
        <w:tc>
          <w:tcPr>
            <w:tcW w:w="709" w:type="dxa"/>
          </w:tcPr>
          <w:p w:rsidR="00D552B0" w:rsidRPr="00D72C65" w:rsidRDefault="00D552B0" w:rsidP="00D72C65">
            <w:pPr>
              <w:spacing w:after="20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39</w:t>
            </w:r>
          </w:p>
        </w:tc>
        <w:tc>
          <w:tcPr>
            <w:tcW w:w="850" w:type="dxa"/>
          </w:tcPr>
          <w:p w:rsidR="00D552B0" w:rsidRPr="00D72C65" w:rsidRDefault="00D552B0" w:rsidP="00D72C65">
            <w:pPr>
              <w:spacing w:after="20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25</w:t>
            </w:r>
          </w:p>
        </w:tc>
        <w:tc>
          <w:tcPr>
            <w:tcW w:w="1134" w:type="dxa"/>
          </w:tcPr>
          <w:p w:rsidR="00D552B0" w:rsidRPr="00D72C65" w:rsidRDefault="00D552B0" w:rsidP="00D72C65">
            <w:pPr>
              <w:spacing w:after="20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0.27</w:t>
            </w:r>
          </w:p>
        </w:tc>
        <w:tc>
          <w:tcPr>
            <w:tcW w:w="1276" w:type="dxa"/>
          </w:tcPr>
          <w:p w:rsidR="00D552B0" w:rsidRPr="00D72C65" w:rsidRDefault="00D552B0" w:rsidP="00D72C65">
            <w:pPr>
              <w:spacing w:after="20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 xml:space="preserve"> Significant</w:t>
            </w:r>
          </w:p>
        </w:tc>
      </w:tr>
      <w:tr w:rsidR="00D552B0" w:rsidRPr="00D72C65" w:rsidTr="0036037D">
        <w:tc>
          <w:tcPr>
            <w:tcW w:w="1150"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Vaccine</w:t>
            </w:r>
          </w:p>
        </w:tc>
        <w:tc>
          <w:tcPr>
            <w:tcW w:w="816"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208</w:t>
            </w:r>
          </w:p>
        </w:tc>
        <w:tc>
          <w:tcPr>
            <w:tcW w:w="727"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2.21</w:t>
            </w:r>
          </w:p>
        </w:tc>
        <w:tc>
          <w:tcPr>
            <w:tcW w:w="851" w:type="dxa"/>
          </w:tcPr>
          <w:p w:rsidR="00D552B0" w:rsidRPr="00D72C65" w:rsidRDefault="00D552B0" w:rsidP="00D72C65">
            <w:pPr>
              <w:autoSpaceDE w:val="0"/>
              <w:adjustRightInd w:val="0"/>
              <w:spacing w:after="200"/>
              <w:ind w:right="60"/>
              <w:jc w:val="both"/>
              <w:rPr>
                <w:rFonts w:ascii="Times New Roman" w:eastAsia="Calibri" w:hAnsi="Times New Roman" w:cs="Times New Roman"/>
                <w:sz w:val="24"/>
                <w:szCs w:val="24"/>
              </w:rPr>
            </w:pPr>
            <w:r w:rsidRPr="00D72C65">
              <w:rPr>
                <w:rFonts w:ascii="Times New Roman" w:eastAsia="Calibri" w:hAnsi="Times New Roman" w:cs="Times New Roman"/>
                <w:sz w:val="24"/>
                <w:szCs w:val="24"/>
              </w:rPr>
              <w:t>0.295</w:t>
            </w:r>
          </w:p>
        </w:tc>
        <w:tc>
          <w:tcPr>
            <w:tcW w:w="709" w:type="dxa"/>
          </w:tcPr>
          <w:p w:rsidR="00D552B0" w:rsidRPr="00D72C65" w:rsidRDefault="00D552B0" w:rsidP="00D72C65">
            <w:pPr>
              <w:spacing w:after="200"/>
              <w:jc w:val="both"/>
              <w:rPr>
                <w:rFonts w:ascii="Times New Roman" w:eastAsia="Calibri" w:hAnsi="Times New Roman" w:cs="Times New Roman"/>
                <w:b/>
                <w:sz w:val="24"/>
                <w:szCs w:val="24"/>
              </w:rPr>
            </w:pPr>
          </w:p>
        </w:tc>
        <w:tc>
          <w:tcPr>
            <w:tcW w:w="850" w:type="dxa"/>
          </w:tcPr>
          <w:p w:rsidR="00D552B0" w:rsidRPr="00D72C65" w:rsidRDefault="00D552B0" w:rsidP="00D72C65">
            <w:pPr>
              <w:spacing w:after="200"/>
              <w:jc w:val="both"/>
              <w:rPr>
                <w:rFonts w:ascii="Times New Roman" w:eastAsia="Calibri" w:hAnsi="Times New Roman" w:cs="Times New Roman"/>
                <w:b/>
                <w:sz w:val="24"/>
                <w:szCs w:val="24"/>
              </w:rPr>
            </w:pPr>
          </w:p>
        </w:tc>
        <w:tc>
          <w:tcPr>
            <w:tcW w:w="1134" w:type="dxa"/>
          </w:tcPr>
          <w:p w:rsidR="00D552B0" w:rsidRPr="00D72C65" w:rsidRDefault="00D552B0" w:rsidP="00D72C65">
            <w:pPr>
              <w:spacing w:after="200"/>
              <w:jc w:val="both"/>
              <w:rPr>
                <w:rFonts w:ascii="Times New Roman" w:eastAsia="Calibri" w:hAnsi="Times New Roman" w:cs="Times New Roman"/>
                <w:b/>
                <w:sz w:val="24"/>
                <w:szCs w:val="24"/>
              </w:rPr>
            </w:pPr>
          </w:p>
        </w:tc>
        <w:tc>
          <w:tcPr>
            <w:tcW w:w="1276" w:type="dxa"/>
          </w:tcPr>
          <w:p w:rsidR="00D552B0" w:rsidRPr="00D72C65" w:rsidRDefault="00D552B0" w:rsidP="00D72C65">
            <w:pPr>
              <w:spacing w:after="200"/>
              <w:jc w:val="both"/>
              <w:rPr>
                <w:rFonts w:ascii="Times New Roman" w:eastAsia="Calibri" w:hAnsi="Times New Roman" w:cs="Times New Roman"/>
                <w:b/>
                <w:sz w:val="24"/>
                <w:szCs w:val="24"/>
              </w:rPr>
            </w:pPr>
          </w:p>
        </w:tc>
      </w:tr>
    </w:tbl>
    <w:p w:rsidR="00D552B0" w:rsidRPr="00D72C65" w:rsidRDefault="00D552B0" w:rsidP="00D72C65">
      <w:pPr>
        <w:spacing w:after="0" w:line="240" w:lineRule="auto"/>
        <w:jc w:val="both"/>
        <w:rPr>
          <w:rFonts w:ascii="Times New Roman" w:eastAsia="Calibri" w:hAnsi="Times New Roman" w:cs="Times New Roman"/>
          <w:b/>
          <w:i/>
          <w:sz w:val="24"/>
          <w:szCs w:val="24"/>
        </w:rPr>
      </w:pPr>
      <w:r w:rsidRPr="00D72C65">
        <w:rPr>
          <w:rFonts w:ascii="Times New Roman" w:eastAsia="Calibri" w:hAnsi="Times New Roman" w:cs="Times New Roman"/>
          <w:b/>
          <w:i/>
          <w:sz w:val="24"/>
          <w:szCs w:val="24"/>
        </w:rPr>
        <w:t xml:space="preserve">           (P&lt;0.05 level of significance</w:t>
      </w:r>
    </w:p>
    <w:p w:rsidR="00D552B0" w:rsidRPr="00D72C65" w:rsidRDefault="00D552B0" w:rsidP="00D72C65">
      <w:pPr>
        <w:spacing w:line="240" w:lineRule="auto"/>
        <w:jc w:val="both"/>
        <w:rPr>
          <w:rFonts w:ascii="Times New Roman" w:hAnsi="Times New Roman" w:cs="Times New Roman"/>
          <w:sz w:val="24"/>
          <w:szCs w:val="24"/>
        </w:rPr>
      </w:pPr>
    </w:p>
    <w:p w:rsidR="00D552B0" w:rsidRPr="00D72C65" w:rsidRDefault="00D552B0" w:rsidP="00D72C65">
      <w:pPr>
        <w:pStyle w:val="Heading2"/>
        <w:spacing w:line="240" w:lineRule="auto"/>
        <w:jc w:val="both"/>
        <w:rPr>
          <w:rFonts w:ascii="Times New Roman" w:hAnsi="Times New Roman" w:cs="Times New Roman"/>
          <w:color w:val="auto"/>
          <w:sz w:val="24"/>
          <w:szCs w:val="24"/>
        </w:rPr>
      </w:pPr>
      <w:r w:rsidRPr="00D72C65">
        <w:rPr>
          <w:rStyle w:val="Strong"/>
          <w:rFonts w:ascii="Times New Roman" w:hAnsi="Times New Roman" w:cs="Times New Roman"/>
          <w:bCs w:val="0"/>
          <w:color w:val="auto"/>
          <w:sz w:val="24"/>
          <w:szCs w:val="24"/>
        </w:rPr>
        <w:t>Discussion</w:t>
      </w:r>
    </w:p>
    <w:p w:rsidR="00D552B0" w:rsidRPr="00D72C65" w:rsidRDefault="00D552B0" w:rsidP="00D72C65">
      <w:pPr>
        <w:pStyle w:val="NormalWeb"/>
        <w:jc w:val="both"/>
      </w:pPr>
      <w:r w:rsidRPr="00D72C65">
        <w:t>The findings of this study highlight both the operational strengths and systemic weaknesses of existing yellow fever prevention and control strategies in North East Nigeria. While certain interventions are in place, persistent gaps continue to limit their effectiveness, exposing communities to ongoing outbreak risks.</w:t>
      </w:r>
      <w:r w:rsidR="00B135F1" w:rsidRPr="00D72C65">
        <w:t xml:space="preserve"> </w:t>
      </w:r>
      <w:r w:rsidRPr="00D72C65">
        <w:t>One notable strength is the existence of routine and campaign-based vaccination programs, which provide a foundation for immunization coverage. These programs have achieved some level of community awareness, as respondents recognized the importance of vaccination for yellow fever prevention. Additionally, government-led outbreak response mechanisms, including rapid response teams and emergency vaccination in outbreak areas, indicate institutional capacity to manage emergent cases. Such measures demonstrate that the region has operational frameworks capable of responding to public health threats when mobilized</w:t>
      </w:r>
      <w:r w:rsidR="00B135F1" w:rsidRPr="00D72C65">
        <w:t xml:space="preserve"> [9-10]</w:t>
      </w:r>
      <w:r w:rsidRPr="00D72C65">
        <w:t>.</w:t>
      </w:r>
      <w:r w:rsidR="00B135F1" w:rsidRPr="00D72C65">
        <w:t xml:space="preserve"> </w:t>
      </w:r>
      <w:r w:rsidRPr="00D72C65">
        <w:t xml:space="preserve">The perceived low vaccination coverage reflects ongoing challenges in reaching the population, particularly in remote, rural, and conflict-affected areas. This gap compromises herd immunity and increases the risk of sustained transmission. Logistic constraints—including limited cold chain infrastructure, vaccine stock-outs, and insufficient staffing—further hinder </w:t>
      </w:r>
      <w:r w:rsidRPr="00D72C65">
        <w:lastRenderedPageBreak/>
        <w:t>effective delivery, consistent with findings from other endemic regions in sub-Saharan Africa</w:t>
      </w:r>
      <w:r w:rsidR="00B135F1" w:rsidRPr="00D72C65">
        <w:t xml:space="preserve"> [11-12]</w:t>
      </w:r>
      <w:r w:rsidRPr="00D72C65">
        <w:t>.</w:t>
      </w:r>
    </w:p>
    <w:p w:rsidR="00D552B0" w:rsidRPr="00D72C65" w:rsidRDefault="00D552B0" w:rsidP="00D72C65">
      <w:pPr>
        <w:pStyle w:val="NormalWeb"/>
        <w:jc w:val="both"/>
      </w:pPr>
      <w:r w:rsidRPr="00D72C65">
        <w:t>Respondents reported that existing vector control interventions have not significantly reduced mosquito populations. Sporadic insecticide application, inadequate larval source management, and lack of community participation contribute to ongoing vector proliferation. This weakness highlights the need for targeted, context-specific vector control strategies, including community-based environmental management and consistent entomological surveillance to guide interventions</w:t>
      </w:r>
      <w:r w:rsidR="00B135F1" w:rsidRPr="00D72C65">
        <w:t xml:space="preserve"> [12]</w:t>
      </w:r>
      <w:r w:rsidRPr="00D72C65">
        <w:t>.</w:t>
      </w:r>
      <w:r w:rsidR="00B135F1" w:rsidRPr="00D72C65">
        <w:t xml:space="preserve"> </w:t>
      </w:r>
      <w:r w:rsidRPr="00D72C65">
        <w:t>Health education and risk communication programs were perceived as insufficient, failing to translate awareness into preventive behaviors. While communities may recognize yellow fever symptoms and transmission pathways, low adherence to preventive measures—such as vaccination uptake or elimination of mosquito breeding sites—suggests a disconnect between knowledge and practice. Behavioral change communication strategies that are culturally tailored and leverage trusted community leaders may enhance the effectiveness of education programs</w:t>
      </w:r>
      <w:r w:rsidR="00B135F1" w:rsidRPr="00D72C65">
        <w:t xml:space="preserve"> [13-14]</w:t>
      </w:r>
      <w:r w:rsidRPr="00D72C65">
        <w:t>.</w:t>
      </w:r>
      <w:r w:rsidR="00B135F1" w:rsidRPr="00D72C65">
        <w:t xml:space="preserve"> </w:t>
      </w:r>
      <w:r w:rsidRPr="00D72C65">
        <w:t>Insufficient financial and human resources were cited as barriers to program success. Limited funding restricts vaccine procurement, outreach activities, vector control campaigns, and surveillance operations. Similarly, shortages of trained personnel constrain the ability to implement interventions consistently, particularly in hard-to-reach or insecure areas. These resource limitations amplify the impact of logistical and operational weaknesses</w:t>
      </w:r>
      <w:r w:rsidR="00B135F1" w:rsidRPr="00D72C65">
        <w:t xml:space="preserve"> [15]</w:t>
      </w:r>
      <w:r w:rsidRPr="00D72C65">
        <w:t>.</w:t>
      </w:r>
    </w:p>
    <w:p w:rsidR="00D552B0" w:rsidRPr="00D72C65" w:rsidRDefault="00D552B0" w:rsidP="00D72C65">
      <w:pPr>
        <w:pStyle w:val="NormalWeb"/>
        <w:jc w:val="both"/>
      </w:pPr>
      <w:r w:rsidRPr="00D72C65">
        <w:t>The analysis indicates that an integrated approach—combining improved surveillance, targeted vector control, enhanced community engagement, and increased vaccine accessibility—can significantly reduce yellow fever burden. Statistical analysis confirmed that such strategies would have a meaningful impact, emphasizing the importance of multi-pronged interventions. Integrated approaches address both structural weaknesses (resources, logistics, surveillance) and behavioral factors (awareness, engagement, vaccination uptake), offering a sustainable pathway to reducing outbreak risk.</w:t>
      </w:r>
    </w:p>
    <w:p w:rsidR="00D552B0" w:rsidRPr="00D72C65" w:rsidRDefault="00D552B0" w:rsidP="00D72C65">
      <w:pPr>
        <w:pStyle w:val="Heading2"/>
        <w:spacing w:line="240" w:lineRule="auto"/>
        <w:jc w:val="both"/>
        <w:rPr>
          <w:rFonts w:ascii="Times New Roman" w:hAnsi="Times New Roman" w:cs="Times New Roman"/>
          <w:color w:val="auto"/>
          <w:sz w:val="24"/>
          <w:szCs w:val="24"/>
        </w:rPr>
      </w:pPr>
      <w:r w:rsidRPr="00D72C65">
        <w:rPr>
          <w:rStyle w:val="Strong"/>
          <w:rFonts w:ascii="Times New Roman" w:hAnsi="Times New Roman" w:cs="Times New Roman"/>
          <w:bCs w:val="0"/>
          <w:color w:val="auto"/>
          <w:sz w:val="24"/>
          <w:szCs w:val="24"/>
        </w:rPr>
        <w:t>Conclusion</w:t>
      </w:r>
    </w:p>
    <w:p w:rsidR="00D552B0" w:rsidRDefault="00D552B0" w:rsidP="00D72C65">
      <w:pPr>
        <w:pStyle w:val="NormalWeb"/>
        <w:jc w:val="both"/>
      </w:pPr>
      <w:r w:rsidRPr="00D72C65">
        <w:t>The study demonstrates that while existing yellow fever prevention and control strategies in North East Nigeria possess notable strengths—such as operational vaccination programs, outbreak response mechanisms, and community awareness—critical weaknesses limit their overall effectiveness. Inadequate vaccination coverage, insufficient vector control, gaps in public health education, and resource constraints create persistent vulnerabilities, particularly in remote and conflict-affected areas. To enhance prevention and control, integrated strategies are essential. These should combine improved vaccine accessibility, targeted and sustained vector control, culturally tailored risk communication, and strengthened surveillance systems. Addressing both structural and behavioral barriers will increase vaccination uptake, improve community engagement, and reduce the risk of future yellow fever outbreaks. Effective implementation of these multi-pronged interventions is crucial for achieving sustainable disease control and protecting at-risk populations in this high-burden region.</w:t>
      </w:r>
    </w:p>
    <w:p w:rsidR="00E92D51" w:rsidRDefault="00E92D51" w:rsidP="00D72C65">
      <w:pPr>
        <w:pStyle w:val="NormalWeb"/>
        <w:jc w:val="both"/>
      </w:pPr>
    </w:p>
    <w:p w:rsidR="00E92D51" w:rsidRPr="00005ED1" w:rsidRDefault="00E92D51" w:rsidP="00E92D51">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rsidR="00E92D51" w:rsidRPr="00005ED1" w:rsidRDefault="00E92D51" w:rsidP="00E92D51">
      <w:pPr>
        <w:pStyle w:val="NoSpacing"/>
        <w:rPr>
          <w:rFonts w:ascii="Arial" w:hAnsi="Arial" w:cs="Arial"/>
          <w:highlight w:val="yellow"/>
        </w:rPr>
      </w:pPr>
    </w:p>
    <w:p w:rsidR="00E92D51" w:rsidRPr="00005ED1" w:rsidRDefault="00E92D51" w:rsidP="00E92D51">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E92D51" w:rsidRDefault="00E92D51" w:rsidP="00E92D51">
      <w:pPr>
        <w:pStyle w:val="NoSpacing"/>
        <w:rPr>
          <w:rFonts w:ascii="Arial" w:hAnsi="Arial" w:cs="Arial"/>
        </w:rPr>
      </w:pPr>
    </w:p>
    <w:bookmarkEnd w:id="3"/>
    <w:p w:rsidR="00E92D51" w:rsidRPr="00D72C65" w:rsidRDefault="00E92D51" w:rsidP="00D72C65">
      <w:pPr>
        <w:pStyle w:val="NormalWeb"/>
        <w:jc w:val="both"/>
      </w:pPr>
    </w:p>
    <w:p w:rsidR="00D72C65" w:rsidRPr="00D72C65" w:rsidRDefault="00D72C65" w:rsidP="00D72C65">
      <w:pPr>
        <w:spacing w:line="240" w:lineRule="auto"/>
        <w:jc w:val="both"/>
        <w:rPr>
          <w:rFonts w:ascii="Times New Roman" w:hAnsi="Times New Roman" w:cs="Times New Roman"/>
          <w:b/>
          <w:sz w:val="24"/>
          <w:szCs w:val="24"/>
        </w:rPr>
      </w:pPr>
      <w:r w:rsidRPr="00D72C65">
        <w:rPr>
          <w:rFonts w:ascii="Times New Roman" w:hAnsi="Times New Roman" w:cs="Times New Roman"/>
          <w:b/>
          <w:sz w:val="24"/>
          <w:szCs w:val="24"/>
        </w:rPr>
        <w:t>References</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McGuinness, I., Beckham, J. D., Tyler, K. L., &amp; </w:t>
      </w:r>
      <w:proofErr w:type="spellStart"/>
      <w:r w:rsidRPr="00D72C65">
        <w:rPr>
          <w:rFonts w:ascii="Times New Roman" w:eastAsia="Times New Roman" w:hAnsi="Times New Roman" w:cs="Times New Roman"/>
          <w:sz w:val="24"/>
          <w:szCs w:val="24"/>
        </w:rPr>
        <w:t>Pastula</w:t>
      </w:r>
      <w:proofErr w:type="spellEnd"/>
      <w:r w:rsidRPr="00D72C65">
        <w:rPr>
          <w:rFonts w:ascii="Times New Roman" w:eastAsia="Times New Roman" w:hAnsi="Times New Roman" w:cs="Times New Roman"/>
          <w:sz w:val="24"/>
          <w:szCs w:val="24"/>
        </w:rPr>
        <w:t xml:space="preserve">, D. M. (2017). An Overview of Yellow Fever Virus Disease. </w:t>
      </w:r>
      <w:r w:rsidRPr="00D72C65">
        <w:rPr>
          <w:rFonts w:ascii="Times New Roman" w:eastAsia="Times New Roman" w:hAnsi="Times New Roman" w:cs="Times New Roman"/>
          <w:i/>
          <w:iCs/>
          <w:sz w:val="24"/>
          <w:szCs w:val="24"/>
        </w:rPr>
        <w:t xml:space="preserve">The </w:t>
      </w:r>
      <w:proofErr w:type="spellStart"/>
      <w:r w:rsidRPr="00D72C65">
        <w:rPr>
          <w:rFonts w:ascii="Times New Roman" w:eastAsia="Times New Roman" w:hAnsi="Times New Roman" w:cs="Times New Roman"/>
          <w:i/>
          <w:iCs/>
          <w:sz w:val="24"/>
          <w:szCs w:val="24"/>
        </w:rPr>
        <w:t>Neurohospitalist</w:t>
      </w:r>
      <w:proofErr w:type="spellEnd"/>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7</w:t>
      </w:r>
      <w:r w:rsidRPr="00D72C65">
        <w:rPr>
          <w:rFonts w:ascii="Times New Roman" w:eastAsia="Times New Roman" w:hAnsi="Times New Roman" w:cs="Times New Roman"/>
          <w:sz w:val="24"/>
          <w:szCs w:val="24"/>
        </w:rPr>
        <w:t xml:space="preserve">(4), 157–158. </w:t>
      </w:r>
      <w:hyperlink r:id="rId7" w:history="1">
        <w:r w:rsidRPr="00D72C65">
          <w:rPr>
            <w:rStyle w:val="Hyperlink"/>
            <w:rFonts w:ascii="Times New Roman" w:eastAsia="Times New Roman" w:hAnsi="Times New Roman" w:cs="Times New Roman"/>
            <w:sz w:val="24"/>
            <w:szCs w:val="24"/>
          </w:rPr>
          <w:t>https://doi.org/10.1177/1941874417708129</w:t>
        </w:r>
      </w:hyperlink>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Douam</w:t>
      </w:r>
      <w:proofErr w:type="spellEnd"/>
      <w:r w:rsidRPr="00D72C65">
        <w:rPr>
          <w:rFonts w:ascii="Times New Roman" w:eastAsia="Times New Roman" w:hAnsi="Times New Roman" w:cs="Times New Roman"/>
          <w:sz w:val="24"/>
          <w:szCs w:val="24"/>
        </w:rPr>
        <w:t xml:space="preserve">, F., &amp; </w:t>
      </w:r>
      <w:proofErr w:type="spellStart"/>
      <w:r w:rsidRPr="00D72C65">
        <w:rPr>
          <w:rFonts w:ascii="Times New Roman" w:eastAsia="Times New Roman" w:hAnsi="Times New Roman" w:cs="Times New Roman"/>
          <w:sz w:val="24"/>
          <w:szCs w:val="24"/>
        </w:rPr>
        <w:t>Ploss</w:t>
      </w:r>
      <w:proofErr w:type="spellEnd"/>
      <w:r w:rsidRPr="00D72C65">
        <w:rPr>
          <w:rFonts w:ascii="Times New Roman" w:eastAsia="Times New Roman" w:hAnsi="Times New Roman" w:cs="Times New Roman"/>
          <w:sz w:val="24"/>
          <w:szCs w:val="24"/>
        </w:rPr>
        <w:t xml:space="preserve">, A. (2018). Yellow Fever Virus: Knowledge Gaps Impeding the Fight Against an Old Foe. </w:t>
      </w:r>
      <w:r w:rsidRPr="00D72C65">
        <w:rPr>
          <w:rFonts w:ascii="Times New Roman" w:eastAsia="Times New Roman" w:hAnsi="Times New Roman" w:cs="Times New Roman"/>
          <w:i/>
          <w:iCs/>
          <w:sz w:val="24"/>
          <w:szCs w:val="24"/>
        </w:rPr>
        <w:t>Trends in microbiology</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26</w:t>
      </w:r>
      <w:r w:rsidRPr="00D72C65">
        <w:rPr>
          <w:rFonts w:ascii="Times New Roman" w:eastAsia="Times New Roman" w:hAnsi="Times New Roman" w:cs="Times New Roman"/>
          <w:sz w:val="24"/>
          <w:szCs w:val="24"/>
        </w:rPr>
        <w:t xml:space="preserve">(11), 913–928. </w:t>
      </w:r>
      <w:hyperlink r:id="rId8" w:history="1">
        <w:r w:rsidRPr="00D72C65">
          <w:rPr>
            <w:rStyle w:val="Hyperlink"/>
            <w:rFonts w:ascii="Times New Roman" w:eastAsia="Times New Roman" w:hAnsi="Times New Roman" w:cs="Times New Roman"/>
            <w:sz w:val="24"/>
            <w:szCs w:val="24"/>
          </w:rPr>
          <w:t>https://doi.org/10.1016/j.tim.2018.05.012</w:t>
        </w:r>
      </w:hyperlink>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Nwangwu</w:t>
      </w:r>
      <w:proofErr w:type="spellEnd"/>
      <w:r w:rsidRPr="00D72C65">
        <w:rPr>
          <w:rFonts w:ascii="Times New Roman" w:eastAsia="Times New Roman" w:hAnsi="Times New Roman" w:cs="Times New Roman"/>
          <w:sz w:val="24"/>
          <w:szCs w:val="24"/>
        </w:rPr>
        <w:t xml:space="preserve">, U. C., </w:t>
      </w:r>
      <w:proofErr w:type="spellStart"/>
      <w:r w:rsidRPr="00D72C65">
        <w:rPr>
          <w:rFonts w:ascii="Times New Roman" w:eastAsia="Times New Roman" w:hAnsi="Times New Roman" w:cs="Times New Roman"/>
          <w:sz w:val="24"/>
          <w:szCs w:val="24"/>
        </w:rPr>
        <w:t>Soumare</w:t>
      </w:r>
      <w:proofErr w:type="spellEnd"/>
      <w:r w:rsidRPr="00D72C65">
        <w:rPr>
          <w:rFonts w:ascii="Times New Roman" w:eastAsia="Times New Roman" w:hAnsi="Times New Roman" w:cs="Times New Roman"/>
          <w:sz w:val="24"/>
          <w:szCs w:val="24"/>
        </w:rPr>
        <w:t xml:space="preserve">, H., </w:t>
      </w:r>
      <w:proofErr w:type="spellStart"/>
      <w:r w:rsidRPr="00D72C65">
        <w:rPr>
          <w:rFonts w:ascii="Times New Roman" w:eastAsia="Times New Roman" w:hAnsi="Times New Roman" w:cs="Times New Roman"/>
          <w:sz w:val="24"/>
          <w:szCs w:val="24"/>
        </w:rPr>
        <w:t>Oguzie</w:t>
      </w:r>
      <w:proofErr w:type="spellEnd"/>
      <w:r w:rsidRPr="00D72C65">
        <w:rPr>
          <w:rFonts w:ascii="Times New Roman" w:eastAsia="Times New Roman" w:hAnsi="Times New Roman" w:cs="Times New Roman"/>
          <w:sz w:val="24"/>
          <w:szCs w:val="24"/>
        </w:rPr>
        <w:t xml:space="preserve">, J. U., Nwachukwu, W. E., </w:t>
      </w:r>
      <w:proofErr w:type="spellStart"/>
      <w:r w:rsidRPr="00D72C65">
        <w:rPr>
          <w:rFonts w:ascii="Times New Roman" w:eastAsia="Times New Roman" w:hAnsi="Times New Roman" w:cs="Times New Roman"/>
          <w:sz w:val="24"/>
          <w:szCs w:val="24"/>
        </w:rPr>
        <w:t>Onwude</w:t>
      </w:r>
      <w:proofErr w:type="spellEnd"/>
      <w:r w:rsidRPr="00D72C65">
        <w:rPr>
          <w:rFonts w:ascii="Times New Roman" w:eastAsia="Times New Roman" w:hAnsi="Times New Roman" w:cs="Times New Roman"/>
          <w:sz w:val="24"/>
          <w:szCs w:val="24"/>
        </w:rPr>
        <w:t xml:space="preserve">, C. O., </w:t>
      </w:r>
      <w:proofErr w:type="spellStart"/>
      <w:r w:rsidRPr="00D72C65">
        <w:rPr>
          <w:rFonts w:ascii="Times New Roman" w:eastAsia="Times New Roman" w:hAnsi="Times New Roman" w:cs="Times New Roman"/>
          <w:sz w:val="24"/>
          <w:szCs w:val="24"/>
        </w:rPr>
        <w:t>Dogunro</w:t>
      </w:r>
      <w:proofErr w:type="spellEnd"/>
      <w:r w:rsidRPr="00D72C65">
        <w:rPr>
          <w:rFonts w:ascii="Times New Roman" w:eastAsia="Times New Roman" w:hAnsi="Times New Roman" w:cs="Times New Roman"/>
          <w:sz w:val="24"/>
          <w:szCs w:val="24"/>
        </w:rPr>
        <w:t xml:space="preserve">, F. A., Diallo, M., </w:t>
      </w:r>
      <w:proofErr w:type="spellStart"/>
      <w:r w:rsidRPr="00D72C65">
        <w:rPr>
          <w:rFonts w:ascii="Times New Roman" w:eastAsia="Times New Roman" w:hAnsi="Times New Roman" w:cs="Times New Roman"/>
          <w:sz w:val="24"/>
          <w:szCs w:val="24"/>
        </w:rPr>
        <w:t>Ezihe</w:t>
      </w:r>
      <w:proofErr w:type="spellEnd"/>
      <w:r w:rsidRPr="00D72C65">
        <w:rPr>
          <w:rFonts w:ascii="Times New Roman" w:eastAsia="Times New Roman" w:hAnsi="Times New Roman" w:cs="Times New Roman"/>
          <w:sz w:val="24"/>
          <w:szCs w:val="24"/>
        </w:rPr>
        <w:t xml:space="preserve">, C. K., </w:t>
      </w:r>
      <w:proofErr w:type="spellStart"/>
      <w:r w:rsidRPr="00D72C65">
        <w:rPr>
          <w:rFonts w:ascii="Times New Roman" w:eastAsia="Times New Roman" w:hAnsi="Times New Roman" w:cs="Times New Roman"/>
          <w:sz w:val="24"/>
          <w:szCs w:val="24"/>
        </w:rPr>
        <w:t>Agashi</w:t>
      </w:r>
      <w:proofErr w:type="spellEnd"/>
      <w:r w:rsidRPr="00D72C65">
        <w:rPr>
          <w:rFonts w:ascii="Times New Roman" w:eastAsia="Times New Roman" w:hAnsi="Times New Roman" w:cs="Times New Roman"/>
          <w:sz w:val="24"/>
          <w:szCs w:val="24"/>
        </w:rPr>
        <w:t xml:space="preserve">, N. O., Eloy, E. I., </w:t>
      </w:r>
      <w:proofErr w:type="spellStart"/>
      <w:r w:rsidRPr="00D72C65">
        <w:rPr>
          <w:rFonts w:ascii="Times New Roman" w:eastAsia="Times New Roman" w:hAnsi="Times New Roman" w:cs="Times New Roman"/>
          <w:sz w:val="24"/>
          <w:szCs w:val="24"/>
        </w:rPr>
        <w:t>Anokwu</w:t>
      </w:r>
      <w:proofErr w:type="spellEnd"/>
      <w:r w:rsidRPr="00D72C65">
        <w:rPr>
          <w:rFonts w:ascii="Times New Roman" w:eastAsia="Times New Roman" w:hAnsi="Times New Roman" w:cs="Times New Roman"/>
          <w:sz w:val="24"/>
          <w:szCs w:val="24"/>
        </w:rPr>
        <w:t xml:space="preserve">, S. O., </w:t>
      </w:r>
      <w:proofErr w:type="spellStart"/>
      <w:r w:rsidRPr="00D72C65">
        <w:rPr>
          <w:rFonts w:ascii="Times New Roman" w:eastAsia="Times New Roman" w:hAnsi="Times New Roman" w:cs="Times New Roman"/>
          <w:sz w:val="24"/>
          <w:szCs w:val="24"/>
        </w:rPr>
        <w:t>Anioke</w:t>
      </w:r>
      <w:proofErr w:type="spellEnd"/>
      <w:r w:rsidRPr="00D72C65">
        <w:rPr>
          <w:rFonts w:ascii="Times New Roman" w:eastAsia="Times New Roman" w:hAnsi="Times New Roman" w:cs="Times New Roman"/>
          <w:sz w:val="24"/>
          <w:szCs w:val="24"/>
        </w:rPr>
        <w:t xml:space="preserve">, C. C., Ikechukwu, L. C., Nwosu, C. M., </w:t>
      </w:r>
      <w:proofErr w:type="spellStart"/>
      <w:r w:rsidRPr="00D72C65">
        <w:rPr>
          <w:rFonts w:ascii="Times New Roman" w:eastAsia="Times New Roman" w:hAnsi="Times New Roman" w:cs="Times New Roman"/>
          <w:sz w:val="24"/>
          <w:szCs w:val="24"/>
        </w:rPr>
        <w:t>Nwaogo</w:t>
      </w:r>
      <w:proofErr w:type="spellEnd"/>
      <w:r w:rsidRPr="00D72C65">
        <w:rPr>
          <w:rFonts w:ascii="Times New Roman" w:eastAsia="Times New Roman" w:hAnsi="Times New Roman" w:cs="Times New Roman"/>
          <w:sz w:val="24"/>
          <w:szCs w:val="24"/>
        </w:rPr>
        <w:t xml:space="preserve">, O. N., </w:t>
      </w:r>
      <w:proofErr w:type="spellStart"/>
      <w:r w:rsidRPr="00D72C65">
        <w:rPr>
          <w:rFonts w:ascii="Times New Roman" w:eastAsia="Times New Roman" w:hAnsi="Times New Roman" w:cs="Times New Roman"/>
          <w:sz w:val="24"/>
          <w:szCs w:val="24"/>
        </w:rPr>
        <w:t>Ngwu</w:t>
      </w:r>
      <w:proofErr w:type="spellEnd"/>
      <w:r w:rsidRPr="00D72C65">
        <w:rPr>
          <w:rFonts w:ascii="Times New Roman" w:eastAsia="Times New Roman" w:hAnsi="Times New Roman" w:cs="Times New Roman"/>
          <w:sz w:val="24"/>
          <w:szCs w:val="24"/>
        </w:rPr>
        <w:t xml:space="preserve">, I. M., </w:t>
      </w:r>
      <w:proofErr w:type="spellStart"/>
      <w:r w:rsidRPr="00D72C65">
        <w:rPr>
          <w:rFonts w:ascii="Times New Roman" w:eastAsia="Times New Roman" w:hAnsi="Times New Roman" w:cs="Times New Roman"/>
          <w:sz w:val="24"/>
          <w:szCs w:val="24"/>
        </w:rPr>
        <w:t>Onyeanusi</w:t>
      </w:r>
      <w:proofErr w:type="spellEnd"/>
      <w:r w:rsidRPr="00D72C65">
        <w:rPr>
          <w:rFonts w:ascii="Times New Roman" w:eastAsia="Times New Roman" w:hAnsi="Times New Roman" w:cs="Times New Roman"/>
          <w:sz w:val="24"/>
          <w:szCs w:val="24"/>
        </w:rPr>
        <w:t xml:space="preserve">, R. N., </w:t>
      </w:r>
      <w:proofErr w:type="spellStart"/>
      <w:r w:rsidRPr="00D72C65">
        <w:rPr>
          <w:rFonts w:ascii="Times New Roman" w:eastAsia="Times New Roman" w:hAnsi="Times New Roman" w:cs="Times New Roman"/>
          <w:sz w:val="24"/>
          <w:szCs w:val="24"/>
        </w:rPr>
        <w:t>Okoronkwo</w:t>
      </w:r>
      <w:proofErr w:type="spellEnd"/>
      <w:r w:rsidRPr="00D72C65">
        <w:rPr>
          <w:rFonts w:ascii="Times New Roman" w:eastAsia="Times New Roman" w:hAnsi="Times New Roman" w:cs="Times New Roman"/>
          <w:sz w:val="24"/>
          <w:szCs w:val="24"/>
        </w:rPr>
        <w:t xml:space="preserve">, A. I., </w:t>
      </w:r>
      <w:proofErr w:type="spellStart"/>
      <w:r w:rsidRPr="00D72C65">
        <w:rPr>
          <w:rFonts w:ascii="Times New Roman" w:eastAsia="Times New Roman" w:hAnsi="Times New Roman" w:cs="Times New Roman"/>
          <w:sz w:val="24"/>
          <w:szCs w:val="24"/>
        </w:rPr>
        <w:t>Orizu</w:t>
      </w:r>
      <w:proofErr w:type="spellEnd"/>
      <w:r w:rsidRPr="00D72C65">
        <w:rPr>
          <w:rFonts w:ascii="Times New Roman" w:eastAsia="Times New Roman" w:hAnsi="Times New Roman" w:cs="Times New Roman"/>
          <w:sz w:val="24"/>
          <w:szCs w:val="24"/>
        </w:rPr>
        <w:t xml:space="preserve">, F. U., </w:t>
      </w:r>
      <w:proofErr w:type="spellStart"/>
      <w:r w:rsidRPr="00D72C65">
        <w:rPr>
          <w:rFonts w:ascii="Times New Roman" w:eastAsia="Times New Roman" w:hAnsi="Times New Roman" w:cs="Times New Roman"/>
          <w:sz w:val="24"/>
          <w:szCs w:val="24"/>
        </w:rPr>
        <w:t>Etiki</w:t>
      </w:r>
      <w:proofErr w:type="spellEnd"/>
      <w:r w:rsidRPr="00D72C65">
        <w:rPr>
          <w:rFonts w:ascii="Times New Roman" w:eastAsia="Times New Roman" w:hAnsi="Times New Roman" w:cs="Times New Roman"/>
          <w:sz w:val="24"/>
          <w:szCs w:val="24"/>
        </w:rPr>
        <w:t xml:space="preserve">, M. O., … </w:t>
      </w:r>
      <w:proofErr w:type="spellStart"/>
      <w:r w:rsidRPr="00D72C65">
        <w:rPr>
          <w:rFonts w:ascii="Times New Roman" w:eastAsia="Times New Roman" w:hAnsi="Times New Roman" w:cs="Times New Roman"/>
          <w:sz w:val="24"/>
          <w:szCs w:val="24"/>
        </w:rPr>
        <w:t>Happi</w:t>
      </w:r>
      <w:proofErr w:type="spellEnd"/>
      <w:r w:rsidRPr="00D72C65">
        <w:rPr>
          <w:rFonts w:ascii="Times New Roman" w:eastAsia="Times New Roman" w:hAnsi="Times New Roman" w:cs="Times New Roman"/>
          <w:sz w:val="24"/>
          <w:szCs w:val="24"/>
        </w:rPr>
        <w:t xml:space="preserve">, C. T. (2025). Nationwide surveillance detects yellow fever and chikungunya viruses in multiple Aedes mosquito species in Nigeria. </w:t>
      </w:r>
      <w:r w:rsidRPr="00D72C65">
        <w:rPr>
          <w:rFonts w:ascii="Times New Roman" w:eastAsia="Times New Roman" w:hAnsi="Times New Roman" w:cs="Times New Roman"/>
          <w:i/>
          <w:iCs/>
          <w:sz w:val="24"/>
          <w:szCs w:val="24"/>
        </w:rPr>
        <w:t>Parasites &amp; vectors</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18</w:t>
      </w:r>
      <w:r w:rsidRPr="00D72C65">
        <w:rPr>
          <w:rFonts w:ascii="Times New Roman" w:eastAsia="Times New Roman" w:hAnsi="Times New Roman" w:cs="Times New Roman"/>
          <w:sz w:val="24"/>
          <w:szCs w:val="24"/>
        </w:rPr>
        <w:t>(1), 443. https://doi.org/10.1186/s13071-025-07051-z</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Hamlet, A., Jean, K., </w:t>
      </w:r>
      <w:proofErr w:type="spellStart"/>
      <w:r w:rsidRPr="00D72C65">
        <w:rPr>
          <w:rFonts w:ascii="Times New Roman" w:eastAsia="Times New Roman" w:hAnsi="Times New Roman" w:cs="Times New Roman"/>
          <w:sz w:val="24"/>
          <w:szCs w:val="24"/>
        </w:rPr>
        <w:t>Perea</w:t>
      </w:r>
      <w:proofErr w:type="spellEnd"/>
      <w:r w:rsidRPr="00D72C65">
        <w:rPr>
          <w:rFonts w:ascii="Times New Roman" w:eastAsia="Times New Roman" w:hAnsi="Times New Roman" w:cs="Times New Roman"/>
          <w:sz w:val="24"/>
          <w:szCs w:val="24"/>
        </w:rPr>
        <w:t xml:space="preserve">, W., </w:t>
      </w:r>
      <w:proofErr w:type="spellStart"/>
      <w:r w:rsidRPr="00D72C65">
        <w:rPr>
          <w:rFonts w:ascii="Times New Roman" w:eastAsia="Times New Roman" w:hAnsi="Times New Roman" w:cs="Times New Roman"/>
          <w:sz w:val="24"/>
          <w:szCs w:val="24"/>
        </w:rPr>
        <w:t>Yactayo</w:t>
      </w:r>
      <w:proofErr w:type="spellEnd"/>
      <w:r w:rsidRPr="00D72C65">
        <w:rPr>
          <w:rFonts w:ascii="Times New Roman" w:eastAsia="Times New Roman" w:hAnsi="Times New Roman" w:cs="Times New Roman"/>
          <w:sz w:val="24"/>
          <w:szCs w:val="24"/>
        </w:rPr>
        <w:t xml:space="preserve">, S., </w:t>
      </w:r>
      <w:proofErr w:type="spellStart"/>
      <w:r w:rsidRPr="00D72C65">
        <w:rPr>
          <w:rFonts w:ascii="Times New Roman" w:eastAsia="Times New Roman" w:hAnsi="Times New Roman" w:cs="Times New Roman"/>
          <w:sz w:val="24"/>
          <w:szCs w:val="24"/>
        </w:rPr>
        <w:t>Biey</w:t>
      </w:r>
      <w:proofErr w:type="spellEnd"/>
      <w:r w:rsidRPr="00D72C65">
        <w:rPr>
          <w:rFonts w:ascii="Times New Roman" w:eastAsia="Times New Roman" w:hAnsi="Times New Roman" w:cs="Times New Roman"/>
          <w:sz w:val="24"/>
          <w:szCs w:val="24"/>
        </w:rPr>
        <w:t xml:space="preserve">, J., Van </w:t>
      </w:r>
      <w:proofErr w:type="spellStart"/>
      <w:r w:rsidRPr="00D72C65">
        <w:rPr>
          <w:rFonts w:ascii="Times New Roman" w:eastAsia="Times New Roman" w:hAnsi="Times New Roman" w:cs="Times New Roman"/>
          <w:sz w:val="24"/>
          <w:szCs w:val="24"/>
        </w:rPr>
        <w:t>Kerkhove</w:t>
      </w:r>
      <w:proofErr w:type="spellEnd"/>
      <w:r w:rsidRPr="00D72C65">
        <w:rPr>
          <w:rFonts w:ascii="Times New Roman" w:eastAsia="Times New Roman" w:hAnsi="Times New Roman" w:cs="Times New Roman"/>
          <w:sz w:val="24"/>
          <w:szCs w:val="24"/>
        </w:rPr>
        <w:t xml:space="preserve">, M., Ferguson, N., &amp; </w:t>
      </w:r>
      <w:proofErr w:type="spellStart"/>
      <w:r w:rsidRPr="00D72C65">
        <w:rPr>
          <w:rFonts w:ascii="Times New Roman" w:eastAsia="Times New Roman" w:hAnsi="Times New Roman" w:cs="Times New Roman"/>
          <w:sz w:val="24"/>
          <w:szCs w:val="24"/>
        </w:rPr>
        <w:t>Garske</w:t>
      </w:r>
      <w:proofErr w:type="spellEnd"/>
      <w:r w:rsidRPr="00D72C65">
        <w:rPr>
          <w:rFonts w:ascii="Times New Roman" w:eastAsia="Times New Roman" w:hAnsi="Times New Roman" w:cs="Times New Roman"/>
          <w:sz w:val="24"/>
          <w:szCs w:val="24"/>
        </w:rPr>
        <w:t xml:space="preserve">, T. (2018). The seasonal influence of climate and environment on yellow fever transmission across Africa. </w:t>
      </w:r>
      <w:proofErr w:type="spellStart"/>
      <w:r w:rsidRPr="00D72C65">
        <w:rPr>
          <w:rFonts w:ascii="Times New Roman" w:eastAsia="Times New Roman" w:hAnsi="Times New Roman" w:cs="Times New Roman"/>
          <w:i/>
          <w:iCs/>
          <w:sz w:val="24"/>
          <w:szCs w:val="24"/>
        </w:rPr>
        <w:t>PLoS</w:t>
      </w:r>
      <w:proofErr w:type="spellEnd"/>
      <w:r w:rsidRPr="00D72C65">
        <w:rPr>
          <w:rFonts w:ascii="Times New Roman" w:eastAsia="Times New Roman" w:hAnsi="Times New Roman" w:cs="Times New Roman"/>
          <w:i/>
          <w:iCs/>
          <w:sz w:val="24"/>
          <w:szCs w:val="24"/>
        </w:rPr>
        <w:t xml:space="preserve"> neglected tropical diseases</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12</w:t>
      </w:r>
      <w:r w:rsidRPr="00D72C65">
        <w:rPr>
          <w:rFonts w:ascii="Times New Roman" w:eastAsia="Times New Roman" w:hAnsi="Times New Roman" w:cs="Times New Roman"/>
          <w:sz w:val="24"/>
          <w:szCs w:val="24"/>
        </w:rPr>
        <w:t>(3), e0006284. https://doi.org/10.1371/journal.pntd.0006284</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Gianchecchi</w:t>
      </w:r>
      <w:proofErr w:type="spellEnd"/>
      <w:r w:rsidRPr="00D72C65">
        <w:rPr>
          <w:rFonts w:ascii="Times New Roman" w:eastAsia="Times New Roman" w:hAnsi="Times New Roman" w:cs="Times New Roman"/>
          <w:sz w:val="24"/>
          <w:szCs w:val="24"/>
        </w:rPr>
        <w:t xml:space="preserve">, E., </w:t>
      </w:r>
      <w:proofErr w:type="spellStart"/>
      <w:r w:rsidRPr="00D72C65">
        <w:rPr>
          <w:rFonts w:ascii="Times New Roman" w:eastAsia="Times New Roman" w:hAnsi="Times New Roman" w:cs="Times New Roman"/>
          <w:sz w:val="24"/>
          <w:szCs w:val="24"/>
        </w:rPr>
        <w:t>Cianchi</w:t>
      </w:r>
      <w:proofErr w:type="spellEnd"/>
      <w:r w:rsidRPr="00D72C65">
        <w:rPr>
          <w:rFonts w:ascii="Times New Roman" w:eastAsia="Times New Roman" w:hAnsi="Times New Roman" w:cs="Times New Roman"/>
          <w:sz w:val="24"/>
          <w:szCs w:val="24"/>
        </w:rPr>
        <w:t xml:space="preserve">, V., </w:t>
      </w:r>
      <w:proofErr w:type="spellStart"/>
      <w:r w:rsidRPr="00D72C65">
        <w:rPr>
          <w:rFonts w:ascii="Times New Roman" w:eastAsia="Times New Roman" w:hAnsi="Times New Roman" w:cs="Times New Roman"/>
          <w:sz w:val="24"/>
          <w:szCs w:val="24"/>
        </w:rPr>
        <w:t>Torelli</w:t>
      </w:r>
      <w:proofErr w:type="spellEnd"/>
      <w:r w:rsidRPr="00D72C65">
        <w:rPr>
          <w:rFonts w:ascii="Times New Roman" w:eastAsia="Times New Roman" w:hAnsi="Times New Roman" w:cs="Times New Roman"/>
          <w:sz w:val="24"/>
          <w:szCs w:val="24"/>
        </w:rPr>
        <w:t xml:space="preserve">, A., &amp; </w:t>
      </w:r>
      <w:proofErr w:type="spellStart"/>
      <w:r w:rsidRPr="00D72C65">
        <w:rPr>
          <w:rFonts w:ascii="Times New Roman" w:eastAsia="Times New Roman" w:hAnsi="Times New Roman" w:cs="Times New Roman"/>
          <w:sz w:val="24"/>
          <w:szCs w:val="24"/>
        </w:rPr>
        <w:t>Montomoli</w:t>
      </w:r>
      <w:proofErr w:type="spellEnd"/>
      <w:r w:rsidRPr="00D72C65">
        <w:rPr>
          <w:rFonts w:ascii="Times New Roman" w:eastAsia="Times New Roman" w:hAnsi="Times New Roman" w:cs="Times New Roman"/>
          <w:sz w:val="24"/>
          <w:szCs w:val="24"/>
        </w:rPr>
        <w:t xml:space="preserve">, E. (2022). Yellow Fever: Origin, Epidemiology, Preventive Strategies and Future Prospects. </w:t>
      </w:r>
      <w:r w:rsidRPr="00D72C65">
        <w:rPr>
          <w:rFonts w:ascii="Times New Roman" w:eastAsia="Times New Roman" w:hAnsi="Times New Roman" w:cs="Times New Roman"/>
          <w:i/>
          <w:iCs/>
          <w:sz w:val="24"/>
          <w:szCs w:val="24"/>
        </w:rPr>
        <w:t>Vaccines</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10</w:t>
      </w:r>
      <w:r w:rsidRPr="00D72C65">
        <w:rPr>
          <w:rFonts w:ascii="Times New Roman" w:eastAsia="Times New Roman" w:hAnsi="Times New Roman" w:cs="Times New Roman"/>
          <w:sz w:val="24"/>
          <w:szCs w:val="24"/>
        </w:rPr>
        <w:t>(3), 372. https://doi.org/10.3390/vaccines10030372</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Domingo, C., </w:t>
      </w:r>
      <w:proofErr w:type="spellStart"/>
      <w:r w:rsidRPr="00D72C65">
        <w:rPr>
          <w:rFonts w:ascii="Times New Roman" w:eastAsia="Times New Roman" w:hAnsi="Times New Roman" w:cs="Times New Roman"/>
          <w:sz w:val="24"/>
          <w:szCs w:val="24"/>
        </w:rPr>
        <w:t>Fraissinet</w:t>
      </w:r>
      <w:proofErr w:type="spellEnd"/>
      <w:r w:rsidRPr="00D72C65">
        <w:rPr>
          <w:rFonts w:ascii="Times New Roman" w:eastAsia="Times New Roman" w:hAnsi="Times New Roman" w:cs="Times New Roman"/>
          <w:sz w:val="24"/>
          <w:szCs w:val="24"/>
        </w:rPr>
        <w:t xml:space="preserve">, J., Ansah, P. O., Kelly, C., Bhat, N., Sow, S. O., &amp; </w:t>
      </w:r>
      <w:proofErr w:type="spellStart"/>
      <w:r w:rsidRPr="00D72C65">
        <w:rPr>
          <w:rFonts w:ascii="Times New Roman" w:eastAsia="Times New Roman" w:hAnsi="Times New Roman" w:cs="Times New Roman"/>
          <w:sz w:val="24"/>
          <w:szCs w:val="24"/>
        </w:rPr>
        <w:t>Mejía</w:t>
      </w:r>
      <w:proofErr w:type="spellEnd"/>
      <w:r w:rsidRPr="00D72C65">
        <w:rPr>
          <w:rFonts w:ascii="Times New Roman" w:eastAsia="Times New Roman" w:hAnsi="Times New Roman" w:cs="Times New Roman"/>
          <w:sz w:val="24"/>
          <w:szCs w:val="24"/>
        </w:rPr>
        <w:t xml:space="preserve">, J. E. (2019). Long-term immunity against yellow fever in children vaccinated during infancy: a longitudinal cohort study. </w:t>
      </w:r>
      <w:r w:rsidRPr="00D72C65">
        <w:rPr>
          <w:rFonts w:ascii="Times New Roman" w:eastAsia="Times New Roman" w:hAnsi="Times New Roman" w:cs="Times New Roman"/>
          <w:i/>
          <w:iCs/>
          <w:sz w:val="24"/>
          <w:szCs w:val="24"/>
        </w:rPr>
        <w:t>The Lancet. Infectious diseases</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19</w:t>
      </w:r>
      <w:r w:rsidRPr="00D72C65">
        <w:rPr>
          <w:rFonts w:ascii="Times New Roman" w:eastAsia="Times New Roman" w:hAnsi="Times New Roman" w:cs="Times New Roman"/>
          <w:sz w:val="24"/>
          <w:szCs w:val="24"/>
        </w:rPr>
        <w:t>(12), 1363–1370. https://doi.org/10.1016/S1473-3099(19)30323-8</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Oleribe</w:t>
      </w:r>
      <w:proofErr w:type="spellEnd"/>
      <w:r w:rsidRPr="00D72C65">
        <w:rPr>
          <w:rFonts w:ascii="Times New Roman" w:eastAsia="Times New Roman" w:hAnsi="Times New Roman" w:cs="Times New Roman"/>
          <w:sz w:val="24"/>
          <w:szCs w:val="24"/>
        </w:rPr>
        <w:t xml:space="preserve">, O. O., Momoh, J., </w:t>
      </w:r>
      <w:proofErr w:type="spellStart"/>
      <w:r w:rsidRPr="00D72C65">
        <w:rPr>
          <w:rFonts w:ascii="Times New Roman" w:eastAsia="Times New Roman" w:hAnsi="Times New Roman" w:cs="Times New Roman"/>
          <w:sz w:val="24"/>
          <w:szCs w:val="24"/>
        </w:rPr>
        <w:t>Uzochukwu</w:t>
      </w:r>
      <w:proofErr w:type="spellEnd"/>
      <w:r w:rsidRPr="00D72C65">
        <w:rPr>
          <w:rFonts w:ascii="Times New Roman" w:eastAsia="Times New Roman" w:hAnsi="Times New Roman" w:cs="Times New Roman"/>
          <w:sz w:val="24"/>
          <w:szCs w:val="24"/>
        </w:rPr>
        <w:t xml:space="preserve">, B. S., </w:t>
      </w:r>
      <w:proofErr w:type="spellStart"/>
      <w:r w:rsidRPr="00D72C65">
        <w:rPr>
          <w:rFonts w:ascii="Times New Roman" w:eastAsia="Times New Roman" w:hAnsi="Times New Roman" w:cs="Times New Roman"/>
          <w:sz w:val="24"/>
          <w:szCs w:val="24"/>
        </w:rPr>
        <w:t>Mbofana</w:t>
      </w:r>
      <w:proofErr w:type="spellEnd"/>
      <w:r w:rsidRPr="00D72C65">
        <w:rPr>
          <w:rFonts w:ascii="Times New Roman" w:eastAsia="Times New Roman" w:hAnsi="Times New Roman" w:cs="Times New Roman"/>
          <w:sz w:val="24"/>
          <w:szCs w:val="24"/>
        </w:rPr>
        <w:t xml:space="preserve">, F., Adebiyi, A., </w:t>
      </w:r>
      <w:proofErr w:type="spellStart"/>
      <w:r w:rsidRPr="00D72C65">
        <w:rPr>
          <w:rFonts w:ascii="Times New Roman" w:eastAsia="Times New Roman" w:hAnsi="Times New Roman" w:cs="Times New Roman"/>
          <w:sz w:val="24"/>
          <w:szCs w:val="24"/>
        </w:rPr>
        <w:t>Barbera</w:t>
      </w:r>
      <w:proofErr w:type="spellEnd"/>
      <w:r w:rsidRPr="00D72C65">
        <w:rPr>
          <w:rFonts w:ascii="Times New Roman" w:eastAsia="Times New Roman" w:hAnsi="Times New Roman" w:cs="Times New Roman"/>
          <w:sz w:val="24"/>
          <w:szCs w:val="24"/>
        </w:rPr>
        <w:t xml:space="preserve">, T., Williams, R., &amp; Taylor-Robinson, S. D. (2019). Identifying Key Challenges Facing Healthcare Systems </w:t>
      </w:r>
      <w:proofErr w:type="gramStart"/>
      <w:r w:rsidRPr="00D72C65">
        <w:rPr>
          <w:rFonts w:ascii="Times New Roman" w:eastAsia="Times New Roman" w:hAnsi="Times New Roman" w:cs="Times New Roman"/>
          <w:sz w:val="24"/>
          <w:szCs w:val="24"/>
        </w:rPr>
        <w:t>In</w:t>
      </w:r>
      <w:proofErr w:type="gramEnd"/>
      <w:r w:rsidRPr="00D72C65">
        <w:rPr>
          <w:rFonts w:ascii="Times New Roman" w:eastAsia="Times New Roman" w:hAnsi="Times New Roman" w:cs="Times New Roman"/>
          <w:sz w:val="24"/>
          <w:szCs w:val="24"/>
        </w:rPr>
        <w:t xml:space="preserve"> Africa And Potential Solutions. </w:t>
      </w:r>
      <w:r w:rsidRPr="00D72C65">
        <w:rPr>
          <w:rFonts w:ascii="Times New Roman" w:eastAsia="Times New Roman" w:hAnsi="Times New Roman" w:cs="Times New Roman"/>
          <w:i/>
          <w:iCs/>
          <w:sz w:val="24"/>
          <w:szCs w:val="24"/>
        </w:rPr>
        <w:t>International journal of general medicine</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12</w:t>
      </w:r>
      <w:r w:rsidRPr="00D72C65">
        <w:rPr>
          <w:rFonts w:ascii="Times New Roman" w:eastAsia="Times New Roman" w:hAnsi="Times New Roman" w:cs="Times New Roman"/>
          <w:sz w:val="24"/>
          <w:szCs w:val="24"/>
        </w:rPr>
        <w:t>, 395–403. https://doi.org/10.2147/IJGM.S223882</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Ludwick, T., </w:t>
      </w:r>
      <w:proofErr w:type="spellStart"/>
      <w:r w:rsidRPr="00D72C65">
        <w:rPr>
          <w:rFonts w:ascii="Times New Roman" w:eastAsia="Times New Roman" w:hAnsi="Times New Roman" w:cs="Times New Roman"/>
          <w:sz w:val="24"/>
          <w:szCs w:val="24"/>
        </w:rPr>
        <w:t>Endriyas</w:t>
      </w:r>
      <w:proofErr w:type="spellEnd"/>
      <w:r w:rsidRPr="00D72C65">
        <w:rPr>
          <w:rFonts w:ascii="Times New Roman" w:eastAsia="Times New Roman" w:hAnsi="Times New Roman" w:cs="Times New Roman"/>
          <w:sz w:val="24"/>
          <w:szCs w:val="24"/>
        </w:rPr>
        <w:t xml:space="preserve">, M., Morgan, A., Kane, S., </w:t>
      </w:r>
      <w:proofErr w:type="spellStart"/>
      <w:r w:rsidRPr="00D72C65">
        <w:rPr>
          <w:rFonts w:ascii="Times New Roman" w:eastAsia="Times New Roman" w:hAnsi="Times New Roman" w:cs="Times New Roman"/>
          <w:sz w:val="24"/>
          <w:szCs w:val="24"/>
        </w:rPr>
        <w:t>Kelaher</w:t>
      </w:r>
      <w:proofErr w:type="spellEnd"/>
      <w:r w:rsidRPr="00D72C65">
        <w:rPr>
          <w:rFonts w:ascii="Times New Roman" w:eastAsia="Times New Roman" w:hAnsi="Times New Roman" w:cs="Times New Roman"/>
          <w:sz w:val="24"/>
          <w:szCs w:val="24"/>
        </w:rPr>
        <w:t xml:space="preserve">, M., &amp; </w:t>
      </w:r>
      <w:proofErr w:type="spellStart"/>
      <w:r w:rsidRPr="00D72C65">
        <w:rPr>
          <w:rFonts w:ascii="Times New Roman" w:eastAsia="Times New Roman" w:hAnsi="Times New Roman" w:cs="Times New Roman"/>
          <w:sz w:val="24"/>
          <w:szCs w:val="24"/>
        </w:rPr>
        <w:t>McPake</w:t>
      </w:r>
      <w:proofErr w:type="spellEnd"/>
      <w:r w:rsidRPr="00D72C65">
        <w:rPr>
          <w:rFonts w:ascii="Times New Roman" w:eastAsia="Times New Roman" w:hAnsi="Times New Roman" w:cs="Times New Roman"/>
          <w:sz w:val="24"/>
          <w:szCs w:val="24"/>
        </w:rPr>
        <w:t xml:space="preserve">, B. (2022). Challenges in Implementing Community-Based Healthcare Teams in a Low-Income Country Context: Lessons </w:t>
      </w:r>
      <w:proofErr w:type="gramStart"/>
      <w:r w:rsidRPr="00D72C65">
        <w:rPr>
          <w:rFonts w:ascii="Times New Roman" w:eastAsia="Times New Roman" w:hAnsi="Times New Roman" w:cs="Times New Roman"/>
          <w:sz w:val="24"/>
          <w:szCs w:val="24"/>
        </w:rPr>
        <w:t>From</w:t>
      </w:r>
      <w:proofErr w:type="gramEnd"/>
      <w:r w:rsidRPr="00D72C65">
        <w:rPr>
          <w:rFonts w:ascii="Times New Roman" w:eastAsia="Times New Roman" w:hAnsi="Times New Roman" w:cs="Times New Roman"/>
          <w:sz w:val="24"/>
          <w:szCs w:val="24"/>
        </w:rPr>
        <w:t xml:space="preserve"> Ethiopia's Family Health Teams. </w:t>
      </w:r>
      <w:r w:rsidRPr="00D72C65">
        <w:rPr>
          <w:rFonts w:ascii="Times New Roman" w:eastAsia="Times New Roman" w:hAnsi="Times New Roman" w:cs="Times New Roman"/>
          <w:i/>
          <w:iCs/>
          <w:sz w:val="24"/>
          <w:szCs w:val="24"/>
        </w:rPr>
        <w:t>International journal of health policy and management</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11</w:t>
      </w:r>
      <w:r w:rsidRPr="00D72C65">
        <w:rPr>
          <w:rFonts w:ascii="Times New Roman" w:eastAsia="Times New Roman" w:hAnsi="Times New Roman" w:cs="Times New Roman"/>
          <w:sz w:val="24"/>
          <w:szCs w:val="24"/>
        </w:rPr>
        <w:t>(8), 1459–1471. https://doi.org/10.34172/ijhpm.2021.52</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Sáfadi</w:t>
      </w:r>
      <w:proofErr w:type="spellEnd"/>
      <w:r w:rsidRPr="00D72C65">
        <w:rPr>
          <w:rFonts w:ascii="Times New Roman" w:eastAsia="Times New Roman" w:hAnsi="Times New Roman" w:cs="Times New Roman"/>
          <w:sz w:val="24"/>
          <w:szCs w:val="24"/>
        </w:rPr>
        <w:t xml:space="preserve"> M. A. P. (2023). The importance of immunization as a public health instrument. </w:t>
      </w:r>
      <w:proofErr w:type="spellStart"/>
      <w:r w:rsidRPr="00D72C65">
        <w:rPr>
          <w:rFonts w:ascii="Times New Roman" w:eastAsia="Times New Roman" w:hAnsi="Times New Roman" w:cs="Times New Roman"/>
          <w:i/>
          <w:iCs/>
          <w:sz w:val="24"/>
          <w:szCs w:val="24"/>
        </w:rPr>
        <w:t>Jornal</w:t>
      </w:r>
      <w:proofErr w:type="spellEnd"/>
      <w:r w:rsidRPr="00D72C65">
        <w:rPr>
          <w:rFonts w:ascii="Times New Roman" w:eastAsia="Times New Roman" w:hAnsi="Times New Roman" w:cs="Times New Roman"/>
          <w:i/>
          <w:iCs/>
          <w:sz w:val="24"/>
          <w:szCs w:val="24"/>
        </w:rPr>
        <w:t xml:space="preserve"> de </w:t>
      </w:r>
      <w:proofErr w:type="spellStart"/>
      <w:r w:rsidRPr="00D72C65">
        <w:rPr>
          <w:rFonts w:ascii="Times New Roman" w:eastAsia="Times New Roman" w:hAnsi="Times New Roman" w:cs="Times New Roman"/>
          <w:i/>
          <w:iCs/>
          <w:sz w:val="24"/>
          <w:szCs w:val="24"/>
        </w:rPr>
        <w:t>pediatria</w:t>
      </w:r>
      <w:proofErr w:type="spellEnd"/>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99 Suppl 1</w:t>
      </w:r>
      <w:r w:rsidRPr="00D72C65">
        <w:rPr>
          <w:rFonts w:ascii="Times New Roman" w:eastAsia="Times New Roman" w:hAnsi="Times New Roman" w:cs="Times New Roman"/>
          <w:sz w:val="24"/>
          <w:szCs w:val="24"/>
        </w:rPr>
        <w:t>(Suppl 1), S1–S3. https://doi.org/10.1016/j.jped.2022.12.003</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Hester, K. A., </w:t>
      </w:r>
      <w:proofErr w:type="spellStart"/>
      <w:r w:rsidRPr="00D72C65">
        <w:rPr>
          <w:rFonts w:ascii="Times New Roman" w:eastAsia="Times New Roman" w:hAnsi="Times New Roman" w:cs="Times New Roman"/>
          <w:sz w:val="24"/>
          <w:szCs w:val="24"/>
        </w:rPr>
        <w:t>Sakas</w:t>
      </w:r>
      <w:proofErr w:type="spellEnd"/>
      <w:r w:rsidRPr="00D72C65">
        <w:rPr>
          <w:rFonts w:ascii="Times New Roman" w:eastAsia="Times New Roman" w:hAnsi="Times New Roman" w:cs="Times New Roman"/>
          <w:sz w:val="24"/>
          <w:szCs w:val="24"/>
        </w:rPr>
        <w:t xml:space="preserve">, Z., Ellis, A. S., Bose, A. S., </w:t>
      </w:r>
      <w:proofErr w:type="spellStart"/>
      <w:r w:rsidRPr="00D72C65">
        <w:rPr>
          <w:rFonts w:ascii="Times New Roman" w:eastAsia="Times New Roman" w:hAnsi="Times New Roman" w:cs="Times New Roman"/>
          <w:sz w:val="24"/>
          <w:szCs w:val="24"/>
        </w:rPr>
        <w:t>Darwar</w:t>
      </w:r>
      <w:proofErr w:type="spellEnd"/>
      <w:r w:rsidRPr="00D72C65">
        <w:rPr>
          <w:rFonts w:ascii="Times New Roman" w:eastAsia="Times New Roman" w:hAnsi="Times New Roman" w:cs="Times New Roman"/>
          <w:sz w:val="24"/>
          <w:szCs w:val="24"/>
        </w:rPr>
        <w:t xml:space="preserve">, R., Gautam, J., </w:t>
      </w:r>
      <w:proofErr w:type="spellStart"/>
      <w:r w:rsidRPr="00D72C65">
        <w:rPr>
          <w:rFonts w:ascii="Times New Roman" w:eastAsia="Times New Roman" w:hAnsi="Times New Roman" w:cs="Times New Roman"/>
          <w:sz w:val="24"/>
          <w:szCs w:val="24"/>
        </w:rPr>
        <w:t>Jaishwal</w:t>
      </w:r>
      <w:proofErr w:type="spellEnd"/>
      <w:r w:rsidRPr="00D72C65">
        <w:rPr>
          <w:rFonts w:ascii="Times New Roman" w:eastAsia="Times New Roman" w:hAnsi="Times New Roman" w:cs="Times New Roman"/>
          <w:sz w:val="24"/>
          <w:szCs w:val="24"/>
        </w:rPr>
        <w:t xml:space="preserve">, C., James, H., </w:t>
      </w:r>
      <w:proofErr w:type="spellStart"/>
      <w:r w:rsidRPr="00D72C65">
        <w:rPr>
          <w:rFonts w:ascii="Times New Roman" w:eastAsia="Times New Roman" w:hAnsi="Times New Roman" w:cs="Times New Roman"/>
          <w:sz w:val="24"/>
          <w:szCs w:val="24"/>
        </w:rPr>
        <w:t>Keskinocak</w:t>
      </w:r>
      <w:proofErr w:type="spellEnd"/>
      <w:r w:rsidRPr="00D72C65">
        <w:rPr>
          <w:rFonts w:ascii="Times New Roman" w:eastAsia="Times New Roman" w:hAnsi="Times New Roman" w:cs="Times New Roman"/>
          <w:sz w:val="24"/>
          <w:szCs w:val="24"/>
        </w:rPr>
        <w:t xml:space="preserve">, P., </w:t>
      </w:r>
      <w:proofErr w:type="spellStart"/>
      <w:r w:rsidRPr="00D72C65">
        <w:rPr>
          <w:rFonts w:ascii="Times New Roman" w:eastAsia="Times New Roman" w:hAnsi="Times New Roman" w:cs="Times New Roman"/>
          <w:sz w:val="24"/>
          <w:szCs w:val="24"/>
        </w:rPr>
        <w:t>Nazzal</w:t>
      </w:r>
      <w:proofErr w:type="spellEnd"/>
      <w:r w:rsidRPr="00D72C65">
        <w:rPr>
          <w:rFonts w:ascii="Times New Roman" w:eastAsia="Times New Roman" w:hAnsi="Times New Roman" w:cs="Times New Roman"/>
          <w:sz w:val="24"/>
          <w:szCs w:val="24"/>
        </w:rPr>
        <w:t xml:space="preserve">, D., </w:t>
      </w:r>
      <w:proofErr w:type="spellStart"/>
      <w:r w:rsidRPr="00D72C65">
        <w:rPr>
          <w:rFonts w:ascii="Times New Roman" w:eastAsia="Times New Roman" w:hAnsi="Times New Roman" w:cs="Times New Roman"/>
          <w:sz w:val="24"/>
          <w:szCs w:val="24"/>
        </w:rPr>
        <w:t>Awino</w:t>
      </w:r>
      <w:proofErr w:type="spellEnd"/>
      <w:r w:rsidRPr="00D72C65">
        <w:rPr>
          <w:rFonts w:ascii="Times New Roman" w:eastAsia="Times New Roman" w:hAnsi="Times New Roman" w:cs="Times New Roman"/>
          <w:sz w:val="24"/>
          <w:szCs w:val="24"/>
        </w:rPr>
        <w:t xml:space="preserve"> </w:t>
      </w:r>
      <w:proofErr w:type="spellStart"/>
      <w:r w:rsidRPr="00D72C65">
        <w:rPr>
          <w:rFonts w:ascii="Times New Roman" w:eastAsia="Times New Roman" w:hAnsi="Times New Roman" w:cs="Times New Roman"/>
          <w:sz w:val="24"/>
          <w:szCs w:val="24"/>
        </w:rPr>
        <w:t>Ogutu</w:t>
      </w:r>
      <w:proofErr w:type="spellEnd"/>
      <w:r w:rsidRPr="00D72C65">
        <w:rPr>
          <w:rFonts w:ascii="Times New Roman" w:eastAsia="Times New Roman" w:hAnsi="Times New Roman" w:cs="Times New Roman"/>
          <w:sz w:val="24"/>
          <w:szCs w:val="24"/>
        </w:rPr>
        <w:t xml:space="preserve">, E., Rodriguez, K., Castillo Zunino, F., Dixit, S., </w:t>
      </w:r>
      <w:proofErr w:type="spellStart"/>
      <w:r w:rsidRPr="00D72C65">
        <w:rPr>
          <w:rFonts w:ascii="Times New Roman" w:eastAsia="Times New Roman" w:hAnsi="Times New Roman" w:cs="Times New Roman"/>
          <w:sz w:val="24"/>
          <w:szCs w:val="24"/>
        </w:rPr>
        <w:t>Bednarczyk</w:t>
      </w:r>
      <w:proofErr w:type="spellEnd"/>
      <w:r w:rsidRPr="00D72C65">
        <w:rPr>
          <w:rFonts w:ascii="Times New Roman" w:eastAsia="Times New Roman" w:hAnsi="Times New Roman" w:cs="Times New Roman"/>
          <w:sz w:val="24"/>
          <w:szCs w:val="24"/>
        </w:rPr>
        <w:t xml:space="preserve">, R. A., Freeman, M. C., &amp; Vaccine Exemplars Research </w:t>
      </w:r>
      <w:r w:rsidRPr="00D72C65">
        <w:rPr>
          <w:rFonts w:ascii="Times New Roman" w:eastAsia="Times New Roman" w:hAnsi="Times New Roman" w:cs="Times New Roman"/>
          <w:sz w:val="24"/>
          <w:szCs w:val="24"/>
        </w:rPr>
        <w:lastRenderedPageBreak/>
        <w:t xml:space="preserve">Consortium (2022). Critical success factors for high routine immunization performance: A case study of Nepal. </w:t>
      </w:r>
      <w:r w:rsidRPr="00D72C65">
        <w:rPr>
          <w:rFonts w:ascii="Times New Roman" w:eastAsia="Times New Roman" w:hAnsi="Times New Roman" w:cs="Times New Roman"/>
          <w:i/>
          <w:iCs/>
          <w:sz w:val="24"/>
          <w:szCs w:val="24"/>
        </w:rPr>
        <w:t>Vaccine: X</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12</w:t>
      </w:r>
      <w:r w:rsidRPr="00D72C65">
        <w:rPr>
          <w:rFonts w:ascii="Times New Roman" w:eastAsia="Times New Roman" w:hAnsi="Times New Roman" w:cs="Times New Roman"/>
          <w:sz w:val="24"/>
          <w:szCs w:val="24"/>
        </w:rPr>
        <w:t>, 100214. https://doi.org/10.1016/j.jvacx.2022.100214</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Das, P. R., Khan, S. A., Islam, M. S., &amp; Dewan, S. M. R. (2024). Public Health Emergence: Challenges and Prospects for the Future of Herd Immunity to Reduce the Negative Impact of Disease X in Low- and Middle-Income Countries. </w:t>
      </w:r>
      <w:r w:rsidRPr="00D72C65">
        <w:rPr>
          <w:rFonts w:ascii="Times New Roman" w:eastAsia="Times New Roman" w:hAnsi="Times New Roman" w:cs="Times New Roman"/>
          <w:i/>
          <w:iCs/>
          <w:sz w:val="24"/>
          <w:szCs w:val="24"/>
        </w:rPr>
        <w:t>Clinical pathology (Thousand Oaks, Ventura County, Calif.)</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17</w:t>
      </w:r>
      <w:r w:rsidRPr="00D72C65">
        <w:rPr>
          <w:rFonts w:ascii="Times New Roman" w:eastAsia="Times New Roman" w:hAnsi="Times New Roman" w:cs="Times New Roman"/>
          <w:sz w:val="24"/>
          <w:szCs w:val="24"/>
        </w:rPr>
        <w:t>, 2632010X241254961. https://doi.org/10.1177/2632010X241254961</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Ekezie</w:t>
      </w:r>
      <w:proofErr w:type="spellEnd"/>
      <w:r w:rsidRPr="00D72C65">
        <w:rPr>
          <w:rFonts w:ascii="Times New Roman" w:eastAsia="Times New Roman" w:hAnsi="Times New Roman" w:cs="Times New Roman"/>
          <w:sz w:val="24"/>
          <w:szCs w:val="24"/>
        </w:rPr>
        <w:t xml:space="preserve">, W., </w:t>
      </w:r>
      <w:proofErr w:type="spellStart"/>
      <w:r w:rsidRPr="00D72C65">
        <w:rPr>
          <w:rFonts w:ascii="Times New Roman" w:eastAsia="Times New Roman" w:hAnsi="Times New Roman" w:cs="Times New Roman"/>
          <w:sz w:val="24"/>
          <w:szCs w:val="24"/>
        </w:rPr>
        <w:t>Awwad</w:t>
      </w:r>
      <w:proofErr w:type="spellEnd"/>
      <w:r w:rsidRPr="00D72C65">
        <w:rPr>
          <w:rFonts w:ascii="Times New Roman" w:eastAsia="Times New Roman" w:hAnsi="Times New Roman" w:cs="Times New Roman"/>
          <w:sz w:val="24"/>
          <w:szCs w:val="24"/>
        </w:rPr>
        <w:t xml:space="preserve">, S., </w:t>
      </w:r>
      <w:proofErr w:type="spellStart"/>
      <w:r w:rsidRPr="00D72C65">
        <w:rPr>
          <w:rFonts w:ascii="Times New Roman" w:eastAsia="Times New Roman" w:hAnsi="Times New Roman" w:cs="Times New Roman"/>
          <w:sz w:val="24"/>
          <w:szCs w:val="24"/>
        </w:rPr>
        <w:t>Krauchenberg</w:t>
      </w:r>
      <w:proofErr w:type="spellEnd"/>
      <w:r w:rsidRPr="00D72C65">
        <w:rPr>
          <w:rFonts w:ascii="Times New Roman" w:eastAsia="Times New Roman" w:hAnsi="Times New Roman" w:cs="Times New Roman"/>
          <w:sz w:val="24"/>
          <w:szCs w:val="24"/>
        </w:rPr>
        <w:t xml:space="preserve">, A., </w:t>
      </w:r>
      <w:proofErr w:type="spellStart"/>
      <w:r w:rsidRPr="00D72C65">
        <w:rPr>
          <w:rFonts w:ascii="Times New Roman" w:eastAsia="Times New Roman" w:hAnsi="Times New Roman" w:cs="Times New Roman"/>
          <w:sz w:val="24"/>
          <w:szCs w:val="24"/>
        </w:rPr>
        <w:t>Karara</w:t>
      </w:r>
      <w:proofErr w:type="spellEnd"/>
      <w:r w:rsidRPr="00D72C65">
        <w:rPr>
          <w:rFonts w:ascii="Times New Roman" w:eastAsia="Times New Roman" w:hAnsi="Times New Roman" w:cs="Times New Roman"/>
          <w:sz w:val="24"/>
          <w:szCs w:val="24"/>
        </w:rPr>
        <w:t xml:space="preserve">, N., </w:t>
      </w:r>
      <w:proofErr w:type="spellStart"/>
      <w:r w:rsidRPr="00D72C65">
        <w:rPr>
          <w:rFonts w:ascii="Times New Roman" w:eastAsia="Times New Roman" w:hAnsi="Times New Roman" w:cs="Times New Roman"/>
          <w:sz w:val="24"/>
          <w:szCs w:val="24"/>
        </w:rPr>
        <w:t>Dembiński</w:t>
      </w:r>
      <w:proofErr w:type="spellEnd"/>
      <w:r w:rsidRPr="00D72C65">
        <w:rPr>
          <w:rFonts w:ascii="Times New Roman" w:eastAsia="Times New Roman" w:hAnsi="Times New Roman" w:cs="Times New Roman"/>
          <w:sz w:val="24"/>
          <w:szCs w:val="24"/>
        </w:rPr>
        <w:t xml:space="preserve">, Ł., Grossman, Z., Del Torso, S., Dornbusch, H. J., Neves, A., Copley, S., Mazur, A., </w:t>
      </w:r>
      <w:proofErr w:type="spellStart"/>
      <w:r w:rsidRPr="00D72C65">
        <w:rPr>
          <w:rFonts w:ascii="Times New Roman" w:eastAsia="Times New Roman" w:hAnsi="Times New Roman" w:cs="Times New Roman"/>
          <w:sz w:val="24"/>
          <w:szCs w:val="24"/>
        </w:rPr>
        <w:t>Hadjipanayis</w:t>
      </w:r>
      <w:proofErr w:type="spellEnd"/>
      <w:r w:rsidRPr="00D72C65">
        <w:rPr>
          <w:rFonts w:ascii="Times New Roman" w:eastAsia="Times New Roman" w:hAnsi="Times New Roman" w:cs="Times New Roman"/>
          <w:sz w:val="24"/>
          <w:szCs w:val="24"/>
        </w:rPr>
        <w:t xml:space="preserve">, A., </w:t>
      </w:r>
      <w:proofErr w:type="spellStart"/>
      <w:r w:rsidRPr="00D72C65">
        <w:rPr>
          <w:rFonts w:ascii="Times New Roman" w:eastAsia="Times New Roman" w:hAnsi="Times New Roman" w:cs="Times New Roman"/>
          <w:sz w:val="24"/>
          <w:szCs w:val="24"/>
        </w:rPr>
        <w:t>Grechukha</w:t>
      </w:r>
      <w:proofErr w:type="spellEnd"/>
      <w:r w:rsidRPr="00D72C65">
        <w:rPr>
          <w:rFonts w:ascii="Times New Roman" w:eastAsia="Times New Roman" w:hAnsi="Times New Roman" w:cs="Times New Roman"/>
          <w:sz w:val="24"/>
          <w:szCs w:val="24"/>
        </w:rPr>
        <w:t xml:space="preserve">, Y., </w:t>
      </w:r>
      <w:proofErr w:type="spellStart"/>
      <w:r w:rsidRPr="00D72C65">
        <w:rPr>
          <w:rFonts w:ascii="Times New Roman" w:eastAsia="Times New Roman" w:hAnsi="Times New Roman" w:cs="Times New Roman"/>
          <w:sz w:val="24"/>
          <w:szCs w:val="24"/>
        </w:rPr>
        <w:t>Nohynek</w:t>
      </w:r>
      <w:proofErr w:type="spellEnd"/>
      <w:r w:rsidRPr="00D72C65">
        <w:rPr>
          <w:rFonts w:ascii="Times New Roman" w:eastAsia="Times New Roman" w:hAnsi="Times New Roman" w:cs="Times New Roman"/>
          <w:sz w:val="24"/>
          <w:szCs w:val="24"/>
        </w:rPr>
        <w:t xml:space="preserve">, H., </w:t>
      </w:r>
      <w:proofErr w:type="spellStart"/>
      <w:r w:rsidRPr="00D72C65">
        <w:rPr>
          <w:rFonts w:ascii="Times New Roman" w:eastAsia="Times New Roman" w:hAnsi="Times New Roman" w:cs="Times New Roman"/>
          <w:sz w:val="24"/>
          <w:szCs w:val="24"/>
        </w:rPr>
        <w:t>Damnjanović</w:t>
      </w:r>
      <w:proofErr w:type="spellEnd"/>
      <w:r w:rsidRPr="00D72C65">
        <w:rPr>
          <w:rFonts w:ascii="Times New Roman" w:eastAsia="Times New Roman" w:hAnsi="Times New Roman" w:cs="Times New Roman"/>
          <w:sz w:val="24"/>
          <w:szCs w:val="24"/>
        </w:rPr>
        <w:t xml:space="preserve">, K., </w:t>
      </w:r>
      <w:proofErr w:type="spellStart"/>
      <w:r w:rsidRPr="00D72C65">
        <w:rPr>
          <w:rFonts w:ascii="Times New Roman" w:eastAsia="Times New Roman" w:hAnsi="Times New Roman" w:cs="Times New Roman"/>
          <w:sz w:val="24"/>
          <w:szCs w:val="24"/>
        </w:rPr>
        <w:t>Lazić</w:t>
      </w:r>
      <w:proofErr w:type="spellEnd"/>
      <w:r w:rsidRPr="00D72C65">
        <w:rPr>
          <w:rFonts w:ascii="Times New Roman" w:eastAsia="Times New Roman" w:hAnsi="Times New Roman" w:cs="Times New Roman"/>
          <w:sz w:val="24"/>
          <w:szCs w:val="24"/>
        </w:rPr>
        <w:t xml:space="preserve">, M., </w:t>
      </w:r>
      <w:proofErr w:type="spellStart"/>
      <w:r w:rsidRPr="00D72C65">
        <w:rPr>
          <w:rFonts w:ascii="Times New Roman" w:eastAsia="Times New Roman" w:hAnsi="Times New Roman" w:cs="Times New Roman"/>
          <w:sz w:val="24"/>
          <w:szCs w:val="24"/>
        </w:rPr>
        <w:t>Papaevangelou</w:t>
      </w:r>
      <w:proofErr w:type="spellEnd"/>
      <w:r w:rsidRPr="00D72C65">
        <w:rPr>
          <w:rFonts w:ascii="Times New Roman" w:eastAsia="Times New Roman" w:hAnsi="Times New Roman" w:cs="Times New Roman"/>
          <w:sz w:val="24"/>
          <w:szCs w:val="24"/>
        </w:rPr>
        <w:t xml:space="preserve">, V., </w:t>
      </w:r>
      <w:proofErr w:type="spellStart"/>
      <w:r w:rsidRPr="00D72C65">
        <w:rPr>
          <w:rFonts w:ascii="Times New Roman" w:eastAsia="Times New Roman" w:hAnsi="Times New Roman" w:cs="Times New Roman"/>
          <w:sz w:val="24"/>
          <w:szCs w:val="24"/>
        </w:rPr>
        <w:t>Lapii</w:t>
      </w:r>
      <w:proofErr w:type="spellEnd"/>
      <w:r w:rsidRPr="00D72C65">
        <w:rPr>
          <w:rFonts w:ascii="Times New Roman" w:eastAsia="Times New Roman" w:hAnsi="Times New Roman" w:cs="Times New Roman"/>
          <w:sz w:val="24"/>
          <w:szCs w:val="24"/>
        </w:rPr>
        <w:t xml:space="preserve">, F., Stein-Zamir, C., </w:t>
      </w:r>
      <w:proofErr w:type="spellStart"/>
      <w:r w:rsidRPr="00D72C65">
        <w:rPr>
          <w:rFonts w:ascii="Times New Roman" w:eastAsia="Times New Roman" w:hAnsi="Times New Roman" w:cs="Times New Roman"/>
          <w:sz w:val="24"/>
          <w:szCs w:val="24"/>
        </w:rPr>
        <w:t>Rath</w:t>
      </w:r>
      <w:proofErr w:type="spellEnd"/>
      <w:r w:rsidRPr="00D72C65">
        <w:rPr>
          <w:rFonts w:ascii="Times New Roman" w:eastAsia="Times New Roman" w:hAnsi="Times New Roman" w:cs="Times New Roman"/>
          <w:sz w:val="24"/>
          <w:szCs w:val="24"/>
        </w:rPr>
        <w:t xml:space="preserve">, B., … For </w:t>
      </w:r>
      <w:proofErr w:type="gramStart"/>
      <w:r w:rsidRPr="00D72C65">
        <w:rPr>
          <w:rFonts w:ascii="Times New Roman" w:eastAsia="Times New Roman" w:hAnsi="Times New Roman" w:cs="Times New Roman"/>
          <w:sz w:val="24"/>
          <w:szCs w:val="24"/>
        </w:rPr>
        <w:t>The</w:t>
      </w:r>
      <w:proofErr w:type="gramEnd"/>
      <w:r w:rsidRPr="00D72C65">
        <w:rPr>
          <w:rFonts w:ascii="Times New Roman" w:eastAsia="Times New Roman" w:hAnsi="Times New Roman" w:cs="Times New Roman"/>
          <w:sz w:val="24"/>
          <w:szCs w:val="24"/>
        </w:rPr>
        <w:t xml:space="preserve"> </w:t>
      </w:r>
      <w:proofErr w:type="spellStart"/>
      <w:r w:rsidRPr="00D72C65">
        <w:rPr>
          <w:rFonts w:ascii="Times New Roman" w:eastAsia="Times New Roman" w:hAnsi="Times New Roman" w:cs="Times New Roman"/>
          <w:sz w:val="24"/>
          <w:szCs w:val="24"/>
        </w:rPr>
        <w:t>ImmuHubs</w:t>
      </w:r>
      <w:proofErr w:type="spellEnd"/>
      <w:r w:rsidRPr="00D72C65">
        <w:rPr>
          <w:rFonts w:ascii="Times New Roman" w:eastAsia="Times New Roman" w:hAnsi="Times New Roman" w:cs="Times New Roman"/>
          <w:sz w:val="24"/>
          <w:szCs w:val="24"/>
        </w:rPr>
        <w:t xml:space="preserve"> Consortium (2022). Access to Vaccination among Disadvantaged, Isolated and Difficult-to-Reach Communities in the WHO European Region: A Systematic Review. </w:t>
      </w:r>
      <w:r w:rsidRPr="00D72C65">
        <w:rPr>
          <w:rFonts w:ascii="Times New Roman" w:eastAsia="Times New Roman" w:hAnsi="Times New Roman" w:cs="Times New Roman"/>
          <w:i/>
          <w:iCs/>
          <w:sz w:val="24"/>
          <w:szCs w:val="24"/>
        </w:rPr>
        <w:t>Vaccines</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10</w:t>
      </w:r>
      <w:r w:rsidRPr="00D72C65">
        <w:rPr>
          <w:rFonts w:ascii="Times New Roman" w:eastAsia="Times New Roman" w:hAnsi="Times New Roman" w:cs="Times New Roman"/>
          <w:sz w:val="24"/>
          <w:szCs w:val="24"/>
        </w:rPr>
        <w:t>(7), 1038. https://doi.org/10.3390/vaccines10071038</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Huebl</w:t>
      </w:r>
      <w:proofErr w:type="spellEnd"/>
      <w:r w:rsidRPr="00D72C65">
        <w:rPr>
          <w:rFonts w:ascii="Times New Roman" w:eastAsia="Times New Roman" w:hAnsi="Times New Roman" w:cs="Times New Roman"/>
          <w:sz w:val="24"/>
          <w:szCs w:val="24"/>
        </w:rPr>
        <w:t xml:space="preserve">, L., </w:t>
      </w:r>
      <w:proofErr w:type="spellStart"/>
      <w:r w:rsidRPr="00D72C65">
        <w:rPr>
          <w:rFonts w:ascii="Times New Roman" w:eastAsia="Times New Roman" w:hAnsi="Times New Roman" w:cs="Times New Roman"/>
          <w:sz w:val="24"/>
          <w:szCs w:val="24"/>
        </w:rPr>
        <w:t>Nnyombi</w:t>
      </w:r>
      <w:proofErr w:type="spellEnd"/>
      <w:r w:rsidRPr="00D72C65">
        <w:rPr>
          <w:rFonts w:ascii="Times New Roman" w:eastAsia="Times New Roman" w:hAnsi="Times New Roman" w:cs="Times New Roman"/>
          <w:sz w:val="24"/>
          <w:szCs w:val="24"/>
        </w:rPr>
        <w:t xml:space="preserve">, A., </w:t>
      </w:r>
      <w:proofErr w:type="spellStart"/>
      <w:r w:rsidRPr="00D72C65">
        <w:rPr>
          <w:rFonts w:ascii="Times New Roman" w:eastAsia="Times New Roman" w:hAnsi="Times New Roman" w:cs="Times New Roman"/>
          <w:sz w:val="24"/>
          <w:szCs w:val="24"/>
        </w:rPr>
        <w:t>Apoko</w:t>
      </w:r>
      <w:proofErr w:type="spellEnd"/>
      <w:r w:rsidRPr="00D72C65">
        <w:rPr>
          <w:rFonts w:ascii="Times New Roman" w:eastAsia="Times New Roman" w:hAnsi="Times New Roman" w:cs="Times New Roman"/>
          <w:sz w:val="24"/>
          <w:szCs w:val="24"/>
        </w:rPr>
        <w:t xml:space="preserve">, P., Okello, D., </w:t>
      </w:r>
      <w:proofErr w:type="spellStart"/>
      <w:r w:rsidRPr="00D72C65">
        <w:rPr>
          <w:rFonts w:ascii="Times New Roman" w:eastAsia="Times New Roman" w:hAnsi="Times New Roman" w:cs="Times New Roman"/>
          <w:sz w:val="24"/>
          <w:szCs w:val="24"/>
        </w:rPr>
        <w:t>Walakira</w:t>
      </w:r>
      <w:proofErr w:type="spellEnd"/>
      <w:r w:rsidRPr="00D72C65">
        <w:rPr>
          <w:rFonts w:ascii="Times New Roman" w:eastAsia="Times New Roman" w:hAnsi="Times New Roman" w:cs="Times New Roman"/>
          <w:sz w:val="24"/>
          <w:szCs w:val="24"/>
        </w:rPr>
        <w:t xml:space="preserve">, E., &amp; </w:t>
      </w:r>
      <w:proofErr w:type="spellStart"/>
      <w:r w:rsidRPr="00D72C65">
        <w:rPr>
          <w:rFonts w:ascii="Times New Roman" w:eastAsia="Times New Roman" w:hAnsi="Times New Roman" w:cs="Times New Roman"/>
          <w:sz w:val="24"/>
          <w:szCs w:val="24"/>
        </w:rPr>
        <w:t>Kutalek</w:t>
      </w:r>
      <w:proofErr w:type="spellEnd"/>
      <w:r w:rsidRPr="00D72C65">
        <w:rPr>
          <w:rFonts w:ascii="Times New Roman" w:eastAsia="Times New Roman" w:hAnsi="Times New Roman" w:cs="Times New Roman"/>
          <w:sz w:val="24"/>
          <w:szCs w:val="24"/>
        </w:rPr>
        <w:t xml:space="preserve">, R. (2025). Community perceptions of yellow fever and its treatment practices in regions with reported outbreaks in Uganda: A qualitative study. </w:t>
      </w:r>
      <w:proofErr w:type="spellStart"/>
      <w:r w:rsidRPr="00D72C65">
        <w:rPr>
          <w:rFonts w:ascii="Times New Roman" w:eastAsia="Times New Roman" w:hAnsi="Times New Roman" w:cs="Times New Roman"/>
          <w:i/>
          <w:iCs/>
          <w:sz w:val="24"/>
          <w:szCs w:val="24"/>
        </w:rPr>
        <w:t>PLoS</w:t>
      </w:r>
      <w:proofErr w:type="spellEnd"/>
      <w:r w:rsidRPr="00D72C65">
        <w:rPr>
          <w:rFonts w:ascii="Times New Roman" w:eastAsia="Times New Roman" w:hAnsi="Times New Roman" w:cs="Times New Roman"/>
          <w:i/>
          <w:iCs/>
          <w:sz w:val="24"/>
          <w:szCs w:val="24"/>
        </w:rPr>
        <w:t xml:space="preserve"> neglected tropical diseases</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19</w:t>
      </w:r>
      <w:r w:rsidRPr="00D72C65">
        <w:rPr>
          <w:rFonts w:ascii="Times New Roman" w:eastAsia="Times New Roman" w:hAnsi="Times New Roman" w:cs="Times New Roman"/>
          <w:sz w:val="24"/>
          <w:szCs w:val="24"/>
        </w:rPr>
        <w:t>(7), e0013251. https://doi.org/10.1371/journal.pntd.0013251</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proofErr w:type="spellStart"/>
      <w:r w:rsidRPr="00D72C65">
        <w:rPr>
          <w:rFonts w:ascii="Times New Roman" w:eastAsia="Times New Roman" w:hAnsi="Times New Roman" w:cs="Times New Roman"/>
          <w:sz w:val="24"/>
          <w:szCs w:val="24"/>
        </w:rPr>
        <w:t>Inusah</w:t>
      </w:r>
      <w:proofErr w:type="spellEnd"/>
      <w:r w:rsidRPr="00D72C65">
        <w:rPr>
          <w:rFonts w:ascii="Times New Roman" w:eastAsia="Times New Roman" w:hAnsi="Times New Roman" w:cs="Times New Roman"/>
          <w:sz w:val="24"/>
          <w:szCs w:val="24"/>
        </w:rPr>
        <w:t xml:space="preserve">, A. W., Collins, G., </w:t>
      </w:r>
      <w:proofErr w:type="spellStart"/>
      <w:r w:rsidRPr="00D72C65">
        <w:rPr>
          <w:rFonts w:ascii="Times New Roman" w:eastAsia="Times New Roman" w:hAnsi="Times New Roman" w:cs="Times New Roman"/>
          <w:sz w:val="24"/>
          <w:szCs w:val="24"/>
        </w:rPr>
        <w:t>Dzomeku</w:t>
      </w:r>
      <w:proofErr w:type="spellEnd"/>
      <w:r w:rsidRPr="00D72C65">
        <w:rPr>
          <w:rFonts w:ascii="Times New Roman" w:eastAsia="Times New Roman" w:hAnsi="Times New Roman" w:cs="Times New Roman"/>
          <w:sz w:val="24"/>
          <w:szCs w:val="24"/>
        </w:rPr>
        <w:t xml:space="preserve">, P., Head, M., &amp; </w:t>
      </w:r>
      <w:proofErr w:type="spellStart"/>
      <w:r w:rsidRPr="00D72C65">
        <w:rPr>
          <w:rFonts w:ascii="Times New Roman" w:eastAsia="Times New Roman" w:hAnsi="Times New Roman" w:cs="Times New Roman"/>
          <w:sz w:val="24"/>
          <w:szCs w:val="24"/>
        </w:rPr>
        <w:t>Ziblim</w:t>
      </w:r>
      <w:proofErr w:type="spellEnd"/>
      <w:r w:rsidRPr="00D72C65">
        <w:rPr>
          <w:rFonts w:ascii="Times New Roman" w:eastAsia="Times New Roman" w:hAnsi="Times New Roman" w:cs="Times New Roman"/>
          <w:sz w:val="24"/>
          <w:szCs w:val="24"/>
        </w:rPr>
        <w:t xml:space="preserve">, S. D. (2023). Knowledge, attitudes and practice towards yellow fever among nomadic populations: A cross-sectional study in yellow fever outbreak communities in Ghana. </w:t>
      </w:r>
      <w:r w:rsidRPr="00D72C65">
        <w:rPr>
          <w:rFonts w:ascii="Times New Roman" w:eastAsia="Times New Roman" w:hAnsi="Times New Roman" w:cs="Times New Roman"/>
          <w:i/>
          <w:iCs/>
          <w:sz w:val="24"/>
          <w:szCs w:val="24"/>
        </w:rPr>
        <w:t>PLOS global public health</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3</w:t>
      </w:r>
      <w:r w:rsidRPr="00D72C65">
        <w:rPr>
          <w:rFonts w:ascii="Times New Roman" w:eastAsia="Times New Roman" w:hAnsi="Times New Roman" w:cs="Times New Roman"/>
          <w:sz w:val="24"/>
          <w:szCs w:val="24"/>
        </w:rPr>
        <w:t>(3), e0000733. https://doi.org/10.1371/journal.pgph.0000733</w:t>
      </w:r>
    </w:p>
    <w:p w:rsidR="00D72C65" w:rsidRPr="00D72C65" w:rsidRDefault="00D72C65" w:rsidP="00D72C65">
      <w:pPr>
        <w:pStyle w:val="ListParagraph"/>
        <w:numPr>
          <w:ilvl w:val="0"/>
          <w:numId w:val="4"/>
        </w:numPr>
        <w:spacing w:after="0" w:line="240" w:lineRule="auto"/>
        <w:jc w:val="both"/>
        <w:rPr>
          <w:rFonts w:ascii="Times New Roman" w:eastAsia="Times New Roman" w:hAnsi="Times New Roman" w:cs="Times New Roman"/>
          <w:sz w:val="24"/>
          <w:szCs w:val="24"/>
        </w:rPr>
      </w:pPr>
      <w:r w:rsidRPr="00D72C65">
        <w:rPr>
          <w:rFonts w:ascii="Times New Roman" w:eastAsia="Times New Roman" w:hAnsi="Times New Roman" w:cs="Times New Roman"/>
          <w:sz w:val="24"/>
          <w:szCs w:val="24"/>
        </w:rPr>
        <w:t xml:space="preserve">Brown, G. W., Rhodes, N., </w:t>
      </w:r>
      <w:proofErr w:type="spellStart"/>
      <w:r w:rsidRPr="00D72C65">
        <w:rPr>
          <w:rFonts w:ascii="Times New Roman" w:eastAsia="Times New Roman" w:hAnsi="Times New Roman" w:cs="Times New Roman"/>
          <w:sz w:val="24"/>
          <w:szCs w:val="24"/>
        </w:rPr>
        <w:t>Tacheva</w:t>
      </w:r>
      <w:proofErr w:type="spellEnd"/>
      <w:r w:rsidRPr="00D72C65">
        <w:rPr>
          <w:rFonts w:ascii="Times New Roman" w:eastAsia="Times New Roman" w:hAnsi="Times New Roman" w:cs="Times New Roman"/>
          <w:sz w:val="24"/>
          <w:szCs w:val="24"/>
        </w:rPr>
        <w:t xml:space="preserve">, B., </w:t>
      </w:r>
      <w:proofErr w:type="spellStart"/>
      <w:r w:rsidRPr="00D72C65">
        <w:rPr>
          <w:rFonts w:ascii="Times New Roman" w:eastAsia="Times New Roman" w:hAnsi="Times New Roman" w:cs="Times New Roman"/>
          <w:sz w:val="24"/>
          <w:szCs w:val="24"/>
        </w:rPr>
        <w:t>Loewenson</w:t>
      </w:r>
      <w:proofErr w:type="spellEnd"/>
      <w:r w:rsidRPr="00D72C65">
        <w:rPr>
          <w:rFonts w:ascii="Times New Roman" w:eastAsia="Times New Roman" w:hAnsi="Times New Roman" w:cs="Times New Roman"/>
          <w:sz w:val="24"/>
          <w:szCs w:val="24"/>
        </w:rPr>
        <w:t xml:space="preserve">, R., Shahid, M., &amp; Poitier, F. (2023). Challenges in international health financing and implications for the new pandemic fund. </w:t>
      </w:r>
      <w:r w:rsidRPr="00D72C65">
        <w:rPr>
          <w:rFonts w:ascii="Times New Roman" w:eastAsia="Times New Roman" w:hAnsi="Times New Roman" w:cs="Times New Roman"/>
          <w:i/>
          <w:iCs/>
          <w:sz w:val="24"/>
          <w:szCs w:val="24"/>
        </w:rPr>
        <w:t>Globalization and health</w:t>
      </w:r>
      <w:r w:rsidRPr="00D72C65">
        <w:rPr>
          <w:rFonts w:ascii="Times New Roman" w:eastAsia="Times New Roman" w:hAnsi="Times New Roman" w:cs="Times New Roman"/>
          <w:sz w:val="24"/>
          <w:szCs w:val="24"/>
        </w:rPr>
        <w:t xml:space="preserve">, </w:t>
      </w:r>
      <w:r w:rsidRPr="00D72C65">
        <w:rPr>
          <w:rFonts w:ascii="Times New Roman" w:eastAsia="Times New Roman" w:hAnsi="Times New Roman" w:cs="Times New Roman"/>
          <w:i/>
          <w:iCs/>
          <w:sz w:val="24"/>
          <w:szCs w:val="24"/>
        </w:rPr>
        <w:t>19</w:t>
      </w:r>
      <w:r w:rsidRPr="00D72C65">
        <w:rPr>
          <w:rFonts w:ascii="Times New Roman" w:eastAsia="Times New Roman" w:hAnsi="Times New Roman" w:cs="Times New Roman"/>
          <w:sz w:val="24"/>
          <w:szCs w:val="24"/>
        </w:rPr>
        <w:t>(1), 97. https://doi.org/10.1186/s12992-023-00999-6</w:t>
      </w:r>
    </w:p>
    <w:p w:rsidR="00D552B0" w:rsidRPr="00D72C65" w:rsidRDefault="00D552B0" w:rsidP="00D72C65">
      <w:pPr>
        <w:spacing w:line="240" w:lineRule="auto"/>
        <w:jc w:val="both"/>
        <w:rPr>
          <w:rFonts w:ascii="Times New Roman" w:hAnsi="Times New Roman" w:cs="Times New Roman"/>
          <w:sz w:val="24"/>
          <w:szCs w:val="24"/>
        </w:rPr>
      </w:pPr>
    </w:p>
    <w:sectPr w:rsidR="00D552B0" w:rsidRPr="00D72C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84C" w:rsidRDefault="00EA684C" w:rsidP="000E0041">
      <w:pPr>
        <w:spacing w:after="0" w:line="240" w:lineRule="auto"/>
      </w:pPr>
      <w:r>
        <w:separator/>
      </w:r>
    </w:p>
  </w:endnote>
  <w:endnote w:type="continuationSeparator" w:id="0">
    <w:p w:rsidR="00EA684C" w:rsidRDefault="00EA684C" w:rsidP="000E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41" w:rsidRDefault="000E0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41" w:rsidRDefault="000E0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41" w:rsidRDefault="000E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84C" w:rsidRDefault="00EA684C" w:rsidP="000E0041">
      <w:pPr>
        <w:spacing w:after="0" w:line="240" w:lineRule="auto"/>
      </w:pPr>
      <w:r>
        <w:separator/>
      </w:r>
    </w:p>
  </w:footnote>
  <w:footnote w:type="continuationSeparator" w:id="0">
    <w:p w:rsidR="00EA684C" w:rsidRDefault="00EA684C" w:rsidP="000E0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41" w:rsidRDefault="00EA68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41" w:rsidRDefault="00EA68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41" w:rsidRDefault="00EA68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F4CEA"/>
    <w:multiLevelType w:val="multilevel"/>
    <w:tmpl w:val="01569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1E2A3F"/>
    <w:multiLevelType w:val="multilevel"/>
    <w:tmpl w:val="B7F4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A0E11"/>
    <w:multiLevelType w:val="multilevel"/>
    <w:tmpl w:val="84A67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E13119"/>
    <w:multiLevelType w:val="multilevel"/>
    <w:tmpl w:val="8AD8F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29763B"/>
    <w:multiLevelType w:val="multilevel"/>
    <w:tmpl w:val="F2FE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12F04"/>
    <w:multiLevelType w:val="multilevel"/>
    <w:tmpl w:val="B72A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C40AB2"/>
    <w:multiLevelType w:val="multilevel"/>
    <w:tmpl w:val="FD92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EE3D08"/>
    <w:multiLevelType w:val="hybridMultilevel"/>
    <w:tmpl w:val="BEA6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7"/>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B0"/>
    <w:rsid w:val="000C75A5"/>
    <w:rsid w:val="000E0041"/>
    <w:rsid w:val="0049011E"/>
    <w:rsid w:val="004901B6"/>
    <w:rsid w:val="00530200"/>
    <w:rsid w:val="005D272A"/>
    <w:rsid w:val="00781D9C"/>
    <w:rsid w:val="007B1195"/>
    <w:rsid w:val="007D74F3"/>
    <w:rsid w:val="007E765E"/>
    <w:rsid w:val="00A108F8"/>
    <w:rsid w:val="00AD1869"/>
    <w:rsid w:val="00AF139D"/>
    <w:rsid w:val="00B135F1"/>
    <w:rsid w:val="00D552B0"/>
    <w:rsid w:val="00D72C65"/>
    <w:rsid w:val="00E92D51"/>
    <w:rsid w:val="00EA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E96B5"/>
  <w15:chartTrackingRefBased/>
  <w15:docId w15:val="{A70F6F2F-50F5-40F5-9393-5FD96B1A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552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552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52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2B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552B0"/>
    <w:rPr>
      <w:b/>
      <w:bCs/>
    </w:rPr>
  </w:style>
  <w:style w:type="table" w:styleId="TableGridLight">
    <w:name w:val="Grid Table Light"/>
    <w:basedOn w:val="TableNormal"/>
    <w:uiPriority w:val="40"/>
    <w:rsid w:val="00D552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semiHidden/>
    <w:rsid w:val="00D552B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D552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52B0"/>
    <w:rPr>
      <w:i/>
      <w:iCs/>
    </w:rPr>
  </w:style>
  <w:style w:type="character" w:customStyle="1" w:styleId="Heading3Char">
    <w:name w:val="Heading 3 Char"/>
    <w:basedOn w:val="DefaultParagraphFont"/>
    <w:link w:val="Heading3"/>
    <w:uiPriority w:val="9"/>
    <w:semiHidden/>
    <w:rsid w:val="00D552B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72C65"/>
    <w:pPr>
      <w:ind w:left="720"/>
      <w:contextualSpacing/>
    </w:pPr>
  </w:style>
  <w:style w:type="character" w:styleId="Hyperlink">
    <w:name w:val="Hyperlink"/>
    <w:basedOn w:val="DefaultParagraphFont"/>
    <w:uiPriority w:val="99"/>
    <w:unhideWhenUsed/>
    <w:rsid w:val="00D72C65"/>
    <w:rPr>
      <w:color w:val="0563C1" w:themeColor="hyperlink"/>
      <w:u w:val="single"/>
    </w:rPr>
  </w:style>
  <w:style w:type="character" w:styleId="UnresolvedMention">
    <w:name w:val="Unresolved Mention"/>
    <w:basedOn w:val="DefaultParagraphFont"/>
    <w:uiPriority w:val="99"/>
    <w:semiHidden/>
    <w:unhideWhenUsed/>
    <w:rsid w:val="00530200"/>
    <w:rPr>
      <w:color w:val="605E5C"/>
      <w:shd w:val="clear" w:color="auto" w:fill="E1DFDD"/>
    </w:rPr>
  </w:style>
  <w:style w:type="paragraph" w:styleId="Header">
    <w:name w:val="header"/>
    <w:basedOn w:val="Normal"/>
    <w:link w:val="HeaderChar"/>
    <w:uiPriority w:val="99"/>
    <w:unhideWhenUsed/>
    <w:rsid w:val="000E0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041"/>
  </w:style>
  <w:style w:type="paragraph" w:styleId="Footer">
    <w:name w:val="footer"/>
    <w:basedOn w:val="Normal"/>
    <w:link w:val="FooterChar"/>
    <w:uiPriority w:val="99"/>
    <w:unhideWhenUsed/>
    <w:rsid w:val="000E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041"/>
  </w:style>
  <w:style w:type="paragraph" w:styleId="NoSpacing">
    <w:name w:val="No Spacing"/>
    <w:uiPriority w:val="1"/>
    <w:qFormat/>
    <w:rsid w:val="00E92D5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00737">
      <w:bodyDiv w:val="1"/>
      <w:marLeft w:val="0"/>
      <w:marRight w:val="0"/>
      <w:marTop w:val="0"/>
      <w:marBottom w:val="0"/>
      <w:divBdr>
        <w:top w:val="none" w:sz="0" w:space="0" w:color="auto"/>
        <w:left w:val="none" w:sz="0" w:space="0" w:color="auto"/>
        <w:bottom w:val="none" w:sz="0" w:space="0" w:color="auto"/>
        <w:right w:val="none" w:sz="0" w:space="0" w:color="auto"/>
      </w:divBdr>
    </w:div>
    <w:div w:id="1140734138">
      <w:bodyDiv w:val="1"/>
      <w:marLeft w:val="0"/>
      <w:marRight w:val="0"/>
      <w:marTop w:val="0"/>
      <w:marBottom w:val="0"/>
      <w:divBdr>
        <w:top w:val="none" w:sz="0" w:space="0" w:color="auto"/>
        <w:left w:val="none" w:sz="0" w:space="0" w:color="auto"/>
        <w:bottom w:val="none" w:sz="0" w:space="0" w:color="auto"/>
        <w:right w:val="none" w:sz="0" w:space="0" w:color="auto"/>
      </w:divBdr>
    </w:div>
    <w:div w:id="1243107333">
      <w:bodyDiv w:val="1"/>
      <w:marLeft w:val="0"/>
      <w:marRight w:val="0"/>
      <w:marTop w:val="0"/>
      <w:marBottom w:val="0"/>
      <w:divBdr>
        <w:top w:val="none" w:sz="0" w:space="0" w:color="auto"/>
        <w:left w:val="none" w:sz="0" w:space="0" w:color="auto"/>
        <w:bottom w:val="none" w:sz="0" w:space="0" w:color="auto"/>
        <w:right w:val="none" w:sz="0" w:space="0" w:color="auto"/>
      </w:divBdr>
    </w:div>
    <w:div w:id="1276981314">
      <w:bodyDiv w:val="1"/>
      <w:marLeft w:val="0"/>
      <w:marRight w:val="0"/>
      <w:marTop w:val="0"/>
      <w:marBottom w:val="0"/>
      <w:divBdr>
        <w:top w:val="none" w:sz="0" w:space="0" w:color="auto"/>
        <w:left w:val="none" w:sz="0" w:space="0" w:color="auto"/>
        <w:bottom w:val="none" w:sz="0" w:space="0" w:color="auto"/>
        <w:right w:val="none" w:sz="0" w:space="0" w:color="auto"/>
      </w:divBdr>
      <w:divsChild>
        <w:div w:id="1116867143">
          <w:marLeft w:val="0"/>
          <w:marRight w:val="0"/>
          <w:marTop w:val="0"/>
          <w:marBottom w:val="0"/>
          <w:divBdr>
            <w:top w:val="none" w:sz="0" w:space="0" w:color="auto"/>
            <w:left w:val="none" w:sz="0" w:space="0" w:color="auto"/>
            <w:bottom w:val="none" w:sz="0" w:space="0" w:color="auto"/>
            <w:right w:val="none" w:sz="0" w:space="0" w:color="auto"/>
          </w:divBdr>
          <w:divsChild>
            <w:div w:id="1275404295">
              <w:marLeft w:val="0"/>
              <w:marRight w:val="0"/>
              <w:marTop w:val="0"/>
              <w:marBottom w:val="0"/>
              <w:divBdr>
                <w:top w:val="none" w:sz="0" w:space="0" w:color="auto"/>
                <w:left w:val="none" w:sz="0" w:space="0" w:color="auto"/>
                <w:bottom w:val="none" w:sz="0" w:space="0" w:color="auto"/>
                <w:right w:val="none" w:sz="0" w:space="0" w:color="auto"/>
              </w:divBdr>
              <w:divsChild>
                <w:div w:id="1711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45478">
      <w:bodyDiv w:val="1"/>
      <w:marLeft w:val="0"/>
      <w:marRight w:val="0"/>
      <w:marTop w:val="0"/>
      <w:marBottom w:val="0"/>
      <w:divBdr>
        <w:top w:val="none" w:sz="0" w:space="0" w:color="auto"/>
        <w:left w:val="none" w:sz="0" w:space="0" w:color="auto"/>
        <w:bottom w:val="none" w:sz="0" w:space="0" w:color="auto"/>
        <w:right w:val="none" w:sz="0" w:space="0" w:color="auto"/>
      </w:divBdr>
    </w:div>
    <w:div w:id="175662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im.2018.05.01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77/194187441770812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3576</Words>
  <Characters>20385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EMMANUEL</cp:lastModifiedBy>
  <cp:revision>2</cp:revision>
  <dcterms:created xsi:type="dcterms:W3CDTF">2026-02-18T08:27:00Z</dcterms:created>
  <dcterms:modified xsi:type="dcterms:W3CDTF">2026-02-18T08:27:00Z</dcterms:modified>
</cp:coreProperties>
</file>