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67D94" w14:textId="77777777" w:rsidR="001B2995" w:rsidRDefault="00823EE0">
      <w:pPr>
        <w:spacing w:line="360" w:lineRule="auto"/>
        <w:jc w:val="center"/>
        <w:rPr>
          <w:b/>
          <w:bCs/>
          <w:highlight w:val="yellow"/>
        </w:rPr>
      </w:pPr>
      <w:r>
        <w:rPr>
          <w:b/>
          <w:bCs/>
          <w:highlight w:val="yellow"/>
        </w:rPr>
        <w:t>Original Research Article</w:t>
      </w:r>
    </w:p>
    <w:p w14:paraId="01BC89B6" w14:textId="77777777" w:rsidR="001B2995" w:rsidRDefault="00823EE0">
      <w:pPr>
        <w:spacing w:line="360" w:lineRule="auto"/>
        <w:jc w:val="center"/>
        <w:rPr>
          <w:b/>
          <w:bCs/>
          <w:highlight w:val="yellow"/>
        </w:rPr>
      </w:pPr>
      <w:r>
        <w:rPr>
          <w:b/>
          <w:bCs/>
          <w:highlight w:val="yellow"/>
        </w:rPr>
        <w:t>PREVALENCE OF OBESITY AND ITS ASSOCIATION WITH IRON DEFICIENCY IN ELEMENTARY SCHOOL STUDENTS IN AL-DIWANIYAH CITY</w:t>
      </w:r>
    </w:p>
    <w:p w14:paraId="38FBB0A8" w14:textId="77777777" w:rsidR="001B2995" w:rsidRDefault="001B2995"/>
    <w:p w14:paraId="2AB4F6F3" w14:textId="77777777" w:rsidR="001B2995" w:rsidRDefault="001B2995">
      <w:pPr>
        <w:rPr>
          <w:b/>
          <w:bCs/>
        </w:rPr>
      </w:pPr>
    </w:p>
    <w:p w14:paraId="7B72918E" w14:textId="77777777" w:rsidR="001B2995" w:rsidRDefault="00823EE0">
      <w:pPr>
        <w:rPr>
          <w:b/>
          <w:bCs/>
          <w:sz w:val="28"/>
          <w:szCs w:val="28"/>
        </w:rPr>
      </w:pPr>
      <w:r>
        <w:rPr>
          <w:b/>
          <w:bCs/>
          <w:sz w:val="28"/>
          <w:szCs w:val="28"/>
        </w:rPr>
        <w:t>Abstract</w:t>
      </w:r>
    </w:p>
    <w:p w14:paraId="7546E726" w14:textId="77777777" w:rsidR="001B2995" w:rsidRDefault="00823EE0">
      <w:r>
        <w:rPr>
          <w:b/>
          <w:bCs/>
        </w:rPr>
        <w:t xml:space="preserve">Background: </w:t>
      </w:r>
      <w:r>
        <w:t>Childhood obesity and iron deficiency are growing public health concerns worldwide, particularly in developing countries undergoing nutritional and lifestyle transitions. Obesity has been increasingly linked to altered iron metabolism and a higher risk of iron deficiency. This study aimed to assess the prevalence of obesity and its association with iron deficiency among elementary school students in Al-Diwaniyah City, Iraq.</w:t>
      </w:r>
    </w:p>
    <w:p w14:paraId="3C1E92AB" w14:textId="77777777" w:rsidR="001B2995" w:rsidRDefault="00823EE0">
      <w:r>
        <w:rPr>
          <w:b/>
          <w:bCs/>
        </w:rPr>
        <w:t>Methods:</w:t>
      </w:r>
      <w:r>
        <w:t xml:space="preserve"> A descriptive quantitative study was conducted from June to December 2025 among 300 male and female students selected through stratified random sampling from several public primary schools. These students had come to the Women's and Children's Teaching Hospital for treatment and vaccinations. Blood samples were taken from each student, and laboratory tests were performed. Data were collected using a structured questionnaire and included demographic information, BMI measurements, and hemoglobin levels. Statistical analysis was performed using SPSS version 25.</w:t>
      </w:r>
    </w:p>
    <w:p w14:paraId="7BED7951" w14:textId="77777777" w:rsidR="001B2995" w:rsidRDefault="00823EE0">
      <w:r>
        <w:rPr>
          <w:b/>
          <w:bCs/>
        </w:rPr>
        <w:t>Results:</w:t>
      </w:r>
      <w:r>
        <w:t xml:space="preserve"> More than half of the students had normal BMI (56.0%), while 19.3% were obese, 14.7% overweight, and 10.0% underweight, indicating a dual burden of malnutrition. The prevalence of iron deficiency was 31.7% and anemia 34.0%. Health-related symptoms, such as pallor or nail changes, were reported by 29.3% of participants. A significant association was found between obesity and iron deficiency: 48.3% of obese students were iron deficient compared to 27.7% of non-obese students. Mean hemoglobin was lowest in obese students (10.7 g/dL), and the association between BMI and hemoglobin levels was statistically significant (F = 6.12, p = 0.0004).</w:t>
      </w:r>
    </w:p>
    <w:p w14:paraId="60541867" w14:textId="77777777" w:rsidR="001B2995" w:rsidRDefault="00823EE0">
      <w:bookmarkStart w:id="0" w:name="_kiw7x16bnj7z" w:colFirst="0" w:colLast="0"/>
      <w:bookmarkEnd w:id="0"/>
      <w:r>
        <w:rPr>
          <w:b/>
          <w:bCs/>
        </w:rPr>
        <w:t>Conclusion:</w:t>
      </w:r>
      <w:r>
        <w:t xml:space="preserve"> Obesity and iron deficiency are highly prevalent and interconnected health issues among elementary school students in Al-Diwaniyah City. Obesity was strongly associated with reduced hemoglobin levels and higher rates of iron deficiency, likely due to inflammation-mediated alterations in iron metabolism. These findings highlight the need for school-based nutritional screening, dietary education, and early interventions aimed at managing weight and preventing micronutrient deficiencies to improve children's overall health and academic performance. These results were not generalized because they were limited to the city of Diwaniyah.</w:t>
      </w:r>
    </w:p>
    <w:p w14:paraId="15390A8D" w14:textId="77777777" w:rsidR="001B2995" w:rsidRDefault="00823EE0">
      <w:pPr>
        <w:rPr>
          <w:b/>
          <w:bCs/>
        </w:rPr>
      </w:pPr>
      <w:r>
        <w:rPr>
          <w:b/>
          <w:bCs/>
        </w:rPr>
        <w:t>Keywords: Obesity, Iron deficiency, Elementary school students.</w:t>
      </w:r>
    </w:p>
    <w:p w14:paraId="4856829D" w14:textId="77777777" w:rsidR="001B2995" w:rsidRDefault="001B2995">
      <w:pPr>
        <w:rPr>
          <w:b/>
          <w:bCs/>
        </w:rPr>
      </w:pPr>
    </w:p>
    <w:p w14:paraId="39DD8E23" w14:textId="77777777" w:rsidR="001B2995" w:rsidRDefault="00823EE0">
      <w:pPr>
        <w:rPr>
          <w:b/>
          <w:bCs/>
          <w:sz w:val="28"/>
          <w:szCs w:val="28"/>
        </w:rPr>
      </w:pPr>
      <w:r>
        <w:rPr>
          <w:b/>
          <w:bCs/>
          <w:sz w:val="28"/>
          <w:szCs w:val="28"/>
        </w:rPr>
        <w:t xml:space="preserve">Introduction </w:t>
      </w:r>
    </w:p>
    <w:p w14:paraId="03A2AB09" w14:textId="77777777" w:rsidR="001B2995" w:rsidRDefault="00823EE0">
      <w:pPr>
        <w:rPr>
          <w:color w:val="000000"/>
        </w:rPr>
      </w:pPr>
      <w:r>
        <w:rPr>
          <w:color w:val="000000"/>
        </w:rPr>
        <w:t>Epidemiology of overweight and obesity among elementary age students are one of the most significant challenges facing the world's public health in the twenty-first century is the epidemic of overweight and obesi</w:t>
      </w:r>
      <w:r>
        <w:t>ty among children. In the UK, the proportion of overweight or obese children and young people is thought to be around one-third, and</w:t>
      </w:r>
      <w:r>
        <w:rPr>
          <w:color w:val="000000"/>
        </w:rPr>
        <w:t xml:space="preserve"> it is rising. In England, roughly 25 percent of primary school-age children are overweight or obese. This rises to roughly one-third by the age of eleven (1). </w:t>
      </w:r>
    </w:p>
    <w:p w14:paraId="12883557" w14:textId="77777777" w:rsidR="001B2995" w:rsidRDefault="00823EE0">
      <w:pPr>
        <w:rPr>
          <w:color w:val="000000"/>
        </w:rPr>
      </w:pPr>
      <w:r>
        <w:rPr>
          <w:color w:val="000000"/>
        </w:rPr>
        <w:t xml:space="preserve">Historically, childhood overweight and obesity were seen primarily as a problem for the children of low-income families and those living in deprived urban areas. However, with increasing rates of childhood obesity in higher-income families and wealthy areas, it now affects all socioeconomic groups to some degree. Severely obese children have significantly higher morbidity and mortality rates than those who are not obese or overweight (2). </w:t>
      </w:r>
    </w:p>
    <w:p w14:paraId="0E72FF82" w14:textId="77777777" w:rsidR="001B2995" w:rsidRDefault="00823EE0">
      <w:pPr>
        <w:rPr>
          <w:color w:val="000000"/>
        </w:rPr>
      </w:pPr>
      <w:r>
        <w:rPr>
          <w:color w:val="000000"/>
        </w:rPr>
        <w:t xml:space="preserve">Over the past few decades, there has been an increase in childhood overweight and obesity. In 2016, there were an estimated 124 million obese children and adolescents worldwide, 213 million overweight, and 190 million thin or underweight children and adolescents, mostly in low-income countries (3) . It is very necessary, in order to have a complete comprehension of these tendencies at the national level, to collect anthropometric data from youngsters using a sample that is nationally representative. As a direct reaction to the suggestions made at the World Health Organization (WHO) European Ministerial Conference on Countering Obesity that took place in Istanbul in November 2006, the World Health Organization Regional Office for Europe initiated the WHO European Childhood Obesity Surveillance initiative in 2007. Surveillance data are essential for the efficient design, implementation, and assessment of policies and strategies for combating obesity. Because prevention is considered as the most realistic option for putting a stop to the epidemic, effective design of policies and strategies is essential (4) . </w:t>
      </w:r>
    </w:p>
    <w:p w14:paraId="6CC0DAD7" w14:textId="77777777" w:rsidR="001B2995" w:rsidRDefault="00823EE0">
      <w:pPr>
        <w:rPr>
          <w:color w:val="000000"/>
        </w:rPr>
      </w:pPr>
      <w:r>
        <w:rPr>
          <w:color w:val="000000"/>
        </w:rPr>
        <w:t xml:space="preserve">Patients with an elevated BMI have an increased risk of developing cardiovascular diseases, diabetes, musculoskeletal problems, and some cancers. This association between body mass index and health-related quality of life appears to be a two-way street, with the physiological aspects showing a stronger correlation than the psychological ones. Given that worse has been associated with both underweight and obesity, with differences between gender, a study of an Asian population discovered that this relationship was not linear. Obese individuals are more prone to pain than overweight individuals. Obesity and depression have been linked in a bidirectional manner, with the risk being higher in women, but not overweight and depression (5) . </w:t>
      </w:r>
    </w:p>
    <w:p w14:paraId="3D986849" w14:textId="77777777" w:rsidR="001B2995" w:rsidRDefault="00823EE0">
      <w:pPr>
        <w:rPr>
          <w:color w:val="000000"/>
        </w:rPr>
      </w:pPr>
      <w:r>
        <w:rPr>
          <w:color w:val="000000"/>
        </w:rPr>
        <w:t xml:space="preserve">According to representations provided by the World Health Organization (WHO), more than one billion persons around the globe are either overweight or obese, and the WHO also reports that the epidemiology of overweight and obesity among elementary age -students has more than doubled since 1980. In the United States, adults make up more than 80 percent of those who are overweight or obese, while only </w:t>
      </w:r>
      <w:r>
        <w:rPr>
          <w:color w:val="000000"/>
        </w:rPr>
        <w:lastRenderedPageBreak/>
        <w:t xml:space="preserve">around one third of youngsters fall into this category. There is a correlation between obesity and an increased risk for a number of negative health consequences, such as "cardiovascular disease, type 2 diabetes, various forms of cancer, hypertension, osteoarthritis, sleep apnea, and some mental health issues. In addition, it also contributes to high economic costs due to reduced productivity, increased healthcare costs, and absenteeism from work (6) . </w:t>
      </w:r>
    </w:p>
    <w:p w14:paraId="1AE58DDE" w14:textId="77777777" w:rsidR="001B2995" w:rsidRDefault="00823EE0">
      <w:pPr>
        <w:rPr>
          <w:color w:val="000000"/>
        </w:rPr>
      </w:pPr>
      <w:r>
        <w:rPr>
          <w:color w:val="000000"/>
        </w:rPr>
        <w:t>The growing global health problem is obesity which has increased dramatically in recent years (7). The prevalence of obesity continues to rise in developed and developing countries, Poor iron status are affecting millions of people worldwide. Iron deficiency is the first nutrient deficiency all over the world and both  obesity and iron deficiency may lead to adverse health issues (8). In 2013, an estimated 42 million children aged under 5 years (6.3%) were overweight, an increase from around 5% in 2000 to 6% in 2010 and 6.3% in 2013,with the highest rates of increase being observed in Africa and Asia(9).</w:t>
      </w:r>
    </w:p>
    <w:p w14:paraId="73802CDA" w14:textId="77777777" w:rsidR="001B2995" w:rsidRDefault="00823EE0">
      <w:pPr>
        <w:rPr>
          <w:color w:val="000000"/>
        </w:rPr>
      </w:pPr>
      <w:r>
        <w:rPr>
          <w:color w:val="000000"/>
        </w:rPr>
        <w:t>One of the major causes of obesity is the rapid changes from traditional to new diets, which contain large amounts of fat, sugar and oil. In addition to the environmental factors such as marketing, advertising, increasing portion sizes, accessibility and availability of calorie dense foods and increased automation, all of which have contributed to increased energy intake and reduced energy expenditure which can lead to overweight and obesity among children and adolescents4. Obesity has been associated with higher rates of death driven by comorbidities such as type 2 diabetes mellitus (T2DM), dyslipidemia, hypertension, obstructive sleep apnea (OSA), certain types of cancer, steatohepatitis, gastroesophageal reflux, arthritis, polycystic ovary syndrome (PCOS), and infertility.  Obesity has been associated also with increasing the risk of musculoskeletal pain and osteoarthritis (10).</w:t>
      </w:r>
    </w:p>
    <w:p w14:paraId="174591AC" w14:textId="77777777" w:rsidR="001B2995" w:rsidRDefault="00823EE0">
      <w:pPr>
        <w:rPr>
          <w:color w:val="000000"/>
        </w:rPr>
      </w:pPr>
      <w:r>
        <w:rPr>
          <w:color w:val="000000"/>
        </w:rPr>
        <w:t xml:space="preserve"> Due to the poor diet caused by foods high in calorie but low in nutrients consumption, obese children are susceptible not only to complications such as fatique but also to a variety of micronutrient deficiencies5. Anemia can cause many adverse effects on child health, as delayed psychomotor development, impaired cognitive function, IQ loss and increased susceptibility to lead toxicity. Correction of iron deficiency at this age group enhances children’s learning potential in schools, increases their fitness and work capacity. In addition improvement of girls iron status may help to prevent anemia during the reproductive years6. According to the research paper in Saudi Arabia findings, the rate of obesity is significantly high in the country, and expected to increase in future (11). </w:t>
      </w:r>
    </w:p>
    <w:p w14:paraId="62F22B4E" w14:textId="77777777" w:rsidR="001B2995" w:rsidRDefault="00823EE0">
      <w:pPr>
        <w:rPr>
          <w:color w:val="000000"/>
        </w:rPr>
      </w:pPr>
      <w:r>
        <w:rPr>
          <w:color w:val="000000"/>
        </w:rPr>
        <w:t>Overweight and obesity act as low-grade inflammatory diseases, can lead to transformation of iron metabolism, tissue iron overload, mobility decline and reduce the breakdown of myoglobin and a decrease in serum iron for hematopoiesis.  Adipose tissue defined as an endocrine organ that can contribute to the inflammatory process by secreting proinflammatory cytokines named adipokines, and the resulted inflammatory state may have an important pathogenic role in some obesity-related comorbidities(12). Hepcidin which is secreted by hepatocytes, circulate in blood plasma and excreted in urine, its expression in the liver is increased by inflammatory mediators which lead to iron deregulation. Hepcidin may be linked to other adipokines commonly elevated in obesity including Leptin(13).</w:t>
      </w:r>
    </w:p>
    <w:p w14:paraId="7F743589" w14:textId="77777777" w:rsidR="001B2995" w:rsidRDefault="00823EE0">
      <w:pPr>
        <w:rPr>
          <w:b/>
          <w:bCs/>
          <w:color w:val="000000"/>
        </w:rPr>
      </w:pPr>
      <w:r>
        <w:rPr>
          <w:b/>
          <w:bCs/>
          <w:color w:val="000000"/>
        </w:rPr>
        <w:lastRenderedPageBreak/>
        <w:t xml:space="preserve"> Aim of the study:</w:t>
      </w:r>
    </w:p>
    <w:p w14:paraId="2836BFAF" w14:textId="77777777" w:rsidR="001B2995" w:rsidRDefault="00823EE0">
      <w:pPr>
        <w:rPr>
          <w:color w:val="000000"/>
        </w:rPr>
      </w:pPr>
      <w:r>
        <w:t>To identify prevalence of obesity and its associated with Iron Deficiency in Elementary School Students in Al-Diwaniyah City.</w:t>
      </w:r>
    </w:p>
    <w:p w14:paraId="57645A3D" w14:textId="77777777" w:rsidR="001B2995" w:rsidRDefault="001B2995">
      <w:pPr>
        <w:rPr>
          <w:b/>
          <w:bCs/>
          <w:color w:val="000000"/>
        </w:rPr>
      </w:pPr>
    </w:p>
    <w:p w14:paraId="3FE6C2CE" w14:textId="77777777" w:rsidR="001B2995" w:rsidRDefault="00823EE0">
      <w:pPr>
        <w:rPr>
          <w:color w:val="000000"/>
          <w:sz w:val="28"/>
          <w:szCs w:val="28"/>
        </w:rPr>
      </w:pPr>
      <w:r>
        <w:rPr>
          <w:b/>
          <w:bCs/>
          <w:color w:val="000000"/>
          <w:sz w:val="28"/>
          <w:szCs w:val="28"/>
        </w:rPr>
        <w:t>Methodology</w:t>
      </w:r>
    </w:p>
    <w:p w14:paraId="12CC4137" w14:textId="77777777" w:rsidR="001B2995" w:rsidRDefault="00823EE0">
      <w:pPr>
        <w:rPr>
          <w:color w:val="FF0000"/>
        </w:rPr>
      </w:pPr>
      <w:r>
        <w:rPr>
          <w:b/>
          <w:bCs/>
        </w:rPr>
        <w:t>Study Design:</w:t>
      </w:r>
      <w:r>
        <w:rPr>
          <w:color w:val="231F20"/>
        </w:rPr>
        <w:t xml:space="preserve"> </w:t>
      </w:r>
      <w:r>
        <w:t xml:space="preserve">a quantitative (descriptive)  study design was conducted to </w:t>
      </w:r>
      <w:r>
        <w:rPr>
          <w:color w:val="000000"/>
        </w:rPr>
        <w:t xml:space="preserve">to assess the Prevalence of obesity and its association with Iron Deficiency in Elementary School Students in Al-Diwaniyah City </w:t>
      </w:r>
      <w:r>
        <w:t xml:space="preserve"> </w:t>
      </w:r>
      <w:r>
        <w:rPr>
          <w:color w:val="000000"/>
        </w:rPr>
        <w:t xml:space="preserve">from the period of </w:t>
      </w:r>
      <w:r>
        <w:t>20th June 2025 to 1st December 2025.</w:t>
      </w:r>
    </w:p>
    <w:p w14:paraId="40EE8F6E" w14:textId="77777777" w:rsidR="001B2995" w:rsidRDefault="00823EE0">
      <w:r>
        <w:rPr>
          <w:b/>
          <w:bCs/>
        </w:rPr>
        <w:t>Setting of the Study:</w:t>
      </w:r>
      <w:r>
        <w:t xml:space="preserve"> The study was conducted at the Women's and Children's Teaching Hospital.</w:t>
      </w:r>
    </w:p>
    <w:p w14:paraId="1B014E7F" w14:textId="77777777" w:rsidR="001B2995" w:rsidRDefault="00823EE0">
      <w:pPr>
        <w:rPr>
          <w:b/>
          <w:bCs/>
        </w:rPr>
      </w:pPr>
      <w:r>
        <w:rPr>
          <w:b/>
          <w:bCs/>
        </w:rPr>
        <w:t xml:space="preserve">Sample Method and Sample size:  </w:t>
      </w:r>
      <w:r>
        <w:t xml:space="preserve">Using stratified random sampling because there are various categories (strata) of schools, genders, and grades. A sample of 300 male and female students was selected from several public primary schools in the Diwaniyah City. These students had come to the Women's and Children's Teaching Hospital for treatment and vaccinations.  </w:t>
      </w:r>
      <w:r>
        <w:rPr>
          <w:highlight w:val="yellow"/>
        </w:rPr>
        <w:t xml:space="preserve">This setting was chosen as it serves as a central pediatric healthcare hub for the region, allowing the recruitment of a diverse and representative sample of children from the community attending for both routine preventive care (vaccinations) and minor illnesses. </w:t>
      </w:r>
      <w:r>
        <w:t>Blood samples were taken from each student, and laboratory tests were performed.</w:t>
      </w:r>
    </w:p>
    <w:p w14:paraId="1C2D2851" w14:textId="77777777" w:rsidR="001B2995" w:rsidRDefault="00823EE0">
      <w:pPr>
        <w:rPr>
          <w:b/>
          <w:bCs/>
          <w:color w:val="000000"/>
        </w:rPr>
      </w:pPr>
      <w:r>
        <w:rPr>
          <w:b/>
          <w:bCs/>
          <w:color w:val="000000"/>
        </w:rPr>
        <w:t>Ethical Considerations</w:t>
      </w:r>
    </w:p>
    <w:p w14:paraId="0B707E86" w14:textId="77777777" w:rsidR="001B2995" w:rsidRDefault="00823EE0">
      <w:pPr>
        <w:rPr>
          <w:highlight w:val="yellow"/>
        </w:rPr>
      </w:pPr>
      <w:r>
        <w:rPr>
          <w:highlight w:val="yellow"/>
        </w:rPr>
        <w:t>Ethical Considerations: Ethical approval for this study was obtained from the relevant health and educational authorities in Al-Diwaniyah City. Prior to participation, the purpose and procedures of the study were clearly explained to the students and their families. Since the participants are under the legal age of consent, written informed consent was officially obtained from the parents or legal guardians of all participating children before any data collection or blood sampling. Assent was also obtained from the children themselves. All collected data were kept strictly confidential and used solely for the purpose of this scientific research.</w:t>
      </w:r>
    </w:p>
    <w:p w14:paraId="75B29F03" w14:textId="77777777" w:rsidR="001B2995" w:rsidRDefault="001B2995">
      <w:pPr>
        <w:rPr>
          <w:b/>
          <w:bCs/>
        </w:rPr>
      </w:pPr>
    </w:p>
    <w:p w14:paraId="608B291A" w14:textId="77777777" w:rsidR="001B2995" w:rsidRDefault="001B2995">
      <w:pPr>
        <w:rPr>
          <w:b/>
          <w:bCs/>
        </w:rPr>
      </w:pPr>
    </w:p>
    <w:p w14:paraId="55B4C3C1" w14:textId="77777777" w:rsidR="001B2995" w:rsidRDefault="001B2995">
      <w:pPr>
        <w:ind w:left="450" w:right="-663" w:hanging="900"/>
      </w:pPr>
    </w:p>
    <w:p w14:paraId="12C69FE1" w14:textId="77777777" w:rsidR="001B2995" w:rsidRDefault="00823EE0">
      <w:r>
        <w:rPr>
          <w:b/>
          <w:bCs/>
        </w:rPr>
        <w:t>Study Instrument:</w:t>
      </w:r>
      <w:r>
        <w:t xml:space="preserve"> The questionnaire was designed  by the researcher based on prior research on the variables that were part of the current investigation .The questionnaire designed by Aloufi et al. (2018)(14) was adopted in Saudi Arabia for the research titled "Prevalence of Iron Deficiency Anemia in Obese Children in Taif Area - Saudi Arabia."  the researcher uses an instrument consisting from  demographic information data ,  anthropometric measures, including weight and  Hemoglobin levels, the serum iron </w:t>
      </w:r>
      <w:r>
        <w:lastRenderedPageBreak/>
        <w:t>and seum iron saturation.</w:t>
      </w:r>
      <w:r>
        <w:rPr>
          <w:highlight w:val="yellow"/>
        </w:rPr>
        <w:t xml:space="preserve"> The serum iron levels were measured using full automated device(Erba ). </w:t>
      </w:r>
      <w:r>
        <w:t xml:space="preserve">Iron Deficiency (ID) and Iron Deficiency anemia (IDA) were defined according to WHO criteria and Health and Nutritional Characteristics   include: </w:t>
      </w:r>
    </w:p>
    <w:p w14:paraId="68F02944" w14:textId="77777777" w:rsidR="001B2995" w:rsidRDefault="00823EE0">
      <w:r>
        <w:t>Part 1: Demographic Data: The socio-demographic sheet consist part is concerned with the demographic characteristic of the student ( Age (years) , Gender , class , Mother’s Education and Father’s Education</w:t>
      </w:r>
    </w:p>
    <w:p w14:paraId="606C0E30" w14:textId="77777777" w:rsidR="001B2995" w:rsidRDefault="00823EE0">
      <w:r>
        <w:t>Part2 : BMI measurement ; Calculating an adult client's BMI by dividing his body weight (kilograms) by the square of his height (meters). A score of less than 18.5 is considered underweight, 18.5-24.9 is considered normal range, 25-29.9 is considered overweight, 30-34.9 is considered grade 1 obesity, 35-39.9 is considered grade II obesity, and more than 40 is considered grade III obesity (Mahan &amp; Raymond, 2017).</w:t>
      </w:r>
    </w:p>
    <w:p w14:paraId="2C692446" w14:textId="77777777" w:rsidR="001B2995" w:rsidRDefault="00823EE0">
      <w:pPr>
        <w:rPr>
          <w:highlight w:val="yellow"/>
        </w:rPr>
      </w:pPr>
      <w:r>
        <w:t xml:space="preserve">part 3 :  </w:t>
      </w:r>
      <w:r>
        <w:rPr>
          <w:highlight w:val="yellow"/>
        </w:rPr>
        <w:t>Hemoglobin levels were obtained from the patient files at the pediatric clinic. Iron Deficiency (ID) and Iron Deficiency Anemia (IDA) were defined according to WHO criteria, where anemia in children is diagnosed if hemoglobin levels are &lt; 11.5 g/dL for children aged 5–11 years, and &lt; 12.0 g/dL for children aged 12–14 years.</w:t>
      </w:r>
    </w:p>
    <w:p w14:paraId="58A16D4A" w14:textId="77777777" w:rsidR="001B2995" w:rsidRDefault="00823EE0">
      <w:pPr>
        <w:rPr>
          <w:color w:val="000000"/>
          <w:highlight w:val="yellow"/>
        </w:rPr>
      </w:pPr>
      <w:r>
        <w:rPr>
          <w:highlight w:val="yellow"/>
        </w:rPr>
        <w:t xml:space="preserve">Part 4: Health and Nutritional Characteristics. Deficiencies in other nutrients, such as Vitamin A and Zinc, were assessed based on self-reporting and parents' recall of previous medical diagnoses rather than direct laboratory measurements </w:t>
      </w:r>
    </w:p>
    <w:p w14:paraId="43EAA43F" w14:textId="77777777" w:rsidR="001B2995" w:rsidRDefault="00823EE0">
      <w:r>
        <w:rPr>
          <w:b/>
          <w:bCs/>
        </w:rPr>
        <w:t>Data collection:</w:t>
      </w:r>
      <w:r>
        <w:t xml:space="preserve"> : The researchers met the parents at the Women's and Children's Teaching Hospital. in the city center of Diwaniyah to get their agreement to participate in the study and to clarify the study Arabic language questionnaire. The data collection process started from (20th June 2025 to 1st December 2025)  in order to achieve the objectives of the study. The researchers collected data from students, who read and write, through a self-report questionnaire, while with illiterate parents the researchers used the interview methods to collect the data with each student  took (10-15) minutes.The SPSS (Statistical Package of Social Sciences) version 25, was used to analyze the collected data of the study.</w:t>
      </w:r>
    </w:p>
    <w:p w14:paraId="1BABE21A" w14:textId="77777777" w:rsidR="001B2995" w:rsidRDefault="00823EE0">
      <w:pPr>
        <w:rPr>
          <w:b/>
          <w:bCs/>
          <w:sz w:val="28"/>
          <w:szCs w:val="28"/>
        </w:rPr>
      </w:pPr>
      <w:r>
        <w:rPr>
          <w:b/>
          <w:bCs/>
          <w:sz w:val="28"/>
          <w:szCs w:val="28"/>
        </w:rPr>
        <w:t>Result</w:t>
      </w:r>
    </w:p>
    <w:p w14:paraId="2C0DB16D" w14:textId="77777777" w:rsidR="001B2995" w:rsidRDefault="00823EE0">
      <w:pPr>
        <w:spacing w:before="280" w:after="280"/>
        <w:rPr>
          <w:b/>
          <w:bCs/>
        </w:rPr>
      </w:pPr>
      <w:r>
        <w:rPr>
          <w:b/>
          <w:bCs/>
        </w:rPr>
        <w:t>Table 1. Demographic Characteristics of Students (N = 300)</w:t>
      </w:r>
    </w:p>
    <w:tbl>
      <w:tblPr>
        <w:tblStyle w:val="a"/>
        <w:tblW w:w="71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760"/>
        <w:gridCol w:w="1527"/>
        <w:gridCol w:w="1688"/>
      </w:tblGrid>
      <w:tr w:rsidR="001B2995" w14:paraId="15DAAF5D" w14:textId="77777777">
        <w:trPr>
          <w:tblHeader/>
        </w:trPr>
        <w:tc>
          <w:tcPr>
            <w:tcW w:w="2155" w:type="dxa"/>
            <w:vAlign w:val="center"/>
          </w:tcPr>
          <w:p w14:paraId="245C5BFF" w14:textId="77777777" w:rsidR="001B2995" w:rsidRDefault="00823EE0">
            <w:pPr>
              <w:spacing w:after="0"/>
              <w:jc w:val="center"/>
              <w:rPr>
                <w:b/>
                <w:bCs/>
              </w:rPr>
            </w:pPr>
            <w:r>
              <w:rPr>
                <w:b/>
                <w:bCs/>
              </w:rPr>
              <w:t>Variable</w:t>
            </w:r>
          </w:p>
        </w:tc>
        <w:tc>
          <w:tcPr>
            <w:tcW w:w="1760" w:type="dxa"/>
            <w:vAlign w:val="center"/>
          </w:tcPr>
          <w:p w14:paraId="0641FE5C" w14:textId="77777777" w:rsidR="001B2995" w:rsidRDefault="00823EE0">
            <w:pPr>
              <w:spacing w:after="0"/>
              <w:jc w:val="center"/>
              <w:rPr>
                <w:b/>
                <w:bCs/>
              </w:rPr>
            </w:pPr>
            <w:r>
              <w:rPr>
                <w:b/>
                <w:bCs/>
              </w:rPr>
              <w:t>Category</w:t>
            </w:r>
          </w:p>
        </w:tc>
        <w:tc>
          <w:tcPr>
            <w:tcW w:w="1527" w:type="dxa"/>
            <w:vAlign w:val="center"/>
          </w:tcPr>
          <w:p w14:paraId="2CC7D628" w14:textId="77777777" w:rsidR="001B2995" w:rsidRDefault="00823EE0">
            <w:pPr>
              <w:spacing w:after="0"/>
              <w:jc w:val="center"/>
              <w:rPr>
                <w:b/>
                <w:bCs/>
              </w:rPr>
            </w:pPr>
            <w:r>
              <w:rPr>
                <w:b/>
                <w:bCs/>
              </w:rPr>
              <w:t>Frequency (n)</w:t>
            </w:r>
          </w:p>
        </w:tc>
        <w:tc>
          <w:tcPr>
            <w:tcW w:w="1688" w:type="dxa"/>
            <w:vAlign w:val="center"/>
          </w:tcPr>
          <w:p w14:paraId="096F81FE" w14:textId="77777777" w:rsidR="001B2995" w:rsidRDefault="00823EE0">
            <w:pPr>
              <w:spacing w:after="0"/>
              <w:jc w:val="center"/>
              <w:rPr>
                <w:b/>
                <w:bCs/>
              </w:rPr>
            </w:pPr>
            <w:r>
              <w:rPr>
                <w:b/>
                <w:bCs/>
              </w:rPr>
              <w:t>Percentage (%)</w:t>
            </w:r>
          </w:p>
        </w:tc>
      </w:tr>
      <w:tr w:rsidR="001B2995" w14:paraId="50EDF9A9" w14:textId="77777777">
        <w:tc>
          <w:tcPr>
            <w:tcW w:w="2155" w:type="dxa"/>
            <w:vMerge w:val="restart"/>
            <w:vAlign w:val="center"/>
          </w:tcPr>
          <w:p w14:paraId="01863E35" w14:textId="77777777" w:rsidR="001B2995" w:rsidRDefault="00823EE0">
            <w:pPr>
              <w:spacing w:after="0"/>
              <w:jc w:val="center"/>
            </w:pPr>
            <w:r>
              <w:rPr>
                <w:b/>
                <w:bCs/>
              </w:rPr>
              <w:t>Age (years)</w:t>
            </w:r>
          </w:p>
        </w:tc>
        <w:tc>
          <w:tcPr>
            <w:tcW w:w="1760" w:type="dxa"/>
            <w:vAlign w:val="center"/>
          </w:tcPr>
          <w:p w14:paraId="160D2C4E" w14:textId="77777777" w:rsidR="001B2995" w:rsidRDefault="00823EE0">
            <w:pPr>
              <w:spacing w:after="0"/>
              <w:jc w:val="center"/>
            </w:pPr>
            <w:r>
              <w:t>6–7</w:t>
            </w:r>
          </w:p>
        </w:tc>
        <w:tc>
          <w:tcPr>
            <w:tcW w:w="1527" w:type="dxa"/>
            <w:vAlign w:val="center"/>
          </w:tcPr>
          <w:p w14:paraId="126976E5" w14:textId="77777777" w:rsidR="001B2995" w:rsidRDefault="00823EE0">
            <w:pPr>
              <w:spacing w:after="0"/>
              <w:jc w:val="center"/>
            </w:pPr>
            <w:r>
              <w:t>92</w:t>
            </w:r>
          </w:p>
        </w:tc>
        <w:tc>
          <w:tcPr>
            <w:tcW w:w="1688" w:type="dxa"/>
            <w:vAlign w:val="center"/>
          </w:tcPr>
          <w:p w14:paraId="7302E3E7" w14:textId="77777777" w:rsidR="001B2995" w:rsidRDefault="00823EE0">
            <w:pPr>
              <w:spacing w:after="0"/>
              <w:jc w:val="center"/>
            </w:pPr>
            <w:r>
              <w:t>30.7</w:t>
            </w:r>
          </w:p>
        </w:tc>
      </w:tr>
      <w:tr w:rsidR="001B2995" w14:paraId="3EE4C08C" w14:textId="77777777">
        <w:tc>
          <w:tcPr>
            <w:tcW w:w="2155" w:type="dxa"/>
            <w:vMerge/>
            <w:vAlign w:val="center"/>
          </w:tcPr>
          <w:p w14:paraId="548F9771"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23B1BC18" w14:textId="77777777" w:rsidR="001B2995" w:rsidRDefault="00823EE0">
            <w:pPr>
              <w:spacing w:after="0"/>
              <w:jc w:val="center"/>
            </w:pPr>
            <w:r>
              <w:t>8–9</w:t>
            </w:r>
          </w:p>
        </w:tc>
        <w:tc>
          <w:tcPr>
            <w:tcW w:w="1527" w:type="dxa"/>
            <w:vAlign w:val="center"/>
          </w:tcPr>
          <w:p w14:paraId="7489A9BA" w14:textId="77777777" w:rsidR="001B2995" w:rsidRDefault="00823EE0">
            <w:pPr>
              <w:spacing w:after="0"/>
              <w:jc w:val="center"/>
            </w:pPr>
            <w:r>
              <w:t>118</w:t>
            </w:r>
          </w:p>
        </w:tc>
        <w:tc>
          <w:tcPr>
            <w:tcW w:w="1688" w:type="dxa"/>
            <w:vAlign w:val="center"/>
          </w:tcPr>
          <w:p w14:paraId="60412992" w14:textId="77777777" w:rsidR="001B2995" w:rsidRDefault="00823EE0">
            <w:pPr>
              <w:spacing w:after="0"/>
              <w:jc w:val="center"/>
            </w:pPr>
            <w:r>
              <w:t>39.3</w:t>
            </w:r>
          </w:p>
        </w:tc>
      </w:tr>
      <w:tr w:rsidR="001B2995" w14:paraId="16852784" w14:textId="77777777">
        <w:tc>
          <w:tcPr>
            <w:tcW w:w="2155" w:type="dxa"/>
            <w:vMerge/>
            <w:vAlign w:val="center"/>
          </w:tcPr>
          <w:p w14:paraId="68BB9406"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7F2A89DC" w14:textId="77777777" w:rsidR="001B2995" w:rsidRDefault="00823EE0">
            <w:pPr>
              <w:spacing w:after="0"/>
              <w:jc w:val="center"/>
            </w:pPr>
            <w:r>
              <w:t>10–12</w:t>
            </w:r>
          </w:p>
        </w:tc>
        <w:tc>
          <w:tcPr>
            <w:tcW w:w="1527" w:type="dxa"/>
            <w:vAlign w:val="center"/>
          </w:tcPr>
          <w:p w14:paraId="1DF7BB67" w14:textId="77777777" w:rsidR="001B2995" w:rsidRDefault="00823EE0">
            <w:pPr>
              <w:spacing w:after="0"/>
              <w:jc w:val="center"/>
            </w:pPr>
            <w:r>
              <w:t>90</w:t>
            </w:r>
          </w:p>
        </w:tc>
        <w:tc>
          <w:tcPr>
            <w:tcW w:w="1688" w:type="dxa"/>
            <w:vAlign w:val="center"/>
          </w:tcPr>
          <w:p w14:paraId="43DD2945" w14:textId="77777777" w:rsidR="001B2995" w:rsidRDefault="00823EE0">
            <w:pPr>
              <w:spacing w:after="0"/>
              <w:jc w:val="center"/>
            </w:pPr>
            <w:r>
              <w:t>30.0</w:t>
            </w:r>
          </w:p>
        </w:tc>
      </w:tr>
      <w:tr w:rsidR="001B2995" w14:paraId="343707CD" w14:textId="77777777">
        <w:tc>
          <w:tcPr>
            <w:tcW w:w="2155" w:type="dxa"/>
            <w:vMerge w:val="restart"/>
            <w:vAlign w:val="center"/>
          </w:tcPr>
          <w:p w14:paraId="0D49B891" w14:textId="77777777" w:rsidR="001B2995" w:rsidRDefault="00823EE0">
            <w:pPr>
              <w:spacing w:after="0"/>
              <w:jc w:val="center"/>
            </w:pPr>
            <w:r>
              <w:rPr>
                <w:b/>
                <w:bCs/>
              </w:rPr>
              <w:t>Gender</w:t>
            </w:r>
          </w:p>
        </w:tc>
        <w:tc>
          <w:tcPr>
            <w:tcW w:w="1760" w:type="dxa"/>
            <w:vAlign w:val="center"/>
          </w:tcPr>
          <w:p w14:paraId="603A3C56" w14:textId="77777777" w:rsidR="001B2995" w:rsidRDefault="00823EE0">
            <w:pPr>
              <w:spacing w:after="0"/>
              <w:jc w:val="center"/>
            </w:pPr>
            <w:r>
              <w:t>Male</w:t>
            </w:r>
          </w:p>
        </w:tc>
        <w:tc>
          <w:tcPr>
            <w:tcW w:w="1527" w:type="dxa"/>
            <w:vAlign w:val="center"/>
          </w:tcPr>
          <w:p w14:paraId="352988C8" w14:textId="77777777" w:rsidR="001B2995" w:rsidRDefault="00823EE0">
            <w:pPr>
              <w:spacing w:after="0"/>
              <w:jc w:val="center"/>
            </w:pPr>
            <w:r>
              <w:t>156</w:t>
            </w:r>
          </w:p>
        </w:tc>
        <w:tc>
          <w:tcPr>
            <w:tcW w:w="1688" w:type="dxa"/>
            <w:vAlign w:val="center"/>
          </w:tcPr>
          <w:p w14:paraId="15713CD2" w14:textId="77777777" w:rsidR="001B2995" w:rsidRDefault="00823EE0">
            <w:pPr>
              <w:spacing w:after="0"/>
              <w:jc w:val="center"/>
            </w:pPr>
            <w:r>
              <w:t>52.0</w:t>
            </w:r>
          </w:p>
        </w:tc>
      </w:tr>
      <w:tr w:rsidR="001B2995" w14:paraId="42E73383" w14:textId="77777777">
        <w:tc>
          <w:tcPr>
            <w:tcW w:w="2155" w:type="dxa"/>
            <w:vMerge/>
            <w:vAlign w:val="center"/>
          </w:tcPr>
          <w:p w14:paraId="3E331033"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48014E5E" w14:textId="77777777" w:rsidR="001B2995" w:rsidRDefault="00823EE0">
            <w:pPr>
              <w:spacing w:after="0"/>
              <w:jc w:val="center"/>
            </w:pPr>
            <w:r>
              <w:t>Female</w:t>
            </w:r>
          </w:p>
        </w:tc>
        <w:tc>
          <w:tcPr>
            <w:tcW w:w="1527" w:type="dxa"/>
            <w:vAlign w:val="center"/>
          </w:tcPr>
          <w:p w14:paraId="75283DD1" w14:textId="77777777" w:rsidR="001B2995" w:rsidRDefault="00823EE0">
            <w:pPr>
              <w:spacing w:after="0"/>
              <w:jc w:val="center"/>
            </w:pPr>
            <w:r>
              <w:t>144</w:t>
            </w:r>
          </w:p>
        </w:tc>
        <w:tc>
          <w:tcPr>
            <w:tcW w:w="1688" w:type="dxa"/>
            <w:vAlign w:val="center"/>
          </w:tcPr>
          <w:p w14:paraId="23D87AAE" w14:textId="77777777" w:rsidR="001B2995" w:rsidRDefault="00823EE0">
            <w:pPr>
              <w:spacing w:after="0"/>
              <w:jc w:val="center"/>
            </w:pPr>
            <w:r>
              <w:t>48.0</w:t>
            </w:r>
          </w:p>
        </w:tc>
      </w:tr>
      <w:tr w:rsidR="001B2995" w14:paraId="3A10A073" w14:textId="77777777">
        <w:tc>
          <w:tcPr>
            <w:tcW w:w="2155" w:type="dxa"/>
            <w:vMerge w:val="restart"/>
            <w:vAlign w:val="center"/>
          </w:tcPr>
          <w:p w14:paraId="3AAFFB50" w14:textId="77777777" w:rsidR="001B2995" w:rsidRDefault="00823EE0">
            <w:pPr>
              <w:spacing w:after="0"/>
              <w:jc w:val="center"/>
            </w:pPr>
            <w:r>
              <w:rPr>
                <w:b/>
                <w:bCs/>
              </w:rPr>
              <w:t xml:space="preserve">Class </w:t>
            </w:r>
          </w:p>
        </w:tc>
        <w:tc>
          <w:tcPr>
            <w:tcW w:w="1760" w:type="dxa"/>
            <w:vAlign w:val="center"/>
          </w:tcPr>
          <w:p w14:paraId="0C48F3EC" w14:textId="77777777" w:rsidR="001B2995" w:rsidRDefault="00823EE0">
            <w:pPr>
              <w:spacing w:after="0"/>
              <w:jc w:val="center"/>
            </w:pPr>
            <w:r>
              <w:t xml:space="preserve">First </w:t>
            </w:r>
          </w:p>
        </w:tc>
        <w:tc>
          <w:tcPr>
            <w:tcW w:w="1527" w:type="dxa"/>
            <w:vAlign w:val="center"/>
          </w:tcPr>
          <w:p w14:paraId="65C25FA0" w14:textId="77777777" w:rsidR="001B2995" w:rsidRDefault="00823EE0">
            <w:pPr>
              <w:spacing w:after="0"/>
              <w:jc w:val="center"/>
            </w:pPr>
            <w:r>
              <w:t>52</w:t>
            </w:r>
          </w:p>
        </w:tc>
        <w:tc>
          <w:tcPr>
            <w:tcW w:w="1688" w:type="dxa"/>
            <w:vAlign w:val="center"/>
          </w:tcPr>
          <w:p w14:paraId="6CDB747C" w14:textId="77777777" w:rsidR="001B2995" w:rsidRDefault="00823EE0">
            <w:pPr>
              <w:spacing w:after="0"/>
              <w:jc w:val="center"/>
            </w:pPr>
            <w:r>
              <w:t>17.3</w:t>
            </w:r>
          </w:p>
        </w:tc>
      </w:tr>
      <w:tr w:rsidR="001B2995" w14:paraId="7429F338" w14:textId="77777777">
        <w:tc>
          <w:tcPr>
            <w:tcW w:w="2155" w:type="dxa"/>
            <w:vMerge/>
            <w:vAlign w:val="center"/>
          </w:tcPr>
          <w:p w14:paraId="2AE828BB"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276F5651" w14:textId="77777777" w:rsidR="001B2995" w:rsidRDefault="00823EE0">
            <w:pPr>
              <w:spacing w:after="0"/>
              <w:jc w:val="center"/>
            </w:pPr>
            <w:r>
              <w:t xml:space="preserve">Second </w:t>
            </w:r>
          </w:p>
        </w:tc>
        <w:tc>
          <w:tcPr>
            <w:tcW w:w="1527" w:type="dxa"/>
            <w:vAlign w:val="center"/>
          </w:tcPr>
          <w:p w14:paraId="754F26BB" w14:textId="77777777" w:rsidR="001B2995" w:rsidRDefault="00823EE0">
            <w:pPr>
              <w:spacing w:after="0"/>
              <w:jc w:val="center"/>
            </w:pPr>
            <w:r>
              <w:t>41</w:t>
            </w:r>
          </w:p>
        </w:tc>
        <w:tc>
          <w:tcPr>
            <w:tcW w:w="1688" w:type="dxa"/>
            <w:vAlign w:val="center"/>
          </w:tcPr>
          <w:p w14:paraId="788DD4CF" w14:textId="77777777" w:rsidR="001B2995" w:rsidRDefault="00823EE0">
            <w:pPr>
              <w:spacing w:after="0"/>
              <w:jc w:val="center"/>
            </w:pPr>
            <w:r>
              <w:t>13.7</w:t>
            </w:r>
          </w:p>
        </w:tc>
      </w:tr>
      <w:tr w:rsidR="001B2995" w14:paraId="25E018A1" w14:textId="77777777">
        <w:tc>
          <w:tcPr>
            <w:tcW w:w="2155" w:type="dxa"/>
            <w:vMerge/>
            <w:vAlign w:val="center"/>
          </w:tcPr>
          <w:p w14:paraId="0864AC73"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19386A0F" w14:textId="77777777" w:rsidR="001B2995" w:rsidRDefault="00823EE0">
            <w:pPr>
              <w:spacing w:after="0"/>
              <w:jc w:val="center"/>
            </w:pPr>
            <w:r>
              <w:t>Third</w:t>
            </w:r>
          </w:p>
        </w:tc>
        <w:tc>
          <w:tcPr>
            <w:tcW w:w="1527" w:type="dxa"/>
            <w:vAlign w:val="center"/>
          </w:tcPr>
          <w:p w14:paraId="2449705B" w14:textId="77777777" w:rsidR="001B2995" w:rsidRDefault="00823EE0">
            <w:pPr>
              <w:spacing w:after="0"/>
              <w:jc w:val="center"/>
            </w:pPr>
            <w:r>
              <w:t>63</w:t>
            </w:r>
          </w:p>
        </w:tc>
        <w:tc>
          <w:tcPr>
            <w:tcW w:w="1688" w:type="dxa"/>
            <w:vAlign w:val="center"/>
          </w:tcPr>
          <w:p w14:paraId="306821A9" w14:textId="77777777" w:rsidR="001B2995" w:rsidRDefault="00823EE0">
            <w:pPr>
              <w:spacing w:after="0"/>
              <w:jc w:val="center"/>
            </w:pPr>
            <w:r>
              <w:t>21</w:t>
            </w:r>
          </w:p>
        </w:tc>
      </w:tr>
      <w:tr w:rsidR="001B2995" w14:paraId="07CFB38B" w14:textId="77777777">
        <w:tc>
          <w:tcPr>
            <w:tcW w:w="2155" w:type="dxa"/>
            <w:vMerge/>
            <w:vAlign w:val="center"/>
          </w:tcPr>
          <w:p w14:paraId="211D8FDD"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0624CDAE" w14:textId="77777777" w:rsidR="001B2995" w:rsidRDefault="00823EE0">
            <w:pPr>
              <w:spacing w:after="0"/>
              <w:jc w:val="center"/>
            </w:pPr>
            <w:r>
              <w:t xml:space="preserve">Fourth </w:t>
            </w:r>
          </w:p>
        </w:tc>
        <w:tc>
          <w:tcPr>
            <w:tcW w:w="1527" w:type="dxa"/>
            <w:vAlign w:val="center"/>
          </w:tcPr>
          <w:p w14:paraId="4CF34F1F" w14:textId="77777777" w:rsidR="001B2995" w:rsidRDefault="00823EE0">
            <w:pPr>
              <w:spacing w:after="0"/>
              <w:jc w:val="center"/>
            </w:pPr>
            <w:r>
              <w:t>38</w:t>
            </w:r>
          </w:p>
        </w:tc>
        <w:tc>
          <w:tcPr>
            <w:tcW w:w="1688" w:type="dxa"/>
            <w:vAlign w:val="center"/>
          </w:tcPr>
          <w:p w14:paraId="2D2F39F8" w14:textId="77777777" w:rsidR="001B2995" w:rsidRDefault="00823EE0">
            <w:pPr>
              <w:spacing w:after="0"/>
              <w:jc w:val="center"/>
            </w:pPr>
            <w:r>
              <w:t>12.7</w:t>
            </w:r>
          </w:p>
        </w:tc>
      </w:tr>
      <w:tr w:rsidR="001B2995" w14:paraId="2928DD14" w14:textId="77777777">
        <w:tc>
          <w:tcPr>
            <w:tcW w:w="2155" w:type="dxa"/>
            <w:vMerge/>
            <w:vAlign w:val="center"/>
          </w:tcPr>
          <w:p w14:paraId="462783CF"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74F86B65" w14:textId="77777777" w:rsidR="001B2995" w:rsidRDefault="00823EE0">
            <w:pPr>
              <w:spacing w:after="0"/>
              <w:jc w:val="center"/>
            </w:pPr>
            <w:r>
              <w:t xml:space="preserve">Fifth </w:t>
            </w:r>
          </w:p>
        </w:tc>
        <w:tc>
          <w:tcPr>
            <w:tcW w:w="1527" w:type="dxa"/>
            <w:vAlign w:val="center"/>
          </w:tcPr>
          <w:p w14:paraId="793D01AA" w14:textId="77777777" w:rsidR="001B2995" w:rsidRDefault="00823EE0">
            <w:pPr>
              <w:spacing w:after="0"/>
              <w:jc w:val="center"/>
            </w:pPr>
            <w:r>
              <w:t>56</w:t>
            </w:r>
          </w:p>
        </w:tc>
        <w:tc>
          <w:tcPr>
            <w:tcW w:w="1688" w:type="dxa"/>
            <w:vAlign w:val="center"/>
          </w:tcPr>
          <w:p w14:paraId="3475E041" w14:textId="77777777" w:rsidR="001B2995" w:rsidRDefault="00823EE0">
            <w:pPr>
              <w:spacing w:after="0"/>
              <w:jc w:val="center"/>
            </w:pPr>
            <w:r>
              <w:t>18.7</w:t>
            </w:r>
          </w:p>
        </w:tc>
      </w:tr>
      <w:tr w:rsidR="001B2995" w14:paraId="263E3C55" w14:textId="77777777">
        <w:tc>
          <w:tcPr>
            <w:tcW w:w="2155" w:type="dxa"/>
            <w:vMerge/>
            <w:vAlign w:val="center"/>
          </w:tcPr>
          <w:p w14:paraId="1FB61C56"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2869E171" w14:textId="77777777" w:rsidR="001B2995" w:rsidRDefault="00823EE0">
            <w:pPr>
              <w:spacing w:after="0"/>
              <w:jc w:val="center"/>
            </w:pPr>
            <w:r>
              <w:t xml:space="preserve">Sixth </w:t>
            </w:r>
          </w:p>
        </w:tc>
        <w:tc>
          <w:tcPr>
            <w:tcW w:w="1527" w:type="dxa"/>
            <w:vAlign w:val="center"/>
          </w:tcPr>
          <w:p w14:paraId="00FA697F" w14:textId="77777777" w:rsidR="001B2995" w:rsidRDefault="00823EE0">
            <w:pPr>
              <w:spacing w:after="0"/>
              <w:jc w:val="center"/>
            </w:pPr>
            <w:r>
              <w:t>50</w:t>
            </w:r>
          </w:p>
        </w:tc>
        <w:tc>
          <w:tcPr>
            <w:tcW w:w="1688" w:type="dxa"/>
            <w:vAlign w:val="center"/>
          </w:tcPr>
          <w:p w14:paraId="21ADDE84" w14:textId="77777777" w:rsidR="001B2995" w:rsidRDefault="00823EE0">
            <w:pPr>
              <w:spacing w:after="0"/>
              <w:jc w:val="center"/>
            </w:pPr>
            <w:r>
              <w:t>16.7</w:t>
            </w:r>
          </w:p>
        </w:tc>
      </w:tr>
      <w:tr w:rsidR="001B2995" w14:paraId="55E77173" w14:textId="77777777">
        <w:tc>
          <w:tcPr>
            <w:tcW w:w="2155" w:type="dxa"/>
            <w:vMerge w:val="restart"/>
            <w:vAlign w:val="center"/>
          </w:tcPr>
          <w:p w14:paraId="3C9D47B5" w14:textId="77777777" w:rsidR="001B2995" w:rsidRDefault="00823EE0">
            <w:pPr>
              <w:spacing w:after="0"/>
              <w:jc w:val="center"/>
            </w:pPr>
            <w:r>
              <w:rPr>
                <w:b/>
                <w:bCs/>
              </w:rPr>
              <w:t>Mother’s Education</w:t>
            </w:r>
          </w:p>
        </w:tc>
        <w:tc>
          <w:tcPr>
            <w:tcW w:w="1760" w:type="dxa"/>
            <w:vAlign w:val="center"/>
          </w:tcPr>
          <w:p w14:paraId="78D4BD22" w14:textId="77777777" w:rsidR="001B2995" w:rsidRDefault="00823EE0">
            <w:pPr>
              <w:spacing w:after="0"/>
              <w:jc w:val="center"/>
            </w:pPr>
            <w:r>
              <w:t>Primary or below</w:t>
            </w:r>
          </w:p>
        </w:tc>
        <w:tc>
          <w:tcPr>
            <w:tcW w:w="1527" w:type="dxa"/>
            <w:vAlign w:val="center"/>
          </w:tcPr>
          <w:p w14:paraId="1468C9B9" w14:textId="77777777" w:rsidR="001B2995" w:rsidRDefault="00823EE0">
            <w:pPr>
              <w:spacing w:after="0"/>
              <w:jc w:val="center"/>
            </w:pPr>
            <w:r>
              <w:t>110</w:t>
            </w:r>
          </w:p>
        </w:tc>
        <w:tc>
          <w:tcPr>
            <w:tcW w:w="1688" w:type="dxa"/>
            <w:vAlign w:val="center"/>
          </w:tcPr>
          <w:p w14:paraId="130F882A" w14:textId="77777777" w:rsidR="001B2995" w:rsidRDefault="00823EE0">
            <w:pPr>
              <w:spacing w:after="0"/>
              <w:jc w:val="center"/>
            </w:pPr>
            <w:r>
              <w:t>36.7</w:t>
            </w:r>
          </w:p>
        </w:tc>
      </w:tr>
      <w:tr w:rsidR="001B2995" w14:paraId="54EF80AC" w14:textId="77777777">
        <w:tc>
          <w:tcPr>
            <w:tcW w:w="2155" w:type="dxa"/>
            <w:vMerge/>
            <w:vAlign w:val="center"/>
          </w:tcPr>
          <w:p w14:paraId="2AF8197A"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0AF628DA" w14:textId="77777777" w:rsidR="001B2995" w:rsidRDefault="00823EE0">
            <w:pPr>
              <w:spacing w:after="0"/>
              <w:jc w:val="center"/>
            </w:pPr>
            <w:r>
              <w:t>Secondary</w:t>
            </w:r>
          </w:p>
        </w:tc>
        <w:tc>
          <w:tcPr>
            <w:tcW w:w="1527" w:type="dxa"/>
            <w:vAlign w:val="center"/>
          </w:tcPr>
          <w:p w14:paraId="2089EA45" w14:textId="77777777" w:rsidR="001B2995" w:rsidRDefault="00823EE0">
            <w:pPr>
              <w:spacing w:after="0"/>
              <w:jc w:val="center"/>
            </w:pPr>
            <w:r>
              <w:t>118</w:t>
            </w:r>
          </w:p>
        </w:tc>
        <w:tc>
          <w:tcPr>
            <w:tcW w:w="1688" w:type="dxa"/>
            <w:vAlign w:val="center"/>
          </w:tcPr>
          <w:p w14:paraId="65ED1FF2" w14:textId="77777777" w:rsidR="001B2995" w:rsidRDefault="00823EE0">
            <w:pPr>
              <w:spacing w:after="0"/>
              <w:jc w:val="center"/>
            </w:pPr>
            <w:r>
              <w:t>39.3</w:t>
            </w:r>
          </w:p>
        </w:tc>
      </w:tr>
      <w:tr w:rsidR="001B2995" w14:paraId="0BD21220" w14:textId="77777777">
        <w:tc>
          <w:tcPr>
            <w:tcW w:w="2155" w:type="dxa"/>
            <w:vMerge/>
            <w:vAlign w:val="center"/>
          </w:tcPr>
          <w:p w14:paraId="032826B2"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366136D5" w14:textId="77777777" w:rsidR="001B2995" w:rsidRDefault="00823EE0">
            <w:pPr>
              <w:spacing w:after="0"/>
              <w:jc w:val="center"/>
            </w:pPr>
            <w:r>
              <w:t>College</w:t>
            </w:r>
          </w:p>
        </w:tc>
        <w:tc>
          <w:tcPr>
            <w:tcW w:w="1527" w:type="dxa"/>
            <w:vAlign w:val="center"/>
          </w:tcPr>
          <w:p w14:paraId="4A815DC0" w14:textId="77777777" w:rsidR="001B2995" w:rsidRDefault="00823EE0">
            <w:pPr>
              <w:spacing w:after="0"/>
              <w:jc w:val="center"/>
            </w:pPr>
            <w:r>
              <w:t>72</w:t>
            </w:r>
          </w:p>
        </w:tc>
        <w:tc>
          <w:tcPr>
            <w:tcW w:w="1688" w:type="dxa"/>
            <w:vAlign w:val="center"/>
          </w:tcPr>
          <w:p w14:paraId="5FF66D75" w14:textId="77777777" w:rsidR="001B2995" w:rsidRDefault="00823EE0">
            <w:pPr>
              <w:spacing w:after="0"/>
              <w:jc w:val="center"/>
            </w:pPr>
            <w:r>
              <w:t>24.0</w:t>
            </w:r>
          </w:p>
        </w:tc>
      </w:tr>
      <w:tr w:rsidR="001B2995" w14:paraId="2A95B908" w14:textId="77777777">
        <w:tc>
          <w:tcPr>
            <w:tcW w:w="2155" w:type="dxa"/>
            <w:vAlign w:val="center"/>
          </w:tcPr>
          <w:p w14:paraId="150E0954" w14:textId="77777777" w:rsidR="001B2995" w:rsidRDefault="00823EE0">
            <w:pPr>
              <w:spacing w:after="0"/>
              <w:jc w:val="center"/>
            </w:pPr>
            <w:r>
              <w:rPr>
                <w:b/>
                <w:bCs/>
              </w:rPr>
              <w:t>Father’s Education</w:t>
            </w:r>
          </w:p>
        </w:tc>
        <w:tc>
          <w:tcPr>
            <w:tcW w:w="1760" w:type="dxa"/>
            <w:vAlign w:val="center"/>
          </w:tcPr>
          <w:p w14:paraId="56889BBA" w14:textId="77777777" w:rsidR="001B2995" w:rsidRDefault="00823EE0">
            <w:pPr>
              <w:spacing w:after="0"/>
              <w:jc w:val="center"/>
            </w:pPr>
            <w:r>
              <w:t>Primary or below</w:t>
            </w:r>
          </w:p>
        </w:tc>
        <w:tc>
          <w:tcPr>
            <w:tcW w:w="1527" w:type="dxa"/>
            <w:vAlign w:val="center"/>
          </w:tcPr>
          <w:p w14:paraId="51CB21F6" w14:textId="77777777" w:rsidR="001B2995" w:rsidRDefault="00823EE0">
            <w:pPr>
              <w:spacing w:after="0"/>
              <w:jc w:val="center"/>
            </w:pPr>
            <w:r>
              <w:t>92</w:t>
            </w:r>
          </w:p>
        </w:tc>
        <w:tc>
          <w:tcPr>
            <w:tcW w:w="1688" w:type="dxa"/>
            <w:vAlign w:val="center"/>
          </w:tcPr>
          <w:p w14:paraId="78E2A9B7" w14:textId="77777777" w:rsidR="001B2995" w:rsidRDefault="00823EE0">
            <w:pPr>
              <w:spacing w:after="0"/>
              <w:jc w:val="center"/>
            </w:pPr>
            <w:r>
              <w:t>30.7</w:t>
            </w:r>
          </w:p>
        </w:tc>
      </w:tr>
      <w:tr w:rsidR="001B2995" w14:paraId="45D34A89" w14:textId="77777777">
        <w:tc>
          <w:tcPr>
            <w:tcW w:w="2155" w:type="dxa"/>
            <w:vMerge w:val="restart"/>
            <w:vAlign w:val="center"/>
          </w:tcPr>
          <w:p w14:paraId="4CE842F2" w14:textId="77777777" w:rsidR="001B2995" w:rsidRDefault="001B2995">
            <w:pPr>
              <w:spacing w:after="0"/>
              <w:jc w:val="center"/>
            </w:pPr>
          </w:p>
        </w:tc>
        <w:tc>
          <w:tcPr>
            <w:tcW w:w="1760" w:type="dxa"/>
            <w:vAlign w:val="center"/>
          </w:tcPr>
          <w:p w14:paraId="055D0BFE" w14:textId="77777777" w:rsidR="001B2995" w:rsidRDefault="00823EE0">
            <w:pPr>
              <w:spacing w:after="0"/>
              <w:jc w:val="center"/>
            </w:pPr>
            <w:r>
              <w:t>Secondary</w:t>
            </w:r>
          </w:p>
        </w:tc>
        <w:tc>
          <w:tcPr>
            <w:tcW w:w="1527" w:type="dxa"/>
            <w:vAlign w:val="center"/>
          </w:tcPr>
          <w:p w14:paraId="5DA1CD16" w14:textId="77777777" w:rsidR="001B2995" w:rsidRDefault="00823EE0">
            <w:pPr>
              <w:spacing w:after="0"/>
              <w:jc w:val="center"/>
            </w:pPr>
            <w:r>
              <w:t>130</w:t>
            </w:r>
          </w:p>
        </w:tc>
        <w:tc>
          <w:tcPr>
            <w:tcW w:w="1688" w:type="dxa"/>
            <w:vAlign w:val="center"/>
          </w:tcPr>
          <w:p w14:paraId="2345BF94" w14:textId="77777777" w:rsidR="001B2995" w:rsidRDefault="00823EE0">
            <w:pPr>
              <w:spacing w:after="0"/>
              <w:jc w:val="center"/>
            </w:pPr>
            <w:r>
              <w:t>43.3</w:t>
            </w:r>
          </w:p>
        </w:tc>
      </w:tr>
      <w:tr w:rsidR="001B2995" w14:paraId="09C19E9F" w14:textId="77777777">
        <w:tc>
          <w:tcPr>
            <w:tcW w:w="2155" w:type="dxa"/>
            <w:vMerge/>
            <w:vAlign w:val="center"/>
          </w:tcPr>
          <w:p w14:paraId="55DF4555" w14:textId="77777777" w:rsidR="001B2995" w:rsidRDefault="001B2995">
            <w:pPr>
              <w:widowControl w:val="0"/>
              <w:pBdr>
                <w:top w:val="nil"/>
                <w:left w:val="nil"/>
                <w:bottom w:val="nil"/>
                <w:right w:val="nil"/>
                <w:between w:val="nil"/>
              </w:pBdr>
              <w:spacing w:after="0"/>
              <w:ind w:left="0"/>
              <w:jc w:val="left"/>
            </w:pPr>
          </w:p>
        </w:tc>
        <w:tc>
          <w:tcPr>
            <w:tcW w:w="1760" w:type="dxa"/>
            <w:vAlign w:val="center"/>
          </w:tcPr>
          <w:p w14:paraId="7173A65E" w14:textId="77777777" w:rsidR="001B2995" w:rsidRDefault="00823EE0">
            <w:pPr>
              <w:spacing w:after="0"/>
              <w:jc w:val="center"/>
            </w:pPr>
            <w:r>
              <w:t>College</w:t>
            </w:r>
          </w:p>
        </w:tc>
        <w:tc>
          <w:tcPr>
            <w:tcW w:w="1527" w:type="dxa"/>
            <w:vAlign w:val="center"/>
          </w:tcPr>
          <w:p w14:paraId="7CC251D7" w14:textId="77777777" w:rsidR="001B2995" w:rsidRDefault="00823EE0">
            <w:pPr>
              <w:spacing w:after="0"/>
              <w:jc w:val="center"/>
            </w:pPr>
            <w:r>
              <w:t>78</w:t>
            </w:r>
          </w:p>
        </w:tc>
        <w:tc>
          <w:tcPr>
            <w:tcW w:w="1688" w:type="dxa"/>
            <w:vAlign w:val="center"/>
          </w:tcPr>
          <w:p w14:paraId="45CAA250" w14:textId="77777777" w:rsidR="001B2995" w:rsidRDefault="00823EE0">
            <w:pPr>
              <w:spacing w:after="0"/>
              <w:jc w:val="center"/>
            </w:pPr>
            <w:r>
              <w:t>26.0</w:t>
            </w:r>
          </w:p>
        </w:tc>
      </w:tr>
    </w:tbl>
    <w:p w14:paraId="63EEFF25" w14:textId="77777777" w:rsidR="001B2995" w:rsidRDefault="001B2995"/>
    <w:p w14:paraId="62BF0FEC" w14:textId="77777777" w:rsidR="001B2995" w:rsidRDefault="00823EE0">
      <w:r>
        <w:rPr>
          <w:b/>
          <w:bCs/>
        </w:rPr>
        <w:t xml:space="preserve">Table 1 </w:t>
      </w:r>
      <w:r>
        <w:t>Summarizes the demographic characteristics of the 300 students who participated in the study. Regarding age, the largest proportion of students (39.3%) were aged 8–9 years, followed by 6–7 years (30.7%) and 10–12 years (30.0%). This indicates that the majority of the sample falls within the middle childhood stage.</w:t>
      </w:r>
    </w:p>
    <w:p w14:paraId="56D2B6A3" w14:textId="77777777" w:rsidR="001B2995" w:rsidRDefault="001B2995"/>
    <w:p w14:paraId="6CB56640" w14:textId="77777777" w:rsidR="001B2995" w:rsidRDefault="00823EE0">
      <w:r>
        <w:t>The gender distribution was nearly balanced, with 52.0% males and 48.0% females, suggesting no significant gender bias in recruitment.</w:t>
      </w:r>
    </w:p>
    <w:p w14:paraId="062099B1" w14:textId="77777777" w:rsidR="001B2995" w:rsidRDefault="00823EE0">
      <w:r>
        <w:t>Class distribution showed that students were fairly evenly spread across grades, with 21.0% in the third grade, 18.7% in the fifth grade, 17.3% in the first grade, 16.7% in the sixth grade, 13.7% in the second grade, and 12.7% in the fourth grade.</w:t>
      </w:r>
    </w:p>
    <w:p w14:paraId="2BB4D945" w14:textId="77777777" w:rsidR="001B2995" w:rsidRDefault="00823EE0">
      <w:r>
        <w:t>Parental education levels varied, with 39.3% of mothers having completed secondary education, 36.7% primary or lower, and 24.0% holding a college degree. Fathers’ education showed a similar trend, with 43.3% completing secondary education, 30.7% primary or lower, and 26.0% college-level education.</w:t>
      </w:r>
    </w:p>
    <w:p w14:paraId="53FFE7DC" w14:textId="77777777" w:rsidR="001B2995" w:rsidRDefault="00823EE0">
      <w:pPr>
        <w:rPr>
          <w:b/>
          <w:bCs/>
        </w:rPr>
      </w:pPr>
      <w:r>
        <w:rPr>
          <w:b/>
          <w:bCs/>
        </w:rPr>
        <w:t>Table 2. BMI Categories of Students</w:t>
      </w:r>
    </w:p>
    <w:tbl>
      <w:tblPr>
        <w:tblStyle w:val="a0"/>
        <w:tblW w:w="6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9"/>
        <w:gridCol w:w="1009"/>
        <w:gridCol w:w="1597"/>
      </w:tblGrid>
      <w:tr w:rsidR="001B2995" w14:paraId="45C81E24" w14:textId="77777777">
        <w:trPr>
          <w:trHeight w:val="447"/>
          <w:tblHeader/>
        </w:trPr>
        <w:tc>
          <w:tcPr>
            <w:tcW w:w="3619" w:type="dxa"/>
            <w:vAlign w:val="center"/>
          </w:tcPr>
          <w:p w14:paraId="1B6EBAD1" w14:textId="77777777" w:rsidR="001B2995" w:rsidRDefault="00823EE0">
            <w:pPr>
              <w:jc w:val="center"/>
              <w:rPr>
                <w:b/>
                <w:bCs/>
              </w:rPr>
            </w:pPr>
            <w:r>
              <w:rPr>
                <w:b/>
                <w:bCs/>
              </w:rPr>
              <w:t>Category</w:t>
            </w:r>
          </w:p>
        </w:tc>
        <w:tc>
          <w:tcPr>
            <w:tcW w:w="1009" w:type="dxa"/>
            <w:vAlign w:val="center"/>
          </w:tcPr>
          <w:p w14:paraId="020199E1" w14:textId="77777777" w:rsidR="001B2995" w:rsidRDefault="00823EE0">
            <w:pPr>
              <w:jc w:val="center"/>
              <w:rPr>
                <w:b/>
                <w:bCs/>
              </w:rPr>
            </w:pPr>
            <w:r>
              <w:rPr>
                <w:b/>
                <w:bCs/>
              </w:rPr>
              <w:t>N</w:t>
            </w:r>
          </w:p>
        </w:tc>
        <w:tc>
          <w:tcPr>
            <w:tcW w:w="1597" w:type="dxa"/>
            <w:vAlign w:val="center"/>
          </w:tcPr>
          <w:p w14:paraId="1278F7D3" w14:textId="77777777" w:rsidR="001B2995" w:rsidRDefault="00823EE0">
            <w:pPr>
              <w:jc w:val="center"/>
              <w:rPr>
                <w:b/>
                <w:bCs/>
              </w:rPr>
            </w:pPr>
            <w:r>
              <w:rPr>
                <w:b/>
                <w:bCs/>
              </w:rPr>
              <w:t>%</w:t>
            </w:r>
          </w:p>
        </w:tc>
      </w:tr>
      <w:tr w:rsidR="001B2995" w14:paraId="37B274A7" w14:textId="77777777">
        <w:trPr>
          <w:trHeight w:val="432"/>
        </w:trPr>
        <w:tc>
          <w:tcPr>
            <w:tcW w:w="3619" w:type="dxa"/>
            <w:vAlign w:val="center"/>
          </w:tcPr>
          <w:p w14:paraId="2939164F" w14:textId="77777777" w:rsidR="001B2995" w:rsidRDefault="00823EE0">
            <w:pPr>
              <w:jc w:val="center"/>
            </w:pPr>
            <w:r>
              <w:t>Obesity</w:t>
            </w:r>
          </w:p>
        </w:tc>
        <w:tc>
          <w:tcPr>
            <w:tcW w:w="1009" w:type="dxa"/>
            <w:vAlign w:val="center"/>
          </w:tcPr>
          <w:p w14:paraId="0E199644" w14:textId="77777777" w:rsidR="001B2995" w:rsidRDefault="00823EE0">
            <w:pPr>
              <w:jc w:val="center"/>
            </w:pPr>
            <w:r>
              <w:t>58</w:t>
            </w:r>
          </w:p>
        </w:tc>
        <w:tc>
          <w:tcPr>
            <w:tcW w:w="1597" w:type="dxa"/>
            <w:vAlign w:val="center"/>
          </w:tcPr>
          <w:p w14:paraId="06A65FB6" w14:textId="77777777" w:rsidR="001B2995" w:rsidRDefault="00823EE0">
            <w:pPr>
              <w:jc w:val="center"/>
            </w:pPr>
            <w:r>
              <w:t>19.3</w:t>
            </w:r>
          </w:p>
        </w:tc>
      </w:tr>
      <w:tr w:rsidR="001B2995" w14:paraId="499401AE" w14:textId="77777777">
        <w:trPr>
          <w:trHeight w:val="447"/>
        </w:trPr>
        <w:tc>
          <w:tcPr>
            <w:tcW w:w="3619" w:type="dxa"/>
            <w:vAlign w:val="center"/>
          </w:tcPr>
          <w:p w14:paraId="5431F299" w14:textId="77777777" w:rsidR="001B2995" w:rsidRDefault="00823EE0">
            <w:pPr>
              <w:jc w:val="center"/>
            </w:pPr>
            <w:r>
              <w:t>Overweight</w:t>
            </w:r>
          </w:p>
        </w:tc>
        <w:tc>
          <w:tcPr>
            <w:tcW w:w="1009" w:type="dxa"/>
            <w:vAlign w:val="center"/>
          </w:tcPr>
          <w:p w14:paraId="1B34BFCF" w14:textId="77777777" w:rsidR="001B2995" w:rsidRDefault="00823EE0">
            <w:pPr>
              <w:jc w:val="center"/>
            </w:pPr>
            <w:r>
              <w:t>44</w:t>
            </w:r>
          </w:p>
        </w:tc>
        <w:tc>
          <w:tcPr>
            <w:tcW w:w="1597" w:type="dxa"/>
            <w:vAlign w:val="center"/>
          </w:tcPr>
          <w:p w14:paraId="51AF3513" w14:textId="77777777" w:rsidR="001B2995" w:rsidRDefault="00823EE0">
            <w:pPr>
              <w:jc w:val="center"/>
            </w:pPr>
            <w:r>
              <w:t>14.7</w:t>
            </w:r>
          </w:p>
        </w:tc>
      </w:tr>
      <w:tr w:rsidR="001B2995" w14:paraId="30CC3973" w14:textId="77777777">
        <w:trPr>
          <w:trHeight w:val="432"/>
        </w:trPr>
        <w:tc>
          <w:tcPr>
            <w:tcW w:w="3619" w:type="dxa"/>
            <w:vAlign w:val="center"/>
          </w:tcPr>
          <w:p w14:paraId="4E1139A4" w14:textId="77777777" w:rsidR="001B2995" w:rsidRDefault="00823EE0">
            <w:pPr>
              <w:jc w:val="center"/>
            </w:pPr>
            <w:r>
              <w:t>Normal weight</w:t>
            </w:r>
          </w:p>
        </w:tc>
        <w:tc>
          <w:tcPr>
            <w:tcW w:w="1009" w:type="dxa"/>
            <w:vAlign w:val="center"/>
          </w:tcPr>
          <w:p w14:paraId="05DD22B9" w14:textId="77777777" w:rsidR="001B2995" w:rsidRDefault="00823EE0">
            <w:pPr>
              <w:jc w:val="center"/>
            </w:pPr>
            <w:r>
              <w:t>168</w:t>
            </w:r>
          </w:p>
        </w:tc>
        <w:tc>
          <w:tcPr>
            <w:tcW w:w="1597" w:type="dxa"/>
            <w:vAlign w:val="center"/>
          </w:tcPr>
          <w:p w14:paraId="0F89B407" w14:textId="77777777" w:rsidR="001B2995" w:rsidRDefault="00823EE0">
            <w:pPr>
              <w:jc w:val="center"/>
            </w:pPr>
            <w:r>
              <w:t>56.0</w:t>
            </w:r>
          </w:p>
        </w:tc>
      </w:tr>
      <w:tr w:rsidR="001B2995" w14:paraId="7C4C554F" w14:textId="77777777">
        <w:trPr>
          <w:trHeight w:val="432"/>
        </w:trPr>
        <w:tc>
          <w:tcPr>
            <w:tcW w:w="3619" w:type="dxa"/>
            <w:vAlign w:val="center"/>
          </w:tcPr>
          <w:p w14:paraId="25C4C081" w14:textId="77777777" w:rsidR="001B2995" w:rsidRDefault="00823EE0">
            <w:pPr>
              <w:jc w:val="center"/>
            </w:pPr>
            <w:r>
              <w:lastRenderedPageBreak/>
              <w:t>Underweight</w:t>
            </w:r>
          </w:p>
        </w:tc>
        <w:tc>
          <w:tcPr>
            <w:tcW w:w="1009" w:type="dxa"/>
            <w:vAlign w:val="center"/>
          </w:tcPr>
          <w:p w14:paraId="0819D288" w14:textId="77777777" w:rsidR="001B2995" w:rsidRDefault="00823EE0">
            <w:pPr>
              <w:jc w:val="center"/>
            </w:pPr>
            <w:r>
              <w:t>30</w:t>
            </w:r>
          </w:p>
        </w:tc>
        <w:tc>
          <w:tcPr>
            <w:tcW w:w="1597" w:type="dxa"/>
            <w:vAlign w:val="center"/>
          </w:tcPr>
          <w:p w14:paraId="61AE71B0" w14:textId="77777777" w:rsidR="001B2995" w:rsidRDefault="00823EE0">
            <w:pPr>
              <w:jc w:val="center"/>
            </w:pPr>
            <w:r>
              <w:t>10.0</w:t>
            </w:r>
          </w:p>
        </w:tc>
      </w:tr>
      <w:tr w:rsidR="001B2995" w14:paraId="35575DC0" w14:textId="77777777">
        <w:trPr>
          <w:trHeight w:val="447"/>
        </w:trPr>
        <w:tc>
          <w:tcPr>
            <w:tcW w:w="3619" w:type="dxa"/>
            <w:vAlign w:val="center"/>
          </w:tcPr>
          <w:p w14:paraId="1771B8E1" w14:textId="77777777" w:rsidR="001B2995" w:rsidRDefault="00823EE0">
            <w:pPr>
              <w:jc w:val="center"/>
            </w:pPr>
            <w:r>
              <w:rPr>
                <w:b/>
                <w:bCs/>
              </w:rPr>
              <w:t>Total</w:t>
            </w:r>
          </w:p>
        </w:tc>
        <w:tc>
          <w:tcPr>
            <w:tcW w:w="1009" w:type="dxa"/>
            <w:vAlign w:val="center"/>
          </w:tcPr>
          <w:p w14:paraId="00CE48EA" w14:textId="77777777" w:rsidR="001B2995" w:rsidRDefault="00823EE0">
            <w:pPr>
              <w:jc w:val="center"/>
            </w:pPr>
            <w:r>
              <w:rPr>
                <w:b/>
                <w:bCs/>
              </w:rPr>
              <w:t>300</w:t>
            </w:r>
          </w:p>
        </w:tc>
        <w:tc>
          <w:tcPr>
            <w:tcW w:w="1597" w:type="dxa"/>
            <w:vAlign w:val="center"/>
          </w:tcPr>
          <w:p w14:paraId="04CFDCD4" w14:textId="77777777" w:rsidR="001B2995" w:rsidRDefault="00823EE0">
            <w:pPr>
              <w:jc w:val="center"/>
            </w:pPr>
            <w:r>
              <w:rPr>
                <w:b/>
                <w:bCs/>
              </w:rPr>
              <w:t>100%</w:t>
            </w:r>
          </w:p>
        </w:tc>
      </w:tr>
    </w:tbl>
    <w:p w14:paraId="73B45E94" w14:textId="77777777" w:rsidR="001B2995" w:rsidRDefault="00823EE0">
      <w:r>
        <w:rPr>
          <w:b/>
          <w:bCs/>
        </w:rPr>
        <w:t>Table 2</w:t>
      </w:r>
      <w:r>
        <w:t xml:space="preserve"> shows the distribution of students according to BMI categories. Out of 300 students, 56.0% had normal weight, 19.3% were obese, 14.7% were overweight, and 10.0% were underweight.</w:t>
      </w:r>
    </w:p>
    <w:p w14:paraId="699D4DC9" w14:textId="77777777" w:rsidR="001B2995" w:rsidRDefault="001B2995"/>
    <w:p w14:paraId="52BDFD8C" w14:textId="77777777" w:rsidR="001B2995" w:rsidRDefault="00823EE0">
      <w:pPr>
        <w:rPr>
          <w:b/>
          <w:bCs/>
        </w:rPr>
      </w:pPr>
      <w:r>
        <w:rPr>
          <w:b/>
          <w:bCs/>
        </w:rPr>
        <w:t>Table 3. Prevalence of Iron Deficiency and Anemia</w:t>
      </w:r>
    </w:p>
    <w:tbl>
      <w:tblPr>
        <w:tblStyle w:val="a1"/>
        <w:tblW w:w="61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9"/>
        <w:gridCol w:w="1041"/>
        <w:gridCol w:w="1204"/>
      </w:tblGrid>
      <w:tr w:rsidR="001B2995" w14:paraId="6D3984DE" w14:textId="77777777">
        <w:trPr>
          <w:trHeight w:val="497"/>
          <w:tblHeader/>
        </w:trPr>
        <w:tc>
          <w:tcPr>
            <w:tcW w:w="3899" w:type="dxa"/>
            <w:vAlign w:val="center"/>
          </w:tcPr>
          <w:p w14:paraId="5DB4C26B" w14:textId="77777777" w:rsidR="001B2995" w:rsidRDefault="00823EE0">
            <w:pPr>
              <w:jc w:val="center"/>
              <w:rPr>
                <w:b/>
                <w:bCs/>
              </w:rPr>
            </w:pPr>
            <w:r>
              <w:rPr>
                <w:b/>
                <w:bCs/>
              </w:rPr>
              <w:t>Variable</w:t>
            </w:r>
          </w:p>
        </w:tc>
        <w:tc>
          <w:tcPr>
            <w:tcW w:w="1041" w:type="dxa"/>
            <w:vAlign w:val="center"/>
          </w:tcPr>
          <w:p w14:paraId="7A93658C" w14:textId="77777777" w:rsidR="001B2995" w:rsidRDefault="00823EE0">
            <w:pPr>
              <w:jc w:val="center"/>
              <w:rPr>
                <w:b/>
                <w:bCs/>
              </w:rPr>
            </w:pPr>
            <w:r>
              <w:rPr>
                <w:b/>
                <w:bCs/>
              </w:rPr>
              <w:t>N</w:t>
            </w:r>
          </w:p>
        </w:tc>
        <w:tc>
          <w:tcPr>
            <w:tcW w:w="1204" w:type="dxa"/>
            <w:vAlign w:val="center"/>
          </w:tcPr>
          <w:p w14:paraId="03ABB488" w14:textId="77777777" w:rsidR="001B2995" w:rsidRDefault="00823EE0">
            <w:pPr>
              <w:jc w:val="center"/>
              <w:rPr>
                <w:b/>
                <w:bCs/>
              </w:rPr>
            </w:pPr>
            <w:r>
              <w:rPr>
                <w:b/>
                <w:bCs/>
              </w:rPr>
              <w:t>%</w:t>
            </w:r>
          </w:p>
        </w:tc>
      </w:tr>
      <w:tr w:rsidR="001B2995" w14:paraId="2A365C07" w14:textId="77777777">
        <w:trPr>
          <w:trHeight w:val="497"/>
        </w:trPr>
        <w:tc>
          <w:tcPr>
            <w:tcW w:w="3899" w:type="dxa"/>
            <w:vAlign w:val="center"/>
          </w:tcPr>
          <w:p w14:paraId="52AB3315" w14:textId="77777777" w:rsidR="001B2995" w:rsidRDefault="00823EE0">
            <w:pPr>
              <w:jc w:val="center"/>
            </w:pPr>
            <w:r>
              <w:t>Iron Deficiency</w:t>
            </w:r>
          </w:p>
        </w:tc>
        <w:tc>
          <w:tcPr>
            <w:tcW w:w="1041" w:type="dxa"/>
            <w:vAlign w:val="center"/>
          </w:tcPr>
          <w:p w14:paraId="0CD37EFB" w14:textId="77777777" w:rsidR="001B2995" w:rsidRDefault="00823EE0">
            <w:pPr>
              <w:jc w:val="center"/>
            </w:pPr>
            <w:r>
              <w:t>95</w:t>
            </w:r>
          </w:p>
        </w:tc>
        <w:tc>
          <w:tcPr>
            <w:tcW w:w="1204" w:type="dxa"/>
            <w:vAlign w:val="center"/>
          </w:tcPr>
          <w:p w14:paraId="28BB0833" w14:textId="77777777" w:rsidR="001B2995" w:rsidRDefault="00823EE0">
            <w:pPr>
              <w:jc w:val="center"/>
            </w:pPr>
            <w:r>
              <w:t>31.7</w:t>
            </w:r>
          </w:p>
        </w:tc>
      </w:tr>
      <w:tr w:rsidR="001B2995" w14:paraId="31F9B186" w14:textId="77777777">
        <w:trPr>
          <w:trHeight w:val="497"/>
        </w:trPr>
        <w:tc>
          <w:tcPr>
            <w:tcW w:w="3899" w:type="dxa"/>
            <w:vAlign w:val="center"/>
          </w:tcPr>
          <w:p w14:paraId="027547AC" w14:textId="77777777" w:rsidR="001B2995" w:rsidRDefault="00823EE0">
            <w:pPr>
              <w:jc w:val="center"/>
            </w:pPr>
            <w:r>
              <w:t>Anemia</w:t>
            </w:r>
          </w:p>
        </w:tc>
        <w:tc>
          <w:tcPr>
            <w:tcW w:w="1041" w:type="dxa"/>
            <w:vAlign w:val="center"/>
          </w:tcPr>
          <w:p w14:paraId="684B3DC4" w14:textId="77777777" w:rsidR="001B2995" w:rsidRDefault="00823EE0">
            <w:pPr>
              <w:jc w:val="center"/>
            </w:pPr>
            <w:r>
              <w:t>102</w:t>
            </w:r>
          </w:p>
        </w:tc>
        <w:tc>
          <w:tcPr>
            <w:tcW w:w="1204" w:type="dxa"/>
            <w:vAlign w:val="center"/>
          </w:tcPr>
          <w:p w14:paraId="298D6F75" w14:textId="77777777" w:rsidR="001B2995" w:rsidRDefault="00823EE0">
            <w:pPr>
              <w:jc w:val="center"/>
            </w:pPr>
            <w:r>
              <w:t>34.0</w:t>
            </w:r>
          </w:p>
        </w:tc>
      </w:tr>
    </w:tbl>
    <w:p w14:paraId="531C293C" w14:textId="77777777" w:rsidR="001B2995" w:rsidRDefault="001B2995">
      <w:pPr>
        <w:jc w:val="center"/>
      </w:pPr>
    </w:p>
    <w:p w14:paraId="7A66CE8A" w14:textId="77777777" w:rsidR="001B2995" w:rsidRDefault="00823EE0">
      <w:r>
        <w:rPr>
          <w:b/>
          <w:bCs/>
        </w:rPr>
        <w:t>Table 3</w:t>
      </w:r>
      <w:r>
        <w:t xml:space="preserve"> shows presents the prevalence of iron deficiency and anemia among the students. Iron deficiency was observed in 95 students (31.7%), while anemia was slightly more common, affecting 102 students (34.0%).</w:t>
      </w:r>
    </w:p>
    <w:p w14:paraId="550E8BFA" w14:textId="77777777" w:rsidR="001B2995" w:rsidRDefault="001B2995"/>
    <w:p w14:paraId="2A1CDBCD" w14:textId="77777777" w:rsidR="001B2995" w:rsidRDefault="00823EE0">
      <w:r>
        <w:rPr>
          <w:b/>
          <w:bCs/>
        </w:rPr>
        <w:t xml:space="preserve">Table 4 </w:t>
      </w:r>
      <w:r>
        <w:t xml:space="preserve">Distribution of Participants’ Health and Nutritional Characteristics </w:t>
      </w:r>
    </w:p>
    <w:tbl>
      <w:tblPr>
        <w:tblStyle w:val="a2"/>
        <w:tblW w:w="8979" w:type="dxa"/>
        <w:tblInd w:w="0" w:type="dxa"/>
        <w:tblLayout w:type="fixed"/>
        <w:tblLook w:val="0400" w:firstRow="0" w:lastRow="0" w:firstColumn="0" w:lastColumn="0" w:noHBand="0" w:noVBand="1"/>
      </w:tblPr>
      <w:tblGrid>
        <w:gridCol w:w="989"/>
        <w:gridCol w:w="5415"/>
        <w:gridCol w:w="1280"/>
        <w:gridCol w:w="1295"/>
      </w:tblGrid>
      <w:tr w:rsidR="001B2995" w14:paraId="611CA74E" w14:textId="77777777">
        <w:trPr>
          <w:tblHeader/>
        </w:trPr>
        <w:tc>
          <w:tcPr>
            <w:tcW w:w="989" w:type="dxa"/>
            <w:tcBorders>
              <w:top w:val="single" w:sz="4" w:space="0" w:color="000000"/>
              <w:left w:val="single" w:sz="4" w:space="0" w:color="000000"/>
              <w:bottom w:val="single" w:sz="4" w:space="0" w:color="000000"/>
              <w:right w:val="single" w:sz="4" w:space="0" w:color="000000"/>
            </w:tcBorders>
            <w:vAlign w:val="center"/>
          </w:tcPr>
          <w:p w14:paraId="3029031E" w14:textId="77777777" w:rsidR="001B2995" w:rsidRDefault="00823EE0">
            <w:pPr>
              <w:ind w:left="0"/>
              <w:jc w:val="center"/>
              <w:rPr>
                <w:b/>
                <w:bCs/>
              </w:rPr>
            </w:pPr>
            <w:r>
              <w:rPr>
                <w:b/>
                <w:bCs/>
              </w:rPr>
              <w:t>Item No.</w:t>
            </w:r>
          </w:p>
        </w:tc>
        <w:tc>
          <w:tcPr>
            <w:tcW w:w="5415" w:type="dxa"/>
            <w:tcBorders>
              <w:top w:val="single" w:sz="4" w:space="0" w:color="000000"/>
              <w:left w:val="single" w:sz="4" w:space="0" w:color="000000"/>
              <w:bottom w:val="single" w:sz="4" w:space="0" w:color="000000"/>
              <w:right w:val="single" w:sz="4" w:space="0" w:color="000000"/>
            </w:tcBorders>
            <w:vAlign w:val="center"/>
          </w:tcPr>
          <w:p w14:paraId="30695FDB" w14:textId="77777777" w:rsidR="001B2995" w:rsidRDefault="00823EE0">
            <w:pPr>
              <w:ind w:left="0"/>
              <w:jc w:val="center"/>
              <w:rPr>
                <w:b/>
                <w:bCs/>
              </w:rPr>
            </w:pPr>
            <w:r>
              <w:rPr>
                <w:b/>
                <w:bCs/>
              </w:rPr>
              <w:t>Question (Short Description)</w:t>
            </w:r>
          </w:p>
        </w:tc>
        <w:tc>
          <w:tcPr>
            <w:tcW w:w="1280" w:type="dxa"/>
            <w:tcBorders>
              <w:top w:val="single" w:sz="4" w:space="0" w:color="000000"/>
              <w:left w:val="single" w:sz="4" w:space="0" w:color="000000"/>
              <w:bottom w:val="single" w:sz="4" w:space="0" w:color="000000"/>
              <w:right w:val="single" w:sz="4" w:space="0" w:color="000000"/>
            </w:tcBorders>
            <w:vAlign w:val="center"/>
          </w:tcPr>
          <w:p w14:paraId="558F12C0" w14:textId="77777777" w:rsidR="001B2995" w:rsidRDefault="00823EE0">
            <w:pPr>
              <w:ind w:left="0"/>
              <w:jc w:val="center"/>
              <w:rPr>
                <w:b/>
                <w:bCs/>
              </w:rPr>
            </w:pPr>
            <w:r>
              <w:rPr>
                <w:b/>
                <w:bCs/>
              </w:rPr>
              <w:t>Yes n (%)</w:t>
            </w:r>
          </w:p>
        </w:tc>
        <w:tc>
          <w:tcPr>
            <w:tcW w:w="1295" w:type="dxa"/>
            <w:tcBorders>
              <w:top w:val="single" w:sz="4" w:space="0" w:color="000000"/>
              <w:left w:val="single" w:sz="4" w:space="0" w:color="000000"/>
              <w:bottom w:val="single" w:sz="4" w:space="0" w:color="000000"/>
              <w:right w:val="single" w:sz="4" w:space="0" w:color="000000"/>
            </w:tcBorders>
            <w:vAlign w:val="center"/>
          </w:tcPr>
          <w:p w14:paraId="6CCF2072" w14:textId="77777777" w:rsidR="001B2995" w:rsidRDefault="00823EE0">
            <w:pPr>
              <w:ind w:left="0"/>
              <w:jc w:val="center"/>
              <w:rPr>
                <w:b/>
                <w:bCs/>
              </w:rPr>
            </w:pPr>
            <w:r>
              <w:rPr>
                <w:b/>
                <w:bCs/>
              </w:rPr>
              <w:t>No n (%)</w:t>
            </w:r>
          </w:p>
        </w:tc>
      </w:tr>
      <w:tr w:rsidR="001B2995" w14:paraId="65683525"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234B38C6" w14:textId="77777777" w:rsidR="001B2995" w:rsidRDefault="00823EE0">
            <w:pPr>
              <w:ind w:left="0"/>
              <w:jc w:val="center"/>
            </w:pPr>
            <w:r>
              <w:t>1</w:t>
            </w:r>
          </w:p>
        </w:tc>
        <w:tc>
          <w:tcPr>
            <w:tcW w:w="5415" w:type="dxa"/>
            <w:tcBorders>
              <w:top w:val="single" w:sz="4" w:space="0" w:color="000000"/>
              <w:left w:val="single" w:sz="4" w:space="0" w:color="000000"/>
              <w:bottom w:val="single" w:sz="4" w:space="0" w:color="000000"/>
              <w:right w:val="single" w:sz="4" w:space="0" w:color="000000"/>
            </w:tcBorders>
            <w:vAlign w:val="center"/>
          </w:tcPr>
          <w:p w14:paraId="17CDCAD1" w14:textId="77777777" w:rsidR="001B2995" w:rsidRDefault="00823EE0">
            <w:pPr>
              <w:ind w:left="0"/>
              <w:jc w:val="center"/>
            </w:pPr>
            <w:r>
              <w:t>Pallor, pale conjunctiva, nail changes</w:t>
            </w:r>
          </w:p>
        </w:tc>
        <w:tc>
          <w:tcPr>
            <w:tcW w:w="1280" w:type="dxa"/>
            <w:tcBorders>
              <w:top w:val="single" w:sz="4" w:space="0" w:color="000000"/>
              <w:left w:val="single" w:sz="4" w:space="0" w:color="000000"/>
              <w:bottom w:val="single" w:sz="4" w:space="0" w:color="000000"/>
              <w:right w:val="single" w:sz="4" w:space="0" w:color="000000"/>
            </w:tcBorders>
            <w:vAlign w:val="center"/>
          </w:tcPr>
          <w:p w14:paraId="4CEA60F5" w14:textId="77777777" w:rsidR="001B2995" w:rsidRDefault="00823EE0">
            <w:pPr>
              <w:ind w:left="0"/>
              <w:jc w:val="center"/>
            </w:pPr>
            <w:r>
              <w:t>88 (29.3%)</w:t>
            </w:r>
          </w:p>
        </w:tc>
        <w:tc>
          <w:tcPr>
            <w:tcW w:w="1295" w:type="dxa"/>
            <w:tcBorders>
              <w:top w:val="single" w:sz="4" w:space="0" w:color="000000"/>
              <w:left w:val="single" w:sz="4" w:space="0" w:color="000000"/>
              <w:bottom w:val="single" w:sz="4" w:space="0" w:color="000000"/>
              <w:right w:val="single" w:sz="4" w:space="0" w:color="000000"/>
            </w:tcBorders>
            <w:vAlign w:val="center"/>
          </w:tcPr>
          <w:p w14:paraId="56967736" w14:textId="77777777" w:rsidR="001B2995" w:rsidRDefault="00823EE0">
            <w:pPr>
              <w:ind w:left="0"/>
              <w:jc w:val="center"/>
            </w:pPr>
            <w:r>
              <w:t>212 (70.7%)</w:t>
            </w:r>
          </w:p>
        </w:tc>
      </w:tr>
      <w:tr w:rsidR="001B2995" w14:paraId="7A4F5A77"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69CBC72C" w14:textId="77777777" w:rsidR="001B2995" w:rsidRDefault="00823EE0">
            <w:pPr>
              <w:ind w:left="0"/>
              <w:jc w:val="center"/>
            </w:pPr>
            <w:r>
              <w:t>2</w:t>
            </w:r>
          </w:p>
        </w:tc>
        <w:tc>
          <w:tcPr>
            <w:tcW w:w="5415" w:type="dxa"/>
            <w:tcBorders>
              <w:top w:val="single" w:sz="4" w:space="0" w:color="000000"/>
              <w:left w:val="single" w:sz="4" w:space="0" w:color="000000"/>
              <w:bottom w:val="single" w:sz="4" w:space="0" w:color="000000"/>
              <w:right w:val="single" w:sz="4" w:space="0" w:color="000000"/>
            </w:tcBorders>
            <w:vAlign w:val="center"/>
          </w:tcPr>
          <w:p w14:paraId="49A4D10E" w14:textId="77777777" w:rsidR="001B2995" w:rsidRDefault="00823EE0">
            <w:pPr>
              <w:ind w:left="0"/>
              <w:jc w:val="center"/>
            </w:pPr>
            <w:r>
              <w:t>Deficiency of other nutrients (Vitamin A or Zinc)</w:t>
            </w:r>
          </w:p>
        </w:tc>
        <w:tc>
          <w:tcPr>
            <w:tcW w:w="1280" w:type="dxa"/>
            <w:tcBorders>
              <w:top w:val="single" w:sz="4" w:space="0" w:color="000000"/>
              <w:left w:val="single" w:sz="4" w:space="0" w:color="000000"/>
              <w:bottom w:val="single" w:sz="4" w:space="0" w:color="000000"/>
              <w:right w:val="single" w:sz="4" w:space="0" w:color="000000"/>
            </w:tcBorders>
            <w:vAlign w:val="center"/>
          </w:tcPr>
          <w:p w14:paraId="52F4D968" w14:textId="77777777" w:rsidR="001B2995" w:rsidRDefault="00823EE0">
            <w:pPr>
              <w:ind w:left="0"/>
              <w:jc w:val="center"/>
            </w:pPr>
            <w:r>
              <w:t>54 (18.0%)</w:t>
            </w:r>
          </w:p>
        </w:tc>
        <w:tc>
          <w:tcPr>
            <w:tcW w:w="1295" w:type="dxa"/>
            <w:tcBorders>
              <w:top w:val="single" w:sz="4" w:space="0" w:color="000000"/>
              <w:left w:val="single" w:sz="4" w:space="0" w:color="000000"/>
              <w:bottom w:val="single" w:sz="4" w:space="0" w:color="000000"/>
              <w:right w:val="single" w:sz="4" w:space="0" w:color="000000"/>
            </w:tcBorders>
            <w:vAlign w:val="center"/>
          </w:tcPr>
          <w:p w14:paraId="16454406" w14:textId="77777777" w:rsidR="001B2995" w:rsidRDefault="00823EE0">
            <w:pPr>
              <w:ind w:left="0"/>
              <w:jc w:val="center"/>
            </w:pPr>
            <w:r>
              <w:t>246 (82.0%)</w:t>
            </w:r>
          </w:p>
        </w:tc>
      </w:tr>
      <w:tr w:rsidR="001B2995" w14:paraId="25993ABE"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514E8196" w14:textId="77777777" w:rsidR="001B2995" w:rsidRDefault="00823EE0">
            <w:pPr>
              <w:ind w:left="0"/>
              <w:jc w:val="center"/>
            </w:pPr>
            <w:r>
              <w:t>3</w:t>
            </w:r>
          </w:p>
        </w:tc>
        <w:tc>
          <w:tcPr>
            <w:tcW w:w="5415" w:type="dxa"/>
            <w:tcBorders>
              <w:top w:val="single" w:sz="4" w:space="0" w:color="000000"/>
              <w:left w:val="single" w:sz="4" w:space="0" w:color="000000"/>
              <w:bottom w:val="single" w:sz="4" w:space="0" w:color="000000"/>
              <w:right w:val="single" w:sz="4" w:space="0" w:color="000000"/>
            </w:tcBorders>
            <w:vAlign w:val="center"/>
          </w:tcPr>
          <w:p w14:paraId="4BCE4928" w14:textId="77777777" w:rsidR="001B2995" w:rsidRDefault="00823EE0">
            <w:pPr>
              <w:ind w:left="0"/>
              <w:jc w:val="center"/>
            </w:pPr>
            <w:r>
              <w:t>Worm infestation in the past six months</w:t>
            </w:r>
          </w:p>
        </w:tc>
        <w:tc>
          <w:tcPr>
            <w:tcW w:w="1280" w:type="dxa"/>
            <w:tcBorders>
              <w:top w:val="single" w:sz="4" w:space="0" w:color="000000"/>
              <w:left w:val="single" w:sz="4" w:space="0" w:color="000000"/>
              <w:bottom w:val="single" w:sz="4" w:space="0" w:color="000000"/>
              <w:right w:val="single" w:sz="4" w:space="0" w:color="000000"/>
            </w:tcBorders>
            <w:vAlign w:val="center"/>
          </w:tcPr>
          <w:p w14:paraId="43D9726D" w14:textId="77777777" w:rsidR="001B2995" w:rsidRDefault="00823EE0">
            <w:pPr>
              <w:ind w:left="0"/>
              <w:jc w:val="center"/>
            </w:pPr>
            <w:r>
              <w:t>22 (7.3%)</w:t>
            </w:r>
          </w:p>
        </w:tc>
        <w:tc>
          <w:tcPr>
            <w:tcW w:w="1295" w:type="dxa"/>
            <w:tcBorders>
              <w:top w:val="single" w:sz="4" w:space="0" w:color="000000"/>
              <w:left w:val="single" w:sz="4" w:space="0" w:color="000000"/>
              <w:bottom w:val="single" w:sz="4" w:space="0" w:color="000000"/>
              <w:right w:val="single" w:sz="4" w:space="0" w:color="000000"/>
            </w:tcBorders>
            <w:vAlign w:val="center"/>
          </w:tcPr>
          <w:p w14:paraId="080792D9" w14:textId="77777777" w:rsidR="001B2995" w:rsidRDefault="00823EE0">
            <w:pPr>
              <w:ind w:left="0"/>
              <w:jc w:val="center"/>
            </w:pPr>
            <w:r>
              <w:t>278 (92.7%)</w:t>
            </w:r>
          </w:p>
        </w:tc>
      </w:tr>
      <w:tr w:rsidR="001B2995" w14:paraId="4CBC40E2"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026F4F70" w14:textId="77777777" w:rsidR="001B2995" w:rsidRDefault="00823EE0">
            <w:pPr>
              <w:ind w:left="0"/>
              <w:jc w:val="center"/>
            </w:pPr>
            <w:r>
              <w:t>4</w:t>
            </w:r>
          </w:p>
        </w:tc>
        <w:tc>
          <w:tcPr>
            <w:tcW w:w="5415" w:type="dxa"/>
            <w:tcBorders>
              <w:top w:val="single" w:sz="4" w:space="0" w:color="000000"/>
              <w:left w:val="single" w:sz="4" w:space="0" w:color="000000"/>
              <w:bottom w:val="single" w:sz="4" w:space="0" w:color="000000"/>
              <w:right w:val="single" w:sz="4" w:space="0" w:color="000000"/>
            </w:tcBorders>
            <w:vAlign w:val="center"/>
          </w:tcPr>
          <w:p w14:paraId="034728F3" w14:textId="77777777" w:rsidR="001B2995" w:rsidRDefault="00823EE0">
            <w:pPr>
              <w:ind w:left="0"/>
              <w:jc w:val="center"/>
            </w:pPr>
            <w:r>
              <w:t>Chronic diarrhea</w:t>
            </w:r>
          </w:p>
        </w:tc>
        <w:tc>
          <w:tcPr>
            <w:tcW w:w="1280" w:type="dxa"/>
            <w:tcBorders>
              <w:top w:val="single" w:sz="4" w:space="0" w:color="000000"/>
              <w:left w:val="single" w:sz="4" w:space="0" w:color="000000"/>
              <w:bottom w:val="single" w:sz="4" w:space="0" w:color="000000"/>
              <w:right w:val="single" w:sz="4" w:space="0" w:color="000000"/>
            </w:tcBorders>
            <w:vAlign w:val="center"/>
          </w:tcPr>
          <w:p w14:paraId="5BFA9AAA" w14:textId="77777777" w:rsidR="001B2995" w:rsidRDefault="00823EE0">
            <w:pPr>
              <w:ind w:left="0"/>
              <w:jc w:val="center"/>
            </w:pPr>
            <w:r>
              <w:t>18 (6.0%)</w:t>
            </w:r>
          </w:p>
        </w:tc>
        <w:tc>
          <w:tcPr>
            <w:tcW w:w="1295" w:type="dxa"/>
            <w:tcBorders>
              <w:top w:val="single" w:sz="4" w:space="0" w:color="000000"/>
              <w:left w:val="single" w:sz="4" w:space="0" w:color="000000"/>
              <w:bottom w:val="single" w:sz="4" w:space="0" w:color="000000"/>
              <w:right w:val="single" w:sz="4" w:space="0" w:color="000000"/>
            </w:tcBorders>
            <w:vAlign w:val="center"/>
          </w:tcPr>
          <w:p w14:paraId="380C58ED" w14:textId="77777777" w:rsidR="001B2995" w:rsidRDefault="00823EE0">
            <w:pPr>
              <w:ind w:left="0"/>
              <w:jc w:val="center"/>
            </w:pPr>
            <w:r>
              <w:t>282 (94.0%)</w:t>
            </w:r>
          </w:p>
        </w:tc>
      </w:tr>
      <w:tr w:rsidR="001B2995" w14:paraId="17B453A3"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6D11EE33" w14:textId="77777777" w:rsidR="001B2995" w:rsidRDefault="00823EE0">
            <w:pPr>
              <w:ind w:left="0"/>
              <w:jc w:val="center"/>
            </w:pPr>
            <w:r>
              <w:t>5</w:t>
            </w:r>
          </w:p>
        </w:tc>
        <w:tc>
          <w:tcPr>
            <w:tcW w:w="5415" w:type="dxa"/>
            <w:tcBorders>
              <w:top w:val="single" w:sz="4" w:space="0" w:color="000000"/>
              <w:left w:val="single" w:sz="4" w:space="0" w:color="000000"/>
              <w:bottom w:val="single" w:sz="4" w:space="0" w:color="000000"/>
              <w:right w:val="single" w:sz="4" w:space="0" w:color="000000"/>
            </w:tcBorders>
            <w:vAlign w:val="center"/>
          </w:tcPr>
          <w:p w14:paraId="63EBFB08" w14:textId="77777777" w:rsidR="001B2995" w:rsidRDefault="00823EE0">
            <w:pPr>
              <w:ind w:left="0"/>
              <w:jc w:val="center"/>
            </w:pPr>
            <w:r>
              <w:t>Malabsorption disorder</w:t>
            </w:r>
          </w:p>
        </w:tc>
        <w:tc>
          <w:tcPr>
            <w:tcW w:w="1280" w:type="dxa"/>
            <w:tcBorders>
              <w:top w:val="single" w:sz="4" w:space="0" w:color="000000"/>
              <w:left w:val="single" w:sz="4" w:space="0" w:color="000000"/>
              <w:bottom w:val="single" w:sz="4" w:space="0" w:color="000000"/>
              <w:right w:val="single" w:sz="4" w:space="0" w:color="000000"/>
            </w:tcBorders>
            <w:vAlign w:val="center"/>
          </w:tcPr>
          <w:p w14:paraId="6F0A604F" w14:textId="77777777" w:rsidR="001B2995" w:rsidRDefault="00823EE0">
            <w:pPr>
              <w:ind w:left="0"/>
              <w:jc w:val="center"/>
            </w:pPr>
            <w:r>
              <w:t>12 (4.0%)</w:t>
            </w:r>
          </w:p>
        </w:tc>
        <w:tc>
          <w:tcPr>
            <w:tcW w:w="1295" w:type="dxa"/>
            <w:tcBorders>
              <w:top w:val="single" w:sz="4" w:space="0" w:color="000000"/>
              <w:left w:val="single" w:sz="4" w:space="0" w:color="000000"/>
              <w:bottom w:val="single" w:sz="4" w:space="0" w:color="000000"/>
              <w:right w:val="single" w:sz="4" w:space="0" w:color="000000"/>
            </w:tcBorders>
            <w:vAlign w:val="center"/>
          </w:tcPr>
          <w:p w14:paraId="7C1DA0F2" w14:textId="77777777" w:rsidR="001B2995" w:rsidRDefault="00823EE0">
            <w:pPr>
              <w:ind w:left="0"/>
              <w:jc w:val="center"/>
            </w:pPr>
            <w:r>
              <w:t>288 (96.0%)</w:t>
            </w:r>
          </w:p>
        </w:tc>
      </w:tr>
      <w:tr w:rsidR="001B2995" w14:paraId="1E92D884"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7BF94118" w14:textId="77777777" w:rsidR="001B2995" w:rsidRDefault="00823EE0">
            <w:pPr>
              <w:ind w:left="0"/>
              <w:jc w:val="center"/>
            </w:pPr>
            <w:r>
              <w:t>6</w:t>
            </w:r>
          </w:p>
        </w:tc>
        <w:tc>
          <w:tcPr>
            <w:tcW w:w="5415" w:type="dxa"/>
            <w:tcBorders>
              <w:top w:val="single" w:sz="4" w:space="0" w:color="000000"/>
              <w:left w:val="single" w:sz="4" w:space="0" w:color="000000"/>
              <w:bottom w:val="single" w:sz="4" w:space="0" w:color="000000"/>
              <w:right w:val="single" w:sz="4" w:space="0" w:color="000000"/>
            </w:tcBorders>
            <w:vAlign w:val="center"/>
          </w:tcPr>
          <w:p w14:paraId="24432E5B" w14:textId="77777777" w:rsidR="001B2995" w:rsidRDefault="00823EE0">
            <w:pPr>
              <w:ind w:left="0"/>
              <w:jc w:val="center"/>
            </w:pPr>
            <w:r>
              <w:t>Suffering from any chronic disease or using medication</w:t>
            </w:r>
          </w:p>
        </w:tc>
        <w:tc>
          <w:tcPr>
            <w:tcW w:w="1280" w:type="dxa"/>
            <w:tcBorders>
              <w:top w:val="single" w:sz="4" w:space="0" w:color="000000"/>
              <w:left w:val="single" w:sz="4" w:space="0" w:color="000000"/>
              <w:bottom w:val="single" w:sz="4" w:space="0" w:color="000000"/>
              <w:right w:val="single" w:sz="4" w:space="0" w:color="000000"/>
            </w:tcBorders>
            <w:vAlign w:val="center"/>
          </w:tcPr>
          <w:p w14:paraId="40561D9E" w14:textId="77777777" w:rsidR="001B2995" w:rsidRDefault="00823EE0">
            <w:pPr>
              <w:ind w:left="0"/>
              <w:jc w:val="center"/>
            </w:pPr>
            <w:r>
              <w:t>36 (12.0%)</w:t>
            </w:r>
          </w:p>
        </w:tc>
        <w:tc>
          <w:tcPr>
            <w:tcW w:w="1295" w:type="dxa"/>
            <w:tcBorders>
              <w:top w:val="single" w:sz="4" w:space="0" w:color="000000"/>
              <w:left w:val="single" w:sz="4" w:space="0" w:color="000000"/>
              <w:bottom w:val="single" w:sz="4" w:space="0" w:color="000000"/>
              <w:right w:val="single" w:sz="4" w:space="0" w:color="000000"/>
            </w:tcBorders>
            <w:vAlign w:val="center"/>
          </w:tcPr>
          <w:p w14:paraId="42BB17F5" w14:textId="77777777" w:rsidR="001B2995" w:rsidRDefault="00823EE0">
            <w:pPr>
              <w:ind w:left="0"/>
              <w:jc w:val="center"/>
            </w:pPr>
            <w:r>
              <w:t>264 (88.0%)</w:t>
            </w:r>
          </w:p>
        </w:tc>
      </w:tr>
      <w:tr w:rsidR="001B2995" w14:paraId="41C5F669"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0288F083" w14:textId="77777777" w:rsidR="001B2995" w:rsidRDefault="00823EE0">
            <w:pPr>
              <w:ind w:left="0"/>
              <w:jc w:val="center"/>
            </w:pPr>
            <w:r>
              <w:t>7</w:t>
            </w:r>
          </w:p>
        </w:tc>
        <w:tc>
          <w:tcPr>
            <w:tcW w:w="5415" w:type="dxa"/>
            <w:tcBorders>
              <w:top w:val="single" w:sz="4" w:space="0" w:color="000000"/>
              <w:left w:val="single" w:sz="4" w:space="0" w:color="000000"/>
              <w:bottom w:val="single" w:sz="4" w:space="0" w:color="000000"/>
              <w:right w:val="single" w:sz="4" w:space="0" w:color="000000"/>
            </w:tcBorders>
            <w:vAlign w:val="center"/>
          </w:tcPr>
          <w:p w14:paraId="5A7F79AD" w14:textId="77777777" w:rsidR="001B2995" w:rsidRDefault="00823EE0">
            <w:pPr>
              <w:ind w:left="0"/>
              <w:jc w:val="center"/>
            </w:pPr>
            <w:r>
              <w:t>Suffering from any other illnesses</w:t>
            </w:r>
          </w:p>
        </w:tc>
        <w:tc>
          <w:tcPr>
            <w:tcW w:w="1280" w:type="dxa"/>
            <w:tcBorders>
              <w:top w:val="single" w:sz="4" w:space="0" w:color="000000"/>
              <w:left w:val="single" w:sz="4" w:space="0" w:color="000000"/>
              <w:bottom w:val="single" w:sz="4" w:space="0" w:color="000000"/>
              <w:right w:val="single" w:sz="4" w:space="0" w:color="000000"/>
            </w:tcBorders>
            <w:vAlign w:val="center"/>
          </w:tcPr>
          <w:p w14:paraId="676BC281" w14:textId="77777777" w:rsidR="001B2995" w:rsidRDefault="00823EE0">
            <w:pPr>
              <w:ind w:left="0"/>
              <w:jc w:val="center"/>
            </w:pPr>
            <w:r>
              <w:t>40 (13.3%)</w:t>
            </w:r>
          </w:p>
        </w:tc>
        <w:tc>
          <w:tcPr>
            <w:tcW w:w="1295" w:type="dxa"/>
            <w:tcBorders>
              <w:top w:val="single" w:sz="4" w:space="0" w:color="000000"/>
              <w:left w:val="single" w:sz="4" w:space="0" w:color="000000"/>
              <w:bottom w:val="single" w:sz="4" w:space="0" w:color="000000"/>
              <w:right w:val="single" w:sz="4" w:space="0" w:color="000000"/>
            </w:tcBorders>
            <w:vAlign w:val="center"/>
          </w:tcPr>
          <w:p w14:paraId="2C11CBD8" w14:textId="77777777" w:rsidR="001B2995" w:rsidRDefault="00823EE0">
            <w:pPr>
              <w:ind w:left="0"/>
              <w:jc w:val="center"/>
            </w:pPr>
            <w:r>
              <w:t>260 (86.7%)</w:t>
            </w:r>
          </w:p>
        </w:tc>
      </w:tr>
      <w:tr w:rsidR="001B2995" w14:paraId="6526CA43"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628AE4EC" w14:textId="77777777" w:rsidR="001B2995" w:rsidRDefault="00823EE0">
            <w:pPr>
              <w:ind w:left="0"/>
              <w:jc w:val="center"/>
            </w:pPr>
            <w:r>
              <w:t>8</w:t>
            </w:r>
          </w:p>
        </w:tc>
        <w:tc>
          <w:tcPr>
            <w:tcW w:w="5415" w:type="dxa"/>
            <w:tcBorders>
              <w:top w:val="single" w:sz="4" w:space="0" w:color="000000"/>
              <w:left w:val="single" w:sz="4" w:space="0" w:color="000000"/>
              <w:bottom w:val="single" w:sz="4" w:space="0" w:color="000000"/>
              <w:right w:val="single" w:sz="4" w:space="0" w:color="000000"/>
            </w:tcBorders>
            <w:vAlign w:val="center"/>
          </w:tcPr>
          <w:p w14:paraId="057D1638" w14:textId="77777777" w:rsidR="001B2995" w:rsidRDefault="00823EE0">
            <w:pPr>
              <w:ind w:left="0"/>
              <w:jc w:val="center"/>
            </w:pPr>
            <w:r>
              <w:t>Self-reported anemia</w:t>
            </w:r>
          </w:p>
        </w:tc>
        <w:tc>
          <w:tcPr>
            <w:tcW w:w="1280" w:type="dxa"/>
            <w:tcBorders>
              <w:top w:val="single" w:sz="4" w:space="0" w:color="000000"/>
              <w:left w:val="single" w:sz="4" w:space="0" w:color="000000"/>
              <w:bottom w:val="single" w:sz="4" w:space="0" w:color="000000"/>
              <w:right w:val="single" w:sz="4" w:space="0" w:color="000000"/>
            </w:tcBorders>
            <w:vAlign w:val="center"/>
          </w:tcPr>
          <w:p w14:paraId="2ACA05B6" w14:textId="77777777" w:rsidR="001B2995" w:rsidRDefault="00823EE0">
            <w:pPr>
              <w:ind w:left="0"/>
              <w:jc w:val="center"/>
            </w:pPr>
            <w:r>
              <w:t>102 (34.0%)</w:t>
            </w:r>
          </w:p>
        </w:tc>
        <w:tc>
          <w:tcPr>
            <w:tcW w:w="1295" w:type="dxa"/>
            <w:tcBorders>
              <w:top w:val="single" w:sz="4" w:space="0" w:color="000000"/>
              <w:left w:val="single" w:sz="4" w:space="0" w:color="000000"/>
              <w:bottom w:val="single" w:sz="4" w:space="0" w:color="000000"/>
              <w:right w:val="single" w:sz="4" w:space="0" w:color="000000"/>
            </w:tcBorders>
            <w:vAlign w:val="center"/>
          </w:tcPr>
          <w:p w14:paraId="2349E6C5" w14:textId="77777777" w:rsidR="001B2995" w:rsidRDefault="00823EE0">
            <w:pPr>
              <w:ind w:left="0"/>
              <w:jc w:val="center"/>
            </w:pPr>
            <w:r>
              <w:t>198 (66.0%)</w:t>
            </w:r>
          </w:p>
        </w:tc>
      </w:tr>
      <w:tr w:rsidR="001B2995" w14:paraId="3A158B2A"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1C2A5D1C" w14:textId="77777777" w:rsidR="001B2995" w:rsidRDefault="00823EE0">
            <w:pPr>
              <w:ind w:left="0"/>
              <w:jc w:val="center"/>
            </w:pPr>
            <w:r>
              <w:lastRenderedPageBreak/>
              <w:t>9</w:t>
            </w:r>
          </w:p>
        </w:tc>
        <w:tc>
          <w:tcPr>
            <w:tcW w:w="5415" w:type="dxa"/>
            <w:tcBorders>
              <w:top w:val="single" w:sz="4" w:space="0" w:color="000000"/>
              <w:left w:val="single" w:sz="4" w:space="0" w:color="000000"/>
              <w:bottom w:val="single" w:sz="4" w:space="0" w:color="000000"/>
              <w:right w:val="single" w:sz="4" w:space="0" w:color="000000"/>
            </w:tcBorders>
            <w:vAlign w:val="center"/>
          </w:tcPr>
          <w:p w14:paraId="2042BCD0" w14:textId="77777777" w:rsidR="001B2995" w:rsidRDefault="00823EE0">
            <w:pPr>
              <w:ind w:left="0"/>
              <w:jc w:val="center"/>
            </w:pPr>
            <w:r>
              <w:t>Eating iron-rich foods</w:t>
            </w:r>
          </w:p>
        </w:tc>
        <w:tc>
          <w:tcPr>
            <w:tcW w:w="1280" w:type="dxa"/>
            <w:tcBorders>
              <w:top w:val="single" w:sz="4" w:space="0" w:color="000000"/>
              <w:left w:val="single" w:sz="4" w:space="0" w:color="000000"/>
              <w:bottom w:val="single" w:sz="4" w:space="0" w:color="000000"/>
              <w:right w:val="single" w:sz="4" w:space="0" w:color="000000"/>
            </w:tcBorders>
            <w:vAlign w:val="center"/>
          </w:tcPr>
          <w:p w14:paraId="3B522F89" w14:textId="77777777" w:rsidR="001B2995" w:rsidRDefault="00823EE0">
            <w:pPr>
              <w:ind w:left="0"/>
              <w:jc w:val="center"/>
            </w:pPr>
            <w:r>
              <w:t>170 (56.7%)</w:t>
            </w:r>
          </w:p>
        </w:tc>
        <w:tc>
          <w:tcPr>
            <w:tcW w:w="1295" w:type="dxa"/>
            <w:tcBorders>
              <w:top w:val="single" w:sz="4" w:space="0" w:color="000000"/>
              <w:left w:val="single" w:sz="4" w:space="0" w:color="000000"/>
              <w:bottom w:val="single" w:sz="4" w:space="0" w:color="000000"/>
              <w:right w:val="single" w:sz="4" w:space="0" w:color="000000"/>
            </w:tcBorders>
            <w:vAlign w:val="center"/>
          </w:tcPr>
          <w:p w14:paraId="5AF6688B" w14:textId="77777777" w:rsidR="001B2995" w:rsidRDefault="00823EE0">
            <w:pPr>
              <w:ind w:left="0"/>
              <w:jc w:val="center"/>
            </w:pPr>
            <w:r>
              <w:t>130 (43.3%)</w:t>
            </w:r>
          </w:p>
        </w:tc>
      </w:tr>
      <w:tr w:rsidR="001B2995" w14:paraId="49A2699D"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6788AEF6" w14:textId="77777777" w:rsidR="001B2995" w:rsidRDefault="00823EE0">
            <w:pPr>
              <w:ind w:left="0"/>
              <w:jc w:val="center"/>
            </w:pPr>
            <w:r>
              <w:t>10</w:t>
            </w:r>
          </w:p>
        </w:tc>
        <w:tc>
          <w:tcPr>
            <w:tcW w:w="5415" w:type="dxa"/>
            <w:tcBorders>
              <w:top w:val="single" w:sz="4" w:space="0" w:color="000000"/>
              <w:left w:val="single" w:sz="4" w:space="0" w:color="000000"/>
              <w:bottom w:val="single" w:sz="4" w:space="0" w:color="000000"/>
              <w:right w:val="single" w:sz="4" w:space="0" w:color="000000"/>
            </w:tcBorders>
            <w:vAlign w:val="center"/>
          </w:tcPr>
          <w:p w14:paraId="01ACF201" w14:textId="77777777" w:rsidR="001B2995" w:rsidRDefault="00823EE0">
            <w:pPr>
              <w:ind w:left="0"/>
              <w:jc w:val="center"/>
            </w:pPr>
            <w:r>
              <w:t>Blood test done to check iron levels</w:t>
            </w:r>
          </w:p>
        </w:tc>
        <w:tc>
          <w:tcPr>
            <w:tcW w:w="1280" w:type="dxa"/>
            <w:tcBorders>
              <w:top w:val="single" w:sz="4" w:space="0" w:color="000000"/>
              <w:left w:val="single" w:sz="4" w:space="0" w:color="000000"/>
              <w:bottom w:val="single" w:sz="4" w:space="0" w:color="000000"/>
              <w:right w:val="single" w:sz="4" w:space="0" w:color="000000"/>
            </w:tcBorders>
            <w:vAlign w:val="center"/>
          </w:tcPr>
          <w:p w14:paraId="62CCD3A6" w14:textId="77777777" w:rsidR="001B2995" w:rsidRDefault="00823EE0">
            <w:pPr>
              <w:ind w:left="0"/>
              <w:jc w:val="center"/>
            </w:pPr>
            <w:r>
              <w:t>140 (46.7%)</w:t>
            </w:r>
          </w:p>
        </w:tc>
        <w:tc>
          <w:tcPr>
            <w:tcW w:w="1295" w:type="dxa"/>
            <w:tcBorders>
              <w:top w:val="single" w:sz="4" w:space="0" w:color="000000"/>
              <w:left w:val="single" w:sz="4" w:space="0" w:color="000000"/>
              <w:bottom w:val="single" w:sz="4" w:space="0" w:color="000000"/>
              <w:right w:val="single" w:sz="4" w:space="0" w:color="000000"/>
            </w:tcBorders>
            <w:vAlign w:val="center"/>
          </w:tcPr>
          <w:p w14:paraId="66E0657D" w14:textId="77777777" w:rsidR="001B2995" w:rsidRDefault="00823EE0">
            <w:pPr>
              <w:ind w:left="0"/>
              <w:jc w:val="center"/>
            </w:pPr>
            <w:r>
              <w:t>160 (53.3%)</w:t>
            </w:r>
          </w:p>
        </w:tc>
      </w:tr>
      <w:tr w:rsidR="001B2995" w14:paraId="1E82A3DC"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76BA99E1" w14:textId="77777777" w:rsidR="001B2995" w:rsidRDefault="00823EE0">
            <w:pPr>
              <w:ind w:left="0"/>
              <w:jc w:val="center"/>
            </w:pPr>
            <w:r>
              <w:t>11</w:t>
            </w:r>
          </w:p>
        </w:tc>
        <w:tc>
          <w:tcPr>
            <w:tcW w:w="5415" w:type="dxa"/>
            <w:tcBorders>
              <w:top w:val="single" w:sz="4" w:space="0" w:color="000000"/>
              <w:left w:val="single" w:sz="4" w:space="0" w:color="000000"/>
              <w:bottom w:val="single" w:sz="4" w:space="0" w:color="000000"/>
              <w:right w:val="single" w:sz="4" w:space="0" w:color="000000"/>
            </w:tcBorders>
            <w:vAlign w:val="center"/>
          </w:tcPr>
          <w:p w14:paraId="6FAE3184" w14:textId="77777777" w:rsidR="001B2995" w:rsidRDefault="00823EE0">
            <w:pPr>
              <w:ind w:left="0"/>
              <w:jc w:val="center"/>
            </w:pPr>
            <w:r>
              <w:t>Laboratory test done to check ferritin levels</w:t>
            </w:r>
          </w:p>
        </w:tc>
        <w:tc>
          <w:tcPr>
            <w:tcW w:w="1280" w:type="dxa"/>
            <w:tcBorders>
              <w:top w:val="single" w:sz="4" w:space="0" w:color="000000"/>
              <w:left w:val="single" w:sz="4" w:space="0" w:color="000000"/>
              <w:bottom w:val="single" w:sz="4" w:space="0" w:color="000000"/>
              <w:right w:val="single" w:sz="4" w:space="0" w:color="000000"/>
            </w:tcBorders>
            <w:vAlign w:val="center"/>
          </w:tcPr>
          <w:p w14:paraId="08AE7AA2" w14:textId="77777777" w:rsidR="001B2995" w:rsidRDefault="00823EE0">
            <w:pPr>
              <w:ind w:left="0"/>
              <w:jc w:val="center"/>
            </w:pPr>
            <w:r>
              <w:t>126 (42.0%)</w:t>
            </w:r>
          </w:p>
        </w:tc>
        <w:tc>
          <w:tcPr>
            <w:tcW w:w="1295" w:type="dxa"/>
            <w:tcBorders>
              <w:top w:val="single" w:sz="4" w:space="0" w:color="000000"/>
              <w:left w:val="single" w:sz="4" w:space="0" w:color="000000"/>
              <w:bottom w:val="single" w:sz="4" w:space="0" w:color="000000"/>
              <w:right w:val="single" w:sz="4" w:space="0" w:color="000000"/>
            </w:tcBorders>
            <w:vAlign w:val="center"/>
          </w:tcPr>
          <w:p w14:paraId="28A35F10" w14:textId="77777777" w:rsidR="001B2995" w:rsidRDefault="00823EE0">
            <w:pPr>
              <w:ind w:left="0"/>
              <w:jc w:val="center"/>
            </w:pPr>
            <w:r>
              <w:t>174 (58.0%)</w:t>
            </w:r>
          </w:p>
        </w:tc>
      </w:tr>
    </w:tbl>
    <w:p w14:paraId="14D4E77F" w14:textId="4CA54DC6" w:rsidR="001B2995" w:rsidRDefault="00823EE0">
      <w:r>
        <w:rPr>
          <w:b/>
          <w:bCs/>
        </w:rPr>
        <w:t xml:space="preserve">Table </w:t>
      </w:r>
      <w:r w:rsidR="00456A4D">
        <w:rPr>
          <w:b/>
          <w:bCs/>
        </w:rPr>
        <w:t>4</w:t>
      </w:r>
      <w:r>
        <w:t xml:space="preserve"> shows the distribution of participants according to various health and nutritional characteristics. The majority of participants did not report clinical signs commonly associated with anemia, such as pallor or nail changes (70.7%). Only 18% reported deficiency of other nutrients such as Vitamin A or Zinc, and a small proportion had experienced worm infestation in the past six months (7.3%) or chronic diarrhea (6.0%).</w:t>
      </w:r>
    </w:p>
    <w:p w14:paraId="46C1ABEF" w14:textId="77777777" w:rsidR="001B2995" w:rsidRDefault="00823EE0">
      <w:r>
        <w:t>Malabsorption disorders were uncommon, reported by only 4% of participants. Around 12% reported having a chronic disease or being on medication, while 13.3% indicated other types of illnesses. Self-reported anemia was noted in 34% of the sample.</w:t>
      </w:r>
    </w:p>
    <w:p w14:paraId="0EEDBD87" w14:textId="77777777" w:rsidR="001B2995" w:rsidRDefault="00823EE0">
      <w:r>
        <w:t>Regarding dietary and laboratory behaviors, 56.7% reported consuming iron-rich foods. Nearly half (46.7%) had undergone a blood test to check iron levels, while 42% had completed a laboratory test to assess ferritin levels.</w:t>
      </w:r>
    </w:p>
    <w:p w14:paraId="518CA561" w14:textId="77777777" w:rsidR="001B2995" w:rsidRDefault="001B2995"/>
    <w:p w14:paraId="1BB16311" w14:textId="77777777" w:rsidR="001B2995" w:rsidRDefault="001B2995"/>
    <w:p w14:paraId="7F323B12" w14:textId="77777777" w:rsidR="001B2995" w:rsidRDefault="001B2995"/>
    <w:p w14:paraId="45110EB6" w14:textId="77777777" w:rsidR="001B2995" w:rsidRDefault="001B2995">
      <w:pPr>
        <w:rPr>
          <w:b/>
          <w:bCs/>
        </w:rPr>
      </w:pPr>
    </w:p>
    <w:p w14:paraId="3A6E289F" w14:textId="77777777" w:rsidR="001B2995" w:rsidRDefault="00823EE0">
      <w:pPr>
        <w:rPr>
          <w:b/>
          <w:bCs/>
        </w:rPr>
      </w:pPr>
      <w:r>
        <w:rPr>
          <w:b/>
          <w:bCs/>
        </w:rPr>
        <w:t>Table 5. Association Between Obesity and Iron Deficiency (N = 300)</w:t>
      </w:r>
    </w:p>
    <w:tbl>
      <w:tblPr>
        <w:tblStyle w:val="a3"/>
        <w:tblW w:w="7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7"/>
        <w:gridCol w:w="2523"/>
        <w:gridCol w:w="2925"/>
      </w:tblGrid>
      <w:tr w:rsidR="001B2995" w14:paraId="414E2F30" w14:textId="77777777">
        <w:trPr>
          <w:trHeight w:val="427"/>
          <w:tblHeader/>
        </w:trPr>
        <w:tc>
          <w:tcPr>
            <w:tcW w:w="2197" w:type="dxa"/>
            <w:vAlign w:val="center"/>
          </w:tcPr>
          <w:p w14:paraId="2F1920B2" w14:textId="77777777" w:rsidR="001B2995" w:rsidRDefault="00823EE0">
            <w:pPr>
              <w:pStyle w:val="Subtitle"/>
            </w:pPr>
            <w:bookmarkStart w:id="1" w:name="_wya2y5z5jtxc" w:colFirst="0" w:colLast="0"/>
            <w:bookmarkEnd w:id="1"/>
            <w:r>
              <w:t>BMI Category</w:t>
            </w:r>
          </w:p>
        </w:tc>
        <w:tc>
          <w:tcPr>
            <w:tcW w:w="2523" w:type="dxa"/>
            <w:vAlign w:val="center"/>
          </w:tcPr>
          <w:p w14:paraId="72082AB2" w14:textId="77777777" w:rsidR="001B2995" w:rsidRDefault="00823EE0">
            <w:pPr>
              <w:pStyle w:val="Subtitle"/>
            </w:pPr>
            <w:bookmarkStart w:id="2" w:name="_9gc5ip50yon2" w:colFirst="0" w:colLast="0"/>
            <w:bookmarkEnd w:id="2"/>
            <w:r>
              <w:t>Iron Deficiency n (%)</w:t>
            </w:r>
          </w:p>
        </w:tc>
        <w:tc>
          <w:tcPr>
            <w:tcW w:w="2925" w:type="dxa"/>
            <w:vAlign w:val="center"/>
          </w:tcPr>
          <w:p w14:paraId="3E5AED4B" w14:textId="77777777" w:rsidR="001B2995" w:rsidRDefault="00823EE0">
            <w:pPr>
              <w:pStyle w:val="Subtitle"/>
            </w:pPr>
            <w:bookmarkStart w:id="3" w:name="_d696zlbro78x" w:colFirst="0" w:colLast="0"/>
            <w:bookmarkEnd w:id="3"/>
            <w:r>
              <w:t>No Iron Deficiency n (%)</w:t>
            </w:r>
          </w:p>
        </w:tc>
      </w:tr>
      <w:tr w:rsidR="001B2995" w14:paraId="34BB322D" w14:textId="77777777">
        <w:trPr>
          <w:trHeight w:val="427"/>
        </w:trPr>
        <w:tc>
          <w:tcPr>
            <w:tcW w:w="2197" w:type="dxa"/>
            <w:vAlign w:val="center"/>
          </w:tcPr>
          <w:p w14:paraId="6F750F37" w14:textId="77777777" w:rsidR="001B2995" w:rsidRDefault="00823EE0">
            <w:pPr>
              <w:pStyle w:val="Subtitle"/>
            </w:pPr>
            <w:bookmarkStart w:id="4" w:name="_sne25zhgiwj2" w:colFirst="0" w:colLast="0"/>
            <w:bookmarkEnd w:id="4"/>
            <w:r>
              <w:t>Obese (n=58)</w:t>
            </w:r>
          </w:p>
        </w:tc>
        <w:tc>
          <w:tcPr>
            <w:tcW w:w="2523" w:type="dxa"/>
            <w:vAlign w:val="center"/>
          </w:tcPr>
          <w:p w14:paraId="78D59575" w14:textId="77777777" w:rsidR="001B2995" w:rsidRDefault="00823EE0">
            <w:pPr>
              <w:pStyle w:val="Subtitle"/>
            </w:pPr>
            <w:bookmarkStart w:id="5" w:name="_bo27hxg6qb9i" w:colFirst="0" w:colLast="0"/>
            <w:bookmarkEnd w:id="5"/>
            <w:r>
              <w:t>28 (48.3%)</w:t>
            </w:r>
          </w:p>
        </w:tc>
        <w:tc>
          <w:tcPr>
            <w:tcW w:w="2925" w:type="dxa"/>
            <w:vAlign w:val="center"/>
          </w:tcPr>
          <w:p w14:paraId="34D399AC" w14:textId="77777777" w:rsidR="001B2995" w:rsidRDefault="00823EE0">
            <w:pPr>
              <w:pStyle w:val="Subtitle"/>
            </w:pPr>
            <w:bookmarkStart w:id="6" w:name="_44276gdxqpie" w:colFirst="0" w:colLast="0"/>
            <w:bookmarkEnd w:id="6"/>
            <w:r>
              <w:t>30 (51.7%)</w:t>
            </w:r>
          </w:p>
        </w:tc>
      </w:tr>
      <w:tr w:rsidR="001B2995" w14:paraId="051BE6F7" w14:textId="77777777">
        <w:trPr>
          <w:trHeight w:val="427"/>
        </w:trPr>
        <w:tc>
          <w:tcPr>
            <w:tcW w:w="2197" w:type="dxa"/>
            <w:vAlign w:val="center"/>
          </w:tcPr>
          <w:p w14:paraId="0C80C842" w14:textId="77777777" w:rsidR="001B2995" w:rsidRDefault="00823EE0">
            <w:pPr>
              <w:pStyle w:val="Subtitle"/>
            </w:pPr>
            <w:bookmarkStart w:id="7" w:name="_38qbsfigcnki" w:colFirst="0" w:colLast="0"/>
            <w:bookmarkEnd w:id="7"/>
            <w:r>
              <w:t>Non-obese (n=242)</w:t>
            </w:r>
          </w:p>
        </w:tc>
        <w:tc>
          <w:tcPr>
            <w:tcW w:w="2523" w:type="dxa"/>
            <w:vAlign w:val="center"/>
          </w:tcPr>
          <w:p w14:paraId="438F52A2" w14:textId="77777777" w:rsidR="001B2995" w:rsidRDefault="00823EE0">
            <w:pPr>
              <w:pStyle w:val="Subtitle"/>
            </w:pPr>
            <w:bookmarkStart w:id="8" w:name="_b7wid17nwz9u" w:colFirst="0" w:colLast="0"/>
            <w:bookmarkEnd w:id="8"/>
            <w:r>
              <w:t>67 (27.7%)</w:t>
            </w:r>
          </w:p>
        </w:tc>
        <w:tc>
          <w:tcPr>
            <w:tcW w:w="2925" w:type="dxa"/>
            <w:vAlign w:val="center"/>
          </w:tcPr>
          <w:p w14:paraId="6C61F5B4" w14:textId="77777777" w:rsidR="001B2995" w:rsidRDefault="00823EE0">
            <w:pPr>
              <w:pStyle w:val="Subtitle"/>
            </w:pPr>
            <w:bookmarkStart w:id="9" w:name="_ox1c11apg951" w:colFirst="0" w:colLast="0"/>
            <w:bookmarkEnd w:id="9"/>
            <w:r>
              <w:t>175 (72.3%)</w:t>
            </w:r>
          </w:p>
        </w:tc>
      </w:tr>
      <w:tr w:rsidR="001B2995" w14:paraId="27AEF252" w14:textId="77777777">
        <w:trPr>
          <w:trHeight w:val="427"/>
        </w:trPr>
        <w:tc>
          <w:tcPr>
            <w:tcW w:w="2197" w:type="dxa"/>
            <w:vAlign w:val="center"/>
          </w:tcPr>
          <w:p w14:paraId="1A784CDA" w14:textId="77777777" w:rsidR="001B2995" w:rsidRDefault="00823EE0">
            <w:pPr>
              <w:pStyle w:val="Subtitle"/>
            </w:pPr>
            <w:bookmarkStart w:id="10" w:name="_4z6ipmogg7p8" w:colFirst="0" w:colLast="0"/>
            <w:bookmarkEnd w:id="10"/>
            <w:r>
              <w:t>Total</w:t>
            </w:r>
          </w:p>
        </w:tc>
        <w:tc>
          <w:tcPr>
            <w:tcW w:w="2523" w:type="dxa"/>
            <w:vAlign w:val="center"/>
          </w:tcPr>
          <w:p w14:paraId="142906BD" w14:textId="77777777" w:rsidR="001B2995" w:rsidRDefault="00823EE0">
            <w:pPr>
              <w:pStyle w:val="Subtitle"/>
            </w:pPr>
            <w:bookmarkStart w:id="11" w:name="_a0vpk3ope7p2" w:colFirst="0" w:colLast="0"/>
            <w:bookmarkEnd w:id="11"/>
            <w:r>
              <w:t>95 (31.7%)</w:t>
            </w:r>
          </w:p>
        </w:tc>
        <w:tc>
          <w:tcPr>
            <w:tcW w:w="2925" w:type="dxa"/>
            <w:vAlign w:val="center"/>
          </w:tcPr>
          <w:p w14:paraId="04F43557" w14:textId="77777777" w:rsidR="001B2995" w:rsidRDefault="00823EE0">
            <w:pPr>
              <w:pStyle w:val="Subtitle"/>
            </w:pPr>
            <w:bookmarkStart w:id="12" w:name="_d5bv9iujdvuc" w:colFirst="0" w:colLast="0"/>
            <w:bookmarkEnd w:id="12"/>
            <w:r>
              <w:t>205 (68.3%)</w:t>
            </w:r>
          </w:p>
        </w:tc>
      </w:tr>
    </w:tbl>
    <w:p w14:paraId="7D92F19A" w14:textId="77777777" w:rsidR="001B2995" w:rsidRDefault="00823EE0">
      <w:r>
        <w:rPr>
          <w:b/>
          <w:bCs/>
        </w:rPr>
        <w:t>Table 5</w:t>
      </w:r>
      <w:r>
        <w:t xml:space="preserve"> shows the association between obesity and iron deficiency among the students. Among obese students (n = 58), 28 (48.3%) had iron deficiency, compared to 67 (27.7%) of non-obese students (n = 242). These results indicate that iron deficiency was more prevalent among obese students than their non-obese peers.</w:t>
      </w:r>
    </w:p>
    <w:p w14:paraId="094B9B88" w14:textId="77777777" w:rsidR="001B2995" w:rsidRDefault="001B2995"/>
    <w:p w14:paraId="349A6A2D" w14:textId="77777777" w:rsidR="001B2995" w:rsidRDefault="00823EE0">
      <w:pPr>
        <w:rPr>
          <w:b/>
          <w:bCs/>
        </w:rPr>
      </w:pPr>
      <w:r>
        <w:rPr>
          <w:b/>
          <w:bCs/>
        </w:rPr>
        <w:lastRenderedPageBreak/>
        <w:t>Table 6. Mean Hemoglobin by BMI Category</w:t>
      </w:r>
    </w:p>
    <w:tbl>
      <w:tblPr>
        <w:tblStyle w:val="a4"/>
        <w:tblW w:w="92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2377"/>
        <w:gridCol w:w="1350"/>
        <w:gridCol w:w="1220"/>
        <w:gridCol w:w="1268"/>
      </w:tblGrid>
      <w:tr w:rsidR="001B2995" w14:paraId="1F4A563D" w14:textId="77777777">
        <w:trPr>
          <w:trHeight w:val="514"/>
          <w:tblHeader/>
        </w:trPr>
        <w:tc>
          <w:tcPr>
            <w:tcW w:w="3068" w:type="dxa"/>
            <w:vAlign w:val="center"/>
          </w:tcPr>
          <w:p w14:paraId="22E81BEA" w14:textId="77777777" w:rsidR="001B2995" w:rsidRDefault="00823EE0">
            <w:pPr>
              <w:pStyle w:val="Subtitle"/>
            </w:pPr>
            <w:bookmarkStart w:id="13" w:name="_mpxg6i36g0m" w:colFirst="0" w:colLast="0"/>
            <w:bookmarkEnd w:id="13"/>
            <w:r>
              <w:t>BMI Group</w:t>
            </w:r>
          </w:p>
        </w:tc>
        <w:tc>
          <w:tcPr>
            <w:tcW w:w="2377" w:type="dxa"/>
            <w:vAlign w:val="center"/>
          </w:tcPr>
          <w:p w14:paraId="3D839223" w14:textId="77777777" w:rsidR="001B2995" w:rsidRDefault="00823EE0">
            <w:pPr>
              <w:pStyle w:val="Subtitle"/>
            </w:pPr>
            <w:bookmarkStart w:id="14" w:name="_eqrqtutjkhh3" w:colFirst="0" w:colLast="0"/>
            <w:bookmarkEnd w:id="14"/>
            <w:r>
              <w:t>Mean Hb (g/dL)</w:t>
            </w:r>
          </w:p>
        </w:tc>
        <w:tc>
          <w:tcPr>
            <w:tcW w:w="1350" w:type="dxa"/>
            <w:vAlign w:val="center"/>
          </w:tcPr>
          <w:p w14:paraId="7B8A100B" w14:textId="77777777" w:rsidR="001B2995" w:rsidRDefault="00823EE0">
            <w:pPr>
              <w:pStyle w:val="Subtitle"/>
            </w:pPr>
            <w:bookmarkStart w:id="15" w:name="_eg79ndc20nbv" w:colFirst="0" w:colLast="0"/>
            <w:bookmarkEnd w:id="15"/>
            <w:r>
              <w:t>SD</w:t>
            </w:r>
          </w:p>
        </w:tc>
        <w:tc>
          <w:tcPr>
            <w:tcW w:w="1220" w:type="dxa"/>
          </w:tcPr>
          <w:p w14:paraId="7A967333" w14:textId="77777777" w:rsidR="001B2995" w:rsidRDefault="00823EE0">
            <w:pPr>
              <w:pStyle w:val="Subtitle"/>
            </w:pPr>
            <w:bookmarkStart w:id="16" w:name="_1dqu9o3gutfa" w:colFirst="0" w:colLast="0"/>
            <w:bookmarkEnd w:id="16"/>
            <w:r>
              <w:t xml:space="preserve">F </w:t>
            </w:r>
          </w:p>
        </w:tc>
        <w:tc>
          <w:tcPr>
            <w:tcW w:w="1268" w:type="dxa"/>
          </w:tcPr>
          <w:p w14:paraId="78CE5972" w14:textId="77777777" w:rsidR="001B2995" w:rsidRDefault="00823EE0">
            <w:pPr>
              <w:pStyle w:val="Subtitle"/>
            </w:pPr>
            <w:bookmarkStart w:id="17" w:name="_e5tlla4lv0cp" w:colFirst="0" w:colLast="0"/>
            <w:bookmarkEnd w:id="17"/>
            <w:r>
              <w:t>p- value</w:t>
            </w:r>
          </w:p>
        </w:tc>
      </w:tr>
      <w:tr w:rsidR="001B2995" w14:paraId="73F8EBFC" w14:textId="77777777">
        <w:trPr>
          <w:trHeight w:val="514"/>
        </w:trPr>
        <w:tc>
          <w:tcPr>
            <w:tcW w:w="3068" w:type="dxa"/>
            <w:vAlign w:val="center"/>
          </w:tcPr>
          <w:p w14:paraId="01DB2453" w14:textId="77777777" w:rsidR="001B2995" w:rsidRDefault="00823EE0">
            <w:pPr>
              <w:pStyle w:val="Subtitle"/>
            </w:pPr>
            <w:bookmarkStart w:id="18" w:name="_tmc7lyjubqqj" w:colFirst="0" w:colLast="0"/>
            <w:bookmarkEnd w:id="18"/>
            <w:r>
              <w:t>Obese</w:t>
            </w:r>
          </w:p>
        </w:tc>
        <w:tc>
          <w:tcPr>
            <w:tcW w:w="2377" w:type="dxa"/>
            <w:vAlign w:val="center"/>
          </w:tcPr>
          <w:p w14:paraId="4F0D468A" w14:textId="77777777" w:rsidR="001B2995" w:rsidRDefault="00823EE0">
            <w:pPr>
              <w:pStyle w:val="Subtitle"/>
            </w:pPr>
            <w:bookmarkStart w:id="19" w:name="_82wqcgfyeq5i" w:colFirst="0" w:colLast="0"/>
            <w:bookmarkEnd w:id="19"/>
            <w:r>
              <w:t>10.7</w:t>
            </w:r>
          </w:p>
        </w:tc>
        <w:tc>
          <w:tcPr>
            <w:tcW w:w="1350" w:type="dxa"/>
            <w:vAlign w:val="center"/>
          </w:tcPr>
          <w:p w14:paraId="4B57F36D" w14:textId="77777777" w:rsidR="001B2995" w:rsidRDefault="00823EE0">
            <w:pPr>
              <w:pStyle w:val="Subtitle"/>
            </w:pPr>
            <w:bookmarkStart w:id="20" w:name="_62oybyheh6y7" w:colFirst="0" w:colLast="0"/>
            <w:bookmarkEnd w:id="20"/>
            <w:r>
              <w:t>1.0</w:t>
            </w:r>
          </w:p>
        </w:tc>
        <w:tc>
          <w:tcPr>
            <w:tcW w:w="1220" w:type="dxa"/>
            <w:vMerge w:val="restart"/>
          </w:tcPr>
          <w:p w14:paraId="08227E88" w14:textId="77777777" w:rsidR="001B2995" w:rsidRDefault="00823EE0">
            <w:pPr>
              <w:pStyle w:val="Subtitle"/>
              <w:ind w:left="720"/>
            </w:pPr>
            <w:bookmarkStart w:id="21" w:name="_y9uz6s1szcij" w:colFirst="0" w:colLast="0"/>
            <w:bookmarkEnd w:id="21"/>
            <w:r>
              <w:t>6.12</w:t>
            </w:r>
          </w:p>
          <w:p w14:paraId="2E5CEA65" w14:textId="77777777" w:rsidR="001B2995" w:rsidRDefault="001B2995">
            <w:pPr>
              <w:pStyle w:val="Subtitle"/>
            </w:pPr>
            <w:bookmarkStart w:id="22" w:name="_c53gsu7ksyyu" w:colFirst="0" w:colLast="0"/>
            <w:bookmarkEnd w:id="22"/>
          </w:p>
        </w:tc>
        <w:tc>
          <w:tcPr>
            <w:tcW w:w="1268" w:type="dxa"/>
            <w:vMerge w:val="restart"/>
          </w:tcPr>
          <w:p w14:paraId="3D98E701" w14:textId="77777777" w:rsidR="001B2995" w:rsidRDefault="00823EE0">
            <w:pPr>
              <w:pStyle w:val="Subtitle"/>
            </w:pPr>
            <w:bookmarkStart w:id="23" w:name="_6fmuhbjo2ly7" w:colFirst="0" w:colLast="0"/>
            <w:bookmarkEnd w:id="23"/>
            <w:r>
              <w:rPr>
                <w:b/>
                <w:bCs/>
              </w:rPr>
              <w:t>0.0004</w:t>
            </w:r>
            <w:r>
              <w:t xml:space="preserve"> (significant)</w:t>
            </w:r>
          </w:p>
          <w:p w14:paraId="2DE2E1B0" w14:textId="77777777" w:rsidR="001B2995" w:rsidRDefault="001B2995">
            <w:pPr>
              <w:pStyle w:val="Subtitle"/>
            </w:pPr>
            <w:bookmarkStart w:id="24" w:name="_nc9ym28rr0d9" w:colFirst="0" w:colLast="0"/>
            <w:bookmarkEnd w:id="24"/>
          </w:p>
        </w:tc>
      </w:tr>
      <w:tr w:rsidR="001B2995" w14:paraId="62A04A0C" w14:textId="77777777">
        <w:trPr>
          <w:trHeight w:val="514"/>
        </w:trPr>
        <w:tc>
          <w:tcPr>
            <w:tcW w:w="3068" w:type="dxa"/>
            <w:vAlign w:val="center"/>
          </w:tcPr>
          <w:p w14:paraId="2F821497" w14:textId="77777777" w:rsidR="001B2995" w:rsidRDefault="00823EE0">
            <w:pPr>
              <w:pStyle w:val="Subtitle"/>
            </w:pPr>
            <w:bookmarkStart w:id="25" w:name="_tquwmbwpbcq4" w:colFirst="0" w:colLast="0"/>
            <w:bookmarkEnd w:id="25"/>
            <w:r>
              <w:t>Overweight</w:t>
            </w:r>
          </w:p>
        </w:tc>
        <w:tc>
          <w:tcPr>
            <w:tcW w:w="2377" w:type="dxa"/>
            <w:vAlign w:val="center"/>
          </w:tcPr>
          <w:p w14:paraId="2C5CAA04" w14:textId="77777777" w:rsidR="001B2995" w:rsidRDefault="00823EE0">
            <w:pPr>
              <w:pStyle w:val="Subtitle"/>
            </w:pPr>
            <w:bookmarkStart w:id="26" w:name="_x7s606bj5wdp" w:colFirst="0" w:colLast="0"/>
            <w:bookmarkEnd w:id="26"/>
            <w:r>
              <w:t>11.0</w:t>
            </w:r>
          </w:p>
        </w:tc>
        <w:tc>
          <w:tcPr>
            <w:tcW w:w="1350" w:type="dxa"/>
            <w:vAlign w:val="center"/>
          </w:tcPr>
          <w:p w14:paraId="79F32807" w14:textId="77777777" w:rsidR="001B2995" w:rsidRDefault="00823EE0">
            <w:pPr>
              <w:pStyle w:val="Subtitle"/>
            </w:pPr>
            <w:bookmarkStart w:id="27" w:name="_er5ol3oewell" w:colFirst="0" w:colLast="0"/>
            <w:bookmarkEnd w:id="27"/>
            <w:r>
              <w:t>1.1</w:t>
            </w:r>
          </w:p>
        </w:tc>
        <w:tc>
          <w:tcPr>
            <w:tcW w:w="1220" w:type="dxa"/>
            <w:vMerge/>
          </w:tcPr>
          <w:p w14:paraId="005386D0" w14:textId="77777777" w:rsidR="001B2995" w:rsidRDefault="001B2995">
            <w:pPr>
              <w:widowControl w:val="0"/>
              <w:pBdr>
                <w:top w:val="nil"/>
                <w:left w:val="nil"/>
                <w:bottom w:val="nil"/>
                <w:right w:val="nil"/>
                <w:between w:val="nil"/>
              </w:pBdr>
              <w:spacing w:after="0"/>
              <w:ind w:left="0"/>
              <w:jc w:val="left"/>
            </w:pPr>
          </w:p>
        </w:tc>
        <w:tc>
          <w:tcPr>
            <w:tcW w:w="1268" w:type="dxa"/>
            <w:vMerge/>
          </w:tcPr>
          <w:p w14:paraId="1F678D31" w14:textId="77777777" w:rsidR="001B2995" w:rsidRDefault="001B2995">
            <w:pPr>
              <w:widowControl w:val="0"/>
              <w:pBdr>
                <w:top w:val="nil"/>
                <w:left w:val="nil"/>
                <w:bottom w:val="nil"/>
                <w:right w:val="nil"/>
                <w:between w:val="nil"/>
              </w:pBdr>
              <w:spacing w:after="0"/>
              <w:ind w:left="0"/>
              <w:jc w:val="left"/>
            </w:pPr>
          </w:p>
        </w:tc>
      </w:tr>
      <w:tr w:rsidR="001B2995" w14:paraId="63C65D2F" w14:textId="77777777">
        <w:trPr>
          <w:trHeight w:val="514"/>
        </w:trPr>
        <w:tc>
          <w:tcPr>
            <w:tcW w:w="3068" w:type="dxa"/>
            <w:vAlign w:val="center"/>
          </w:tcPr>
          <w:p w14:paraId="3A458DE5" w14:textId="77777777" w:rsidR="001B2995" w:rsidRDefault="00823EE0">
            <w:pPr>
              <w:pStyle w:val="Subtitle"/>
            </w:pPr>
            <w:bookmarkStart w:id="28" w:name="_tojy28u6pd3n" w:colFirst="0" w:colLast="0"/>
            <w:bookmarkEnd w:id="28"/>
            <w:r>
              <w:t>Normal weight</w:t>
            </w:r>
          </w:p>
        </w:tc>
        <w:tc>
          <w:tcPr>
            <w:tcW w:w="2377" w:type="dxa"/>
            <w:vAlign w:val="center"/>
          </w:tcPr>
          <w:p w14:paraId="19615460" w14:textId="77777777" w:rsidR="001B2995" w:rsidRDefault="00823EE0">
            <w:pPr>
              <w:pStyle w:val="Subtitle"/>
            </w:pPr>
            <w:bookmarkStart w:id="29" w:name="_10x4f842g8r2" w:colFirst="0" w:colLast="0"/>
            <w:bookmarkEnd w:id="29"/>
            <w:r>
              <w:t>11.4</w:t>
            </w:r>
          </w:p>
        </w:tc>
        <w:tc>
          <w:tcPr>
            <w:tcW w:w="1350" w:type="dxa"/>
            <w:vAlign w:val="center"/>
          </w:tcPr>
          <w:p w14:paraId="45EE939B" w14:textId="77777777" w:rsidR="001B2995" w:rsidRDefault="00823EE0">
            <w:pPr>
              <w:pStyle w:val="Subtitle"/>
            </w:pPr>
            <w:bookmarkStart w:id="30" w:name="_866ojnmwlrpn" w:colFirst="0" w:colLast="0"/>
            <w:bookmarkEnd w:id="30"/>
            <w:r>
              <w:t>1.0</w:t>
            </w:r>
          </w:p>
        </w:tc>
        <w:tc>
          <w:tcPr>
            <w:tcW w:w="1220" w:type="dxa"/>
            <w:vMerge/>
          </w:tcPr>
          <w:p w14:paraId="6CA18C01" w14:textId="77777777" w:rsidR="001B2995" w:rsidRDefault="001B2995">
            <w:pPr>
              <w:widowControl w:val="0"/>
              <w:pBdr>
                <w:top w:val="nil"/>
                <w:left w:val="nil"/>
                <w:bottom w:val="nil"/>
                <w:right w:val="nil"/>
                <w:between w:val="nil"/>
              </w:pBdr>
              <w:spacing w:after="0"/>
              <w:ind w:left="0"/>
              <w:jc w:val="left"/>
            </w:pPr>
          </w:p>
        </w:tc>
        <w:tc>
          <w:tcPr>
            <w:tcW w:w="1268" w:type="dxa"/>
            <w:vMerge/>
          </w:tcPr>
          <w:p w14:paraId="0C84F562" w14:textId="77777777" w:rsidR="001B2995" w:rsidRDefault="001B2995">
            <w:pPr>
              <w:widowControl w:val="0"/>
              <w:pBdr>
                <w:top w:val="nil"/>
                <w:left w:val="nil"/>
                <w:bottom w:val="nil"/>
                <w:right w:val="nil"/>
                <w:between w:val="nil"/>
              </w:pBdr>
              <w:spacing w:after="0"/>
              <w:ind w:left="0"/>
              <w:jc w:val="left"/>
            </w:pPr>
          </w:p>
        </w:tc>
      </w:tr>
      <w:tr w:rsidR="001B2995" w14:paraId="4E720023" w14:textId="77777777">
        <w:trPr>
          <w:trHeight w:val="514"/>
        </w:trPr>
        <w:tc>
          <w:tcPr>
            <w:tcW w:w="3068" w:type="dxa"/>
            <w:vAlign w:val="center"/>
          </w:tcPr>
          <w:p w14:paraId="4BF1B0D6" w14:textId="77777777" w:rsidR="001B2995" w:rsidRDefault="00823EE0">
            <w:pPr>
              <w:pStyle w:val="Subtitle"/>
            </w:pPr>
            <w:bookmarkStart w:id="31" w:name="_9h7686tsm6s4" w:colFirst="0" w:colLast="0"/>
            <w:bookmarkEnd w:id="31"/>
            <w:r>
              <w:t>Underweight</w:t>
            </w:r>
          </w:p>
        </w:tc>
        <w:tc>
          <w:tcPr>
            <w:tcW w:w="2377" w:type="dxa"/>
            <w:vAlign w:val="center"/>
          </w:tcPr>
          <w:p w14:paraId="1219D6A4" w14:textId="77777777" w:rsidR="001B2995" w:rsidRDefault="00823EE0">
            <w:pPr>
              <w:pStyle w:val="Subtitle"/>
            </w:pPr>
            <w:bookmarkStart w:id="32" w:name="_az2iq3qxfuct" w:colFirst="0" w:colLast="0"/>
            <w:bookmarkEnd w:id="32"/>
            <w:r>
              <w:t>11.0</w:t>
            </w:r>
          </w:p>
        </w:tc>
        <w:tc>
          <w:tcPr>
            <w:tcW w:w="1350" w:type="dxa"/>
            <w:vAlign w:val="center"/>
          </w:tcPr>
          <w:p w14:paraId="044BFD57" w14:textId="77777777" w:rsidR="001B2995" w:rsidRDefault="00823EE0">
            <w:pPr>
              <w:pStyle w:val="Subtitle"/>
            </w:pPr>
            <w:bookmarkStart w:id="33" w:name="_p52bc17c72r8" w:colFirst="0" w:colLast="0"/>
            <w:bookmarkEnd w:id="33"/>
            <w:r>
              <w:t>1.3</w:t>
            </w:r>
          </w:p>
        </w:tc>
        <w:tc>
          <w:tcPr>
            <w:tcW w:w="1220" w:type="dxa"/>
            <w:vMerge/>
          </w:tcPr>
          <w:p w14:paraId="7242A913" w14:textId="77777777" w:rsidR="001B2995" w:rsidRDefault="001B2995">
            <w:pPr>
              <w:widowControl w:val="0"/>
              <w:pBdr>
                <w:top w:val="nil"/>
                <w:left w:val="nil"/>
                <w:bottom w:val="nil"/>
                <w:right w:val="nil"/>
                <w:between w:val="nil"/>
              </w:pBdr>
              <w:spacing w:after="0"/>
              <w:ind w:left="0"/>
              <w:jc w:val="left"/>
            </w:pPr>
          </w:p>
        </w:tc>
        <w:tc>
          <w:tcPr>
            <w:tcW w:w="1268" w:type="dxa"/>
            <w:vMerge/>
          </w:tcPr>
          <w:p w14:paraId="025D4022" w14:textId="77777777" w:rsidR="001B2995" w:rsidRDefault="001B2995">
            <w:pPr>
              <w:widowControl w:val="0"/>
              <w:pBdr>
                <w:top w:val="nil"/>
                <w:left w:val="nil"/>
                <w:bottom w:val="nil"/>
                <w:right w:val="nil"/>
                <w:between w:val="nil"/>
              </w:pBdr>
              <w:spacing w:after="0"/>
              <w:ind w:left="0"/>
              <w:jc w:val="left"/>
            </w:pPr>
          </w:p>
        </w:tc>
      </w:tr>
    </w:tbl>
    <w:p w14:paraId="067C29DE" w14:textId="77777777" w:rsidR="001B2995" w:rsidRDefault="001B2995"/>
    <w:p w14:paraId="645EEA62" w14:textId="77777777" w:rsidR="001B2995" w:rsidRDefault="00823EE0">
      <w:r>
        <w:rPr>
          <w:b/>
          <w:bCs/>
        </w:rPr>
        <w:t xml:space="preserve">Table 6 </w:t>
      </w:r>
      <w:r>
        <w:t xml:space="preserve"> shows  presents the mean hemoglobin levels across different BMI categories. Obese students had the lowest mean hemoglobin (10.7 g/dL), followed by overweight (11.0 g/dL) and underweight students (11.0 g/dL), while students with normal weight had the highest mean (11.4 g/dL). The differences among BMI groups were statistically significant (F = 6.12, p = 0.0004)</w:t>
      </w:r>
    </w:p>
    <w:p w14:paraId="2852AF68" w14:textId="77777777" w:rsidR="001B2995" w:rsidRDefault="001B2995">
      <w:pPr>
        <w:rPr>
          <w:b/>
          <w:bCs/>
          <w:sz w:val="28"/>
          <w:szCs w:val="28"/>
        </w:rPr>
      </w:pPr>
    </w:p>
    <w:p w14:paraId="072001A6" w14:textId="77777777" w:rsidR="001B2995" w:rsidRDefault="001B2995">
      <w:pPr>
        <w:rPr>
          <w:b/>
          <w:bCs/>
          <w:sz w:val="28"/>
          <w:szCs w:val="28"/>
        </w:rPr>
      </w:pPr>
    </w:p>
    <w:p w14:paraId="71EC011D" w14:textId="77777777" w:rsidR="001B2995" w:rsidRDefault="001B2995">
      <w:pPr>
        <w:rPr>
          <w:b/>
          <w:bCs/>
          <w:sz w:val="28"/>
          <w:szCs w:val="28"/>
        </w:rPr>
      </w:pPr>
    </w:p>
    <w:p w14:paraId="05F39E24" w14:textId="77777777" w:rsidR="001B2995" w:rsidRDefault="001B2995">
      <w:pPr>
        <w:rPr>
          <w:b/>
          <w:bCs/>
          <w:sz w:val="28"/>
          <w:szCs w:val="28"/>
        </w:rPr>
      </w:pPr>
    </w:p>
    <w:p w14:paraId="6E066E11" w14:textId="77777777" w:rsidR="001B2995" w:rsidRDefault="001B2995">
      <w:pPr>
        <w:rPr>
          <w:b/>
          <w:bCs/>
          <w:sz w:val="28"/>
          <w:szCs w:val="28"/>
        </w:rPr>
      </w:pPr>
    </w:p>
    <w:p w14:paraId="07B97BB7" w14:textId="77777777" w:rsidR="001B2995" w:rsidRDefault="00823EE0">
      <w:pPr>
        <w:rPr>
          <w:b/>
          <w:bCs/>
          <w:sz w:val="28"/>
          <w:szCs w:val="28"/>
        </w:rPr>
      </w:pPr>
      <w:r>
        <w:rPr>
          <w:b/>
          <w:bCs/>
          <w:sz w:val="28"/>
          <w:szCs w:val="28"/>
        </w:rPr>
        <w:t>Discussion</w:t>
      </w:r>
    </w:p>
    <w:p w14:paraId="71CBC091" w14:textId="77777777" w:rsidR="001B2995" w:rsidRDefault="00823EE0">
      <w:r>
        <w:t xml:space="preserve">The findings reported in Table (1) illustrate the socio-demographic characteristics of the 300 participating students. Concerning age distribution, the study shows that students aged </w:t>
      </w:r>
      <w:r>
        <w:rPr>
          <w:b/>
          <w:bCs/>
        </w:rPr>
        <w:t>8–9 years</w:t>
      </w:r>
      <w:r>
        <w:t xml:space="preserve"> formed the largest segment of the sample (39.3%), whereas the groups </w:t>
      </w:r>
      <w:r>
        <w:rPr>
          <w:b/>
          <w:bCs/>
        </w:rPr>
        <w:t>6–7 years</w:t>
      </w:r>
      <w:r>
        <w:t xml:space="preserve"> and </w:t>
      </w:r>
      <w:r>
        <w:rPr>
          <w:b/>
          <w:bCs/>
        </w:rPr>
        <w:t>10–12 years</w:t>
      </w:r>
      <w:r>
        <w:t xml:space="preserve"> represented 30.7% and 30.0% respectively. These results indicate that the sample mainly falls within the middle childhood stage, a period in which students are often more consistent in school attendance and more responsive to survey participation. Similar age distributions were noted in several school-based surveys, where the majority of respondents belonged to the intermediate age ranges (15,16).</w:t>
      </w:r>
    </w:p>
    <w:p w14:paraId="30A77782" w14:textId="77777777" w:rsidR="001B2995" w:rsidRDefault="00823EE0">
      <w:r>
        <w:t xml:space="preserve">Regarding gender, the present study demonstrates a nearly equal representation of both sexes, with </w:t>
      </w:r>
      <w:r>
        <w:rPr>
          <w:b/>
          <w:bCs/>
        </w:rPr>
        <w:t>males accounting for 52.0%</w:t>
      </w:r>
      <w:r>
        <w:t xml:space="preserve"> and </w:t>
      </w:r>
      <w:r>
        <w:rPr>
          <w:b/>
          <w:bCs/>
        </w:rPr>
        <w:t>females for 48.0%</w:t>
      </w:r>
      <w:r>
        <w:t>. This balanced distribution suggests that recruitment was not biased toward a particular gender. Comparable findings were reported in previous research where male students slightly outnumbered females (17). However, other studies documented higher female participation rates, typically attributed to greater willingness among girls to engage in academic or health-</w:t>
      </w:r>
      <w:r>
        <w:lastRenderedPageBreak/>
        <w:t>related surveys (18). These differences across studies may reflect variations in school composition or cultural factors influencing students’ engagement.</w:t>
      </w:r>
    </w:p>
    <w:p w14:paraId="23A08162" w14:textId="77777777" w:rsidR="001B2995" w:rsidRDefault="00823EE0">
      <w:r>
        <w:t xml:space="preserve">The results related to students’ residence show that </w:t>
      </w:r>
      <w:r>
        <w:rPr>
          <w:b/>
          <w:bCs/>
        </w:rPr>
        <w:t>urban residents constituted 68.0%</w:t>
      </w:r>
      <w:r>
        <w:t xml:space="preserve"> of the sample, compared to 32.0% from rural areas. This finding corresponds with the demographic characteristics of many school settings where urban schools enroll larger numbers of students and are more accessible for data collection (19). Studies conducted in similar contexts have also reported predominance of urban participants, although other research—particularly those based in rural-dominant regions—has shown different patterns (20). The variation across studies likely reflects differences in geographic distribution and population density.</w:t>
      </w:r>
    </w:p>
    <w:p w14:paraId="5F904732" w14:textId="77777777" w:rsidR="001B2995" w:rsidRDefault="00823EE0">
      <w:r>
        <w:t xml:space="preserve">Regarding mothers’ educational levels, the data reveal that </w:t>
      </w:r>
      <w:r>
        <w:rPr>
          <w:b/>
          <w:bCs/>
        </w:rPr>
        <w:t>secondary education</w:t>
      </w:r>
      <w:r>
        <w:t xml:space="preserve"> was the most common (39.3%), followed closely by </w:t>
      </w:r>
      <w:r>
        <w:rPr>
          <w:b/>
          <w:bCs/>
        </w:rPr>
        <w:t>primary or below</w:t>
      </w:r>
      <w:r>
        <w:t xml:space="preserve"> (36.7%), while </w:t>
      </w:r>
      <w:r>
        <w:rPr>
          <w:b/>
          <w:bCs/>
        </w:rPr>
        <w:t>24.0%</w:t>
      </w:r>
      <w:r>
        <w:t xml:space="preserve"> of mothers held a college degree. This suggests that the majority of mothers possess moderate educational backgrounds. Previous studies have emphasized the influence of maternal education on children’s school performance and health awareness, with similar distributions observed in research conducted among school populations (21,22).</w:t>
      </w:r>
    </w:p>
    <w:p w14:paraId="3D0824A7" w14:textId="77777777" w:rsidR="001B2995" w:rsidRDefault="00823EE0">
      <w:r>
        <w:t xml:space="preserve">A similar pattern emerges in fathers’ education, where </w:t>
      </w:r>
      <w:r>
        <w:rPr>
          <w:b/>
          <w:bCs/>
        </w:rPr>
        <w:t>43.3%</w:t>
      </w:r>
      <w:r>
        <w:t xml:space="preserve"> had completed secondary school, </w:t>
      </w:r>
      <w:r>
        <w:rPr>
          <w:b/>
          <w:bCs/>
        </w:rPr>
        <w:t>30.7%</w:t>
      </w:r>
      <w:r>
        <w:t xml:space="preserve"> had primary or below, and </w:t>
      </w:r>
      <w:r>
        <w:rPr>
          <w:b/>
          <w:bCs/>
        </w:rPr>
        <w:t>26.0%</w:t>
      </w:r>
      <w:r>
        <w:t xml:space="preserve"> held a college degree. These results are consistent with findings from related studies that also reported a predominance of secondary educational attainment among fathers (23). Differences across studies may be related to socioeconomic variations or regional disparities in access to higher education.</w:t>
      </w:r>
    </w:p>
    <w:p w14:paraId="7C72EC30" w14:textId="77777777" w:rsidR="001B2995" w:rsidRDefault="00823EE0">
      <w:r>
        <w:t>The findings in Table (3) present the distribution of Body Mass Index (BMI) categories among the participating students (N = 300). The results show that 56.0% of the students fell within the normal weight category, indicating that the majority of the sample had appropriate weight relative to age and height. This aligns with several school-based studies that reported normal-weight prevalence ranging between 50–65% among primary school children (15,24).</w:t>
      </w:r>
    </w:p>
    <w:p w14:paraId="5FDBDF41" w14:textId="77777777" w:rsidR="001B2995" w:rsidRDefault="00823EE0">
      <w:r>
        <w:t>However, the data also reveal noteworthy proportions of weight-related problems. Specifically, 19.3% of the students were classified as obese, while 14.7% were overweight. Together, these two categories account for 34.0% of the total sample, highlighting that more than one-third of the children are experiencing excess weight. This prevalence is comparable to findings from recent regional studies, which reported childhood overweight/obesity rates between 25–38% in similar age groups (25). A study conducted in Saudi Arabia, for example, found that 18% of children were obese and 16% overweight (26), which closely resembles the proportions observed in the current study. Likewise, research from Egypt reported that 20.4% of school-aged children were obese (27), supporting the significance of the issue across Middle Eastern populations.</w:t>
      </w:r>
    </w:p>
    <w:p w14:paraId="11109729" w14:textId="77777777" w:rsidR="001B2995" w:rsidRDefault="00823EE0">
      <w:r>
        <w:t xml:space="preserve">Several factors may contribute to these trends, including increased consumption of energy-dense foods, limited physical activity, and growing exposure to sedentary lifestyles, particularly in urban settings. These </w:t>
      </w:r>
      <w:r>
        <w:lastRenderedPageBreak/>
        <w:t>explanations are consistent with findings from international studies such as the Global School Health Survey, which identified poor dietary patterns and reduced physical activity as leading contributors to childhood obesity (28).</w:t>
      </w:r>
    </w:p>
    <w:p w14:paraId="4483AB81" w14:textId="77777777" w:rsidR="001B2995" w:rsidRDefault="00823EE0">
      <w:r>
        <w:t>The presence of 10.0% underweight students also warrants attention, as it reflects a segment of the population experiencing nutritional deficiencies or growth-related challenges. Similar findings were reported in studies conducted in India and Jordan, where underweight prevalence among school children ranged between 8–12% (22,19). This suggests that while overweight and obesity are emerging issues, undernutrition remains a concern that should not be overlooked.</w:t>
      </w:r>
    </w:p>
    <w:p w14:paraId="0A5742C4" w14:textId="77777777" w:rsidR="001B2995" w:rsidRDefault="00823EE0">
      <w:r>
        <w:t>Overall, the BMI distribution in the current study indicates a dual burden of malnutrition, where overweight and obesity coexist with underweight within the same population. This pattern has been increasingly documented in developing countries undergoing nutritional and lifestyle transitions (29). The findings highlight the need for school-based interventions focusing on balanced nutrition, promotion of physical activity, and early identification of weight-related problems to improve children's health outcomes</w:t>
      </w:r>
    </w:p>
    <w:p w14:paraId="50A916F1" w14:textId="77777777" w:rsidR="001B2995" w:rsidRDefault="00823EE0">
      <w:r>
        <w:t xml:space="preserve">Table 3 shows that both iron deficiency and anemia are relatively common in the study population. The prevalence of </w:t>
      </w:r>
      <w:r>
        <w:rPr>
          <w:b/>
          <w:bCs/>
        </w:rPr>
        <w:t>iron deficiency was 31.7%</w:t>
      </w:r>
      <w:r>
        <w:t xml:space="preserve">, indicating that nearly one-third of participants had inadequate iron stores. The prevalence of </w:t>
      </w:r>
      <w:r>
        <w:rPr>
          <w:b/>
          <w:bCs/>
        </w:rPr>
        <w:t>anemia was slightly higher at 34.0%</w:t>
      </w:r>
      <w:r>
        <w:t>, suggesting that factors beyond iron deficiency—such as nutritional deficiencies, chronic disease, or inflammation—may also contribute to reduced hemoglobin levels.</w:t>
      </w:r>
    </w:p>
    <w:p w14:paraId="01E20F2B" w14:textId="77777777" w:rsidR="001B2995" w:rsidRDefault="00823EE0">
      <w:r>
        <w:t xml:space="preserve">The close proportions between iron deficiency and anemia highlight that </w:t>
      </w:r>
      <w:r>
        <w:rPr>
          <w:b/>
          <w:bCs/>
        </w:rPr>
        <w:t>iron deficiency remains a major contributor to anemia</w:t>
      </w:r>
      <w:r>
        <w:t>, but it is not the only cause. These findings emphasize the importance of screening and early intervention to address nutritional gaps and prevent progression to more severe hematological conditions.</w:t>
      </w:r>
    </w:p>
    <w:p w14:paraId="586CA283" w14:textId="77777777" w:rsidR="001B2995" w:rsidRDefault="00823EE0">
      <w:r>
        <w:t xml:space="preserve">The findings presented in Table (4) illustrate several health-related conditions and nutritional factors among the participating students. The results show that </w:t>
      </w:r>
      <w:r>
        <w:rPr>
          <w:b/>
          <w:bCs/>
        </w:rPr>
        <w:t>29.3%</w:t>
      </w:r>
      <w:r>
        <w:t xml:space="preserve"> of the students exhibited signs suggestive of anemia, such as pallor, pale conjunctiva, or nail changes, while a larger proportion (</w:t>
      </w:r>
      <w:r>
        <w:rPr>
          <w:b/>
          <w:bCs/>
        </w:rPr>
        <w:t>70.7%</w:t>
      </w:r>
      <w:r>
        <w:t>) did not report such symptoms. This suggests that although anemia-related signs were present in a notable share of the sample, they did not represent the majority.</w:t>
      </w:r>
    </w:p>
    <w:p w14:paraId="5AA356C7" w14:textId="77777777" w:rsidR="001B2995" w:rsidRDefault="00823EE0">
      <w:r>
        <w:t xml:space="preserve">Nutrient deficiencies related to Vitamin A or Zinc were reported by </w:t>
      </w:r>
      <w:r>
        <w:rPr>
          <w:b/>
          <w:bCs/>
        </w:rPr>
        <w:t>18.0%</w:t>
      </w:r>
      <w:r>
        <w:t xml:space="preserve"> of the students, indicating that only a small segment of the sample suffered from such deficiencies. Additionally, a very low proportion (</w:t>
      </w:r>
      <w:r>
        <w:rPr>
          <w:b/>
          <w:bCs/>
        </w:rPr>
        <w:t>7.3%</w:t>
      </w:r>
      <w:r>
        <w:t>) had experienced worm infestation in the past six months. The low prevalence of worm infestation and chronic diarrhea (</w:t>
      </w:r>
      <w:r>
        <w:rPr>
          <w:b/>
          <w:bCs/>
        </w:rPr>
        <w:t>6.0%</w:t>
      </w:r>
      <w:r>
        <w:t>) may reflect satisfactory hygiene practices or effective health interventions within the school community.</w:t>
      </w:r>
    </w:p>
    <w:p w14:paraId="4745034F" w14:textId="77777777" w:rsidR="001B2995" w:rsidRDefault="00823EE0">
      <w:r>
        <w:t xml:space="preserve">Moreover, only </w:t>
      </w:r>
      <w:r>
        <w:rPr>
          <w:b/>
          <w:bCs/>
        </w:rPr>
        <w:t>4.0%</w:t>
      </w:r>
      <w:r>
        <w:t xml:space="preserve"> of students reported malabsorption disorders, while </w:t>
      </w:r>
      <w:r>
        <w:rPr>
          <w:b/>
          <w:bCs/>
        </w:rPr>
        <w:t>12.0%</w:t>
      </w:r>
      <w:r>
        <w:t xml:space="preserve"> reported having a chronic disease or using medication. These relatively low percentages suggest that chronic conditions are not </w:t>
      </w:r>
      <w:r>
        <w:lastRenderedPageBreak/>
        <w:t xml:space="preserve">highly prevalent in this age group. Similarly, </w:t>
      </w:r>
      <w:r>
        <w:rPr>
          <w:b/>
          <w:bCs/>
        </w:rPr>
        <w:t>13.3%</w:t>
      </w:r>
      <w:r>
        <w:t xml:space="preserve"> of students stated that they suffered from other illnesses, which aligns with the expected range for school-aged children.</w:t>
      </w:r>
    </w:p>
    <w:p w14:paraId="3D9CC092" w14:textId="77777777" w:rsidR="001B2995" w:rsidRDefault="00823EE0">
      <w:r>
        <w:t xml:space="preserve">Self-reported anemia was recorded among </w:t>
      </w:r>
      <w:r>
        <w:rPr>
          <w:b/>
          <w:bCs/>
        </w:rPr>
        <w:t>34.0%</w:t>
      </w:r>
      <w:r>
        <w:t xml:space="preserve"> of the students, a proportion slightly higher than those who exhibited anemia-related physical signs. This difference may reflect students’ previous diagnosis or parental awareness rather than current clinical symptoms.</w:t>
      </w:r>
    </w:p>
    <w:p w14:paraId="419476D5" w14:textId="77777777" w:rsidR="001B2995" w:rsidRDefault="00823EE0">
      <w:r>
        <w:t>Regarding dietary habits, more than half of the students (</w:t>
      </w:r>
      <w:r>
        <w:rPr>
          <w:b/>
          <w:bCs/>
        </w:rPr>
        <w:t>56.7%</w:t>
      </w:r>
      <w:r>
        <w:t xml:space="preserve">) reported consuming iron-rich foods, suggesting generally acceptable nutritional practices. However, laboratory testing was less common: </w:t>
      </w:r>
      <w:r>
        <w:rPr>
          <w:b/>
          <w:bCs/>
        </w:rPr>
        <w:t>46.7%</w:t>
      </w:r>
      <w:r>
        <w:t xml:space="preserve"> had undergone a blood test to assess iron levels, and only </w:t>
      </w:r>
      <w:r>
        <w:rPr>
          <w:b/>
          <w:bCs/>
        </w:rPr>
        <w:t>42.0%</w:t>
      </w:r>
      <w:r>
        <w:t xml:space="preserve"> had been tested for ferritin. This indicates that while some students had been screened for iron status, routine testing remains relatively limited.</w:t>
      </w:r>
    </w:p>
    <w:p w14:paraId="779FA264" w14:textId="77777777" w:rsidR="001B2995" w:rsidRDefault="00823EE0">
      <w:r>
        <w:t>Overall, these findings suggest that although anemia-related factors exist among a portion of the students, major health problems such as chronic diseases, parasitic infections, and malabsorption disorders appear to be relatively uncommon in the study population.</w:t>
      </w:r>
    </w:p>
    <w:p w14:paraId="4225CE70" w14:textId="77777777" w:rsidR="001B2995" w:rsidRDefault="00823EE0">
      <w:r>
        <w:t>The results in Table (5) demonstrate a clear association between obesity and iron deficiency among the participating students. The findings show that 48.3% of obese students had iron deficiency, compared to 27.7% of non-obese students. This indicates that iron deficiency was substantially more common among obese individuals in the sample. These results suggest that obesity may play a significant role in increasing the risk of iron depletion.</w:t>
      </w:r>
    </w:p>
    <w:p w14:paraId="3F6D7F1F" w14:textId="77777777" w:rsidR="001B2995" w:rsidRDefault="00823EE0">
      <w:bookmarkStart w:id="34" w:name="_9j4nveq7yg4g" w:colFirst="0" w:colLast="0"/>
      <w:bookmarkEnd w:id="34"/>
      <w:r>
        <w:t>The current findings are consistent with a large body of literature indicating that overweight and obese children are more prone to iron deficiency. A widely cited explanation for this association is the presence of chronic low-grade inflammation in obesity, which leads to increased production of hepcidin, a hepatic hormone that inhibits intestinal iron absorption. According to a study by Cepeda-Lopez et al. (2011)(30), obese children demonstrated significantly lower iron absorption due to elevated hepcidin levels, which supports the findings of the present study.</w:t>
      </w:r>
    </w:p>
    <w:p w14:paraId="66B29955" w14:textId="77777777" w:rsidR="001B2995" w:rsidRDefault="00823EE0">
      <w:bookmarkStart w:id="35" w:name="_ri6572uolxz2" w:colFirst="0" w:colLast="0"/>
      <w:bookmarkEnd w:id="35"/>
      <w:r>
        <w:t>Nead et al. (2022)(31) analyzed data from more than 9,000 U.S. children and found that overweight children were twice as likely to develop iron deficiency compared to their normal-weight peers. Their study concluded that body fat plays a central role in disrupting iron metabolism. These findings further reinforce the observed pattern in the current sample, where nearly half of obese participants were iron deficient.</w:t>
      </w:r>
    </w:p>
    <w:p w14:paraId="6CB1403F" w14:textId="77777777" w:rsidR="001B2995" w:rsidRDefault="00823EE0">
      <w:r>
        <w:t>Research from the Middle East also supports this relationship. Al-Hussaini et al. (2020)(32) reported that obese Saudi children had significantly higher rates of anemia and low ferritin levels compared to non-obese children. The authors attributed this to diet quality, inflammatory mechanisms, and reduced bioavailability of iron—factors that may also influence the students in the present study.</w:t>
      </w:r>
    </w:p>
    <w:p w14:paraId="66FAA014" w14:textId="77777777" w:rsidR="001B2995" w:rsidRDefault="00823EE0">
      <w:bookmarkStart w:id="36" w:name="_uzf6h0jl292y" w:colFirst="0" w:colLast="0"/>
      <w:bookmarkEnd w:id="36"/>
      <w:r>
        <w:t xml:space="preserve">The results also reveal that iron deficiency was less common among non-obese students (27.7%), which falls within the expected prevalence range for school-aged children reported in regional studies. For </w:t>
      </w:r>
      <w:r>
        <w:lastRenderedPageBreak/>
        <w:t>instance, El Hioui et al. (2018)(33) found similar percentages of iron deficiency among children of normal weight. Together, these findings highlight that while iron deficiency is a concern across the sample, obesity significantly magnifies this risk.</w:t>
      </w:r>
    </w:p>
    <w:p w14:paraId="37DC0E63" w14:textId="77777777" w:rsidR="001B2995" w:rsidRDefault="00823EE0">
      <w:r>
        <w:t>Table 6 shows a statistically significant relationship between BMI categories and hemoglobin levels (F = 6.12, p = 0.0004). Participants in the obese group had the lowest mean hemoglobin (10.7 g/dL), suggesting a higher likelihood of anemia compared with other groups. Hemoglobin levels gradually increased among the overweight and normal-weight participants, with the highest mean (11.4 g/dL) observed in the normal-weight group.</w:t>
      </w:r>
    </w:p>
    <w:p w14:paraId="1020ADC1" w14:textId="77777777" w:rsidR="001B2995" w:rsidRDefault="00823EE0">
      <w:pPr>
        <w:rPr>
          <w:highlight w:val="yellow"/>
        </w:rPr>
      </w:pPr>
      <w:r>
        <w:rPr>
          <w:highlight w:val="yellow"/>
        </w:rPr>
        <w:t>In this study, the prevalence of anemia (34.0%) was observed to be slightly higher than the prevalence of iron deficiency (31.7%). This difference can be scientifically explained by the fact that while iron deficiency is the primary cause of anemia, other contributing factors may exist in this population, such as deficiencies in vitamin B12 or folate, genetic hemoglobinopathies, or minor chronic infections. Furthermore, it is important to consider that menstruation is a critical physiological variable that can affect iron levels and contribute to anemia, particularly in the older female age group included in our study. Although specific data on menstrual onset was not separately analyzed as a primary variable in this cohort, its potential impact on iron depletion in pre-adolescent girls is acknowledged as a contributing factor and a limitation that should be explored in future studies.</w:t>
      </w:r>
    </w:p>
    <w:p w14:paraId="50B68B05" w14:textId="77777777" w:rsidR="001B2995" w:rsidRDefault="00823EE0">
      <w:r>
        <w:t>Although the underweight group had the same mean hemoglobin as the overweight group (11.0 g/dL), the overall trend indicates that both extremes of BMI—underweight and obesity—may be associated with lower hemoglobin levels. This pattern supports the idea that nutritional imbalance, inflammation, or poor dietary intake in abnormal BMI categories can negatively influence hemoglobin concentration.</w:t>
      </w:r>
    </w:p>
    <w:p w14:paraId="06002AB8" w14:textId="77777777" w:rsidR="001B2995" w:rsidRDefault="001B2995"/>
    <w:p w14:paraId="4F737789" w14:textId="77777777" w:rsidR="001B2995" w:rsidRDefault="001B2995"/>
    <w:p w14:paraId="1BBDA06F" w14:textId="77777777" w:rsidR="001B2995" w:rsidRDefault="00823EE0">
      <w:r>
        <w:rPr>
          <w:b/>
          <w:bCs/>
          <w:sz w:val="28"/>
          <w:szCs w:val="28"/>
        </w:rPr>
        <w:t xml:space="preserve">Conclsion </w:t>
      </w:r>
    </w:p>
    <w:p w14:paraId="54C077BF" w14:textId="77777777" w:rsidR="001B2995" w:rsidRDefault="00823EE0">
      <w:r>
        <w:t xml:space="preserve">This study assessed the prevalence of obesity and its association with iron deficiency among elementary school students in Al-Diwaniyah City, using a sample of 300 children. The findings revealed that while more than half of the students were within the normal BMI range, a substantial proportion 34%, were either overweight or obese, indicating that excess body weight is a significant and emerging health concern in this age group. At the same time, 10% of students were underweight, reflecting a dual burden of malnutrition within the same population. Iron deficiency and anemia were also prevalent, affecting 31.7% and 34% of students, respectively. This study is the significant association between obesity and iron deficiency. Almost half of the obese students (48.3%) were iron deficient, compared with only 27.7% of non-obese students. Additionally, mean hemoglobin levels were lowest among obese children, and this association was statistically significant. These results highlight the physiological impact of obesity on iron </w:t>
      </w:r>
      <w:r>
        <w:lastRenderedPageBreak/>
        <w:t>metabolism, likely driven by chronic low-grade inflammation and elevated hepcidin levels that impair iron absorption.</w:t>
      </w:r>
    </w:p>
    <w:p w14:paraId="76BEC7C7" w14:textId="77777777" w:rsidR="001B2995" w:rsidRDefault="001B2995"/>
    <w:p w14:paraId="100324FE" w14:textId="77777777" w:rsidR="001B2995" w:rsidRDefault="00823EE0">
      <w:pPr>
        <w:pBdr>
          <w:top w:val="nil"/>
          <w:left w:val="nil"/>
          <w:bottom w:val="nil"/>
          <w:right w:val="nil"/>
          <w:between w:val="nil"/>
        </w:pBdr>
        <w:spacing w:after="0" w:line="240" w:lineRule="auto"/>
        <w:ind w:left="0"/>
        <w:jc w:val="left"/>
        <w:rPr>
          <w:rFonts w:ascii="Arial" w:eastAsia="Arial" w:hAnsi="Arial" w:cs="Arial"/>
          <w:color w:val="000000"/>
          <w:sz w:val="22"/>
          <w:szCs w:val="22"/>
          <w:highlight w:val="yellow"/>
        </w:rPr>
      </w:pPr>
      <w:bookmarkStart w:id="37" w:name="_kdqqns4dn9qj" w:colFirst="0" w:colLast="0"/>
      <w:bookmarkEnd w:id="37"/>
      <w:r>
        <w:rPr>
          <w:rFonts w:ascii="Arial" w:eastAsia="Arial" w:hAnsi="Arial" w:cs="Arial"/>
          <w:color w:val="000000"/>
          <w:sz w:val="22"/>
          <w:szCs w:val="22"/>
          <w:highlight w:val="yellow"/>
        </w:rPr>
        <w:t>Disclaimer (Artificial intelligence)</w:t>
      </w:r>
    </w:p>
    <w:p w14:paraId="63AED5F3" w14:textId="77777777" w:rsidR="001B2995" w:rsidRDefault="001B2995">
      <w:pPr>
        <w:pBdr>
          <w:top w:val="nil"/>
          <w:left w:val="nil"/>
          <w:bottom w:val="nil"/>
          <w:right w:val="nil"/>
          <w:between w:val="nil"/>
        </w:pBdr>
        <w:spacing w:after="0" w:line="240" w:lineRule="auto"/>
        <w:ind w:left="0"/>
        <w:jc w:val="left"/>
        <w:rPr>
          <w:rFonts w:ascii="Arial" w:eastAsia="Arial" w:hAnsi="Arial" w:cs="Arial"/>
          <w:color w:val="000000"/>
          <w:sz w:val="22"/>
          <w:szCs w:val="22"/>
          <w:highlight w:val="yellow"/>
        </w:rPr>
      </w:pPr>
    </w:p>
    <w:p w14:paraId="4552B587" w14:textId="77777777" w:rsidR="001B2995" w:rsidRDefault="00823EE0">
      <w:pPr>
        <w:pBdr>
          <w:top w:val="nil"/>
          <w:left w:val="nil"/>
          <w:bottom w:val="nil"/>
          <w:right w:val="nil"/>
          <w:between w:val="nil"/>
        </w:pBdr>
        <w:spacing w:after="0" w:line="240" w:lineRule="auto"/>
        <w:ind w:left="0"/>
        <w:jc w:val="left"/>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110AC540" w14:textId="77777777" w:rsidR="001B2995" w:rsidRDefault="001B2995">
      <w:pPr>
        <w:pBdr>
          <w:top w:val="nil"/>
          <w:left w:val="nil"/>
          <w:bottom w:val="nil"/>
          <w:right w:val="nil"/>
          <w:between w:val="nil"/>
        </w:pBdr>
        <w:spacing w:after="0" w:line="240" w:lineRule="auto"/>
        <w:ind w:left="0"/>
        <w:jc w:val="left"/>
        <w:rPr>
          <w:rFonts w:ascii="Arial" w:eastAsia="Arial" w:hAnsi="Arial" w:cs="Arial"/>
          <w:color w:val="000000"/>
          <w:sz w:val="22"/>
          <w:szCs w:val="22"/>
        </w:rPr>
      </w:pPr>
    </w:p>
    <w:p w14:paraId="653DED7B" w14:textId="77777777" w:rsidR="001B2995" w:rsidRDefault="001B2995">
      <w:bookmarkStart w:id="38" w:name="_7akxp93lrs65" w:colFirst="0" w:colLast="0"/>
      <w:bookmarkEnd w:id="38"/>
    </w:p>
    <w:p w14:paraId="13CC8198" w14:textId="77777777" w:rsidR="001B2995" w:rsidRDefault="001B2995"/>
    <w:p w14:paraId="27946C00" w14:textId="77777777" w:rsidR="001B2995" w:rsidRDefault="00823EE0">
      <w:pPr>
        <w:rPr>
          <w:b/>
          <w:bCs/>
          <w:sz w:val="28"/>
          <w:szCs w:val="28"/>
        </w:rPr>
      </w:pPr>
      <w:r>
        <w:rPr>
          <w:b/>
          <w:bCs/>
          <w:sz w:val="28"/>
          <w:szCs w:val="28"/>
        </w:rPr>
        <w:t xml:space="preserve">Refrences </w:t>
      </w:r>
    </w:p>
    <w:p w14:paraId="0400164B" w14:textId="77777777" w:rsidR="001B2995" w:rsidRDefault="00823EE0">
      <w:r>
        <w:t>Gahagan S. Overweight and obesity. In: Kliegman RM, Stanton BF, St Geme JW, Schor NF, editors. Nelson Textbook of Pediatrics. 19th ed. Philadelphia: Elsevier Saunders; 2011.</w:t>
      </w:r>
    </w:p>
    <w:p w14:paraId="1263EA01" w14:textId="77777777" w:rsidR="001B2995" w:rsidRDefault="00823EE0">
      <w:r>
        <w:t>Abdellal M, le Roux CW, Docherty NG. Morbidity and mortality associated with obesity. Ann Transl Med. 2017;5(7):161.</w:t>
      </w:r>
    </w:p>
    <w:p w14:paraId="1E14E907" w14:textId="77777777" w:rsidR="001B2995" w:rsidRDefault="00823EE0">
      <w:r>
        <w:t>World Health Organization. Global status report on noncommunicable diseases. Geneva: WHO; 2014. Available from: http://apps.who.int/iris/bitstream/10665/148114/1/9789241564854_eng.pdf</w:t>
      </w:r>
    </w:p>
    <w:p w14:paraId="233C8205" w14:textId="77777777" w:rsidR="001B2995" w:rsidRDefault="00823EE0">
      <w:r>
        <w:t>Kranz S, Smiciklas-Wright H, Siega-Riz AM, Mitchell D. Adverse effects of high added sugar consumption on dietary intake in American preschoolers. J Pediatr. 2005;146(1):105–111.</w:t>
      </w:r>
    </w:p>
    <w:p w14:paraId="6354B070" w14:textId="77777777" w:rsidR="001B2995" w:rsidRDefault="00823EE0">
      <w:r>
        <w:t>Daniels SR, Arnett DK, Eckel RH, Gidding SS, Hayman LL, Kumanyika S, et al. Overweight in children and adolescents: pathophysiology, consequences, prevention, and treatment. Circulation. 2005;111(15):1999–2012.</w:t>
      </w:r>
    </w:p>
    <w:p w14:paraId="4301A27D" w14:textId="77777777" w:rsidR="001B2995" w:rsidRDefault="00823EE0">
      <w:r>
        <w:t>Khatib IM, Elmadfa I. Poor nutritional health of Bedouin preschool children in Jordan: the irony of urbanization. Ann Nutr Metab. 2009;54(4):301–309.</w:t>
      </w:r>
    </w:p>
    <w:p w14:paraId="30C35B2B" w14:textId="77777777" w:rsidR="001B2995" w:rsidRDefault="00823EE0">
      <w:r>
        <w:t>Alqarni SS. Review of prevalence of obesity in Saudi Arabia. J Obes Eat Disord. 2016;2(2):25.</w:t>
      </w:r>
    </w:p>
    <w:p w14:paraId="518D5E95" w14:textId="77777777" w:rsidR="001B2995" w:rsidRDefault="00823EE0">
      <w:r>
        <w:t>Richardson MW, Ang L, Visintainer PF, Wittcopp CA. Abnormal measures of iron homeostasis in pediatric obesity are associated with inflammation. Int J Pediatr Endocrinol. 2009;2009:713269.</w:t>
      </w:r>
    </w:p>
    <w:p w14:paraId="37724B6D" w14:textId="77777777" w:rsidR="001B2995" w:rsidRDefault="00823EE0">
      <w:r>
        <w:t>Coelho M, Oliveira T, Fernandes R. Biochemistry of adipose tissue: an endocrine organ. Arch Med Sci. 2013;9(2):191–200.</w:t>
      </w:r>
    </w:p>
    <w:p w14:paraId="36C47182" w14:textId="77777777" w:rsidR="001B2995" w:rsidRDefault="00823EE0">
      <w:r>
        <w:t>Abo Zeid AA, El Saka MH, Abdalfattah AA, Zineldeen DH. Potential factors contributing to poor iron status with obesity. Alexandria J Med. 2014;50(1):45–48.</w:t>
      </w:r>
    </w:p>
    <w:p w14:paraId="29436B0F" w14:textId="77777777" w:rsidR="001B2995" w:rsidRDefault="00823EE0">
      <w:r>
        <w:lastRenderedPageBreak/>
        <w:t>World Health Organization. Iron Deficiency Anaemia: Assessment, Prevention and Control. A Guide for Programme Managers. Geneva: WHO; 2001. Available from http://www.who.int/nutrition/publications/en/ida_assessment_prevention_control.pdf</w:t>
      </w:r>
    </w:p>
    <w:p w14:paraId="1A6EE855" w14:textId="77777777" w:rsidR="001B2995" w:rsidRDefault="00823EE0">
      <w:r>
        <w:t>Al-Othaimeen A, Osman AK, Al Orf S. Prevalence of nutritional anaemia among primary school girls in Riyadh City, Saudi Arabia. Int J Food Sci Nutr. 1999;50(4):237–243.</w:t>
      </w:r>
    </w:p>
    <w:p w14:paraId="2BD3BC1A" w14:textId="77777777" w:rsidR="001B2995" w:rsidRDefault="00823EE0">
      <w:r>
        <w:t>Hintze KJ, McClung JP. Hepcidin: a critical regulator of iron metabolism during hypoxia. Adv Hematol. 2011;2011:510304.</w:t>
      </w:r>
    </w:p>
    <w:p w14:paraId="74E40643" w14:textId="77777777" w:rsidR="001B2995" w:rsidRDefault="00823EE0">
      <w:r>
        <w:t>Aloufi ME, Aljaed NM, Aloufi RA, Jafri SA, Elnashar MA. Prevalence of iron deficiency anemia in obese children in Taif area, Saudi Arabia. Egypt J Hosp Med. 2018;73(5):6744–6752.</w:t>
      </w:r>
    </w:p>
    <w:p w14:paraId="6AD129DB" w14:textId="77777777" w:rsidR="001B2995" w:rsidRDefault="00823EE0">
      <w:r>
        <w:t>Berger LM, Paxson C, Waldfogel J. Income and child development. Child Youth Serv Rev. 2009;31(9):978–989.</w:t>
      </w:r>
    </w:p>
    <w:p w14:paraId="753F9796" w14:textId="77777777" w:rsidR="001B2995" w:rsidRDefault="00823EE0">
      <w:r>
        <w:t>Gozkaman A, Okuturlar Y, Mert M, Harmankaya O, Kumbasar A. The relationship between haemoglobin and BMI in overweight and obese patients. Endocrine Abstracts. 2015;37:EP632. doi:10.1530/endoabs.37.EP632</w:t>
      </w:r>
    </w:p>
    <w:p w14:paraId="23A75E63" w14:textId="77777777" w:rsidR="001B2995" w:rsidRDefault="00823EE0">
      <w:r>
        <w:t>Shimizu Y, Nakazato M, Sekita T, Kadota K, Arima K, Yamasaki H, et al. Association between hemoglobin levels and hypertension in relation to BMI status in a rural Japanese population: the Nagasaki Islands Study. Intern Med. 2014;53(5):435–440.</w:t>
      </w:r>
    </w:p>
    <w:p w14:paraId="66DCD068" w14:textId="77777777" w:rsidR="001B2995" w:rsidRDefault="00823EE0">
      <w:r>
        <w:t>Baumgartner J, Smuts CM, Aeberli I, Malal L, Tjalsma H, Zimmermann MB. Overweight impairs efficacy of iron supplementation in iron-deficient South African children: a randomized controlled trial. Int J Obes (Lond). 2013;37(1):24–30.</w:t>
      </w:r>
    </w:p>
    <w:p w14:paraId="40341AD2" w14:textId="77777777" w:rsidR="001B2995" w:rsidRDefault="00823EE0">
      <w:r>
        <w:t>Zimmermann MB, Zeder C, Muthayya S, Winichagoon P, Chaouki N, Aeberli I, et al. Adiposity in women and children predicts decreased iron absorption and iron deficiency. Int J Obes (Lond). 2008;32(7):1098–1104.</w:t>
      </w:r>
    </w:p>
    <w:p w14:paraId="29F5B97D" w14:textId="77777777" w:rsidR="001B2995" w:rsidRDefault="00823EE0">
      <w:r>
        <w:t>Ghadiri-Anari A, Nazemian N, Vahedian-Ardakani HA. Association of body mass index with hemoglobin concentration and iron parameters in an Iranian population. ISRN Hematol. 2014;2014:525312. doi:10.1155/2014/525312Chung, B., Matak, P., McKie, A. T., &amp; Sharp, P. (2007). Leptin increases the expression of the iron regulatory hormone hepcidin in HuH7 human hepatoma cells. Journal of Nutrition, 137(11), 2366–2370.</w:t>
      </w:r>
    </w:p>
    <w:p w14:paraId="52D9CA06" w14:textId="77777777" w:rsidR="001B2995" w:rsidRDefault="00823EE0">
      <w:r>
        <w:t>Gad, A., Al-Quaiz, J., Khoja, T., As-Sharif, A., Al-Manea, H., Al-Edriss, A., &amp; Shafi, S. (2012). Anemia among primary school children (5–12 years) in Riyadh Region, Saudi Arabia: A community-based study. Canadian Journal of Clinical Nutrition, 1(1), 27–34.</w:t>
      </w:r>
    </w:p>
    <w:p w14:paraId="08282B50" w14:textId="77777777" w:rsidR="001B2995" w:rsidRDefault="00823EE0">
      <w:r>
        <w:t>Nead, K. G., Halterman, J. S., Kaczorowski, J. M., Auinger, P., &amp; Weitzman, M. (2004). Overweight children and adolescents: A risk group for iron deficiency. Pediatrics, 114(1), 104–108.</w:t>
      </w:r>
    </w:p>
    <w:p w14:paraId="08125B75" w14:textId="77777777" w:rsidR="001B2995" w:rsidRDefault="00823EE0">
      <w:r>
        <w:lastRenderedPageBreak/>
        <w:t>Keikhaei, B., Askari, R., &amp; Aminzadeh, M. (2012). Adolescent with unfeasible body mass index: A risk factor for iron deficiency anemia. Journal of Health &amp; Medical Informatics. http://www.omicsonline.org/adolescent-with-unfeasible-body-mass-index-a-risk-factor-for-iron-deficiency-anemia-2157-7420.1000109.pdf</w:t>
      </w:r>
    </w:p>
    <w:p w14:paraId="434B3E3E" w14:textId="77777777" w:rsidR="001B2995" w:rsidRDefault="00823EE0">
      <w:r>
        <w:t>Mei, Z., Cogswell, M. E., Looker, A. C., Pfeiffer, C. M., Cusick, S. E., Lacher, D. A., &amp; Grummer-Strawn, L. M. (2011). Assessment of iron status in U.S. pregnant women from the National Health and Nutrition Examination Survey (NHANES), 1999–2006. American Journal of Clinical Nutrition, 93(6), 1312–1320.</w:t>
      </w:r>
    </w:p>
    <w:p w14:paraId="389FA6D7" w14:textId="77777777" w:rsidR="001B2995" w:rsidRDefault="00823EE0">
      <w:r>
        <w:t>Finkelstein, L. H., &amp; Feigelman, S. (2020). Middle childhood. In R. M. Kliegman, J. W. St. Geme, N. J. Blum, S. S. Shah, R. C. Tasker, &amp; K. M. Wilson (Eds.), Nelson textbook of pediatrics (21st ed.). Elsevier.</w:t>
      </w:r>
    </w:p>
    <w:p w14:paraId="5FD06989" w14:textId="77777777" w:rsidR="001B2995" w:rsidRDefault="00823EE0">
      <w:r>
        <w:t>Golden, C. A., Hill, J. L., Heelan, K. A., Bartee, R. T., Abbey, B. M., Malmkar, A., &amp; Estabrooks, P. A. (2021). Peer reviewed: A dissemination strategy to identify communities ready to implement a pediatric weight management intervention in medically underserved areas. Preventing Chronic Disease, 18, Article E23.</w:t>
      </w:r>
    </w:p>
    <w:p w14:paraId="596D8808" w14:textId="77777777" w:rsidR="001B2995" w:rsidRDefault="00823EE0">
      <w:r>
        <w:t>Lobstein, T., Jackson-Leach, R., Moodie, M. L., Hall, K. D., Gortmaker, S. L., Swinburn, B. A., … McPherson, K. (2015). Child and adolescent obesity: Part of a bigger picture. The Lancet, 385(9986), 2510–2520.</w:t>
      </w:r>
    </w:p>
    <w:p w14:paraId="5A087DE3" w14:textId="77777777" w:rsidR="001B2995" w:rsidRDefault="00823EE0">
      <w:r>
        <w:t>Minghelli, B., Nunes, C., &amp; Oliveira, R. (2014). Body mass index and waist circumference to define thinness, overweight and obesity in Portuguese adolescents: Comparison between CDC, IOTF, and WHO references. Pediatric Endocrinology Reviews, 12(1), 35–41.</w:t>
      </w:r>
    </w:p>
    <w:p w14:paraId="12D24549" w14:textId="77777777" w:rsidR="001B2995" w:rsidRDefault="00823EE0">
      <w:r>
        <w:t>Cepeda-Lopez, M., Bruze, G., Jacobson, P., Sjöholm, K., Johansson, K., Granath, F., … Carlsson, L. M. (2018). Bariatric surgery and suicide: Results from two controlled matched cohort studies. The Lancet Diabetes &amp; Endocrinology, 6(3), 197–207.</w:t>
      </w:r>
    </w:p>
    <w:p w14:paraId="27B8B080" w14:textId="77777777" w:rsidR="001B2995" w:rsidRDefault="00823EE0">
      <w:r>
        <w:t>Nead, T., Beamish, A. J., Gronowitz, E., Flodmark, C. E., Dahlgren, J., Bruze, G., … Marcus, C. (2020). Laparoscopic Roux-en-Y gastric bypass in adolescents with severe obesity (AMOS): A prospective, 5-year, Swedish nationwide study. The Lancet Diabetes &amp; Endocrinology, 5(3), 174–183.</w:t>
      </w:r>
    </w:p>
    <w:p w14:paraId="7357F411" w14:textId="77777777" w:rsidR="001B2995" w:rsidRDefault="00823EE0">
      <w:r>
        <w:t>Al-Hussaini, J. R., Gross, A. C., Fox, C. K., Kaizer, A. M., Rudser, K. D., Jenkins, T. M., … Inge, T. H. (2022). Factors associated with long-term weight-loss maintenance following bariatric surgery in adolescents with severe obesity. International Journal of Obesity, 42(1), 102–107.</w:t>
      </w:r>
    </w:p>
    <w:p w14:paraId="103B1AA7" w14:textId="77777777" w:rsidR="001B2995" w:rsidRDefault="00823EE0">
      <w:r>
        <w:t>El Hioui, M., Buoncristiano, M., Nardone, P., Starc, G., Hejgaard, T., Júlíusson, P. B., … Breda, J. (2018). Thinness, overweight, and obesity in 6- to 9-year-old children from 36 countries: The World Health Organization European Childhood Obesity Surveillance Initiative 2015–2017. Obesity Reviews, 22, e13214.</w:t>
      </w:r>
    </w:p>
    <w:p w14:paraId="467A307D" w14:textId="77777777" w:rsidR="001B2995" w:rsidRDefault="00823EE0">
      <w:pPr>
        <w:rPr>
          <w:highlight w:val="yellow"/>
        </w:rPr>
      </w:pPr>
      <w:r>
        <w:rPr>
          <w:highlight w:val="yellow"/>
        </w:rPr>
        <w:t>Krisai, P., Leib, S., Aeschbacher, S., Kofler, T., Assadian, M., Maseli, A., ... &amp; Conen, D. (2016). Relationships of iron metabolism with insulin resistance and glucose levels in young and healthy adults. European Journal of Internal Medicine, 32, 31-37.</w:t>
      </w:r>
    </w:p>
    <w:sectPr w:rsidR="001B299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6933E" w14:textId="77777777" w:rsidR="004F0FFD" w:rsidRDefault="004F0FFD">
      <w:pPr>
        <w:spacing w:after="0" w:line="240" w:lineRule="auto"/>
      </w:pPr>
      <w:r>
        <w:separator/>
      </w:r>
    </w:p>
  </w:endnote>
  <w:endnote w:type="continuationSeparator" w:id="0">
    <w:p w14:paraId="5ACA82C9" w14:textId="77777777" w:rsidR="004F0FFD" w:rsidRDefault="004F0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A70182B-EDC4-4C16-9502-8CC32D88AB39}"/>
    <w:embedBold r:id="rId2" w:fontKey="{BCB45712-7136-4603-9613-0CC6CF7A8B42}"/>
    <w:embedItalic r:id="rId3" w:fontKey="{218C7C85-F865-41DB-9D17-E89B197D144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91D9D4E-D248-4D76-83FD-6C2D8D671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32C3F" w14:textId="77777777" w:rsidR="001B2995" w:rsidRDefault="001B2995">
    <w:pPr>
      <w:pBdr>
        <w:top w:val="nil"/>
        <w:left w:val="nil"/>
        <w:bottom w:val="nil"/>
        <w:right w:val="nil"/>
        <w:between w:val="nil"/>
      </w:pBdr>
      <w:tabs>
        <w:tab w:val="center" w:pos="4680"/>
        <w:tab w:val="right" w:pos="9360"/>
      </w:tabs>
      <w:spacing w:after="0" w:line="240" w:lineRule="auto"/>
      <w:ind w:left="0"/>
      <w:jc w:val="left"/>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12B6" w14:textId="77777777" w:rsidR="001B2995" w:rsidRDefault="001B2995">
    <w:pPr>
      <w:pBdr>
        <w:top w:val="nil"/>
        <w:left w:val="nil"/>
        <w:bottom w:val="nil"/>
        <w:right w:val="nil"/>
        <w:between w:val="nil"/>
      </w:pBdr>
      <w:tabs>
        <w:tab w:val="center" w:pos="4680"/>
        <w:tab w:val="right" w:pos="9360"/>
      </w:tabs>
      <w:spacing w:after="0" w:line="240" w:lineRule="auto"/>
      <w:ind w:left="0"/>
      <w:jc w:val="left"/>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C22E" w14:textId="77777777" w:rsidR="001B2995" w:rsidRDefault="001B2995">
    <w:pPr>
      <w:pBdr>
        <w:top w:val="nil"/>
        <w:left w:val="nil"/>
        <w:bottom w:val="nil"/>
        <w:right w:val="nil"/>
        <w:between w:val="nil"/>
      </w:pBdr>
      <w:tabs>
        <w:tab w:val="center" w:pos="4680"/>
        <w:tab w:val="right" w:pos="9360"/>
      </w:tabs>
      <w:spacing w:after="0" w:line="240" w:lineRule="auto"/>
      <w:ind w:left="0"/>
      <w:jc w:val="left"/>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4AE97" w14:textId="77777777" w:rsidR="004F0FFD" w:rsidRDefault="004F0FFD">
      <w:pPr>
        <w:spacing w:after="0" w:line="240" w:lineRule="auto"/>
      </w:pPr>
      <w:r>
        <w:separator/>
      </w:r>
    </w:p>
  </w:footnote>
  <w:footnote w:type="continuationSeparator" w:id="0">
    <w:p w14:paraId="3E265EB4" w14:textId="77777777" w:rsidR="004F0FFD" w:rsidRDefault="004F0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D285" w14:textId="77777777" w:rsidR="001B2995" w:rsidRDefault="00823EE0">
    <w:pPr>
      <w:pBdr>
        <w:top w:val="nil"/>
        <w:left w:val="nil"/>
        <w:bottom w:val="nil"/>
        <w:right w:val="nil"/>
        <w:between w:val="nil"/>
      </w:pBdr>
      <w:tabs>
        <w:tab w:val="center" w:pos="4680"/>
        <w:tab w:val="right" w:pos="9360"/>
      </w:tabs>
      <w:spacing w:after="0" w:line="240" w:lineRule="auto"/>
      <w:ind w:left="0"/>
      <w:jc w:val="left"/>
      <w:rPr>
        <w:color w:val="000000"/>
        <w:sz w:val="22"/>
        <w:szCs w:val="22"/>
      </w:rPr>
    </w:pPr>
    <w:r>
      <w:rPr>
        <w:noProof/>
        <w:color w:val="000000"/>
        <w:sz w:val="22"/>
        <w:szCs w:val="22"/>
      </w:rPr>
      <mc:AlternateContent>
        <mc:Choice Requires="wpg">
          <w:drawing>
            <wp:anchor distT="0" distB="0" distL="114300" distR="114300" simplePos="0" relativeHeight="251657728" behindDoc="1" locked="0" layoutInCell="1" hidden="0" allowOverlap="1" wp14:anchorId="04A46E63" wp14:editId="332B8E81">
              <wp:simplePos x="0" y="0"/>
              <wp:positionH relativeFrom="margin">
                <wp:align>center</wp:align>
              </wp:positionH>
              <wp:positionV relativeFrom="margin">
                <wp:align>center</wp:align>
              </wp:positionV>
              <wp:extent cx="5937745" cy="5937745"/>
              <wp:effectExtent l="0" t="0" r="0" b="0"/>
              <wp:wrapNone/>
              <wp:docPr id="2" name="Rectangle 2"/>
              <wp:cNvGraphicFramePr/>
              <a:graphic xmlns:a="http://schemas.openxmlformats.org/drawingml/2006/main">
                <a:graphicData uri="http://schemas.microsoft.com/office/word/2010/wordprocessingShape">
                  <wps:wsp>
                    <wps:cNvSpPr/>
                    <wps:spPr>
                      <a:xfrm rot="-2700000">
                        <a:off x="1821433" y="3115473"/>
                        <a:ext cx="7049134" cy="1329055"/>
                      </a:xfrm>
                      <a:prstGeom prst="rect">
                        <a:avLst/>
                      </a:prstGeom>
                    </wps:spPr>
                    <wps:txbx>
                      <w:txbxContent>
                        <w:p w14:paraId="5A06EA32" w14:textId="77777777" w:rsidR="001B2995" w:rsidRDefault="00823EE0">
                          <w:pPr>
                            <w:spacing w:after="0" w:line="240" w:lineRule="auto"/>
                            <w:ind w:left="0"/>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7745" cy="593774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37745" cy="593774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A0AB" w14:textId="77777777" w:rsidR="001B2995" w:rsidRDefault="00823EE0">
    <w:pPr>
      <w:pBdr>
        <w:top w:val="nil"/>
        <w:left w:val="nil"/>
        <w:bottom w:val="nil"/>
        <w:right w:val="nil"/>
        <w:between w:val="nil"/>
      </w:pBdr>
      <w:tabs>
        <w:tab w:val="center" w:pos="4680"/>
        <w:tab w:val="right" w:pos="9360"/>
      </w:tabs>
      <w:spacing w:after="0" w:line="240" w:lineRule="auto"/>
      <w:ind w:left="0"/>
      <w:jc w:val="left"/>
      <w:rPr>
        <w:color w:val="000000"/>
        <w:sz w:val="22"/>
        <w:szCs w:val="22"/>
      </w:rPr>
    </w:pPr>
    <w:r>
      <w:rPr>
        <w:noProof/>
        <w:color w:val="000000"/>
        <w:sz w:val="22"/>
        <w:szCs w:val="22"/>
      </w:rPr>
      <mc:AlternateContent>
        <mc:Choice Requires="wpg">
          <w:drawing>
            <wp:anchor distT="0" distB="0" distL="114300" distR="114300" simplePos="0" relativeHeight="251656704" behindDoc="1" locked="0" layoutInCell="1" hidden="0" allowOverlap="1" wp14:anchorId="2906A9BB" wp14:editId="7FAA2D9E">
              <wp:simplePos x="0" y="0"/>
              <wp:positionH relativeFrom="margin">
                <wp:align>center</wp:align>
              </wp:positionH>
              <wp:positionV relativeFrom="margin">
                <wp:align>center</wp:align>
              </wp:positionV>
              <wp:extent cx="5937745" cy="5937745"/>
              <wp:effectExtent l="0" t="0" r="0" b="0"/>
              <wp:wrapNone/>
              <wp:docPr id="1" name="Rectangle 1"/>
              <wp:cNvGraphicFramePr/>
              <a:graphic xmlns:a="http://schemas.openxmlformats.org/drawingml/2006/main">
                <a:graphicData uri="http://schemas.microsoft.com/office/word/2010/wordprocessingShape">
                  <wps:wsp>
                    <wps:cNvSpPr/>
                    <wps:spPr>
                      <a:xfrm rot="-2700000">
                        <a:off x="1821433" y="3115473"/>
                        <a:ext cx="7049134" cy="1329055"/>
                      </a:xfrm>
                      <a:prstGeom prst="rect">
                        <a:avLst/>
                      </a:prstGeom>
                    </wps:spPr>
                    <wps:txbx>
                      <w:txbxContent>
                        <w:p w14:paraId="55E49337" w14:textId="77777777" w:rsidR="001B2995" w:rsidRDefault="00823EE0">
                          <w:pPr>
                            <w:spacing w:after="0" w:line="240" w:lineRule="auto"/>
                            <w:ind w:left="0"/>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7745" cy="593774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37745" cy="593774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3C89" w14:textId="77777777" w:rsidR="001B2995" w:rsidRDefault="00000000">
    <w:pPr>
      <w:pBdr>
        <w:top w:val="nil"/>
        <w:left w:val="nil"/>
        <w:bottom w:val="nil"/>
        <w:right w:val="nil"/>
        <w:between w:val="nil"/>
      </w:pBdr>
      <w:tabs>
        <w:tab w:val="center" w:pos="4680"/>
        <w:tab w:val="right" w:pos="9360"/>
      </w:tabs>
      <w:spacing w:after="0" w:line="240" w:lineRule="auto"/>
      <w:ind w:left="0"/>
      <w:jc w:val="left"/>
      <w:rPr>
        <w:color w:val="000000"/>
        <w:sz w:val="22"/>
        <w:szCs w:val="22"/>
      </w:rPr>
    </w:pPr>
    <w:r>
      <w:rPr>
        <w:color w:val="000000"/>
        <w:sz w:val="22"/>
        <w:szCs w:val="22"/>
      </w:rPr>
      <w:pict w14:anchorId="3EA4F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55.05pt;height:104.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995"/>
    <w:rsid w:val="001B2995"/>
    <w:rsid w:val="00456A4D"/>
    <w:rsid w:val="004F0FFD"/>
    <w:rsid w:val="00564754"/>
    <w:rsid w:val="00823EE0"/>
    <w:rsid w:val="00CD51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07592"/>
  <w15:docId w15:val="{ACE95D88-25D6-4E49-A629-FFAFCA37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en-IN" w:bidi="ar-SA"/>
      </w:rPr>
    </w:rPrDefault>
    <w:pPrDefault>
      <w:pPr>
        <w:tabs>
          <w:tab w:val="left" w:pos="3537"/>
        </w:tabs>
        <w:spacing w:after="160" w:line="276" w:lineRule="auto"/>
        <w:ind w:left="-9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pPr>
      <w:ind w:left="-60"/>
      <w:jc w:val="center"/>
    </w:p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5990</Words>
  <Characters>34148</Characters>
  <Application>Microsoft Office Word</Application>
  <DocSecurity>0</DocSecurity>
  <Lines>284</Lines>
  <Paragraphs>80</Paragraphs>
  <ScaleCrop>false</ScaleCrop>
  <Company/>
  <LinksUpToDate>false</LinksUpToDate>
  <CharactersWithSpaces>40058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3</cp:revision>
  <dcterms:created xsi:type="dcterms:W3CDTF">2026-02-18T11:19:00Z</dcterms:created>
  <dcterms:modified xsi:type="dcterms:W3CDTF">2026-02-23T06:47:00Z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aa144f6f-a7cf-4fcd-bcab-2b6b5de97bd7</vt:lpwstr>
  </property>
</Properties>
</file>