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8B92F0" w14:textId="77777777" w:rsidR="00615C51" w:rsidRDefault="004D1047">
      <w:pPr>
        <w:widowControl w:val="0"/>
        <w:pBdr>
          <w:top w:val="nil"/>
          <w:left w:val="nil"/>
          <w:bottom w:val="nil"/>
          <w:right w:val="nil"/>
          <w:between w:val="nil"/>
        </w:pBdr>
        <w:spacing w:before="0" w:line="276" w:lineRule="auto"/>
        <w:ind w:left="0"/>
      </w:pPr>
      <w:r>
        <w:rPr>
          <w:noProof/>
        </w:rPr>
        <w:pict w14:anchorId="504A1E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50pt;height:50pt;z-index:251659264;visibility:hidden">
            <o:lock v:ext="edit" selection="t"/>
          </v:shape>
        </w:pict>
      </w:r>
      <w:r>
        <w:rPr>
          <w:noProof/>
        </w:rPr>
        <w:pict w14:anchorId="46708689">
          <v:shape id="_x0000_s1027" type="#_x0000_t136" style="position:absolute;margin-left:0;margin-top:0;width:50pt;height:50pt;z-index:251660288;visibility:hidden">
            <o:lock v:ext="edit" selection="t"/>
          </v:shape>
        </w:pict>
      </w:r>
      <w:r>
        <w:rPr>
          <w:noProof/>
        </w:rPr>
        <w:pict w14:anchorId="43EC3C9F">
          <v:shape id="_x0000_s1026" type="#_x0000_t136" style="position:absolute;margin-left:0;margin-top:0;width:50pt;height:50pt;z-index:251661312;visibility:hidden">
            <o:lock v:ext="edit" selection="t"/>
          </v:shape>
        </w:pict>
      </w:r>
    </w:p>
    <w:p w14:paraId="0590A528" w14:textId="77777777" w:rsidR="00615C51" w:rsidRDefault="008A0C9D">
      <w:pPr>
        <w:pBdr>
          <w:top w:val="nil"/>
          <w:left w:val="nil"/>
          <w:bottom w:val="nil"/>
          <w:right w:val="nil"/>
          <w:between w:val="nil"/>
        </w:pBdr>
        <w:spacing w:before="0" w:line="240" w:lineRule="auto"/>
        <w:ind w:hanging="15"/>
        <w:rPr>
          <w:rFonts w:ascii="Economica" w:eastAsia="Economica" w:hAnsi="Economica" w:cs="Economica"/>
          <w:color w:val="666666"/>
          <w:sz w:val="28"/>
          <w:szCs w:val="28"/>
        </w:rPr>
      </w:pPr>
      <w:r>
        <w:rPr>
          <w:rFonts w:ascii="Economica" w:eastAsia="Economica" w:hAnsi="Economica" w:cs="Economica"/>
          <w:color w:val="666666"/>
          <w:sz w:val="28"/>
          <w:szCs w:val="28"/>
        </w:rPr>
        <w:t>Case report</w:t>
      </w:r>
    </w:p>
    <w:p w14:paraId="191CAA34" w14:textId="77777777" w:rsidR="00615C51" w:rsidRDefault="00615C51">
      <w:pPr>
        <w:pBdr>
          <w:top w:val="nil"/>
          <w:left w:val="nil"/>
          <w:bottom w:val="nil"/>
          <w:right w:val="nil"/>
          <w:between w:val="nil"/>
        </w:pBdr>
        <w:spacing w:before="0" w:line="240" w:lineRule="auto"/>
        <w:ind w:hanging="15"/>
        <w:rPr>
          <w:rFonts w:ascii="Economica" w:eastAsia="Economica" w:hAnsi="Economica" w:cs="Economica"/>
          <w:color w:val="666666"/>
          <w:sz w:val="28"/>
          <w:szCs w:val="28"/>
        </w:rPr>
      </w:pPr>
    </w:p>
    <w:p w14:paraId="7BBA547A" w14:textId="49668249" w:rsidR="00615C51" w:rsidRDefault="004D1047">
      <w:pPr>
        <w:pStyle w:val="Title"/>
        <w:pBdr>
          <w:top w:val="nil"/>
          <w:left w:val="nil"/>
          <w:bottom w:val="nil"/>
          <w:right w:val="nil"/>
          <w:between w:val="nil"/>
        </w:pBdr>
        <w:ind w:firstLine="0"/>
        <w:rPr>
          <w:b/>
        </w:rPr>
      </w:pPr>
      <w:bookmarkStart w:id="0" w:name="_heading=h.mtfdmizfb3m6" w:colFirst="0" w:colLast="0"/>
      <w:bookmarkEnd w:id="0"/>
      <w:r>
        <w:rPr>
          <w:b/>
        </w:rPr>
        <w:t>A CASE REPORT</w:t>
      </w:r>
      <w:r>
        <w:rPr>
          <w:b/>
        </w:rPr>
        <w:t xml:space="preserve"> ON </w:t>
      </w:r>
      <w:r w:rsidR="008A0C9D">
        <w:rPr>
          <w:b/>
        </w:rPr>
        <w:t xml:space="preserve">BURNING MOUTH SYNDROME </w:t>
      </w:r>
    </w:p>
    <w:p w14:paraId="3647C71C" w14:textId="77777777" w:rsidR="00615C51" w:rsidRDefault="00615C51">
      <w:pPr>
        <w:pStyle w:val="Subtitle"/>
        <w:pBdr>
          <w:top w:val="nil"/>
          <w:left w:val="nil"/>
          <w:bottom w:val="nil"/>
          <w:right w:val="nil"/>
          <w:between w:val="nil"/>
        </w:pBdr>
        <w:ind w:hanging="15"/>
      </w:pPr>
      <w:bookmarkStart w:id="1" w:name="_heading=h.4wsj4pm8p3ir" w:colFirst="0" w:colLast="0"/>
      <w:bookmarkEnd w:id="1"/>
    </w:p>
    <w:p w14:paraId="7AAE53B6" w14:textId="77777777" w:rsidR="00615C51" w:rsidRDefault="008A0C9D">
      <w:pPr>
        <w:pBdr>
          <w:top w:val="nil"/>
          <w:left w:val="nil"/>
          <w:bottom w:val="nil"/>
          <w:right w:val="nil"/>
          <w:between w:val="nil"/>
        </w:pBdr>
        <w:spacing w:before="60"/>
        <w:ind w:hanging="15"/>
      </w:pPr>
      <w:r>
        <w:rPr>
          <w:noProof/>
        </w:rPr>
        <w:drawing>
          <wp:inline distT="114300" distB="114300" distL="114300" distR="114300" wp14:anchorId="318527FA" wp14:editId="5C5B7D88">
            <wp:extent cx="5943600" cy="38100"/>
            <wp:effectExtent l="0" t="0" r="0" b="0"/>
            <wp:docPr id="23" name="image1.png" descr="horizontal line"/>
            <wp:cNvGraphicFramePr/>
            <a:graphic xmlns:a="http://schemas.openxmlformats.org/drawingml/2006/main">
              <a:graphicData uri="http://schemas.openxmlformats.org/drawingml/2006/picture">
                <pic:pic xmlns:pic="http://schemas.openxmlformats.org/drawingml/2006/picture">
                  <pic:nvPicPr>
                    <pic:cNvPr id="0" name="image1.png" descr="horizontal line"/>
                    <pic:cNvPicPr preferRelativeResize="0"/>
                  </pic:nvPicPr>
                  <pic:blipFill>
                    <a:blip r:embed="rId8"/>
                    <a:srcRect/>
                    <a:stretch>
                      <a:fillRect/>
                    </a:stretch>
                  </pic:blipFill>
                  <pic:spPr>
                    <a:xfrm>
                      <a:off x="0" y="0"/>
                      <a:ext cx="5943600" cy="38100"/>
                    </a:xfrm>
                    <a:prstGeom prst="rect">
                      <a:avLst/>
                    </a:prstGeom>
                    <a:ln/>
                  </pic:spPr>
                </pic:pic>
              </a:graphicData>
            </a:graphic>
          </wp:inline>
        </w:drawing>
      </w:r>
    </w:p>
    <w:p w14:paraId="0CCE6575" w14:textId="77777777" w:rsidR="00615C51" w:rsidRDefault="00615C51">
      <w:pPr>
        <w:pStyle w:val="Heading1"/>
        <w:pBdr>
          <w:top w:val="nil"/>
          <w:left w:val="nil"/>
          <w:bottom w:val="nil"/>
          <w:right w:val="nil"/>
          <w:between w:val="nil"/>
        </w:pBdr>
        <w:spacing w:before="120"/>
        <w:ind w:hanging="15"/>
        <w:rPr>
          <w:b w:val="0"/>
          <w:sz w:val="22"/>
          <w:szCs w:val="22"/>
        </w:rPr>
      </w:pPr>
    </w:p>
    <w:p w14:paraId="6516E230" w14:textId="77777777" w:rsidR="00615C51" w:rsidRDefault="008A0C9D">
      <w:pPr>
        <w:pStyle w:val="Heading1"/>
        <w:pBdr>
          <w:top w:val="nil"/>
          <w:left w:val="nil"/>
          <w:bottom w:val="nil"/>
          <w:right w:val="nil"/>
          <w:between w:val="nil"/>
        </w:pBdr>
        <w:ind w:hanging="15"/>
      </w:pPr>
      <w:bookmarkStart w:id="2" w:name="_heading=h.2wdw68xcxaf8" w:colFirst="0" w:colLast="0"/>
      <w:bookmarkEnd w:id="2"/>
      <w:r>
        <w:t>ABSTRACT</w:t>
      </w:r>
    </w:p>
    <w:p w14:paraId="39F03D7B" w14:textId="77777777" w:rsidR="00615C51" w:rsidRDefault="00615C51">
      <w:pPr>
        <w:ind w:hanging="15"/>
      </w:pPr>
    </w:p>
    <w:tbl>
      <w:tblPr>
        <w:tblStyle w:val="a1"/>
        <w:tblW w:w="901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015"/>
      </w:tblGrid>
      <w:tr w:rsidR="00615C51" w14:paraId="5DB20AEC" w14:textId="77777777">
        <w:tc>
          <w:tcPr>
            <w:tcW w:w="9015" w:type="dxa"/>
            <w:tcMar>
              <w:top w:w="100" w:type="dxa"/>
              <w:left w:w="100" w:type="dxa"/>
              <w:bottom w:w="100" w:type="dxa"/>
              <w:right w:w="100" w:type="dxa"/>
            </w:tcMar>
          </w:tcPr>
          <w:p w14:paraId="50735CB1" w14:textId="77777777" w:rsidR="00615C51" w:rsidRDefault="008A0C9D">
            <w:pPr>
              <w:widowControl w:val="0"/>
              <w:pBdr>
                <w:top w:val="nil"/>
                <w:left w:val="nil"/>
                <w:bottom w:val="nil"/>
                <w:right w:val="nil"/>
                <w:between w:val="nil"/>
              </w:pBdr>
              <w:spacing w:before="0" w:line="240" w:lineRule="auto"/>
              <w:ind w:left="0"/>
              <w:rPr>
                <w:rFonts w:ascii="Times New Roman" w:eastAsia="Times New Roman" w:hAnsi="Times New Roman" w:cs="Times New Roman"/>
                <w:color w:val="1B1B1B"/>
                <w:sz w:val="28"/>
                <w:szCs w:val="28"/>
                <w:highlight w:val="white"/>
              </w:rPr>
            </w:pPr>
            <w:r>
              <w:rPr>
                <w:rFonts w:ascii="Times New Roman" w:eastAsia="Times New Roman" w:hAnsi="Times New Roman" w:cs="Times New Roman"/>
                <w:color w:val="1B1B1B"/>
                <w:sz w:val="28"/>
                <w:szCs w:val="28"/>
                <w:highlight w:val="white"/>
              </w:rPr>
              <w:t xml:space="preserve">Burning mouth syndrome (BMS), a chronic orofacial pain disorder with the presence of burning sensation in the oral cavity without any specific oral disease. It commonly affects elderly aged and </w:t>
            </w:r>
            <w:proofErr w:type="gramStart"/>
            <w:r>
              <w:rPr>
                <w:rFonts w:ascii="Times New Roman" w:eastAsia="Times New Roman" w:hAnsi="Times New Roman" w:cs="Times New Roman"/>
                <w:color w:val="1B1B1B"/>
                <w:sz w:val="28"/>
                <w:szCs w:val="28"/>
                <w:highlight w:val="white"/>
              </w:rPr>
              <w:t>middle aged</w:t>
            </w:r>
            <w:proofErr w:type="gramEnd"/>
            <w:r>
              <w:rPr>
                <w:rFonts w:ascii="Times New Roman" w:eastAsia="Times New Roman" w:hAnsi="Times New Roman" w:cs="Times New Roman"/>
                <w:color w:val="1B1B1B"/>
                <w:sz w:val="28"/>
                <w:szCs w:val="28"/>
                <w:highlight w:val="white"/>
              </w:rPr>
              <w:t xml:space="preserve"> women with significant psychological disorders or hormonal changes. Patients also complain </w:t>
            </w:r>
            <w:proofErr w:type="gramStart"/>
            <w:r>
              <w:rPr>
                <w:rFonts w:ascii="Times New Roman" w:eastAsia="Times New Roman" w:hAnsi="Times New Roman" w:cs="Times New Roman"/>
                <w:color w:val="1B1B1B"/>
                <w:sz w:val="28"/>
                <w:szCs w:val="28"/>
                <w:highlight w:val="white"/>
              </w:rPr>
              <w:t>of  altered</w:t>
            </w:r>
            <w:proofErr w:type="gramEnd"/>
            <w:r>
              <w:rPr>
                <w:rFonts w:ascii="Times New Roman" w:eastAsia="Times New Roman" w:hAnsi="Times New Roman" w:cs="Times New Roman"/>
                <w:color w:val="1B1B1B"/>
                <w:sz w:val="28"/>
                <w:szCs w:val="28"/>
                <w:highlight w:val="white"/>
              </w:rPr>
              <w:t xml:space="preserve"> taste sensation ,pain in oral </w:t>
            </w:r>
            <w:proofErr w:type="spellStart"/>
            <w:r>
              <w:rPr>
                <w:rFonts w:ascii="Times New Roman" w:eastAsia="Times New Roman" w:hAnsi="Times New Roman" w:cs="Times New Roman"/>
                <w:color w:val="1B1B1B"/>
                <w:sz w:val="28"/>
                <w:szCs w:val="28"/>
                <w:highlight w:val="white"/>
              </w:rPr>
              <w:t>mucosa,and</w:t>
            </w:r>
            <w:proofErr w:type="spellEnd"/>
            <w:r>
              <w:rPr>
                <w:rFonts w:ascii="Times New Roman" w:eastAsia="Times New Roman" w:hAnsi="Times New Roman" w:cs="Times New Roman"/>
                <w:color w:val="1B1B1B"/>
                <w:sz w:val="28"/>
                <w:szCs w:val="28"/>
                <w:highlight w:val="white"/>
              </w:rPr>
              <w:t xml:space="preserve"> dry </w:t>
            </w:r>
            <w:proofErr w:type="spellStart"/>
            <w:r>
              <w:rPr>
                <w:rFonts w:ascii="Times New Roman" w:eastAsia="Times New Roman" w:hAnsi="Times New Roman" w:cs="Times New Roman"/>
                <w:color w:val="1B1B1B"/>
                <w:sz w:val="28"/>
                <w:szCs w:val="28"/>
                <w:highlight w:val="white"/>
              </w:rPr>
              <w:t>mouth.It</w:t>
            </w:r>
            <w:proofErr w:type="spellEnd"/>
            <w:r>
              <w:rPr>
                <w:rFonts w:ascii="Times New Roman" w:eastAsia="Times New Roman" w:hAnsi="Times New Roman" w:cs="Times New Roman"/>
                <w:color w:val="1B1B1B"/>
                <w:sz w:val="28"/>
                <w:szCs w:val="28"/>
                <w:highlight w:val="white"/>
              </w:rPr>
              <w:t xml:space="preserve">  is usually idiopathic in nature and its etiopathogenesis is not yet </w:t>
            </w:r>
            <w:proofErr w:type="spellStart"/>
            <w:r>
              <w:rPr>
                <w:rFonts w:ascii="Times New Roman" w:eastAsia="Times New Roman" w:hAnsi="Times New Roman" w:cs="Times New Roman"/>
                <w:color w:val="1B1B1B"/>
                <w:sz w:val="28"/>
                <w:szCs w:val="28"/>
                <w:highlight w:val="white"/>
              </w:rPr>
              <w:t>clear.Following</w:t>
            </w:r>
            <w:proofErr w:type="spellEnd"/>
            <w:r>
              <w:rPr>
                <w:rFonts w:ascii="Times New Roman" w:eastAsia="Times New Roman" w:hAnsi="Times New Roman" w:cs="Times New Roman"/>
                <w:color w:val="1B1B1B"/>
                <w:sz w:val="28"/>
                <w:szCs w:val="28"/>
                <w:highlight w:val="white"/>
              </w:rPr>
              <w:t xml:space="preserve"> the clinical </w:t>
            </w:r>
            <w:proofErr w:type="spellStart"/>
            <w:r>
              <w:rPr>
                <w:rFonts w:ascii="Times New Roman" w:eastAsia="Times New Roman" w:hAnsi="Times New Roman" w:cs="Times New Roman"/>
                <w:color w:val="1B1B1B"/>
                <w:sz w:val="28"/>
                <w:szCs w:val="28"/>
                <w:highlight w:val="white"/>
              </w:rPr>
              <w:t>evaluation,treatment</w:t>
            </w:r>
            <w:proofErr w:type="spellEnd"/>
            <w:r>
              <w:rPr>
                <w:rFonts w:ascii="Times New Roman" w:eastAsia="Times New Roman" w:hAnsi="Times New Roman" w:cs="Times New Roman"/>
                <w:color w:val="1B1B1B"/>
                <w:sz w:val="28"/>
                <w:szCs w:val="28"/>
                <w:highlight w:val="white"/>
              </w:rPr>
              <w:t xml:space="preserve"> strategies include pharmacological management and reassurance of patients.</w:t>
            </w:r>
          </w:p>
          <w:p w14:paraId="74B7D74D" w14:textId="77777777" w:rsidR="00615C51" w:rsidRDefault="00615C51">
            <w:pPr>
              <w:widowControl w:val="0"/>
              <w:pBdr>
                <w:top w:val="nil"/>
                <w:left w:val="nil"/>
                <w:bottom w:val="nil"/>
                <w:right w:val="nil"/>
                <w:between w:val="nil"/>
              </w:pBdr>
              <w:spacing w:before="0" w:line="240" w:lineRule="auto"/>
              <w:ind w:left="0"/>
              <w:rPr>
                <w:rFonts w:ascii="Times New Roman" w:eastAsia="Times New Roman" w:hAnsi="Times New Roman" w:cs="Times New Roman"/>
                <w:color w:val="1B1B1B"/>
                <w:sz w:val="28"/>
                <w:szCs w:val="28"/>
                <w:highlight w:val="white"/>
              </w:rPr>
            </w:pPr>
          </w:p>
          <w:p w14:paraId="4BCB9F7B" w14:textId="77777777" w:rsidR="00615C51" w:rsidRDefault="008A0C9D">
            <w:pPr>
              <w:widowControl w:val="0"/>
              <w:pBdr>
                <w:top w:val="nil"/>
                <w:left w:val="nil"/>
                <w:bottom w:val="nil"/>
                <w:right w:val="nil"/>
                <w:between w:val="nil"/>
              </w:pBdr>
              <w:spacing w:before="0" w:line="240" w:lineRule="auto"/>
              <w:ind w:left="0"/>
              <w:rPr>
                <w:rFonts w:ascii="Times New Roman" w:eastAsia="Times New Roman" w:hAnsi="Times New Roman" w:cs="Times New Roman"/>
                <w:color w:val="1B1B1B"/>
                <w:sz w:val="28"/>
                <w:szCs w:val="28"/>
                <w:highlight w:val="white"/>
              </w:rPr>
            </w:pPr>
            <w:proofErr w:type="gramStart"/>
            <w:r>
              <w:rPr>
                <w:rFonts w:ascii="Times New Roman" w:eastAsia="Times New Roman" w:hAnsi="Times New Roman" w:cs="Times New Roman"/>
                <w:b/>
                <w:color w:val="1B1B1B"/>
                <w:sz w:val="28"/>
                <w:szCs w:val="28"/>
                <w:highlight w:val="white"/>
              </w:rPr>
              <w:t>Keywords</w:t>
            </w:r>
            <w:r>
              <w:rPr>
                <w:rFonts w:ascii="Times New Roman" w:eastAsia="Times New Roman" w:hAnsi="Times New Roman" w:cs="Times New Roman"/>
                <w:color w:val="1B1B1B"/>
                <w:sz w:val="28"/>
                <w:szCs w:val="28"/>
                <w:highlight w:val="white"/>
              </w:rPr>
              <w:t xml:space="preserve"> :</w:t>
            </w:r>
            <w:proofErr w:type="gramEnd"/>
            <w:r>
              <w:rPr>
                <w:rFonts w:ascii="Times New Roman" w:eastAsia="Times New Roman" w:hAnsi="Times New Roman" w:cs="Times New Roman"/>
                <w:color w:val="1B1B1B"/>
                <w:sz w:val="28"/>
                <w:szCs w:val="28"/>
                <w:highlight w:val="white"/>
              </w:rPr>
              <w:t xml:space="preserve"> Burning Mouth Syndrome; </w:t>
            </w:r>
            <w:proofErr w:type="spellStart"/>
            <w:r>
              <w:rPr>
                <w:rFonts w:ascii="Times New Roman" w:eastAsia="Times New Roman" w:hAnsi="Times New Roman" w:cs="Times New Roman"/>
                <w:color w:val="1B1B1B"/>
                <w:sz w:val="28"/>
                <w:szCs w:val="28"/>
                <w:highlight w:val="white"/>
              </w:rPr>
              <w:t>Stomatodynia</w:t>
            </w:r>
            <w:proofErr w:type="spellEnd"/>
            <w:r>
              <w:rPr>
                <w:rFonts w:ascii="Times New Roman" w:eastAsia="Times New Roman" w:hAnsi="Times New Roman" w:cs="Times New Roman"/>
                <w:color w:val="1B1B1B"/>
                <w:sz w:val="28"/>
                <w:szCs w:val="28"/>
                <w:highlight w:val="white"/>
              </w:rPr>
              <w:t xml:space="preserve">; Psychosomatic; Xerostomia; </w:t>
            </w:r>
            <w:proofErr w:type="spellStart"/>
            <w:r>
              <w:rPr>
                <w:rFonts w:ascii="Times New Roman" w:eastAsia="Times New Roman" w:hAnsi="Times New Roman" w:cs="Times New Roman"/>
                <w:color w:val="1B1B1B"/>
                <w:sz w:val="28"/>
                <w:szCs w:val="28"/>
                <w:highlight w:val="white"/>
              </w:rPr>
              <w:t>Glossodynia</w:t>
            </w:r>
            <w:proofErr w:type="spellEnd"/>
            <w:r>
              <w:rPr>
                <w:rFonts w:ascii="Times New Roman" w:eastAsia="Times New Roman" w:hAnsi="Times New Roman" w:cs="Times New Roman"/>
                <w:color w:val="1B1B1B"/>
                <w:sz w:val="28"/>
                <w:szCs w:val="28"/>
                <w:highlight w:val="white"/>
              </w:rPr>
              <w:t>; Oral pain</w:t>
            </w:r>
          </w:p>
        </w:tc>
      </w:tr>
    </w:tbl>
    <w:p w14:paraId="1259E664" w14:textId="77777777" w:rsidR="00615C51" w:rsidRDefault="008A0C9D">
      <w:pPr>
        <w:pStyle w:val="Heading2"/>
        <w:pBdr>
          <w:top w:val="nil"/>
          <w:left w:val="nil"/>
          <w:bottom w:val="nil"/>
          <w:right w:val="nil"/>
          <w:between w:val="nil"/>
        </w:pBdr>
        <w:ind w:hanging="15"/>
      </w:pPr>
      <w:bookmarkStart w:id="3" w:name="_heading=h.dfx4xdewnioq" w:colFirst="0" w:colLast="0"/>
      <w:bookmarkEnd w:id="3"/>
      <w:r>
        <w:t>1.INTRODUCTION</w:t>
      </w:r>
    </w:p>
    <w:p w14:paraId="1DE837F6" w14:textId="72D94FE2" w:rsidR="00615C51" w:rsidRDefault="007615CF">
      <w:pPr>
        <w:spacing w:before="240" w:after="240" w:line="276" w:lineRule="auto"/>
        <w:ind w:left="0"/>
        <w:jc w:val="both"/>
        <w:rPr>
          <w:rFonts w:ascii="Arial" w:eastAsia="Arial" w:hAnsi="Arial" w:cs="Arial"/>
        </w:rPr>
      </w:pPr>
      <w:r>
        <w:rPr>
          <w:rFonts w:ascii="Arial" w:eastAsia="Arial" w:hAnsi="Arial" w:cs="Arial"/>
          <w:b/>
        </w:rPr>
        <w:t>“</w:t>
      </w:r>
      <w:r w:rsidR="008A0C9D">
        <w:rPr>
          <w:rFonts w:ascii="Arial" w:eastAsia="Arial" w:hAnsi="Arial" w:cs="Arial"/>
          <w:b/>
        </w:rPr>
        <w:t>Burning mouth syndrome (BMS)</w:t>
      </w:r>
      <w:r w:rsidR="008A0C9D">
        <w:rPr>
          <w:rFonts w:ascii="Arial" w:eastAsia="Arial" w:hAnsi="Arial" w:cs="Arial"/>
        </w:rPr>
        <w:t xml:space="preserve"> is a chronic orofacial pain disorder </w:t>
      </w:r>
      <w:r w:rsidR="008A0C9D">
        <w:rPr>
          <w:rFonts w:ascii="Arial" w:eastAsia="Arial" w:hAnsi="Arial" w:cs="Arial"/>
          <w:highlight w:val="yellow"/>
        </w:rPr>
        <w:t>characterized by</w:t>
      </w:r>
      <w:r w:rsidR="008A0C9D">
        <w:rPr>
          <w:rFonts w:ascii="Arial" w:eastAsia="Arial" w:hAnsi="Arial" w:cs="Arial"/>
        </w:rPr>
        <w:t xml:space="preserve"> a continuous burning sensation in the oral cavity</w:t>
      </w:r>
      <w:r w:rsidR="008A0C9D">
        <w:rPr>
          <w:rFonts w:ascii="Arial" w:eastAsia="Arial" w:hAnsi="Arial" w:cs="Arial"/>
          <w:highlight w:val="yellow"/>
        </w:rPr>
        <w:t xml:space="preserve">, </w:t>
      </w:r>
      <w:r w:rsidR="008A0C9D">
        <w:rPr>
          <w:rFonts w:ascii="Arial" w:eastAsia="Arial" w:hAnsi="Arial" w:cs="Arial"/>
        </w:rPr>
        <w:t>often</w:t>
      </w:r>
      <w:r w:rsidR="008A0C9D">
        <w:rPr>
          <w:rFonts w:ascii="Arial" w:eastAsia="Arial" w:hAnsi="Arial" w:cs="Arial"/>
          <w:highlight w:val="yellow"/>
        </w:rPr>
        <w:t xml:space="preserve"> affecting </w:t>
      </w:r>
      <w:r w:rsidR="008A0C9D">
        <w:rPr>
          <w:rFonts w:ascii="Arial" w:eastAsia="Arial" w:hAnsi="Arial" w:cs="Arial"/>
        </w:rPr>
        <w:t>the tongue,</w:t>
      </w:r>
      <w:r w:rsidR="008A0C9D">
        <w:rPr>
          <w:rFonts w:ascii="Arial" w:eastAsia="Arial" w:hAnsi="Arial" w:cs="Arial"/>
          <w:highlight w:val="yellow"/>
        </w:rPr>
        <w:t xml:space="preserve"> that lasts</w:t>
      </w:r>
      <w:r w:rsidR="008A0C9D">
        <w:rPr>
          <w:rFonts w:ascii="Arial" w:eastAsia="Arial" w:hAnsi="Arial" w:cs="Arial"/>
        </w:rPr>
        <w:t xml:space="preserve"> at least four to six months</w:t>
      </w:r>
      <w:r>
        <w:rPr>
          <w:rFonts w:ascii="Arial" w:eastAsia="Arial" w:hAnsi="Arial" w:cs="Arial"/>
        </w:rPr>
        <w:t>”</w:t>
      </w:r>
      <w:r w:rsidR="008A0C9D">
        <w:rPr>
          <w:rFonts w:ascii="Arial" w:eastAsia="Arial" w:hAnsi="Arial" w:cs="Arial"/>
        </w:rPr>
        <w:t xml:space="preserve"> [18, 19]. Patients frequently experience </w:t>
      </w:r>
      <w:r w:rsidR="008A0C9D">
        <w:rPr>
          <w:rFonts w:ascii="Arial" w:eastAsia="Arial" w:hAnsi="Arial" w:cs="Arial"/>
          <w:b/>
        </w:rPr>
        <w:t>dysgeusia</w:t>
      </w:r>
      <w:r w:rsidR="008A0C9D">
        <w:rPr>
          <w:rFonts w:ascii="Arial" w:eastAsia="Arial" w:hAnsi="Arial" w:cs="Arial"/>
        </w:rPr>
        <w:t xml:space="preserve"> (distorted taste) and </w:t>
      </w:r>
      <w:r w:rsidR="008A0C9D">
        <w:rPr>
          <w:rFonts w:ascii="Arial" w:eastAsia="Arial" w:hAnsi="Arial" w:cs="Arial"/>
          <w:b/>
        </w:rPr>
        <w:t>xerostomia</w:t>
      </w:r>
      <w:r w:rsidR="008A0C9D">
        <w:rPr>
          <w:rFonts w:ascii="Arial" w:eastAsia="Arial" w:hAnsi="Arial" w:cs="Arial"/>
        </w:rPr>
        <w:t xml:space="preserve"> (a subjective feeling of dry mouth) [18, 3]. The condition predominates in </w:t>
      </w:r>
      <w:r w:rsidR="008A0C9D">
        <w:rPr>
          <w:rFonts w:ascii="Arial" w:eastAsia="Arial" w:hAnsi="Arial" w:cs="Arial"/>
          <w:b/>
        </w:rPr>
        <w:t>peri- and post-menopausal women</w:t>
      </w:r>
      <w:r w:rsidR="008A0C9D">
        <w:rPr>
          <w:rFonts w:ascii="Arial" w:eastAsia="Arial" w:hAnsi="Arial" w:cs="Arial"/>
        </w:rPr>
        <w:t>, showing a strong gender and age predisposition [19, 4].</w:t>
      </w:r>
    </w:p>
    <w:p w14:paraId="70B7A398" w14:textId="77777777" w:rsidR="00615C51" w:rsidRDefault="008A0C9D">
      <w:pPr>
        <w:spacing w:before="240" w:after="240" w:line="276" w:lineRule="auto"/>
        <w:ind w:left="0"/>
        <w:jc w:val="both"/>
        <w:rPr>
          <w:rFonts w:ascii="Arial" w:eastAsia="Arial" w:hAnsi="Arial" w:cs="Arial"/>
          <w:highlight w:val="yellow"/>
        </w:rPr>
      </w:pPr>
      <w:r>
        <w:rPr>
          <w:rFonts w:ascii="Arial" w:eastAsia="Arial" w:hAnsi="Arial" w:cs="Arial"/>
        </w:rPr>
        <w:t xml:space="preserve">BMS may be categorized as either </w:t>
      </w:r>
      <w:r>
        <w:rPr>
          <w:rFonts w:ascii="Arial" w:eastAsia="Arial" w:hAnsi="Arial" w:cs="Arial"/>
          <w:b/>
        </w:rPr>
        <w:t>primary (idiopathic)</w:t>
      </w:r>
      <w:r>
        <w:rPr>
          <w:rFonts w:ascii="Arial" w:eastAsia="Arial" w:hAnsi="Arial" w:cs="Arial"/>
        </w:rPr>
        <w:t>, when no underlying</w:t>
      </w:r>
      <w:r>
        <w:rPr>
          <w:rFonts w:ascii="Arial" w:eastAsia="Arial" w:hAnsi="Arial" w:cs="Arial"/>
          <w:highlight w:val="yellow"/>
        </w:rPr>
        <w:t xml:space="preserve"> condition is</w:t>
      </w:r>
      <w:r>
        <w:rPr>
          <w:rFonts w:ascii="Arial" w:eastAsia="Arial" w:hAnsi="Arial" w:cs="Arial"/>
        </w:rPr>
        <w:t xml:space="preserve"> identified, or </w:t>
      </w:r>
      <w:r>
        <w:rPr>
          <w:rFonts w:ascii="Arial" w:eastAsia="Arial" w:hAnsi="Arial" w:cs="Arial"/>
          <w:b/>
        </w:rPr>
        <w:t>secondary</w:t>
      </w:r>
      <w:r>
        <w:rPr>
          <w:rFonts w:ascii="Arial" w:eastAsia="Arial" w:hAnsi="Arial" w:cs="Arial"/>
        </w:rPr>
        <w:t xml:space="preserve">, when the symptoms are associated with systemic, local, or psychological conditions [3, 5]. Although pathophysiology has not yet been clarified, the </w:t>
      </w:r>
      <w:r>
        <w:rPr>
          <w:rFonts w:ascii="Arial" w:eastAsia="Arial" w:hAnsi="Arial" w:cs="Arial"/>
        </w:rPr>
        <w:lastRenderedPageBreak/>
        <w:t xml:space="preserve">disorder is considered multifactorial, involving potential neuropathic, hormonal, and psychosocial mechanisms [19, 6]. Some mechanisms include peripheral small-fiber neuropathy, central nervous system sensitization, and hormonal influences affecting the oral mucosa [6]. Psychological stress, anxiety, and depression commonly exist with BMS and may exacerbate symptoms, though their causal relationship is unclear [18, 5]. </w:t>
      </w:r>
      <w:r>
        <w:rPr>
          <w:rFonts w:ascii="Arial" w:eastAsia="Arial" w:hAnsi="Arial" w:cs="Arial"/>
          <w:highlight w:val="yellow"/>
        </w:rPr>
        <w:t>This case report presents clinical experience regarding treatment protocol for the most common type of oral disease in the elderly population that has no specific etiology.</w:t>
      </w:r>
    </w:p>
    <w:p w14:paraId="500BE625" w14:textId="4CFCD8E0" w:rsidR="00615C51" w:rsidRDefault="008A0C9D">
      <w:pPr>
        <w:spacing w:before="240" w:after="240" w:line="276" w:lineRule="auto"/>
        <w:ind w:left="0"/>
        <w:rPr>
          <w:b/>
          <w:sz w:val="26"/>
          <w:szCs w:val="26"/>
          <w:highlight w:val="yellow"/>
        </w:rPr>
      </w:pPr>
      <w:r>
        <w:rPr>
          <w:b/>
          <w:sz w:val="26"/>
          <w:szCs w:val="26"/>
        </w:rPr>
        <w:t xml:space="preserve">2.CASE </w:t>
      </w:r>
      <w:r w:rsidR="000D17F2">
        <w:rPr>
          <w:b/>
          <w:sz w:val="26"/>
          <w:szCs w:val="26"/>
        </w:rPr>
        <w:t>PRESENTATION</w:t>
      </w:r>
    </w:p>
    <w:p w14:paraId="7388F0E1" w14:textId="77777777" w:rsidR="00615C51" w:rsidRDefault="008A0C9D">
      <w:pPr>
        <w:spacing w:before="240" w:after="240" w:line="276" w:lineRule="auto"/>
        <w:ind w:left="0"/>
        <w:jc w:val="both"/>
        <w:rPr>
          <w:rFonts w:ascii="Arial" w:eastAsia="Arial" w:hAnsi="Arial" w:cs="Arial"/>
          <w:highlight w:val="yellow"/>
        </w:rPr>
      </w:pPr>
      <w:r>
        <w:rPr>
          <w:rFonts w:ascii="Arial" w:eastAsia="Arial" w:hAnsi="Arial" w:cs="Arial"/>
        </w:rPr>
        <w:t xml:space="preserve">A 65-year-old female patient came to the clinic for the primary concern with a persistent burning sensation affecting the inner surfaces of her lips, oral mucosa, and tongue. She reported that these symptoms had been present for approximately 1 year. She had </w:t>
      </w:r>
      <w:r>
        <w:rPr>
          <w:rFonts w:ascii="Arial" w:eastAsia="Arial" w:hAnsi="Arial" w:cs="Arial"/>
          <w:highlight w:val="yellow"/>
        </w:rPr>
        <w:t xml:space="preserve">a </w:t>
      </w:r>
      <w:r>
        <w:rPr>
          <w:rFonts w:ascii="Arial" w:eastAsia="Arial" w:hAnsi="Arial" w:cs="Arial"/>
        </w:rPr>
        <w:t>severe burning sensation in the oral mucosa with dryness of</w:t>
      </w:r>
      <w:r>
        <w:rPr>
          <w:rFonts w:ascii="Arial" w:eastAsia="Arial" w:hAnsi="Arial" w:cs="Arial"/>
          <w:highlight w:val="yellow"/>
        </w:rPr>
        <w:t xml:space="preserve"> the</w:t>
      </w:r>
      <w:r>
        <w:rPr>
          <w:rFonts w:ascii="Arial" w:eastAsia="Arial" w:hAnsi="Arial" w:cs="Arial"/>
        </w:rPr>
        <w:t xml:space="preserve"> mouth and tongue with </w:t>
      </w:r>
      <w:r>
        <w:rPr>
          <w:rFonts w:ascii="Arial" w:eastAsia="Arial" w:hAnsi="Arial" w:cs="Arial"/>
          <w:highlight w:val="yellow"/>
        </w:rPr>
        <w:t>an</w:t>
      </w:r>
      <w:r>
        <w:rPr>
          <w:rFonts w:ascii="Arial" w:eastAsia="Arial" w:hAnsi="Arial" w:cs="Arial"/>
        </w:rPr>
        <w:t xml:space="preserve"> altered taste sensation. The burning sensation was continuous in onset, aggravated </w:t>
      </w:r>
      <w:r>
        <w:rPr>
          <w:rFonts w:ascii="Arial" w:eastAsia="Arial" w:hAnsi="Arial" w:cs="Arial"/>
          <w:highlight w:val="yellow"/>
        </w:rPr>
        <w:t>due to</w:t>
      </w:r>
      <w:r>
        <w:rPr>
          <w:rFonts w:ascii="Arial" w:eastAsia="Arial" w:hAnsi="Arial" w:cs="Arial"/>
        </w:rPr>
        <w:t xml:space="preserve"> intake of hot and spicy food</w:t>
      </w:r>
      <w:r>
        <w:rPr>
          <w:rFonts w:ascii="Arial" w:eastAsia="Arial" w:hAnsi="Arial" w:cs="Arial"/>
          <w:highlight w:val="yellow"/>
        </w:rPr>
        <w:t>,</w:t>
      </w:r>
      <w:r>
        <w:rPr>
          <w:rFonts w:ascii="Arial" w:eastAsia="Arial" w:hAnsi="Arial" w:cs="Arial"/>
        </w:rPr>
        <w:t xml:space="preserve"> and relieved by cold water intake</w:t>
      </w:r>
      <w:r>
        <w:rPr>
          <w:rFonts w:ascii="Arial" w:eastAsia="Arial" w:hAnsi="Arial" w:cs="Arial"/>
          <w:sz w:val="28"/>
          <w:szCs w:val="28"/>
        </w:rPr>
        <w:t xml:space="preserve">. </w:t>
      </w:r>
      <w:r>
        <w:rPr>
          <w:rFonts w:ascii="Arial" w:eastAsia="Arial" w:hAnsi="Arial" w:cs="Arial"/>
        </w:rPr>
        <w:t>The burning sensation was present upon waking and was severe</w:t>
      </w:r>
      <w:r>
        <w:rPr>
          <w:rFonts w:ascii="Arial" w:eastAsia="Arial" w:hAnsi="Arial" w:cs="Arial"/>
          <w:highlight w:val="yellow"/>
        </w:rPr>
        <w:t xml:space="preserve"> at sleep hours.</w:t>
      </w:r>
    </w:p>
    <w:p w14:paraId="678DE6F7" w14:textId="77777777" w:rsidR="00615C51" w:rsidRDefault="008A0C9D">
      <w:pPr>
        <w:spacing w:before="240" w:after="240" w:line="276" w:lineRule="auto"/>
        <w:ind w:left="0"/>
        <w:rPr>
          <w:rFonts w:ascii="Arial" w:eastAsia="Arial" w:hAnsi="Arial" w:cs="Arial"/>
        </w:rPr>
      </w:pPr>
      <w:r>
        <w:rPr>
          <w:noProof/>
        </w:rPr>
        <w:drawing>
          <wp:inline distT="114300" distB="114300" distL="114300" distR="114300" wp14:anchorId="3CEBB0D5" wp14:editId="38EBC0D5">
            <wp:extent cx="3086100" cy="3601831"/>
            <wp:effectExtent l="0" t="0" r="0" b="0"/>
            <wp:docPr id="2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a:stretch>
                      <a:fillRect/>
                    </a:stretch>
                  </pic:blipFill>
                  <pic:spPr>
                    <a:xfrm>
                      <a:off x="0" y="0"/>
                      <a:ext cx="3086100" cy="3601831"/>
                    </a:xfrm>
                    <a:prstGeom prst="rect">
                      <a:avLst/>
                    </a:prstGeom>
                    <a:ln/>
                  </pic:spPr>
                </pic:pic>
              </a:graphicData>
            </a:graphic>
          </wp:inline>
        </w:drawing>
      </w:r>
      <w:r>
        <w:rPr>
          <w:noProof/>
        </w:rPr>
        <w:drawing>
          <wp:inline distT="114300" distB="114300" distL="114300" distR="114300" wp14:anchorId="475182F8" wp14:editId="1D1A4AE6">
            <wp:extent cx="2533650" cy="3579802"/>
            <wp:effectExtent l="0" t="0" r="0" b="0"/>
            <wp:docPr id="2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0"/>
                    <a:srcRect/>
                    <a:stretch>
                      <a:fillRect/>
                    </a:stretch>
                  </pic:blipFill>
                  <pic:spPr>
                    <a:xfrm>
                      <a:off x="0" y="0"/>
                      <a:ext cx="2533650" cy="3579802"/>
                    </a:xfrm>
                    <a:prstGeom prst="rect">
                      <a:avLst/>
                    </a:prstGeom>
                    <a:ln/>
                  </pic:spPr>
                </pic:pic>
              </a:graphicData>
            </a:graphic>
          </wp:inline>
        </w:drawing>
      </w:r>
    </w:p>
    <w:p w14:paraId="49E27C0E" w14:textId="77777777" w:rsidR="00615C51" w:rsidRDefault="008A0C9D">
      <w:pPr>
        <w:spacing w:before="240" w:after="240" w:line="276" w:lineRule="auto"/>
        <w:ind w:left="0"/>
        <w:rPr>
          <w:rFonts w:ascii="Arial" w:eastAsia="Arial" w:hAnsi="Arial" w:cs="Arial"/>
        </w:rPr>
      </w:pPr>
      <w:r>
        <w:rPr>
          <w:rFonts w:ascii="Arial" w:eastAsia="Arial" w:hAnsi="Arial" w:cs="Arial"/>
        </w:rPr>
        <w:t xml:space="preserve">                                              Fig </w:t>
      </w:r>
      <w:proofErr w:type="gramStart"/>
      <w:r>
        <w:rPr>
          <w:rFonts w:ascii="Arial" w:eastAsia="Arial" w:hAnsi="Arial" w:cs="Arial"/>
        </w:rPr>
        <w:t>1 :</w:t>
      </w:r>
      <w:proofErr w:type="gramEnd"/>
      <w:r>
        <w:rPr>
          <w:rFonts w:ascii="Arial" w:eastAsia="Arial" w:hAnsi="Arial" w:cs="Arial"/>
        </w:rPr>
        <w:t xml:space="preserve"> Extraoral photograph at first </w:t>
      </w:r>
      <w:proofErr w:type="spellStart"/>
      <w:r>
        <w:rPr>
          <w:rFonts w:ascii="Arial" w:eastAsia="Arial" w:hAnsi="Arial" w:cs="Arial"/>
        </w:rPr>
        <w:t>vist</w:t>
      </w:r>
      <w:proofErr w:type="spellEnd"/>
    </w:p>
    <w:p w14:paraId="10BDF543" w14:textId="77777777" w:rsidR="00615C51" w:rsidRDefault="008A0C9D">
      <w:pPr>
        <w:spacing w:before="240" w:after="240" w:line="276" w:lineRule="auto"/>
        <w:ind w:left="0"/>
        <w:rPr>
          <w:rFonts w:ascii="Arial" w:eastAsia="Arial" w:hAnsi="Arial" w:cs="Arial"/>
        </w:rPr>
      </w:pPr>
      <w:r>
        <w:rPr>
          <w:noProof/>
        </w:rPr>
        <w:lastRenderedPageBreak/>
        <w:drawing>
          <wp:inline distT="114300" distB="114300" distL="114300" distR="114300" wp14:anchorId="14B81520" wp14:editId="750F2F9C">
            <wp:extent cx="2691324" cy="2352675"/>
            <wp:effectExtent l="0" t="0" r="0" b="0"/>
            <wp:docPr id="2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t="18283" b="17910"/>
                    <a:stretch>
                      <a:fillRect/>
                    </a:stretch>
                  </pic:blipFill>
                  <pic:spPr>
                    <a:xfrm>
                      <a:off x="0" y="0"/>
                      <a:ext cx="2691324" cy="2352675"/>
                    </a:xfrm>
                    <a:prstGeom prst="rect">
                      <a:avLst/>
                    </a:prstGeom>
                    <a:ln/>
                  </pic:spPr>
                </pic:pic>
              </a:graphicData>
            </a:graphic>
          </wp:inline>
        </w:drawing>
      </w:r>
      <w:r>
        <w:rPr>
          <w:noProof/>
        </w:rPr>
        <w:drawing>
          <wp:inline distT="114300" distB="114300" distL="114300" distR="114300" wp14:anchorId="62A25C58" wp14:editId="09BD92BC">
            <wp:extent cx="2562225" cy="2357338"/>
            <wp:effectExtent l="0" t="0" r="0" b="0"/>
            <wp:docPr id="2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l="41185" t="37393" b="8333"/>
                    <a:stretch>
                      <a:fillRect/>
                    </a:stretch>
                  </pic:blipFill>
                  <pic:spPr>
                    <a:xfrm>
                      <a:off x="0" y="0"/>
                      <a:ext cx="2562225" cy="2357338"/>
                    </a:xfrm>
                    <a:prstGeom prst="rect">
                      <a:avLst/>
                    </a:prstGeom>
                    <a:ln/>
                  </pic:spPr>
                </pic:pic>
              </a:graphicData>
            </a:graphic>
          </wp:inline>
        </w:drawing>
      </w:r>
    </w:p>
    <w:p w14:paraId="6276CC73" w14:textId="77777777" w:rsidR="00615C51" w:rsidRDefault="008A0C9D">
      <w:pPr>
        <w:spacing w:before="240" w:after="240" w:line="276" w:lineRule="auto"/>
        <w:ind w:left="0"/>
        <w:rPr>
          <w:rFonts w:ascii="Arial" w:eastAsia="Arial" w:hAnsi="Arial" w:cs="Arial"/>
        </w:rPr>
      </w:pPr>
      <w:r>
        <w:rPr>
          <w:rFonts w:ascii="Arial" w:eastAsia="Arial" w:hAnsi="Arial" w:cs="Arial"/>
        </w:rPr>
        <w:t xml:space="preserve">                                        Fig </w:t>
      </w:r>
      <w:proofErr w:type="gramStart"/>
      <w:r>
        <w:rPr>
          <w:rFonts w:ascii="Arial" w:eastAsia="Arial" w:hAnsi="Arial" w:cs="Arial"/>
        </w:rPr>
        <w:t>2 :</w:t>
      </w:r>
      <w:proofErr w:type="gramEnd"/>
      <w:r>
        <w:rPr>
          <w:rFonts w:ascii="Arial" w:eastAsia="Arial" w:hAnsi="Arial" w:cs="Arial"/>
        </w:rPr>
        <w:t xml:space="preserve"> Intraoral photograph at first visit</w:t>
      </w:r>
    </w:p>
    <w:p w14:paraId="028E5210" w14:textId="77777777" w:rsidR="00615C51" w:rsidRDefault="008A0C9D">
      <w:pPr>
        <w:spacing w:before="240" w:after="240" w:line="276" w:lineRule="auto"/>
        <w:ind w:left="0"/>
        <w:jc w:val="both"/>
        <w:rPr>
          <w:rFonts w:ascii="Arial" w:eastAsia="Arial" w:hAnsi="Arial" w:cs="Arial"/>
        </w:rPr>
      </w:pPr>
      <w:r>
        <w:rPr>
          <w:rFonts w:ascii="Arial" w:eastAsia="Arial" w:hAnsi="Arial" w:cs="Arial"/>
        </w:rPr>
        <w:t xml:space="preserve">During the extraoral examination, no abnormalities were detected. The patient had no deleterious oral habits and reported brushing once daily with a toothbrush and toothpaste. Intraoral examination shows generalized pallor across the buccal mucosa bilaterally, the palatal mucosa, the labial mucosa, along with </w:t>
      </w:r>
      <w:proofErr w:type="spellStart"/>
      <w:r>
        <w:rPr>
          <w:rFonts w:ascii="Arial" w:eastAsia="Arial" w:hAnsi="Arial" w:cs="Arial"/>
        </w:rPr>
        <w:t>depapillation</w:t>
      </w:r>
      <w:proofErr w:type="spellEnd"/>
      <w:r>
        <w:rPr>
          <w:rFonts w:ascii="Arial" w:eastAsia="Arial" w:hAnsi="Arial" w:cs="Arial"/>
        </w:rPr>
        <w:t xml:space="preserve"> in the dorsal aspect of </w:t>
      </w:r>
      <w:r>
        <w:rPr>
          <w:rFonts w:ascii="Arial" w:eastAsia="Arial" w:hAnsi="Arial" w:cs="Arial"/>
          <w:highlight w:val="yellow"/>
        </w:rPr>
        <w:t xml:space="preserve">the </w:t>
      </w:r>
      <w:r>
        <w:rPr>
          <w:rFonts w:ascii="Arial" w:eastAsia="Arial" w:hAnsi="Arial" w:cs="Arial"/>
        </w:rPr>
        <w:t xml:space="preserve">tongue. The oral cavity appeared </w:t>
      </w:r>
      <w:proofErr w:type="spellStart"/>
      <w:proofErr w:type="gramStart"/>
      <w:r>
        <w:rPr>
          <w:rFonts w:ascii="Arial" w:eastAsia="Arial" w:hAnsi="Arial" w:cs="Arial"/>
        </w:rPr>
        <w:t>dry.The</w:t>
      </w:r>
      <w:proofErr w:type="spellEnd"/>
      <w:proofErr w:type="gramEnd"/>
      <w:r>
        <w:rPr>
          <w:rFonts w:ascii="Arial" w:eastAsia="Arial" w:hAnsi="Arial" w:cs="Arial"/>
        </w:rPr>
        <w:t xml:space="preserve"> mirror test confirmed decreased salivary wetting, and reduced salivary flow was evident.</w:t>
      </w:r>
    </w:p>
    <w:p w14:paraId="28EEF413" w14:textId="77777777" w:rsidR="00615C51" w:rsidRDefault="008A0C9D">
      <w:pPr>
        <w:spacing w:before="240" w:after="240" w:line="276" w:lineRule="auto"/>
        <w:ind w:left="0"/>
        <w:rPr>
          <w:rFonts w:ascii="Arial" w:eastAsia="Arial" w:hAnsi="Arial" w:cs="Arial"/>
        </w:rPr>
      </w:pPr>
      <w:r>
        <w:rPr>
          <w:noProof/>
        </w:rPr>
        <w:drawing>
          <wp:inline distT="114300" distB="114300" distL="114300" distR="114300" wp14:anchorId="48B2E5F3" wp14:editId="122C8933">
            <wp:extent cx="2838450" cy="2590800"/>
            <wp:effectExtent l="0" t="0" r="0" b="0"/>
            <wp:docPr id="2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
                    <a:srcRect t="24888" r="8115" b="10836"/>
                    <a:stretch>
                      <a:fillRect/>
                    </a:stretch>
                  </pic:blipFill>
                  <pic:spPr>
                    <a:xfrm>
                      <a:off x="0" y="0"/>
                      <a:ext cx="2838450" cy="2590800"/>
                    </a:xfrm>
                    <a:prstGeom prst="rect">
                      <a:avLst/>
                    </a:prstGeom>
                    <a:ln/>
                  </pic:spPr>
                </pic:pic>
              </a:graphicData>
            </a:graphic>
          </wp:inline>
        </w:drawing>
      </w:r>
      <w:r>
        <w:rPr>
          <w:noProof/>
        </w:rPr>
        <w:drawing>
          <wp:inline distT="114300" distB="114300" distL="114300" distR="114300" wp14:anchorId="51982EE9" wp14:editId="564C8220">
            <wp:extent cx="2763585" cy="2590800"/>
            <wp:effectExtent l="0" t="0" r="0" b="0"/>
            <wp:docPr id="2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4"/>
                    <a:srcRect l="15312" t="12500" b="29044"/>
                    <a:stretch>
                      <a:fillRect/>
                    </a:stretch>
                  </pic:blipFill>
                  <pic:spPr>
                    <a:xfrm>
                      <a:off x="0" y="0"/>
                      <a:ext cx="2763585" cy="2590800"/>
                    </a:xfrm>
                    <a:prstGeom prst="rect">
                      <a:avLst/>
                    </a:prstGeom>
                    <a:ln/>
                  </pic:spPr>
                </pic:pic>
              </a:graphicData>
            </a:graphic>
          </wp:inline>
        </w:drawing>
      </w:r>
    </w:p>
    <w:p w14:paraId="72164296" w14:textId="77777777" w:rsidR="00615C51" w:rsidRDefault="008A0C9D">
      <w:pPr>
        <w:spacing w:before="240" w:after="240" w:line="276" w:lineRule="auto"/>
        <w:ind w:left="0"/>
        <w:rPr>
          <w:rFonts w:ascii="Arial" w:eastAsia="Arial" w:hAnsi="Arial" w:cs="Arial"/>
        </w:rPr>
      </w:pPr>
      <w:r>
        <w:rPr>
          <w:rFonts w:ascii="Arial" w:eastAsia="Arial" w:hAnsi="Arial" w:cs="Arial"/>
        </w:rPr>
        <w:t xml:space="preserve">                                                          Fig </w:t>
      </w:r>
      <w:proofErr w:type="gramStart"/>
      <w:r>
        <w:rPr>
          <w:rFonts w:ascii="Arial" w:eastAsia="Arial" w:hAnsi="Arial" w:cs="Arial"/>
        </w:rPr>
        <w:t>3 :</w:t>
      </w:r>
      <w:proofErr w:type="gramEnd"/>
      <w:r>
        <w:rPr>
          <w:rFonts w:ascii="Arial" w:eastAsia="Arial" w:hAnsi="Arial" w:cs="Arial"/>
        </w:rPr>
        <w:t xml:space="preserve"> After review</w:t>
      </w:r>
    </w:p>
    <w:p w14:paraId="5B05627C" w14:textId="77777777" w:rsidR="00615C51" w:rsidRDefault="008A0C9D">
      <w:pPr>
        <w:spacing w:before="240" w:after="240" w:line="276" w:lineRule="auto"/>
        <w:ind w:left="0"/>
        <w:jc w:val="both"/>
        <w:rPr>
          <w:rFonts w:ascii="Arial" w:eastAsia="Arial" w:hAnsi="Arial" w:cs="Arial"/>
        </w:rPr>
      </w:pPr>
      <w:r>
        <w:rPr>
          <w:rFonts w:ascii="Arial" w:eastAsia="Arial" w:hAnsi="Arial" w:cs="Arial"/>
        </w:rPr>
        <w:t>Hard tissue examination showed generalized gingival recession and attrition. Missing teeth 11–16, 21–23, 25, 31, 32, 34–37, 41, 43, 44, 46, and 47.</w:t>
      </w:r>
    </w:p>
    <w:p w14:paraId="78A021C2" w14:textId="77777777" w:rsidR="00615C51" w:rsidRDefault="008A0C9D">
      <w:pPr>
        <w:spacing w:before="240" w:after="240" w:line="276" w:lineRule="auto"/>
        <w:ind w:left="0"/>
        <w:jc w:val="both"/>
        <w:rPr>
          <w:rFonts w:ascii="Arial" w:eastAsia="Arial" w:hAnsi="Arial" w:cs="Arial"/>
        </w:rPr>
      </w:pPr>
      <w:r>
        <w:rPr>
          <w:rFonts w:ascii="Arial" w:eastAsia="Arial" w:hAnsi="Arial" w:cs="Arial"/>
        </w:rPr>
        <w:t xml:space="preserve">                                                     </w:t>
      </w:r>
    </w:p>
    <w:p w14:paraId="323C1334" w14:textId="77777777" w:rsidR="00615C51" w:rsidRDefault="008A0C9D">
      <w:pPr>
        <w:spacing w:before="240" w:after="240" w:line="276" w:lineRule="auto"/>
        <w:ind w:left="0"/>
        <w:jc w:val="both"/>
        <w:rPr>
          <w:rFonts w:ascii="Arial" w:eastAsia="Arial" w:hAnsi="Arial" w:cs="Arial"/>
        </w:rPr>
      </w:pPr>
      <w:r>
        <w:rPr>
          <w:rFonts w:ascii="Arial" w:eastAsia="Arial" w:hAnsi="Arial" w:cs="Arial"/>
        </w:rPr>
        <w:lastRenderedPageBreak/>
        <w:t>We used the pain Visual Analog Scale (VAS</w:t>
      </w:r>
      <w:proofErr w:type="gramStart"/>
      <w:r>
        <w:rPr>
          <w:rFonts w:ascii="Arial" w:eastAsia="Arial" w:hAnsi="Arial" w:cs="Arial"/>
        </w:rPr>
        <w:t>) .On</w:t>
      </w:r>
      <w:proofErr w:type="gramEnd"/>
      <w:r>
        <w:rPr>
          <w:rFonts w:ascii="Arial" w:eastAsia="Arial" w:hAnsi="Arial" w:cs="Arial"/>
        </w:rPr>
        <w:t xml:space="preserve"> a scale of 10 the patient gave the burning sensation a value of 8.</w:t>
      </w:r>
    </w:p>
    <w:p w14:paraId="45B971F4" w14:textId="77777777" w:rsidR="00615C51" w:rsidRDefault="008A0C9D">
      <w:pPr>
        <w:spacing w:before="240" w:after="240" w:line="276" w:lineRule="auto"/>
        <w:ind w:left="0"/>
        <w:rPr>
          <w:rFonts w:ascii="Arial" w:eastAsia="Arial" w:hAnsi="Arial" w:cs="Arial"/>
        </w:rPr>
      </w:pPr>
      <w:r>
        <w:rPr>
          <w:rFonts w:ascii="Arial" w:eastAsia="Arial" w:hAnsi="Arial" w:cs="Arial"/>
        </w:rPr>
        <w:t xml:space="preserve">                                          </w:t>
      </w:r>
      <w:r>
        <w:rPr>
          <w:noProof/>
        </w:rPr>
        <w:drawing>
          <wp:inline distT="114300" distB="114300" distL="114300" distR="114300" wp14:anchorId="5028EB87" wp14:editId="4CE07515">
            <wp:extent cx="2771556" cy="2771556"/>
            <wp:effectExtent l="0" t="0" r="0" b="0"/>
            <wp:docPr id="3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5"/>
                    <a:srcRect/>
                    <a:stretch>
                      <a:fillRect/>
                    </a:stretch>
                  </pic:blipFill>
                  <pic:spPr>
                    <a:xfrm>
                      <a:off x="0" y="0"/>
                      <a:ext cx="2771556" cy="2771556"/>
                    </a:xfrm>
                    <a:prstGeom prst="rect">
                      <a:avLst/>
                    </a:prstGeom>
                    <a:ln/>
                  </pic:spPr>
                </pic:pic>
              </a:graphicData>
            </a:graphic>
          </wp:inline>
        </w:drawing>
      </w:r>
    </w:p>
    <w:p w14:paraId="76558317" w14:textId="77777777" w:rsidR="00615C51" w:rsidRDefault="008A0C9D">
      <w:pPr>
        <w:spacing w:before="240" w:after="240" w:line="276" w:lineRule="auto"/>
        <w:ind w:left="0"/>
        <w:rPr>
          <w:rFonts w:ascii="Arial" w:eastAsia="Arial" w:hAnsi="Arial" w:cs="Arial"/>
        </w:rPr>
      </w:pPr>
      <w:r>
        <w:rPr>
          <w:rFonts w:ascii="Arial" w:eastAsia="Arial" w:hAnsi="Arial" w:cs="Arial"/>
        </w:rPr>
        <w:t xml:space="preserve">                                                            Fig </w:t>
      </w:r>
      <w:proofErr w:type="gramStart"/>
      <w:r>
        <w:rPr>
          <w:rFonts w:ascii="Arial" w:eastAsia="Arial" w:hAnsi="Arial" w:cs="Arial"/>
        </w:rPr>
        <w:t>4 :</w:t>
      </w:r>
      <w:proofErr w:type="gramEnd"/>
      <w:r>
        <w:rPr>
          <w:rFonts w:ascii="Arial" w:eastAsia="Arial" w:hAnsi="Arial" w:cs="Arial"/>
        </w:rPr>
        <w:t xml:space="preserve"> Before and after </w:t>
      </w:r>
    </w:p>
    <w:p w14:paraId="4993074F" w14:textId="77777777" w:rsidR="00615C51" w:rsidRDefault="008A0C9D">
      <w:pPr>
        <w:spacing w:before="240" w:after="240" w:line="276" w:lineRule="auto"/>
        <w:ind w:left="0"/>
        <w:jc w:val="both"/>
        <w:rPr>
          <w:rFonts w:ascii="Arial" w:eastAsia="Arial" w:hAnsi="Arial" w:cs="Arial"/>
          <w:highlight w:val="yellow"/>
        </w:rPr>
      </w:pPr>
      <w:r>
        <w:rPr>
          <w:rFonts w:ascii="Arial" w:eastAsia="Arial" w:hAnsi="Arial" w:cs="Arial"/>
        </w:rPr>
        <w:t xml:space="preserve">Based on the clinical presentation, the provisional diagnosis was Burning Mouth Syndrome. Differential diagnoses included xerostomia and </w:t>
      </w:r>
      <w:proofErr w:type="spellStart"/>
      <w:r>
        <w:rPr>
          <w:rFonts w:ascii="Arial" w:eastAsia="Arial" w:hAnsi="Arial" w:cs="Arial"/>
        </w:rPr>
        <w:t>Sjögren’s</w:t>
      </w:r>
      <w:proofErr w:type="spellEnd"/>
      <w:r>
        <w:rPr>
          <w:rFonts w:ascii="Arial" w:eastAsia="Arial" w:hAnsi="Arial" w:cs="Arial"/>
        </w:rPr>
        <w:t xml:space="preserve"> syndrome, as these conditions can present with overlapping symptoms. Since no identifiable local or systemic cause could be attributed to her symptoms, the final diagnosis was established as Burning Mouth Syndrome. The following medications were given </w:t>
      </w:r>
      <w:r>
        <w:rPr>
          <w:rFonts w:ascii="Arial" w:eastAsia="Arial" w:hAnsi="Arial" w:cs="Arial"/>
          <w:highlight w:val="yellow"/>
        </w:rPr>
        <w:t>TAB.TRIPTAZ 10 mg 0-0-</w:t>
      </w:r>
      <w:proofErr w:type="gramStart"/>
      <w:r>
        <w:rPr>
          <w:rFonts w:ascii="Arial" w:eastAsia="Arial" w:hAnsi="Arial" w:cs="Arial"/>
          <w:highlight w:val="yellow"/>
        </w:rPr>
        <w:t>1 ,</w:t>
      </w:r>
      <w:proofErr w:type="gramEnd"/>
      <w:r>
        <w:rPr>
          <w:rFonts w:ascii="Arial" w:eastAsia="Arial" w:hAnsi="Arial" w:cs="Arial"/>
          <w:highlight w:val="yellow"/>
        </w:rPr>
        <w:t xml:space="preserve"> TAB.BECOSULES 1-0-1, TAB.ZINCOVIT 0-1-0, TOPICAL CANDID MOUTHPAINT 1%, TOPICAL DENTOGEL for 7 days</w:t>
      </w:r>
      <w:r>
        <w:rPr>
          <w:rFonts w:ascii="Arial" w:eastAsia="Arial" w:hAnsi="Arial" w:cs="Arial"/>
        </w:rPr>
        <w:t xml:space="preserve">. The patient was under conservative management for 10 days. </w:t>
      </w:r>
      <w:r>
        <w:rPr>
          <w:rFonts w:ascii="Arial" w:eastAsia="Arial" w:hAnsi="Arial" w:cs="Arial"/>
          <w:highlight w:val="yellow"/>
        </w:rPr>
        <w:t xml:space="preserve">The patient was reviewed after 1 week. The patient's healing was satisfactory, and she recovered within 2 consecutive </w:t>
      </w:r>
      <w:proofErr w:type="spellStart"/>
      <w:proofErr w:type="gramStart"/>
      <w:r>
        <w:rPr>
          <w:rFonts w:ascii="Arial" w:eastAsia="Arial" w:hAnsi="Arial" w:cs="Arial"/>
          <w:highlight w:val="yellow"/>
        </w:rPr>
        <w:t>visits.</w:t>
      </w:r>
      <w:r>
        <w:rPr>
          <w:rFonts w:ascii="Arial" w:eastAsia="Arial" w:hAnsi="Arial" w:cs="Arial"/>
          <w:color w:val="1B1B1B"/>
          <w:highlight w:val="yellow"/>
        </w:rPr>
        <w:t>The</w:t>
      </w:r>
      <w:proofErr w:type="spellEnd"/>
      <w:proofErr w:type="gramEnd"/>
      <w:r>
        <w:rPr>
          <w:rFonts w:ascii="Arial" w:eastAsia="Arial" w:hAnsi="Arial" w:cs="Arial"/>
          <w:color w:val="1B1B1B"/>
          <w:highlight w:val="yellow"/>
        </w:rPr>
        <w:t xml:space="preserve"> patient was reviewed after 1 week, and healing was satisfactory. Stress was reduced and the sleep pattern was normal. The patient was advised to take artificial salivary substitutes for 7 days. At the second review after 1 </w:t>
      </w:r>
      <w:proofErr w:type="gramStart"/>
      <w:r>
        <w:rPr>
          <w:rFonts w:ascii="Arial" w:eastAsia="Arial" w:hAnsi="Arial" w:cs="Arial"/>
          <w:color w:val="1B1B1B"/>
          <w:highlight w:val="yellow"/>
        </w:rPr>
        <w:t>week,  healing</w:t>
      </w:r>
      <w:proofErr w:type="gramEnd"/>
      <w:r>
        <w:rPr>
          <w:rFonts w:ascii="Arial" w:eastAsia="Arial" w:hAnsi="Arial" w:cs="Arial"/>
          <w:color w:val="1B1B1B"/>
          <w:highlight w:val="yellow"/>
        </w:rPr>
        <w:t xml:space="preserve"> was satisfactory , patient advised to take TAB.LIMCEE 500mg 1-0-0, TAB.</w:t>
      </w:r>
      <w:r>
        <w:rPr>
          <w:rFonts w:ascii="Arial" w:eastAsia="Arial" w:hAnsi="Arial" w:cs="Arial"/>
          <w:highlight w:val="yellow"/>
        </w:rPr>
        <w:t>BECOSULES 1-0-1, TAB.ZINCOVIT 0-1-0 FOR 7 DAYS. After 1 week (third review), healing was satisfactory with VAS scale score value was 2.</w:t>
      </w:r>
    </w:p>
    <w:p w14:paraId="288C4894" w14:textId="77777777" w:rsidR="00615C51" w:rsidRDefault="008A0C9D">
      <w:pPr>
        <w:spacing w:before="240" w:after="240" w:line="276" w:lineRule="auto"/>
        <w:ind w:left="0"/>
        <w:rPr>
          <w:b/>
          <w:sz w:val="26"/>
          <w:szCs w:val="26"/>
        </w:rPr>
      </w:pPr>
      <w:r>
        <w:rPr>
          <w:b/>
          <w:sz w:val="26"/>
          <w:szCs w:val="26"/>
        </w:rPr>
        <w:t xml:space="preserve">3.DISCUSSION </w:t>
      </w:r>
    </w:p>
    <w:p w14:paraId="28C9184E" w14:textId="79590672" w:rsidR="00615C51" w:rsidRDefault="007615CF">
      <w:pPr>
        <w:spacing w:before="240" w:after="240" w:line="276" w:lineRule="auto"/>
        <w:ind w:left="0"/>
        <w:rPr>
          <w:rFonts w:ascii="Arial" w:eastAsia="Arial" w:hAnsi="Arial" w:cs="Arial"/>
          <w:highlight w:val="white"/>
        </w:rPr>
      </w:pPr>
      <w:r>
        <w:rPr>
          <w:rFonts w:ascii="Arial" w:eastAsia="Arial" w:hAnsi="Arial" w:cs="Arial"/>
        </w:rPr>
        <w:t>“</w:t>
      </w:r>
      <w:r w:rsidR="008A0C9D">
        <w:rPr>
          <w:rFonts w:ascii="Arial" w:eastAsia="Arial" w:hAnsi="Arial" w:cs="Arial"/>
        </w:rPr>
        <w:t xml:space="preserve">Burning mouth syndrome (BMS) is a chronic orofacial pain disorder with </w:t>
      </w:r>
      <w:proofErr w:type="spellStart"/>
      <w:proofErr w:type="gramStart"/>
      <w:r w:rsidR="008A0C9D">
        <w:rPr>
          <w:rFonts w:ascii="Arial" w:eastAsia="Arial" w:hAnsi="Arial" w:cs="Arial"/>
        </w:rPr>
        <w:t>stinging,burning</w:t>
      </w:r>
      <w:proofErr w:type="spellEnd"/>
      <w:proofErr w:type="gramEnd"/>
      <w:r w:rsidR="008A0C9D">
        <w:rPr>
          <w:rFonts w:ascii="Arial" w:eastAsia="Arial" w:hAnsi="Arial" w:cs="Arial"/>
        </w:rPr>
        <w:t xml:space="preserve"> and/or itching of the oral mucosa without any other oral disease or lesion . It lasts up to 4 to 6 months and most commonly involves the</w:t>
      </w:r>
      <w:r w:rsidR="008A0C9D">
        <w:rPr>
          <w:rFonts w:ascii="Arial" w:eastAsia="Arial" w:hAnsi="Arial" w:cs="Arial"/>
          <w:color w:val="1F1F1F"/>
        </w:rPr>
        <w:t xml:space="preserve"> tip and anterior two-thirds of the </w:t>
      </w:r>
      <w:proofErr w:type="gramStart"/>
      <w:r w:rsidR="008A0C9D">
        <w:rPr>
          <w:rFonts w:ascii="Arial" w:eastAsia="Arial" w:hAnsi="Arial" w:cs="Arial"/>
          <w:color w:val="1F1F1F"/>
        </w:rPr>
        <w:t>tongue</w:t>
      </w:r>
      <w:r w:rsidR="008A0C9D">
        <w:rPr>
          <w:rFonts w:ascii="Arial" w:eastAsia="Arial" w:hAnsi="Arial" w:cs="Arial"/>
        </w:rPr>
        <w:t xml:space="preserve"> ,followed</w:t>
      </w:r>
      <w:proofErr w:type="gramEnd"/>
      <w:r w:rsidR="008A0C9D">
        <w:rPr>
          <w:rFonts w:ascii="Arial" w:eastAsia="Arial" w:hAnsi="Arial" w:cs="Arial"/>
        </w:rPr>
        <w:t xml:space="preserve"> by the lateral border of the tongue</w:t>
      </w:r>
      <w:r>
        <w:rPr>
          <w:rFonts w:ascii="Arial" w:eastAsia="Arial" w:hAnsi="Arial" w:cs="Arial"/>
        </w:rPr>
        <w:t>”</w:t>
      </w:r>
      <w:r w:rsidR="008A0C9D">
        <w:rPr>
          <w:rFonts w:ascii="Arial" w:eastAsia="Arial" w:hAnsi="Arial" w:cs="Arial"/>
        </w:rPr>
        <w:t xml:space="preserve"> [16, 17] </w:t>
      </w:r>
      <w:r>
        <w:rPr>
          <w:rFonts w:ascii="Arial" w:eastAsia="Arial" w:hAnsi="Arial" w:cs="Arial"/>
        </w:rPr>
        <w:t>“</w:t>
      </w:r>
      <w:r w:rsidR="008A0C9D">
        <w:rPr>
          <w:rFonts w:ascii="Arial" w:eastAsia="Arial" w:hAnsi="Arial" w:cs="Arial"/>
        </w:rPr>
        <w:t xml:space="preserve">with or without extending to </w:t>
      </w:r>
      <w:r w:rsidR="008A0C9D">
        <w:rPr>
          <w:rFonts w:ascii="Arial" w:eastAsia="Arial" w:hAnsi="Arial" w:cs="Arial"/>
          <w:highlight w:val="yellow"/>
        </w:rPr>
        <w:t>the</w:t>
      </w:r>
      <w:r w:rsidR="008A0C9D">
        <w:rPr>
          <w:rFonts w:ascii="Arial" w:eastAsia="Arial" w:hAnsi="Arial" w:cs="Arial"/>
        </w:rPr>
        <w:t xml:space="preserve"> lips, palate and oral mucosa</w:t>
      </w:r>
      <w:r>
        <w:rPr>
          <w:rFonts w:ascii="Arial" w:eastAsia="Arial" w:hAnsi="Arial" w:cs="Arial"/>
        </w:rPr>
        <w:t>”</w:t>
      </w:r>
      <w:r w:rsidR="008A0C9D">
        <w:rPr>
          <w:rFonts w:ascii="Arial" w:eastAsia="Arial" w:hAnsi="Arial" w:cs="Arial"/>
        </w:rPr>
        <w:t xml:space="preserve"> [6, 7]. BMS can also be accompanied </w:t>
      </w:r>
      <w:r w:rsidR="008A0C9D">
        <w:rPr>
          <w:rFonts w:ascii="Arial" w:eastAsia="Arial" w:hAnsi="Arial" w:cs="Arial"/>
          <w:highlight w:val="yellow"/>
        </w:rPr>
        <w:t>by</w:t>
      </w:r>
      <w:r w:rsidR="008A0C9D">
        <w:rPr>
          <w:rFonts w:ascii="Arial" w:eastAsia="Arial" w:hAnsi="Arial" w:cs="Arial"/>
        </w:rPr>
        <w:t xml:space="preserve"> dysgeusia and </w:t>
      </w:r>
      <w:proofErr w:type="spellStart"/>
      <w:proofErr w:type="gramStart"/>
      <w:r w:rsidR="008A0C9D">
        <w:rPr>
          <w:rFonts w:ascii="Arial" w:eastAsia="Arial" w:hAnsi="Arial" w:cs="Arial"/>
        </w:rPr>
        <w:t>xerostomia.The</w:t>
      </w:r>
      <w:proofErr w:type="spellEnd"/>
      <w:proofErr w:type="gramEnd"/>
      <w:r w:rsidR="008A0C9D">
        <w:rPr>
          <w:rFonts w:ascii="Arial" w:eastAsia="Arial" w:hAnsi="Arial" w:cs="Arial"/>
        </w:rPr>
        <w:t xml:space="preserve"> onset was spontaneous</w:t>
      </w:r>
      <w:r w:rsidR="008A0C9D">
        <w:rPr>
          <w:rFonts w:ascii="Arial" w:eastAsia="Arial" w:hAnsi="Arial" w:cs="Arial"/>
          <w:highlight w:val="yellow"/>
        </w:rPr>
        <w:t>,</w:t>
      </w:r>
      <w:r w:rsidR="008A0C9D">
        <w:rPr>
          <w:rFonts w:ascii="Arial" w:eastAsia="Arial" w:hAnsi="Arial" w:cs="Arial"/>
        </w:rPr>
        <w:t xml:space="preserve"> and it has a predilection </w:t>
      </w:r>
      <w:r w:rsidR="008A0C9D">
        <w:rPr>
          <w:rFonts w:ascii="Arial" w:eastAsia="Arial" w:hAnsi="Arial" w:cs="Arial"/>
          <w:highlight w:val="yellow"/>
        </w:rPr>
        <w:t>for</w:t>
      </w:r>
      <w:r w:rsidR="008A0C9D">
        <w:rPr>
          <w:rFonts w:ascii="Arial" w:eastAsia="Arial" w:hAnsi="Arial" w:cs="Arial"/>
        </w:rPr>
        <w:t xml:space="preserve"> peri and postmenopausal women. However, </w:t>
      </w:r>
      <w:r w:rsidR="008A0C9D">
        <w:rPr>
          <w:rFonts w:ascii="Arial" w:eastAsia="Arial" w:hAnsi="Arial" w:cs="Arial"/>
        </w:rPr>
        <w:lastRenderedPageBreak/>
        <w:t xml:space="preserve">the pathophysiology is not yet clarified. It is associated with </w:t>
      </w:r>
      <w:r w:rsidR="008A0C9D">
        <w:rPr>
          <w:rFonts w:ascii="Arial" w:eastAsia="Arial" w:hAnsi="Arial" w:cs="Arial"/>
          <w:color w:val="333333"/>
          <w:highlight w:val="white"/>
        </w:rPr>
        <w:t>anxiety, depression, and sleep deprivation [9].</w:t>
      </w:r>
      <w:r w:rsidR="008A0C9D">
        <w:rPr>
          <w:rFonts w:ascii="Arial" w:eastAsia="Arial" w:hAnsi="Arial" w:cs="Arial"/>
        </w:rPr>
        <w:t>The secondary stage is usually accompanied</w:t>
      </w:r>
      <w:r w:rsidR="008A0C9D">
        <w:rPr>
          <w:rFonts w:ascii="Arial" w:eastAsia="Arial" w:hAnsi="Arial" w:cs="Arial"/>
          <w:highlight w:val="yellow"/>
        </w:rPr>
        <w:t xml:space="preserve"> by</w:t>
      </w:r>
      <w:r w:rsidR="008A0C9D">
        <w:rPr>
          <w:rFonts w:ascii="Arial" w:eastAsia="Arial" w:hAnsi="Arial" w:cs="Arial"/>
        </w:rPr>
        <w:t xml:space="preserve"> oral infections, drug use, thyroid disease, vitamin/mineral deficiencies, psychiatric illnesses, dental treatment,</w:t>
      </w:r>
      <w:r w:rsidR="008A0C9D">
        <w:rPr>
          <w:rFonts w:ascii="Arial" w:eastAsia="Arial" w:hAnsi="Arial" w:cs="Arial"/>
          <w:sz w:val="18"/>
          <w:szCs w:val="18"/>
          <w:highlight w:val="white"/>
        </w:rPr>
        <w:t xml:space="preserve"> </w:t>
      </w:r>
      <w:r w:rsidR="008A0C9D">
        <w:rPr>
          <w:rFonts w:ascii="Arial" w:eastAsia="Arial" w:hAnsi="Arial" w:cs="Arial"/>
          <w:highlight w:val="white"/>
        </w:rPr>
        <w:t xml:space="preserve">hypercholesterolemia, </w:t>
      </w:r>
      <w:proofErr w:type="spellStart"/>
      <w:r w:rsidR="008A0C9D">
        <w:rPr>
          <w:rFonts w:ascii="Arial" w:eastAsia="Arial" w:hAnsi="Arial" w:cs="Arial"/>
          <w:highlight w:val="white"/>
        </w:rPr>
        <w:t>hyperhomocysteinemia</w:t>
      </w:r>
      <w:proofErr w:type="spellEnd"/>
      <w:r w:rsidR="008A0C9D">
        <w:rPr>
          <w:rFonts w:ascii="Arial" w:eastAsia="Arial" w:hAnsi="Arial" w:cs="Arial"/>
          <w:highlight w:val="white"/>
        </w:rPr>
        <w:t xml:space="preserve">, and hypothyroidism [10, 11], esophageal reflux disease, hypertension </w:t>
      </w:r>
      <w:r w:rsidR="008A0C9D">
        <w:rPr>
          <w:rFonts w:ascii="Arial" w:eastAsia="Arial" w:hAnsi="Arial" w:cs="Arial"/>
        </w:rPr>
        <w:t xml:space="preserve">and </w:t>
      </w:r>
      <w:proofErr w:type="spellStart"/>
      <w:r w:rsidR="008A0C9D">
        <w:rPr>
          <w:rFonts w:ascii="Arial" w:eastAsia="Arial" w:hAnsi="Arial" w:cs="Arial"/>
        </w:rPr>
        <w:t>others.</w:t>
      </w:r>
      <w:r w:rsidR="008A0C9D">
        <w:rPr>
          <w:rFonts w:ascii="Arial" w:eastAsia="Arial" w:hAnsi="Arial" w:cs="Arial"/>
          <w:highlight w:val="white"/>
        </w:rPr>
        <w:t>Thorough</w:t>
      </w:r>
      <w:proofErr w:type="spellEnd"/>
      <w:r w:rsidR="008A0C9D">
        <w:rPr>
          <w:rFonts w:ascii="Arial" w:eastAsia="Arial" w:hAnsi="Arial" w:cs="Arial"/>
          <w:highlight w:val="white"/>
        </w:rPr>
        <w:t xml:space="preserve"> history is the key for ‘diagnosing BMS and it also relates</w:t>
      </w:r>
      <w:r w:rsidR="008A0C9D">
        <w:rPr>
          <w:rFonts w:ascii="Arial" w:eastAsia="Arial" w:hAnsi="Arial" w:cs="Arial"/>
          <w:highlight w:val="yellow"/>
        </w:rPr>
        <w:t xml:space="preserve"> to </w:t>
      </w:r>
      <w:r w:rsidR="008A0C9D">
        <w:rPr>
          <w:rFonts w:ascii="Arial" w:eastAsia="Arial" w:hAnsi="Arial" w:cs="Arial"/>
          <w:highlight w:val="white"/>
        </w:rPr>
        <w:t xml:space="preserve">the symptoms (pain, dry mouth, and taste), their </w:t>
      </w:r>
      <w:proofErr w:type="spellStart"/>
      <w:r w:rsidR="008A0C9D">
        <w:rPr>
          <w:rFonts w:ascii="Arial" w:eastAsia="Arial" w:hAnsi="Arial" w:cs="Arial"/>
          <w:highlight w:val="white"/>
        </w:rPr>
        <w:t>onset,duration</w:t>
      </w:r>
      <w:proofErr w:type="spellEnd"/>
      <w:r w:rsidR="008A0C9D">
        <w:rPr>
          <w:rFonts w:ascii="Arial" w:eastAsia="Arial" w:hAnsi="Arial" w:cs="Arial"/>
          <w:highlight w:val="white"/>
        </w:rPr>
        <w:t xml:space="preserve">, character, intensity, location and factors </w:t>
      </w:r>
      <w:r w:rsidR="008A0C9D">
        <w:rPr>
          <w:rFonts w:ascii="Arial" w:eastAsia="Arial" w:hAnsi="Arial" w:cs="Arial"/>
          <w:highlight w:val="yellow"/>
        </w:rPr>
        <w:t>that</w:t>
      </w:r>
      <w:r w:rsidR="008A0C9D">
        <w:rPr>
          <w:rFonts w:ascii="Arial" w:eastAsia="Arial" w:hAnsi="Arial" w:cs="Arial"/>
          <w:highlight w:val="white"/>
        </w:rPr>
        <w:t xml:space="preserve"> </w:t>
      </w:r>
      <w:r w:rsidR="008A0C9D">
        <w:rPr>
          <w:rFonts w:ascii="Arial" w:eastAsia="Arial" w:hAnsi="Arial" w:cs="Arial"/>
          <w:highlight w:val="yellow"/>
        </w:rPr>
        <w:t>improve</w:t>
      </w:r>
      <w:r w:rsidR="008A0C9D">
        <w:rPr>
          <w:rFonts w:ascii="Arial" w:eastAsia="Arial" w:hAnsi="Arial" w:cs="Arial"/>
          <w:highlight w:val="white"/>
        </w:rPr>
        <w:t xml:space="preserve"> or </w:t>
      </w:r>
      <w:r w:rsidR="008A0C9D">
        <w:rPr>
          <w:rFonts w:ascii="Arial" w:eastAsia="Arial" w:hAnsi="Arial" w:cs="Arial"/>
          <w:highlight w:val="yellow"/>
        </w:rPr>
        <w:t>worsen</w:t>
      </w:r>
      <w:r w:rsidR="008A0C9D">
        <w:rPr>
          <w:rFonts w:ascii="Arial" w:eastAsia="Arial" w:hAnsi="Arial" w:cs="Arial"/>
          <w:highlight w:val="white"/>
        </w:rPr>
        <w:t xml:space="preserve"> its symptoms and pain. Various clinical tests and laboratory tests can be </w:t>
      </w:r>
      <w:proofErr w:type="spellStart"/>
      <w:r w:rsidR="008A0C9D">
        <w:rPr>
          <w:rFonts w:ascii="Arial" w:eastAsia="Arial" w:hAnsi="Arial" w:cs="Arial"/>
          <w:highlight w:val="white"/>
        </w:rPr>
        <w:t>done</w:t>
      </w:r>
      <w:proofErr w:type="gramStart"/>
      <w:r w:rsidR="008A0C9D">
        <w:rPr>
          <w:rFonts w:ascii="Arial" w:eastAsia="Arial" w:hAnsi="Arial" w:cs="Arial"/>
          <w:color w:val="4B4F58"/>
          <w:highlight w:val="white"/>
        </w:rPr>
        <w:t>.</w:t>
      </w:r>
      <w:r>
        <w:rPr>
          <w:rFonts w:ascii="Arial" w:eastAsia="Arial" w:hAnsi="Arial" w:cs="Arial"/>
          <w:color w:val="4B4F58"/>
          <w:highlight w:val="white"/>
        </w:rPr>
        <w:t>”</w:t>
      </w:r>
      <w:r w:rsidR="008A0C9D">
        <w:rPr>
          <w:rFonts w:ascii="Arial" w:eastAsia="Arial" w:hAnsi="Arial" w:cs="Arial"/>
          <w:highlight w:val="white"/>
        </w:rPr>
        <w:t>Different</w:t>
      </w:r>
      <w:proofErr w:type="spellEnd"/>
      <w:proofErr w:type="gramEnd"/>
      <w:r w:rsidR="008A0C9D">
        <w:rPr>
          <w:rFonts w:ascii="Arial" w:eastAsia="Arial" w:hAnsi="Arial" w:cs="Arial"/>
          <w:highlight w:val="white"/>
        </w:rPr>
        <w:t xml:space="preserve"> diagnostic criteria for BMS have been used over the years for diagnosing  BMS after ruling out other causes of burning sensation</w:t>
      </w:r>
      <w:r>
        <w:rPr>
          <w:rFonts w:ascii="Arial" w:eastAsia="Arial" w:hAnsi="Arial" w:cs="Arial"/>
          <w:highlight w:val="white"/>
        </w:rPr>
        <w:t>”</w:t>
      </w:r>
      <w:r w:rsidR="008A0C9D">
        <w:rPr>
          <w:rFonts w:ascii="Arial" w:eastAsia="Arial" w:hAnsi="Arial" w:cs="Arial"/>
          <w:highlight w:val="white"/>
        </w:rPr>
        <w:t xml:space="preserve"> [13]. </w:t>
      </w:r>
      <w:r>
        <w:rPr>
          <w:rFonts w:ascii="Arial" w:eastAsia="Arial" w:hAnsi="Arial" w:cs="Arial"/>
          <w:highlight w:val="white"/>
        </w:rPr>
        <w:t>“</w:t>
      </w:r>
      <w:r w:rsidR="008A0C9D">
        <w:rPr>
          <w:rFonts w:ascii="Arial" w:eastAsia="Arial" w:hAnsi="Arial" w:cs="Arial"/>
          <w:highlight w:val="white"/>
        </w:rPr>
        <w:t xml:space="preserve">The most recent diagnostic criteria for BMS is the presence of recurrent intraoral burning sensation for more than 2 hours </w:t>
      </w:r>
      <w:r w:rsidR="008A0C9D">
        <w:rPr>
          <w:rFonts w:ascii="Arial" w:eastAsia="Arial" w:hAnsi="Arial" w:cs="Arial"/>
          <w:highlight w:val="yellow"/>
        </w:rPr>
        <w:t xml:space="preserve">a day lasting </w:t>
      </w:r>
      <w:r w:rsidR="008A0C9D">
        <w:rPr>
          <w:rFonts w:ascii="Arial" w:eastAsia="Arial" w:hAnsi="Arial" w:cs="Arial"/>
          <w:highlight w:val="white"/>
        </w:rPr>
        <w:t>more than 3 months without clinically apparent cause</w:t>
      </w:r>
      <w:r>
        <w:rPr>
          <w:rFonts w:ascii="Arial" w:eastAsia="Arial" w:hAnsi="Arial" w:cs="Arial"/>
          <w:highlight w:val="white"/>
        </w:rPr>
        <w:t>”</w:t>
      </w:r>
      <w:r w:rsidR="008A0C9D">
        <w:rPr>
          <w:rFonts w:ascii="Arial" w:eastAsia="Arial" w:hAnsi="Arial" w:cs="Arial"/>
          <w:highlight w:val="white"/>
        </w:rPr>
        <w:t xml:space="preserve"> [14].</w:t>
      </w:r>
      <w:r w:rsidR="004D1047">
        <w:rPr>
          <w:rFonts w:ascii="Arial" w:eastAsia="Arial" w:hAnsi="Arial" w:cs="Arial"/>
          <w:highlight w:val="white"/>
        </w:rPr>
        <w:t xml:space="preserve"> “</w:t>
      </w:r>
      <w:r w:rsidR="008A0C9D">
        <w:rPr>
          <w:rFonts w:ascii="Arial" w:eastAsia="Arial" w:hAnsi="Arial" w:cs="Arial"/>
          <w:highlight w:val="white"/>
        </w:rPr>
        <w:t xml:space="preserve">The first step </w:t>
      </w:r>
      <w:r w:rsidR="008A0C9D">
        <w:rPr>
          <w:rFonts w:ascii="Arial" w:eastAsia="Arial" w:hAnsi="Arial" w:cs="Arial"/>
          <w:highlight w:val="yellow"/>
        </w:rPr>
        <w:t>for treating</w:t>
      </w:r>
      <w:r w:rsidR="008A0C9D">
        <w:rPr>
          <w:rFonts w:ascii="Arial" w:eastAsia="Arial" w:hAnsi="Arial" w:cs="Arial"/>
          <w:highlight w:val="white"/>
        </w:rPr>
        <w:t xml:space="preserve"> BMS is to consider differential diagnoses and manage those symptoms</w:t>
      </w:r>
      <w:r>
        <w:rPr>
          <w:rFonts w:ascii="Arial" w:eastAsia="Arial" w:hAnsi="Arial" w:cs="Arial"/>
          <w:highlight w:val="white"/>
        </w:rPr>
        <w:t>”</w:t>
      </w:r>
      <w:r w:rsidR="008A0C9D">
        <w:rPr>
          <w:rFonts w:ascii="Arial" w:eastAsia="Arial" w:hAnsi="Arial" w:cs="Arial"/>
          <w:highlight w:val="white"/>
        </w:rPr>
        <w:t xml:space="preserve"> [15]. </w:t>
      </w:r>
      <w:r>
        <w:rPr>
          <w:rFonts w:ascii="Arial" w:eastAsia="Arial" w:hAnsi="Arial" w:cs="Arial"/>
          <w:highlight w:val="white"/>
        </w:rPr>
        <w:t>“</w:t>
      </w:r>
      <w:r w:rsidR="008A0C9D">
        <w:rPr>
          <w:rFonts w:ascii="Arial" w:eastAsia="Arial" w:hAnsi="Arial" w:cs="Arial"/>
          <w:highlight w:val="white"/>
        </w:rPr>
        <w:t xml:space="preserve">This precludes secondary BMS and leads to a definitive diagnosis of primary </w:t>
      </w:r>
      <w:proofErr w:type="spellStart"/>
      <w:r w:rsidR="008A0C9D">
        <w:rPr>
          <w:rFonts w:ascii="Arial" w:eastAsia="Arial" w:hAnsi="Arial" w:cs="Arial"/>
          <w:highlight w:val="white"/>
        </w:rPr>
        <w:t>BMS.Management</w:t>
      </w:r>
      <w:proofErr w:type="spellEnd"/>
      <w:r w:rsidR="008A0C9D">
        <w:rPr>
          <w:rFonts w:ascii="Arial" w:eastAsia="Arial" w:hAnsi="Arial" w:cs="Arial"/>
          <w:highlight w:val="white"/>
        </w:rPr>
        <w:t xml:space="preserve"> can be broadly discussed as topical medications, systemic medications, and behavioral interactions such as anticonvulsants ( clonazepam, gabapentin, pregabalin), antidepressants (Selective Serotonin Re-uptake Inhibitors(SSRIs), Trazodone, Amitriptyline), H2receptorantogonissts, (lafutidine), antipsychotics, phytomedicine, </w:t>
      </w:r>
      <w:proofErr w:type="spellStart"/>
      <w:r w:rsidR="008A0C9D">
        <w:rPr>
          <w:rFonts w:ascii="Arial" w:eastAsia="Arial" w:hAnsi="Arial" w:cs="Arial"/>
          <w:highlight w:val="white"/>
        </w:rPr>
        <w:t>photobiomodulation</w:t>
      </w:r>
      <w:proofErr w:type="spellEnd"/>
      <w:r w:rsidR="008A0C9D">
        <w:rPr>
          <w:rFonts w:ascii="Arial" w:eastAsia="Arial" w:hAnsi="Arial" w:cs="Arial"/>
          <w:highlight w:val="white"/>
        </w:rPr>
        <w:t>, saliva substitutes, vitamins or dietary supplements, (alpha-lipoic acid),  mouthwashes (</w:t>
      </w:r>
      <w:proofErr w:type="spellStart"/>
      <w:r w:rsidR="008A0C9D">
        <w:rPr>
          <w:rFonts w:ascii="Arial" w:eastAsia="Arial" w:hAnsi="Arial" w:cs="Arial"/>
          <w:highlight w:val="white"/>
        </w:rPr>
        <w:t>benz</w:t>
      </w:r>
      <w:bookmarkStart w:id="4" w:name="_GoBack"/>
      <w:bookmarkEnd w:id="4"/>
      <w:r w:rsidR="008A0C9D">
        <w:rPr>
          <w:rFonts w:ascii="Arial" w:eastAsia="Arial" w:hAnsi="Arial" w:cs="Arial"/>
          <w:highlight w:val="white"/>
        </w:rPr>
        <w:t>ydamine</w:t>
      </w:r>
      <w:proofErr w:type="spellEnd"/>
      <w:r w:rsidR="008A0C9D">
        <w:rPr>
          <w:rFonts w:ascii="Arial" w:eastAsia="Arial" w:hAnsi="Arial" w:cs="Arial"/>
          <w:highlight w:val="white"/>
        </w:rPr>
        <w:t xml:space="preserve"> hydrochloride &amp; clonazepam),  analgesics, and hormone replacements for postmenopausal women</w:t>
      </w:r>
      <w:r>
        <w:rPr>
          <w:rFonts w:ascii="Arial" w:eastAsia="Arial" w:hAnsi="Arial" w:cs="Arial"/>
          <w:highlight w:val="white"/>
        </w:rPr>
        <w:t>”</w:t>
      </w:r>
      <w:r w:rsidR="008A0C9D">
        <w:rPr>
          <w:rFonts w:ascii="Arial" w:eastAsia="Arial" w:hAnsi="Arial" w:cs="Arial"/>
          <w:highlight w:val="white"/>
        </w:rPr>
        <w:t xml:space="preserve"> [12] . Herbal agents like </w:t>
      </w:r>
      <w:proofErr w:type="spellStart"/>
      <w:r w:rsidR="008A0C9D">
        <w:rPr>
          <w:rFonts w:ascii="Arial" w:eastAsia="Arial" w:hAnsi="Arial" w:cs="Arial"/>
          <w:highlight w:val="white"/>
        </w:rPr>
        <w:t>ultramicronized</w:t>
      </w:r>
      <w:proofErr w:type="spellEnd"/>
      <w:r w:rsidR="008A0C9D">
        <w:rPr>
          <w:rFonts w:ascii="Arial" w:eastAsia="Arial" w:hAnsi="Arial" w:cs="Arial"/>
          <w:highlight w:val="white"/>
        </w:rPr>
        <w:t xml:space="preserve"> </w:t>
      </w:r>
      <w:proofErr w:type="spellStart"/>
      <w:r w:rsidR="008A0C9D">
        <w:rPr>
          <w:rFonts w:ascii="Arial" w:eastAsia="Arial" w:hAnsi="Arial" w:cs="Arial"/>
          <w:highlight w:val="white"/>
        </w:rPr>
        <w:t>palmitoylethanolamide</w:t>
      </w:r>
      <w:proofErr w:type="spellEnd"/>
      <w:r w:rsidR="008A0C9D">
        <w:rPr>
          <w:rFonts w:ascii="Arial" w:eastAsia="Arial" w:hAnsi="Arial" w:cs="Arial"/>
          <w:highlight w:val="white"/>
        </w:rPr>
        <w:t xml:space="preserve">, hypericum </w:t>
      </w:r>
      <w:proofErr w:type="spellStart"/>
      <w:r w:rsidR="008A0C9D">
        <w:rPr>
          <w:rFonts w:ascii="Arial" w:eastAsia="Arial" w:hAnsi="Arial" w:cs="Arial"/>
          <w:highlight w:val="white"/>
        </w:rPr>
        <w:t>perforatum</w:t>
      </w:r>
      <w:proofErr w:type="spellEnd"/>
      <w:r w:rsidR="008A0C9D">
        <w:rPr>
          <w:rFonts w:ascii="Arial" w:eastAsia="Arial" w:hAnsi="Arial" w:cs="Arial"/>
          <w:highlight w:val="white"/>
        </w:rPr>
        <w:t>, and lycopene-enriched extra virgin oil are being evaluated for treatment of BMS are recently popular.</w:t>
      </w:r>
    </w:p>
    <w:p w14:paraId="45B62733" w14:textId="77777777" w:rsidR="00615C51" w:rsidRDefault="008A0C9D">
      <w:pPr>
        <w:spacing w:before="0" w:line="276" w:lineRule="auto"/>
        <w:ind w:left="0"/>
        <w:jc w:val="both"/>
        <w:rPr>
          <w:b/>
          <w:sz w:val="26"/>
          <w:szCs w:val="26"/>
          <w:highlight w:val="yellow"/>
        </w:rPr>
      </w:pPr>
      <w:r>
        <w:rPr>
          <w:b/>
          <w:sz w:val="26"/>
          <w:szCs w:val="26"/>
          <w:highlight w:val="yellow"/>
        </w:rPr>
        <w:t>4.CONCLUSION</w:t>
      </w:r>
    </w:p>
    <w:p w14:paraId="780AB893" w14:textId="77777777" w:rsidR="00615C51" w:rsidRDefault="008A0C9D">
      <w:pPr>
        <w:spacing w:before="0" w:line="276" w:lineRule="auto"/>
        <w:ind w:left="0"/>
        <w:jc w:val="both"/>
        <w:rPr>
          <w:rFonts w:ascii="Arial" w:eastAsia="Arial" w:hAnsi="Arial" w:cs="Arial"/>
          <w:highlight w:val="yellow"/>
        </w:rPr>
      </w:pPr>
      <w:r>
        <w:rPr>
          <w:rFonts w:ascii="Arial" w:eastAsia="Arial" w:hAnsi="Arial" w:cs="Arial"/>
          <w:highlight w:val="yellow"/>
        </w:rPr>
        <w:t xml:space="preserve">Burning mouth syndrome is a chronic intraoral pain disorder that is often a frustrating condition for patients. It is multifactorial, and the exact etiopathogenesis is unknown. Multidisciplinary approaches for treating BMS include medical and behavioral </w:t>
      </w:r>
      <w:proofErr w:type="gramStart"/>
      <w:r>
        <w:rPr>
          <w:rFonts w:ascii="Arial" w:eastAsia="Arial" w:hAnsi="Arial" w:cs="Arial"/>
          <w:highlight w:val="yellow"/>
        </w:rPr>
        <w:t xml:space="preserve">therapies;   </w:t>
      </w:r>
      <w:proofErr w:type="gramEnd"/>
      <w:r>
        <w:rPr>
          <w:rFonts w:ascii="Arial" w:eastAsia="Arial" w:hAnsi="Arial" w:cs="Arial"/>
          <w:highlight w:val="yellow"/>
        </w:rPr>
        <w:t xml:space="preserve"> however, further well-designed studies with long-term follow-up are necessary to establish optimal treatment and long-term prognosis.</w:t>
      </w:r>
    </w:p>
    <w:p w14:paraId="4E57D291" w14:textId="77777777" w:rsidR="00615C51" w:rsidRDefault="00615C51">
      <w:pPr>
        <w:spacing w:before="0" w:line="276" w:lineRule="auto"/>
        <w:ind w:left="0"/>
        <w:jc w:val="both"/>
        <w:rPr>
          <w:b/>
          <w:sz w:val="26"/>
          <w:szCs w:val="26"/>
          <w:highlight w:val="white"/>
        </w:rPr>
      </w:pPr>
    </w:p>
    <w:p w14:paraId="6EA4B4C5" w14:textId="77777777" w:rsidR="000D17F2" w:rsidRPr="000D17F2" w:rsidRDefault="000D17F2" w:rsidP="000D17F2">
      <w:pPr>
        <w:spacing w:before="0" w:line="276" w:lineRule="auto"/>
        <w:ind w:left="0"/>
        <w:jc w:val="both"/>
        <w:rPr>
          <w:b/>
          <w:sz w:val="26"/>
          <w:szCs w:val="26"/>
        </w:rPr>
      </w:pPr>
      <w:r w:rsidRPr="000D17F2">
        <w:rPr>
          <w:b/>
          <w:sz w:val="26"/>
          <w:szCs w:val="26"/>
        </w:rPr>
        <w:t xml:space="preserve">Consent </w:t>
      </w:r>
    </w:p>
    <w:p w14:paraId="1A35E590" w14:textId="3FB7D730" w:rsidR="00615C51" w:rsidRDefault="000D17F2" w:rsidP="000D17F2">
      <w:pPr>
        <w:spacing w:before="0" w:line="276" w:lineRule="auto"/>
        <w:ind w:left="0"/>
        <w:jc w:val="both"/>
        <w:rPr>
          <w:b/>
          <w:sz w:val="26"/>
          <w:szCs w:val="26"/>
          <w:highlight w:val="white"/>
        </w:rPr>
      </w:pPr>
      <w:r w:rsidRPr="000D17F2">
        <w:rPr>
          <w:b/>
          <w:sz w:val="26"/>
          <w:szCs w:val="26"/>
        </w:rPr>
        <w:t>As per international standards or university standards, patient(s) written consent has been collected and preserved by the author(s).</w:t>
      </w:r>
    </w:p>
    <w:p w14:paraId="20B47378" w14:textId="77777777" w:rsidR="00615C51" w:rsidRDefault="00615C51">
      <w:pPr>
        <w:spacing w:before="0" w:line="276" w:lineRule="auto"/>
        <w:ind w:left="0"/>
        <w:jc w:val="both"/>
        <w:rPr>
          <w:rFonts w:ascii="Arial" w:eastAsia="Arial" w:hAnsi="Arial" w:cs="Arial"/>
          <w:sz w:val="26"/>
          <w:szCs w:val="26"/>
          <w:highlight w:val="white"/>
        </w:rPr>
      </w:pPr>
    </w:p>
    <w:p w14:paraId="45BE983D" w14:textId="77777777" w:rsidR="00615C51" w:rsidRDefault="00615C51">
      <w:pPr>
        <w:spacing w:before="0" w:line="276" w:lineRule="auto"/>
        <w:ind w:left="0"/>
        <w:jc w:val="both"/>
        <w:rPr>
          <w:rFonts w:ascii="Arial" w:eastAsia="Arial" w:hAnsi="Arial" w:cs="Arial"/>
        </w:rPr>
      </w:pPr>
    </w:p>
    <w:p w14:paraId="3BE3273D" w14:textId="77777777" w:rsidR="00615C51" w:rsidRDefault="008A0C9D">
      <w:pPr>
        <w:ind w:hanging="15"/>
        <w:rPr>
          <w:rFonts w:ascii="Arial" w:eastAsia="Arial" w:hAnsi="Arial" w:cs="Arial"/>
          <w:highlight w:val="yellow"/>
        </w:rPr>
      </w:pPr>
      <w:bookmarkStart w:id="5" w:name="_heading=h.b9krojmo58v6" w:colFirst="0" w:colLast="0"/>
      <w:bookmarkEnd w:id="5"/>
      <w:r>
        <w:rPr>
          <w:rFonts w:ascii="Arial" w:eastAsia="Arial" w:hAnsi="Arial" w:cs="Arial"/>
          <w:highlight w:val="yellow"/>
        </w:rPr>
        <w:t>Disclaimer (Artificial intelligence)</w:t>
      </w:r>
    </w:p>
    <w:p w14:paraId="14652927" w14:textId="77777777" w:rsidR="00615C51" w:rsidRDefault="008A0C9D">
      <w:pPr>
        <w:ind w:hanging="15"/>
        <w:rPr>
          <w:rFonts w:ascii="Arial" w:eastAsia="Arial" w:hAnsi="Arial" w:cs="Arial"/>
          <w:highlight w:val="yellow"/>
        </w:rPr>
      </w:pPr>
      <w:r>
        <w:rPr>
          <w:rFonts w:ascii="Arial" w:eastAsia="Arial" w:hAnsi="Arial" w:cs="Arial"/>
          <w:highlight w:val="yellow"/>
        </w:rPr>
        <w:t>Author(s) hereby declare that NO generative AI technologies such as Large Language Models (</w:t>
      </w:r>
      <w:proofErr w:type="spellStart"/>
      <w:r>
        <w:rPr>
          <w:rFonts w:ascii="Arial" w:eastAsia="Arial" w:hAnsi="Arial" w:cs="Arial"/>
          <w:highlight w:val="yellow"/>
        </w:rPr>
        <w:t>ChatGPT</w:t>
      </w:r>
      <w:proofErr w:type="spellEnd"/>
      <w:r>
        <w:rPr>
          <w:rFonts w:ascii="Arial" w:eastAsia="Arial" w:hAnsi="Arial" w:cs="Arial"/>
          <w:highlight w:val="yellow"/>
        </w:rPr>
        <w:t xml:space="preserve">, COPILOT, etc.) and text-to-image generators have been used during the writing or editing of this manuscript. </w:t>
      </w:r>
    </w:p>
    <w:p w14:paraId="07E8766B" w14:textId="77777777" w:rsidR="00615C51" w:rsidRDefault="00615C51">
      <w:pPr>
        <w:ind w:hanging="15"/>
        <w:rPr>
          <w:rFonts w:ascii="Calibri" w:eastAsia="Calibri" w:hAnsi="Calibri" w:cs="Calibri"/>
          <w:highlight w:val="yellow"/>
        </w:rPr>
      </w:pPr>
    </w:p>
    <w:p w14:paraId="7C1391A7" w14:textId="77777777" w:rsidR="00615C51" w:rsidRDefault="00615C51">
      <w:pPr>
        <w:spacing w:before="0" w:line="276" w:lineRule="auto"/>
        <w:ind w:left="0"/>
        <w:jc w:val="both"/>
        <w:rPr>
          <w:rFonts w:ascii="Arial" w:eastAsia="Arial" w:hAnsi="Arial" w:cs="Arial"/>
        </w:rPr>
      </w:pPr>
    </w:p>
    <w:p w14:paraId="15C7A902" w14:textId="77777777" w:rsidR="00615C51" w:rsidRDefault="00615C51">
      <w:pPr>
        <w:spacing w:before="0" w:line="276" w:lineRule="auto"/>
        <w:ind w:left="0"/>
        <w:jc w:val="both"/>
        <w:rPr>
          <w:rFonts w:ascii="Arial" w:eastAsia="Arial" w:hAnsi="Arial" w:cs="Arial"/>
        </w:rPr>
      </w:pPr>
    </w:p>
    <w:p w14:paraId="27AB7696" w14:textId="77777777" w:rsidR="00615C51" w:rsidRDefault="008A0C9D">
      <w:pPr>
        <w:spacing w:before="0" w:line="276" w:lineRule="auto"/>
        <w:ind w:left="0"/>
        <w:rPr>
          <w:rFonts w:ascii="Arial" w:eastAsia="Arial" w:hAnsi="Arial" w:cs="Arial"/>
          <w:sz w:val="34"/>
          <w:szCs w:val="34"/>
        </w:rPr>
      </w:pPr>
      <w:r>
        <w:rPr>
          <w:rFonts w:ascii="Arial" w:eastAsia="Arial" w:hAnsi="Arial" w:cs="Arial"/>
          <w:sz w:val="34"/>
          <w:szCs w:val="34"/>
        </w:rPr>
        <w:t>📚 References</w:t>
      </w:r>
    </w:p>
    <w:p w14:paraId="77F12F8E" w14:textId="77777777" w:rsidR="00615C51" w:rsidRDefault="008A0C9D">
      <w:pPr>
        <w:numPr>
          <w:ilvl w:val="0"/>
          <w:numId w:val="1"/>
        </w:numPr>
        <w:spacing w:before="240" w:line="276" w:lineRule="auto"/>
        <w:jc w:val="both"/>
        <w:rPr>
          <w:rFonts w:ascii="Arial" w:eastAsia="Arial" w:hAnsi="Arial" w:cs="Arial"/>
          <w:highlight w:val="yellow"/>
        </w:rPr>
      </w:pPr>
      <w:r>
        <w:rPr>
          <w:rFonts w:ascii="Arial" w:eastAsia="Arial" w:hAnsi="Arial" w:cs="Arial"/>
          <w:highlight w:val="yellow"/>
        </w:rPr>
        <w:t xml:space="preserve">Sun, A., Wu, K. M., Wang, Y. P., Lin, H. P., Chen, H. M., &amp; Chiang, C. P. (2013). </w:t>
      </w:r>
      <w:r>
        <w:rPr>
          <w:rFonts w:ascii="Arial" w:eastAsia="Arial" w:hAnsi="Arial" w:cs="Arial"/>
          <w:highlight w:val="yellow"/>
        </w:rPr>
        <w:br/>
      </w:r>
    </w:p>
    <w:p w14:paraId="7ABA5D55" w14:textId="77777777" w:rsidR="00615C51" w:rsidRDefault="008A0C9D">
      <w:pPr>
        <w:numPr>
          <w:ilvl w:val="0"/>
          <w:numId w:val="1"/>
        </w:numPr>
        <w:spacing w:before="0" w:line="276" w:lineRule="auto"/>
        <w:jc w:val="both"/>
        <w:rPr>
          <w:rFonts w:ascii="Arial" w:eastAsia="Arial" w:hAnsi="Arial" w:cs="Arial"/>
          <w:highlight w:val="yellow"/>
        </w:rPr>
      </w:pPr>
      <w:r>
        <w:rPr>
          <w:rFonts w:ascii="Arial" w:eastAsia="Arial" w:hAnsi="Arial" w:cs="Arial"/>
          <w:highlight w:val="yellow"/>
        </w:rPr>
        <w:t>Burning mouth syndrome: a review and update. Journal of oral pathology &amp; medicine, 42(9), 649-655.</w:t>
      </w:r>
      <w:r>
        <w:rPr>
          <w:rFonts w:ascii="Arial" w:eastAsia="Arial" w:hAnsi="Arial" w:cs="Arial"/>
          <w:highlight w:val="yellow"/>
        </w:rPr>
        <w:br/>
      </w:r>
    </w:p>
    <w:p w14:paraId="5A9B84BB" w14:textId="77777777" w:rsidR="00615C51" w:rsidRDefault="008A0C9D">
      <w:pPr>
        <w:numPr>
          <w:ilvl w:val="0"/>
          <w:numId w:val="1"/>
        </w:numPr>
        <w:spacing w:before="0" w:line="276" w:lineRule="auto"/>
        <w:jc w:val="both"/>
        <w:rPr>
          <w:rFonts w:ascii="Arial" w:eastAsia="Arial" w:hAnsi="Arial" w:cs="Arial"/>
        </w:rPr>
      </w:pPr>
      <w:proofErr w:type="spellStart"/>
      <w:r>
        <w:rPr>
          <w:rFonts w:ascii="Arial" w:eastAsia="Arial" w:hAnsi="Arial" w:cs="Arial"/>
        </w:rPr>
        <w:t>Grushka</w:t>
      </w:r>
      <w:proofErr w:type="spellEnd"/>
      <w:r>
        <w:rPr>
          <w:rFonts w:ascii="Arial" w:eastAsia="Arial" w:hAnsi="Arial" w:cs="Arial"/>
        </w:rPr>
        <w:t xml:space="preserve"> M, Epstein JB, </w:t>
      </w:r>
      <w:proofErr w:type="spellStart"/>
      <w:r>
        <w:rPr>
          <w:rFonts w:ascii="Arial" w:eastAsia="Arial" w:hAnsi="Arial" w:cs="Arial"/>
        </w:rPr>
        <w:t>Gorsky</w:t>
      </w:r>
      <w:proofErr w:type="spellEnd"/>
      <w:r>
        <w:rPr>
          <w:rFonts w:ascii="Arial" w:eastAsia="Arial" w:hAnsi="Arial" w:cs="Arial"/>
        </w:rPr>
        <w:t xml:space="preserve"> M. Burning mouth syndrome and other oral sensory disorders: A review. </w:t>
      </w:r>
      <w:r>
        <w:rPr>
          <w:rFonts w:ascii="Arial" w:eastAsia="Arial" w:hAnsi="Arial" w:cs="Arial"/>
          <w:i/>
        </w:rPr>
        <w:t>Am J Med.</w:t>
      </w:r>
      <w:r>
        <w:rPr>
          <w:rFonts w:ascii="Arial" w:eastAsia="Arial" w:hAnsi="Arial" w:cs="Arial"/>
        </w:rPr>
        <w:t xml:space="preserve"> 2002;112(5): 481-487. doi:10.1016/S0002-9343(02)01051-7</w:t>
      </w:r>
      <w:r>
        <w:rPr>
          <w:rFonts w:ascii="Arial" w:eastAsia="Arial" w:hAnsi="Arial" w:cs="Arial"/>
        </w:rPr>
        <w:br/>
      </w:r>
    </w:p>
    <w:p w14:paraId="1B3FE7B5" w14:textId="77777777" w:rsidR="00615C51" w:rsidRDefault="008A0C9D">
      <w:pPr>
        <w:numPr>
          <w:ilvl w:val="0"/>
          <w:numId w:val="1"/>
        </w:numPr>
        <w:spacing w:before="0" w:line="276" w:lineRule="auto"/>
        <w:jc w:val="both"/>
        <w:rPr>
          <w:rFonts w:ascii="Arial" w:eastAsia="Arial" w:hAnsi="Arial" w:cs="Arial"/>
        </w:rPr>
      </w:pPr>
      <w:r>
        <w:rPr>
          <w:rFonts w:ascii="Arial" w:eastAsia="Arial" w:hAnsi="Arial" w:cs="Arial"/>
        </w:rPr>
        <w:t xml:space="preserve">Scala A, Checchi L, </w:t>
      </w:r>
      <w:proofErr w:type="spellStart"/>
      <w:r>
        <w:rPr>
          <w:rFonts w:ascii="Arial" w:eastAsia="Arial" w:hAnsi="Arial" w:cs="Arial"/>
        </w:rPr>
        <w:t>Montevecchi</w:t>
      </w:r>
      <w:proofErr w:type="spellEnd"/>
      <w:r>
        <w:rPr>
          <w:rFonts w:ascii="Arial" w:eastAsia="Arial" w:hAnsi="Arial" w:cs="Arial"/>
        </w:rPr>
        <w:t xml:space="preserve"> M, Marini I, </w:t>
      </w:r>
      <w:proofErr w:type="spellStart"/>
      <w:r>
        <w:rPr>
          <w:rFonts w:ascii="Arial" w:eastAsia="Arial" w:hAnsi="Arial" w:cs="Arial"/>
        </w:rPr>
        <w:t>Giamberardino</w:t>
      </w:r>
      <w:proofErr w:type="spellEnd"/>
      <w:r>
        <w:rPr>
          <w:rFonts w:ascii="Arial" w:eastAsia="Arial" w:hAnsi="Arial" w:cs="Arial"/>
        </w:rPr>
        <w:t xml:space="preserve"> MA. Update on burning mouth syndrome: Overview and patient management. </w:t>
      </w:r>
      <w:proofErr w:type="spellStart"/>
      <w:r>
        <w:rPr>
          <w:rFonts w:ascii="Arial" w:eastAsia="Arial" w:hAnsi="Arial" w:cs="Arial"/>
          <w:i/>
        </w:rPr>
        <w:t>Crit</w:t>
      </w:r>
      <w:proofErr w:type="spellEnd"/>
      <w:r>
        <w:rPr>
          <w:rFonts w:ascii="Arial" w:eastAsia="Arial" w:hAnsi="Arial" w:cs="Arial"/>
          <w:i/>
        </w:rPr>
        <w:t xml:space="preserve"> Rev Oral Biol Med.</w:t>
      </w:r>
      <w:r>
        <w:rPr>
          <w:rFonts w:ascii="Arial" w:eastAsia="Arial" w:hAnsi="Arial" w:cs="Arial"/>
        </w:rPr>
        <w:t xml:space="preserve"> 2003;14(4):275-291. doi:10.1177/154411130301400405</w:t>
      </w:r>
      <w:r>
        <w:rPr>
          <w:rFonts w:ascii="Arial" w:eastAsia="Arial" w:hAnsi="Arial" w:cs="Arial"/>
        </w:rPr>
        <w:br/>
      </w:r>
    </w:p>
    <w:p w14:paraId="7DA8C233" w14:textId="77777777" w:rsidR="00615C51" w:rsidRDefault="008A0C9D">
      <w:pPr>
        <w:numPr>
          <w:ilvl w:val="0"/>
          <w:numId w:val="1"/>
        </w:numPr>
        <w:spacing w:before="0" w:after="240" w:line="276" w:lineRule="auto"/>
        <w:jc w:val="both"/>
        <w:rPr>
          <w:rFonts w:ascii="Arial" w:eastAsia="Arial" w:hAnsi="Arial" w:cs="Arial"/>
        </w:rPr>
      </w:pPr>
      <w:r>
        <w:rPr>
          <w:rFonts w:ascii="Arial" w:eastAsia="Arial" w:hAnsi="Arial" w:cs="Arial"/>
        </w:rPr>
        <w:t xml:space="preserve">Patton LL, Siegel MA, </w:t>
      </w:r>
      <w:proofErr w:type="spellStart"/>
      <w:r>
        <w:rPr>
          <w:rFonts w:ascii="Arial" w:eastAsia="Arial" w:hAnsi="Arial" w:cs="Arial"/>
        </w:rPr>
        <w:t>Benoliel</w:t>
      </w:r>
      <w:proofErr w:type="spellEnd"/>
      <w:r>
        <w:rPr>
          <w:rFonts w:ascii="Arial" w:eastAsia="Arial" w:hAnsi="Arial" w:cs="Arial"/>
        </w:rPr>
        <w:t xml:space="preserve"> R, De </w:t>
      </w:r>
      <w:proofErr w:type="spellStart"/>
      <w:r>
        <w:rPr>
          <w:rFonts w:ascii="Arial" w:eastAsia="Arial" w:hAnsi="Arial" w:cs="Arial"/>
        </w:rPr>
        <w:t>Laat</w:t>
      </w:r>
      <w:proofErr w:type="spellEnd"/>
      <w:r>
        <w:rPr>
          <w:rFonts w:ascii="Arial" w:eastAsia="Arial" w:hAnsi="Arial" w:cs="Arial"/>
        </w:rPr>
        <w:t xml:space="preserve"> A. Management of burning mouth syndrome: Systematic review and management recommendations. </w:t>
      </w:r>
      <w:r>
        <w:rPr>
          <w:rFonts w:ascii="Arial" w:eastAsia="Arial" w:hAnsi="Arial" w:cs="Arial"/>
          <w:i/>
        </w:rPr>
        <w:t xml:space="preserve">Oral Surg Oral Med Oral </w:t>
      </w:r>
      <w:proofErr w:type="spellStart"/>
      <w:r>
        <w:rPr>
          <w:rFonts w:ascii="Arial" w:eastAsia="Arial" w:hAnsi="Arial" w:cs="Arial"/>
          <w:i/>
        </w:rPr>
        <w:t>Pathol</w:t>
      </w:r>
      <w:proofErr w:type="spellEnd"/>
      <w:r>
        <w:rPr>
          <w:rFonts w:ascii="Arial" w:eastAsia="Arial" w:hAnsi="Arial" w:cs="Arial"/>
          <w:i/>
        </w:rPr>
        <w:t xml:space="preserve"> Oral </w:t>
      </w:r>
      <w:proofErr w:type="spellStart"/>
      <w:r>
        <w:rPr>
          <w:rFonts w:ascii="Arial" w:eastAsia="Arial" w:hAnsi="Arial" w:cs="Arial"/>
          <w:i/>
        </w:rPr>
        <w:t>Radiol</w:t>
      </w:r>
      <w:proofErr w:type="spellEnd"/>
      <w:r>
        <w:rPr>
          <w:rFonts w:ascii="Arial" w:eastAsia="Arial" w:hAnsi="Arial" w:cs="Arial"/>
          <w:i/>
        </w:rPr>
        <w:t xml:space="preserve"> </w:t>
      </w:r>
      <w:proofErr w:type="spellStart"/>
      <w:r>
        <w:rPr>
          <w:rFonts w:ascii="Arial" w:eastAsia="Arial" w:hAnsi="Arial" w:cs="Arial"/>
          <w:i/>
        </w:rPr>
        <w:t>Endod</w:t>
      </w:r>
      <w:proofErr w:type="spellEnd"/>
      <w:r>
        <w:rPr>
          <w:rFonts w:ascii="Arial" w:eastAsia="Arial" w:hAnsi="Arial" w:cs="Arial"/>
          <w:i/>
        </w:rPr>
        <w:t>.</w:t>
      </w:r>
      <w:r>
        <w:rPr>
          <w:rFonts w:ascii="Arial" w:eastAsia="Arial" w:hAnsi="Arial" w:cs="Arial"/>
        </w:rPr>
        <w:t xml:space="preserve"> 2007;103 </w:t>
      </w:r>
      <w:proofErr w:type="gramStart"/>
      <w:r>
        <w:rPr>
          <w:rFonts w:ascii="Arial" w:eastAsia="Arial" w:hAnsi="Arial" w:cs="Arial"/>
        </w:rPr>
        <w:t>Suppl:S39.e</w:t>
      </w:r>
      <w:proofErr w:type="gramEnd"/>
      <w:r>
        <w:rPr>
          <w:rFonts w:ascii="Arial" w:eastAsia="Arial" w:hAnsi="Arial" w:cs="Arial"/>
        </w:rPr>
        <w:t xml:space="preserve">1-13. </w:t>
      </w:r>
      <w:proofErr w:type="gramStart"/>
      <w:r>
        <w:rPr>
          <w:rFonts w:ascii="Arial" w:eastAsia="Arial" w:hAnsi="Arial" w:cs="Arial"/>
        </w:rPr>
        <w:t>doi:10.1016/j.tripleo</w:t>
      </w:r>
      <w:proofErr w:type="gramEnd"/>
      <w:r>
        <w:rPr>
          <w:rFonts w:ascii="Arial" w:eastAsia="Arial" w:hAnsi="Arial" w:cs="Arial"/>
        </w:rPr>
        <w:t>.2006.11.003</w:t>
      </w:r>
    </w:p>
    <w:p w14:paraId="4E2F0840" w14:textId="77777777" w:rsidR="00615C51" w:rsidRDefault="008A0C9D">
      <w:pPr>
        <w:numPr>
          <w:ilvl w:val="0"/>
          <w:numId w:val="1"/>
        </w:numPr>
        <w:spacing w:before="240" w:line="276" w:lineRule="auto"/>
        <w:jc w:val="both"/>
        <w:rPr>
          <w:rFonts w:ascii="Arial" w:eastAsia="Arial" w:hAnsi="Arial" w:cs="Arial"/>
        </w:rPr>
      </w:pPr>
      <w:proofErr w:type="spellStart"/>
      <w:r>
        <w:rPr>
          <w:rFonts w:ascii="Arial" w:eastAsia="Arial" w:hAnsi="Arial" w:cs="Arial"/>
        </w:rPr>
        <w:t>Woda</w:t>
      </w:r>
      <w:proofErr w:type="spellEnd"/>
      <w:r>
        <w:rPr>
          <w:rFonts w:ascii="Arial" w:eastAsia="Arial" w:hAnsi="Arial" w:cs="Arial"/>
        </w:rPr>
        <w:t xml:space="preserve"> A, Dao T, </w:t>
      </w:r>
      <w:proofErr w:type="spellStart"/>
      <w:r>
        <w:rPr>
          <w:rFonts w:ascii="Arial" w:eastAsia="Arial" w:hAnsi="Arial" w:cs="Arial"/>
        </w:rPr>
        <w:t>Gremeau</w:t>
      </w:r>
      <w:proofErr w:type="spellEnd"/>
      <w:r>
        <w:rPr>
          <w:rFonts w:ascii="Arial" w:eastAsia="Arial" w:hAnsi="Arial" w:cs="Arial"/>
        </w:rPr>
        <w:t xml:space="preserve">-Richard C. Steroid dysregulation and </w:t>
      </w:r>
      <w:proofErr w:type="spellStart"/>
      <w:r>
        <w:rPr>
          <w:rFonts w:ascii="Arial" w:eastAsia="Arial" w:hAnsi="Arial" w:cs="Arial"/>
        </w:rPr>
        <w:t>stomatodynia</w:t>
      </w:r>
      <w:proofErr w:type="spellEnd"/>
      <w:r>
        <w:rPr>
          <w:rFonts w:ascii="Arial" w:eastAsia="Arial" w:hAnsi="Arial" w:cs="Arial"/>
        </w:rPr>
        <w:t xml:space="preserve"> (burning mouth syndrome). </w:t>
      </w:r>
      <w:r>
        <w:rPr>
          <w:rFonts w:ascii="Arial" w:eastAsia="Arial" w:hAnsi="Arial" w:cs="Arial"/>
          <w:i/>
        </w:rPr>
        <w:t xml:space="preserve">J </w:t>
      </w:r>
      <w:proofErr w:type="spellStart"/>
      <w:r>
        <w:rPr>
          <w:rFonts w:ascii="Arial" w:eastAsia="Arial" w:hAnsi="Arial" w:cs="Arial"/>
          <w:i/>
        </w:rPr>
        <w:t>Orofac</w:t>
      </w:r>
      <w:proofErr w:type="spellEnd"/>
      <w:r>
        <w:rPr>
          <w:rFonts w:ascii="Arial" w:eastAsia="Arial" w:hAnsi="Arial" w:cs="Arial"/>
          <w:i/>
        </w:rPr>
        <w:t xml:space="preserve"> Pain.</w:t>
      </w:r>
      <w:r>
        <w:rPr>
          <w:rFonts w:ascii="Arial" w:eastAsia="Arial" w:hAnsi="Arial" w:cs="Arial"/>
        </w:rPr>
        <w:t xml:space="preserve"> 2009;23(3):202-210.</w:t>
      </w:r>
    </w:p>
    <w:p w14:paraId="7D5C647A" w14:textId="77777777" w:rsidR="00615C51" w:rsidRDefault="008A0C9D">
      <w:pPr>
        <w:numPr>
          <w:ilvl w:val="0"/>
          <w:numId w:val="1"/>
        </w:numPr>
        <w:spacing w:before="240" w:line="276" w:lineRule="auto"/>
        <w:jc w:val="both"/>
        <w:rPr>
          <w:rFonts w:ascii="Arial" w:eastAsia="Arial" w:hAnsi="Arial" w:cs="Arial"/>
        </w:rPr>
      </w:pPr>
      <w:proofErr w:type="gramStart"/>
      <w:r>
        <w:rPr>
          <w:rFonts w:ascii="Arial" w:eastAsia="Arial" w:hAnsi="Arial" w:cs="Arial"/>
        </w:rPr>
        <w:t>.</w:t>
      </w:r>
      <w:proofErr w:type="spellStart"/>
      <w:r>
        <w:rPr>
          <w:rFonts w:ascii="Arial" w:eastAsia="Arial" w:hAnsi="Arial" w:cs="Arial"/>
        </w:rPr>
        <w:t>Netto</w:t>
      </w:r>
      <w:proofErr w:type="spellEnd"/>
      <w:proofErr w:type="gramEnd"/>
      <w:r>
        <w:rPr>
          <w:rFonts w:ascii="Arial" w:eastAsia="Arial" w:hAnsi="Arial" w:cs="Arial"/>
        </w:rPr>
        <w:t xml:space="preserve"> FO, </w:t>
      </w:r>
      <w:proofErr w:type="spellStart"/>
      <w:r>
        <w:rPr>
          <w:rFonts w:ascii="Arial" w:eastAsia="Arial" w:hAnsi="Arial" w:cs="Arial"/>
        </w:rPr>
        <w:t>Diniz</w:t>
      </w:r>
      <w:proofErr w:type="spellEnd"/>
      <w:r>
        <w:rPr>
          <w:rFonts w:ascii="Arial" w:eastAsia="Arial" w:hAnsi="Arial" w:cs="Arial"/>
        </w:rPr>
        <w:t xml:space="preserve"> IM, Grossmann SM, de Abreu MH, do </w:t>
      </w:r>
      <w:proofErr w:type="spellStart"/>
      <w:r>
        <w:rPr>
          <w:rFonts w:ascii="Arial" w:eastAsia="Arial" w:hAnsi="Arial" w:cs="Arial"/>
        </w:rPr>
        <w:t>Carmo</w:t>
      </w:r>
      <w:proofErr w:type="spellEnd"/>
      <w:r>
        <w:rPr>
          <w:rFonts w:ascii="Arial" w:eastAsia="Arial" w:hAnsi="Arial" w:cs="Arial"/>
        </w:rPr>
        <w:t xml:space="preserve"> MA, Aguiar MC. Risk factors in burning mouth syndrome: a case-control study based on patient records. Clin Oral </w:t>
      </w:r>
      <w:proofErr w:type="spellStart"/>
      <w:r>
        <w:rPr>
          <w:rFonts w:ascii="Arial" w:eastAsia="Arial" w:hAnsi="Arial" w:cs="Arial"/>
        </w:rPr>
        <w:t>Investig</w:t>
      </w:r>
      <w:proofErr w:type="spellEnd"/>
      <w:r>
        <w:rPr>
          <w:rFonts w:ascii="Arial" w:eastAsia="Arial" w:hAnsi="Arial" w:cs="Arial"/>
        </w:rPr>
        <w:t xml:space="preserve">. </w:t>
      </w:r>
      <w:proofErr w:type="gramStart"/>
      <w:r>
        <w:rPr>
          <w:rFonts w:ascii="Arial" w:eastAsia="Arial" w:hAnsi="Arial" w:cs="Arial"/>
        </w:rPr>
        <w:t>2011;15:571</w:t>
      </w:r>
      <w:proofErr w:type="gramEnd"/>
      <w:r>
        <w:rPr>
          <w:rFonts w:ascii="Arial" w:eastAsia="Arial" w:hAnsi="Arial" w:cs="Arial"/>
        </w:rPr>
        <w:t>-575.</w:t>
      </w:r>
    </w:p>
    <w:p w14:paraId="5C87855E" w14:textId="77777777" w:rsidR="00615C51" w:rsidRDefault="008A0C9D">
      <w:pPr>
        <w:numPr>
          <w:ilvl w:val="0"/>
          <w:numId w:val="1"/>
        </w:numPr>
        <w:spacing w:before="240" w:line="276" w:lineRule="auto"/>
        <w:jc w:val="both"/>
        <w:rPr>
          <w:rFonts w:ascii="Arial" w:eastAsia="Arial" w:hAnsi="Arial" w:cs="Arial"/>
        </w:rPr>
      </w:pPr>
      <w:proofErr w:type="spellStart"/>
      <w:r>
        <w:rPr>
          <w:rFonts w:ascii="Arial" w:eastAsia="Arial" w:hAnsi="Arial" w:cs="Arial"/>
        </w:rPr>
        <w:t>Lamey</w:t>
      </w:r>
      <w:proofErr w:type="spellEnd"/>
      <w:r>
        <w:rPr>
          <w:rFonts w:ascii="Arial" w:eastAsia="Arial" w:hAnsi="Arial" w:cs="Arial"/>
        </w:rPr>
        <w:t xml:space="preserve"> PJ, Lamb AB. Prospective study of </w:t>
      </w:r>
      <w:proofErr w:type="spellStart"/>
      <w:r>
        <w:rPr>
          <w:rFonts w:ascii="Arial" w:eastAsia="Arial" w:hAnsi="Arial" w:cs="Arial"/>
        </w:rPr>
        <w:t>aetiological</w:t>
      </w:r>
      <w:proofErr w:type="spellEnd"/>
      <w:r>
        <w:rPr>
          <w:rFonts w:ascii="Arial" w:eastAsia="Arial" w:hAnsi="Arial" w:cs="Arial"/>
        </w:rPr>
        <w:t xml:space="preserve"> factors in burning mouth       syndrome. Br Med J (Clin Res Ed). </w:t>
      </w:r>
      <w:proofErr w:type="gramStart"/>
      <w:r>
        <w:rPr>
          <w:rFonts w:ascii="Arial" w:eastAsia="Arial" w:hAnsi="Arial" w:cs="Arial"/>
        </w:rPr>
        <w:t>1988;296:1243</w:t>
      </w:r>
      <w:proofErr w:type="gramEnd"/>
      <w:r>
        <w:rPr>
          <w:rFonts w:ascii="Arial" w:eastAsia="Arial" w:hAnsi="Arial" w:cs="Arial"/>
        </w:rPr>
        <w:t>-1246.</w:t>
      </w:r>
    </w:p>
    <w:p w14:paraId="56145A76" w14:textId="77777777" w:rsidR="00615C51" w:rsidRDefault="008A0C9D">
      <w:pPr>
        <w:numPr>
          <w:ilvl w:val="0"/>
          <w:numId w:val="1"/>
        </w:numPr>
        <w:spacing w:before="240" w:line="276" w:lineRule="auto"/>
        <w:jc w:val="both"/>
        <w:rPr>
          <w:rFonts w:ascii="Arial" w:eastAsia="Arial" w:hAnsi="Arial" w:cs="Arial"/>
          <w:sz w:val="26"/>
          <w:szCs w:val="26"/>
        </w:rPr>
      </w:pPr>
      <w:r>
        <w:rPr>
          <w:rFonts w:ascii="Arial" w:eastAsia="Arial" w:hAnsi="Arial" w:cs="Arial"/>
          <w:highlight w:val="white"/>
        </w:rPr>
        <w:t xml:space="preserve">Galli F, Lodi G, </w:t>
      </w:r>
      <w:proofErr w:type="spellStart"/>
      <w:r>
        <w:rPr>
          <w:rFonts w:ascii="Arial" w:eastAsia="Arial" w:hAnsi="Arial" w:cs="Arial"/>
          <w:highlight w:val="white"/>
        </w:rPr>
        <w:t>Sardella</w:t>
      </w:r>
      <w:proofErr w:type="spellEnd"/>
      <w:r>
        <w:rPr>
          <w:rFonts w:ascii="Arial" w:eastAsia="Arial" w:hAnsi="Arial" w:cs="Arial"/>
          <w:highlight w:val="white"/>
        </w:rPr>
        <w:t xml:space="preserve"> A, </w:t>
      </w:r>
      <w:proofErr w:type="spellStart"/>
      <w:r>
        <w:rPr>
          <w:rFonts w:ascii="Arial" w:eastAsia="Arial" w:hAnsi="Arial" w:cs="Arial"/>
          <w:highlight w:val="white"/>
        </w:rPr>
        <w:t>Vegni</w:t>
      </w:r>
      <w:proofErr w:type="spellEnd"/>
      <w:r>
        <w:rPr>
          <w:rFonts w:ascii="Arial" w:eastAsia="Arial" w:hAnsi="Arial" w:cs="Arial"/>
          <w:highlight w:val="white"/>
        </w:rPr>
        <w:t xml:space="preserve"> E. Role of psychological factors in burning mouth syndrome: a systematic review and meta-analysis. Cephalalgia </w:t>
      </w:r>
      <w:proofErr w:type="gramStart"/>
      <w:r>
        <w:rPr>
          <w:rFonts w:ascii="Arial" w:eastAsia="Arial" w:hAnsi="Arial" w:cs="Arial"/>
          <w:highlight w:val="white"/>
        </w:rPr>
        <w:t>2017;37:265</w:t>
      </w:r>
      <w:proofErr w:type="gramEnd"/>
      <w:r>
        <w:rPr>
          <w:rFonts w:ascii="Arial" w:eastAsia="Arial" w:hAnsi="Arial" w:cs="Arial"/>
          <w:highlight w:val="white"/>
        </w:rPr>
        <w:t xml:space="preserve">-77. </w:t>
      </w:r>
    </w:p>
    <w:p w14:paraId="65DF4F9C" w14:textId="77777777" w:rsidR="00615C51" w:rsidRDefault="008A0C9D">
      <w:pPr>
        <w:pBdr>
          <w:bottom w:val="none" w:sz="0" w:space="7" w:color="000000"/>
        </w:pBdr>
        <w:shd w:val="clear" w:color="auto" w:fill="FFFFFF"/>
        <w:spacing w:before="0" w:line="276" w:lineRule="auto"/>
        <w:ind w:left="0"/>
        <w:rPr>
          <w:rFonts w:ascii="Arial" w:eastAsia="Arial" w:hAnsi="Arial" w:cs="Arial"/>
          <w:highlight w:val="white"/>
        </w:rPr>
      </w:pPr>
      <w:r>
        <w:rPr>
          <w:rFonts w:ascii="Arial" w:eastAsia="Arial" w:hAnsi="Arial" w:cs="Arial"/>
          <w:highlight w:val="white"/>
        </w:rPr>
        <w:t xml:space="preserve">            </w:t>
      </w:r>
      <w:hyperlink r:id="rId16">
        <w:r>
          <w:rPr>
            <w:rFonts w:ascii="Arial" w:eastAsia="Arial" w:hAnsi="Arial" w:cs="Arial"/>
            <w:highlight w:val="white"/>
            <w:u w:val="single"/>
          </w:rPr>
          <w:t>https://doi.org/10.1177/0333102416646769</w:t>
        </w:r>
      </w:hyperlink>
      <w:r>
        <w:rPr>
          <w:rFonts w:ascii="Arial" w:eastAsia="Arial" w:hAnsi="Arial" w:cs="Arial"/>
          <w:highlight w:val="white"/>
        </w:rPr>
        <w:t>.</w:t>
      </w:r>
    </w:p>
    <w:p w14:paraId="42FDFF58" w14:textId="77777777" w:rsidR="00615C51" w:rsidRDefault="00615C51">
      <w:pPr>
        <w:pBdr>
          <w:bottom w:val="none" w:sz="0" w:space="7" w:color="000000"/>
        </w:pBdr>
        <w:shd w:val="clear" w:color="auto" w:fill="FFFFFF"/>
        <w:spacing w:before="0" w:line="276" w:lineRule="auto"/>
        <w:ind w:left="0"/>
        <w:rPr>
          <w:rFonts w:ascii="Arial" w:eastAsia="Arial" w:hAnsi="Arial" w:cs="Arial"/>
          <w:highlight w:val="white"/>
        </w:rPr>
      </w:pPr>
    </w:p>
    <w:p w14:paraId="2539AD7C" w14:textId="77777777" w:rsidR="00615C51" w:rsidRDefault="008A0C9D">
      <w:pPr>
        <w:pBdr>
          <w:bottom w:val="none" w:sz="0" w:space="7" w:color="000000"/>
        </w:pBdr>
        <w:shd w:val="clear" w:color="auto" w:fill="FFFFFF"/>
        <w:spacing w:before="0" w:line="276" w:lineRule="auto"/>
        <w:ind w:left="0"/>
        <w:rPr>
          <w:rFonts w:ascii="Arial" w:eastAsia="Arial" w:hAnsi="Arial" w:cs="Arial"/>
          <w:highlight w:val="white"/>
        </w:rPr>
      </w:pPr>
      <w:r>
        <w:rPr>
          <w:rFonts w:ascii="Arial" w:eastAsia="Arial" w:hAnsi="Arial" w:cs="Arial"/>
          <w:sz w:val="18"/>
          <w:szCs w:val="18"/>
          <w:highlight w:val="white"/>
        </w:rPr>
        <w:t xml:space="preserve">      </w:t>
      </w:r>
      <w:proofErr w:type="gramStart"/>
      <w:r>
        <w:rPr>
          <w:rFonts w:ascii="Arial" w:eastAsia="Arial" w:hAnsi="Arial" w:cs="Arial"/>
          <w:highlight w:val="white"/>
        </w:rPr>
        <w:t>10  .</w:t>
      </w:r>
      <w:proofErr w:type="gramEnd"/>
      <w:r>
        <w:rPr>
          <w:rFonts w:ascii="Arial" w:eastAsia="Arial" w:hAnsi="Arial" w:cs="Arial"/>
          <w:highlight w:val="white"/>
        </w:rPr>
        <w:t xml:space="preserve">Wu YH, Wu YC, Chang JY, Lang MJ, Chiang CP, Sun A. Anemia, hematinic        </w:t>
      </w:r>
    </w:p>
    <w:p w14:paraId="30C131B5" w14:textId="77777777" w:rsidR="00615C51" w:rsidRDefault="008A0C9D">
      <w:pPr>
        <w:pBdr>
          <w:bottom w:val="none" w:sz="0" w:space="7" w:color="000000"/>
        </w:pBdr>
        <w:shd w:val="clear" w:color="auto" w:fill="FFFFFF"/>
        <w:spacing w:before="0" w:line="276" w:lineRule="auto"/>
        <w:ind w:left="0"/>
        <w:rPr>
          <w:rFonts w:ascii="Arial" w:eastAsia="Arial" w:hAnsi="Arial" w:cs="Arial"/>
          <w:highlight w:val="white"/>
        </w:rPr>
      </w:pPr>
      <w:r>
        <w:rPr>
          <w:rFonts w:ascii="Arial" w:eastAsia="Arial" w:hAnsi="Arial" w:cs="Arial"/>
          <w:highlight w:val="white"/>
        </w:rPr>
        <w:t xml:space="preserve">            deficiencies, and </w:t>
      </w:r>
      <w:proofErr w:type="spellStart"/>
      <w:r>
        <w:rPr>
          <w:rFonts w:ascii="Arial" w:eastAsia="Arial" w:hAnsi="Arial" w:cs="Arial"/>
          <w:highlight w:val="white"/>
        </w:rPr>
        <w:t>hyperhomocysteinemia</w:t>
      </w:r>
      <w:proofErr w:type="spellEnd"/>
      <w:r>
        <w:rPr>
          <w:rFonts w:ascii="Arial" w:eastAsia="Arial" w:hAnsi="Arial" w:cs="Arial"/>
          <w:highlight w:val="white"/>
        </w:rPr>
        <w:t xml:space="preserve"> in younger and older burning mouth </w:t>
      </w:r>
    </w:p>
    <w:p w14:paraId="7E9CC76A" w14:textId="77777777" w:rsidR="00615C51" w:rsidRDefault="008A0C9D">
      <w:pPr>
        <w:pBdr>
          <w:bottom w:val="none" w:sz="0" w:space="7" w:color="000000"/>
        </w:pBdr>
        <w:shd w:val="clear" w:color="auto" w:fill="FFFFFF"/>
        <w:spacing w:before="0" w:line="276" w:lineRule="auto"/>
        <w:ind w:left="0"/>
        <w:rPr>
          <w:rFonts w:ascii="Arial" w:eastAsia="Arial" w:hAnsi="Arial" w:cs="Arial"/>
          <w:highlight w:val="white"/>
        </w:rPr>
      </w:pPr>
      <w:r>
        <w:rPr>
          <w:rFonts w:ascii="Arial" w:eastAsia="Arial" w:hAnsi="Arial" w:cs="Arial"/>
          <w:highlight w:val="white"/>
        </w:rPr>
        <w:t xml:space="preserve">            syndrome patients. J Dent Sci</w:t>
      </w:r>
      <w:proofErr w:type="gramStart"/>
      <w:r>
        <w:rPr>
          <w:rFonts w:ascii="Arial" w:eastAsia="Arial" w:hAnsi="Arial" w:cs="Arial"/>
          <w:highlight w:val="white"/>
        </w:rPr>
        <w:t>2022;17:1144</w:t>
      </w:r>
      <w:proofErr w:type="gramEnd"/>
      <w:r>
        <w:rPr>
          <w:rFonts w:ascii="Arial" w:eastAsia="Arial" w:hAnsi="Arial" w:cs="Arial"/>
          <w:highlight w:val="white"/>
        </w:rPr>
        <w:t xml:space="preserve">-50. </w:t>
      </w:r>
    </w:p>
    <w:p w14:paraId="5F9B2577" w14:textId="77777777" w:rsidR="00615C51" w:rsidRDefault="008A0C9D">
      <w:pPr>
        <w:pBdr>
          <w:bottom w:val="none" w:sz="0" w:space="7" w:color="000000"/>
        </w:pBdr>
        <w:shd w:val="clear" w:color="auto" w:fill="FFFFFF"/>
        <w:spacing w:before="0" w:line="276" w:lineRule="auto"/>
        <w:ind w:left="0"/>
        <w:rPr>
          <w:rFonts w:ascii="Arial" w:eastAsia="Arial" w:hAnsi="Arial" w:cs="Arial"/>
          <w:highlight w:val="white"/>
        </w:rPr>
      </w:pPr>
      <w:r>
        <w:rPr>
          <w:rFonts w:ascii="Arial" w:eastAsia="Arial" w:hAnsi="Arial" w:cs="Arial"/>
          <w:highlight w:val="white"/>
        </w:rPr>
        <w:t xml:space="preserve">            </w:t>
      </w:r>
      <w:hyperlink r:id="rId17">
        <w:r>
          <w:rPr>
            <w:rFonts w:ascii="Arial" w:eastAsia="Arial" w:hAnsi="Arial" w:cs="Arial"/>
            <w:highlight w:val="white"/>
            <w:u w:val="single"/>
          </w:rPr>
          <w:t>https://doi.org/10.1016/j.jds.2022.02.005</w:t>
        </w:r>
      </w:hyperlink>
      <w:r>
        <w:rPr>
          <w:rFonts w:ascii="Arial" w:eastAsia="Arial" w:hAnsi="Arial" w:cs="Arial"/>
          <w:highlight w:val="white"/>
        </w:rPr>
        <w:t>.</w:t>
      </w:r>
    </w:p>
    <w:p w14:paraId="5DF93F17" w14:textId="77777777" w:rsidR="00615C51" w:rsidRDefault="00615C51">
      <w:pPr>
        <w:pBdr>
          <w:bottom w:val="none" w:sz="0" w:space="7" w:color="000000"/>
        </w:pBdr>
        <w:shd w:val="clear" w:color="auto" w:fill="FFFFFF"/>
        <w:spacing w:before="0" w:line="276" w:lineRule="auto"/>
        <w:ind w:left="0"/>
        <w:rPr>
          <w:rFonts w:ascii="Arial" w:eastAsia="Arial" w:hAnsi="Arial" w:cs="Arial"/>
          <w:highlight w:val="white"/>
        </w:rPr>
      </w:pPr>
    </w:p>
    <w:p w14:paraId="3DF62EAC" w14:textId="77777777" w:rsidR="00615C51" w:rsidRDefault="008A0C9D">
      <w:pPr>
        <w:pBdr>
          <w:bottom w:val="none" w:sz="0" w:space="7" w:color="000000"/>
        </w:pBdr>
        <w:shd w:val="clear" w:color="auto" w:fill="FFFFFF"/>
        <w:spacing w:before="0" w:line="276" w:lineRule="auto"/>
        <w:ind w:left="0"/>
        <w:rPr>
          <w:rFonts w:ascii="Arial" w:eastAsia="Arial" w:hAnsi="Arial" w:cs="Arial"/>
          <w:highlight w:val="white"/>
        </w:rPr>
      </w:pPr>
      <w:r>
        <w:rPr>
          <w:rFonts w:ascii="Arial" w:eastAsia="Arial" w:hAnsi="Arial" w:cs="Arial"/>
          <w:highlight w:val="white"/>
        </w:rPr>
        <w:t xml:space="preserve">     11. Russo M, </w:t>
      </w:r>
      <w:proofErr w:type="spellStart"/>
      <w:r>
        <w:rPr>
          <w:rFonts w:ascii="Arial" w:eastAsia="Arial" w:hAnsi="Arial" w:cs="Arial"/>
          <w:highlight w:val="white"/>
        </w:rPr>
        <w:t>Crafa</w:t>
      </w:r>
      <w:proofErr w:type="spellEnd"/>
      <w:r>
        <w:rPr>
          <w:rFonts w:ascii="Arial" w:eastAsia="Arial" w:hAnsi="Arial" w:cs="Arial"/>
          <w:highlight w:val="white"/>
        </w:rPr>
        <w:t xml:space="preserve"> P, </w:t>
      </w:r>
      <w:proofErr w:type="spellStart"/>
      <w:r>
        <w:rPr>
          <w:rFonts w:ascii="Arial" w:eastAsia="Arial" w:hAnsi="Arial" w:cs="Arial"/>
          <w:highlight w:val="white"/>
        </w:rPr>
        <w:t>Franceschi</w:t>
      </w:r>
      <w:proofErr w:type="spellEnd"/>
      <w:r>
        <w:rPr>
          <w:rFonts w:ascii="Arial" w:eastAsia="Arial" w:hAnsi="Arial" w:cs="Arial"/>
          <w:highlight w:val="white"/>
        </w:rPr>
        <w:t xml:space="preserve"> M, Rodriguez-Castro KI, </w:t>
      </w:r>
      <w:proofErr w:type="spellStart"/>
      <w:r>
        <w:rPr>
          <w:rFonts w:ascii="Arial" w:eastAsia="Arial" w:hAnsi="Arial" w:cs="Arial"/>
          <w:highlight w:val="white"/>
        </w:rPr>
        <w:t>Franzoni</w:t>
      </w:r>
      <w:proofErr w:type="spellEnd"/>
      <w:r>
        <w:rPr>
          <w:rFonts w:ascii="Arial" w:eastAsia="Arial" w:hAnsi="Arial" w:cs="Arial"/>
          <w:highlight w:val="white"/>
        </w:rPr>
        <w:t xml:space="preserve"> L, </w:t>
      </w:r>
      <w:proofErr w:type="spellStart"/>
      <w:r>
        <w:rPr>
          <w:rFonts w:ascii="Arial" w:eastAsia="Arial" w:hAnsi="Arial" w:cs="Arial"/>
          <w:highlight w:val="white"/>
        </w:rPr>
        <w:t>Guglielmetti</w:t>
      </w:r>
      <w:proofErr w:type="spellEnd"/>
      <w:r>
        <w:rPr>
          <w:rFonts w:ascii="Arial" w:eastAsia="Arial" w:hAnsi="Arial" w:cs="Arial"/>
          <w:highlight w:val="white"/>
        </w:rPr>
        <w:t xml:space="preserve"> S, et   </w:t>
      </w:r>
    </w:p>
    <w:p w14:paraId="286943BE" w14:textId="77777777" w:rsidR="00615C51" w:rsidRDefault="008A0C9D">
      <w:pPr>
        <w:pBdr>
          <w:bottom w:val="none" w:sz="0" w:space="7" w:color="000000"/>
        </w:pBdr>
        <w:shd w:val="clear" w:color="auto" w:fill="FFFFFF"/>
        <w:spacing w:before="0" w:line="276" w:lineRule="auto"/>
        <w:ind w:left="0"/>
        <w:rPr>
          <w:rFonts w:ascii="Arial" w:eastAsia="Arial" w:hAnsi="Arial" w:cs="Arial"/>
          <w:highlight w:val="white"/>
        </w:rPr>
      </w:pPr>
      <w:r>
        <w:rPr>
          <w:rFonts w:ascii="Arial" w:eastAsia="Arial" w:hAnsi="Arial" w:cs="Arial"/>
          <w:highlight w:val="white"/>
        </w:rPr>
        <w:t xml:space="preserve">           al. Burning mouth syndrome and reflux disease: relationship and clinical implications. </w:t>
      </w:r>
    </w:p>
    <w:p w14:paraId="69589FE5" w14:textId="77777777" w:rsidR="00615C51" w:rsidRDefault="008A0C9D">
      <w:pPr>
        <w:pBdr>
          <w:bottom w:val="none" w:sz="0" w:space="7" w:color="000000"/>
        </w:pBdr>
        <w:shd w:val="clear" w:color="auto" w:fill="FFFFFF"/>
        <w:spacing w:before="0" w:line="276" w:lineRule="auto"/>
        <w:ind w:left="0"/>
        <w:rPr>
          <w:rFonts w:ascii="Arial" w:eastAsia="Arial" w:hAnsi="Arial" w:cs="Arial"/>
          <w:highlight w:val="white"/>
        </w:rPr>
      </w:pPr>
      <w:r>
        <w:rPr>
          <w:rFonts w:ascii="Arial" w:eastAsia="Arial" w:hAnsi="Arial" w:cs="Arial"/>
          <w:highlight w:val="white"/>
        </w:rPr>
        <w:lastRenderedPageBreak/>
        <w:t xml:space="preserve">           Acta Biomed 2022;</w:t>
      </w:r>
      <w:proofErr w:type="gramStart"/>
      <w:r>
        <w:rPr>
          <w:rFonts w:ascii="Arial" w:eastAsia="Arial" w:hAnsi="Arial" w:cs="Arial"/>
          <w:highlight w:val="white"/>
        </w:rPr>
        <w:t>93:e</w:t>
      </w:r>
      <w:proofErr w:type="gramEnd"/>
      <w:r>
        <w:rPr>
          <w:rFonts w:ascii="Arial" w:eastAsia="Arial" w:hAnsi="Arial" w:cs="Arial"/>
          <w:highlight w:val="white"/>
        </w:rPr>
        <w:t xml:space="preserve">2022329. </w:t>
      </w:r>
      <w:hyperlink r:id="rId18">
        <w:r>
          <w:rPr>
            <w:rFonts w:ascii="Arial" w:eastAsia="Arial" w:hAnsi="Arial" w:cs="Arial"/>
            <w:highlight w:val="white"/>
            <w:u w:val="single"/>
          </w:rPr>
          <w:t>https://doi.org/10.23750/abm.v93i6.13391</w:t>
        </w:r>
      </w:hyperlink>
      <w:r>
        <w:rPr>
          <w:rFonts w:ascii="Arial" w:eastAsia="Arial" w:hAnsi="Arial" w:cs="Arial"/>
          <w:highlight w:val="white"/>
        </w:rPr>
        <w:t>.</w:t>
      </w:r>
    </w:p>
    <w:p w14:paraId="07FB0629" w14:textId="77777777" w:rsidR="00615C51" w:rsidRDefault="00615C51">
      <w:pPr>
        <w:pBdr>
          <w:bottom w:val="none" w:sz="0" w:space="7" w:color="000000"/>
        </w:pBdr>
        <w:shd w:val="clear" w:color="auto" w:fill="FFFFFF"/>
        <w:spacing w:before="0" w:line="276" w:lineRule="auto"/>
        <w:ind w:left="0"/>
        <w:rPr>
          <w:rFonts w:ascii="Arial" w:eastAsia="Arial" w:hAnsi="Arial" w:cs="Arial"/>
          <w:highlight w:val="white"/>
        </w:rPr>
      </w:pPr>
    </w:p>
    <w:p w14:paraId="442810EF" w14:textId="77777777" w:rsidR="00615C51" w:rsidRDefault="008A0C9D">
      <w:pPr>
        <w:pBdr>
          <w:bottom w:val="none" w:sz="0" w:space="7" w:color="000000"/>
        </w:pBdr>
        <w:shd w:val="clear" w:color="auto" w:fill="FFFFFF"/>
        <w:spacing w:before="0" w:line="276" w:lineRule="auto"/>
        <w:ind w:left="0"/>
        <w:rPr>
          <w:rFonts w:ascii="Arial" w:eastAsia="Arial" w:hAnsi="Arial" w:cs="Arial"/>
          <w:highlight w:val="white"/>
        </w:rPr>
      </w:pPr>
      <w:r>
        <w:rPr>
          <w:rFonts w:ascii="Arial" w:eastAsia="Arial" w:hAnsi="Arial" w:cs="Arial"/>
          <w:highlight w:val="white"/>
        </w:rPr>
        <w:t xml:space="preserve">     12.  Tan HL, Smith JG, Hoffmann J, Renton T. A systematic review of treatment for </w:t>
      </w:r>
    </w:p>
    <w:p w14:paraId="501E89F3" w14:textId="77777777" w:rsidR="00615C51" w:rsidRDefault="008A0C9D">
      <w:pPr>
        <w:pBdr>
          <w:bottom w:val="none" w:sz="0" w:space="7" w:color="000000"/>
        </w:pBdr>
        <w:shd w:val="clear" w:color="auto" w:fill="FFFFFF"/>
        <w:spacing w:before="0" w:line="276" w:lineRule="auto"/>
        <w:ind w:left="0"/>
        <w:rPr>
          <w:rFonts w:ascii="Arial" w:eastAsia="Arial" w:hAnsi="Arial" w:cs="Arial"/>
          <w:highlight w:val="white"/>
        </w:rPr>
      </w:pPr>
      <w:r>
        <w:rPr>
          <w:rFonts w:ascii="Arial" w:eastAsia="Arial" w:hAnsi="Arial" w:cs="Arial"/>
          <w:highlight w:val="white"/>
        </w:rPr>
        <w:t xml:space="preserve">           patients with burning mouth syndrome. Cephalalgia </w:t>
      </w:r>
      <w:proofErr w:type="gramStart"/>
      <w:r>
        <w:rPr>
          <w:rFonts w:ascii="Arial" w:eastAsia="Arial" w:hAnsi="Arial" w:cs="Arial"/>
          <w:highlight w:val="white"/>
        </w:rPr>
        <w:t>2022;42:128</w:t>
      </w:r>
      <w:proofErr w:type="gramEnd"/>
      <w:r>
        <w:rPr>
          <w:rFonts w:ascii="Arial" w:eastAsia="Arial" w:hAnsi="Arial" w:cs="Arial"/>
          <w:highlight w:val="white"/>
        </w:rPr>
        <w:t xml:space="preserve">-61. </w:t>
      </w:r>
    </w:p>
    <w:p w14:paraId="3E9F030C" w14:textId="77777777" w:rsidR="00615C51" w:rsidRDefault="008A0C9D">
      <w:pPr>
        <w:pBdr>
          <w:bottom w:val="none" w:sz="0" w:space="7" w:color="000000"/>
        </w:pBdr>
        <w:shd w:val="clear" w:color="auto" w:fill="FFFFFF"/>
        <w:spacing w:before="0" w:line="276" w:lineRule="auto"/>
        <w:ind w:left="0"/>
        <w:rPr>
          <w:rFonts w:ascii="Arial" w:eastAsia="Arial" w:hAnsi="Arial" w:cs="Arial"/>
          <w:highlight w:val="white"/>
        </w:rPr>
      </w:pPr>
      <w:r>
        <w:rPr>
          <w:rFonts w:ascii="Arial" w:eastAsia="Arial" w:hAnsi="Arial" w:cs="Arial"/>
          <w:highlight w:val="white"/>
        </w:rPr>
        <w:t xml:space="preserve">           </w:t>
      </w:r>
      <w:hyperlink r:id="rId19">
        <w:r>
          <w:rPr>
            <w:rFonts w:ascii="Arial" w:eastAsia="Arial" w:hAnsi="Arial" w:cs="Arial"/>
            <w:highlight w:val="white"/>
            <w:u w:val="single"/>
          </w:rPr>
          <w:t>https://doi.org/10.1177/03331024211036152</w:t>
        </w:r>
      </w:hyperlink>
      <w:r>
        <w:rPr>
          <w:rFonts w:ascii="Arial" w:eastAsia="Arial" w:hAnsi="Arial" w:cs="Arial"/>
          <w:highlight w:val="white"/>
        </w:rPr>
        <w:t>.</w:t>
      </w:r>
    </w:p>
    <w:p w14:paraId="7544C00B" w14:textId="77777777" w:rsidR="00615C51" w:rsidRDefault="008A0C9D">
      <w:pPr>
        <w:pBdr>
          <w:bottom w:val="none" w:sz="0" w:space="7" w:color="000000"/>
        </w:pBdr>
        <w:shd w:val="clear" w:color="auto" w:fill="FFFFFF"/>
        <w:spacing w:before="0" w:line="276" w:lineRule="auto"/>
        <w:ind w:left="0"/>
        <w:rPr>
          <w:rFonts w:ascii="Arial" w:eastAsia="Arial" w:hAnsi="Arial" w:cs="Arial"/>
          <w:color w:val="333333"/>
          <w:sz w:val="18"/>
          <w:szCs w:val="18"/>
          <w:highlight w:val="white"/>
        </w:rPr>
      </w:pPr>
      <w:r>
        <w:rPr>
          <w:rFonts w:ascii="Arial" w:eastAsia="Arial" w:hAnsi="Arial" w:cs="Arial"/>
          <w:color w:val="333333"/>
          <w:highlight w:val="white"/>
        </w:rPr>
        <w:t xml:space="preserve">     </w:t>
      </w:r>
    </w:p>
    <w:p w14:paraId="69885A48" w14:textId="77777777" w:rsidR="00615C51" w:rsidRDefault="008A0C9D">
      <w:pPr>
        <w:pBdr>
          <w:bottom w:val="none" w:sz="0" w:space="7" w:color="000000"/>
        </w:pBdr>
        <w:shd w:val="clear" w:color="auto" w:fill="FFFFFF"/>
        <w:spacing w:before="0" w:line="276" w:lineRule="auto"/>
        <w:ind w:left="0"/>
        <w:rPr>
          <w:rFonts w:ascii="Arial" w:eastAsia="Arial" w:hAnsi="Arial" w:cs="Arial"/>
          <w:highlight w:val="white"/>
        </w:rPr>
      </w:pPr>
      <w:r>
        <w:rPr>
          <w:rFonts w:ascii="Arial" w:eastAsia="Arial" w:hAnsi="Arial" w:cs="Arial"/>
          <w:highlight w:val="white"/>
        </w:rPr>
        <w:t xml:space="preserve">     13. Wu S, Zhang W, Yan J, Noma N, Young A, Yan Z. Worldwide prevalence estimates of    </w:t>
      </w:r>
    </w:p>
    <w:p w14:paraId="2EFC78C3" w14:textId="77777777" w:rsidR="00615C51" w:rsidRDefault="008A0C9D">
      <w:pPr>
        <w:pBdr>
          <w:bottom w:val="none" w:sz="0" w:space="7" w:color="000000"/>
        </w:pBdr>
        <w:shd w:val="clear" w:color="auto" w:fill="FFFFFF"/>
        <w:spacing w:before="0" w:line="276" w:lineRule="auto"/>
        <w:ind w:left="0"/>
        <w:rPr>
          <w:rFonts w:ascii="Arial" w:eastAsia="Arial" w:hAnsi="Arial" w:cs="Arial"/>
          <w:highlight w:val="white"/>
        </w:rPr>
      </w:pPr>
      <w:r>
        <w:rPr>
          <w:rFonts w:ascii="Arial" w:eastAsia="Arial" w:hAnsi="Arial" w:cs="Arial"/>
          <w:highlight w:val="white"/>
        </w:rPr>
        <w:t xml:space="preserve">           burning mouth syndrome: A systematic review and meta-analysis.    </w:t>
      </w:r>
    </w:p>
    <w:p w14:paraId="26B1AD4E" w14:textId="77777777" w:rsidR="00615C51" w:rsidRDefault="008A0C9D">
      <w:pPr>
        <w:pBdr>
          <w:bottom w:val="none" w:sz="0" w:space="7" w:color="000000"/>
        </w:pBdr>
        <w:shd w:val="clear" w:color="auto" w:fill="FFFFFF"/>
        <w:spacing w:before="0" w:line="276" w:lineRule="auto"/>
        <w:ind w:left="0"/>
        <w:rPr>
          <w:rFonts w:ascii="Arial" w:eastAsia="Arial" w:hAnsi="Arial" w:cs="Arial"/>
          <w:highlight w:val="white"/>
        </w:rPr>
      </w:pPr>
      <w:r>
        <w:rPr>
          <w:rFonts w:ascii="Arial" w:eastAsia="Arial" w:hAnsi="Arial" w:cs="Arial"/>
          <w:highlight w:val="white"/>
        </w:rPr>
        <w:t xml:space="preserve">           OralDis.2022;28:1431–40. [DOI] [PubMed]</w:t>
      </w:r>
    </w:p>
    <w:p w14:paraId="0952425C" w14:textId="77777777" w:rsidR="00615C51" w:rsidRDefault="00615C51">
      <w:pPr>
        <w:pBdr>
          <w:bottom w:val="none" w:sz="0" w:space="7" w:color="000000"/>
        </w:pBdr>
        <w:shd w:val="clear" w:color="auto" w:fill="FFFFFF"/>
        <w:spacing w:before="0" w:line="276" w:lineRule="auto"/>
        <w:ind w:left="0"/>
        <w:rPr>
          <w:rFonts w:ascii="Arial" w:eastAsia="Arial" w:hAnsi="Arial" w:cs="Arial"/>
          <w:highlight w:val="white"/>
        </w:rPr>
      </w:pPr>
    </w:p>
    <w:p w14:paraId="33C87FAA" w14:textId="77777777" w:rsidR="00615C51" w:rsidRDefault="008A0C9D">
      <w:pPr>
        <w:pBdr>
          <w:bottom w:val="none" w:sz="0" w:space="7" w:color="000000"/>
        </w:pBdr>
        <w:shd w:val="clear" w:color="auto" w:fill="FFFFFF"/>
        <w:spacing w:before="0" w:line="276" w:lineRule="auto"/>
        <w:ind w:left="0"/>
        <w:rPr>
          <w:rFonts w:ascii="Arial" w:eastAsia="Arial" w:hAnsi="Arial" w:cs="Arial"/>
          <w:highlight w:val="white"/>
        </w:rPr>
      </w:pPr>
      <w:r>
        <w:rPr>
          <w:rFonts w:ascii="Arial" w:eastAsia="Arial" w:hAnsi="Arial" w:cs="Arial"/>
          <w:highlight w:val="white"/>
        </w:rPr>
        <w:t xml:space="preserve">     14.The Orofacial Pain Classification Committee. International Classification of Orofacial </w:t>
      </w:r>
    </w:p>
    <w:p w14:paraId="2DD67819" w14:textId="77777777" w:rsidR="00615C51" w:rsidRDefault="008A0C9D">
      <w:pPr>
        <w:pBdr>
          <w:bottom w:val="none" w:sz="0" w:space="7" w:color="000000"/>
        </w:pBdr>
        <w:shd w:val="clear" w:color="auto" w:fill="FFFFFF"/>
        <w:spacing w:before="0" w:line="276" w:lineRule="auto"/>
        <w:ind w:left="0"/>
        <w:rPr>
          <w:rFonts w:ascii="Arial" w:eastAsia="Arial" w:hAnsi="Arial" w:cs="Arial"/>
          <w:highlight w:val="white"/>
        </w:rPr>
      </w:pPr>
      <w:r>
        <w:rPr>
          <w:rFonts w:ascii="Arial" w:eastAsia="Arial" w:hAnsi="Arial" w:cs="Arial"/>
          <w:highlight w:val="white"/>
        </w:rPr>
        <w:t xml:space="preserve">          Pain, 1st </w:t>
      </w:r>
      <w:proofErr w:type="gramStart"/>
      <w:r>
        <w:rPr>
          <w:rFonts w:ascii="Arial" w:eastAsia="Arial" w:hAnsi="Arial" w:cs="Arial"/>
          <w:highlight w:val="white"/>
        </w:rPr>
        <w:t>edition(</w:t>
      </w:r>
      <w:proofErr w:type="gramEnd"/>
      <w:r>
        <w:rPr>
          <w:rFonts w:ascii="Arial" w:eastAsia="Arial" w:hAnsi="Arial" w:cs="Arial"/>
          <w:highlight w:val="white"/>
        </w:rPr>
        <w:t xml:space="preserve">ICOP). Cephalalgia. </w:t>
      </w:r>
      <w:proofErr w:type="gramStart"/>
      <w:r>
        <w:rPr>
          <w:rFonts w:ascii="Arial" w:eastAsia="Arial" w:hAnsi="Arial" w:cs="Arial"/>
          <w:highlight w:val="white"/>
        </w:rPr>
        <w:t>2020;40:129</w:t>
      </w:r>
      <w:proofErr w:type="gramEnd"/>
      <w:r>
        <w:rPr>
          <w:rFonts w:ascii="Arial" w:eastAsia="Arial" w:hAnsi="Arial" w:cs="Arial"/>
          <w:highlight w:val="white"/>
        </w:rPr>
        <w:t>–221. [DOI] [PubMed]</w:t>
      </w:r>
    </w:p>
    <w:p w14:paraId="17CA1AAC" w14:textId="77777777" w:rsidR="00615C51" w:rsidRDefault="00615C51">
      <w:pPr>
        <w:pBdr>
          <w:bottom w:val="none" w:sz="0" w:space="7" w:color="000000"/>
        </w:pBdr>
        <w:shd w:val="clear" w:color="auto" w:fill="FFFFFF"/>
        <w:spacing w:before="0" w:line="276" w:lineRule="auto"/>
        <w:ind w:left="0"/>
        <w:rPr>
          <w:rFonts w:ascii="Arial" w:eastAsia="Arial" w:hAnsi="Arial" w:cs="Arial"/>
          <w:highlight w:val="white"/>
        </w:rPr>
      </w:pPr>
    </w:p>
    <w:p w14:paraId="3F6DE5D1" w14:textId="77777777" w:rsidR="00615C51" w:rsidRDefault="008A0C9D">
      <w:pPr>
        <w:pBdr>
          <w:bottom w:val="none" w:sz="0" w:space="7" w:color="000000"/>
        </w:pBdr>
        <w:shd w:val="clear" w:color="auto" w:fill="FFFFFF"/>
        <w:spacing w:before="0" w:line="276" w:lineRule="auto"/>
        <w:ind w:left="0"/>
        <w:rPr>
          <w:rFonts w:ascii="Arial" w:eastAsia="Arial" w:hAnsi="Arial" w:cs="Arial"/>
          <w:highlight w:val="white"/>
        </w:rPr>
      </w:pPr>
      <w:r>
        <w:rPr>
          <w:rFonts w:ascii="Arial" w:eastAsia="Arial" w:hAnsi="Arial" w:cs="Arial"/>
          <w:highlight w:val="white"/>
        </w:rPr>
        <w:t xml:space="preserve">    </w:t>
      </w:r>
      <w:r>
        <w:rPr>
          <w:rFonts w:ascii="Arial" w:eastAsia="Arial" w:hAnsi="Arial" w:cs="Arial"/>
          <w:sz w:val="26"/>
          <w:szCs w:val="26"/>
          <w:highlight w:val="white"/>
        </w:rPr>
        <w:t xml:space="preserve"> </w:t>
      </w:r>
      <w:r>
        <w:rPr>
          <w:rFonts w:ascii="Arial" w:eastAsia="Arial" w:hAnsi="Arial" w:cs="Arial"/>
          <w:highlight w:val="white"/>
        </w:rPr>
        <w:t xml:space="preserve">15. Ritchie A, Kramer JM. Recent advances in the etiology and treatment of Burning </w:t>
      </w:r>
    </w:p>
    <w:p w14:paraId="761658A4" w14:textId="77777777" w:rsidR="00615C51" w:rsidRDefault="008A0C9D">
      <w:pPr>
        <w:pBdr>
          <w:bottom w:val="none" w:sz="0" w:space="7" w:color="000000"/>
        </w:pBdr>
        <w:shd w:val="clear" w:color="auto" w:fill="FFFFFF"/>
        <w:spacing w:before="0" w:line="276" w:lineRule="auto"/>
        <w:ind w:left="0"/>
        <w:rPr>
          <w:rFonts w:ascii="Arial" w:eastAsia="Arial" w:hAnsi="Arial" w:cs="Arial"/>
          <w:highlight w:val="white"/>
        </w:rPr>
      </w:pPr>
      <w:r>
        <w:rPr>
          <w:rFonts w:ascii="Arial" w:eastAsia="Arial" w:hAnsi="Arial" w:cs="Arial"/>
          <w:highlight w:val="white"/>
        </w:rPr>
        <w:t xml:space="preserve">          Mouth Syndrome.  J Dent Res 2018;97(11):1193–9.</w:t>
      </w:r>
    </w:p>
    <w:p w14:paraId="525383FD" w14:textId="77777777" w:rsidR="00615C51" w:rsidRDefault="00615C51">
      <w:pPr>
        <w:pBdr>
          <w:bottom w:val="none" w:sz="0" w:space="7" w:color="000000"/>
        </w:pBdr>
        <w:shd w:val="clear" w:color="auto" w:fill="FFFFFF"/>
        <w:spacing w:before="0" w:line="276" w:lineRule="auto"/>
        <w:ind w:left="0"/>
        <w:rPr>
          <w:rFonts w:ascii="Arial" w:eastAsia="Arial" w:hAnsi="Arial" w:cs="Arial"/>
          <w:highlight w:val="white"/>
        </w:rPr>
      </w:pPr>
    </w:p>
    <w:p w14:paraId="68FB56DA" w14:textId="77777777" w:rsidR="00615C51" w:rsidRDefault="008A0C9D">
      <w:pPr>
        <w:pBdr>
          <w:bottom w:val="none" w:sz="0" w:space="7" w:color="000000"/>
        </w:pBdr>
        <w:shd w:val="clear" w:color="auto" w:fill="FFFFFF"/>
        <w:spacing w:before="0" w:line="276" w:lineRule="auto"/>
        <w:ind w:left="0"/>
        <w:rPr>
          <w:rFonts w:ascii="Arial" w:eastAsia="Arial" w:hAnsi="Arial" w:cs="Arial"/>
          <w:i/>
          <w:highlight w:val="white"/>
        </w:rPr>
      </w:pPr>
      <w:r>
        <w:rPr>
          <w:rFonts w:ascii="Arial" w:eastAsia="Arial" w:hAnsi="Arial" w:cs="Arial"/>
          <w:highlight w:val="white"/>
        </w:rPr>
        <w:t xml:space="preserve">     16.IZ </w:t>
      </w:r>
      <w:proofErr w:type="spellStart"/>
      <w:r>
        <w:rPr>
          <w:rFonts w:ascii="Arial" w:eastAsia="Arial" w:hAnsi="Arial" w:cs="Arial"/>
          <w:highlight w:val="white"/>
        </w:rPr>
        <w:t>Alajbeg</w:t>
      </w:r>
      <w:proofErr w:type="spellEnd"/>
      <w:r>
        <w:rPr>
          <w:rFonts w:ascii="Arial" w:eastAsia="Arial" w:hAnsi="Arial" w:cs="Arial"/>
          <w:highlight w:val="white"/>
        </w:rPr>
        <w:t xml:space="preserve">, E </w:t>
      </w:r>
      <w:proofErr w:type="spellStart"/>
      <w:r>
        <w:rPr>
          <w:rFonts w:ascii="Arial" w:eastAsia="Arial" w:hAnsi="Arial" w:cs="Arial"/>
          <w:highlight w:val="white"/>
        </w:rPr>
        <w:t>Vrbanovic</w:t>
      </w:r>
      <w:proofErr w:type="spellEnd"/>
      <w:r>
        <w:rPr>
          <w:rFonts w:ascii="Arial" w:eastAsia="Arial" w:hAnsi="Arial" w:cs="Arial"/>
          <w:highlight w:val="white"/>
        </w:rPr>
        <w:t xml:space="preserve">, I </w:t>
      </w:r>
      <w:proofErr w:type="spellStart"/>
      <w:r>
        <w:rPr>
          <w:rFonts w:ascii="Arial" w:eastAsia="Arial" w:hAnsi="Arial" w:cs="Arial"/>
          <w:highlight w:val="white"/>
        </w:rPr>
        <w:t>Alajbeg</w:t>
      </w:r>
      <w:proofErr w:type="spellEnd"/>
      <w:r>
        <w:rPr>
          <w:rFonts w:ascii="Arial" w:eastAsia="Arial" w:hAnsi="Arial" w:cs="Arial"/>
          <w:highlight w:val="white"/>
        </w:rPr>
        <w:t xml:space="preserve">, </w:t>
      </w:r>
      <w:r>
        <w:rPr>
          <w:rFonts w:ascii="Arial" w:eastAsia="Arial" w:hAnsi="Arial" w:cs="Arial"/>
          <w:i/>
          <w:highlight w:val="white"/>
        </w:rPr>
        <w:t>et al.</w:t>
      </w:r>
    </w:p>
    <w:p w14:paraId="0D3FD026" w14:textId="77777777" w:rsidR="00615C51" w:rsidRDefault="008A0C9D">
      <w:pPr>
        <w:shd w:val="clear" w:color="auto" w:fill="FFFFFF"/>
        <w:spacing w:before="0" w:line="373" w:lineRule="auto"/>
        <w:ind w:left="0"/>
        <w:rPr>
          <w:rFonts w:ascii="Arial" w:eastAsia="Arial" w:hAnsi="Arial" w:cs="Arial"/>
          <w:highlight w:val="white"/>
        </w:rPr>
      </w:pPr>
      <w:r>
        <w:rPr>
          <w:rFonts w:ascii="Arial" w:eastAsia="Arial" w:hAnsi="Arial" w:cs="Arial"/>
          <w:highlight w:val="white"/>
        </w:rPr>
        <w:t xml:space="preserve">         Time-course of pain and salivary opiorphin release in response to oral capsaicin differ     </w:t>
      </w:r>
    </w:p>
    <w:p w14:paraId="64210B4F" w14:textId="77777777" w:rsidR="00615C51" w:rsidRDefault="008A0C9D">
      <w:pPr>
        <w:shd w:val="clear" w:color="auto" w:fill="FFFFFF"/>
        <w:spacing w:before="0" w:line="373" w:lineRule="auto"/>
        <w:ind w:left="0"/>
        <w:rPr>
          <w:rFonts w:ascii="Arial" w:eastAsia="Arial" w:hAnsi="Arial" w:cs="Arial"/>
          <w:highlight w:val="white"/>
        </w:rPr>
      </w:pPr>
      <w:r>
        <w:rPr>
          <w:rFonts w:ascii="Arial" w:eastAsia="Arial" w:hAnsi="Arial" w:cs="Arial"/>
          <w:highlight w:val="white"/>
        </w:rPr>
        <w:t xml:space="preserve">         in burning mouth syndrome patients, temporomandibular disorders patients and                  </w:t>
      </w:r>
    </w:p>
    <w:p w14:paraId="62BBB6CE" w14:textId="77777777" w:rsidR="00615C51" w:rsidRDefault="008A0C9D">
      <w:pPr>
        <w:shd w:val="clear" w:color="auto" w:fill="FFFFFF"/>
        <w:spacing w:before="0" w:line="373" w:lineRule="auto"/>
        <w:ind w:left="0"/>
        <w:rPr>
          <w:rFonts w:ascii="Arial" w:eastAsia="Arial" w:hAnsi="Arial" w:cs="Arial"/>
          <w:highlight w:val="white"/>
        </w:rPr>
      </w:pPr>
      <w:r>
        <w:rPr>
          <w:rFonts w:ascii="Arial" w:eastAsia="Arial" w:hAnsi="Arial" w:cs="Arial"/>
          <w:highlight w:val="white"/>
        </w:rPr>
        <w:t xml:space="preserve">         </w:t>
      </w:r>
      <w:proofErr w:type="gramStart"/>
      <w:r>
        <w:rPr>
          <w:rFonts w:ascii="Arial" w:eastAsia="Arial" w:hAnsi="Arial" w:cs="Arial"/>
          <w:highlight w:val="white"/>
        </w:rPr>
        <w:t>control  subjects</w:t>
      </w:r>
      <w:proofErr w:type="gramEnd"/>
      <w:r>
        <w:rPr>
          <w:rFonts w:ascii="Arial" w:eastAsia="Arial" w:hAnsi="Arial" w:cs="Arial"/>
          <w:highlight w:val="white"/>
        </w:rPr>
        <w:t xml:space="preserve"> Clin Oral </w:t>
      </w:r>
      <w:proofErr w:type="spellStart"/>
      <w:r>
        <w:rPr>
          <w:rFonts w:ascii="Arial" w:eastAsia="Arial" w:hAnsi="Arial" w:cs="Arial"/>
          <w:highlight w:val="white"/>
        </w:rPr>
        <w:t>Investig</w:t>
      </w:r>
      <w:proofErr w:type="spellEnd"/>
      <w:r>
        <w:rPr>
          <w:rFonts w:ascii="Arial" w:eastAsia="Arial" w:hAnsi="Arial" w:cs="Arial"/>
          <w:highlight w:val="white"/>
        </w:rPr>
        <w:t>,</w:t>
      </w:r>
    </w:p>
    <w:p w14:paraId="5660E642" w14:textId="77777777" w:rsidR="00615C51" w:rsidRDefault="008A0C9D">
      <w:pPr>
        <w:shd w:val="clear" w:color="auto" w:fill="FFFFFF"/>
        <w:spacing w:before="0" w:line="373" w:lineRule="auto"/>
        <w:ind w:left="0"/>
        <w:rPr>
          <w:rFonts w:ascii="Arial" w:eastAsia="Arial" w:hAnsi="Arial" w:cs="Arial"/>
          <w:highlight w:val="white"/>
        </w:rPr>
      </w:pPr>
      <w:r>
        <w:rPr>
          <w:rFonts w:ascii="Arial" w:eastAsia="Arial" w:hAnsi="Arial" w:cs="Arial"/>
          <w:highlight w:val="white"/>
        </w:rPr>
        <w:t xml:space="preserve">         28 (2024), p. 246,</w:t>
      </w:r>
      <w:hyperlink r:id="rId20">
        <w:r>
          <w:rPr>
            <w:rFonts w:ascii="Arial" w:eastAsia="Arial" w:hAnsi="Arial" w:cs="Arial"/>
            <w:highlight w:val="white"/>
          </w:rPr>
          <w:t>10.1007/s00784-024-05653-y</w:t>
        </w:r>
      </w:hyperlink>
      <w:r>
        <w:rPr>
          <w:rFonts w:ascii="Arial" w:eastAsia="Arial" w:hAnsi="Arial" w:cs="Arial"/>
          <w:highlight w:val="white"/>
        </w:rPr>
        <w:t>2024/04/09</w:t>
      </w:r>
    </w:p>
    <w:p w14:paraId="5E6E619E" w14:textId="77777777" w:rsidR="00615C51" w:rsidRDefault="00615C51">
      <w:pPr>
        <w:shd w:val="clear" w:color="auto" w:fill="FFFFFF"/>
        <w:spacing w:before="0" w:line="373" w:lineRule="auto"/>
        <w:ind w:left="0"/>
        <w:rPr>
          <w:rFonts w:ascii="Arial" w:eastAsia="Arial" w:hAnsi="Arial" w:cs="Arial"/>
          <w:highlight w:val="white"/>
        </w:rPr>
      </w:pPr>
    </w:p>
    <w:p w14:paraId="4BA3DCF7" w14:textId="77777777" w:rsidR="00615C51" w:rsidRDefault="008A0C9D">
      <w:pPr>
        <w:shd w:val="clear" w:color="auto" w:fill="FFFFFF"/>
        <w:spacing w:before="0" w:line="373" w:lineRule="auto"/>
        <w:ind w:left="0"/>
        <w:rPr>
          <w:rFonts w:ascii="Arial" w:eastAsia="Arial" w:hAnsi="Arial" w:cs="Arial"/>
          <w:i/>
          <w:highlight w:val="white"/>
        </w:rPr>
      </w:pPr>
      <w:r>
        <w:rPr>
          <w:rFonts w:ascii="Arial" w:eastAsia="Arial" w:hAnsi="Arial" w:cs="Arial"/>
          <w:highlight w:val="white"/>
        </w:rPr>
        <w:t xml:space="preserve">     17.M Fang, Y Huang, C Li, </w:t>
      </w:r>
      <w:r>
        <w:rPr>
          <w:rFonts w:ascii="Arial" w:eastAsia="Arial" w:hAnsi="Arial" w:cs="Arial"/>
          <w:i/>
          <w:highlight w:val="white"/>
        </w:rPr>
        <w:t>et al.</w:t>
      </w:r>
    </w:p>
    <w:p w14:paraId="6860BF27" w14:textId="77777777" w:rsidR="00615C51" w:rsidRDefault="008A0C9D">
      <w:pPr>
        <w:shd w:val="clear" w:color="auto" w:fill="FFFFFF"/>
        <w:spacing w:before="0" w:line="373" w:lineRule="auto"/>
        <w:ind w:left="0"/>
        <w:rPr>
          <w:rFonts w:ascii="Arial" w:eastAsia="Arial" w:hAnsi="Arial" w:cs="Arial"/>
          <w:highlight w:val="white"/>
        </w:rPr>
      </w:pPr>
      <w:r>
        <w:rPr>
          <w:rFonts w:ascii="Arial" w:eastAsia="Arial" w:hAnsi="Arial" w:cs="Arial"/>
          <w:highlight w:val="white"/>
        </w:rPr>
        <w:t xml:space="preserve">        The over-expression of miRNA-206 in peripheral blood of patients with burning mouth     </w:t>
      </w:r>
    </w:p>
    <w:p w14:paraId="629229AF" w14:textId="77777777" w:rsidR="00615C51" w:rsidRDefault="008A0C9D">
      <w:pPr>
        <w:shd w:val="clear" w:color="auto" w:fill="FFFFFF"/>
        <w:spacing w:before="0" w:line="373" w:lineRule="auto"/>
        <w:ind w:left="0"/>
        <w:rPr>
          <w:rFonts w:ascii="Arial" w:eastAsia="Arial" w:hAnsi="Arial" w:cs="Arial"/>
          <w:highlight w:val="white"/>
        </w:rPr>
      </w:pPr>
      <w:r>
        <w:rPr>
          <w:rFonts w:ascii="Arial" w:eastAsia="Arial" w:hAnsi="Arial" w:cs="Arial"/>
          <w:highlight w:val="white"/>
        </w:rPr>
        <w:t xml:space="preserve">        syndrome and its relationship with anxiety and depression J Oral Rehabilitation, </w:t>
      </w:r>
    </w:p>
    <w:p w14:paraId="1C561BB5" w14:textId="77777777" w:rsidR="00615C51" w:rsidRDefault="008A0C9D">
      <w:pPr>
        <w:shd w:val="clear" w:color="auto" w:fill="FFFFFF"/>
        <w:spacing w:before="0" w:line="373" w:lineRule="auto"/>
        <w:ind w:left="0"/>
        <w:rPr>
          <w:rFonts w:ascii="Arial" w:eastAsia="Arial" w:hAnsi="Arial" w:cs="Arial"/>
          <w:highlight w:val="white"/>
        </w:rPr>
      </w:pPr>
      <w:r>
        <w:rPr>
          <w:rFonts w:ascii="Arial" w:eastAsia="Arial" w:hAnsi="Arial" w:cs="Arial"/>
          <w:highlight w:val="white"/>
        </w:rPr>
        <w:t xml:space="preserve">        50 (2023), pp. 324-331, </w:t>
      </w:r>
      <w:hyperlink r:id="rId21">
        <w:r>
          <w:rPr>
            <w:rFonts w:ascii="Arial" w:eastAsia="Arial" w:hAnsi="Arial" w:cs="Arial"/>
            <w:highlight w:val="white"/>
          </w:rPr>
          <w:t>10.1111/joor.1340</w:t>
        </w:r>
      </w:hyperlink>
      <w:r>
        <w:rPr>
          <w:rFonts w:ascii="Arial" w:eastAsia="Arial" w:hAnsi="Arial" w:cs="Arial"/>
          <w:highlight w:val="white"/>
        </w:rPr>
        <w:t xml:space="preserve"> 2022/12/29</w:t>
      </w:r>
    </w:p>
    <w:p w14:paraId="2E71AF45" w14:textId="77777777" w:rsidR="00615C51" w:rsidRDefault="008A0C9D">
      <w:pPr>
        <w:shd w:val="clear" w:color="auto" w:fill="FFFFFF"/>
        <w:spacing w:before="0" w:line="373" w:lineRule="auto"/>
        <w:ind w:left="0"/>
        <w:rPr>
          <w:rFonts w:ascii="Arial" w:eastAsia="Arial" w:hAnsi="Arial" w:cs="Arial"/>
          <w:highlight w:val="white"/>
        </w:rPr>
      </w:pPr>
      <w:r>
        <w:rPr>
          <w:rFonts w:ascii="Arial" w:eastAsia="Arial" w:hAnsi="Arial" w:cs="Arial"/>
          <w:highlight w:val="white"/>
        </w:rPr>
        <w:t xml:space="preserve">    </w:t>
      </w:r>
    </w:p>
    <w:p w14:paraId="5A5DAC9A" w14:textId="77777777" w:rsidR="00615C51" w:rsidRDefault="008A0C9D">
      <w:pPr>
        <w:shd w:val="clear" w:color="auto" w:fill="FFFFFF"/>
        <w:spacing w:before="0" w:line="373" w:lineRule="auto"/>
        <w:ind w:left="0"/>
        <w:rPr>
          <w:rFonts w:ascii="Arial" w:eastAsia="Arial" w:hAnsi="Arial" w:cs="Arial"/>
        </w:rPr>
      </w:pPr>
      <w:r>
        <w:rPr>
          <w:rFonts w:ascii="Arial" w:eastAsia="Arial" w:hAnsi="Arial" w:cs="Arial"/>
          <w:highlight w:val="white"/>
        </w:rPr>
        <w:t xml:space="preserve">    18.</w:t>
      </w:r>
      <w:r>
        <w:rPr>
          <w:rFonts w:ascii="Arial" w:eastAsia="Arial" w:hAnsi="Arial" w:cs="Arial"/>
        </w:rPr>
        <w:t xml:space="preserve">Zakrzewska JM. Burning mouth syndrome. </w:t>
      </w:r>
      <w:r>
        <w:rPr>
          <w:rFonts w:ascii="Arial" w:eastAsia="Arial" w:hAnsi="Arial" w:cs="Arial"/>
          <w:i/>
        </w:rPr>
        <w:t xml:space="preserve">BMJ Clin </w:t>
      </w:r>
      <w:proofErr w:type="spellStart"/>
      <w:r>
        <w:rPr>
          <w:rFonts w:ascii="Arial" w:eastAsia="Arial" w:hAnsi="Arial" w:cs="Arial"/>
          <w:i/>
        </w:rPr>
        <w:t>Evid</w:t>
      </w:r>
      <w:proofErr w:type="spellEnd"/>
      <w:r>
        <w:rPr>
          <w:rFonts w:ascii="Arial" w:eastAsia="Arial" w:hAnsi="Arial" w:cs="Arial"/>
          <w:i/>
        </w:rPr>
        <w:t>.</w:t>
      </w:r>
      <w:r>
        <w:rPr>
          <w:rFonts w:ascii="Arial" w:eastAsia="Arial" w:hAnsi="Arial" w:cs="Arial"/>
        </w:rPr>
        <w:t xml:space="preserve"> </w:t>
      </w:r>
      <w:proofErr w:type="gramStart"/>
      <w:r>
        <w:rPr>
          <w:rFonts w:ascii="Arial" w:eastAsia="Arial" w:hAnsi="Arial" w:cs="Arial"/>
        </w:rPr>
        <w:t>2013;2013:1301</w:t>
      </w:r>
      <w:proofErr w:type="gramEnd"/>
      <w:r>
        <w:rPr>
          <w:rFonts w:ascii="Arial" w:eastAsia="Arial" w:hAnsi="Arial" w:cs="Arial"/>
        </w:rPr>
        <w:t xml:space="preserve">. [PMCID:    </w:t>
      </w:r>
    </w:p>
    <w:p w14:paraId="56B3752C" w14:textId="77777777" w:rsidR="00615C51" w:rsidRDefault="008A0C9D">
      <w:pPr>
        <w:shd w:val="clear" w:color="auto" w:fill="FFFFFF"/>
        <w:spacing w:before="0" w:line="373" w:lineRule="auto"/>
        <w:ind w:left="0"/>
        <w:rPr>
          <w:rFonts w:ascii="Arial" w:eastAsia="Arial" w:hAnsi="Arial" w:cs="Arial"/>
        </w:rPr>
      </w:pPr>
      <w:r>
        <w:rPr>
          <w:rFonts w:ascii="Arial" w:eastAsia="Arial" w:hAnsi="Arial" w:cs="Arial"/>
        </w:rPr>
        <w:t xml:space="preserve">         PMC3574592]  </w:t>
      </w:r>
    </w:p>
    <w:p w14:paraId="3DA30209" w14:textId="77777777" w:rsidR="00615C51" w:rsidRDefault="00615C51">
      <w:pPr>
        <w:shd w:val="clear" w:color="auto" w:fill="FFFFFF"/>
        <w:spacing w:before="0" w:line="373" w:lineRule="auto"/>
        <w:ind w:left="0"/>
        <w:rPr>
          <w:rFonts w:ascii="Arial" w:eastAsia="Arial" w:hAnsi="Arial" w:cs="Arial"/>
        </w:rPr>
      </w:pPr>
    </w:p>
    <w:p w14:paraId="3191E012" w14:textId="77777777" w:rsidR="00615C51" w:rsidRDefault="008A0C9D">
      <w:pPr>
        <w:shd w:val="clear" w:color="auto" w:fill="FFFFFF"/>
        <w:spacing w:before="0" w:line="373" w:lineRule="auto"/>
        <w:ind w:left="0"/>
        <w:rPr>
          <w:rFonts w:ascii="Arial" w:eastAsia="Arial" w:hAnsi="Arial" w:cs="Arial"/>
          <w:i/>
        </w:rPr>
      </w:pPr>
      <w:r>
        <w:rPr>
          <w:rFonts w:ascii="Arial" w:eastAsia="Arial" w:hAnsi="Arial" w:cs="Arial"/>
        </w:rPr>
        <w:t xml:space="preserve">    19.Jääskeläinen SK. Pathophysiology of primary burning mouth syndrome. </w:t>
      </w:r>
      <w:r>
        <w:rPr>
          <w:rFonts w:ascii="Arial" w:eastAsia="Arial" w:hAnsi="Arial" w:cs="Arial"/>
          <w:i/>
        </w:rPr>
        <w:t xml:space="preserve">Clin </w:t>
      </w:r>
    </w:p>
    <w:p w14:paraId="444DF359" w14:textId="77777777" w:rsidR="00615C51" w:rsidRDefault="008A0C9D">
      <w:pPr>
        <w:shd w:val="clear" w:color="auto" w:fill="FFFFFF"/>
        <w:spacing w:before="0" w:line="373" w:lineRule="auto"/>
        <w:ind w:left="0"/>
        <w:rPr>
          <w:rFonts w:ascii="Arial" w:eastAsia="Arial" w:hAnsi="Arial" w:cs="Arial"/>
        </w:rPr>
      </w:pPr>
      <w:r>
        <w:rPr>
          <w:rFonts w:ascii="Arial" w:eastAsia="Arial" w:hAnsi="Arial" w:cs="Arial"/>
          <w:i/>
        </w:rPr>
        <w:t xml:space="preserve">        </w:t>
      </w:r>
      <w:proofErr w:type="spellStart"/>
      <w:r>
        <w:rPr>
          <w:rFonts w:ascii="Arial" w:eastAsia="Arial" w:hAnsi="Arial" w:cs="Arial"/>
          <w:i/>
        </w:rPr>
        <w:t>Neurophysiol</w:t>
      </w:r>
      <w:proofErr w:type="spellEnd"/>
      <w:r>
        <w:rPr>
          <w:rFonts w:ascii="Arial" w:eastAsia="Arial" w:hAnsi="Arial" w:cs="Arial"/>
          <w:i/>
        </w:rPr>
        <w:t>.</w:t>
      </w:r>
      <w:r>
        <w:rPr>
          <w:rFonts w:ascii="Arial" w:eastAsia="Arial" w:hAnsi="Arial" w:cs="Arial"/>
        </w:rPr>
        <w:t xml:space="preserve"> 2012;123(1):71-77. </w:t>
      </w:r>
      <w:proofErr w:type="gramStart"/>
      <w:r>
        <w:rPr>
          <w:rFonts w:ascii="Arial" w:eastAsia="Arial" w:hAnsi="Arial" w:cs="Arial"/>
        </w:rPr>
        <w:t>doi:10.1016/j.clinph</w:t>
      </w:r>
      <w:proofErr w:type="gramEnd"/>
      <w:r>
        <w:rPr>
          <w:rFonts w:ascii="Arial" w:eastAsia="Arial" w:hAnsi="Arial" w:cs="Arial"/>
        </w:rPr>
        <w:t>.2011.04.016</w:t>
      </w:r>
      <w:r>
        <w:rPr>
          <w:rFonts w:ascii="Arial" w:eastAsia="Arial" w:hAnsi="Arial" w:cs="Arial"/>
        </w:rPr>
        <w:br/>
      </w:r>
    </w:p>
    <w:p w14:paraId="7D7D6AE1" w14:textId="77777777" w:rsidR="00615C51" w:rsidRDefault="00615C51">
      <w:pPr>
        <w:shd w:val="clear" w:color="auto" w:fill="FFFFFF"/>
        <w:spacing w:before="0" w:line="373" w:lineRule="auto"/>
        <w:ind w:left="0"/>
        <w:rPr>
          <w:rFonts w:ascii="Arial" w:eastAsia="Arial" w:hAnsi="Arial" w:cs="Arial"/>
        </w:rPr>
      </w:pPr>
    </w:p>
    <w:p w14:paraId="4F7A39DD" w14:textId="77777777" w:rsidR="00615C51" w:rsidRDefault="00615C51">
      <w:pPr>
        <w:shd w:val="clear" w:color="auto" w:fill="FFFFFF"/>
        <w:spacing w:before="0" w:line="373" w:lineRule="auto"/>
        <w:ind w:left="0"/>
        <w:rPr>
          <w:rFonts w:ascii="Arial" w:eastAsia="Arial" w:hAnsi="Arial" w:cs="Arial"/>
        </w:rPr>
      </w:pPr>
    </w:p>
    <w:p w14:paraId="1F0AC481" w14:textId="77777777" w:rsidR="00615C51" w:rsidRDefault="008A0C9D">
      <w:pPr>
        <w:shd w:val="clear" w:color="auto" w:fill="FFFFFF"/>
        <w:spacing w:before="0" w:line="373" w:lineRule="auto"/>
        <w:ind w:left="0"/>
        <w:rPr>
          <w:rFonts w:ascii="Arial" w:eastAsia="Arial" w:hAnsi="Arial" w:cs="Arial"/>
          <w:highlight w:val="white"/>
        </w:rPr>
      </w:pPr>
      <w:r>
        <w:rPr>
          <w:rFonts w:ascii="Arial" w:eastAsia="Arial" w:hAnsi="Arial" w:cs="Arial"/>
        </w:rPr>
        <w:lastRenderedPageBreak/>
        <w:br/>
      </w:r>
    </w:p>
    <w:p w14:paraId="7B214DF2" w14:textId="77777777" w:rsidR="00615C51" w:rsidRDefault="00615C51">
      <w:pPr>
        <w:shd w:val="clear" w:color="auto" w:fill="FFFFFF"/>
        <w:spacing w:before="220" w:line="276" w:lineRule="auto"/>
        <w:ind w:left="0"/>
        <w:rPr>
          <w:rFonts w:ascii="Arial" w:eastAsia="Arial" w:hAnsi="Arial" w:cs="Arial"/>
          <w:highlight w:val="white"/>
        </w:rPr>
      </w:pPr>
    </w:p>
    <w:p w14:paraId="47B828E3" w14:textId="77777777" w:rsidR="00615C51" w:rsidRDefault="00615C51">
      <w:pPr>
        <w:pBdr>
          <w:bottom w:val="none" w:sz="0" w:space="7" w:color="000000"/>
        </w:pBdr>
        <w:shd w:val="clear" w:color="auto" w:fill="FFFFFF"/>
        <w:spacing w:before="0" w:line="276" w:lineRule="auto"/>
        <w:ind w:left="0"/>
        <w:rPr>
          <w:rFonts w:ascii="Arial" w:eastAsia="Arial" w:hAnsi="Arial" w:cs="Arial"/>
          <w:highlight w:val="white"/>
        </w:rPr>
      </w:pPr>
    </w:p>
    <w:p w14:paraId="7F055C8F" w14:textId="77777777" w:rsidR="00615C51" w:rsidRDefault="00615C51">
      <w:pPr>
        <w:pBdr>
          <w:bottom w:val="none" w:sz="0" w:space="7" w:color="000000"/>
        </w:pBdr>
        <w:shd w:val="clear" w:color="auto" w:fill="FFFFFF"/>
        <w:spacing w:before="0" w:line="276" w:lineRule="auto"/>
        <w:ind w:left="0"/>
        <w:rPr>
          <w:rFonts w:ascii="Arial" w:eastAsia="Arial" w:hAnsi="Arial" w:cs="Arial"/>
          <w:sz w:val="26"/>
          <w:szCs w:val="26"/>
          <w:highlight w:val="white"/>
        </w:rPr>
      </w:pPr>
    </w:p>
    <w:p w14:paraId="0BBCE0D3" w14:textId="77777777" w:rsidR="00615C51" w:rsidRDefault="00615C51">
      <w:pPr>
        <w:pBdr>
          <w:bottom w:val="none" w:sz="0" w:space="7" w:color="000000"/>
        </w:pBdr>
        <w:shd w:val="clear" w:color="auto" w:fill="FFFFFF"/>
        <w:spacing w:before="0" w:line="276" w:lineRule="auto"/>
        <w:ind w:left="0"/>
        <w:rPr>
          <w:rFonts w:ascii="Arial" w:eastAsia="Arial" w:hAnsi="Arial" w:cs="Arial"/>
          <w:sz w:val="26"/>
          <w:szCs w:val="26"/>
          <w:highlight w:val="white"/>
        </w:rPr>
      </w:pPr>
    </w:p>
    <w:p w14:paraId="6809B054" w14:textId="77777777" w:rsidR="00615C51" w:rsidRDefault="00615C51">
      <w:pPr>
        <w:pBdr>
          <w:bottom w:val="none" w:sz="0" w:space="7" w:color="000000"/>
        </w:pBdr>
        <w:shd w:val="clear" w:color="auto" w:fill="FFFFFF"/>
        <w:spacing w:before="0" w:line="276" w:lineRule="auto"/>
        <w:ind w:left="0"/>
        <w:rPr>
          <w:rFonts w:ascii="Arial" w:eastAsia="Arial" w:hAnsi="Arial" w:cs="Arial"/>
          <w:sz w:val="26"/>
          <w:szCs w:val="26"/>
          <w:highlight w:val="white"/>
        </w:rPr>
      </w:pPr>
    </w:p>
    <w:p w14:paraId="56BE70C3" w14:textId="77777777" w:rsidR="00615C51" w:rsidRDefault="00615C51">
      <w:pPr>
        <w:pBdr>
          <w:bottom w:val="none" w:sz="0" w:space="7" w:color="000000"/>
        </w:pBdr>
        <w:shd w:val="clear" w:color="auto" w:fill="FFFFFF"/>
        <w:spacing w:before="0" w:line="276" w:lineRule="auto"/>
        <w:ind w:left="0"/>
        <w:rPr>
          <w:rFonts w:ascii="Arial" w:eastAsia="Arial" w:hAnsi="Arial" w:cs="Arial"/>
          <w:sz w:val="26"/>
          <w:szCs w:val="26"/>
          <w:highlight w:val="white"/>
        </w:rPr>
      </w:pPr>
    </w:p>
    <w:sectPr w:rsidR="00615C51">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80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240E36" w14:textId="77777777" w:rsidR="00D538D7" w:rsidRDefault="00D538D7">
      <w:pPr>
        <w:spacing w:before="0" w:line="240" w:lineRule="auto"/>
      </w:pPr>
      <w:r>
        <w:separator/>
      </w:r>
    </w:p>
  </w:endnote>
  <w:endnote w:type="continuationSeparator" w:id="0">
    <w:p w14:paraId="2DD0DB0A" w14:textId="77777777" w:rsidR="00D538D7" w:rsidRDefault="00D538D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3081E375-889C-4780-8686-8CCC68F18C20}"/>
    <w:embedBold r:id="rId2" w:fontKey="{5AB7AE04-3A6D-43A0-94C6-DB3528C3149B}"/>
  </w:font>
  <w:font w:name="Trebuchet MS">
    <w:panose1 w:val="020B0603020202020204"/>
    <w:charset w:val="00"/>
    <w:family w:val="swiss"/>
    <w:pitch w:val="variable"/>
    <w:sig w:usb0="00000687" w:usb1="00000000" w:usb2="00000000" w:usb3="00000000" w:csb0="0000009F" w:csb1="00000000"/>
    <w:embedRegular r:id="rId3" w:fontKey="{C01A26E2-0EBF-4C97-B733-703532D8F1BD}"/>
    <w:embedItalic r:id="rId4" w:fontKey="{AA2CF4D0-2672-4252-972E-203DED761C81}"/>
  </w:font>
  <w:font w:name="Economica">
    <w:charset w:val="00"/>
    <w:family w:val="auto"/>
    <w:pitch w:val="default"/>
    <w:embedRegular r:id="rId5" w:fontKey="{2F81EE6D-83AA-448F-9741-4DFAD8FA141C}"/>
    <w:embedBold r:id="rId6" w:fontKey="{6071A3F8-F06A-4A88-943A-4D7803B5B8F5}"/>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7" w:fontKey="{D38885AA-543F-4379-B495-1C13D83A6FFC}"/>
  </w:font>
  <w:font w:name="Cambria">
    <w:panose1 w:val="02040503050406030204"/>
    <w:charset w:val="00"/>
    <w:family w:val="roman"/>
    <w:pitch w:val="variable"/>
    <w:sig w:usb0="E00006FF" w:usb1="420024FF" w:usb2="02000000" w:usb3="00000000" w:csb0="0000019F" w:csb1="00000000"/>
    <w:embedRegular r:id="rId8" w:fontKey="{A5606BB2-263A-4BD1-BC3E-304672EC35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C24705" w14:textId="77777777" w:rsidR="00615C51" w:rsidRDefault="00615C51">
    <w:pPr>
      <w:pBdr>
        <w:top w:val="nil"/>
        <w:left w:val="nil"/>
        <w:bottom w:val="nil"/>
        <w:right w:val="nil"/>
        <w:between w:val="nil"/>
      </w:pBdr>
      <w:tabs>
        <w:tab w:val="center" w:pos="4680"/>
        <w:tab w:val="right" w:pos="9360"/>
      </w:tabs>
      <w:spacing w:before="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737CE" w14:textId="77777777" w:rsidR="00615C51" w:rsidRDefault="008A0C9D">
    <w:pPr>
      <w:pBdr>
        <w:top w:val="nil"/>
        <w:left w:val="nil"/>
        <w:bottom w:val="nil"/>
        <w:right w:val="nil"/>
        <w:between w:val="nil"/>
      </w:pBdr>
      <w:spacing w:before="0" w:line="240" w:lineRule="auto"/>
      <w:ind w:hanging="15"/>
    </w:pPr>
    <w:r>
      <w:rPr>
        <w:noProof/>
      </w:rPr>
      <w:drawing>
        <wp:inline distT="114300" distB="114300" distL="114300" distR="114300" wp14:anchorId="4993F71A" wp14:editId="4C7B8F30">
          <wp:extent cx="5943600" cy="25400"/>
          <wp:effectExtent l="0" t="0" r="0" b="0"/>
          <wp:docPr id="33" name="image2.png" descr="horizontal line"/>
          <wp:cNvGraphicFramePr/>
          <a:graphic xmlns:a="http://schemas.openxmlformats.org/drawingml/2006/main">
            <a:graphicData uri="http://schemas.openxmlformats.org/drawingml/2006/picture">
              <pic:pic xmlns:pic="http://schemas.openxmlformats.org/drawingml/2006/picture">
                <pic:nvPicPr>
                  <pic:cNvPr id="0" name="image2.png" descr="horizontal line"/>
                  <pic:cNvPicPr preferRelativeResize="0"/>
                </pic:nvPicPr>
                <pic:blipFill>
                  <a:blip r:embed="rId1"/>
                  <a:srcRect/>
                  <a:stretch>
                    <a:fillRect/>
                  </a:stretch>
                </pic:blipFill>
                <pic:spPr>
                  <a:xfrm>
                    <a:off x="0" y="0"/>
                    <a:ext cx="5943600" cy="25400"/>
                  </a:xfrm>
                  <a:prstGeom prst="rect">
                    <a:avLst/>
                  </a:prstGeom>
                  <a:ln/>
                </pic:spPr>
              </pic:pic>
            </a:graphicData>
          </a:graphic>
        </wp:inline>
      </w:drawing>
    </w:r>
  </w:p>
  <w:p w14:paraId="3FC4A60A" w14:textId="00DBB4F9" w:rsidR="00615C51" w:rsidRDefault="008A0C9D">
    <w:pPr>
      <w:pBdr>
        <w:top w:val="nil"/>
        <w:left w:val="nil"/>
        <w:bottom w:val="nil"/>
        <w:right w:val="nil"/>
        <w:between w:val="nil"/>
      </w:pBdr>
      <w:spacing w:before="0" w:line="240" w:lineRule="auto"/>
      <w:ind w:firstLine="75"/>
      <w:rPr>
        <w:rFonts w:ascii="Economica" w:eastAsia="Economica" w:hAnsi="Economica" w:cs="Economica"/>
      </w:rPr>
    </w:pPr>
    <w:r>
      <w:rPr>
        <w:rFonts w:ascii="Economica" w:eastAsia="Economica" w:hAnsi="Economica" w:cs="Economica"/>
      </w:rPr>
      <w:fldChar w:fldCharType="begin"/>
    </w:r>
    <w:r>
      <w:rPr>
        <w:rFonts w:ascii="Economica" w:eastAsia="Economica" w:hAnsi="Economica" w:cs="Economica"/>
      </w:rPr>
      <w:instrText>PAGE</w:instrText>
    </w:r>
    <w:r>
      <w:rPr>
        <w:rFonts w:ascii="Economica" w:eastAsia="Economica" w:hAnsi="Economica" w:cs="Economica"/>
      </w:rPr>
      <w:fldChar w:fldCharType="separate"/>
    </w:r>
    <w:r w:rsidR="000D17F2">
      <w:rPr>
        <w:rFonts w:ascii="Economica" w:eastAsia="Economica" w:hAnsi="Economica" w:cs="Economica"/>
        <w:noProof/>
      </w:rPr>
      <w:t>2</w:t>
    </w:r>
    <w:r>
      <w:rPr>
        <w:rFonts w:ascii="Economica" w:eastAsia="Economica" w:hAnsi="Economica" w:cs="Economica"/>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F5CA7" w14:textId="77777777" w:rsidR="00615C51" w:rsidRDefault="008A0C9D">
    <w:pPr>
      <w:pBdr>
        <w:top w:val="nil"/>
        <w:left w:val="nil"/>
        <w:bottom w:val="nil"/>
        <w:right w:val="nil"/>
        <w:between w:val="nil"/>
      </w:pBdr>
      <w:spacing w:before="0"/>
      <w:ind w:hanging="15"/>
    </w:pPr>
    <w:r>
      <w:rPr>
        <w:noProof/>
      </w:rPr>
      <w:drawing>
        <wp:inline distT="114300" distB="114300" distL="114300" distR="114300" wp14:anchorId="1A760F9A" wp14:editId="3E413B3F">
          <wp:extent cx="5943600" cy="25400"/>
          <wp:effectExtent l="0" t="0" r="0" b="0"/>
          <wp:docPr id="32" name="image2.png" descr="horizontal line"/>
          <wp:cNvGraphicFramePr/>
          <a:graphic xmlns:a="http://schemas.openxmlformats.org/drawingml/2006/main">
            <a:graphicData uri="http://schemas.openxmlformats.org/drawingml/2006/picture">
              <pic:pic xmlns:pic="http://schemas.openxmlformats.org/drawingml/2006/picture">
                <pic:nvPicPr>
                  <pic:cNvPr id="0" name="image2.png" descr="horizontal line"/>
                  <pic:cNvPicPr preferRelativeResize="0"/>
                </pic:nvPicPr>
                <pic:blipFill>
                  <a:blip r:embed="rId1"/>
                  <a:srcRect/>
                  <a:stretch>
                    <a:fillRect/>
                  </a:stretch>
                </pic:blipFill>
                <pic:spPr>
                  <a:xfrm>
                    <a:off x="0" y="0"/>
                    <a:ext cx="5943600" cy="25400"/>
                  </a:xfrm>
                  <a:prstGeom prst="rect">
                    <a:avLst/>
                  </a:prstGeom>
                  <a:ln/>
                </pic:spPr>
              </pic:pic>
            </a:graphicData>
          </a:graphic>
        </wp:inline>
      </w:drawing>
    </w:r>
  </w:p>
  <w:p w14:paraId="5C923115" w14:textId="77777777" w:rsidR="00615C51" w:rsidRDefault="00615C51">
    <w:pPr>
      <w:pStyle w:val="Subtitle"/>
      <w:pBdr>
        <w:top w:val="nil"/>
        <w:left w:val="nil"/>
        <w:bottom w:val="nil"/>
        <w:right w:val="nil"/>
        <w:between w:val="nil"/>
      </w:pBdr>
      <w:ind w:hanging="15"/>
    </w:pPr>
    <w:bookmarkStart w:id="7" w:name="_heading=h.naycqfqt7ez3" w:colFirst="0" w:colLast="0"/>
    <w:bookmarkEnd w:id="7"/>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FA4B61" w14:textId="77777777" w:rsidR="00D538D7" w:rsidRDefault="00D538D7">
      <w:pPr>
        <w:spacing w:before="0" w:line="240" w:lineRule="auto"/>
      </w:pPr>
      <w:r>
        <w:separator/>
      </w:r>
    </w:p>
  </w:footnote>
  <w:footnote w:type="continuationSeparator" w:id="0">
    <w:p w14:paraId="7FD1D154" w14:textId="77777777" w:rsidR="00D538D7" w:rsidRDefault="00D538D7">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624AC6" w14:textId="77777777" w:rsidR="00615C51" w:rsidRDefault="004D1047">
    <w:pPr>
      <w:pBdr>
        <w:top w:val="nil"/>
        <w:left w:val="nil"/>
        <w:bottom w:val="nil"/>
        <w:right w:val="nil"/>
        <w:between w:val="nil"/>
      </w:pBdr>
      <w:tabs>
        <w:tab w:val="center" w:pos="4680"/>
        <w:tab w:val="right" w:pos="9360"/>
      </w:tabs>
      <w:spacing w:before="0" w:line="240" w:lineRule="auto"/>
      <w:rPr>
        <w:color w:val="000000"/>
      </w:rPr>
    </w:pPr>
    <w:r>
      <w:rPr>
        <w:noProof/>
        <w:color w:val="000000"/>
      </w:rPr>
      <w:pict w14:anchorId="2ADC19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left:0;text-align:left;margin-left:0;margin-top:0;width:558.45pt;height:77.95pt;rotation:315;z-index:-25165516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9DEEE6" w14:textId="77777777" w:rsidR="00615C51" w:rsidRDefault="004D1047">
    <w:pPr>
      <w:pStyle w:val="Subtitle"/>
      <w:pBdr>
        <w:top w:val="nil"/>
        <w:left w:val="nil"/>
        <w:bottom w:val="nil"/>
        <w:right w:val="nil"/>
        <w:between w:val="nil"/>
      </w:pBdr>
      <w:spacing w:before="600"/>
      <w:ind w:hanging="15"/>
    </w:pPr>
    <w:bookmarkStart w:id="6" w:name="_heading=h.x6dbuamna041" w:colFirst="0" w:colLast="0"/>
    <w:bookmarkEnd w:id="6"/>
    <w:r>
      <w:rPr>
        <w:noProof/>
      </w:rPr>
      <w:pict w14:anchorId="2CC613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0" type="#_x0000_t136" style="position:absolute;left:0;text-align:left;margin-left:0;margin-top:0;width:558.45pt;height:77.95pt;rotation:315;z-index:-25165721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p w14:paraId="2DE2AE25" w14:textId="77777777" w:rsidR="00615C51" w:rsidRDefault="008A0C9D">
    <w:pPr>
      <w:pBdr>
        <w:top w:val="nil"/>
        <w:left w:val="nil"/>
        <w:bottom w:val="nil"/>
        <w:right w:val="nil"/>
        <w:between w:val="nil"/>
      </w:pBdr>
      <w:spacing w:before="0" w:line="240" w:lineRule="auto"/>
      <w:ind w:hanging="15"/>
    </w:pPr>
    <w:r>
      <w:rPr>
        <w:noProof/>
      </w:rPr>
      <w:drawing>
        <wp:inline distT="114300" distB="114300" distL="114300" distR="114300" wp14:anchorId="64107FDC" wp14:editId="68060252">
          <wp:extent cx="5943600" cy="25400"/>
          <wp:effectExtent l="0" t="0" r="0" b="0"/>
          <wp:docPr id="30" name="image2.png" descr="horizontal line"/>
          <wp:cNvGraphicFramePr/>
          <a:graphic xmlns:a="http://schemas.openxmlformats.org/drawingml/2006/main">
            <a:graphicData uri="http://schemas.openxmlformats.org/drawingml/2006/picture">
              <pic:pic xmlns:pic="http://schemas.openxmlformats.org/drawingml/2006/picture">
                <pic:nvPicPr>
                  <pic:cNvPr id="0" name="image2.png" descr="horizontal line"/>
                  <pic:cNvPicPr preferRelativeResize="0"/>
                </pic:nvPicPr>
                <pic:blipFill>
                  <a:blip r:embed="rId1"/>
                  <a:srcRect/>
                  <a:stretch>
                    <a:fillRect/>
                  </a:stretch>
                </pic:blipFill>
                <pic:spPr>
                  <a:xfrm>
                    <a:off x="0" y="0"/>
                    <a:ext cx="5943600" cy="2540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0109B" w14:textId="77777777" w:rsidR="00615C51" w:rsidRDefault="004D1047">
    <w:pPr>
      <w:pBdr>
        <w:top w:val="nil"/>
        <w:left w:val="nil"/>
        <w:bottom w:val="nil"/>
        <w:right w:val="nil"/>
        <w:between w:val="nil"/>
      </w:pBdr>
      <w:ind w:hanging="15"/>
    </w:pPr>
    <w:r>
      <w:rPr>
        <w:noProof/>
      </w:rPr>
      <w:pict w14:anchorId="76959D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left:0;text-align:left;margin-left:0;margin-top:0;width:558.45pt;height:77.95pt;rotation:315;z-index:-25165619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9FA4CA5"/>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C51"/>
    <w:rsid w:val="000163AB"/>
    <w:rsid w:val="000D17F2"/>
    <w:rsid w:val="004D1047"/>
    <w:rsid w:val="00615C51"/>
    <w:rsid w:val="007615CF"/>
    <w:rsid w:val="008A0C9D"/>
    <w:rsid w:val="00C14E5D"/>
    <w:rsid w:val="00D538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E7FB5EE"/>
  <w15:docId w15:val="{6FCF8AB5-16A8-714C-9275-CFDBD6DED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Open Sans" w:eastAsia="Open Sans" w:hAnsi="Open Sans" w:cs="Open Sans"/>
        <w:sz w:val="22"/>
        <w:szCs w:val="22"/>
        <w:lang w:val="en" w:eastAsia="en-GB" w:bidi="ar-SA"/>
      </w:rPr>
    </w:rPrDefault>
    <w:pPrDefault>
      <w:pPr>
        <w:spacing w:before="200" w:line="360" w:lineRule="auto"/>
        <w:ind w:left="-15"/>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outlineLvl w:val="0"/>
    </w:pPr>
    <w:rPr>
      <w:b/>
      <w:sz w:val="32"/>
      <w:szCs w:val="32"/>
    </w:rPr>
  </w:style>
  <w:style w:type="paragraph" w:styleId="Heading2">
    <w:name w:val="heading 2"/>
    <w:basedOn w:val="Normal"/>
    <w:next w:val="Normal"/>
    <w:uiPriority w:val="9"/>
    <w:unhideWhenUsed/>
    <w:qFormat/>
    <w:pPr>
      <w:spacing w:before="480" w:line="240" w:lineRule="auto"/>
      <w:ind w:right="1785"/>
      <w:outlineLvl w:val="1"/>
    </w:pPr>
    <w:rPr>
      <w:b/>
      <w:sz w:val="26"/>
      <w:szCs w:val="26"/>
    </w:rPr>
  </w:style>
  <w:style w:type="paragraph" w:styleId="Heading3">
    <w:name w:val="heading 3"/>
    <w:basedOn w:val="Normal"/>
    <w:next w:val="Normal"/>
    <w:uiPriority w:val="9"/>
    <w:semiHidden/>
    <w:unhideWhenUsed/>
    <w:qFormat/>
    <w:pPr>
      <w:outlineLvl w:val="2"/>
    </w:pPr>
    <w:rPr>
      <w:b/>
      <w:color w:val="8C7252"/>
      <w:sz w:val="24"/>
      <w:szCs w:val="24"/>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0" w:line="240" w:lineRule="auto"/>
      <w:ind w:left="0" w:firstLine="15"/>
    </w:pPr>
    <w:rPr>
      <w:rFonts w:ascii="Economica" w:eastAsia="Economica" w:hAnsi="Economica" w:cs="Economica"/>
      <w:sz w:val="60"/>
      <w:szCs w:val="60"/>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a">
    <w:basedOn w:val="TableNormal2"/>
    <w:tblPr>
      <w:tblStyleRowBandSize w:val="1"/>
      <w:tblStyleColBandSize w:val="1"/>
    </w:tblPr>
  </w:style>
  <w:style w:type="table" w:customStyle="1" w:styleId="a0">
    <w:basedOn w:val="TableNormal"/>
    <w:tblPr>
      <w:tblStyleRowBandSize w:val="1"/>
      <w:tblStyleColBandSize w:val="1"/>
    </w:tblPr>
  </w:style>
  <w:style w:type="character" w:styleId="Hyperlink">
    <w:name w:val="Hyperlink"/>
    <w:basedOn w:val="DefaultParagraphFont"/>
    <w:uiPriority w:val="99"/>
    <w:unhideWhenUsed/>
    <w:rsid w:val="000528B5"/>
    <w:rPr>
      <w:color w:val="0000FF" w:themeColor="hyperlink"/>
      <w:u w:val="single"/>
    </w:rPr>
  </w:style>
  <w:style w:type="character" w:styleId="UnresolvedMention">
    <w:name w:val="Unresolved Mention"/>
    <w:basedOn w:val="DefaultParagraphFont"/>
    <w:uiPriority w:val="99"/>
    <w:semiHidden/>
    <w:unhideWhenUsed/>
    <w:rsid w:val="000528B5"/>
    <w:rPr>
      <w:color w:val="605E5C"/>
      <w:shd w:val="clear" w:color="auto" w:fill="E1DFDD"/>
    </w:rPr>
  </w:style>
  <w:style w:type="paragraph" w:styleId="Header">
    <w:name w:val="header"/>
    <w:basedOn w:val="Normal"/>
    <w:link w:val="HeaderChar"/>
    <w:uiPriority w:val="99"/>
    <w:unhideWhenUsed/>
    <w:rsid w:val="000D36C7"/>
    <w:pPr>
      <w:tabs>
        <w:tab w:val="center" w:pos="4680"/>
        <w:tab w:val="right" w:pos="9360"/>
      </w:tabs>
      <w:spacing w:before="0" w:line="240" w:lineRule="auto"/>
    </w:pPr>
  </w:style>
  <w:style w:type="character" w:customStyle="1" w:styleId="HeaderChar">
    <w:name w:val="Header Char"/>
    <w:basedOn w:val="DefaultParagraphFont"/>
    <w:link w:val="Header"/>
    <w:uiPriority w:val="99"/>
    <w:rsid w:val="000D36C7"/>
  </w:style>
  <w:style w:type="paragraph" w:styleId="Footer">
    <w:name w:val="footer"/>
    <w:basedOn w:val="Normal"/>
    <w:link w:val="FooterChar"/>
    <w:uiPriority w:val="99"/>
    <w:unhideWhenUsed/>
    <w:rsid w:val="000D36C7"/>
    <w:pPr>
      <w:tabs>
        <w:tab w:val="center" w:pos="4680"/>
        <w:tab w:val="right" w:pos="9360"/>
      </w:tabs>
      <w:spacing w:before="0" w:line="240" w:lineRule="auto"/>
    </w:pPr>
  </w:style>
  <w:style w:type="character" w:customStyle="1" w:styleId="FooterChar">
    <w:name w:val="Footer Char"/>
    <w:basedOn w:val="DefaultParagraphFont"/>
    <w:link w:val="Footer"/>
    <w:uiPriority w:val="99"/>
    <w:rsid w:val="000D36C7"/>
  </w:style>
  <w:style w:type="paragraph" w:styleId="Subtitle">
    <w:name w:val="Subtitle"/>
    <w:basedOn w:val="Normal"/>
    <w:next w:val="Normal"/>
    <w:uiPriority w:val="11"/>
    <w:qFormat/>
    <w:pPr>
      <w:spacing w:before="0" w:line="240" w:lineRule="auto"/>
    </w:pPr>
    <w:rPr>
      <w:rFonts w:ascii="Economica" w:eastAsia="Economica" w:hAnsi="Economica" w:cs="Economica"/>
      <w:color w:val="999999"/>
      <w:sz w:val="28"/>
      <w:szCs w:val="28"/>
    </w:r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hyperlink" Target="https://doi.org/10.23750/abm.v93i6.13391"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doi.org/10.1111/joor.13407"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s://doi.org/10.1016/j.jds.2022.02.005"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doi.org/10.1177/0333102416646769" TargetMode="External"/><Relationship Id="rId20" Type="http://schemas.openxmlformats.org/officeDocument/2006/relationships/hyperlink" Target="https://doi.org/10.1007/s00784-024-05653-y"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hyperlink" Target="https://doi.org/10.1177/03331024211036152"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eader" Target="header1.xml"/><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WItxzscqrU2TV9z71eD7IaQcIg==">CgMxLjAyDmgubXRmZG1pemZiM202Mg5oLjR3c2o0cG04cDNpcjIOaC4yd2R3Njh4Y3hhZjgyDmguZGZ4NHhkZXduaW9xMg5oLmI5a3Jvam1vNTh2NjIOaC54NmRidWFtbmEwNDEyDmgubmF5Y3FmcXQ3ZXozOAByITFVQTQzVF9ycE11enJSamJucFl6Y0dhVVU2dHRJTm85aA==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1859</Words>
  <Characters>10602</Characters>
  <Application>Microsoft Office Word</Application>
  <DocSecurity>0</DocSecurity>
  <Lines>88</Lines>
  <Paragraphs>24</Paragraphs>
  <ScaleCrop>false</ScaleCrop>
  <Company/>
  <LinksUpToDate>false</LinksUpToDate>
  <CharactersWithSpaces>12437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PC New 16</cp:lastModifiedBy>
  <cp:revision>5</cp:revision>
  <dcterms:created xsi:type="dcterms:W3CDTF">2025-10-17T04:15:00Z</dcterms:created>
  <dcterms:modified xsi:type="dcterms:W3CDTF">2025-10-21T12:28:00Z</dcterms:modified>
</cp:coreProperties>
</file>