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0FC" w:rsidRDefault="006A6BFB">
      <w:r>
        <w:t>Original Research Article</w:t>
      </w:r>
    </w:p>
    <w:p w:rsidR="004B10FC" w:rsidRDefault="004B10FC"/>
    <w:p w:rsidR="004B10FC" w:rsidRDefault="006A6BFB">
      <w:r>
        <w:t>NEUROENDOCRINE DYSFUNCTION IN ACUTE PHASE OF MODERATE TO SEVERE TRAUMATIC BRAIN INJURY - A SINGLE CENTRE PROSPECTIVE OBSERVATIONAL STUDY</w:t>
      </w:r>
    </w:p>
    <w:p w:rsidR="004B10FC" w:rsidRDefault="004B10FC"/>
    <w:p w:rsidR="004B10FC" w:rsidRDefault="006A6BFB">
      <w:pPr>
        <w:spacing w:after="0" w:line="240" w:lineRule="auto"/>
      </w:pPr>
      <w:r>
        <w:t>ABSTRACT</w:t>
      </w:r>
    </w:p>
    <w:p w:rsidR="004B10FC" w:rsidRDefault="006A6BFB">
      <w:pPr>
        <w:spacing w:after="0" w:line="240" w:lineRule="auto"/>
      </w:pPr>
      <w:r>
        <w:t>Traumatic brain injury (TBI) is a common neurosurgical condition frequently associated with acute neuroendocrine dysfunction. This single-centre prospective observational study was conducted in the Department of Neurosurgery, Government Medical College Kozhikode, from 2021–2022 to determine the relationship between neuroendocrine dysfunction, severity of trauma, CT pressure effects, and Glasgow Outcome Scale (GOS) in patients with moderate to severe head injury. A total of 126 patients underwent hormonal evaluation (FT3, FT4, TSH, GH, cortisol, and prolactin) within 24 hours of admission and on day 7, and results were correlated with Glasgow Coma Scale (GCS), GOS, and radiological findings. On day 1, patients with severe injury had significantly higher GH, cortisol, and prolactin levels and lower FT4 and TSH levels compared to those with moderate injury, while FT3 remained unchanged. FT4 levels were significantly higher in moderate injury, whereas severe injury was associated with low or normal FT4 levels, with statistically significant associations observed on both day 1 and day 7. Cortisol levels were elevated in severe injury on day 1, with an increased number of patients showing high cortisol levels on day 7. Most hormonal comparisons demonstrated statistically significant associations (p &lt; 0.001), except growth hormone (p = 0.726). These findings indicate that acute neuroendocrine alterations correlate with injury severity and clinical outcomes in moderate to severe traumatic brain injury.</w:t>
      </w:r>
    </w:p>
    <w:p w:rsidR="004B10FC" w:rsidRDefault="006A6BFB">
      <w:pPr>
        <w:spacing w:after="0" w:line="240" w:lineRule="auto"/>
      </w:pPr>
      <w:r>
        <w:t xml:space="preserve">Materials and methods: This study was a single </w:t>
      </w:r>
      <w:proofErr w:type="spellStart"/>
      <w:r>
        <w:t>centre</w:t>
      </w:r>
      <w:proofErr w:type="spellEnd"/>
      <w:r>
        <w:t xml:space="preserve"> prospective observational study done at Department of Neurosurgery Government Medical College Kozhikode in all cases of Moderate to Severe Head injury from 2021-2022. The hormone levels were correlated with Glasgow coma scale (GCS), GOS, extent of injury and pressure effects on CT. The details were recorded and </w:t>
      </w:r>
      <w:proofErr w:type="spellStart"/>
      <w:r>
        <w:t>analysed</w:t>
      </w:r>
      <w:proofErr w:type="spellEnd"/>
      <w:r>
        <w:t xml:space="preserve"> with SPSS software.</w:t>
      </w:r>
    </w:p>
    <w:p w:rsidR="004B10FC" w:rsidRDefault="006A6BFB">
      <w:pPr>
        <w:spacing w:after="0" w:line="240" w:lineRule="auto"/>
      </w:pPr>
      <w:r>
        <w:t xml:space="preserve">Results: On day 1 Patients who had severe injury had significantly more </w:t>
      </w:r>
      <w:proofErr w:type="gramStart"/>
      <w:r>
        <w:t>GH(</w:t>
      </w:r>
      <w:proofErr w:type="gramEnd"/>
      <w:r>
        <w:t xml:space="preserve">6.60± 2.63 vs 1.65±2.23), cortisol (34.19± 4.86 vs 15.51 ± 3.93) and prolactin (5.88 ± 3.43 vs 14.07 ± 6.27) than moderate head injury patients. </w:t>
      </w:r>
      <w:proofErr w:type="gramStart"/>
      <w:r>
        <w:t>Also</w:t>
      </w:r>
      <w:proofErr w:type="gramEnd"/>
      <w:r>
        <w:t xml:space="preserve"> patients with severe injury had significantly less FT4 (1.49± 0.26 vs 1.21±0.24), TSH (1.67± 1.50 vs 0.69 ±0.45) than moderate head injury patients. FT3 was same for both moderate and severe injury patients. FT4 was significantly high in patients with moderate injury while in cases with severe injury </w:t>
      </w:r>
      <w:proofErr w:type="gramStart"/>
      <w:r>
        <w:t>more</w:t>
      </w:r>
      <w:proofErr w:type="gramEnd"/>
      <w:r>
        <w:t xml:space="preserve"> number of patients had low or normal FT4. This association was statistically significant on day 1 and day 7. Cortisol levels on day 1 showed that patients with severe injury had high cortisol levels in day one while on day 7 the number of patients with high cortisol increases.</w:t>
      </w:r>
    </w:p>
    <w:p w:rsidR="004B10FC" w:rsidRDefault="006A6BFB">
      <w:pPr>
        <w:spacing w:after="0" w:line="240" w:lineRule="auto"/>
      </w:pPr>
      <w:r>
        <w:t xml:space="preserve">Conclusion: Patients with severe head injury had high GH, Cortisol, Prolactin and low FT4, TSH on Day 1 than moderate head injury. FT3 remained unchanged. Number of Patients with severe head injury with high Cortisol levels on Day 1 increased on Day </w:t>
      </w:r>
      <w:proofErr w:type="gramStart"/>
      <w:r>
        <w:t>7.Multiple</w:t>
      </w:r>
      <w:proofErr w:type="gramEnd"/>
      <w:r>
        <w:t xml:space="preserve"> statistically significant associations were observed in the study, with most hormonal comparisons showing p &lt; 0.001, except growth hormone (p = 0.726).</w:t>
      </w:r>
    </w:p>
    <w:p w:rsidR="004B10FC" w:rsidRDefault="006A6BFB">
      <w:pPr>
        <w:spacing w:after="0" w:line="240" w:lineRule="auto"/>
      </w:pPr>
      <w:r>
        <w:t>Keywords: Neuroendocrine dysfunction; Traumatic brain injury; Pressure effects; Glasgow Outcome Scale</w:t>
      </w:r>
    </w:p>
    <w:p w:rsidR="004B10FC" w:rsidRDefault="004B10FC">
      <w:pPr>
        <w:spacing w:after="0" w:line="240" w:lineRule="auto"/>
      </w:pPr>
    </w:p>
    <w:p w:rsidR="004B10FC" w:rsidRDefault="006A6BFB">
      <w:pPr>
        <w:spacing w:after="0" w:line="240" w:lineRule="auto"/>
      </w:pPr>
      <w:r>
        <w:lastRenderedPageBreak/>
        <w:t>INTRODUCTION</w:t>
      </w:r>
    </w:p>
    <w:p w:rsidR="004B10FC" w:rsidRDefault="006A6BFB">
      <w:pPr>
        <w:spacing w:after="0" w:line="240" w:lineRule="auto"/>
      </w:pPr>
      <w:r>
        <w:t>Traumatic brain injury (TBI) is becoming increasingly recognized as a massive public health issue, with low and middle income countries (LMIC) bearing a significantly greater burden of disability and mortality.[1] Menon DK defined TBI in 2010 as "an alteration in brain function or other evidence of brain pathology resulting from an external force."[2] According to the Global Burden of Disease Study published in Lancet in 2019, there are 27.08 million new cases of traumatic brain injury each year, with age-adjusted incidence rates of 369 per 100,000 population.[3]</w:t>
      </w:r>
    </w:p>
    <w:p w:rsidR="004B10FC" w:rsidRDefault="006A6BFB">
      <w:pPr>
        <w:spacing w:after="0" w:line="240" w:lineRule="auto"/>
      </w:pPr>
      <w:r>
        <w:t>In LMICs, road traffic accidents continue to be the leading cause of TBI. LMICs account for approximately 90 percent of global road fatalities despite having only 50 percent of the world's vehicles.[1]</w:t>
      </w:r>
    </w:p>
    <w:p w:rsidR="00E15359" w:rsidRDefault="00E15359" w:rsidP="00E15359">
      <w:pPr>
        <w:spacing w:after="0" w:line="240" w:lineRule="auto"/>
      </w:pPr>
      <w:proofErr w:type="gramStart"/>
      <w:r>
        <w:t>TBI  is</w:t>
      </w:r>
      <w:proofErr w:type="gramEnd"/>
      <w:r>
        <w:t xml:space="preserve"> frequently associated with a wide range of clinical manifestations, including disturbances of consciousness, impaired attention, reduced impulse control, depressive symptoms, and sleep-related disorders. Many of the commonly reported symptoms among TBI survivors—such as persistent fatigue, difficulty in concentration, depressive features, and reduced exercise tolerance—are often nonspecific and may overlap with clinical features observed in patients with pituitary disorders of other </w:t>
      </w:r>
      <w:proofErr w:type="spellStart"/>
      <w:r>
        <w:t>aetiologies</w:t>
      </w:r>
      <w:proofErr w:type="spellEnd"/>
      <w:r>
        <w:t xml:space="preserve">. These symptoms can substantially impair quality of life, functional capacity, and the ability to return to work, and in some cases may be attributable to underlying endocrine dysfunction following </w:t>
      </w:r>
      <w:proofErr w:type="gramStart"/>
      <w:r>
        <w:t>TBI.[</w:t>
      </w:r>
      <w:proofErr w:type="gramEnd"/>
      <w:r>
        <w:t>4]</w:t>
      </w:r>
    </w:p>
    <w:p w:rsidR="00E15359" w:rsidRDefault="00E15359" w:rsidP="00E15359">
      <w:pPr>
        <w:spacing w:after="0" w:line="240" w:lineRule="auto"/>
      </w:pPr>
    </w:p>
    <w:p w:rsidR="00E15359" w:rsidRDefault="00E15359" w:rsidP="00E15359">
      <w:pPr>
        <w:spacing w:after="0" w:line="240" w:lineRule="auto"/>
      </w:pPr>
      <w:r>
        <w:t xml:space="preserve">Over the past two decades, research has demonstrated that the incidence of acute anterior pituitary dysfunction following TBI is approximately 30%, depending on the severity and anatomical location of the injury. Several pathophysiological mechanisms have been proposed to explain hypothalamic–pituitary damage after traumatic brain injury. These include direct mechanical or shearing injury to the pituitary stalk and the long hypophyseal vessels, as well as vascular disturbances such as vasospasm, which may lead to infarction of the anterior pituitary lobe or the development of small focal infarcts resulting from </w:t>
      </w:r>
      <w:proofErr w:type="spellStart"/>
      <w:r>
        <w:t>localised</w:t>
      </w:r>
      <w:proofErr w:type="spellEnd"/>
      <w:r>
        <w:t xml:space="preserve"> interruption of blood </w:t>
      </w:r>
      <w:proofErr w:type="gramStart"/>
      <w:r>
        <w:t>circulation.[</w:t>
      </w:r>
      <w:proofErr w:type="gramEnd"/>
      <w:r>
        <w:t>5]</w:t>
      </w:r>
    </w:p>
    <w:p w:rsidR="00E15359" w:rsidRDefault="00E15359" w:rsidP="00E15359">
      <w:pPr>
        <w:spacing w:after="0" w:line="240" w:lineRule="auto"/>
      </w:pPr>
    </w:p>
    <w:p w:rsidR="00E15359" w:rsidRDefault="00E15359" w:rsidP="00E15359">
      <w:pPr>
        <w:spacing w:after="0" w:line="240" w:lineRule="auto"/>
      </w:pPr>
      <w:r>
        <w:t xml:space="preserve">Although a variety of hormonal disturbances have been reported in patients following TBI, the most clinically significant alterations during the acute phase involve cortisol and thyroid hormone deficiencies. These abnormalities may arise secondary to dysfunction of the hypothalamic–pituitary–adrenal (HPA) axis and the hypothalamic–pituitary–thyroid (HPT) axis, respectively, either as a direct consequence of structural lesions affecting hormonal secretion or as part of the physiological stress response to brain injury. Measurements of serum cortisol and thyroid hormone levels have been shown to serve as important indicators of disease severity and prognostic outcomes in patients with traumatic brain </w:t>
      </w:r>
      <w:proofErr w:type="gramStart"/>
      <w:r>
        <w:t>injury.[</w:t>
      </w:r>
      <w:proofErr w:type="gramEnd"/>
      <w:r>
        <w:t xml:space="preserve">6] </w:t>
      </w:r>
    </w:p>
    <w:p w:rsidR="004B10FC" w:rsidRDefault="006A6BFB" w:rsidP="00E15359">
      <w:pPr>
        <w:spacing w:after="0" w:line="240" w:lineRule="auto"/>
      </w:pPr>
      <w:r>
        <w:t xml:space="preserve">Despite numerous case reports and several studies on patients with posttraumatic endocrine disturbances, hormonal evaluation after traumatic brain injury is still not a part of routine diagnostics. </w:t>
      </w:r>
      <w:proofErr w:type="gramStart"/>
      <w:r>
        <w:t>Thus</w:t>
      </w:r>
      <w:proofErr w:type="gramEnd"/>
      <w:r>
        <w:t xml:space="preserve"> the present prospective study was conducted to evaluate anterior pituitary function in the acute phase on days 1 and 7 after moderate-to-severe traumatic brain injury.</w:t>
      </w:r>
    </w:p>
    <w:p w:rsidR="004B10FC" w:rsidRDefault="006A6BFB">
      <w:pPr>
        <w:spacing w:after="0" w:line="240" w:lineRule="auto"/>
      </w:pPr>
      <w:r>
        <w:t>MATERIALS AND METHODS</w:t>
      </w:r>
    </w:p>
    <w:p w:rsidR="004B10FC" w:rsidRDefault="006A6BFB">
      <w:pPr>
        <w:spacing w:after="0" w:line="240" w:lineRule="auto"/>
      </w:pPr>
      <w:r>
        <w:t xml:space="preserve">After approval from institutional research committee and ethical committee, Single Centre Prospective observational study was conducted in department of Neurosurgery, Govt. Medical College Kozhikode for the duration of 1 year. After meeting the inclusion criteria, 126 patients with moderate to severe head injury admitted in the department between age </w:t>
      </w:r>
      <w:r>
        <w:lastRenderedPageBreak/>
        <w:t>group 17-75 years were studied. Patients were informed regarding the study. Inclusion criteria</w:t>
      </w:r>
    </w:p>
    <w:p w:rsidR="004B10FC" w:rsidRDefault="006A6BFB">
      <w:pPr>
        <w:spacing w:after="0" w:line="240" w:lineRule="auto"/>
      </w:pPr>
      <w:r>
        <w:t>GCS &lt;13.</w:t>
      </w:r>
    </w:p>
    <w:p w:rsidR="004B10FC" w:rsidRDefault="006A6BFB">
      <w:pPr>
        <w:spacing w:after="0" w:line="240" w:lineRule="auto"/>
      </w:pPr>
      <w:r>
        <w:t>Age &gt;17yrs to &lt;75years.</w:t>
      </w:r>
    </w:p>
    <w:p w:rsidR="004B10FC" w:rsidRDefault="006A6BFB">
      <w:pPr>
        <w:spacing w:after="0" w:line="240" w:lineRule="auto"/>
      </w:pPr>
      <w:r>
        <w:t>Patients who were admitted in our medical college during the study period.</w:t>
      </w:r>
    </w:p>
    <w:p w:rsidR="004B10FC" w:rsidRDefault="006A6BFB">
      <w:pPr>
        <w:spacing w:after="0" w:line="240" w:lineRule="auto"/>
      </w:pPr>
      <w:r>
        <w:t>Patient’s relatives who were willing to give consent.</w:t>
      </w:r>
    </w:p>
    <w:p w:rsidR="004B10FC" w:rsidRDefault="006A6BFB">
      <w:pPr>
        <w:spacing w:after="0" w:line="240" w:lineRule="auto"/>
      </w:pPr>
      <w:r>
        <w:t>Patients without prior history of hormonal imbalances.</w:t>
      </w:r>
    </w:p>
    <w:p w:rsidR="004B10FC" w:rsidRDefault="006A6BFB">
      <w:pPr>
        <w:spacing w:after="0" w:line="240" w:lineRule="auto"/>
      </w:pPr>
      <w:r>
        <w:t>Exclusion criteria</w:t>
      </w:r>
    </w:p>
    <w:p w:rsidR="004B10FC" w:rsidRDefault="006A6BFB">
      <w:pPr>
        <w:spacing w:after="0" w:line="240" w:lineRule="auto"/>
      </w:pPr>
      <w:r>
        <w:t>Patient’s relative’s refusal.</w:t>
      </w:r>
    </w:p>
    <w:p w:rsidR="004B10FC" w:rsidRDefault="006A6BFB">
      <w:pPr>
        <w:spacing w:after="0" w:line="240" w:lineRule="auto"/>
      </w:pPr>
      <w:r>
        <w:t>Age &lt;17yrs.</w:t>
      </w:r>
    </w:p>
    <w:p w:rsidR="004B10FC" w:rsidRDefault="006A6BFB">
      <w:pPr>
        <w:spacing w:after="0" w:line="240" w:lineRule="auto"/>
      </w:pPr>
      <w:r>
        <w:t>Patient</w:t>
      </w:r>
      <w:r w:rsidR="00247094">
        <w:t>’s relatives</w:t>
      </w:r>
      <w:r>
        <w:t xml:space="preserve"> who did not give consent for the study.</w:t>
      </w:r>
    </w:p>
    <w:p w:rsidR="00F109E0" w:rsidRDefault="00F109E0">
      <w:pPr>
        <w:spacing w:after="0" w:line="240" w:lineRule="auto"/>
      </w:pPr>
    </w:p>
    <w:p w:rsidR="004B10FC" w:rsidRPr="00543985" w:rsidRDefault="006A6BFB">
      <w:pPr>
        <w:spacing w:after="0" w:line="240" w:lineRule="auto"/>
        <w:rPr>
          <w:b/>
        </w:rPr>
      </w:pPr>
      <w:r w:rsidRPr="00543985">
        <w:rPr>
          <w:b/>
        </w:rPr>
        <w:t>Methodology</w:t>
      </w:r>
    </w:p>
    <w:p w:rsidR="00A561BD" w:rsidRDefault="006A6BFB">
      <w:pPr>
        <w:spacing w:after="0" w:line="240" w:lineRule="auto"/>
      </w:pPr>
      <w:r>
        <w:t xml:space="preserve">Apart from clinical evaluation, non-contrast computed tomography of the head was taken at the time of admission to look for pressure effects in the form of midline shift &gt;5 mm and basal cistern obliteration. Severity of traumatic brain injury was assessed by initial Glasgow Coma Scale (GCS). A score of 13-15 was considered mild, 9-12 moderate and 8 or less than 8 as severe traumatic brain injury. </w:t>
      </w:r>
    </w:p>
    <w:p w:rsidR="00A561BD" w:rsidRDefault="00A561BD">
      <w:pPr>
        <w:spacing w:after="0" w:line="240" w:lineRule="auto"/>
      </w:pPr>
    </w:p>
    <w:p w:rsidR="00A561BD" w:rsidRDefault="00A561BD">
      <w:pPr>
        <w:spacing w:after="0" w:line="240" w:lineRule="auto"/>
      </w:pPr>
      <w:r w:rsidRPr="00A561BD">
        <w:t xml:space="preserve">All patients underwent baseline hormonal evaluation within 24 hours of admission. The basal hormonal profile included measurements of free triiodothyronine (FT3), free thyroxine (FT4), thyroid-stimulating hormone (TSH), growth hormone (GH), prolactin (PRL), and cortisol. Hormonal assays were repeated on the seventh day of admission in patients who survived. To </w:t>
      </w:r>
      <w:proofErr w:type="spellStart"/>
      <w:r w:rsidRPr="00A561BD">
        <w:t>minimise</w:t>
      </w:r>
      <w:proofErr w:type="spellEnd"/>
      <w:r w:rsidRPr="00A561BD">
        <w:t xml:space="preserve"> diurnal variation, all hormonal assessments were conducted between 08:00 and 09:00 a.m. Venous blood samples were collected by standard venipuncture, centrifuged at 3000 rpm for 10 minutes, and the separated serum was stored at approximately 22°C until further processing. Hormone concentrations were determined using an electrochemiluminescence immunoassay technique.</w:t>
      </w:r>
    </w:p>
    <w:p w:rsidR="00A561BD" w:rsidRDefault="00A561BD">
      <w:pPr>
        <w:spacing w:after="0" w:line="240" w:lineRule="auto"/>
      </w:pPr>
    </w:p>
    <w:p w:rsidR="00A561BD" w:rsidRDefault="00A561BD">
      <w:pPr>
        <w:spacing w:after="0" w:line="240" w:lineRule="auto"/>
      </w:pPr>
      <w:r w:rsidRPr="00A561BD">
        <w:t xml:space="preserve">Patient outcomes were assessed using the Glasgow Outcome Scale (GOS). Individuals with GOS scores of 4 or 5 were classified as having a </w:t>
      </w:r>
      <w:proofErr w:type="spellStart"/>
      <w:r w:rsidRPr="00A561BD">
        <w:t>favourable</w:t>
      </w:r>
      <w:proofErr w:type="spellEnd"/>
      <w:r w:rsidRPr="00A561BD">
        <w:t xml:space="preserve"> outcome, whereas those with scores of 1, 2, or 3 were </w:t>
      </w:r>
      <w:proofErr w:type="spellStart"/>
      <w:r w:rsidRPr="00A561BD">
        <w:t>categorised</w:t>
      </w:r>
      <w:proofErr w:type="spellEnd"/>
      <w:r w:rsidRPr="00A561BD">
        <w:t xml:space="preserve"> as having an </w:t>
      </w:r>
      <w:proofErr w:type="spellStart"/>
      <w:r w:rsidRPr="00A561BD">
        <w:t>unfavourable</w:t>
      </w:r>
      <w:proofErr w:type="spellEnd"/>
      <w:r w:rsidRPr="00A561BD">
        <w:t xml:space="preserve"> outcome. Outcome assessments were conducted on the </w:t>
      </w:r>
      <w:proofErr w:type="gramStart"/>
      <w:r w:rsidRPr="00A561BD">
        <w:t>first and seventh days</w:t>
      </w:r>
      <w:proofErr w:type="gramEnd"/>
      <w:r w:rsidRPr="00A561BD">
        <w:t xml:space="preserve"> following admission using the Glasgow Outcome Scale.</w:t>
      </w:r>
    </w:p>
    <w:p w:rsidR="004B10FC" w:rsidRDefault="006A6BFB">
      <w:pPr>
        <w:spacing w:after="0" w:line="240" w:lineRule="auto"/>
      </w:pPr>
      <w:r>
        <w:t>STATISTICAL ANALYSIS</w:t>
      </w:r>
    </w:p>
    <w:p w:rsidR="004B10FC" w:rsidRDefault="006A6BFB">
      <w:pPr>
        <w:spacing w:after="0" w:line="240" w:lineRule="auto"/>
      </w:pPr>
      <w:r>
        <w:t xml:space="preserve">Initial data was entered in an excel spread sheet and was </w:t>
      </w:r>
      <w:proofErr w:type="spellStart"/>
      <w:r>
        <w:t>analysed</w:t>
      </w:r>
      <w:proofErr w:type="spellEnd"/>
      <w:r>
        <w:t xml:space="preserve"> using SPSS Version 26 software package. Data was expressed as percentages and correlation between hormonal profile and Glasgow Outcome Scale and Glasgow Coma Scale was made. Normal distribution between 2 variables was compared by unpaired t-test. The percentages were compared using X2 test, p&lt;0.05 was considered significant. In </w:t>
      </w:r>
      <w:proofErr w:type="gramStart"/>
      <w:r>
        <w:t>addition</w:t>
      </w:r>
      <w:proofErr w:type="gramEnd"/>
      <w:r>
        <w:t xml:space="preserve"> Pearsons correlation analysis was also done.</w:t>
      </w:r>
    </w:p>
    <w:p w:rsidR="004B10FC" w:rsidRDefault="006A6BFB">
      <w:pPr>
        <w:spacing w:after="0" w:line="240" w:lineRule="auto"/>
      </w:pPr>
      <w:r>
        <w:t>RESULTS</w:t>
      </w:r>
    </w:p>
    <w:p w:rsidR="004B10FC" w:rsidRDefault="006A6BFB">
      <w:pPr>
        <w:spacing w:after="0" w:line="240" w:lineRule="auto"/>
      </w:pPr>
      <w:r>
        <w:t xml:space="preserve">Majority of patients with traumatic brain injury belong to age group 21-30 years with 46 (36.5%) followed by 31-40 years with 28 (22.2%), 51-60 years with 120 (5.9%), 41-50 years with 12 (9.5%). The mean age of the patients was 37.61±15.73 years. Male predominance was observed with Male: Female ratio being 1.29:1.  The cause of injury for 95 (75.4%) patient was road traffic accident followed by fall which was seen in 31 (24.6%) patients. In 67 (53.2%) patients the injury was severe while it was moderate in 59 (46.8%) patients. Pressure effect was present in 75(59.5%) patients while it was absent in 51 (40.5%) patients. (Table 1)  </w:t>
      </w:r>
    </w:p>
    <w:p w:rsidR="004B10FC" w:rsidRDefault="006A6BFB">
      <w:pPr>
        <w:spacing w:after="0" w:line="240" w:lineRule="auto"/>
      </w:pPr>
      <w:r>
        <w:lastRenderedPageBreak/>
        <w:t>Table 1: Demographic profile of study participants</w:t>
      </w:r>
    </w:p>
    <w:tbl>
      <w:tblPr>
        <w:tblStyle w:val="a"/>
        <w:tblW w:w="8703" w:type="dxa"/>
        <w:tblInd w:w="-223" w:type="dxa"/>
        <w:tblLayout w:type="fixed"/>
        <w:tblLook w:val="0400" w:firstRow="0" w:lastRow="0" w:firstColumn="0" w:lastColumn="0" w:noHBand="0" w:noVBand="1"/>
      </w:tblPr>
      <w:tblGrid>
        <w:gridCol w:w="3051"/>
        <w:gridCol w:w="2750"/>
        <w:gridCol w:w="2902"/>
      </w:tblGrid>
      <w:tr w:rsidR="004B10FC">
        <w:trPr>
          <w:trHeight w:val="470"/>
        </w:trPr>
        <w:tc>
          <w:tcPr>
            <w:tcW w:w="3051" w:type="dxa"/>
            <w:tcBorders>
              <w:top w:val="single" w:sz="4" w:space="0" w:color="7F7F7F"/>
              <w:left w:val="single" w:sz="4" w:space="0" w:color="7F7F7F"/>
              <w:bottom w:val="single" w:sz="4" w:space="0" w:color="000000"/>
              <w:right w:val="single" w:sz="4" w:space="0" w:color="7F7F7F"/>
            </w:tcBorders>
            <w:vAlign w:val="center"/>
          </w:tcPr>
          <w:p w:rsidR="004B10FC" w:rsidRDefault="006A6BFB">
            <w:pPr>
              <w:spacing w:after="160" w:line="259" w:lineRule="auto"/>
              <w:ind w:right="4"/>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Age  group</w:t>
            </w:r>
            <w:proofErr w:type="gramEnd"/>
            <w:r>
              <w:rPr>
                <w:rFonts w:ascii="Times New Roman" w:eastAsia="Times New Roman" w:hAnsi="Times New Roman" w:cs="Times New Roman"/>
                <w:b/>
                <w:color w:val="000000"/>
                <w:sz w:val="24"/>
                <w:szCs w:val="24"/>
              </w:rPr>
              <w:t xml:space="preserve"> </w:t>
            </w:r>
          </w:p>
        </w:tc>
        <w:tc>
          <w:tcPr>
            <w:tcW w:w="2750" w:type="dxa"/>
            <w:tcBorders>
              <w:top w:val="single" w:sz="4" w:space="0" w:color="7F7F7F"/>
              <w:left w:val="single" w:sz="4" w:space="0" w:color="7F7F7F"/>
              <w:bottom w:val="single" w:sz="4" w:space="0" w:color="000000"/>
              <w:right w:val="single" w:sz="4" w:space="0" w:color="7F7F7F"/>
            </w:tcBorders>
            <w:vAlign w:val="center"/>
          </w:tcPr>
          <w:p w:rsidR="004B10FC" w:rsidRDefault="006A6BFB">
            <w:pPr>
              <w:spacing w:after="160" w:line="259" w:lineRule="auto"/>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Frequency </w:t>
            </w:r>
          </w:p>
        </w:tc>
        <w:tc>
          <w:tcPr>
            <w:tcW w:w="2902" w:type="dxa"/>
            <w:tcBorders>
              <w:top w:val="single" w:sz="4" w:space="0" w:color="7F7F7F"/>
              <w:left w:val="single" w:sz="4" w:space="0" w:color="7F7F7F"/>
              <w:bottom w:val="single" w:sz="4" w:space="0" w:color="000000"/>
              <w:right w:val="single" w:sz="4" w:space="0" w:color="7F7F7F"/>
            </w:tcBorders>
            <w:vAlign w:val="center"/>
          </w:tcPr>
          <w:p w:rsidR="004B10FC" w:rsidRDefault="006A6BFB">
            <w:pPr>
              <w:spacing w:after="160" w:line="259" w:lineRule="auto"/>
              <w:ind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Percentage </w:t>
            </w:r>
          </w:p>
        </w:tc>
      </w:tr>
      <w:tr w:rsidR="004B10FC">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&lt;</w:t>
            </w:r>
            <w:r>
              <w:rPr>
                <w:rFonts w:ascii="Times New Roman" w:eastAsia="Times New Roman" w:hAnsi="Times New Roman" w:cs="Times New Roman"/>
                <w:color w:val="000000"/>
                <w:sz w:val="24"/>
                <w:szCs w:val="24"/>
              </w:rPr>
              <w:t xml:space="preserve">20 </w:t>
            </w:r>
          </w:p>
        </w:tc>
        <w:tc>
          <w:tcPr>
            <w:tcW w:w="2750"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tc>
        <w:tc>
          <w:tcPr>
            <w:tcW w:w="2902"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5.6 </w:t>
            </w:r>
          </w:p>
        </w:tc>
      </w:tr>
      <w:tr w:rsidR="004B10FC">
        <w:trPr>
          <w:trHeight w:val="472"/>
        </w:trPr>
        <w:tc>
          <w:tcPr>
            <w:tcW w:w="3051"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21-30 </w:t>
            </w:r>
          </w:p>
        </w:tc>
        <w:tc>
          <w:tcPr>
            <w:tcW w:w="2750"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 </w:t>
            </w:r>
          </w:p>
        </w:tc>
        <w:tc>
          <w:tcPr>
            <w:tcW w:w="2902"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36.5 </w:t>
            </w:r>
          </w:p>
        </w:tc>
      </w:tr>
      <w:tr w:rsidR="004B10FC">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31-40 </w:t>
            </w:r>
          </w:p>
        </w:tc>
        <w:tc>
          <w:tcPr>
            <w:tcW w:w="2750"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w:t>
            </w:r>
          </w:p>
        </w:tc>
        <w:tc>
          <w:tcPr>
            <w:tcW w:w="2902"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22.2 </w:t>
            </w:r>
          </w:p>
        </w:tc>
      </w:tr>
      <w:tr w:rsidR="004B10FC">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41-50 </w:t>
            </w:r>
          </w:p>
        </w:tc>
        <w:tc>
          <w:tcPr>
            <w:tcW w:w="2750"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tc>
        <w:tc>
          <w:tcPr>
            <w:tcW w:w="2902"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 </w:t>
            </w:r>
          </w:p>
        </w:tc>
      </w:tr>
      <w:tr w:rsidR="004B10FC">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51-60 </w:t>
            </w:r>
          </w:p>
        </w:tc>
        <w:tc>
          <w:tcPr>
            <w:tcW w:w="2750"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2902"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w:t>
            </w:r>
          </w:p>
        </w:tc>
      </w:tr>
      <w:tr w:rsidR="004B10FC">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61-70 </w:t>
            </w:r>
          </w:p>
        </w:tc>
        <w:tc>
          <w:tcPr>
            <w:tcW w:w="2750"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2902"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 </w:t>
            </w:r>
          </w:p>
        </w:tc>
      </w:tr>
      <w:tr w:rsidR="004B10FC">
        <w:trPr>
          <w:trHeight w:val="470"/>
        </w:trPr>
        <w:tc>
          <w:tcPr>
            <w:tcW w:w="3051"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&gt;70 </w:t>
            </w:r>
          </w:p>
        </w:tc>
        <w:tc>
          <w:tcPr>
            <w:tcW w:w="2750"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2902"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w:t>
            </w:r>
          </w:p>
        </w:tc>
      </w:tr>
      <w:tr w:rsidR="004B10FC">
        <w:trPr>
          <w:trHeight w:val="472"/>
        </w:trPr>
        <w:tc>
          <w:tcPr>
            <w:tcW w:w="3051"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Sex</w:t>
            </w:r>
          </w:p>
        </w:tc>
        <w:tc>
          <w:tcPr>
            <w:tcW w:w="2750" w:type="dxa"/>
            <w:tcBorders>
              <w:top w:val="single" w:sz="4" w:space="0" w:color="000000"/>
              <w:left w:val="single" w:sz="4" w:space="0" w:color="7F7F7F"/>
              <w:bottom w:val="single" w:sz="4" w:space="0" w:color="000000"/>
              <w:right w:val="single" w:sz="4" w:space="0" w:color="7F7F7F"/>
            </w:tcBorders>
            <w:vAlign w:val="center"/>
          </w:tcPr>
          <w:p w:rsidR="004B10FC" w:rsidRDefault="004B10FC">
            <w:pPr>
              <w:spacing w:after="160" w:line="259" w:lineRule="auto"/>
              <w:jc w:val="center"/>
              <w:rPr>
                <w:rFonts w:ascii="Times New Roman" w:eastAsia="Times New Roman" w:hAnsi="Times New Roman" w:cs="Times New Roman"/>
                <w:color w:val="000000"/>
                <w:sz w:val="24"/>
                <w:szCs w:val="24"/>
              </w:rPr>
            </w:pPr>
          </w:p>
        </w:tc>
        <w:tc>
          <w:tcPr>
            <w:tcW w:w="2902" w:type="dxa"/>
            <w:tcBorders>
              <w:top w:val="single" w:sz="4" w:space="0" w:color="000000"/>
              <w:left w:val="single" w:sz="4" w:space="0" w:color="7F7F7F"/>
              <w:bottom w:val="single" w:sz="4" w:space="0" w:color="000000"/>
              <w:right w:val="single" w:sz="4" w:space="0" w:color="7F7F7F"/>
            </w:tcBorders>
            <w:vAlign w:val="center"/>
          </w:tcPr>
          <w:p w:rsidR="004B10FC" w:rsidRDefault="004B10FC">
            <w:pPr>
              <w:spacing w:after="160" w:line="259" w:lineRule="auto"/>
              <w:ind w:right="3"/>
              <w:jc w:val="center"/>
              <w:rPr>
                <w:rFonts w:ascii="Times New Roman" w:eastAsia="Times New Roman" w:hAnsi="Times New Roman" w:cs="Times New Roman"/>
                <w:color w:val="000000"/>
                <w:sz w:val="24"/>
                <w:szCs w:val="24"/>
              </w:rPr>
            </w:pPr>
          </w:p>
        </w:tc>
      </w:tr>
      <w:tr w:rsidR="004B10FC">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27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p>
        </w:tc>
        <w:tc>
          <w:tcPr>
            <w:tcW w:w="290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43.7 </w:t>
            </w:r>
          </w:p>
        </w:tc>
      </w:tr>
      <w:tr w:rsidR="004B10FC">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27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p>
        </w:tc>
        <w:tc>
          <w:tcPr>
            <w:tcW w:w="290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56.3 </w:t>
            </w:r>
          </w:p>
        </w:tc>
      </w:tr>
      <w:tr w:rsidR="004B10FC">
        <w:trPr>
          <w:trHeight w:val="472"/>
        </w:trPr>
        <w:tc>
          <w:tcPr>
            <w:tcW w:w="3051" w:type="dxa"/>
            <w:tcBorders>
              <w:top w:val="single" w:sz="4" w:space="0" w:color="000000"/>
              <w:left w:val="single" w:sz="4" w:space="0" w:color="7F7F7F"/>
              <w:bottom w:val="single" w:sz="4" w:space="0" w:color="000000"/>
              <w:right w:val="single" w:sz="4" w:space="0" w:color="7F7F7F"/>
            </w:tcBorders>
            <w:vAlign w:val="center"/>
          </w:tcPr>
          <w:p w:rsidR="004B10FC" w:rsidRDefault="006A6BFB">
            <w:pPr>
              <w:spacing w:after="160" w:line="259" w:lineRule="auto"/>
              <w:ind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Causes of injury</w:t>
            </w:r>
          </w:p>
        </w:tc>
        <w:tc>
          <w:tcPr>
            <w:tcW w:w="2750" w:type="dxa"/>
            <w:tcBorders>
              <w:top w:val="single" w:sz="4" w:space="0" w:color="000000"/>
              <w:left w:val="single" w:sz="4" w:space="0" w:color="7F7F7F"/>
              <w:bottom w:val="single" w:sz="4" w:space="0" w:color="000000"/>
              <w:right w:val="single" w:sz="4" w:space="0" w:color="7F7F7F"/>
            </w:tcBorders>
            <w:vAlign w:val="center"/>
          </w:tcPr>
          <w:p w:rsidR="004B10FC" w:rsidRDefault="004B10FC">
            <w:pPr>
              <w:spacing w:after="160" w:line="259" w:lineRule="auto"/>
              <w:jc w:val="center"/>
              <w:rPr>
                <w:rFonts w:ascii="Times New Roman" w:eastAsia="Times New Roman" w:hAnsi="Times New Roman" w:cs="Times New Roman"/>
                <w:color w:val="000000"/>
                <w:sz w:val="24"/>
                <w:szCs w:val="24"/>
              </w:rPr>
            </w:pPr>
          </w:p>
        </w:tc>
        <w:tc>
          <w:tcPr>
            <w:tcW w:w="2902" w:type="dxa"/>
            <w:tcBorders>
              <w:top w:val="single" w:sz="4" w:space="0" w:color="000000"/>
              <w:left w:val="single" w:sz="4" w:space="0" w:color="7F7F7F"/>
              <w:bottom w:val="single" w:sz="4" w:space="0" w:color="000000"/>
              <w:right w:val="single" w:sz="4" w:space="0" w:color="7F7F7F"/>
            </w:tcBorders>
            <w:vAlign w:val="center"/>
          </w:tcPr>
          <w:p w:rsidR="004B10FC" w:rsidRDefault="004B10FC">
            <w:pPr>
              <w:spacing w:after="160" w:line="259" w:lineRule="auto"/>
              <w:ind w:right="3"/>
              <w:jc w:val="center"/>
              <w:rPr>
                <w:rFonts w:ascii="Times New Roman" w:eastAsia="Times New Roman" w:hAnsi="Times New Roman" w:cs="Times New Roman"/>
                <w:color w:val="000000"/>
                <w:sz w:val="24"/>
                <w:szCs w:val="24"/>
              </w:rPr>
            </w:pPr>
          </w:p>
        </w:tc>
      </w:tr>
      <w:tr w:rsidR="004B10FC">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Fall</w:t>
            </w:r>
          </w:p>
        </w:tc>
        <w:tc>
          <w:tcPr>
            <w:tcW w:w="27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290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24.6 </w:t>
            </w:r>
          </w:p>
        </w:tc>
      </w:tr>
      <w:tr w:rsidR="004B10FC">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Road traffic accident</w:t>
            </w:r>
          </w:p>
        </w:tc>
        <w:tc>
          <w:tcPr>
            <w:tcW w:w="27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p>
        </w:tc>
        <w:tc>
          <w:tcPr>
            <w:tcW w:w="290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75.4 </w:t>
            </w:r>
          </w:p>
        </w:tc>
      </w:tr>
      <w:tr w:rsidR="004B10FC">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Extent of injury</w:t>
            </w:r>
          </w:p>
        </w:tc>
        <w:tc>
          <w:tcPr>
            <w:tcW w:w="2750" w:type="dxa"/>
            <w:tcBorders>
              <w:top w:val="single" w:sz="4" w:space="0" w:color="000000"/>
              <w:left w:val="single" w:sz="4" w:space="0" w:color="000000"/>
              <w:bottom w:val="single" w:sz="4" w:space="0" w:color="000000"/>
              <w:right w:val="single" w:sz="4" w:space="0" w:color="000000"/>
            </w:tcBorders>
            <w:vAlign w:val="center"/>
          </w:tcPr>
          <w:p w:rsidR="004B10FC" w:rsidRDefault="004B10FC">
            <w:pPr>
              <w:spacing w:after="160" w:line="259" w:lineRule="auto"/>
              <w:ind w:right="53"/>
              <w:jc w:val="center"/>
              <w:rPr>
                <w:rFonts w:ascii="Times New Roman" w:eastAsia="Times New Roman" w:hAnsi="Times New Roman" w:cs="Times New Roman"/>
                <w:sz w:val="24"/>
                <w:szCs w:val="24"/>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4B10FC" w:rsidRDefault="004B10FC">
            <w:pPr>
              <w:spacing w:after="160" w:line="259" w:lineRule="auto"/>
              <w:ind w:right="56"/>
              <w:jc w:val="center"/>
              <w:rPr>
                <w:rFonts w:ascii="Times New Roman" w:eastAsia="Times New Roman" w:hAnsi="Times New Roman" w:cs="Times New Roman"/>
                <w:sz w:val="24"/>
                <w:szCs w:val="24"/>
              </w:rPr>
            </w:pPr>
          </w:p>
        </w:tc>
      </w:tr>
      <w:tr w:rsidR="004B10FC">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Moderate </w:t>
            </w:r>
          </w:p>
        </w:tc>
        <w:tc>
          <w:tcPr>
            <w:tcW w:w="27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w:t>
            </w:r>
          </w:p>
        </w:tc>
        <w:tc>
          <w:tcPr>
            <w:tcW w:w="290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46.8 </w:t>
            </w:r>
          </w:p>
        </w:tc>
      </w:tr>
      <w:tr w:rsidR="004B10FC">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Severe </w:t>
            </w:r>
          </w:p>
        </w:tc>
        <w:tc>
          <w:tcPr>
            <w:tcW w:w="27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90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53.2 </w:t>
            </w:r>
          </w:p>
        </w:tc>
      </w:tr>
      <w:tr w:rsidR="004B10FC">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Pressure effect</w:t>
            </w:r>
          </w:p>
        </w:tc>
        <w:tc>
          <w:tcPr>
            <w:tcW w:w="2750" w:type="dxa"/>
            <w:tcBorders>
              <w:top w:val="single" w:sz="4" w:space="0" w:color="000000"/>
              <w:left w:val="single" w:sz="4" w:space="0" w:color="000000"/>
              <w:bottom w:val="single" w:sz="4" w:space="0" w:color="000000"/>
              <w:right w:val="single" w:sz="4" w:space="0" w:color="000000"/>
            </w:tcBorders>
            <w:vAlign w:val="center"/>
          </w:tcPr>
          <w:p w:rsidR="004B10FC" w:rsidRDefault="004B10FC">
            <w:pPr>
              <w:spacing w:after="160" w:line="259" w:lineRule="auto"/>
              <w:jc w:val="center"/>
              <w:rPr>
                <w:rFonts w:ascii="Times New Roman" w:eastAsia="Times New Roman" w:hAnsi="Times New Roman" w:cs="Times New Roman"/>
                <w:sz w:val="24"/>
                <w:szCs w:val="24"/>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4B10FC" w:rsidRDefault="004B10FC">
            <w:pPr>
              <w:spacing w:after="160" w:line="259" w:lineRule="auto"/>
              <w:ind w:right="3"/>
              <w:jc w:val="center"/>
              <w:rPr>
                <w:rFonts w:ascii="Times New Roman" w:eastAsia="Times New Roman" w:hAnsi="Times New Roman" w:cs="Times New Roman"/>
                <w:sz w:val="24"/>
                <w:szCs w:val="24"/>
              </w:rPr>
            </w:pPr>
          </w:p>
        </w:tc>
      </w:tr>
      <w:tr w:rsidR="004B10FC">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Absent </w:t>
            </w:r>
          </w:p>
        </w:tc>
        <w:tc>
          <w:tcPr>
            <w:tcW w:w="27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c>
          <w:tcPr>
            <w:tcW w:w="290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40.5 </w:t>
            </w:r>
          </w:p>
        </w:tc>
      </w:tr>
      <w:tr w:rsidR="004B10FC">
        <w:trPr>
          <w:trHeight w:val="472"/>
        </w:trPr>
        <w:tc>
          <w:tcPr>
            <w:tcW w:w="305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w:t>
            </w:r>
          </w:p>
        </w:tc>
        <w:tc>
          <w:tcPr>
            <w:tcW w:w="27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p>
        </w:tc>
        <w:tc>
          <w:tcPr>
            <w:tcW w:w="290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59.5 </w:t>
            </w:r>
          </w:p>
        </w:tc>
      </w:tr>
    </w:tbl>
    <w:p w:rsidR="004B10FC" w:rsidRDefault="004B10FC">
      <w:pPr>
        <w:spacing w:after="0" w:line="240" w:lineRule="auto"/>
      </w:pPr>
    </w:p>
    <w:p w:rsidR="004B10FC" w:rsidRDefault="004B10FC">
      <w:pPr>
        <w:spacing w:after="0" w:line="240" w:lineRule="auto"/>
      </w:pPr>
    </w:p>
    <w:p w:rsidR="004B10FC" w:rsidRDefault="006A6BFB">
      <w:pPr>
        <w:spacing w:after="0" w:line="240" w:lineRule="auto"/>
      </w:pPr>
      <w:r>
        <w:t>Table 2: Grouped Data comparison   on day 1 and day 7 pertaining to hormone levels</w:t>
      </w:r>
    </w:p>
    <w:tbl>
      <w:tblPr>
        <w:tblStyle w:val="a0"/>
        <w:tblW w:w="9444" w:type="dxa"/>
        <w:tblInd w:w="-214" w:type="dxa"/>
        <w:tblLayout w:type="fixed"/>
        <w:tblLook w:val="0400" w:firstRow="0" w:lastRow="0" w:firstColumn="0" w:lastColumn="0" w:noHBand="0" w:noVBand="1"/>
      </w:tblPr>
      <w:tblGrid>
        <w:gridCol w:w="2610"/>
        <w:gridCol w:w="921"/>
        <w:gridCol w:w="1025"/>
        <w:gridCol w:w="952"/>
        <w:gridCol w:w="956"/>
        <w:gridCol w:w="1860"/>
        <w:gridCol w:w="1120"/>
      </w:tblGrid>
      <w:tr w:rsidR="004B10FC">
        <w:trPr>
          <w:trHeight w:val="592"/>
        </w:trPr>
        <w:tc>
          <w:tcPr>
            <w:tcW w:w="2610" w:type="dxa"/>
            <w:vMerge w:val="restart"/>
            <w:tcBorders>
              <w:top w:val="single" w:sz="4" w:space="0" w:color="000000"/>
              <w:left w:val="single" w:sz="4" w:space="0" w:color="000000"/>
              <w:bottom w:val="nil"/>
              <w:right w:val="single" w:sz="4" w:space="0" w:color="000000"/>
            </w:tcBorders>
          </w:tcPr>
          <w:p w:rsidR="004B10FC" w:rsidRDefault="004B10FC">
            <w:pPr>
              <w:spacing w:after="160" w:line="259" w:lineRule="auto"/>
              <w:rPr>
                <w:rFonts w:ascii="Times New Roman" w:eastAsia="Times New Roman" w:hAnsi="Times New Roman" w:cs="Times New Roman"/>
                <w:color w:val="000000"/>
                <w:sz w:val="24"/>
                <w:szCs w:val="24"/>
              </w:rPr>
            </w:pPr>
          </w:p>
        </w:tc>
        <w:tc>
          <w:tcPr>
            <w:tcW w:w="1946" w:type="dxa"/>
            <w:gridSpan w:val="2"/>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8"/>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Day 1 </w:t>
            </w: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Day 7 </w:t>
            </w:r>
          </w:p>
        </w:tc>
        <w:tc>
          <w:tcPr>
            <w:tcW w:w="1860" w:type="dxa"/>
            <w:vMerge w:val="restart"/>
            <w:tcBorders>
              <w:top w:val="single" w:sz="4" w:space="0" w:color="000000"/>
              <w:left w:val="single" w:sz="4" w:space="0" w:color="000000"/>
              <w:bottom w:val="nil"/>
              <w:right w:val="single" w:sz="4" w:space="0" w:color="000000"/>
            </w:tcBorders>
            <w:vAlign w:val="bottom"/>
          </w:tcPr>
          <w:p w:rsidR="004B10FC" w:rsidRDefault="006A6BFB">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t-test (paired) </w:t>
            </w:r>
          </w:p>
        </w:tc>
        <w:tc>
          <w:tcPr>
            <w:tcW w:w="1120" w:type="dxa"/>
            <w:vMerge w:val="restart"/>
            <w:tcBorders>
              <w:top w:val="single" w:sz="4" w:space="0" w:color="000000"/>
              <w:left w:val="single" w:sz="4" w:space="0" w:color="000000"/>
              <w:bottom w:val="nil"/>
              <w:right w:val="single" w:sz="4" w:space="0" w:color="000000"/>
            </w:tcBorders>
            <w:vAlign w:val="bottom"/>
          </w:tcPr>
          <w:p w:rsidR="004B10FC" w:rsidRDefault="006A6BFB">
            <w:pPr>
              <w:spacing w:after="160" w:line="259"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p-value </w:t>
            </w:r>
          </w:p>
        </w:tc>
      </w:tr>
      <w:tr w:rsidR="004B10FC">
        <w:trPr>
          <w:trHeight w:val="150"/>
        </w:trPr>
        <w:tc>
          <w:tcPr>
            <w:tcW w:w="2610" w:type="dxa"/>
            <w:vMerge/>
            <w:tcBorders>
              <w:top w:val="single" w:sz="4" w:space="0" w:color="000000"/>
              <w:left w:val="single" w:sz="4" w:space="0" w:color="000000"/>
              <w:bottom w:val="nil"/>
              <w:right w:val="single" w:sz="4" w:space="0" w:color="000000"/>
            </w:tcBorders>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21" w:type="dxa"/>
            <w:tcBorders>
              <w:top w:val="single" w:sz="4" w:space="0" w:color="000000"/>
              <w:left w:val="single" w:sz="4" w:space="0" w:color="000000"/>
              <w:bottom w:val="nil"/>
              <w:right w:val="single" w:sz="4" w:space="0" w:color="000000"/>
            </w:tcBorders>
          </w:tcPr>
          <w:p w:rsidR="004B10FC" w:rsidRDefault="004B10FC">
            <w:pPr>
              <w:spacing w:after="160" w:line="259" w:lineRule="auto"/>
              <w:rPr>
                <w:rFonts w:ascii="Times New Roman" w:eastAsia="Times New Roman" w:hAnsi="Times New Roman" w:cs="Times New Roman"/>
                <w:color w:val="000000"/>
                <w:sz w:val="24"/>
                <w:szCs w:val="24"/>
              </w:rPr>
            </w:pPr>
          </w:p>
        </w:tc>
        <w:tc>
          <w:tcPr>
            <w:tcW w:w="1025" w:type="dxa"/>
            <w:tcBorders>
              <w:top w:val="single" w:sz="4" w:space="0" w:color="000000"/>
              <w:left w:val="single" w:sz="4" w:space="0" w:color="000000"/>
              <w:bottom w:val="nil"/>
              <w:right w:val="single" w:sz="4" w:space="0" w:color="000000"/>
            </w:tcBorders>
          </w:tcPr>
          <w:p w:rsidR="004B10FC" w:rsidRDefault="004B10FC">
            <w:pPr>
              <w:spacing w:after="160" w:line="259" w:lineRule="auto"/>
              <w:rPr>
                <w:rFonts w:ascii="Times New Roman" w:eastAsia="Times New Roman" w:hAnsi="Times New Roman" w:cs="Times New Roman"/>
                <w:color w:val="000000"/>
                <w:sz w:val="24"/>
                <w:szCs w:val="24"/>
              </w:rPr>
            </w:pPr>
          </w:p>
        </w:tc>
        <w:tc>
          <w:tcPr>
            <w:tcW w:w="952" w:type="dxa"/>
            <w:tcBorders>
              <w:top w:val="single" w:sz="4" w:space="0" w:color="000000"/>
              <w:left w:val="single" w:sz="4" w:space="0" w:color="000000"/>
              <w:bottom w:val="nil"/>
              <w:right w:val="single" w:sz="4" w:space="0" w:color="000000"/>
            </w:tcBorders>
          </w:tcPr>
          <w:p w:rsidR="004B10FC" w:rsidRDefault="004B10FC">
            <w:pPr>
              <w:spacing w:after="160" w:line="259" w:lineRule="auto"/>
              <w:rPr>
                <w:rFonts w:ascii="Times New Roman" w:eastAsia="Times New Roman" w:hAnsi="Times New Roman" w:cs="Times New Roman"/>
                <w:color w:val="000000"/>
                <w:sz w:val="24"/>
                <w:szCs w:val="24"/>
              </w:rPr>
            </w:pPr>
          </w:p>
        </w:tc>
        <w:tc>
          <w:tcPr>
            <w:tcW w:w="956" w:type="dxa"/>
            <w:tcBorders>
              <w:top w:val="single" w:sz="4" w:space="0" w:color="000000"/>
              <w:left w:val="single" w:sz="4" w:space="0" w:color="000000"/>
              <w:bottom w:val="nil"/>
              <w:right w:val="single" w:sz="4" w:space="0" w:color="000000"/>
            </w:tcBorders>
            <w:vAlign w:val="center"/>
          </w:tcPr>
          <w:p w:rsidR="004B10FC" w:rsidRDefault="004B10FC">
            <w:pPr>
              <w:spacing w:after="160" w:line="259" w:lineRule="auto"/>
              <w:rPr>
                <w:rFonts w:ascii="Times New Roman" w:eastAsia="Times New Roman" w:hAnsi="Times New Roman" w:cs="Times New Roman"/>
                <w:color w:val="000000"/>
                <w:sz w:val="24"/>
                <w:szCs w:val="24"/>
              </w:rPr>
            </w:pPr>
          </w:p>
        </w:tc>
        <w:tc>
          <w:tcPr>
            <w:tcW w:w="1860" w:type="dxa"/>
            <w:vMerge/>
            <w:tcBorders>
              <w:top w:val="single" w:sz="4" w:space="0" w:color="000000"/>
              <w:left w:val="single" w:sz="4" w:space="0" w:color="000000"/>
              <w:bottom w:val="nil"/>
              <w:right w:val="single" w:sz="4" w:space="0" w:color="000000"/>
            </w:tcBorders>
            <w:vAlign w:val="bottom"/>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20" w:type="dxa"/>
            <w:vMerge/>
            <w:tcBorders>
              <w:top w:val="single" w:sz="4" w:space="0" w:color="000000"/>
              <w:left w:val="single" w:sz="4" w:space="0" w:color="000000"/>
              <w:bottom w:val="nil"/>
              <w:right w:val="single" w:sz="4" w:space="0" w:color="000000"/>
            </w:tcBorders>
            <w:vAlign w:val="bottom"/>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4B10FC">
        <w:trPr>
          <w:trHeight w:val="443"/>
        </w:trPr>
        <w:tc>
          <w:tcPr>
            <w:tcW w:w="2610" w:type="dxa"/>
            <w:tcBorders>
              <w:top w:val="nil"/>
              <w:left w:val="single" w:sz="4" w:space="0" w:color="000000"/>
              <w:bottom w:val="single" w:sz="4" w:space="0" w:color="000000"/>
              <w:right w:val="single" w:sz="4" w:space="0" w:color="000000"/>
            </w:tcBorders>
          </w:tcPr>
          <w:p w:rsidR="004B10FC" w:rsidRDefault="006A6BFB">
            <w:pPr>
              <w:spacing w:after="160" w:line="259" w:lineRule="auto"/>
              <w:ind w:left="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c>
          <w:tcPr>
            <w:tcW w:w="921" w:type="dxa"/>
            <w:tcBorders>
              <w:top w:val="nil"/>
              <w:left w:val="single" w:sz="4" w:space="0" w:color="000000"/>
              <w:bottom w:val="single" w:sz="4" w:space="0" w:color="000000"/>
              <w:right w:val="single" w:sz="4" w:space="0" w:color="000000"/>
            </w:tcBorders>
          </w:tcPr>
          <w:p w:rsidR="004B10FC" w:rsidRDefault="006A6BFB">
            <w:pPr>
              <w:spacing w:after="160" w:line="259" w:lineRule="auto"/>
              <w:ind w:left="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Mean </w:t>
            </w:r>
          </w:p>
        </w:tc>
        <w:tc>
          <w:tcPr>
            <w:tcW w:w="1025" w:type="dxa"/>
            <w:tcBorders>
              <w:top w:val="nil"/>
              <w:left w:val="single" w:sz="4" w:space="0" w:color="000000"/>
              <w:bottom w:val="single" w:sz="4" w:space="0" w:color="000000"/>
              <w:right w:val="single" w:sz="4" w:space="0" w:color="000000"/>
            </w:tcBorders>
          </w:tcPr>
          <w:p w:rsidR="004B10FC" w:rsidRDefault="006A6BFB">
            <w:pPr>
              <w:spacing w:after="160" w:line="259" w:lineRule="auto"/>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SD </w:t>
            </w:r>
          </w:p>
        </w:tc>
        <w:tc>
          <w:tcPr>
            <w:tcW w:w="952" w:type="dxa"/>
            <w:tcBorders>
              <w:top w:val="nil"/>
              <w:left w:val="single" w:sz="4" w:space="0" w:color="000000"/>
              <w:bottom w:val="single" w:sz="4" w:space="0" w:color="000000"/>
              <w:right w:val="single" w:sz="4" w:space="0" w:color="000000"/>
            </w:tcBorders>
          </w:tcPr>
          <w:p w:rsidR="004B10FC" w:rsidRDefault="006A6BFB">
            <w:pPr>
              <w:spacing w:after="160" w:line="259" w:lineRule="auto"/>
              <w:ind w:left="1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Mean </w:t>
            </w:r>
          </w:p>
        </w:tc>
        <w:tc>
          <w:tcPr>
            <w:tcW w:w="956" w:type="dxa"/>
            <w:tcBorders>
              <w:top w:val="nil"/>
              <w:left w:val="single" w:sz="4" w:space="0" w:color="000000"/>
              <w:bottom w:val="single" w:sz="4" w:space="0" w:color="000000"/>
              <w:right w:val="single" w:sz="4" w:space="0" w:color="000000"/>
            </w:tcBorders>
          </w:tcPr>
          <w:p w:rsidR="004B10FC" w:rsidRDefault="006A6BFB">
            <w:pPr>
              <w:spacing w:after="160" w:line="259" w:lineRule="auto"/>
              <w:ind w:right="5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SD </w:t>
            </w:r>
          </w:p>
        </w:tc>
        <w:tc>
          <w:tcPr>
            <w:tcW w:w="1860" w:type="dxa"/>
            <w:tcBorders>
              <w:top w:val="nil"/>
              <w:left w:val="single" w:sz="4" w:space="0" w:color="000000"/>
              <w:bottom w:val="single" w:sz="4" w:space="0" w:color="000000"/>
              <w:right w:val="single" w:sz="4" w:space="0" w:color="000000"/>
            </w:tcBorders>
          </w:tcPr>
          <w:p w:rsidR="004B10FC" w:rsidRDefault="004B10FC">
            <w:pPr>
              <w:spacing w:after="160" w:line="259" w:lineRule="auto"/>
              <w:rPr>
                <w:rFonts w:ascii="Times New Roman" w:eastAsia="Times New Roman" w:hAnsi="Times New Roman" w:cs="Times New Roman"/>
                <w:color w:val="000000"/>
                <w:sz w:val="24"/>
                <w:szCs w:val="24"/>
              </w:rPr>
            </w:pPr>
          </w:p>
        </w:tc>
        <w:tc>
          <w:tcPr>
            <w:tcW w:w="1120" w:type="dxa"/>
            <w:tcBorders>
              <w:top w:val="nil"/>
              <w:left w:val="single" w:sz="4" w:space="0" w:color="000000"/>
              <w:bottom w:val="single" w:sz="4" w:space="0" w:color="000000"/>
              <w:right w:val="single" w:sz="4" w:space="0" w:color="000000"/>
            </w:tcBorders>
            <w:vAlign w:val="bottom"/>
          </w:tcPr>
          <w:p w:rsidR="004B10FC" w:rsidRDefault="004B10FC">
            <w:pPr>
              <w:spacing w:after="160" w:line="259" w:lineRule="auto"/>
              <w:rPr>
                <w:rFonts w:ascii="Times New Roman" w:eastAsia="Times New Roman" w:hAnsi="Times New Roman" w:cs="Times New Roman"/>
                <w:color w:val="000000"/>
                <w:sz w:val="24"/>
                <w:szCs w:val="24"/>
              </w:rPr>
            </w:pPr>
          </w:p>
        </w:tc>
      </w:tr>
      <w:tr w:rsidR="004B10FC">
        <w:trPr>
          <w:trHeight w:val="592"/>
        </w:trPr>
        <w:tc>
          <w:tcPr>
            <w:tcW w:w="261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FT3(pg./ml) </w:t>
            </w:r>
          </w:p>
        </w:tc>
        <w:tc>
          <w:tcPr>
            <w:tcW w:w="92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2.62 </w:t>
            </w:r>
          </w:p>
        </w:tc>
        <w:tc>
          <w:tcPr>
            <w:tcW w:w="102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0.58 </w:t>
            </w:r>
          </w:p>
        </w:tc>
        <w:tc>
          <w:tcPr>
            <w:tcW w:w="95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2.53 </w:t>
            </w:r>
          </w:p>
        </w:tc>
        <w:tc>
          <w:tcPr>
            <w:tcW w:w="956"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0.62 </w:t>
            </w:r>
          </w:p>
        </w:tc>
        <w:tc>
          <w:tcPr>
            <w:tcW w:w="186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6.94 </w:t>
            </w:r>
          </w:p>
        </w:tc>
        <w:tc>
          <w:tcPr>
            <w:tcW w:w="112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&lt;0.001 </w:t>
            </w:r>
          </w:p>
        </w:tc>
      </w:tr>
      <w:tr w:rsidR="004B10FC">
        <w:trPr>
          <w:trHeight w:val="594"/>
        </w:trPr>
        <w:tc>
          <w:tcPr>
            <w:tcW w:w="261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FT4(ng/dl) </w:t>
            </w:r>
          </w:p>
        </w:tc>
        <w:tc>
          <w:tcPr>
            <w:tcW w:w="92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1.34 </w:t>
            </w:r>
          </w:p>
        </w:tc>
        <w:tc>
          <w:tcPr>
            <w:tcW w:w="102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0.29 </w:t>
            </w:r>
          </w:p>
        </w:tc>
        <w:tc>
          <w:tcPr>
            <w:tcW w:w="95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1.09 </w:t>
            </w:r>
          </w:p>
        </w:tc>
        <w:tc>
          <w:tcPr>
            <w:tcW w:w="956"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0.34 </w:t>
            </w:r>
          </w:p>
        </w:tc>
        <w:tc>
          <w:tcPr>
            <w:tcW w:w="186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11.97 </w:t>
            </w:r>
          </w:p>
        </w:tc>
        <w:tc>
          <w:tcPr>
            <w:tcW w:w="112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&lt;0.001 </w:t>
            </w:r>
          </w:p>
        </w:tc>
      </w:tr>
      <w:tr w:rsidR="004B10FC">
        <w:trPr>
          <w:trHeight w:val="592"/>
        </w:trPr>
        <w:tc>
          <w:tcPr>
            <w:tcW w:w="261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TSH (</w:t>
            </w:r>
            <w:proofErr w:type="spellStart"/>
            <w:r>
              <w:rPr>
                <w:rFonts w:ascii="Times New Roman" w:eastAsia="Times New Roman" w:hAnsi="Times New Roman" w:cs="Times New Roman"/>
                <w:b/>
                <w:color w:val="000000"/>
                <w:sz w:val="24"/>
                <w:szCs w:val="24"/>
              </w:rPr>
              <w:t>mIU</w:t>
            </w:r>
            <w:proofErr w:type="spellEnd"/>
            <w:r>
              <w:rPr>
                <w:rFonts w:ascii="Times New Roman" w:eastAsia="Times New Roman" w:hAnsi="Times New Roman" w:cs="Times New Roman"/>
                <w:b/>
                <w:color w:val="000000"/>
                <w:sz w:val="24"/>
                <w:szCs w:val="24"/>
              </w:rPr>
              <w:t xml:space="preserve">/ml) </w:t>
            </w:r>
          </w:p>
        </w:tc>
        <w:tc>
          <w:tcPr>
            <w:tcW w:w="92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1.16 </w:t>
            </w:r>
          </w:p>
        </w:tc>
        <w:tc>
          <w:tcPr>
            <w:tcW w:w="102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1.18 </w:t>
            </w:r>
          </w:p>
        </w:tc>
        <w:tc>
          <w:tcPr>
            <w:tcW w:w="95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0.97 </w:t>
            </w:r>
          </w:p>
        </w:tc>
        <w:tc>
          <w:tcPr>
            <w:tcW w:w="956"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1.19 </w:t>
            </w:r>
          </w:p>
        </w:tc>
        <w:tc>
          <w:tcPr>
            <w:tcW w:w="186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9.47 </w:t>
            </w:r>
          </w:p>
        </w:tc>
        <w:tc>
          <w:tcPr>
            <w:tcW w:w="112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&lt;0.001 </w:t>
            </w:r>
          </w:p>
        </w:tc>
      </w:tr>
      <w:tr w:rsidR="004B10FC">
        <w:trPr>
          <w:trHeight w:val="594"/>
        </w:trPr>
        <w:tc>
          <w:tcPr>
            <w:tcW w:w="261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GH (ng/ml) </w:t>
            </w:r>
          </w:p>
        </w:tc>
        <w:tc>
          <w:tcPr>
            <w:tcW w:w="92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4.29 </w:t>
            </w:r>
          </w:p>
        </w:tc>
        <w:tc>
          <w:tcPr>
            <w:tcW w:w="102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3.48 </w:t>
            </w:r>
          </w:p>
        </w:tc>
        <w:tc>
          <w:tcPr>
            <w:tcW w:w="95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4.28 </w:t>
            </w:r>
          </w:p>
        </w:tc>
        <w:tc>
          <w:tcPr>
            <w:tcW w:w="956"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3.45 </w:t>
            </w:r>
          </w:p>
        </w:tc>
        <w:tc>
          <w:tcPr>
            <w:tcW w:w="186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0.35 </w:t>
            </w:r>
          </w:p>
        </w:tc>
        <w:tc>
          <w:tcPr>
            <w:tcW w:w="112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0.726 </w:t>
            </w:r>
          </w:p>
        </w:tc>
      </w:tr>
      <w:tr w:rsidR="004B10FC">
        <w:trPr>
          <w:trHeight w:val="592"/>
        </w:trPr>
        <w:tc>
          <w:tcPr>
            <w:tcW w:w="261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CORTISOL (mcg/dl) </w:t>
            </w:r>
          </w:p>
        </w:tc>
        <w:tc>
          <w:tcPr>
            <w:tcW w:w="92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25.45 </w:t>
            </w:r>
          </w:p>
        </w:tc>
        <w:tc>
          <w:tcPr>
            <w:tcW w:w="102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10.36 </w:t>
            </w:r>
          </w:p>
        </w:tc>
        <w:tc>
          <w:tcPr>
            <w:tcW w:w="95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22.22 </w:t>
            </w:r>
          </w:p>
        </w:tc>
        <w:tc>
          <w:tcPr>
            <w:tcW w:w="956"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w:t>
            </w:r>
          </w:p>
        </w:tc>
        <w:tc>
          <w:tcPr>
            <w:tcW w:w="186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17.18 </w:t>
            </w:r>
          </w:p>
        </w:tc>
        <w:tc>
          <w:tcPr>
            <w:tcW w:w="112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&lt;0.001 </w:t>
            </w:r>
          </w:p>
        </w:tc>
      </w:tr>
      <w:tr w:rsidR="004B10FC">
        <w:trPr>
          <w:trHeight w:val="594"/>
        </w:trPr>
        <w:tc>
          <w:tcPr>
            <w:tcW w:w="261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Prolactin (ng/ml) </w:t>
            </w:r>
          </w:p>
        </w:tc>
        <w:tc>
          <w:tcPr>
            <w:tcW w:w="921"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10.24 </w:t>
            </w:r>
          </w:p>
        </w:tc>
        <w:tc>
          <w:tcPr>
            <w:tcW w:w="102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6.57 </w:t>
            </w:r>
          </w:p>
        </w:tc>
        <w:tc>
          <w:tcPr>
            <w:tcW w:w="952"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11.38 </w:t>
            </w:r>
          </w:p>
        </w:tc>
        <w:tc>
          <w:tcPr>
            <w:tcW w:w="956"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6.88 </w:t>
            </w:r>
          </w:p>
        </w:tc>
        <w:tc>
          <w:tcPr>
            <w:tcW w:w="186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-9.97 </w:t>
            </w:r>
          </w:p>
        </w:tc>
        <w:tc>
          <w:tcPr>
            <w:tcW w:w="112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&lt;0.001 </w:t>
            </w:r>
          </w:p>
        </w:tc>
      </w:tr>
    </w:tbl>
    <w:p w:rsidR="004B10FC" w:rsidRDefault="004B10FC">
      <w:pPr>
        <w:spacing w:after="0" w:line="240" w:lineRule="auto"/>
      </w:pPr>
    </w:p>
    <w:p w:rsidR="004B10FC" w:rsidRDefault="006A6BFB">
      <w:pPr>
        <w:spacing w:after="0" w:line="240" w:lineRule="auto"/>
      </w:pPr>
      <w:r>
        <w:t>The mean FT3 levels on day 1 (2.62± .57) was significantly more than on day 7 (2.53± .61) (P˂0.001). The mean FT4 levels on day 1(1.34± .28) was significantly less than on day 7 (1.08± .</w:t>
      </w:r>
      <w:proofErr w:type="gramStart"/>
      <w:r>
        <w:t>33)(</w:t>
      </w:r>
      <w:proofErr w:type="gramEnd"/>
      <w:r>
        <w:t>P˂0.001). The mean TSH levels on day 1 (1.15± 1.18) was significantly more than on day 7 (1.18± .97) (P˂0.001). No significant difference was seen in growth hormone on day 1 and day 7 (P=0.726). Cortisol was also significantly more on day 1 (25.45± 10.36) than on day 7 (22.22±9.28) (p˂0.001). Prolactin levels were less on day 1 (10.24±6.57) than on day 7 (11.38±6.88) (p˂0.001). (Table 2)</w:t>
      </w:r>
    </w:p>
    <w:p w:rsidR="004B10FC" w:rsidRDefault="004B10FC">
      <w:pPr>
        <w:spacing w:after="0" w:line="240" w:lineRule="auto"/>
      </w:pPr>
    </w:p>
    <w:p w:rsidR="004B10FC" w:rsidRDefault="006A6BFB">
      <w:pPr>
        <w:spacing w:after="0" w:line="240" w:lineRule="auto"/>
      </w:pPr>
      <w:r>
        <w:t>Table 3: Correlation between Hormone levels and GCS</w:t>
      </w:r>
    </w:p>
    <w:tbl>
      <w:tblPr>
        <w:tblStyle w:val="a1"/>
        <w:tblW w:w="8222" w:type="dxa"/>
        <w:tblInd w:w="-216" w:type="dxa"/>
        <w:tblLayout w:type="fixed"/>
        <w:tblLook w:val="0400" w:firstRow="0" w:lastRow="0" w:firstColumn="0" w:lastColumn="0" w:noHBand="0" w:noVBand="1"/>
      </w:tblPr>
      <w:tblGrid>
        <w:gridCol w:w="4335"/>
        <w:gridCol w:w="2298"/>
        <w:gridCol w:w="1589"/>
      </w:tblGrid>
      <w:tr w:rsidR="004B10FC">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4B10FC">
            <w:pPr>
              <w:spacing w:after="160" w:line="259" w:lineRule="auto"/>
              <w:rPr>
                <w:rFonts w:ascii="Times New Roman" w:eastAsia="Times New Roman" w:hAnsi="Times New Roman" w:cs="Times New Roman"/>
                <w:color w:val="000000"/>
                <w:sz w:val="24"/>
                <w:szCs w:val="24"/>
              </w:rPr>
            </w:pP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Pearson Correlation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Sig. (2-tailed) </w:t>
            </w:r>
          </w:p>
        </w:tc>
      </w:tr>
      <w:tr w:rsidR="004B10FC">
        <w:trPr>
          <w:trHeight w:val="476"/>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FT3 DAY 1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-0.022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0.809 </w:t>
            </w:r>
          </w:p>
        </w:tc>
      </w:tr>
      <w:tr w:rsidR="004B10FC">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FT3DAY 7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-0.144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0.108 </w:t>
            </w:r>
          </w:p>
        </w:tc>
      </w:tr>
      <w:tr w:rsidR="004B10FC">
        <w:trPr>
          <w:trHeight w:val="476"/>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FT4 DAY 1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0.556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4B10FC">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FT4 DAY 7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0.672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4B10FC">
        <w:trPr>
          <w:trHeight w:val="477"/>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TSH DAY 1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0.331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4B10FC">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TSH DAY 7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0.442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4B10FC">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GH DAY 1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-0.781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4B10FC">
        <w:trPr>
          <w:trHeight w:val="476"/>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GH DAY 7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-0.795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4B10FC">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CORTISOL DAY 1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-0.895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4B10FC">
        <w:trPr>
          <w:trHeight w:val="476"/>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CORTISOL DAY 7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-0.878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4B10FC">
        <w:trPr>
          <w:trHeight w:val="475"/>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PROLACTIN DAY 1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-0.55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4B10FC">
        <w:trPr>
          <w:trHeight w:val="476"/>
        </w:trPr>
        <w:tc>
          <w:tcPr>
            <w:tcW w:w="433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PROLACTIN DAY 7 </w:t>
            </w:r>
          </w:p>
        </w:tc>
        <w:tc>
          <w:tcPr>
            <w:tcW w:w="2298"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-0.542 </w:t>
            </w:r>
          </w:p>
        </w:tc>
        <w:tc>
          <w:tcPr>
            <w:tcW w:w="1589"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6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bl>
    <w:p w:rsidR="004B10FC" w:rsidRDefault="004B10FC">
      <w:pPr>
        <w:spacing w:after="0" w:line="240" w:lineRule="auto"/>
      </w:pPr>
    </w:p>
    <w:p w:rsidR="004B10FC" w:rsidRDefault="006A6BFB">
      <w:pPr>
        <w:spacing w:after="0" w:line="240" w:lineRule="auto"/>
      </w:pPr>
      <w:r>
        <w:t xml:space="preserve">The value of correlation coefficient of FT4 was 0.55 on day 1 and 0.67 on day 7 which signifies moderate and good correlation on day 1 and day 7 respectively according to which when GCS increases FT4 also increases. The value of correlation coefficient of TSH was 0.33 </w:t>
      </w:r>
      <w:r>
        <w:lastRenderedPageBreak/>
        <w:t>on day 1 and 0.44 on day 7 which signifies mild and moderate correlation on day 1 and day 7 respectively according to which when GCS increases TSH also increases. The value of correlation coefficient of GH was -0.78 on day 1 and -0.79 on day 7 which signifies excellent negative correlation on day 1 and 7 respectively. The value of correlation coefficient of cortisol was -0.89 on day 1 and -0.87 on day 7 which signifies excellent negative correlation on day 1 and day 7 respectively. Moderate negative correlation between GCS and prolactin was on day 1 and day 7 was seen. (Table 3)</w:t>
      </w:r>
    </w:p>
    <w:p w:rsidR="004B10FC" w:rsidRDefault="006A6BFB">
      <w:pPr>
        <w:spacing w:after="0" w:line="240" w:lineRule="auto"/>
      </w:pPr>
      <w:r>
        <w:rPr>
          <w:noProof/>
        </w:rPr>
        <w:drawing>
          <wp:inline distT="0" distB="0" distL="0" distR="0" wp14:anchorId="4F796882" wp14:editId="7FAB2AEC">
            <wp:extent cx="5486400" cy="43592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86400" cy="4359226"/>
                    </a:xfrm>
                    <a:prstGeom prst="rect">
                      <a:avLst/>
                    </a:prstGeom>
                    <a:ln/>
                  </pic:spPr>
                </pic:pic>
              </a:graphicData>
            </a:graphic>
          </wp:inline>
        </w:drawing>
      </w:r>
    </w:p>
    <w:p w:rsidR="004B10FC" w:rsidRDefault="004B10FC">
      <w:pPr>
        <w:spacing w:after="0" w:line="240" w:lineRule="auto"/>
      </w:pPr>
    </w:p>
    <w:p w:rsidR="004B10FC" w:rsidRDefault="006A6BFB">
      <w:pPr>
        <w:spacing w:after="0" w:line="240" w:lineRule="auto"/>
      </w:pPr>
      <w:r>
        <w:t>Figure 1: Categorical comparison between Hormone levels and GOS</w:t>
      </w:r>
    </w:p>
    <w:p w:rsidR="004B10FC" w:rsidRDefault="004B10FC">
      <w:pPr>
        <w:spacing w:after="0" w:line="240" w:lineRule="auto"/>
      </w:pPr>
    </w:p>
    <w:p w:rsidR="004B10FC" w:rsidRDefault="006A6BFB">
      <w:pPr>
        <w:spacing w:after="0" w:line="240" w:lineRule="auto"/>
      </w:pPr>
      <w:r>
        <w:t xml:space="preserve">FT3 was significantly high in patients with Poor GOS while in cases with good GOS, </w:t>
      </w:r>
      <w:proofErr w:type="gramStart"/>
      <w:r>
        <w:t>more</w:t>
      </w:r>
      <w:proofErr w:type="gramEnd"/>
      <w:r>
        <w:t xml:space="preserve"> number of patients had low or normal FT3. This association was statistically significant on day 1 and day 7. Similar trends were seen with respect to FT4 and TSH however levels.</w:t>
      </w:r>
    </w:p>
    <w:p w:rsidR="004B10FC" w:rsidRDefault="006A6BFB">
      <w:pPr>
        <w:spacing w:after="0" w:line="240" w:lineRule="auto"/>
      </w:pPr>
      <w:r>
        <w:t>Cortisol levels on day 1 showed that patients with poor GCS had high cortisol levels in day one and day 7. GH levels both in patients with poor GCS was high in 16 patients while in patients with poor GCS it was normal. (Figure 1)</w:t>
      </w:r>
    </w:p>
    <w:tbl>
      <w:tblPr>
        <w:tblStyle w:val="a2"/>
        <w:tblW w:w="8803" w:type="dxa"/>
        <w:tblInd w:w="-216" w:type="dxa"/>
        <w:tblLayout w:type="fixed"/>
        <w:tblLook w:val="0400" w:firstRow="0" w:lastRow="0" w:firstColumn="0" w:lastColumn="0" w:noHBand="0" w:noVBand="1"/>
      </w:tblPr>
      <w:tblGrid>
        <w:gridCol w:w="1155"/>
        <w:gridCol w:w="1017"/>
        <w:gridCol w:w="507"/>
        <w:gridCol w:w="1150"/>
        <w:gridCol w:w="505"/>
        <w:gridCol w:w="1153"/>
        <w:gridCol w:w="505"/>
        <w:gridCol w:w="1153"/>
        <w:gridCol w:w="505"/>
        <w:gridCol w:w="1153"/>
      </w:tblGrid>
      <w:tr w:rsidR="004B10FC">
        <w:trPr>
          <w:trHeight w:val="527"/>
        </w:trPr>
        <w:tc>
          <w:tcPr>
            <w:tcW w:w="21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GOS </w:t>
            </w:r>
          </w:p>
        </w:tc>
        <w:tc>
          <w:tcPr>
            <w:tcW w:w="3315" w:type="dxa"/>
            <w:gridSpan w:val="4"/>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Poor </w:t>
            </w:r>
          </w:p>
        </w:tc>
        <w:tc>
          <w:tcPr>
            <w:tcW w:w="3316" w:type="dxa"/>
            <w:gridSpan w:val="4"/>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Good </w:t>
            </w:r>
          </w:p>
        </w:tc>
      </w:tr>
      <w:tr w:rsidR="004B10FC">
        <w:trPr>
          <w:trHeight w:val="527"/>
        </w:trPr>
        <w:tc>
          <w:tcPr>
            <w:tcW w:w="2173" w:type="dxa"/>
            <w:gridSpan w:val="2"/>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Day 1 </w:t>
            </w:r>
          </w:p>
        </w:tc>
        <w:tc>
          <w:tcPr>
            <w:tcW w:w="1658" w:type="dxa"/>
            <w:gridSpan w:val="2"/>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Day 7 </w:t>
            </w:r>
          </w:p>
        </w:tc>
        <w:tc>
          <w:tcPr>
            <w:tcW w:w="1658" w:type="dxa"/>
            <w:gridSpan w:val="2"/>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Day 1 </w:t>
            </w:r>
          </w:p>
        </w:tc>
        <w:tc>
          <w:tcPr>
            <w:tcW w:w="1658" w:type="dxa"/>
            <w:gridSpan w:val="2"/>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Day 7 </w:t>
            </w:r>
          </w:p>
        </w:tc>
      </w:tr>
      <w:tr w:rsidR="004B10FC">
        <w:trPr>
          <w:trHeight w:val="529"/>
        </w:trPr>
        <w:tc>
          <w:tcPr>
            <w:tcW w:w="2173" w:type="dxa"/>
            <w:gridSpan w:val="2"/>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r>
      <w:tr w:rsidR="004B10FC">
        <w:trPr>
          <w:trHeight w:val="527"/>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FT4 </w:t>
            </w: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21.50%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32.80%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32.80%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32.80% </w:t>
            </w:r>
          </w:p>
        </w:tc>
      </w:tr>
      <w:tr w:rsidR="004B10FC">
        <w:trPr>
          <w:trHeight w:val="527"/>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69.20%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67.20%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67.20%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67.20% </w:t>
            </w:r>
          </w:p>
        </w:tc>
      </w:tr>
      <w:tr w:rsidR="004B10FC">
        <w:trPr>
          <w:trHeight w:val="527"/>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r>
      <w:tr w:rsidR="004B10FC">
        <w:trPr>
          <w:trHeight w:val="527"/>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FT3 </w:t>
            </w: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6.60% </w:t>
            </w:r>
          </w:p>
        </w:tc>
      </w:tr>
      <w:tr w:rsidR="004B10FC">
        <w:trPr>
          <w:trHeight w:val="527"/>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95.40%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48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78.70%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48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78.70%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86.90% </w:t>
            </w:r>
          </w:p>
        </w:tc>
      </w:tr>
      <w:tr w:rsidR="004B10FC">
        <w:trPr>
          <w:trHeight w:val="527"/>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21.30%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21.30%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6.60% </w:t>
            </w:r>
          </w:p>
        </w:tc>
      </w:tr>
      <w:tr w:rsidR="004B10FC">
        <w:trPr>
          <w:trHeight w:val="529"/>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TSH </w:t>
            </w: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3.30% </w:t>
            </w:r>
          </w:p>
        </w:tc>
      </w:tr>
      <w:tr w:rsidR="004B10FC">
        <w:trPr>
          <w:trHeight w:val="527"/>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96.90%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56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91.80%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56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91.80%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59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96.70% </w:t>
            </w:r>
          </w:p>
        </w:tc>
      </w:tr>
      <w:tr w:rsidR="004B10FC">
        <w:trPr>
          <w:trHeight w:val="527"/>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r>
      <w:tr w:rsidR="004B10FC">
        <w:trPr>
          <w:trHeight w:val="527"/>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GH </w:t>
            </w: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r>
      <w:tr w:rsidR="004B10FC">
        <w:trPr>
          <w:trHeight w:val="527"/>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49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75.40%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100.00% </w:t>
            </w:r>
          </w:p>
        </w:tc>
      </w:tr>
      <w:tr w:rsidR="004B10FC">
        <w:trPr>
          <w:trHeight w:val="527"/>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24.60%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r>
      <w:tr w:rsidR="004B10FC">
        <w:trPr>
          <w:trHeight w:val="529"/>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4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Cortisol </w:t>
            </w: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9.80%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9.80%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9.80% </w:t>
            </w:r>
          </w:p>
        </w:tc>
      </w:tr>
      <w:tr w:rsidR="004B10FC">
        <w:trPr>
          <w:trHeight w:val="527"/>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90.20%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90.20%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90.20% </w:t>
            </w:r>
          </w:p>
        </w:tc>
      </w:tr>
      <w:tr w:rsidR="004B10FC">
        <w:trPr>
          <w:trHeight w:val="527"/>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65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r>
      <w:tr w:rsidR="004B10FC">
        <w:trPr>
          <w:trHeight w:val="527"/>
        </w:trPr>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Prolactin </w:t>
            </w: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Low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23.00%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23.00% </w:t>
            </w:r>
          </w:p>
        </w:tc>
      </w:tr>
      <w:tr w:rsidR="004B10FC">
        <w:trPr>
          <w:trHeight w:val="527"/>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Normal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83.10%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73.80%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73.80%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73.80% </w:t>
            </w:r>
          </w:p>
        </w:tc>
      </w:tr>
      <w:tr w:rsidR="004B10FC">
        <w:trPr>
          <w:trHeight w:val="530"/>
        </w:trPr>
        <w:tc>
          <w:tcPr>
            <w:tcW w:w="1156" w:type="dxa"/>
            <w:vMerge/>
            <w:tcBorders>
              <w:top w:val="single" w:sz="4" w:space="0" w:color="000000"/>
              <w:left w:val="single" w:sz="4" w:space="0" w:color="000000"/>
              <w:bottom w:val="single" w:sz="4" w:space="0" w:color="000000"/>
              <w:right w:val="single" w:sz="4" w:space="0" w:color="000000"/>
            </w:tcBorders>
            <w:vAlign w:val="center"/>
          </w:tcPr>
          <w:p w:rsidR="004B10FC" w:rsidRDefault="004B10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High  </w:t>
            </w:r>
          </w:p>
        </w:tc>
        <w:tc>
          <w:tcPr>
            <w:tcW w:w="507"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p>
        </w:tc>
        <w:tc>
          <w:tcPr>
            <w:tcW w:w="1150"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16.90%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3.30% </w:t>
            </w:r>
          </w:p>
        </w:tc>
        <w:tc>
          <w:tcPr>
            <w:tcW w:w="505"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lef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153" w:type="dxa"/>
            <w:tcBorders>
              <w:top w:val="single" w:sz="4" w:space="0" w:color="000000"/>
              <w:left w:val="single" w:sz="4" w:space="0" w:color="000000"/>
              <w:bottom w:val="single" w:sz="4" w:space="0" w:color="000000"/>
              <w:right w:val="single" w:sz="4" w:space="0" w:color="000000"/>
            </w:tcBorders>
            <w:vAlign w:val="center"/>
          </w:tcPr>
          <w:p w:rsidR="004B10FC" w:rsidRDefault="006A6BFB">
            <w:pPr>
              <w:spacing w:after="160" w:line="259" w:lineRule="auto"/>
              <w:ind w:righ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3.30% </w:t>
            </w:r>
          </w:p>
        </w:tc>
      </w:tr>
    </w:tbl>
    <w:p w:rsidR="004B10FC" w:rsidRDefault="004B10FC">
      <w:pPr>
        <w:spacing w:after="0" w:line="240" w:lineRule="auto"/>
      </w:pPr>
    </w:p>
    <w:p w:rsidR="004B10FC" w:rsidRDefault="004B10FC">
      <w:pPr>
        <w:spacing w:after="0" w:line="240" w:lineRule="auto"/>
      </w:pPr>
    </w:p>
    <w:p w:rsidR="004B10FC" w:rsidRDefault="004B10FC">
      <w:pPr>
        <w:spacing w:after="0" w:line="240" w:lineRule="auto"/>
      </w:pPr>
    </w:p>
    <w:p w:rsidR="004B10FC" w:rsidRDefault="006A6BFB">
      <w:pPr>
        <w:spacing w:after="0" w:line="240" w:lineRule="auto"/>
      </w:pPr>
      <w:r>
        <w:t>Table 4: Comparison between GOS on day 1 and day 7</w:t>
      </w:r>
    </w:p>
    <w:p w:rsidR="004B10FC" w:rsidRDefault="004B10FC">
      <w:pPr>
        <w:spacing w:after="0" w:line="240" w:lineRule="auto"/>
      </w:pPr>
    </w:p>
    <w:p w:rsidR="004B10FC" w:rsidRDefault="006A6BFB">
      <w:pPr>
        <w:spacing w:after="0" w:line="240" w:lineRule="auto"/>
      </w:pPr>
      <w:r>
        <w:t xml:space="preserve">In cases of FT4 patients on day 1, 69.20 % were normal as compared to 67.20% on day 7. In FT3, 95.40% had normal levels on day 1 while 78.70% had normal levels on day 7. TSH was normal in 96.90% in patients with poor GOS on day 1 as compared to 91.80% on day 7. GH was normal </w:t>
      </w:r>
      <w:proofErr w:type="gramStart"/>
      <w:r>
        <w:t>in  75.40</w:t>
      </w:r>
      <w:proofErr w:type="gramEnd"/>
      <w:r>
        <w:t>% patients  on day 1 as compared to 100% in day 7, prolactin was normal in 83.10% on day 1 and 73.80% ion day 7.  While normal cortisol levels on day 1 was seen in none of patients while on day 7 it was normal in 90.20% patients. (Table 4)</w:t>
      </w:r>
    </w:p>
    <w:p w:rsidR="004B10FC" w:rsidRDefault="006A6BFB">
      <w:pPr>
        <w:spacing w:after="0" w:line="240" w:lineRule="auto"/>
      </w:pPr>
      <w:r>
        <w:t>DISCUSSION</w:t>
      </w:r>
    </w:p>
    <w:p w:rsidR="004B10FC" w:rsidRDefault="006A6BFB">
      <w:pPr>
        <w:spacing w:after="0" w:line="240" w:lineRule="auto"/>
      </w:pPr>
      <w:r>
        <w:lastRenderedPageBreak/>
        <w:t>The present study was conducted in the department of neurosurgery Government Medical College, Kozhikode, Kerala to determine the relationship between hormonal levels and severity of trauma, pressure effects on CT imaging and Glasgow outcome scale. The results of the present study are discussed below.</w:t>
      </w:r>
    </w:p>
    <w:p w:rsidR="004B10FC" w:rsidRDefault="006A6BFB">
      <w:pPr>
        <w:spacing w:after="0" w:line="240" w:lineRule="auto"/>
      </w:pPr>
      <w:r>
        <w:t xml:space="preserve">Majority of patients with traumatic brain injury belong to age group 21-30 years with 46 (36.5%) followed by 31-40 years with 28 (22.2%).  The mean age of the patients was 37.61±15.73 years. Agha A et </w:t>
      </w:r>
      <w:proofErr w:type="gramStart"/>
      <w:r>
        <w:t>al[</w:t>
      </w:r>
      <w:proofErr w:type="gramEnd"/>
      <w:r>
        <w:t xml:space="preserve">7] in a similar study, found the mean age of the patients to be 37 ±14 years. Prasanna KL et </w:t>
      </w:r>
      <w:proofErr w:type="gramStart"/>
      <w:r>
        <w:t>al[</w:t>
      </w:r>
      <w:proofErr w:type="gramEnd"/>
      <w:r>
        <w:t xml:space="preserve">8] found the mean age of the patients to be 32.3 years. Male predominance was seen in our study. In a study by Agha A et </w:t>
      </w:r>
      <w:proofErr w:type="gramStart"/>
      <w:r>
        <w:t>al[</w:t>
      </w:r>
      <w:proofErr w:type="gramEnd"/>
      <w:r>
        <w:t>7] the male: female ratio was 3.16:1. While in a study by Prasanna et al the Male: female was 7.3:1.</w:t>
      </w:r>
    </w:p>
    <w:p w:rsidR="004B10FC" w:rsidRDefault="006A6BFB">
      <w:pPr>
        <w:spacing w:after="0" w:line="240" w:lineRule="auto"/>
      </w:pPr>
      <w:r>
        <w:t xml:space="preserve">The mechanism of injury for 95 (75.4%) patient was road traffic accident followed by fall which was seen in 31 (24.6%) patients.  In a study by Prasanna KL et </w:t>
      </w:r>
      <w:proofErr w:type="gramStart"/>
      <w:r>
        <w:t>al[</w:t>
      </w:r>
      <w:proofErr w:type="gramEnd"/>
      <w:r>
        <w:t xml:space="preserve">8] the most common mode of injury was motorcycle accident, comprising 68% of patients, followed by fall from height. In a study by Kumar VKS et </w:t>
      </w:r>
      <w:proofErr w:type="gramStart"/>
      <w:r>
        <w:t>al[</w:t>
      </w:r>
      <w:proofErr w:type="gramEnd"/>
      <w:r>
        <w:t>9] Road traffic accidents constitute a major cause of head injury (87%) followed by falls (7%) and assaults (3.7%).[10] According to the National Institute of Mental Health &amp; Neurosciences Bangalore, the leading causes of neurotrauma were Road Traffic Injuries (RTIs) (59%), Falls (25%), and Violence (10%).  RTIs were most prevalent in those aged 15 to 40, among men, and during evenings and nights (66%).[10]</w:t>
      </w:r>
    </w:p>
    <w:p w:rsidR="004B10FC" w:rsidRDefault="006A6BFB">
      <w:pPr>
        <w:spacing w:after="0" w:line="240" w:lineRule="auto"/>
      </w:pPr>
      <w:r>
        <w:t xml:space="preserve">In the present study, in 67 (53.2%) patients the injury was severe while it was moderate in 59 (46.8%) patients.  Pressure effect was present in 75 (59.5%) patients while it was absent in 51 (40.5%) patients. We observed that on day 1 and day 7 65 (51.6%) patients had poor score while 61(48.4%) had good score. In a study by Prasanna KL et </w:t>
      </w:r>
      <w:proofErr w:type="gramStart"/>
      <w:r>
        <w:t>al[</w:t>
      </w:r>
      <w:proofErr w:type="gramEnd"/>
      <w:r>
        <w:t xml:space="preserve">8] of the 100 patients, 52% had moderate and 48% had severe traumatic brain injury, 66% with pressure effect and 34% without pressure effect, 68% had good Glasgow Outcome Scale and 32% had poor Glasgow Outcome Scale. Agha A et </w:t>
      </w:r>
      <w:proofErr w:type="gramStart"/>
      <w:r>
        <w:t>al[</w:t>
      </w:r>
      <w:proofErr w:type="gramEnd"/>
      <w:r>
        <w:t>7] in their study showed Thirty-two patients had severe head injury.</w:t>
      </w:r>
    </w:p>
    <w:p w:rsidR="004B10FC" w:rsidRDefault="006A6BFB">
      <w:pPr>
        <w:spacing w:after="0" w:line="240" w:lineRule="auto"/>
      </w:pPr>
      <w:r>
        <w:t>The severity of an injury is also frequently determined using the Glasgow Coma Scale (GCS) score. The GCS has a 15-point scale, with one point for the best verbal response, five points for the best motor reaction, and one point for the best eye opening.[11]</w:t>
      </w:r>
    </w:p>
    <w:p w:rsidR="004B10FC" w:rsidRDefault="006A6BFB">
      <w:pPr>
        <w:spacing w:after="0" w:line="240" w:lineRule="auto"/>
      </w:pPr>
      <w:r>
        <w:t xml:space="preserve"> Some have demonstrated no change in serum thyroxine (T4) concentration following a head </w:t>
      </w:r>
      <w:proofErr w:type="gramStart"/>
      <w:r>
        <w:t>injury[</w:t>
      </w:r>
      <w:proofErr w:type="gramEnd"/>
      <w:r>
        <w:t xml:space="preserve">12,13], whereas others have demonstrated decreased[12] or even increased levels[14]. Serum triiodothyronine (T3) concentrations were found to be </w:t>
      </w:r>
      <w:proofErr w:type="gramStart"/>
      <w:r>
        <w:t>low,[</w:t>
      </w:r>
      <w:proofErr w:type="gramEnd"/>
      <w:r>
        <w:t xml:space="preserve">15,12] or low-normal following an acute traumatic brain injury[13], in part due to decreased T4 conversion to T3 and/or increased thyroid hormone turnover. These modifications are indicative of the presence of low T3 syndrome. </w:t>
      </w:r>
    </w:p>
    <w:p w:rsidR="004B10FC" w:rsidRDefault="006A6BFB">
      <w:pPr>
        <w:spacing w:after="0" w:line="240" w:lineRule="auto"/>
      </w:pPr>
      <w:r>
        <w:t xml:space="preserve"> On comparing Patients with poor GOS on day 1 and day 7 we observed that in cases of FT4 patients on day 1, 69.20 % were normal as compared to 67.20% on day 7. In FT3, 95.40% had normal levels on day 1 while 78.70% had normal levels on day 7.TSH was normal in 96.90% in patients with poor GOS on day 1 as compared to 91.80% on day 7.  On comparing Patients with Good GOS   on day 1 and day 7 we observed that in cases of FT4 patients on day 1 67.20% had normal FT4. In a study by Prasanna KL et </w:t>
      </w:r>
      <w:proofErr w:type="gramStart"/>
      <w:r>
        <w:t>al[</w:t>
      </w:r>
      <w:proofErr w:type="gramEnd"/>
      <w:r>
        <w:t>8], of the 100 patients on day one, the percentage of the patients showing a low hormone profile of FT3 was 26%, FT4 was 12%, TSH was 4%, while in present study it was 27%, 2.4% and 1.6% respectively for FT3, FT4 and TSH.</w:t>
      </w:r>
    </w:p>
    <w:p w:rsidR="004B10FC" w:rsidRDefault="006A6BFB">
      <w:pPr>
        <w:spacing w:after="0" w:line="240" w:lineRule="auto"/>
      </w:pPr>
      <w:r>
        <w:t xml:space="preserve">It was observed then mean FT3 levels on day 1 (2.62± .57) was significantly more than on day 7 (2.53± .61).  It was observed then mean FT4 levels on day 1 (1.34± .28) was significantly less than on day 7 (1.08± .33). It was observed then mean TSH levels on day 1 (1.15± 1.18) was significantly more than on day 7 (1.18± .97).  We also observed that patients with severe injury had significantly less FT4 (1.31± 0.29 vs 0.90± 0.25), TSH (1.60± </w:t>
      </w:r>
      <w:r>
        <w:lastRenderedPageBreak/>
        <w:t xml:space="preserve">1.43 vs 0.42 ±0.46). FT3 was same for both moderate and severe injury patients.   </w:t>
      </w:r>
      <w:proofErr w:type="gramStart"/>
      <w:r>
        <w:t>Also</w:t>
      </w:r>
      <w:proofErr w:type="gramEnd"/>
      <w:r>
        <w:t xml:space="preserve"> the patients with pressure effect had lower FT4 and TSH however FT3 was similar. Patients with poor GOS had more FT4 and TSH.  No correlation was observed between FT3 and GCS while FT4 and TSH were positively correlated.  </w:t>
      </w:r>
    </w:p>
    <w:p w:rsidR="004B10FC" w:rsidRDefault="006A6BFB">
      <w:pPr>
        <w:spacing w:after="0" w:line="240" w:lineRule="auto"/>
      </w:pPr>
      <w:proofErr w:type="spellStart"/>
      <w:r>
        <w:t>Wartofsky</w:t>
      </w:r>
      <w:proofErr w:type="spellEnd"/>
      <w:r>
        <w:t xml:space="preserve"> and </w:t>
      </w:r>
      <w:proofErr w:type="gramStart"/>
      <w:r>
        <w:t>Burman[</w:t>
      </w:r>
      <w:proofErr w:type="gramEnd"/>
      <w:r>
        <w:t>14] have reviewed the effects of severe illness on thyroid function. Several names have been used for the same syndrome, including euthyroid sick syndrome, non-thyroidal illness and low T3 and normal T4 syndrome.[16]</w:t>
      </w:r>
    </w:p>
    <w:p w:rsidR="004B10FC" w:rsidRDefault="006A6BFB">
      <w:pPr>
        <w:spacing w:after="0" w:line="240" w:lineRule="auto"/>
      </w:pPr>
      <w:r>
        <w:t xml:space="preserve">In this study, the percentage of low T3 syndrome in the acute phase on days 1 and 7 after traumatic brain injury were 26% and 36%, respectively. In this study, there was a decreasing trend of serum T4 and TSH levels between days 1 and 7 following injury, comparable with a study by Tandon A </w:t>
      </w:r>
      <w:proofErr w:type="gramStart"/>
      <w:r>
        <w:t>et al.[</w:t>
      </w:r>
      <w:proofErr w:type="gramEnd"/>
      <w:r>
        <w:t>17]  Kumar et al[9] in their study showed There was a significant positive correlation between T3 at day 4 and GOS at 3 months.</w:t>
      </w:r>
    </w:p>
    <w:p w:rsidR="004B10FC" w:rsidRDefault="006A6BFB">
      <w:pPr>
        <w:spacing w:after="0" w:line="240" w:lineRule="auto"/>
      </w:pPr>
      <w:r>
        <w:t xml:space="preserve">GH was normal in 75.40% patients on day 1 as compared to 100% in day 7 in patients with poor GOS while in patients with poor GOS. In cases with good GOS, GH, no changes were seen in patients with 100% of patients being normal. Growth hormone was high in 23.90%. Patients with severe injury, the value of correlation coefficient was -0.78 on day 1 and -0.79 on day 7 which signifies excellent negative correlation on day 1 and day 7 respectively according to which when GCS increases GH decreases. On day 7 and day 1, Patients who had severe injury had significantly more GH however overall no significant difference was seen in growth hormone on day 1 and day 7. The results were in contrast to various studies [18,4,19], but not with </w:t>
      </w:r>
      <w:proofErr w:type="gramStart"/>
      <w:r>
        <w:t>other[</w:t>
      </w:r>
      <w:proofErr w:type="gramEnd"/>
      <w:r>
        <w:t xml:space="preserve">20,21] reports.  In a study by Prasanna KL et </w:t>
      </w:r>
      <w:proofErr w:type="gramStart"/>
      <w:r>
        <w:t>al[</w:t>
      </w:r>
      <w:proofErr w:type="gramEnd"/>
      <w:r>
        <w:t xml:space="preserve">8] 28% on day 1 and 48.93% on day 7 had GH deficiency after traumatic brain injury. Serum GH is negatively correlated with Glasgow Coma Scale on day 7 which was similar to the study by Prasanna KL et </w:t>
      </w:r>
      <w:proofErr w:type="gramStart"/>
      <w:r>
        <w:t>al[</w:t>
      </w:r>
      <w:proofErr w:type="gramEnd"/>
      <w:r>
        <w:t>8].</w:t>
      </w:r>
    </w:p>
    <w:p w:rsidR="006A6BFB" w:rsidRDefault="006A6BFB" w:rsidP="006A6BFB">
      <w:pPr>
        <w:spacing w:after="0" w:line="240" w:lineRule="auto"/>
      </w:pPr>
      <w:r>
        <w:t>On day 1 and day 7, 16 (12.7%) of patients had low Cortisol levels, 55 (43.7%) had normal and 65 (51.6%) had high cortisol levels on day 1 and day 7, 14 (11.1%) of patients had low prolactin levels, 99 (78.6%) had normal and 13 (0.3%) had high prolactin levels. The value of correlation coefficient was -0.89 on day 1 and -0.87 on day 7 which signifies excellent negative correlation on day 1 and day 7. In a study conducted by Prasanna KL *et al.* [8], elevated plasma cortisol levels were observed in 38% of patients on Day 1 and in 21.27% on Day 7 following traumatic brain injury (TBI). Similarly, L. R. King *et al.* [22] reported that abnormally increased cortisol concentrations may persist for extended periods, with elevated levels documented up to four months after traumatic brain injury. These findings suggest that activation of the stress response and disturbances in the hypothalamic–pituitary–adrenal axis may continue well beyond the acute phase of injury.</w:t>
      </w:r>
    </w:p>
    <w:p w:rsidR="006A6BFB" w:rsidRDefault="006A6BFB" w:rsidP="006A6BFB">
      <w:pPr>
        <w:spacing w:after="0" w:line="240" w:lineRule="auto"/>
      </w:pPr>
    </w:p>
    <w:p w:rsidR="006A6BFB" w:rsidRDefault="006A6BFB" w:rsidP="006A6BFB">
      <w:pPr>
        <w:spacing w:after="0" w:line="240" w:lineRule="auto"/>
      </w:pPr>
      <w:r>
        <w:t xml:space="preserve">Prasanna KL *et al.* [8] also reported that </w:t>
      </w:r>
      <w:proofErr w:type="spellStart"/>
      <w:r>
        <w:t>hyperprolactinaemia</w:t>
      </w:r>
      <w:proofErr w:type="spellEnd"/>
      <w:r>
        <w:t xml:space="preserve"> occurred in approximately 6% of patients on Day 1 following traumatic brain injury. In comparison, S. A. Lieberman *et al.* [23] observed </w:t>
      </w:r>
      <w:proofErr w:type="spellStart"/>
      <w:r>
        <w:t>hyperprolactinaemia</w:t>
      </w:r>
      <w:proofErr w:type="spellEnd"/>
      <w:r>
        <w:t xml:space="preserve"> in about 10% of patients in their study. In the present investigation, </w:t>
      </w:r>
      <w:proofErr w:type="spellStart"/>
      <w:r>
        <w:t>hyperprolactinaemia</w:t>
      </w:r>
      <w:proofErr w:type="spellEnd"/>
      <w:r>
        <w:t xml:space="preserve"> was detected in only 0.3% of patients, indicating a comparatively lower incidence. Post-mortem studies of individuals who died following traumatic brain injury have demonstrated lesions involving the hypothalamus and the pituitary stalk, and damage to either of these structures may account for the occurrence of </w:t>
      </w:r>
      <w:proofErr w:type="spellStart"/>
      <w:r>
        <w:t>hyperprolactinaemia</w:t>
      </w:r>
      <w:proofErr w:type="spellEnd"/>
      <w:r>
        <w:t xml:space="preserve"> in a proportion of patients with traumatic brain injury.</w:t>
      </w:r>
    </w:p>
    <w:p w:rsidR="006A6BFB" w:rsidRDefault="006A6BFB" w:rsidP="006A6BFB">
      <w:pPr>
        <w:spacing w:after="0" w:line="240" w:lineRule="auto"/>
        <w:rPr>
          <w:b/>
        </w:rPr>
      </w:pPr>
    </w:p>
    <w:p w:rsidR="004B10FC" w:rsidRPr="006A6BFB" w:rsidRDefault="006A6BFB" w:rsidP="006A6BFB">
      <w:pPr>
        <w:spacing w:after="0" w:line="240" w:lineRule="auto"/>
        <w:rPr>
          <w:b/>
        </w:rPr>
      </w:pPr>
      <w:r w:rsidRPr="006A6BFB">
        <w:rPr>
          <w:b/>
        </w:rPr>
        <w:t>CONCLUSION</w:t>
      </w:r>
    </w:p>
    <w:p w:rsidR="004B10FC" w:rsidRDefault="006A6BFB">
      <w:pPr>
        <w:spacing w:after="0" w:line="240" w:lineRule="auto"/>
      </w:pPr>
      <w:r>
        <w:t xml:space="preserve">We presented the neuroendocrine profile of 126 patients with moderate to severe head injury. Patients with severe head injury had high GH, Cortisol, Prolactin and low FT4, TSH on Day 1 than moderate head injury. FT3 remained unchanged. Number of Patients with severe head injury with high Cortisol levels on Day 1 increased on Day 7. In FT3, GH, </w:t>
      </w:r>
      <w:r>
        <w:lastRenderedPageBreak/>
        <w:t>Cortisol and prolactin no changes were seen in patients with moderate injury on Day 7 compared to Day 1.</w:t>
      </w:r>
    </w:p>
    <w:p w:rsidR="002804E7" w:rsidRDefault="002804E7">
      <w:pPr>
        <w:spacing w:after="0" w:line="240" w:lineRule="auto"/>
      </w:pPr>
    </w:p>
    <w:p w:rsidR="002804E7" w:rsidRDefault="002804E7">
      <w:pPr>
        <w:spacing w:after="0" w:line="240" w:lineRule="auto"/>
      </w:pPr>
    </w:p>
    <w:p w:rsidR="002804E7" w:rsidRDefault="002804E7">
      <w:pPr>
        <w:spacing w:after="0" w:line="240" w:lineRule="auto"/>
      </w:pPr>
      <w:proofErr w:type="gramStart"/>
      <w:r>
        <w:t>Consent :</w:t>
      </w:r>
      <w:proofErr w:type="gramEnd"/>
      <w:r w:rsidRPr="002804E7">
        <w:t xml:space="preserve"> Informed consent was taken from the patient’s relatives who were willing to give consent on behalf of the patient.</w:t>
      </w:r>
    </w:p>
    <w:p w:rsidR="002804E7" w:rsidRDefault="002804E7">
      <w:pPr>
        <w:spacing w:after="0" w:line="240" w:lineRule="auto"/>
      </w:pPr>
    </w:p>
    <w:p w:rsidR="002804E7" w:rsidRDefault="002804E7" w:rsidP="002804E7">
      <w:pPr>
        <w:spacing w:after="0" w:line="240" w:lineRule="auto"/>
      </w:pPr>
      <w:r>
        <w:t>Ethical Approval:</w:t>
      </w:r>
    </w:p>
    <w:p w:rsidR="002804E7" w:rsidRDefault="002804E7" w:rsidP="002804E7">
      <w:pPr>
        <w:spacing w:after="0" w:line="240" w:lineRule="auto"/>
      </w:pPr>
    </w:p>
    <w:p w:rsidR="002804E7" w:rsidRDefault="002804E7" w:rsidP="002804E7">
      <w:pPr>
        <w:spacing w:after="0" w:line="240" w:lineRule="auto"/>
      </w:pPr>
      <w:r>
        <w:t>As per international standards or university standards written ethical approval has been collected and preserved by the author(s).</w:t>
      </w:r>
      <w:bookmarkStart w:id="0" w:name="_GoBack"/>
      <w:bookmarkEnd w:id="0"/>
    </w:p>
    <w:p w:rsidR="002804E7" w:rsidRDefault="002804E7">
      <w:pPr>
        <w:spacing w:after="0" w:line="240" w:lineRule="auto"/>
      </w:pPr>
    </w:p>
    <w:p w:rsidR="002804E7" w:rsidRDefault="002804E7">
      <w:pPr>
        <w:spacing w:after="0" w:line="240" w:lineRule="auto"/>
      </w:pPr>
    </w:p>
    <w:p w:rsidR="002804E7" w:rsidRDefault="002804E7">
      <w:pPr>
        <w:spacing w:after="0" w:line="240" w:lineRule="auto"/>
      </w:pPr>
    </w:p>
    <w:p w:rsidR="002804E7" w:rsidRDefault="002804E7">
      <w:pPr>
        <w:spacing w:after="0" w:line="240" w:lineRule="auto"/>
      </w:pPr>
    </w:p>
    <w:p w:rsidR="002804E7" w:rsidRDefault="002804E7">
      <w:pPr>
        <w:spacing w:after="0" w:line="240" w:lineRule="auto"/>
      </w:pPr>
    </w:p>
    <w:p w:rsidR="004B10FC" w:rsidRDefault="006A6BFB">
      <w:pPr>
        <w:rPr>
          <w:b/>
          <w:highlight w:val="yellow"/>
        </w:rPr>
      </w:pPr>
      <w:r>
        <w:rPr>
          <w:b/>
          <w:highlight w:val="yellow"/>
        </w:rPr>
        <w:t>Disclaimer (Artificial intelligence)</w:t>
      </w:r>
    </w:p>
    <w:p w:rsidR="004B10FC" w:rsidRDefault="006A6BFB">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4B10FC" w:rsidRDefault="004B10FC">
      <w:bookmarkStart w:id="1" w:name="_gjdgxs" w:colFirst="0" w:colLast="0"/>
      <w:bookmarkEnd w:id="1"/>
    </w:p>
    <w:p w:rsidR="00CC5BEC" w:rsidRDefault="006A6BFB">
      <w:r>
        <w:br/>
        <w:t>REFERENCES</w:t>
      </w:r>
      <w:r>
        <w:br/>
      </w:r>
      <w:r>
        <w:br/>
        <w:t>1. Maas AI. Traumatic brain injury in India: a big problem in need of data. Neurol India. 2017;65(2):257-258. doi:10.4103/0028-3886.201848</w:t>
      </w:r>
      <w:r>
        <w:br/>
      </w:r>
      <w:r>
        <w:br/>
        <w:t>2. Menon DK, Schwab K, Wright DW, Maas AI; Demographics and Clinical Assessment Working Group of the International and Interagency Initiative toward Common Data Elements for Research on Traumatic Brain Injury and Psychological Health. Position statement: definition of traumatic brain injury. Arch Phys Med Rehabil. 2010;91(11):1637-1640. doi:10.1016/j.apmr.2010.05.017</w:t>
      </w:r>
      <w:r>
        <w:br/>
      </w:r>
      <w:r>
        <w:br/>
        <w:t>3. GBD 2016 Traumatic Brain Injury and Spinal Cord Injury Collaborators. Global, regional, and national burden of traumatic brain injury and spinal cord injury, 1990-2016: a systematic analysis for the Global Burden of Disease Study 2016. Lancet Neurol. 2019;18(1):56-87. doi:10.1016/S1474-4422(18)30415-0</w:t>
      </w:r>
      <w:r>
        <w:br/>
      </w:r>
      <w:r>
        <w:br/>
        <w:t>4. Lauzier F, Turgeon AF, Boutin A, Shemilt M, Côté I, Lachance O, et al. Clinical outcomes, predictors, and prevalence of anterior pituitary disorders following traumatic brain injury: a systematic review. Crit Care Med. 2014;42(3):712-721. doi:10.1097/CCM.0000000000000046</w:t>
      </w:r>
      <w:r>
        <w:br/>
      </w:r>
      <w:r>
        <w:br/>
      </w:r>
      <w:r>
        <w:lastRenderedPageBreak/>
        <w:t>5. Daniel PM, Prichard MM, Treip CS. Traumatic infarction of the anterior lobe of the pituitary gland. Lancet. 1959;2(7109):927-931. doi:10.1016/S0140-6736(59)91583-1</w:t>
      </w:r>
      <w:r>
        <w:br/>
      </w:r>
      <w:r>
        <w:br/>
        <w:t>6. Gasco V, Cambria V, Bioletto F, Ghigo E, Grottoli S. Traumatic brain injury as frequent cause of hypopituitarism and growth hormone deficiency: epidemiology, diagnosis, and treatment. Front Endocrinol (Lausanne). 2021;12:634415. doi:10.3389/fendo.2021.634415</w:t>
      </w:r>
      <w:r>
        <w:br/>
      </w:r>
      <w:r>
        <w:br/>
        <w:t>7. Agha A, Rogers B, Mylotte D, Taleb F, Tormey W, Phillips J, et al. Neuroendocrine dysfunction in the acute phase of traumatic brain injury. Clin Endocrinol (Oxf). 2004;60(5):584-591. doi:10.1111/j.1365-2265.2004.02023.x</w:t>
      </w:r>
      <w:r>
        <w:br/>
      </w:r>
      <w:r>
        <w:br/>
        <w:t>8. Prasanna KL, Mittal RS, Gandhi A. Neuroendocrine dysfunction in acute phase of moderate-to-severe traumatic brain injury: a prospective study. Brain Inj. 2015;29(3):336-342. doi:10.3109/02699052.2014.955882</w:t>
      </w:r>
      <w:r>
        <w:br/>
      </w:r>
      <w:r>
        <w:br/>
        <w:t>9. Vishwa Kumar KS, Mudumba VS, Alugolu R, Anne B. Acute neuroendocrine profile in predicting outcomes in severe traumatic brain injury: a study from a tertiary care center in South India. Indian J Endocrinol Metab. 2021;25(2):95-102.</w:t>
      </w:r>
      <w:r>
        <w:br/>
      </w:r>
      <w:r>
        <w:br/>
        <w:t>10. Gururaj G, Kolluri SV, Chandramouli BA, Subbakrishna DK, Kraus JF. Traumatic brain injury. National Institute of Mental Health and Neuro Sciences. 2005;61.</w:t>
      </w:r>
      <w:r>
        <w:br/>
      </w:r>
      <w:r>
        <w:br/>
        <w:t>11. Jain S, Iverson LM. Glasgow Coma Scale. In: StatPearls [Internet]. Treasure Island (FL): StatPearls Publishing; 2023 Jan-.</w:t>
      </w:r>
      <w:r>
        <w:br/>
      </w:r>
      <w:r>
        <w:br/>
        <w:t>12. Bondanelli M, Ambrosio MR, Zatelli MC, De Marinis L, degli Uberti EC. Hypopituitarism after traumatic brain injury. Eur J Endocrinol. 2005;152(5):679-691. doi:10.1530/eje.1.01895</w:t>
      </w:r>
      <w:r>
        <w:br/>
      </w:r>
      <w:r>
        <w:br/>
        <w:t>13. Agha A, Thompson CJ. Anterior pituitary dysfunction following traumatic brain injury (TBI). Clin Endocrinol (Oxf). 2006;64(5):481-488. doi:10.1111/j.1365-2265.2006.02517.x</w:t>
      </w:r>
      <w:r>
        <w:br/>
      </w:r>
      <w:r>
        <w:br/>
        <w:t>14. Wartofsky L, Burman KD. Alterations in thyroid function in patients with systemic illness: the euthyroid sick syndrome. Endocr Rev. 1982;3(2):164-217. doi:10.1210/edrv-3-2-164</w:t>
      </w:r>
      <w:r>
        <w:br/>
      </w:r>
      <w:r>
        <w:br/>
        <w:t>15. Tanriverdi F, Senyurek H, Unluhizarci K, Selcuklu A, Casanueva FF, Kelestimur F. High risk of hypopituitarism after traumatic brain injury: a prospective investigation of anterior pituitary function in the acute phase and 12 months after trauma. J Clin Endocrinol Metab. 2006;91(6):2105-2111. doi:10.1210/jc.2005-2476</w:t>
      </w:r>
      <w:r>
        <w:br/>
      </w:r>
      <w:r>
        <w:br/>
        <w:t>16. Woolf PD. Hormonal responses to trauma. Crit Care Med. 1992;20(2):216-226. doi:10.1097/00003246-199202000-00011</w:t>
      </w:r>
      <w:r>
        <w:br/>
      </w:r>
      <w:r>
        <w:lastRenderedPageBreak/>
        <w:br/>
        <w:t>17. Tandon A, Suri A, Kasliwal MK. Assessment of endocrine abnormalities in severe traumatic brain injury: a prospective study. Acta Neurochir (Wien). 2009;151(11):1411-1417. doi:10.1007/s00701-009-0444-9</w:t>
      </w:r>
      <w:r>
        <w:br/>
      </w:r>
      <w:r>
        <w:br/>
        <w:t>18. Molaie AM, Maguire J. Neuroendocrine abnormalities following traumatic brain injury: an important contributor to neuropsychiatric sequelae. Front Endocrinol (Lausanne). 2018;9:176. doi:10.3389/fendo.2018.00176</w:t>
      </w:r>
      <w:r>
        <w:br/>
      </w:r>
      <w:r>
        <w:br/>
        <w:t>19. Cyran E. Hypophyse Schädigung durch Schädelbasisfraktur. Dtsch Med Wochenschr. 1918;44:1261.</w:t>
      </w:r>
      <w:r>
        <w:br/>
      </w:r>
      <w:r>
        <w:br/>
        <w:t>20. Van den Berghe G, Wouters P, Weekers F, Mohan S, Baxter RC, Veldhuis JD, et al. Reactivation of pituitary hormone release and metabolic improvement by infusion of growth hormone-releasing peptide and thyrotropin-releasing hormone in patients with protracted critical illness. J Clin Endocrinol Metab. 1999;84(4):1311-1323. doi:10.1210/jcem.84.4.5636</w:t>
      </w:r>
      <w:r>
        <w:br/>
      </w:r>
      <w:r>
        <w:br/>
        <w:t>21. King LR, McLaurin RL, Lewis HP Jr, Knowles HC Jr. Plasma cortisol levels after head injury. Ann Surg. 1970;172(6):975-984. doi:10.1097/00000658-197012000-00008</w:t>
      </w:r>
      <w:r>
        <w:br/>
      </w:r>
      <w:r>
        <w:br/>
        <w:t>22. Lieberman SA, Oberoi AL, Gilkison CR, Masel BE, Urban RJ. Prevalence of neuroendocrine dysfunction in patients recovering from traumatic brain injury. J Clin Endocrinol Metab. 2001;86(6):2752-2756. doi:10.1210/jcem.86.6.7592</w:t>
      </w:r>
      <w:r>
        <w:br/>
      </w:r>
    </w:p>
    <w:sectPr w:rsidR="00CC5BE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630" w:rsidRDefault="008C6630">
      <w:pPr>
        <w:spacing w:after="0" w:line="240" w:lineRule="auto"/>
      </w:pPr>
      <w:r>
        <w:separator/>
      </w:r>
    </w:p>
  </w:endnote>
  <w:endnote w:type="continuationSeparator" w:id="0">
    <w:p w:rsidR="008C6630" w:rsidRDefault="008C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0FC" w:rsidRDefault="004B10F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0FC" w:rsidRDefault="004B10F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0FC" w:rsidRDefault="004B10F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630" w:rsidRDefault="008C6630">
      <w:pPr>
        <w:spacing w:after="0" w:line="240" w:lineRule="auto"/>
      </w:pPr>
      <w:r>
        <w:separator/>
      </w:r>
    </w:p>
  </w:footnote>
  <w:footnote w:type="continuationSeparator" w:id="0">
    <w:p w:rsidR="008C6630" w:rsidRDefault="008C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0FC" w:rsidRDefault="008C6630">
    <w:pPr>
      <w:pBdr>
        <w:top w:val="nil"/>
        <w:left w:val="nil"/>
        <w:bottom w:val="nil"/>
        <w:right w:val="nil"/>
        <w:between w:val="nil"/>
      </w:pBdr>
      <w:tabs>
        <w:tab w:val="center" w:pos="4680"/>
        <w:tab w:val="right" w:pos="9360"/>
      </w:tabs>
      <w:spacing w:after="0" w:line="240" w:lineRule="auto"/>
      <w:rPr>
        <w:color w:val="000000"/>
      </w:rPr>
    </w:pPr>
    <w:r>
      <w:rPr>
        <w:color w:val="000000"/>
      </w:rPr>
      <w:pict w14:anchorId="5BAE4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40.35pt;height:68.7pt;rotation:315;z-index:-25165875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0FC" w:rsidRDefault="008C6630">
    <w:pPr>
      <w:pBdr>
        <w:top w:val="nil"/>
        <w:left w:val="nil"/>
        <w:bottom w:val="nil"/>
        <w:right w:val="nil"/>
        <w:between w:val="nil"/>
      </w:pBdr>
      <w:tabs>
        <w:tab w:val="center" w:pos="4680"/>
        <w:tab w:val="right" w:pos="9360"/>
      </w:tabs>
      <w:spacing w:after="0" w:line="240" w:lineRule="auto"/>
      <w:rPr>
        <w:color w:val="000000"/>
      </w:rPr>
    </w:pPr>
    <w:r>
      <w:rPr>
        <w:color w:val="000000"/>
      </w:rPr>
      <w:pict w14:anchorId="473B8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40.35pt;height:68.7pt;rotation:315;z-index:-25165772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0FC" w:rsidRDefault="008C6630">
    <w:pPr>
      <w:pBdr>
        <w:top w:val="nil"/>
        <w:left w:val="nil"/>
        <w:bottom w:val="nil"/>
        <w:right w:val="nil"/>
        <w:between w:val="nil"/>
      </w:pBdr>
      <w:tabs>
        <w:tab w:val="center" w:pos="4680"/>
        <w:tab w:val="right" w:pos="9360"/>
      </w:tabs>
      <w:spacing w:after="0" w:line="240" w:lineRule="auto"/>
      <w:rPr>
        <w:color w:val="000000"/>
      </w:rPr>
    </w:pPr>
    <w:r>
      <w:rPr>
        <w:color w:val="000000"/>
      </w:rPr>
      <w:pict w14:anchorId="51747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3076" type="#_x0000_t136" style="position:absolute;margin-left:0;margin-top:0;width:540.35pt;height:68.7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t7A0MDe0MDQyNDdQ0lEKTi0uzszPAykwrAUADsSIViwAAAA="/>
  </w:docVars>
  <w:rsids>
    <w:rsidRoot w:val="004B10FC"/>
    <w:rsid w:val="00247094"/>
    <w:rsid w:val="002804E7"/>
    <w:rsid w:val="00475D8F"/>
    <w:rsid w:val="004B10FC"/>
    <w:rsid w:val="00543985"/>
    <w:rsid w:val="006A6BFB"/>
    <w:rsid w:val="00866769"/>
    <w:rsid w:val="008C6630"/>
    <w:rsid w:val="00A561BD"/>
    <w:rsid w:val="00CA7ED4"/>
    <w:rsid w:val="00CC5BEC"/>
    <w:rsid w:val="00E15359"/>
    <w:rsid w:val="00F109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6309C0BD"/>
  <w15:docId w15:val="{5B6A0F84-6DAF-46D7-B82B-2D149EF2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US"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Subtitle">
    <w:name w:val="Subtitle"/>
    <w:basedOn w:val="Normal"/>
    <w:next w:val="Normal"/>
    <w:uiPriority w:val="11"/>
    <w:qFormat/>
    <w:rPr>
      <w:rFonts w:ascii="Calibri" w:eastAsia="Calibri" w:hAnsi="Calibri" w:cs="Calibri"/>
      <w:i/>
      <w:color w:val="4F81BD"/>
      <w:sz w:val="24"/>
      <w:szCs w:val="24"/>
    </w:rPr>
  </w:style>
  <w:style w:type="table" w:customStyle="1" w:styleId="a">
    <w:basedOn w:val="TableNormal"/>
    <w:pPr>
      <w:spacing w:after="0" w:line="240" w:lineRule="auto"/>
    </w:pPr>
    <w:tblPr>
      <w:tblStyleRowBandSize w:val="1"/>
      <w:tblStyleColBandSize w:val="1"/>
      <w:tblCellMar>
        <w:right w:w="0" w:type="dxa"/>
      </w:tblCellMar>
    </w:tblPr>
  </w:style>
  <w:style w:type="table" w:customStyle="1" w:styleId="a0">
    <w:basedOn w:val="TableNormal"/>
    <w:pPr>
      <w:spacing w:after="0" w:line="240" w:lineRule="auto"/>
    </w:pPr>
    <w:tblPr>
      <w:tblStyleRowBandSize w:val="1"/>
      <w:tblStyleColBandSize w:val="1"/>
      <w:tblCellMar>
        <w:right w:w="0" w:type="dxa"/>
      </w:tblCellMar>
    </w:tblPr>
  </w:style>
  <w:style w:type="table" w:customStyle="1" w:styleId="a1">
    <w:basedOn w:val="TableNormal"/>
    <w:pPr>
      <w:spacing w:after="0" w:line="240" w:lineRule="auto"/>
    </w:pPr>
    <w:tblPr>
      <w:tblStyleRowBandSize w:val="1"/>
      <w:tblStyleColBandSize w:val="1"/>
      <w:tblCellMar>
        <w:right w:w="0" w:type="dxa"/>
      </w:tblCellMar>
    </w:tblPr>
  </w:style>
  <w:style w:type="table" w:customStyle="1" w:styleId="a2">
    <w:basedOn w:val="TableNormal"/>
    <w:pPr>
      <w:spacing w:after="0" w:line="240" w:lineRule="auto"/>
    </w:pPr>
    <w:tblPr>
      <w:tblStyleRowBandSize w:val="1"/>
      <w:tblStyleColBandSize w:val="1"/>
      <w:tblCellMar>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672926">
      <w:bodyDiv w:val="1"/>
      <w:marLeft w:val="0"/>
      <w:marRight w:val="0"/>
      <w:marTop w:val="0"/>
      <w:marBottom w:val="0"/>
      <w:divBdr>
        <w:top w:val="none" w:sz="0" w:space="0" w:color="auto"/>
        <w:left w:val="none" w:sz="0" w:space="0" w:color="auto"/>
        <w:bottom w:val="none" w:sz="0" w:space="0" w:color="auto"/>
        <w:right w:val="none" w:sz="0" w:space="0" w:color="auto"/>
      </w:divBdr>
    </w:div>
    <w:div w:id="1711808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4266</Words>
  <Characters>24317</Characters>
  <Application>Microsoft Office Word</Application>
  <DocSecurity>0</DocSecurity>
  <Lines>202</Lines>
  <Paragraphs>57</Paragraphs>
  <ScaleCrop>false</ScaleCrop>
  <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1158</cp:lastModifiedBy>
  <cp:revision>10</cp:revision>
  <dcterms:created xsi:type="dcterms:W3CDTF">2026-02-20T10:33:00Z</dcterms:created>
  <dcterms:modified xsi:type="dcterms:W3CDTF">2026-02-25T12:27:00Z</dcterms:modified>
</cp:coreProperties>
</file>