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DAC97">
      <w:pPr>
        <w:spacing w:line="360" w:lineRule="auto"/>
        <w:jc w:val="both"/>
        <w:rPr>
          <w:rFonts w:ascii="Times New Roman" w:hAnsi="Times New Roman" w:cs="Times New Roman"/>
          <w:b/>
          <w:bCs/>
          <w:caps/>
        </w:rPr>
      </w:pPr>
      <w:r>
        <w:rPr>
          <w:rFonts w:ascii="Times New Roman" w:hAnsi="Times New Roman" w:cs="Times New Roman"/>
          <w:b/>
          <w:bCs/>
          <w:caps/>
        </w:rPr>
        <w:t xml:space="preserve">Review Article </w:t>
      </w:r>
    </w:p>
    <w:p w14:paraId="65A8430B">
      <w:pPr>
        <w:spacing w:line="360" w:lineRule="auto"/>
        <w:jc w:val="both"/>
        <w:rPr>
          <w:rFonts w:ascii="Times New Roman" w:hAnsi="Times New Roman" w:cs="Times New Roman"/>
          <w:b/>
          <w:bCs/>
          <w:caps/>
        </w:rPr>
      </w:pPr>
    </w:p>
    <w:p w14:paraId="720A77C4">
      <w:pPr>
        <w:spacing w:line="360" w:lineRule="auto"/>
        <w:jc w:val="both"/>
        <w:rPr>
          <w:rStyle w:val="19"/>
        </w:rPr>
      </w:pPr>
      <w:r>
        <w:rPr>
          <w:rFonts w:ascii="Times New Roman" w:hAnsi="Times New Roman" w:cs="Times New Roman"/>
          <w:b/>
          <w:bCs/>
          <w:caps/>
          <w:lang w:val="en-GB"/>
        </w:rPr>
        <w:t>Utilisation of HIV Self-Testing Services in Sub-Saharan Africa: A Scoping Review of Delivery Models, Barriers and Outcomes</w:t>
      </w:r>
      <w:bookmarkStart w:id="4" w:name="_GoBack"/>
      <w:bookmarkEnd w:id="4"/>
    </w:p>
    <w:p w14:paraId="638CC2B0">
      <w:pPr>
        <w:pStyle w:val="18"/>
        <w:spacing w:line="360" w:lineRule="auto"/>
      </w:pPr>
      <w:r>
        <w:rPr>
          <w:rStyle w:val="19"/>
        </w:rPr>
        <w:t>Abstract</w:t>
      </w:r>
    </w:p>
    <w:p w14:paraId="2A15C4DD">
      <w:pPr>
        <w:pStyle w:val="18"/>
      </w:pPr>
      <w:r>
        <w:rPr>
          <w:rStyle w:val="19"/>
        </w:rPr>
        <w:t>Background</w:t>
      </w:r>
      <w:r>
        <w:t xml:space="preserve">: Sub-Saharan Africa remains the epicenter of the HIV epidemic, with persistent gaps in testing access, particularly among key and underserved populations. HIV self-testing (HIVST) has emerged as a complementary strategy to facility-based testing. </w:t>
      </w:r>
    </w:p>
    <w:p w14:paraId="202E0D7B">
      <w:pPr>
        <w:pStyle w:val="18"/>
      </w:pPr>
      <w:r>
        <w:rPr>
          <w:b/>
          <w:bCs/>
        </w:rPr>
        <w:t>Objectives:</w:t>
      </w:r>
      <w:r>
        <w:t xml:space="preserve"> This scoping review examines the utilization of HIVST services, associated barriers and facilitators, and reported outcomes</w:t>
      </w:r>
      <w:r>
        <w:rPr>
          <w:rFonts w:hint="default"/>
          <w:lang w:val="en-US"/>
        </w:rPr>
        <w:t xml:space="preserve"> among general and key populations</w:t>
      </w:r>
      <w:r>
        <w:t xml:space="preserve"> across the region.</w:t>
      </w:r>
    </w:p>
    <w:p w14:paraId="21C7EE31">
      <w:pPr>
        <w:pStyle w:val="18"/>
      </w:pPr>
      <w:r>
        <w:rPr>
          <w:rStyle w:val="19"/>
        </w:rPr>
        <w:t>Methods</w:t>
      </w:r>
      <w:r>
        <w:t>: A scoping review was conducted using Joanna Briggs Institute manual for evidence synthesis, guided by PRISMA-ScR guidelines. A systematic search of PubMed, Google Scholar, ScienceDirect, and AJOL identified peer-reviewed articles published between 2010 and 2025. Studies were screened and charted, with data synthesized narratively across utilization trends, barriers, facilitators, and outcomes.</w:t>
      </w:r>
    </w:p>
    <w:p w14:paraId="12456527">
      <w:pPr>
        <w:pStyle w:val="18"/>
      </w:pPr>
      <w:r>
        <w:rPr>
          <w:rStyle w:val="19"/>
        </w:rPr>
        <w:t>Results</w:t>
      </w:r>
      <w:r>
        <w:t>: A total of 51 studies from 20 countries met the inclusion criteria. HIVST uptake varied widely—from as low as 1.2% in passive distribution settings to over 160% in studies involving peer-led or home-based</w:t>
      </w:r>
      <w:r>
        <w:rPr>
          <w:rFonts w:hint="default"/>
          <w:lang w:val="en-US"/>
        </w:rPr>
        <w:t xml:space="preserve"> or community-based delivery models reflecting secondary distribution, repeat testing, and program-specific denominators rather than unique individuals tested</w:t>
      </w:r>
      <w:r>
        <w:t xml:space="preserve">. High utilization was consistently reported among men who have sex with men, sex workers, and young adults when testing was made accessible through trusted peer networks or community-based programs. Key enablers included ease of use, confidentiality, and peer support, while common barriers were low awareness, fear of positive results, stigma and lack of post-test counselling. </w:t>
      </w:r>
      <w:r>
        <w:rPr>
          <w:rFonts w:hint="default"/>
          <w:lang w:val="en-US"/>
        </w:rPr>
        <w:t xml:space="preserve">Outcomes showed varied linkage to care, prompt ART initiation when reported, good HIV prevention and status disclosure practices and positive behavioral attitudes </w:t>
      </w:r>
    </w:p>
    <w:p w14:paraId="2300F54C">
      <w:pPr>
        <w:pStyle w:val="18"/>
      </w:pPr>
      <w:r>
        <w:rPr>
          <w:rStyle w:val="19"/>
        </w:rPr>
        <w:t>Conclusion</w:t>
      </w:r>
      <w:r>
        <w:t>: HIVST demonstrates high potential for expanding HIV testing in Sub-Saharan Africa, particularly when delivery is tailored to community preferences. Optimizing awareness, support systems, and linkage pathways is essential to fully leverage HIVST’s public health impact.</w:t>
      </w:r>
    </w:p>
    <w:p w14:paraId="76CF1EE7">
      <w:pPr>
        <w:pStyle w:val="18"/>
        <w:spacing w:line="360" w:lineRule="auto"/>
        <w:rPr>
          <w:rFonts w:hint="default"/>
          <w:lang w:val="en-US"/>
        </w:rPr>
      </w:pPr>
      <w:r>
        <w:t>Keywords: HIV Self-Testing, HIV Infections/Diagnosis, sub-Saharan Africa, Health Services Accessibility, Patient acceptance of Health care</w:t>
      </w:r>
      <w:r>
        <w:rPr>
          <w:rFonts w:hint="default"/>
          <w:lang w:val="en-US"/>
        </w:rPr>
        <w:t>, HIVST</w:t>
      </w:r>
    </w:p>
    <w:p w14:paraId="1A7E6FB8">
      <w:pPr>
        <w:pStyle w:val="18"/>
        <w:rPr>
          <w:b/>
          <w:bCs/>
          <w:caps/>
        </w:rPr>
      </w:pPr>
      <w:r>
        <w:rPr>
          <w:rFonts w:hint="eastAsia" w:ascii="SimSun" w:hAnsi="SimSun" w:cs="SimSun"/>
        </w:rPr>
        <w:t xml:space="preserve">  </w:t>
      </w:r>
      <w:r>
        <w:rPr>
          <w:b/>
          <w:bCs/>
          <w:caps/>
        </w:rPr>
        <w:t>Background</w:t>
      </w:r>
    </w:p>
    <w:p w14:paraId="7F90A694">
      <w:pPr>
        <w:pStyle w:val="18"/>
        <w:spacing w:line="360" w:lineRule="auto"/>
        <w:jc w:val="both"/>
      </w:pPr>
      <w:r>
        <w:t>The human immunodeficiency virus (HIV) and acquired immunodeficiency syndrome (AIDS) remain pressing global public health challenges, with sub-Saharan Africa (SSA) carrying the greatest burden [1, 2]. As of 2024, approximately 26 million of the world’s 39.9 million people living with HIV (PLWHIV) about 65% of the global total resided in SSA [3, 4]. The region also accounted for nearly half of all new HIV infections globally (640,000 out of 1.3 million) and 62% of AIDS-related deaths (390,000 out of 630,000) in 2023 [5, 6]. Women and girls, particularly adolescent girls and young women (AGYW), continue to be disproportionately affected [7].</w:t>
      </w:r>
    </w:p>
    <w:p w14:paraId="6B537991">
      <w:pPr>
        <w:pStyle w:val="18"/>
        <w:spacing w:line="360" w:lineRule="auto"/>
        <w:jc w:val="both"/>
      </w:pPr>
      <w:r>
        <w:t>While global efforts have led to significant declines in new infections and AIDS-related mortality since their peaks, the UNAIDS 95-95-95 targets — 95% of PLWHIV knowing their status, 95% of those diagnosed receiving antiretroviral therapy (ART), and 95% of those on ART achieving viral suppression — have not yet been achieved [8]. In 2023, global progress stood at 86-89-93, indicating that approximately 5.4 million people worldwide were unaware of their HIV-positive status [6, 9]. This diagnostic gap, particularly pronounced in SSA, is shaped by structural factors such as poverty, gender inequality, limited healthcare infrastructure, and stigma [10, 11]. Timely diagnosis is critical as it serves as the entry point to ART, viral suppression, and the preventive benefits of the “Undetectable = Untransmittable” (U=U) principle [12].</w:t>
      </w:r>
    </w:p>
    <w:p w14:paraId="7C6BAEFA">
      <w:pPr>
        <w:pStyle w:val="18"/>
        <w:spacing w:line="360" w:lineRule="auto"/>
        <w:jc w:val="both"/>
      </w:pPr>
      <w:r>
        <w:t>HIV testing services (HTS) play a pivotal role in the HIV response. Knowledge of HIV status enables individuals to access ART, reduces onward transmission, and opens access to prevention services such as pre-exposure prophylaxis (PrEP) and post-exposure prophylaxis (PEP) [13,14]. However, conventional HTS typically provider-initiated or voluntary counselling and testing offered in clinical settings face limitations. Structural barriers (e.g., long distances to clinics, transportation costs, and inflexible operating hours) and socio-cultural factors (e.g., stigma, fear, and lack of privacy) impede access, particularly for men who have sex with men (MSM), youth, and people in remote areas [15,16]. The visibility of clinic-based testing may deter individuals due to confidentiality concerns, and programmatic pressures to improve testing yield can introduce ethical tensions.</w:t>
      </w:r>
    </w:p>
    <w:p w14:paraId="4A249E09">
      <w:pPr>
        <w:pStyle w:val="18"/>
        <w:spacing w:line="360" w:lineRule="auto"/>
        <w:jc w:val="both"/>
      </w:pPr>
      <w:r>
        <w:t>To overcome these limitations, HIV self-testing (HIVST) has emerged as an innovative strategy. HIVST enables individuals to collect their own sample (oral fluid or blood), perform a rapid test, and interpret the result privately [17]. As a screening tool, a reactive HIVST result requires confirmatory testing in a healthcare facility [18]. Evidence from SSA indicates that HIVST significantly improves testing uptake especially among underserved populations owing to its convenience, confidentiality, and user autonomy, which can be empowering [19].</w:t>
      </w:r>
    </w:p>
    <w:p w14:paraId="79CFAACA">
      <w:pPr>
        <w:pStyle w:val="18"/>
        <w:spacing w:line="360" w:lineRule="auto"/>
        <w:jc w:val="both"/>
      </w:pPr>
      <w:r>
        <w:t xml:space="preserve">One notable application of HIVST is in partner notification, where individuals diagnosed with HIV offer test kits to their sexual partners. Studies in SSA have demonstrated that this strategy significantly increases partner testing rates compared to standard referral approaches. For instance, trials conducted in Malawi, Kenya, South Africa, and Zimbabwe showed higher uptake of partner testing when HIVST kits were distributed [20, 21, 22]. While this approach has improved case detection, strengthening linkage to care for those testing positive and to prevention services for those testing negative—remains crucial [21]. Although HIVST is generally well accepted, challenges such as fear of partner reaction, reluctance to disclose HIV status, and difficulty in reaching certain partners persist [23]. Additionally, although HIVST is intended for individuals with unknown HIV status, off-label use by people already on ART has been reported, potentially resulting in false-negative results. </w:t>
      </w:r>
    </w:p>
    <w:p w14:paraId="2ED7FA53">
      <w:pPr>
        <w:pStyle w:val="18"/>
        <w:spacing w:line="360" w:lineRule="auto"/>
        <w:jc w:val="both"/>
      </w:pPr>
      <w:r>
        <w:t xml:space="preserve">While the implementation of HIVST continues to expand across SSA, and its use in partner notification is growing, a comprehensive synthesis of HIVST utilisation across different demographic and risk groups remains lacking. Most existing reviews focus narrowly on acceptability among specific populations, often overlooking the broader range of factors such as motivations, behaviours, and structural challenges that influence HIVST use across the region. This scoping review seeks to map the current evidence on HIV self-testing utilisation among populations in sub-Saharan Africa. It aims to identify and characterize key facilitators and barriers influencing its uptake and to assess reported outcomes such as linkage to care, treatment initiation as well as behavioural and psycho-social outcomes.  </w:t>
      </w:r>
    </w:p>
    <w:p w14:paraId="2EAB0E35">
      <w:pPr>
        <w:pStyle w:val="2"/>
        <w:spacing w:line="360"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Methodology</w:t>
      </w:r>
    </w:p>
    <w:p w14:paraId="734CC8BD">
      <w:pPr>
        <w:pStyle w:val="3"/>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 Study Design</w:t>
      </w:r>
    </w:p>
    <w:p w14:paraId="63BDF16B">
      <w:pPr>
        <w:spacing w:line="360" w:lineRule="auto"/>
        <w:jc w:val="both"/>
        <w:rPr>
          <w:rFonts w:ascii="Times New Roman" w:hAnsi="Times New Roman" w:cs="Times New Roman"/>
        </w:rPr>
      </w:pPr>
      <w:r>
        <w:rPr>
          <w:rFonts w:ascii="Times New Roman" w:hAnsi="Times New Roman" w:cs="Times New Roman"/>
        </w:rPr>
        <w:t>This scoping review was conducted following the methodological guidelines outlined in the Joanna Briggs Institute Manual for Evidence synthesis [24], which is specifically recommended for scoping reviews. The review also adheres to the Preferred Reporting Items for Systematic Reviews and Meta-Analyses extension for Scoping Reviews (PRISMA-ScR) guidelines [25].  Additionally, we employed the PCC Framework - Population, Concept, and Context - to formulate our eligibility criteria and direct the study selection process.</w:t>
      </w:r>
    </w:p>
    <w:p w14:paraId="08E39255">
      <w:pPr>
        <w:spacing w:line="360" w:lineRule="auto"/>
        <w:jc w:val="both"/>
        <w:rPr>
          <w:rFonts w:ascii="Times New Roman" w:hAnsi="Times New Roman" w:cs="Times New Roman"/>
          <w:b/>
          <w:bCs/>
        </w:rPr>
      </w:pPr>
      <w:r>
        <w:rPr>
          <w:rFonts w:ascii="Times New Roman" w:hAnsi="Times New Roman" w:cs="Times New Roman"/>
          <w:b/>
          <w:bCs/>
        </w:rPr>
        <w:t>Inclusion</w:t>
      </w:r>
    </w:p>
    <w:p w14:paraId="1D716F0B">
      <w:pPr>
        <w:numPr>
          <w:ilvl w:val="0"/>
          <w:numId w:val="1"/>
        </w:numPr>
        <w:spacing w:line="360" w:lineRule="auto"/>
        <w:jc w:val="both"/>
        <w:rPr>
          <w:rFonts w:ascii="Times New Roman" w:hAnsi="Times New Roman" w:cs="Times New Roman"/>
        </w:rPr>
      </w:pPr>
      <w:r>
        <w:rPr>
          <w:rFonts w:ascii="Times New Roman" w:hAnsi="Times New Roman" w:cs="Times New Roman"/>
        </w:rPr>
        <w:t>Population: Studies involving people living in sub-Saharan Africa (general population, key populations such as MSM, sex workers etc.).</w:t>
      </w:r>
    </w:p>
    <w:p w14:paraId="23BDBA43">
      <w:pPr>
        <w:numPr>
          <w:ilvl w:val="0"/>
          <w:numId w:val="1"/>
        </w:numPr>
        <w:spacing w:line="360" w:lineRule="auto"/>
        <w:jc w:val="both"/>
        <w:rPr>
          <w:rFonts w:ascii="Times New Roman" w:hAnsi="Times New Roman" w:cs="Times New Roman"/>
        </w:rPr>
      </w:pPr>
      <w:r>
        <w:rPr>
          <w:rFonts w:ascii="Times New Roman" w:hAnsi="Times New Roman" w:cs="Times New Roman"/>
        </w:rPr>
        <w:t>Concept: Studies that assess the utilisation, uptake, or implementation of HIV self-testing (HIVST), studies reporting on facilitators, barriers, acceptability, feasibility, and outcomes of HIVST. Only peer-reviewed studies published in indexed journals were included. Grey literature was not systematically searched or assessed for eligibility.</w:t>
      </w:r>
    </w:p>
    <w:p w14:paraId="409F57D5">
      <w:pPr>
        <w:spacing w:line="360" w:lineRule="auto"/>
        <w:jc w:val="both"/>
        <w:rPr>
          <w:rFonts w:ascii="Times New Roman" w:hAnsi="Times New Roman" w:cs="Times New Roman"/>
        </w:rPr>
      </w:pPr>
      <w:r>
        <w:rPr>
          <w:rFonts w:ascii="Times New Roman" w:hAnsi="Times New Roman" w:cs="Times New Roman"/>
        </w:rPr>
        <w:t>iii. Context: Studies conducted in healthcare or community settings across sub-Saharan Africa (e.g., primary care clinics, mobile units, outreach programs).</w:t>
      </w:r>
    </w:p>
    <w:p w14:paraId="3BF968C3">
      <w:pPr>
        <w:spacing w:line="360" w:lineRule="auto"/>
        <w:jc w:val="both"/>
        <w:rPr>
          <w:rFonts w:ascii="Times New Roman" w:hAnsi="Times New Roman" w:cs="Times New Roman"/>
          <w:b/>
          <w:bCs/>
        </w:rPr>
      </w:pPr>
      <w:r>
        <w:rPr>
          <w:rFonts w:ascii="Times New Roman" w:hAnsi="Times New Roman" w:cs="Times New Roman"/>
          <w:b/>
          <w:bCs/>
        </w:rPr>
        <w:t>Exclusion</w:t>
      </w:r>
    </w:p>
    <w:p w14:paraId="6A34C745">
      <w:pPr>
        <w:numPr>
          <w:ilvl w:val="0"/>
          <w:numId w:val="2"/>
        </w:numPr>
        <w:spacing w:line="360" w:lineRule="auto"/>
        <w:jc w:val="both"/>
        <w:rPr>
          <w:rFonts w:ascii="Times New Roman" w:hAnsi="Times New Roman" w:cs="Times New Roman"/>
        </w:rPr>
      </w:pPr>
      <w:r>
        <w:rPr>
          <w:rFonts w:ascii="Times New Roman" w:hAnsi="Times New Roman" w:cs="Times New Roman"/>
        </w:rPr>
        <w:t>Population: Studies not focused on people living in sub-Saharan Africa</w:t>
      </w:r>
    </w:p>
    <w:p w14:paraId="05CD9862">
      <w:pPr>
        <w:numPr>
          <w:ilvl w:val="0"/>
          <w:numId w:val="2"/>
        </w:numPr>
        <w:spacing w:line="360" w:lineRule="auto"/>
        <w:jc w:val="both"/>
        <w:rPr>
          <w:rFonts w:ascii="Times New Roman" w:hAnsi="Times New Roman" w:cs="Times New Roman"/>
        </w:rPr>
      </w:pPr>
      <w:r>
        <w:rPr>
          <w:rFonts w:ascii="Times New Roman" w:hAnsi="Times New Roman" w:cs="Times New Roman"/>
        </w:rPr>
        <w:t>Concept: Studies focusing on HIV testing services (HTS) that do not include HIV self-testing.</w:t>
      </w:r>
    </w:p>
    <w:p w14:paraId="3B5B93CF">
      <w:pPr>
        <w:spacing w:line="360" w:lineRule="auto"/>
        <w:jc w:val="both"/>
        <w:rPr>
          <w:rFonts w:ascii="Times New Roman" w:hAnsi="Times New Roman" w:cs="Times New Roman"/>
        </w:rPr>
      </w:pPr>
      <w:r>
        <w:rPr>
          <w:rFonts w:ascii="Times New Roman" w:hAnsi="Times New Roman" w:cs="Times New Roman"/>
        </w:rPr>
        <w:t>iii. Context: Studies conducted outside of sub-Saharan Africa</w:t>
      </w:r>
    </w:p>
    <w:p w14:paraId="43424C7B">
      <w:pPr>
        <w:spacing w:line="360" w:lineRule="auto"/>
        <w:jc w:val="both"/>
        <w:rPr>
          <w:rFonts w:ascii="Times New Roman" w:hAnsi="Times New Roman" w:cs="Times New Roman"/>
        </w:rPr>
      </w:pPr>
    </w:p>
    <w:p w14:paraId="617CF42E">
      <w:pPr>
        <w:pStyle w:val="3"/>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2.2 Search Strategy</w:t>
      </w:r>
    </w:p>
    <w:p w14:paraId="11B07F53">
      <w:pPr>
        <w:spacing w:after="0" w:line="360" w:lineRule="auto"/>
        <w:jc w:val="both"/>
        <w:rPr>
          <w:rFonts w:ascii="Times New Roman" w:hAnsi="Times New Roman" w:cs="Times New Roman"/>
        </w:rPr>
      </w:pPr>
      <w:r>
        <w:rPr>
          <w:rFonts w:ascii="Times New Roman" w:hAnsi="Times New Roman" w:eastAsia="Times New Roman" w:cs="Times New Roman"/>
          <w:color w:val="000000"/>
          <w:kern w:val="0"/>
          <w:lang w:val="en-GB" w:eastAsia="en-GB"/>
          <w14:ligatures w14:val="none"/>
        </w:rPr>
        <w:t xml:space="preserve">A comprehensive literature search was performed on </w:t>
      </w:r>
      <w:r>
        <w:rPr>
          <w:rFonts w:ascii="Times New Roman" w:hAnsi="Times New Roman" w:eastAsia="Times New Roman" w:cs="Times New Roman"/>
          <w:color w:val="000000"/>
          <w:kern w:val="0"/>
          <w:lang w:eastAsia="en-GB"/>
          <w14:ligatures w14:val="none"/>
        </w:rPr>
        <w:t>HIV self-testing (HIVST) services in sub-Saharan Africa</w:t>
      </w:r>
      <w:r>
        <w:rPr>
          <w:rFonts w:ascii="Times New Roman" w:hAnsi="Times New Roman" w:eastAsia="Times New Roman" w:cs="Times New Roman"/>
          <w:color w:val="000000"/>
          <w:kern w:val="0"/>
          <w:lang w:val="en-GB" w:eastAsia="en-GB"/>
          <w14:ligatures w14:val="none"/>
        </w:rPr>
        <w:t xml:space="preserve"> using reputable sources such as PUBMED, Google Scholar, Science Direct, and African Journal Online (AJOL). </w:t>
      </w:r>
      <w:r>
        <w:rPr>
          <w:rFonts w:ascii="Times New Roman" w:hAnsi="Times New Roman" w:eastAsia="Times New Roman" w:cs="Times New Roman"/>
          <w:color w:val="000000"/>
          <w:kern w:val="0"/>
          <w:lang w:eastAsia="en-GB"/>
          <w14:ligatures w14:val="none"/>
        </w:rPr>
        <w:t>We</w:t>
      </w:r>
      <w:r>
        <w:rPr>
          <w:rFonts w:ascii="Times New Roman" w:hAnsi="Times New Roman" w:eastAsia="Times New Roman" w:cs="Times New Roman"/>
          <w:color w:val="000000"/>
          <w:kern w:val="0"/>
          <w:lang w:val="en-GB" w:eastAsia="en-GB"/>
          <w14:ligatures w14:val="none"/>
        </w:rPr>
        <w:t xml:space="preserve"> collaborated to develop a well-defined search strategy, which is summarised in Table 1. </w:t>
      </w:r>
      <w:r>
        <w:rPr>
          <w:rFonts w:ascii="Times New Roman" w:hAnsi="Times New Roman" w:eastAsia="Times New Roman" w:cs="Times New Roman"/>
          <w:color w:val="000000"/>
          <w:kern w:val="0"/>
          <w:lang w:eastAsia="en-GB"/>
          <w14:ligatures w14:val="none"/>
        </w:rPr>
        <w:t>Our</w:t>
      </w:r>
      <w:r>
        <w:rPr>
          <w:rFonts w:ascii="Times New Roman" w:hAnsi="Times New Roman" w:eastAsia="Times New Roman" w:cs="Times New Roman"/>
          <w:color w:val="000000"/>
          <w:kern w:val="0"/>
          <w:lang w:val="en-GB" w:eastAsia="en-GB"/>
          <w14:ligatures w14:val="none"/>
        </w:rPr>
        <w:t xml:space="preserve"> aim was to gather all relevant literature related to</w:t>
      </w:r>
      <w:r>
        <w:rPr>
          <w:rFonts w:ascii="Times New Roman" w:hAnsi="Times New Roman" w:eastAsia="Times New Roman" w:cs="Times New Roman"/>
          <w:color w:val="000000"/>
          <w:kern w:val="0"/>
          <w:lang w:eastAsia="en-GB"/>
          <w14:ligatures w14:val="none"/>
        </w:rPr>
        <w:t xml:space="preserve"> HIVST in sub-Saharan Africa. </w:t>
      </w:r>
      <w:r>
        <w:rPr>
          <w:rFonts w:ascii="Times New Roman" w:hAnsi="Times New Roman" w:cs="Times New Roman"/>
        </w:rPr>
        <w:t xml:space="preserve">The search strategy combined both controlled vocabulary (e.g., MeSH, Emtree terms) and free-text terms using Boolean operators (AND, OR). No language restrictions were applied, and studies published from 2010 to 2025 were included to reflect contemporary trends in HIVST adoption. A summary of the strings utilized for the PubMed search is inlcuded in the supplementary materials. </w:t>
      </w:r>
    </w:p>
    <w:p w14:paraId="3B115B3C">
      <w:pPr>
        <w:spacing w:after="0" w:line="360" w:lineRule="auto"/>
        <w:jc w:val="both"/>
        <w:rPr>
          <w:rFonts w:ascii="Times New Roman" w:hAnsi="Times New Roman" w:eastAsia="Times New Roman" w:cs="Times New Roman"/>
          <w:color w:val="000000"/>
          <w:kern w:val="0"/>
          <w:lang w:val="en-GB" w:eastAsia="en-GB"/>
          <w14:ligatures w14:val="none"/>
        </w:rPr>
      </w:pPr>
      <w:r>
        <w:rPr>
          <w:rFonts w:ascii="Times New Roman" w:hAnsi="Times New Roman" w:eastAsia="Times New Roman" w:cs="Times New Roman"/>
          <w:b/>
          <w:bCs/>
          <w:color w:val="000000"/>
          <w:kern w:val="0"/>
          <w:lang w:eastAsia="en-GB"/>
          <w14:ligatures w14:val="none"/>
        </w:rPr>
        <w:t xml:space="preserve">2.3 </w:t>
      </w:r>
      <w:r>
        <w:rPr>
          <w:rFonts w:ascii="Times New Roman" w:hAnsi="Times New Roman" w:eastAsia="Times New Roman" w:cs="Times New Roman"/>
          <w:b/>
          <w:bCs/>
          <w:color w:val="000000"/>
          <w:kern w:val="0"/>
          <w:lang w:val="en-GB" w:eastAsia="en-GB"/>
          <w14:ligatures w14:val="none"/>
        </w:rPr>
        <w:t>Selection of studies</w:t>
      </w:r>
    </w:p>
    <w:p w14:paraId="23E5DC99">
      <w:pPr>
        <w:spacing w:after="0" w:line="360" w:lineRule="auto"/>
        <w:jc w:val="both"/>
        <w:rPr>
          <w:rFonts w:ascii="Times New Roman" w:hAnsi="Times New Roman" w:eastAsia="Times New Roman" w:cs="Times New Roman"/>
          <w:color w:val="000000"/>
          <w:kern w:val="0"/>
          <w:lang w:val="en-GB" w:eastAsia="en-GB"/>
          <w14:ligatures w14:val="none"/>
        </w:rPr>
      </w:pPr>
      <w:r>
        <w:rPr>
          <w:rFonts w:ascii="Times New Roman" w:hAnsi="Times New Roman" w:eastAsia="Times New Roman" w:cs="Times New Roman"/>
          <w:color w:val="000000"/>
          <w:kern w:val="0"/>
          <w:lang w:val="en-GB" w:eastAsia="en-GB"/>
          <w14:ligatures w14:val="none"/>
        </w:rPr>
        <w:t>Peer-reviewed articles were sourced from various databases. T</w:t>
      </w:r>
      <w:r>
        <w:rPr>
          <w:rFonts w:ascii="Times New Roman" w:hAnsi="Times New Roman" w:eastAsia="Times New Roman" w:cs="Times New Roman"/>
          <w:color w:val="000000"/>
          <w:kern w:val="0"/>
          <w:lang w:eastAsia="en-GB"/>
          <w14:ligatures w14:val="none"/>
        </w:rPr>
        <w:t>wo</w:t>
      </w:r>
      <w:r>
        <w:rPr>
          <w:rFonts w:ascii="Times New Roman" w:hAnsi="Times New Roman" w:eastAsia="Times New Roman" w:cs="Times New Roman"/>
          <w:color w:val="000000"/>
          <w:kern w:val="0"/>
          <w:lang w:val="en-GB" w:eastAsia="en-GB"/>
          <w14:ligatures w14:val="none"/>
        </w:rPr>
        <w:t xml:space="preserve"> team members manually screened the titles and abstracts of the identified search results to remove duplicate studies, followed by a detailed examination of the full texts of the selected papers. Grey literature was excluded from this review due to practical limitations, including difficulties in identification, acquisition, processing, and accessibility compared to traditional literature sources. To ensure consistency and reduce potential bias, two authors worked in pairs to review the titles and abstracts. In instances of disagreement regarding a study's eligibility, a consensus was achieved through discussion. The studies that fulfilled the established eligibility criteria were then subjected to a thorough analysis of their full texts.</w:t>
      </w:r>
    </w:p>
    <w:p w14:paraId="444C9E37">
      <w:pPr>
        <w:spacing w:after="0" w:line="360" w:lineRule="auto"/>
        <w:jc w:val="both"/>
        <w:rPr>
          <w:rFonts w:ascii="Times New Roman" w:hAnsi="Times New Roman" w:eastAsia="Times New Roman" w:cs="Times New Roman"/>
          <w:kern w:val="0"/>
          <w:lang w:val="en-GB" w:eastAsia="en-GB"/>
          <w14:ligatures w14:val="none"/>
        </w:rPr>
      </w:pPr>
      <w:r>
        <w:rPr>
          <w:rFonts w:ascii="Times New Roman" w:hAnsi="Times New Roman" w:eastAsia="Times New Roman" w:cs="Times New Roman"/>
          <w:b/>
          <w:bCs/>
          <w:color w:val="000000"/>
          <w:kern w:val="0"/>
          <w:lang w:eastAsia="en-GB"/>
          <w14:ligatures w14:val="none"/>
        </w:rPr>
        <w:t xml:space="preserve">2.4 </w:t>
      </w:r>
      <w:r>
        <w:rPr>
          <w:rFonts w:ascii="Times New Roman" w:hAnsi="Times New Roman" w:eastAsia="Times New Roman" w:cs="Times New Roman"/>
          <w:b/>
          <w:bCs/>
          <w:color w:val="000000"/>
          <w:kern w:val="0"/>
          <w:lang w:val="en-GB" w:eastAsia="en-GB"/>
          <w14:ligatures w14:val="none"/>
        </w:rPr>
        <w:t>Data extraction and management</w:t>
      </w:r>
    </w:p>
    <w:p w14:paraId="4A5E8C81">
      <w:pPr>
        <w:spacing w:after="0" w:line="360" w:lineRule="auto"/>
        <w:jc w:val="both"/>
        <w:rPr>
          <w:rFonts w:ascii="Times New Roman" w:hAnsi="Times New Roman" w:eastAsia="Times New Roman" w:cs="Times New Roman"/>
          <w:kern w:val="0"/>
          <w:lang w:val="en-GB" w:eastAsia="en-GB"/>
          <w14:ligatures w14:val="none"/>
        </w:rPr>
      </w:pPr>
      <w:r>
        <w:rPr>
          <w:rFonts w:ascii="Times New Roman" w:hAnsi="Times New Roman" w:eastAsia="Times New Roman" w:cs="Times New Roman"/>
          <w:color w:val="000000"/>
          <w:kern w:val="0"/>
          <w:lang w:val="en-GB" w:eastAsia="en-GB"/>
          <w14:ligatures w14:val="none"/>
        </w:rPr>
        <w:t xml:space="preserve">A data extraction form was developed using Google Sheets to standardize the information extraction process from the chosen full-text articles. The data collected included various elements such as author, publication year, article title, study design, geographical region of the study, characteristics of the study population, details of the HIVST intervention, intervention characteristics, </w:t>
      </w:r>
      <w:r>
        <w:rPr>
          <w:rFonts w:ascii="Times New Roman" w:hAnsi="Times New Roman" w:eastAsia="Times New Roman" w:cs="Times New Roman"/>
          <w:color w:val="000000"/>
          <w:kern w:val="0"/>
          <w:lang w:eastAsia="en-GB"/>
          <w14:ligatures w14:val="none"/>
        </w:rPr>
        <w:t>utilisation</w:t>
      </w:r>
      <w:r>
        <w:rPr>
          <w:rFonts w:ascii="Times New Roman" w:hAnsi="Times New Roman" w:eastAsia="Times New Roman" w:cs="Times New Roman"/>
          <w:color w:val="000000"/>
          <w:kern w:val="0"/>
          <w:lang w:val="en-GB" w:eastAsia="en-GB"/>
          <w14:ligatures w14:val="none"/>
        </w:rPr>
        <w:t xml:space="preserve"> and outcomes, barriers and facilitators, and other relevant findings.</w:t>
      </w:r>
    </w:p>
    <w:p w14:paraId="2841199D">
      <w:pPr>
        <w:spacing w:after="0" w:line="360" w:lineRule="auto"/>
        <w:jc w:val="both"/>
        <w:rPr>
          <w:rFonts w:ascii="Times New Roman" w:hAnsi="Times New Roman" w:eastAsia="Times New Roman" w:cs="Times New Roman"/>
          <w:kern w:val="0"/>
          <w:lang w:val="en-GB" w:eastAsia="en-GB"/>
          <w14:ligatures w14:val="none"/>
        </w:rPr>
      </w:pPr>
      <w:r>
        <w:rPr>
          <w:rFonts w:ascii="Times New Roman" w:hAnsi="Times New Roman" w:eastAsia="Times New Roman" w:cs="Times New Roman"/>
          <w:b/>
          <w:bCs/>
          <w:color w:val="000000"/>
          <w:kern w:val="0"/>
          <w:lang w:eastAsia="en-GB"/>
          <w14:ligatures w14:val="none"/>
        </w:rPr>
        <w:t xml:space="preserve">2.5 </w:t>
      </w:r>
      <w:r>
        <w:rPr>
          <w:rFonts w:ascii="Times New Roman" w:hAnsi="Times New Roman" w:eastAsia="Times New Roman" w:cs="Times New Roman"/>
          <w:b/>
          <w:bCs/>
          <w:color w:val="000000"/>
          <w:kern w:val="0"/>
          <w:lang w:val="en-GB" w:eastAsia="en-GB"/>
          <w14:ligatures w14:val="none"/>
        </w:rPr>
        <w:t>Data synthesis</w:t>
      </w:r>
    </w:p>
    <w:p w14:paraId="64807353">
      <w:pPr>
        <w:spacing w:after="0" w:line="360" w:lineRule="auto"/>
        <w:jc w:val="both"/>
        <w:rPr>
          <w:rFonts w:ascii="Times New Roman" w:hAnsi="Times New Roman" w:eastAsia="Times New Roman" w:cs="Times New Roman"/>
          <w:color w:val="000000"/>
          <w:kern w:val="0"/>
          <w:lang w:val="en-GB" w:eastAsia="en-GB"/>
          <w14:ligatures w14:val="none"/>
        </w:rPr>
      </w:pPr>
      <w:r>
        <w:rPr>
          <w:rFonts w:ascii="Times New Roman" w:hAnsi="Times New Roman" w:eastAsia="Times New Roman"/>
          <w:color w:val="000000"/>
          <w:kern w:val="0"/>
          <w:lang w:val="en-GB" w:eastAsia="en-GB"/>
          <w14:ligatures w14:val="none"/>
        </w:rPr>
        <w:t xml:space="preserve">The integration of the gathered data was performed using a narrative methodology. This process of data integration entailed organizing the information based on several criteria, such as the contexts in which the research was conducted, the demographics of the participants, the particular HIV self-testing (HIVST) services being examined, the nature and source of the services, and the research designs utilized. To succinctly present the attributes of the studies and interventions, tabular formats </w:t>
      </w:r>
      <w:r>
        <w:rPr>
          <w:rFonts w:ascii="Times New Roman" w:hAnsi="Times New Roman" w:eastAsia="Times New Roman"/>
          <w:color w:val="000000"/>
          <w:kern w:val="0"/>
          <w:lang w:eastAsia="en-GB"/>
          <w14:ligatures w14:val="none"/>
        </w:rPr>
        <w:t>were</w:t>
      </w:r>
      <w:r>
        <w:rPr>
          <w:rFonts w:ascii="Times New Roman" w:hAnsi="Times New Roman" w:eastAsia="Times New Roman"/>
          <w:color w:val="000000"/>
          <w:kern w:val="0"/>
          <w:lang w:val="en-GB" w:eastAsia="en-GB"/>
          <w14:ligatures w14:val="none"/>
        </w:rPr>
        <w:t xml:space="preserve"> used. Furthermore, a map </w:t>
      </w:r>
      <w:r>
        <w:rPr>
          <w:rFonts w:ascii="Times New Roman" w:hAnsi="Times New Roman" w:eastAsia="Times New Roman"/>
          <w:color w:val="000000"/>
          <w:kern w:val="0"/>
          <w:lang w:eastAsia="en-GB"/>
          <w14:ligatures w14:val="none"/>
        </w:rPr>
        <w:t>was</w:t>
      </w:r>
      <w:r>
        <w:rPr>
          <w:rFonts w:ascii="Times New Roman" w:hAnsi="Times New Roman" w:eastAsia="Times New Roman"/>
          <w:color w:val="000000"/>
          <w:kern w:val="0"/>
          <w:lang w:val="en-GB" w:eastAsia="en-GB"/>
          <w14:ligatures w14:val="none"/>
        </w:rPr>
        <w:t xml:space="preserve"> employed to visually represent the geographical areas where the research took place.</w:t>
      </w:r>
    </w:p>
    <w:p w14:paraId="2ED52872">
      <w:pPr>
        <w:pStyle w:val="4"/>
        <w:jc w:val="both"/>
        <w:rPr>
          <w:rFonts w:ascii="Times New Roman" w:hAnsi="Times New Roman" w:cs="Times New Roman"/>
          <w:color w:val="auto"/>
          <w:sz w:val="24"/>
          <w:szCs w:val="24"/>
        </w:rPr>
      </w:pPr>
    </w:p>
    <w:p w14:paraId="427D6977">
      <w:pPr>
        <w:pStyle w:val="4"/>
        <w:jc w:val="both"/>
        <w:rPr>
          <w:rFonts w:ascii="Times New Roman" w:hAnsi="Times New Roman" w:cs="Times New Roman"/>
          <w:color w:val="auto"/>
          <w:sz w:val="24"/>
          <w:szCs w:val="24"/>
        </w:rPr>
      </w:pPr>
      <w:r>
        <w:rPr>
          <w:rFonts w:ascii="Times New Roman" w:hAnsi="Times New Roman" w:cs="Times New Roman"/>
          <w:color w:val="auto"/>
          <w:sz w:val="24"/>
          <w:szCs w:val="24"/>
        </w:rPr>
        <w:t>Table 1: Expanded and Detailed Search Strategy</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3408"/>
        <w:gridCol w:w="2952"/>
      </w:tblGrid>
      <w:tr w14:paraId="40C3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043E214">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Database</w:t>
            </w:r>
          </w:p>
        </w:tc>
        <w:tc>
          <w:tcPr>
            <w:tcW w:w="3408" w:type="dxa"/>
          </w:tcPr>
          <w:p w14:paraId="2745100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Search Strategy (simplified)</w:t>
            </w:r>
          </w:p>
        </w:tc>
        <w:tc>
          <w:tcPr>
            <w:tcW w:w="2952" w:type="dxa"/>
          </w:tcPr>
          <w:p w14:paraId="1F84B29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Hits</w:t>
            </w:r>
          </w:p>
        </w:tc>
      </w:tr>
      <w:tr w14:paraId="6D65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4C50166">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PubMed</w:t>
            </w:r>
          </w:p>
        </w:tc>
        <w:tc>
          <w:tcPr>
            <w:tcW w:w="3408" w:type="dxa"/>
          </w:tcPr>
          <w:p w14:paraId="64D3612C">
            <w:pPr>
              <w:widowControl w:val="0"/>
              <w:spacing w:after="0" w:line="240" w:lineRule="auto"/>
              <w:jc w:val="both"/>
              <w:rPr>
                <w:rFonts w:ascii="Times New Roman" w:hAnsi="Times New Roman" w:cs="Times New Roman"/>
                <w:sz w:val="20"/>
                <w:szCs w:val="20"/>
              </w:rPr>
            </w:pPr>
            <w:r>
              <w:rPr>
                <w:rFonts w:ascii="Times New Roman" w:hAnsi="Times New Roman"/>
                <w:sz w:val="20"/>
                <w:szCs w:val="20"/>
              </w:rPr>
              <w:t>("HIV Self-Testing"[MeSH] OR "HIV self-testing" OR "HIVST" OR "HIV self test" OR "HIV self screen*" OR "HIV home test*" OR "HIV home screen" OR "HIV rapid self-test" OR "HIV rapid test" OR "HIV self-diagnosis") AND ("utilisation" OR "Uptake" OR "Use" OR "Acceptability" OR "Feasibility" OR "Accessibility" OR "Access" OR "Barriers" OR "Facilitators" OR "Implementation" OR "Program" OR "Intervention") AND ("sub-Saharan Africa" OR "Africa South of the Sahara")</w:t>
            </w:r>
          </w:p>
        </w:tc>
        <w:tc>
          <w:tcPr>
            <w:tcW w:w="2952" w:type="dxa"/>
          </w:tcPr>
          <w:p w14:paraId="1C43BAE4">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211</w:t>
            </w:r>
          </w:p>
        </w:tc>
      </w:tr>
      <w:tr w14:paraId="07AE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7C02FF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ScienceDirect</w:t>
            </w:r>
          </w:p>
        </w:tc>
        <w:tc>
          <w:tcPr>
            <w:tcW w:w="3408" w:type="dxa"/>
          </w:tcPr>
          <w:p w14:paraId="52FBEE84">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("HIV self-testing" OR "HIVST" OR "self test for HIV" OR "HIV home testing") AND ("people living with HIV" OR PLWHA OR PLHIV OR "HIV positive") AND ("sub-Saharan Africa</w:t>
            </w:r>
          </w:p>
        </w:tc>
        <w:tc>
          <w:tcPr>
            <w:tcW w:w="2952" w:type="dxa"/>
          </w:tcPr>
          <w:p w14:paraId="25FA20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118</w:t>
            </w:r>
          </w:p>
        </w:tc>
      </w:tr>
      <w:tr w14:paraId="4AAE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2BF0420">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AJOL</w:t>
            </w:r>
          </w:p>
        </w:tc>
        <w:tc>
          <w:tcPr>
            <w:tcW w:w="3408" w:type="dxa"/>
          </w:tcPr>
          <w:p w14:paraId="050E1113">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("HIV self-testing" AND "people living with HIV"AND sub-Saharan Africa countries)</w:t>
            </w:r>
          </w:p>
        </w:tc>
        <w:tc>
          <w:tcPr>
            <w:tcW w:w="2952" w:type="dxa"/>
          </w:tcPr>
          <w:p w14:paraId="07B1CA64">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34</w:t>
            </w:r>
          </w:p>
        </w:tc>
      </w:tr>
      <w:tr w14:paraId="54A3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30A9C3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Google Scholar</w:t>
            </w:r>
          </w:p>
        </w:tc>
        <w:tc>
          <w:tcPr>
            <w:tcW w:w="3408" w:type="dxa"/>
          </w:tcPr>
          <w:p w14:paraId="1917C086">
            <w:pPr>
              <w:widowControl w:val="0"/>
              <w:spacing w:after="0" w:line="240" w:lineRule="auto"/>
              <w:jc w:val="both"/>
              <w:rPr>
                <w:rFonts w:ascii="Times New Roman" w:hAnsi="Times New Roman" w:cs="Times New Roman"/>
                <w:sz w:val="20"/>
                <w:szCs w:val="20"/>
              </w:rPr>
            </w:pPr>
            <w:r>
              <w:rPr>
                <w:rFonts w:ascii="Times New Roman" w:hAnsi="Times New Roman"/>
                <w:sz w:val="20"/>
                <w:szCs w:val="20"/>
              </w:rPr>
              <w:t>("HIV Self-Testing"[MeSH] OR "HIV self-testing" OR "HIVST" OR "HIV self test*" OR "HIV self screen*" OR "HIV home test*" OR "HIV home screen*" OR "HIV rapid self-test*" OR "HIV rapid test*" OR "HIV self-diagnosis") AND ("utilisation" OR "Uptake" OR "Use" OR "Acceptability" OR "Feasibility" OR "Accessibility" OR "Access" OR "Barriers" OR "Facilitators" OR "Implementation" OR "Program*" OR "Intervention*") AND ("sub-Saharan Africa" OR "Africa South of the Sahara")</w:t>
            </w:r>
          </w:p>
        </w:tc>
        <w:tc>
          <w:tcPr>
            <w:tcW w:w="2952" w:type="dxa"/>
          </w:tcPr>
          <w:p w14:paraId="3F41A6A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231</w:t>
            </w:r>
          </w:p>
        </w:tc>
      </w:tr>
    </w:tbl>
    <w:p w14:paraId="119855C8">
      <w:pPr>
        <w:spacing w:line="360" w:lineRule="auto"/>
        <w:jc w:val="both"/>
        <w:rPr>
          <w:rFonts w:ascii="Times New Roman" w:hAnsi="Times New Roman" w:cs="Times New Roman"/>
        </w:rPr>
      </w:pPr>
    </w:p>
    <w:p w14:paraId="1C1FA6E9">
      <w:pPr>
        <w:spacing w:line="360" w:lineRule="auto"/>
        <w:jc w:val="both"/>
        <w:rPr>
          <w:rFonts w:ascii="Times New Roman" w:hAnsi="Times New Roman" w:cs="Times New Roman"/>
        </w:rPr>
      </w:pPr>
    </w:p>
    <w:p w14:paraId="0552F68A">
      <w:pPr>
        <w:spacing w:line="360" w:lineRule="auto"/>
        <w:jc w:val="both"/>
        <w:rPr>
          <w:rFonts w:ascii="Times New Roman" w:hAnsi="Times New Roman" w:cs="Times New Roman"/>
        </w:rPr>
      </w:pPr>
    </w:p>
    <w:p w14:paraId="5AC8C0F5">
      <w:pPr>
        <w:spacing w:line="360" w:lineRule="auto"/>
        <w:jc w:val="both"/>
        <w:rPr>
          <w:rFonts w:ascii="Times New Roman" w:hAnsi="Times New Roman" w:cs="Times New Roman"/>
        </w:rPr>
      </w:pPr>
    </w:p>
    <w:p w14:paraId="629F5304">
      <w:pPr>
        <w:spacing w:line="360" w:lineRule="auto"/>
        <w:jc w:val="both"/>
        <w:rPr>
          <w:rFonts w:ascii="Times New Roman" w:hAnsi="Times New Roman" w:cs="Times New Roman"/>
          <w:b/>
          <w:bCs/>
        </w:rPr>
      </w:pPr>
    </w:p>
    <w:p w14:paraId="15409C65">
      <w:pPr>
        <w:spacing w:line="360" w:lineRule="auto"/>
        <w:jc w:val="both"/>
        <w:rPr>
          <w:rFonts w:ascii="Times New Roman" w:hAnsi="Times New Roman" w:cs="Times New Roman"/>
          <w:b/>
          <w:bCs/>
        </w:rPr>
      </w:pPr>
    </w:p>
    <w:p w14:paraId="6ABC7D4B">
      <w:pPr>
        <w:spacing w:after="0" w:line="240" w:lineRule="auto"/>
        <w:rPr>
          <w:rFonts w:ascii="Times New Roman" w:hAnsi="Times New Roman" w:cs="Times New Roman"/>
          <w:b/>
          <w:bCs/>
        </w:rPr>
      </w:pPr>
      <w:r>
        <w:rPr>
          <w:rFonts w:ascii="Times New Roman" w:hAnsi="Times New Roman" w:cs="Times New Roman"/>
          <w:b/>
          <w:bCs/>
        </w:rPr>
        <w:t>Figure 1: PRISMA CHART</w:t>
      </w:r>
    </w:p>
    <w:p w14:paraId="5C1FA5B3">
      <w:pPr>
        <w:spacing w:after="0" w:line="240" w:lineRule="auto"/>
      </w:pPr>
    </w:p>
    <w:p w14:paraId="45249CBE">
      <w:pPr>
        <w:spacing w:after="0" w:line="240" w:lineRule="auto"/>
      </w:pPr>
      <w:r>
        <w:rPr>
          <w:lang w:val="en-CA" w:eastAsia="en-CA"/>
        </w:rPr>
        <mc:AlternateContent>
          <mc:Choice Requires="wps">
            <w:drawing>
              <wp:anchor distT="0" distB="0" distL="114300" distR="114300" simplePos="0" relativeHeight="251672576" behindDoc="0" locked="0" layoutInCell="1" allowOverlap="1">
                <wp:simplePos x="0" y="0"/>
                <wp:positionH relativeFrom="column">
                  <wp:posOffset>566420</wp:posOffset>
                </wp:positionH>
                <wp:positionV relativeFrom="paragraph">
                  <wp:posOffset>73660</wp:posOffset>
                </wp:positionV>
                <wp:extent cx="4345305" cy="262890"/>
                <wp:effectExtent l="6350" t="6350" r="6985" b="2032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1D7F16A">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4.6pt;margin-top:5.8pt;height:20.7pt;width:342.15pt;z-index:251672576;v-text-anchor:middle;mso-width-relative:page;mso-height-relative:page;" fillcolor="#FFC000 [3207]" filled="t" stroked="t" coordsize="21600,21600" o:gfxdata="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3Wye+&#10;2QAAAAgBAAAPAAAAAAAAAAEAIAAAACIAAABkcnMvZG93bnJldi54bWxQSwECFAAUAAAACACHTuJA&#10;GRJ4OJICAABNBQAADgAAAAAAAAABACAAAAAoAQAAZHJzL2Uyb0RvYy54bWxQSwUGAAAAAAYABgBZ&#10;AQAALAYAAAAA&#10;">
                <v:fill on="t" focussize="0,0"/>
                <v:stroke weight="1pt" color="#BC8C00 [3207]" miterlimit="8" joinstyle="miter"/>
                <v:imagedata o:title=""/>
                <o:lock v:ext="edit" aspectratio="f"/>
                <v:textbox>
                  <w:txbxContent>
                    <w:p w14:paraId="71D7F16A">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 of studies via databases and registers</w:t>
                      </w:r>
                    </w:p>
                  </w:txbxContent>
                </v:textbox>
              </v:shape>
            </w:pict>
          </mc:Fallback>
        </mc:AlternateContent>
      </w:r>
    </w:p>
    <w:p w14:paraId="289E0143">
      <w:pPr>
        <w:spacing w:after="0" w:line="240" w:lineRule="auto"/>
      </w:pPr>
    </w:p>
    <w:p w14:paraId="50A331D1">
      <w:pPr>
        <w:spacing w:after="0" w:line="240" w:lineRule="auto"/>
      </w:pPr>
      <w:r>
        <w:rPr>
          <w:lang w:val="en-CA" w:eastAsia="en-CA"/>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76835</wp:posOffset>
                </wp:positionV>
                <wp:extent cx="1887220" cy="1242695"/>
                <wp:effectExtent l="6350" t="6350" r="11430" b="15875"/>
                <wp:wrapNone/>
                <wp:docPr id="3"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580EB0">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 xml:space="preserve">Records removed </w:t>
                            </w:r>
                            <w:r>
                              <w:rPr>
                                <w:rFonts w:ascii="Arial" w:hAnsi="Arial" w:cs="Arial"/>
                                <w:i/>
                                <w:iCs/>
                                <w:color w:val="000000" w:themeColor="text1"/>
                                <w:sz w:val="18"/>
                                <w:szCs w:val="20"/>
                                <w14:textFill>
                                  <w14:solidFill>
                                    <w14:schemeClr w14:val="tx1"/>
                                  </w14:solidFill>
                                </w14:textFill>
                              </w:rPr>
                              <w:t>before screening</w:t>
                            </w:r>
                            <w:r>
                              <w:rPr>
                                <w:rFonts w:ascii="Arial" w:hAnsi="Arial" w:cs="Arial"/>
                                <w:color w:val="000000" w:themeColor="text1"/>
                                <w:sz w:val="18"/>
                                <w:szCs w:val="20"/>
                                <w14:textFill>
                                  <w14:solidFill>
                                    <w14:schemeClr w14:val="tx1"/>
                                  </w14:solidFill>
                                </w14:textFill>
                              </w:rPr>
                              <w:t>:</w:t>
                            </w:r>
                          </w:p>
                          <w:p w14:paraId="393861AF">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Duplicate records removed  (n = 55 )</w:t>
                            </w:r>
                          </w:p>
                          <w:p w14:paraId="4308580E">
                            <w:pPr>
                              <w:spacing w:after="0" w:line="240" w:lineRule="auto"/>
                              <w:ind w:left="284"/>
                              <w:rPr>
                                <w:rFonts w:ascii="Arial" w:hAnsi="Arial" w:cs="Arial"/>
                                <w:color w:val="000000" w:themeColor="text1"/>
                                <w:sz w:val="18"/>
                                <w:szCs w:val="20"/>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39.3pt;margin-top:6.05pt;height:97.85pt;width:148.6pt;z-index:251660288;v-text-anchor:middle;mso-width-relative:page;mso-height-relative:page;" filled="f" stroked="t" coordsize="21600,21600" o:gfxdata="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lgqwP2AAAAAoBAAAPAAAAAAAAAAEAIAAAACIAAABkcnMvZG93bnJldi54bWxQSwECFAAU&#10;AAAACACHTuJA4cvHJGMCAADaBAAADgAAAAAAAAABACAAAAAnAQAAZHJzL2Uyb0RvYy54bWxQSwUG&#10;AAAAAAYABgBZAQAA/AUAAAAA&#10;">
                <v:fill on="f" focussize="0,0"/>
                <v:stroke weight="1pt" color="#000000 [3213]" miterlimit="8" joinstyle="miter"/>
                <v:imagedata o:title=""/>
                <o:lock v:ext="edit" aspectratio="f"/>
                <v:textbox>
                  <w:txbxContent>
                    <w:p w14:paraId="5C580EB0">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 xml:space="preserve">Records removed </w:t>
                      </w:r>
                      <w:r>
                        <w:rPr>
                          <w:rFonts w:ascii="Arial" w:hAnsi="Arial" w:cs="Arial"/>
                          <w:i/>
                          <w:iCs/>
                          <w:color w:val="000000" w:themeColor="text1"/>
                          <w:sz w:val="18"/>
                          <w:szCs w:val="20"/>
                          <w14:textFill>
                            <w14:solidFill>
                              <w14:schemeClr w14:val="tx1"/>
                            </w14:solidFill>
                          </w14:textFill>
                        </w:rPr>
                        <w:t>before screening</w:t>
                      </w:r>
                      <w:r>
                        <w:rPr>
                          <w:rFonts w:ascii="Arial" w:hAnsi="Arial" w:cs="Arial"/>
                          <w:color w:val="000000" w:themeColor="text1"/>
                          <w:sz w:val="18"/>
                          <w:szCs w:val="20"/>
                          <w14:textFill>
                            <w14:solidFill>
                              <w14:schemeClr w14:val="tx1"/>
                            </w14:solidFill>
                          </w14:textFill>
                        </w:rPr>
                        <w:t>:</w:t>
                      </w:r>
                    </w:p>
                    <w:p w14:paraId="393861AF">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Duplicate records removed  (n = 55 )</w:t>
                      </w:r>
                    </w:p>
                    <w:p w14:paraId="4308580E">
                      <w:pPr>
                        <w:spacing w:after="0" w:line="240" w:lineRule="auto"/>
                        <w:ind w:left="284"/>
                        <w:rPr>
                          <w:rFonts w:ascii="Arial" w:hAnsi="Arial" w:cs="Arial"/>
                          <w:color w:val="000000" w:themeColor="text1"/>
                          <w:sz w:val="18"/>
                          <w:szCs w:val="20"/>
                          <w14:textFill>
                            <w14:solidFill>
                              <w14:schemeClr w14:val="tx1"/>
                            </w14:solidFill>
                          </w14:textFill>
                        </w:rPr>
                      </w:pPr>
                    </w:p>
                  </w:txbxContent>
                </v:textbox>
              </v:rect>
            </w:pict>
          </mc:Fallback>
        </mc:AlternateContent>
      </w:r>
      <w:r>
        <w:rPr>
          <w:lang w:val="en-CA" w:eastAsia="en-CA"/>
        </w:rPr>
        <mc:AlternateContent>
          <mc:Choice Requires="wps">
            <w:drawing>
              <wp:anchor distT="0" distB="0" distL="114300" distR="114300" simplePos="0" relativeHeight="251659264" behindDoc="0" locked="0" layoutInCell="1" allowOverlap="1">
                <wp:simplePos x="0" y="0"/>
                <wp:positionH relativeFrom="column">
                  <wp:posOffset>559435</wp:posOffset>
                </wp:positionH>
                <wp:positionV relativeFrom="paragraph">
                  <wp:posOffset>76835</wp:posOffset>
                </wp:positionV>
                <wp:extent cx="1887220" cy="1243330"/>
                <wp:effectExtent l="6350" t="6350" r="11430" b="15240"/>
                <wp:wrapNone/>
                <wp:docPr id="4"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E22F3">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Records identified from:</w:t>
                            </w:r>
                          </w:p>
                          <w:p w14:paraId="33EF925B">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Databases (n = 594)</w:t>
                            </w:r>
                          </w:p>
                          <w:p w14:paraId="08CE6AE1">
                            <w:pPr>
                              <w:spacing w:after="0" w:line="240" w:lineRule="auto"/>
                              <w:rPr>
                                <w:rFonts w:ascii="Arial" w:hAnsi="Arial" w:cs="Arial"/>
                                <w:color w:val="000000" w:themeColor="text1"/>
                                <w:sz w:val="18"/>
                                <w:szCs w:val="20"/>
                                <w14:textFill>
                                  <w14:solidFill>
                                    <w14:schemeClr w14:val="tx1"/>
                                  </w14:solidFill>
                                </w14:textFill>
                              </w:rPr>
                            </w:pPr>
                          </w:p>
                          <w:p w14:paraId="71E6E797">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Registers   (Pubmed =211 )</w:t>
                            </w:r>
                          </w:p>
                          <w:p w14:paraId="424F925A">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 xml:space="preserve">       (Google scholar = 231)</w:t>
                            </w:r>
                          </w:p>
                          <w:p w14:paraId="01AE6256">
                            <w:pPr>
                              <w:spacing w:after="0" w:line="240" w:lineRule="auto"/>
                              <w:ind w:left="284" w:firstLine="270" w:firstLineChars="150"/>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(Science direct = 118)</w:t>
                            </w:r>
                          </w:p>
                          <w:p w14:paraId="19FF3657">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 xml:space="preserve">           (AJOL = 34)</w:t>
                            </w:r>
                          </w:p>
                          <w:p w14:paraId="6ED46AD1">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44.05pt;margin-top:6.05pt;height:97.9pt;width:148.6pt;z-index:251659264;v-text-anchor:middle;mso-width-relative:page;mso-height-relative:page;" filled="f" stroked="t" coordsize="21600,21600" o:gfxdata="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itspO2AAAAAkBAAAPAAAAAAAAAAEAIAAAACIAAABkcnMvZG93bnJldi54bWxQSwECFAAU&#10;AAAACACHTuJAOQycDmMCAADaBAAADgAAAAAAAAABACAAAAAnAQAAZHJzL2Uyb0RvYy54bWxQSwUG&#10;AAAAAAYABgBZAQAA/AUAAAAA&#10;">
                <v:fill on="f" focussize="0,0"/>
                <v:stroke weight="1pt" color="#000000 [3213]" miterlimit="8" joinstyle="miter"/>
                <v:imagedata o:title=""/>
                <o:lock v:ext="edit" aspectratio="f"/>
                <v:textbox>
                  <w:txbxContent>
                    <w:p w14:paraId="1BDE22F3">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Records identified from:</w:t>
                      </w:r>
                    </w:p>
                    <w:p w14:paraId="33EF925B">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Databases (n = 594)</w:t>
                      </w:r>
                    </w:p>
                    <w:p w14:paraId="08CE6AE1">
                      <w:pPr>
                        <w:spacing w:after="0" w:line="240" w:lineRule="auto"/>
                        <w:rPr>
                          <w:rFonts w:ascii="Arial" w:hAnsi="Arial" w:cs="Arial"/>
                          <w:color w:val="000000" w:themeColor="text1"/>
                          <w:sz w:val="18"/>
                          <w:szCs w:val="20"/>
                          <w14:textFill>
                            <w14:solidFill>
                              <w14:schemeClr w14:val="tx1"/>
                            </w14:solidFill>
                          </w14:textFill>
                        </w:rPr>
                      </w:pPr>
                    </w:p>
                    <w:p w14:paraId="71E6E797">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Registers   (Pubmed =211 )</w:t>
                      </w:r>
                    </w:p>
                    <w:p w14:paraId="424F925A">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 xml:space="preserve">       (Google scholar = 231)</w:t>
                      </w:r>
                    </w:p>
                    <w:p w14:paraId="01AE6256">
                      <w:pPr>
                        <w:spacing w:after="0" w:line="240" w:lineRule="auto"/>
                        <w:ind w:left="284" w:firstLine="270" w:firstLineChars="150"/>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(Science direct = 118)</w:t>
                      </w:r>
                    </w:p>
                    <w:p w14:paraId="19FF3657">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 xml:space="preserve">           (AJOL = 34)</w:t>
                      </w:r>
                    </w:p>
                    <w:p w14:paraId="6ED46AD1">
                      <w:pPr>
                        <w:spacing w:after="0" w:line="240" w:lineRule="auto"/>
                        <w:ind w:left="284"/>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 xml:space="preserve">              </w:t>
                      </w:r>
                    </w:p>
                  </w:txbxContent>
                </v:textbox>
              </v:rect>
            </w:pict>
          </mc:Fallback>
        </mc:AlternateContent>
      </w:r>
    </w:p>
    <w:p w14:paraId="1FBB0DE6">
      <w:pPr>
        <w:spacing w:after="0" w:line="240" w:lineRule="auto"/>
      </w:pPr>
    </w:p>
    <w:p w14:paraId="6610E467">
      <w:pPr>
        <w:spacing w:after="0" w:line="240" w:lineRule="auto"/>
      </w:pPr>
      <w:r>
        <w:rPr>
          <w:lang w:val="en-CA" w:eastAsia="en-CA"/>
        </w:rPr>
        <mc:AlternateContent>
          <mc:Choice Requires="wps">
            <w:drawing>
              <wp:anchor distT="0" distB="0" distL="114300" distR="114300" simplePos="0" relativeHeight="251673600" behindDoc="0" locked="0" layoutInCell="1" allowOverlap="1">
                <wp:simplePos x="0" y="0"/>
                <wp:positionH relativeFrom="column">
                  <wp:posOffset>-403225</wp:posOffset>
                </wp:positionH>
                <wp:positionV relativeFrom="paragraph">
                  <wp:posOffset>222250</wp:posOffset>
                </wp:positionV>
                <wp:extent cx="1276985" cy="262890"/>
                <wp:effectExtent l="6350" t="6350" r="20320" b="12065"/>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8AEE6C5">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1.75pt;margin-top:17.5pt;height:20.7pt;width:100.55pt;rotation:-5898240f;z-index:251673600;v-text-anchor:middle;mso-width-relative:page;mso-height-relative:page;" fillcolor="#9DC3E6 [1944]" filled="t" stroked="t" coordsize="21600,21600" o:gfxdata="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OtJHIzaAAAACQEAAA8AAAAAAAAAAQAgAAAAIgAAAGRycy9kb3ducmV2&#10;LnhtbFBLAQIUABQAAAAIAIdO4kCJFWIqpQIAAHQFAAAOAAAAAAAAAAEAIAAAACkBAABkcnMvZTJv&#10;RG9jLnhtbFBLBQYAAAAABgAGAFkBAABABgAAAAA=&#10;">
                <v:fill on="t" focussize="0,0"/>
                <v:stroke weight="1pt" color="#000000 [3213]" miterlimit="8" joinstyle="miter"/>
                <v:imagedata o:title=""/>
                <o:lock v:ext="edit" aspectratio="f"/>
                <v:textbox>
                  <w:txbxContent>
                    <w:p w14:paraId="78AEE6C5">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Identification</w:t>
                      </w:r>
                    </w:p>
                  </w:txbxContent>
                </v:textbox>
              </v:shape>
            </w:pict>
          </mc:Fallback>
        </mc:AlternateContent>
      </w:r>
    </w:p>
    <w:p w14:paraId="311737EF">
      <w:pPr>
        <w:spacing w:after="0" w:line="240" w:lineRule="auto"/>
      </w:pPr>
    </w:p>
    <w:p w14:paraId="62C9909B">
      <w:pPr>
        <w:spacing w:after="0" w:line="240" w:lineRule="auto"/>
      </w:pPr>
      <w:r>
        <w:rPr>
          <w:lang w:val="en-CA" w:eastAsia="en-CA"/>
        </w:rPr>
        <mc:AlternateContent>
          <mc:Choice Requires="wps">
            <w:drawing>
              <wp:anchor distT="0" distB="0" distL="114300" distR="114300" simplePos="0" relativeHeight="251668480" behindDoc="0" locked="0" layoutInCell="1" allowOverlap="1">
                <wp:simplePos x="0" y="0"/>
                <wp:positionH relativeFrom="column">
                  <wp:posOffset>2453640</wp:posOffset>
                </wp:positionH>
                <wp:positionV relativeFrom="paragraph">
                  <wp:posOffset>9525</wp:posOffset>
                </wp:positionV>
                <wp:extent cx="563245" cy="0"/>
                <wp:effectExtent l="0" t="38100" r="635" b="3810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3.2pt;margin-top:0.75pt;height:0pt;width:44.35pt;z-index:251668480;mso-width-relative:page;mso-height-relative:page;" filled="f" stroked="t" coordsize="21600,21600" o:gfxdata="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hYmjdMA&#10;AAAHAQAADwAAAAAAAAABACAAAAAiAAAAZHJzL2Rvd25yZXYueG1sUEsBAhQAFAAAAAgAh07iQNgc&#10;jdrrAQAA5QMAAA4AAAAAAAAAAQAgAAAAIgEAAGRycy9lMm9Eb2MueG1sUEsFBgAAAAAGAAYAWQEA&#10;AH8FAAAAAA==&#10;">
                <v:fill on="f" focussize="0,0"/>
                <v:stroke weight="0.5pt" color="#000000 [3213]" miterlimit="8" joinstyle="miter" endarrow="block"/>
                <v:imagedata o:title=""/>
                <o:lock v:ext="edit" aspectratio="f"/>
              </v:shape>
            </w:pict>
          </mc:Fallback>
        </mc:AlternateContent>
      </w:r>
    </w:p>
    <w:p w14:paraId="69BD80C5">
      <w:pPr>
        <w:spacing w:after="0" w:line="240" w:lineRule="auto"/>
      </w:pPr>
    </w:p>
    <w:p w14:paraId="2601E613">
      <w:pPr>
        <w:spacing w:after="0" w:line="240" w:lineRule="auto"/>
      </w:pPr>
    </w:p>
    <w:p w14:paraId="31E43EF2">
      <w:pPr>
        <w:spacing w:after="0" w:line="240" w:lineRule="auto"/>
      </w:pPr>
      <w:r>
        <w:rPr>
          <w:lang w:val="en-CA" w:eastAsia="en-CA"/>
        </w:rPr>
        <mc:AlternateContent>
          <mc:Choice Requires="wps">
            <w:drawing>
              <wp:anchor distT="0" distB="0" distL="114300" distR="114300" simplePos="0" relativeHeight="251676672" behindDoc="0" locked="0" layoutInCell="1" allowOverlap="1">
                <wp:simplePos x="0" y="0"/>
                <wp:positionH relativeFrom="column">
                  <wp:posOffset>1400175</wp:posOffset>
                </wp:positionH>
                <wp:positionV relativeFrom="paragraph">
                  <wp:posOffset>128905</wp:posOffset>
                </wp:positionV>
                <wp:extent cx="0" cy="281305"/>
                <wp:effectExtent l="38100" t="0" r="38100" b="825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0.25pt;margin-top:10.15pt;height:22.15pt;width:0pt;z-index:251676672;mso-width-relative:page;mso-height-relative:page;" filled="f" stroked="t" coordsize="21600,21600" o:gfxdata="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6UVhNQA&#10;AAAJAQAADwAAAAAAAAABACAAAAAiAAAAZHJzL2Rvd25yZXYueG1sUEsBAhQAFAAAAAgAh07iQJfR&#10;mHnqAQAA5QMAAA4AAAAAAAAAAQAgAAAAIwEAAGRycy9lMm9Eb2MueG1sUEsFBgAAAAAGAAYAWQEA&#10;AH8FAAAAAA==&#10;">
                <v:fill on="f" focussize="0,0"/>
                <v:stroke weight="0.5pt" color="#000000 [3213]" miterlimit="8" joinstyle="miter" endarrow="block"/>
                <v:imagedata o:title=""/>
                <o:lock v:ext="edit" aspectratio="f"/>
              </v:shape>
            </w:pict>
          </mc:Fallback>
        </mc:AlternateContent>
      </w:r>
    </w:p>
    <w:p w14:paraId="1C4F8DCD">
      <w:pPr>
        <w:spacing w:after="0" w:line="240" w:lineRule="auto"/>
      </w:pPr>
    </w:p>
    <w:p w14:paraId="32FFBAAE">
      <w:pPr>
        <w:spacing w:after="0" w:line="240" w:lineRule="auto"/>
      </w:pPr>
      <w:r>
        <w:rPr>
          <w:lang w:val="en-CA" w:eastAsia="en-CA"/>
        </w:rPr>
        <mc:AlternateContent>
          <mc:Choice Requires="wps">
            <w:drawing>
              <wp:anchor distT="0" distB="0" distL="114300" distR="114300" simplePos="0" relativeHeight="251669504" behindDoc="0" locked="0" layoutInCell="1" allowOverlap="1">
                <wp:simplePos x="0" y="0"/>
                <wp:positionH relativeFrom="column">
                  <wp:posOffset>2453640</wp:posOffset>
                </wp:positionH>
                <wp:positionV relativeFrom="paragraph">
                  <wp:posOffset>328295</wp:posOffset>
                </wp:positionV>
                <wp:extent cx="563245" cy="0"/>
                <wp:effectExtent l="0" t="38100" r="635" b="3810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3.2pt;margin-top:25.85pt;height:0pt;width:44.35pt;z-index:251669504;mso-width-relative:page;mso-height-relative:page;" filled="f" stroked="t" coordsize="21600,21600" o:gfxdata="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39p&#10;/dYAAAAJAQAADwAAAAAAAAABACAAAAAiAAAAZHJzL2Rvd25yZXYueG1sUEsBAhQAFAAAAAgAh07i&#10;QEfZ1X7rAQAA5QMAAA4AAAAAAAAAAQAgAAAAJQEAAGRycy9lMm9Eb2MueG1sUEsFBgAAAAAGAAYA&#10;WQEAAIIFAAAAAA==&#10;">
                <v:fill on="f" focussize="0,0"/>
                <v:stroke weight="0.5pt" color="#000000 [3213]" miterlimit="8" joinstyle="miter" endarrow="block"/>
                <v:imagedata o:title=""/>
                <o:lock v:ext="edit" aspectratio="f"/>
              </v:shape>
            </w:pict>
          </mc:Fallback>
        </mc:AlternateContent>
      </w:r>
      <w:r>
        <w:rPr>
          <w:lang w:val="en-CA" w:eastAsia="en-CA"/>
        </w:rPr>
        <mc:AlternateContent>
          <mc:Choice Requires="wps">
            <w:drawing>
              <wp:anchor distT="0" distB="0" distL="114300" distR="114300" simplePos="0" relativeHeight="251661312" behindDoc="0" locked="0" layoutInCell="1" allowOverlap="1">
                <wp:simplePos x="0" y="0"/>
                <wp:positionH relativeFrom="column">
                  <wp:posOffset>559435</wp:posOffset>
                </wp:positionH>
                <wp:positionV relativeFrom="paragraph">
                  <wp:posOffset>74930</wp:posOffset>
                </wp:positionV>
                <wp:extent cx="1887220" cy="526415"/>
                <wp:effectExtent l="6350" t="6350" r="11430" b="15875"/>
                <wp:wrapNone/>
                <wp:docPr id="5"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33619F">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Records screened</w:t>
                            </w:r>
                          </w:p>
                          <w:p w14:paraId="0234EC07">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539)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44.05pt;margin-top:5.9pt;height:41.45pt;width:148.6pt;z-index:251661312;v-text-anchor:middle;mso-width-relative:page;mso-height-relative:page;" filled="f" stroked="t" coordsize="21600,21600" o:gfxdata="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hM3HXAAAACAEAAA8AAAAAAAAAAQAgAAAAIgAAAGRycy9kb3ducmV2LnhtbFBLAQIUABQA&#10;AAAIAIdO4kAxSPuCYwIAANkEAAAOAAAAAAAAAAEAIAAAACYBAABkcnMvZTJvRG9jLnhtbFBLBQYA&#10;AAAABgAGAFkBAAD7BQAAAAA=&#10;">
                <v:fill on="f" focussize="0,0"/>
                <v:stroke weight="1pt" color="#000000 [3213]" miterlimit="8" joinstyle="miter"/>
                <v:imagedata o:title=""/>
                <o:lock v:ext="edit" aspectratio="f"/>
                <v:textbox>
                  <w:txbxContent>
                    <w:p w14:paraId="4433619F">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Records screened</w:t>
                      </w:r>
                    </w:p>
                    <w:p w14:paraId="0234EC07">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539)</w:t>
                      </w:r>
                    </w:p>
                  </w:txbxContent>
                </v:textbox>
              </v:rect>
            </w:pict>
          </mc:Fallback>
        </mc:AlternateContent>
      </w:r>
      <w:r>
        <w:rPr>
          <w:lang w:val="en-CA" w:eastAsia="en-CA"/>
        </w:rPr>
        <mc:AlternateContent>
          <mc:Choice Requires="wps">
            <w:drawing>
              <wp:anchor distT="0" distB="0" distL="114300" distR="114300" simplePos="0" relativeHeight="251662336" behindDoc="0" locked="0" layoutInCell="1" allowOverlap="1">
                <wp:simplePos x="0" y="0"/>
                <wp:positionH relativeFrom="column">
                  <wp:posOffset>3048000</wp:posOffset>
                </wp:positionH>
                <wp:positionV relativeFrom="paragraph">
                  <wp:posOffset>74930</wp:posOffset>
                </wp:positionV>
                <wp:extent cx="1887220" cy="526415"/>
                <wp:effectExtent l="6350" t="6350" r="11430" b="15875"/>
                <wp:wrapNone/>
                <wp:docPr id="6"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44DB6">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Records excluded from Titles and Abstracts</w:t>
                            </w:r>
                          </w:p>
                          <w:p w14:paraId="0C162B78">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=486 )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240pt;margin-top:5.9pt;height:41.45pt;width:148.6pt;z-index:251662336;v-text-anchor:middle;mso-width-relative:page;mso-height-relative:page;" filled="f" stroked="t" coordsize="21600,21600" o:gfxdata="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Pmvs2AAAAAkBAAAPAAAAAAAAAAEAIAAAACIAAABkcnMvZG93bnJldi54bWxQSwECFAAU&#10;AAAACACHTuJAnoPZimMCAADZBAAADgAAAAAAAAABACAAAAAnAQAAZHJzL2Uyb0RvYy54bWxQSwUG&#10;AAAAAAYABgBZAQAA/AUAAAAA&#10;">
                <v:fill on="f" focussize="0,0"/>
                <v:stroke weight="1pt" color="#000000 [3213]" miterlimit="8" joinstyle="miter"/>
                <v:imagedata o:title=""/>
                <o:lock v:ext="edit" aspectratio="f"/>
                <v:textbox>
                  <w:txbxContent>
                    <w:p w14:paraId="5CB44DB6">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Records excluded from Titles and Abstracts</w:t>
                      </w:r>
                    </w:p>
                    <w:p w14:paraId="0C162B78">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=486 )</w:t>
                      </w:r>
                    </w:p>
                  </w:txbxContent>
                </v:textbox>
              </v:rect>
            </w:pict>
          </mc:Fallback>
        </mc:AlternateContent>
      </w:r>
    </w:p>
    <w:p w14:paraId="17A96A73">
      <w:pPr>
        <w:spacing w:after="0" w:line="240" w:lineRule="auto"/>
      </w:pPr>
    </w:p>
    <w:p w14:paraId="59656AF5">
      <w:pPr>
        <w:spacing w:after="0" w:line="240" w:lineRule="auto"/>
      </w:pPr>
    </w:p>
    <w:p w14:paraId="22C52727">
      <w:pPr>
        <w:spacing w:after="0" w:line="240" w:lineRule="auto"/>
      </w:pPr>
      <w:r>
        <w:rPr>
          <w:lang w:val="en-CA" w:eastAsia="en-CA"/>
        </w:rPr>
        <mc:AlternateContent>
          <mc:Choice Requires="wps">
            <w:drawing>
              <wp:anchor distT="0" distB="0" distL="114300" distR="114300" simplePos="0" relativeHeight="251677696" behindDoc="0" locked="0" layoutInCell="1" allowOverlap="1">
                <wp:simplePos x="0" y="0"/>
                <wp:positionH relativeFrom="column">
                  <wp:posOffset>1400175</wp:posOffset>
                </wp:positionH>
                <wp:positionV relativeFrom="paragraph">
                  <wp:posOffset>99695</wp:posOffset>
                </wp:positionV>
                <wp:extent cx="0" cy="281305"/>
                <wp:effectExtent l="38100" t="0" r="38100" b="825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0.25pt;margin-top:7.85pt;height:22.15pt;width:0pt;z-index:251677696;mso-width-relative:page;mso-height-relative:page;" filled="f" stroked="t" coordsize="21600,21600" o:gfxdata="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1cP8zV&#10;AAAACQEAAA8AAAAAAAAAAQAgAAAAIgAAAGRycy9kb3ducmV2LnhtbFBLAQIUABQAAAAIAIdO4kCP&#10;O9Yr6gEAAOUDAAAOAAAAAAAAAAEAIAAAACQBAABkcnMvZTJvRG9jLnhtbFBLBQYAAAAABgAGAFkB&#10;AACABQAAAAA=&#10;">
                <v:fill on="f" focussize="0,0"/>
                <v:stroke weight="0.5pt" color="#000000 [3213]" miterlimit="8" joinstyle="miter" endarrow="block"/>
                <v:imagedata o:title=""/>
                <o:lock v:ext="edit" aspectratio="f"/>
              </v:shape>
            </w:pict>
          </mc:Fallback>
        </mc:AlternateContent>
      </w:r>
    </w:p>
    <w:p w14:paraId="007BB719">
      <w:pPr>
        <w:spacing w:after="0" w:line="240" w:lineRule="auto"/>
      </w:pPr>
    </w:p>
    <w:p w14:paraId="252BE8D7">
      <w:pPr>
        <w:spacing w:after="0" w:line="240" w:lineRule="auto"/>
      </w:pPr>
      <w:r>
        <w:rPr>
          <w:lang w:val="en-CA" w:eastAsia="en-CA"/>
        </w:rPr>
        <mc:AlternateContent>
          <mc:Choice Requires="wps">
            <w:drawing>
              <wp:anchor distT="0" distB="0" distL="114300" distR="114300" simplePos="0" relativeHeight="251663360" behindDoc="0" locked="0" layoutInCell="1" allowOverlap="1">
                <wp:simplePos x="0" y="0"/>
                <wp:positionH relativeFrom="column">
                  <wp:posOffset>560705</wp:posOffset>
                </wp:positionH>
                <wp:positionV relativeFrom="paragraph">
                  <wp:posOffset>47625</wp:posOffset>
                </wp:positionV>
                <wp:extent cx="1887220" cy="526415"/>
                <wp:effectExtent l="6350" t="6350" r="11430" b="15875"/>
                <wp:wrapNone/>
                <wp:docPr id="7"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6313A">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Reports sought for retrieval</w:t>
                            </w:r>
                          </w:p>
                          <w:p w14:paraId="12AB8279">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53)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44.15pt;margin-top:3.75pt;height:41.45pt;width:148.6pt;z-index:251663360;v-text-anchor:middle;mso-width-relative:page;mso-height-relative:page;" filled="f" stroked="t" coordsize="21600,21600" o:gfxdata="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O80ftYAAAAHAQAADwAAAAAAAAABACAAAAAiAAAAZHJzL2Rvd25yZXYueG1sUEsBAhQAFAAA&#10;AAgAh07iQGzc/QVjAgAA2QQAAA4AAAAAAAAAAQAgAAAAJQEAAGRycy9lMm9Eb2MueG1sUEsFBgAA&#10;AAAGAAYAWQEAAPoFAAAAAA==&#10;">
                <v:fill on="f" focussize="0,0"/>
                <v:stroke weight="1pt" color="#000000 [3213]" miterlimit="8" joinstyle="miter"/>
                <v:imagedata o:title=""/>
                <o:lock v:ext="edit" aspectratio="f"/>
                <v:textbox>
                  <w:txbxContent>
                    <w:p w14:paraId="7156313A">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Reports sought for retrieval</w:t>
                      </w:r>
                    </w:p>
                    <w:p w14:paraId="12AB8279">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53)</w:t>
                      </w:r>
                    </w:p>
                  </w:txbxContent>
                </v:textbox>
              </v:rect>
            </w:pict>
          </mc:Fallback>
        </mc:AlternateContent>
      </w:r>
      <w:r>
        <w:rPr>
          <w:lang w:val="en-CA" w:eastAsia="en-CA"/>
        </w:rPr>
        <mc:AlternateContent>
          <mc:Choice Requires="wps">
            <w:drawing>
              <wp:anchor distT="0" distB="0" distL="114300" distR="114300" simplePos="0" relativeHeight="251670528" behindDoc="0" locked="0" layoutInCell="1" allowOverlap="1">
                <wp:simplePos x="0" y="0"/>
                <wp:positionH relativeFrom="column">
                  <wp:posOffset>2463165</wp:posOffset>
                </wp:positionH>
                <wp:positionV relativeFrom="paragraph">
                  <wp:posOffset>320675</wp:posOffset>
                </wp:positionV>
                <wp:extent cx="563245" cy="0"/>
                <wp:effectExtent l="0" t="38100" r="635" b="3810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3.95pt;margin-top:25.25pt;height:0pt;width:44.35pt;z-index:251670528;mso-width-relative:page;mso-height-relative:page;" filled="f" stroked="t" coordsize="21600,21600" o:gfxdata="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qP&#10;/+bWAAAACQEAAA8AAAAAAAAAAQAgAAAAIgAAAGRycy9kb3ducmV2LnhtbFBLAQIUABQAAAAIAIdO&#10;4kCF6Sk/7AEAAOUDAAAOAAAAAAAAAAEAIAAAACUBAABkcnMvZTJvRG9jLnhtbFBLBQYAAAAABgAG&#10;AFkBAACDBQAAAAA=&#10;">
                <v:fill on="f" focussize="0,0"/>
                <v:stroke weight="0.5pt" color="#000000 [3213]" miterlimit="8" joinstyle="miter" endarrow="block"/>
                <v:imagedata o:title=""/>
                <o:lock v:ext="edit" aspectratio="f"/>
              </v:shape>
            </w:pict>
          </mc:Fallback>
        </mc:AlternateContent>
      </w:r>
      <w:r>
        <w:rPr>
          <w:lang w:val="en-CA" w:eastAsia="en-CA"/>
        </w:rPr>
        <mc:AlternateContent>
          <mc:Choice Requires="wps">
            <w:drawing>
              <wp:anchor distT="0" distB="0" distL="114300" distR="114300" simplePos="0" relativeHeight="251664384" behindDoc="0" locked="0" layoutInCell="1" allowOverlap="1">
                <wp:simplePos x="0" y="0"/>
                <wp:positionH relativeFrom="column">
                  <wp:posOffset>3049270</wp:posOffset>
                </wp:positionH>
                <wp:positionV relativeFrom="paragraph">
                  <wp:posOffset>66675</wp:posOffset>
                </wp:positionV>
                <wp:extent cx="1887220" cy="662305"/>
                <wp:effectExtent l="6350" t="6350" r="11430" b="17145"/>
                <wp:wrapNone/>
                <wp:docPr id="8" name="Rectangle 6"/>
                <wp:cNvGraphicFramePr/>
                <a:graphic xmlns:a="http://schemas.openxmlformats.org/drawingml/2006/main">
                  <a:graphicData uri="http://schemas.microsoft.com/office/word/2010/wordprocessingShape">
                    <wps:wsp>
                      <wps:cNvSpPr/>
                      <wps:spPr>
                        <a:xfrm>
                          <a:off x="0" y="0"/>
                          <a:ext cx="1887220" cy="6623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586995">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Reports not retrieved</w:t>
                            </w:r>
                          </w:p>
                          <w:p w14:paraId="30D75837">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0)</w:t>
                            </w:r>
                          </w:p>
                          <w:p w14:paraId="505FFCB6">
                            <w:pPr>
                              <w:spacing w:after="0" w:line="240" w:lineRule="auto"/>
                              <w:rPr>
                                <w:rFonts w:ascii="Arial" w:hAnsi="Arial" w:cs="Arial"/>
                                <w:color w:val="000000" w:themeColor="text1"/>
                                <w:sz w:val="18"/>
                                <w:szCs w:val="20"/>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240.1pt;margin-top:5.25pt;height:52.15pt;width:148.6pt;z-index:251664384;v-text-anchor:middle;mso-width-relative:page;mso-height-relative:page;" filled="f" stroked="t" coordsize="21600,21600" o:gfxdata="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b+svbYAAAACgEAAA8AAAAAAAAAAQAgAAAAIgAAAGRycy9kb3ducmV2LnhtbFBLAQIUABQA&#10;AAAIAIdO4kCWvEIJYgIAANkEAAAOAAAAAAAAAAEAIAAAACcBAABkcnMvZTJvRG9jLnhtbFBLBQYA&#10;AAAABgAGAFkBAAD7BQAAAAA=&#10;">
                <v:fill on="f" focussize="0,0"/>
                <v:stroke weight="1pt" color="#000000 [3213]" miterlimit="8" joinstyle="miter"/>
                <v:imagedata o:title=""/>
                <o:lock v:ext="edit" aspectratio="f"/>
                <v:textbox>
                  <w:txbxContent>
                    <w:p w14:paraId="4E586995">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Reports not retrieved</w:t>
                      </w:r>
                    </w:p>
                    <w:p w14:paraId="30D75837">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0)</w:t>
                      </w:r>
                    </w:p>
                    <w:p w14:paraId="505FFCB6">
                      <w:pPr>
                        <w:spacing w:after="0" w:line="240" w:lineRule="auto"/>
                        <w:rPr>
                          <w:rFonts w:ascii="Arial" w:hAnsi="Arial" w:cs="Arial"/>
                          <w:color w:val="000000" w:themeColor="text1"/>
                          <w:sz w:val="18"/>
                          <w:szCs w:val="20"/>
                          <w14:textFill>
                            <w14:solidFill>
                              <w14:schemeClr w14:val="tx1"/>
                            </w14:solidFill>
                          </w14:textFill>
                        </w:rPr>
                      </w:pPr>
                    </w:p>
                  </w:txbxContent>
                </v:textbox>
              </v:rect>
            </w:pict>
          </mc:Fallback>
        </mc:AlternateContent>
      </w:r>
    </w:p>
    <w:p w14:paraId="209040C6">
      <w:pPr>
        <w:spacing w:after="0" w:line="240" w:lineRule="auto"/>
      </w:pPr>
    </w:p>
    <w:p w14:paraId="5911A18A">
      <w:pPr>
        <w:spacing w:after="0" w:line="240" w:lineRule="auto"/>
      </w:pPr>
      <w:r>
        <w:rPr>
          <w:lang w:val="en-CA" w:eastAsia="en-CA"/>
        </w:rPr>
        <mc:AlternateContent>
          <mc:Choice Requires="wps">
            <w:drawing>
              <wp:anchor distT="0" distB="0" distL="114300" distR="114300" simplePos="0" relativeHeight="251674624" behindDoc="0" locked="0" layoutInCell="1" allowOverlap="1">
                <wp:simplePos x="0" y="0"/>
                <wp:positionH relativeFrom="column">
                  <wp:posOffset>-1160780</wp:posOffset>
                </wp:positionH>
                <wp:positionV relativeFrom="paragraph">
                  <wp:posOffset>140335</wp:posOffset>
                </wp:positionV>
                <wp:extent cx="2787650" cy="262890"/>
                <wp:effectExtent l="6350" t="6350" r="20320" b="10160"/>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C7988A3">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Screening</w:t>
                            </w:r>
                          </w:p>
                          <w:p w14:paraId="0D7BB700">
                            <w:pPr>
                              <w:spacing w:after="0" w:line="240" w:lineRule="auto"/>
                              <w:rPr>
                                <w:rFonts w:ascii="Arial" w:hAnsi="Arial" w:cs="Arial"/>
                                <w:b/>
                                <w:color w:val="000000" w:themeColor="text1"/>
                                <w:sz w:val="18"/>
                                <w:szCs w:val="18"/>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91.4pt;margin-top:11.05pt;height:20.7pt;width:219.5pt;rotation:-5898240f;z-index:251674624;v-text-anchor:middle;mso-width-relative:page;mso-height-relative:page;" fillcolor="#9DC3E6 [1944]" filled="t" stroked="t" coordsize="21600,21600" o:gfxdata="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GILbDbAAAACgEAAA8AAAAAAAAAAQAgAAAAIgAAAGRycy9kb3du&#10;cmV2LnhtbFBLAQIUABQAAAAIAIdO4kA1ApjlpwIAAHQFAAAOAAAAAAAAAAEAIAAAACoBAABkcnMv&#10;ZTJvRG9jLnhtbFBLBQYAAAAABgAGAFkBAABDBgAAAAA=&#10;">
                <v:fill on="t" focussize="0,0"/>
                <v:stroke weight="1pt" color="#000000 [3213]" miterlimit="8" joinstyle="miter"/>
                <v:imagedata o:title=""/>
                <o:lock v:ext="edit" aspectratio="f"/>
                <v:textbox>
                  <w:txbxContent>
                    <w:p w14:paraId="6C7988A3">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Screening</w:t>
                      </w:r>
                    </w:p>
                    <w:p w14:paraId="0D7BB700">
                      <w:pPr>
                        <w:spacing w:after="0" w:line="240" w:lineRule="auto"/>
                        <w:rPr>
                          <w:rFonts w:ascii="Arial" w:hAnsi="Arial" w:cs="Arial"/>
                          <w:b/>
                          <w:color w:val="000000" w:themeColor="text1"/>
                          <w:sz w:val="18"/>
                          <w:szCs w:val="18"/>
                          <w14:textFill>
                            <w14:solidFill>
                              <w14:schemeClr w14:val="tx1"/>
                            </w14:solidFill>
                          </w14:textFill>
                        </w:rPr>
                      </w:pPr>
                    </w:p>
                  </w:txbxContent>
                </v:textbox>
              </v:shape>
            </w:pict>
          </mc:Fallback>
        </mc:AlternateContent>
      </w:r>
    </w:p>
    <w:p w14:paraId="146F16C5">
      <w:pPr>
        <w:spacing w:after="0" w:line="240" w:lineRule="auto"/>
      </w:pPr>
      <w:r>
        <w:rPr>
          <w:lang w:val="en-CA" w:eastAsia="en-CA"/>
        </w:rPr>
        <mc:AlternateContent>
          <mc:Choice Requires="wps">
            <w:drawing>
              <wp:anchor distT="0" distB="0" distL="114300" distR="114300" simplePos="0" relativeHeight="251678720" behindDoc="0" locked="0" layoutInCell="1" allowOverlap="1">
                <wp:simplePos x="0" y="0"/>
                <wp:positionH relativeFrom="column">
                  <wp:posOffset>1409700</wp:posOffset>
                </wp:positionH>
                <wp:positionV relativeFrom="paragraph">
                  <wp:posOffset>56515</wp:posOffset>
                </wp:positionV>
                <wp:extent cx="0" cy="281305"/>
                <wp:effectExtent l="38100" t="0" r="38100" b="825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1pt;margin-top:4.45pt;height:22.15pt;width:0pt;z-index:251678720;mso-width-relative:page;mso-height-relative:page;" filled="f" stroked="t" coordsize="21600,21600" o:gfxdata="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FNZt9QA&#10;AAAIAQAADwAAAAAAAAABACAAAAAiAAAAZHJzL2Rvd25yZXYueG1sUEsBAhQAFAAAAAgAh07iQE0L&#10;KmrqAQAA5QMAAA4AAAAAAAAAAQAgAAAAIwEAAGRycy9lMm9Eb2MueG1sUEsFBgAAAAAGAAYAWQEA&#10;AH8FAAAAAA==&#10;">
                <v:fill on="f" focussize="0,0"/>
                <v:stroke weight="0.5pt" color="#000000 [3213]" miterlimit="8" joinstyle="miter" endarrow="block"/>
                <v:imagedata o:title=""/>
                <o:lock v:ext="edit" aspectratio="f"/>
              </v:shape>
            </w:pict>
          </mc:Fallback>
        </mc:AlternateContent>
      </w:r>
    </w:p>
    <w:p w14:paraId="04C94775">
      <w:pPr>
        <w:spacing w:after="0" w:line="240" w:lineRule="auto"/>
      </w:pPr>
    </w:p>
    <w:p w14:paraId="38C6F659">
      <w:pPr>
        <w:spacing w:after="0" w:line="240" w:lineRule="auto"/>
      </w:pPr>
      <w:r>
        <w:rPr>
          <w:lang w:val="en-CA" w:eastAsia="en-CA"/>
        </w:rPr>
        <mc:AlternateContent>
          <mc:Choice Requires="wps">
            <w:drawing>
              <wp:anchor distT="0" distB="0" distL="114300" distR="114300" simplePos="0" relativeHeight="251671552" behindDoc="0" locked="0" layoutInCell="1" allowOverlap="1">
                <wp:simplePos x="0" y="0"/>
                <wp:positionH relativeFrom="column">
                  <wp:posOffset>2476500</wp:posOffset>
                </wp:positionH>
                <wp:positionV relativeFrom="paragraph">
                  <wp:posOffset>294640</wp:posOffset>
                </wp:positionV>
                <wp:extent cx="563245" cy="0"/>
                <wp:effectExtent l="0" t="38100" r="635" b="3810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5pt;margin-top:23.2pt;height:0pt;width:44.35pt;z-index:251671552;mso-width-relative:page;mso-height-relative:page;" filled="f" stroked="t" coordsize="21600,21600" o:gfxdata="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8I&#10;kOPWAAAACQEAAA8AAAAAAAAAAQAgAAAAIgAAAGRycy9kb3ducmV2LnhtbFBLAQIUABQAAAAIAIdO&#10;4kAEBK227AEAAOUDAAAOAAAAAAAAAAEAIAAAACUBAABkcnMvZTJvRG9jLnhtbFBLBQYAAAAABgAG&#10;AFkBAACDBQAAAAA=&#10;">
                <v:fill on="f" focussize="0,0"/>
                <v:stroke weight="0.5pt" color="#000000 [3213]" miterlimit="8" joinstyle="miter" endarrow="block"/>
                <v:imagedata o:title=""/>
                <o:lock v:ext="edit" aspectratio="f"/>
              </v:shape>
            </w:pict>
          </mc:Fallback>
        </mc:AlternateContent>
      </w:r>
      <w:r>
        <w:rPr>
          <w:lang w:val="en-CA" w:eastAsia="en-CA"/>
        </w:rPr>
        <mc:AlternateContent>
          <mc:Choice Requires="wps">
            <w:drawing>
              <wp:anchor distT="0" distB="0" distL="114300" distR="114300" simplePos="0" relativeHeight="251665408" behindDoc="0" locked="0" layoutInCell="1" allowOverlap="1">
                <wp:simplePos x="0" y="0"/>
                <wp:positionH relativeFrom="column">
                  <wp:posOffset>561975</wp:posOffset>
                </wp:positionH>
                <wp:positionV relativeFrom="paragraph">
                  <wp:posOffset>13335</wp:posOffset>
                </wp:positionV>
                <wp:extent cx="1887220" cy="526415"/>
                <wp:effectExtent l="6350" t="6350" r="11430" b="15875"/>
                <wp:wrapNone/>
                <wp:docPr id="9"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B0D26">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Reports assessed for eligibility</w:t>
                            </w:r>
                          </w:p>
                          <w:p w14:paraId="76C43641">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53)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left:44.25pt;margin-top:1.05pt;height:41.45pt;width:148.6pt;z-index:251665408;v-text-anchor:middle;mso-width-relative:page;mso-height-relative:page;" filled="f" stroked="t" coordsize="21600,21600" o:gfxdata="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mu/mHUAAAABwEAAA8AAAAAAAAAAQAgAAAAIgAAAGRycy9kb3ducmV2LnhtbFBLAQIUABQAAAAI&#10;AIdO4kBWp1ICYwIAANkEAAAOAAAAAAAAAAEAIAAAACMBAABkcnMvZTJvRG9jLnhtbFBLBQYAAAAA&#10;BgAGAFkBAAD4BQAAAAA=&#10;">
                <v:fill on="f" focussize="0,0"/>
                <v:stroke weight="1pt" color="#000000 [3213]" miterlimit="8" joinstyle="miter"/>
                <v:imagedata o:title=""/>
                <o:lock v:ext="edit" aspectratio="f"/>
                <v:textbox>
                  <w:txbxContent>
                    <w:p w14:paraId="46CB0D26">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Reports assessed for eligibility</w:t>
                      </w:r>
                    </w:p>
                    <w:p w14:paraId="76C43641">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53)</w:t>
                      </w:r>
                    </w:p>
                  </w:txbxContent>
                </v:textbox>
              </v:rect>
            </w:pict>
          </mc:Fallback>
        </mc:AlternateContent>
      </w:r>
      <w:r>
        <w:rPr>
          <w:lang w:val="en-CA" w:eastAsia="en-CA"/>
        </w:rPr>
        <mc:AlternateContent>
          <mc:Choice Requires="wps">
            <w:drawing>
              <wp:anchor distT="0" distB="0" distL="114300" distR="114300" simplePos="0" relativeHeight="251666432" behindDoc="0" locked="0" layoutInCell="1" allowOverlap="1">
                <wp:simplePos x="0" y="0"/>
                <wp:positionH relativeFrom="column">
                  <wp:posOffset>3057525</wp:posOffset>
                </wp:positionH>
                <wp:positionV relativeFrom="paragraph">
                  <wp:posOffset>10795</wp:posOffset>
                </wp:positionV>
                <wp:extent cx="1887220" cy="1133475"/>
                <wp:effectExtent l="6350" t="6350" r="11430" b="18415"/>
                <wp:wrapNone/>
                <wp:docPr id="10"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7D891">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Reports excluded: (n = 2 )</w:t>
                            </w:r>
                          </w:p>
                          <w:p w14:paraId="546C13A2">
                            <w:pPr>
                              <w:spacing w:after="0" w:line="240" w:lineRule="auto"/>
                              <w:rPr>
                                <w:rFonts w:ascii="Arial" w:hAnsi="Arial" w:cs="Arial"/>
                                <w:color w:val="000000" w:themeColor="text1"/>
                                <w:sz w:val="18"/>
                                <w:szCs w:val="20"/>
                                <w14:textFill>
                                  <w14:solidFill>
                                    <w14:schemeClr w14:val="tx1"/>
                                  </w14:solidFill>
                                </w14:textFill>
                              </w:rPr>
                            </w:pPr>
                          </w:p>
                          <w:p w14:paraId="513A0957">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Not peer reviewed (2)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240.75pt;margin-top:0.85pt;height:89.25pt;width:148.6pt;z-index:251666432;v-text-anchor:middle;mso-width-relative:page;mso-height-relative:page;" filled="f" stroked="t" coordsize="21600,21600" o:gfxdata="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IbkidYAAAAJAQAADwAAAAAAAAABACAAAAAiAAAAZHJzL2Rvd25yZXYueG1sUEsBAhQAFAAA&#10;AAgAh07iQNkBdnZjAgAA2wQAAA4AAAAAAAAAAQAgAAAAJQEAAGRycy9lMm9Eb2MueG1sUEsFBgAA&#10;AAAGAAYAWQEAAPoFAAAAAA==&#10;">
                <v:fill on="f" focussize="0,0"/>
                <v:stroke weight="1pt" color="#000000 [3213]" miterlimit="8" joinstyle="miter"/>
                <v:imagedata o:title=""/>
                <o:lock v:ext="edit" aspectratio="f"/>
                <v:textbox>
                  <w:txbxContent>
                    <w:p w14:paraId="37E7D891">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Reports excluded: (n = 2 )</w:t>
                      </w:r>
                    </w:p>
                    <w:p w14:paraId="546C13A2">
                      <w:pPr>
                        <w:spacing w:after="0" w:line="240" w:lineRule="auto"/>
                        <w:rPr>
                          <w:rFonts w:ascii="Arial" w:hAnsi="Arial" w:cs="Arial"/>
                          <w:color w:val="000000" w:themeColor="text1"/>
                          <w:sz w:val="18"/>
                          <w:szCs w:val="20"/>
                          <w14:textFill>
                            <w14:solidFill>
                              <w14:schemeClr w14:val="tx1"/>
                            </w14:solidFill>
                          </w14:textFill>
                        </w:rPr>
                      </w:pPr>
                    </w:p>
                    <w:p w14:paraId="513A0957">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Not peer reviewed (2)</w:t>
                      </w:r>
                    </w:p>
                  </w:txbxContent>
                </v:textbox>
              </v:rect>
            </w:pict>
          </mc:Fallback>
        </mc:AlternateContent>
      </w:r>
    </w:p>
    <w:p w14:paraId="43E57991">
      <w:pPr>
        <w:spacing w:after="0" w:line="240" w:lineRule="auto"/>
      </w:pPr>
    </w:p>
    <w:p w14:paraId="55758338">
      <w:pPr>
        <w:spacing w:after="0" w:line="240" w:lineRule="auto"/>
      </w:pPr>
    </w:p>
    <w:p w14:paraId="1837E97E">
      <w:pPr>
        <w:spacing w:after="0" w:line="240" w:lineRule="auto"/>
      </w:pPr>
      <w:r>
        <w:rPr>
          <w:lang w:val="en-CA" w:eastAsia="en-CA"/>
        </w:rPr>
        <mc:AlternateContent>
          <mc:Choice Requires="wps">
            <w:drawing>
              <wp:anchor distT="0" distB="0" distL="114300" distR="114300" simplePos="0" relativeHeight="251679744" behindDoc="0" locked="0" layoutInCell="1" allowOverlap="1">
                <wp:simplePos x="0" y="0"/>
                <wp:positionH relativeFrom="column">
                  <wp:posOffset>1400810</wp:posOffset>
                </wp:positionH>
                <wp:positionV relativeFrom="paragraph">
                  <wp:posOffset>29210</wp:posOffset>
                </wp:positionV>
                <wp:extent cx="0" cy="746125"/>
                <wp:effectExtent l="38100" t="0" r="38100" b="63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0.3pt;margin-top:2.3pt;height:58.75pt;width:0pt;z-index:251679744;mso-width-relative:page;mso-height-relative:page;" filled="f" stroked="t" coordsize="21600,21600" o:gfxdata="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kkXrU&#10;AAAACQEAAA8AAAAAAAAAAQAgAAAAIgAAAGRycy9kb3ducmV2LnhtbFBLAQIUABQAAAAIAIdO4kBc&#10;vey66wEAAOUDAAAOAAAAAAAAAAEAIAAAACMBAABkcnMvZTJvRG9jLnhtbFBLBQYAAAAABgAGAFkB&#10;AACABQAAAAA=&#10;">
                <v:fill on="f" focussize="0,0"/>
                <v:stroke weight="0.5pt" color="#000000 [3213]" miterlimit="8" joinstyle="miter" endarrow="block"/>
                <v:imagedata o:title=""/>
                <o:lock v:ext="edit" aspectratio="f"/>
              </v:shape>
            </w:pict>
          </mc:Fallback>
        </mc:AlternateContent>
      </w:r>
    </w:p>
    <w:p w14:paraId="34053AB3">
      <w:pPr>
        <w:spacing w:after="0" w:line="240" w:lineRule="auto"/>
      </w:pPr>
    </w:p>
    <w:p w14:paraId="47A9BA25">
      <w:pPr>
        <w:spacing w:after="0" w:line="240" w:lineRule="auto"/>
      </w:pPr>
    </w:p>
    <w:p w14:paraId="55570478">
      <w:pPr>
        <w:spacing w:after="0" w:line="240" w:lineRule="auto"/>
      </w:pPr>
    </w:p>
    <w:p w14:paraId="06534012">
      <w:pPr>
        <w:spacing w:after="0" w:line="240" w:lineRule="auto"/>
      </w:pPr>
      <w:r>
        <w:rPr>
          <w:lang w:val="en-CA" w:eastAsia="en-CA"/>
        </w:rPr>
        <mc:AlternateContent>
          <mc:Choice Requires="wps">
            <w:drawing>
              <wp:anchor distT="0" distB="0" distL="114300" distR="114300" simplePos="0" relativeHeight="251667456" behindDoc="0" locked="0" layoutInCell="1" allowOverlap="1">
                <wp:simplePos x="0" y="0"/>
                <wp:positionH relativeFrom="column">
                  <wp:posOffset>540385</wp:posOffset>
                </wp:positionH>
                <wp:positionV relativeFrom="paragraph">
                  <wp:posOffset>110490</wp:posOffset>
                </wp:positionV>
                <wp:extent cx="1887220" cy="723900"/>
                <wp:effectExtent l="6350" t="6350" r="11430" b="1651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2E5D71">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Studies included in review</w:t>
                            </w:r>
                          </w:p>
                          <w:p w14:paraId="2DC38E85">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51 )</w:t>
                            </w:r>
                          </w:p>
                          <w:p w14:paraId="423F4F52">
                            <w:pPr>
                              <w:spacing w:after="0" w:line="240" w:lineRule="auto"/>
                              <w:rPr>
                                <w:rFonts w:ascii="Arial" w:hAnsi="Arial" w:cs="Arial"/>
                                <w:color w:val="000000" w:themeColor="text1"/>
                                <w:sz w:val="18"/>
                                <w:szCs w:val="20"/>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3" o:spid="_x0000_s1026" o:spt="1" style="position:absolute;left:0pt;margin-left:42.55pt;margin-top:8.7pt;height:57pt;width:148.6pt;z-index:251667456;v-text-anchor:middle;mso-width-relative:page;mso-height-relative:page;" filled="f" stroked="t" coordsize="21600,21600" o:gfxdata="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b/2lm1wAAAAkBAAAPAAAAAAAAAAEAIAAAACIAAABkcnMvZG93bnJldi54bWxQSwECFAAU&#10;AAAACACHTuJAvbUTkmQCAADbBAAADgAAAAAAAAABACAAAAAmAQAAZHJzL2Uyb0RvYy54bWxQSwUG&#10;AAAAAAYABgBZAQAA/AUAAAAA&#10;">
                <v:fill on="f" focussize="0,0"/>
                <v:stroke weight="1pt" color="#000000 [3213]" miterlimit="8" joinstyle="miter"/>
                <v:imagedata o:title=""/>
                <o:lock v:ext="edit" aspectratio="f"/>
                <v:textbox>
                  <w:txbxContent>
                    <w:p w14:paraId="202E5D71">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Studies included in review</w:t>
                      </w:r>
                    </w:p>
                    <w:p w14:paraId="2DC38E85">
                      <w:pPr>
                        <w:spacing w:after="0" w:line="240" w:lineRule="auto"/>
                        <w:rPr>
                          <w:rFonts w:ascii="Arial" w:hAnsi="Arial" w:cs="Arial"/>
                          <w:color w:val="000000" w:themeColor="text1"/>
                          <w:sz w:val="18"/>
                          <w:szCs w:val="20"/>
                          <w14:textFill>
                            <w14:solidFill>
                              <w14:schemeClr w14:val="tx1"/>
                            </w14:solidFill>
                          </w14:textFill>
                        </w:rPr>
                      </w:pPr>
                      <w:r>
                        <w:rPr>
                          <w:rFonts w:ascii="Arial" w:hAnsi="Arial" w:cs="Arial"/>
                          <w:color w:val="000000" w:themeColor="text1"/>
                          <w:sz w:val="18"/>
                          <w:szCs w:val="20"/>
                          <w14:textFill>
                            <w14:solidFill>
                              <w14:schemeClr w14:val="tx1"/>
                            </w14:solidFill>
                          </w14:textFill>
                        </w:rPr>
                        <w:t>(n = 51 )</w:t>
                      </w:r>
                    </w:p>
                    <w:p w14:paraId="423F4F52">
                      <w:pPr>
                        <w:spacing w:after="0" w:line="240" w:lineRule="auto"/>
                        <w:rPr>
                          <w:rFonts w:ascii="Arial" w:hAnsi="Arial" w:cs="Arial"/>
                          <w:color w:val="000000" w:themeColor="text1"/>
                          <w:sz w:val="18"/>
                          <w:szCs w:val="20"/>
                          <w14:textFill>
                            <w14:solidFill>
                              <w14:schemeClr w14:val="tx1"/>
                            </w14:solidFill>
                          </w14:textFill>
                        </w:rPr>
                      </w:pPr>
                    </w:p>
                  </w:txbxContent>
                </v:textbox>
              </v:rect>
            </w:pict>
          </mc:Fallback>
        </mc:AlternateContent>
      </w:r>
    </w:p>
    <w:p w14:paraId="42CDA929">
      <w:pPr>
        <w:spacing w:after="0" w:line="240" w:lineRule="auto"/>
      </w:pPr>
      <w:r>
        <w:rPr>
          <w:lang w:val="en-CA" w:eastAsia="en-CA"/>
        </w:rPr>
        <mc:AlternateContent>
          <mc:Choice Requires="wps">
            <w:drawing>
              <wp:anchor distT="0" distB="0" distL="114300" distR="114300" simplePos="0" relativeHeight="251675648" behindDoc="0" locked="0" layoutInCell="1" allowOverlap="1">
                <wp:simplePos x="0" y="0"/>
                <wp:positionH relativeFrom="column">
                  <wp:posOffset>-133350</wp:posOffset>
                </wp:positionH>
                <wp:positionV relativeFrom="paragraph">
                  <wp:posOffset>170180</wp:posOffset>
                </wp:positionV>
                <wp:extent cx="764540" cy="262890"/>
                <wp:effectExtent l="6350" t="6350" r="20320" b="6350"/>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F7B1BED">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Included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0.5pt;margin-top:13.4pt;height:20.7pt;width:60.2pt;rotation:-5898240f;z-index:251675648;v-text-anchor:middle;mso-width-relative:page;mso-height-relative:page;" fillcolor="#9DC3E6 [1944]" filled="t" stroked="t" coordsize="21600,21600" o:gfxdata="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mV0/AtoAAAAIAQAADwAAAAAAAAABACAAAAAiAAAAZHJzL2Rvd25yZXYu&#10;eG1sUEsBAhQAFAAAAAgAh07iQAadONakAgAAcwUAAA4AAAAAAAAAAQAgAAAAKQEAAGRycy9lMm9E&#10;b2MueG1sUEsFBgAAAAAGAAYAWQEAAD8GAAAAAA==&#10;">
                <v:fill on="t" focussize="0,0"/>
                <v:stroke weight="1pt" color="#000000 [3213]" miterlimit="8" joinstyle="miter"/>
                <v:imagedata o:title=""/>
                <o:lock v:ext="edit" aspectratio="f"/>
                <v:textbox>
                  <w:txbxContent>
                    <w:p w14:paraId="5F7B1BED">
                      <w:pPr>
                        <w:spacing w:after="0" w:line="240" w:lineRule="auto"/>
                        <w:jc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14:textFill>
                            <w14:solidFill>
                              <w14:schemeClr w14:val="tx1"/>
                            </w14:solidFill>
                          </w14:textFill>
                        </w:rPr>
                        <w:t>Included</w:t>
                      </w:r>
                    </w:p>
                  </w:txbxContent>
                </v:textbox>
              </v:shape>
            </w:pict>
          </mc:Fallback>
        </mc:AlternateContent>
      </w:r>
    </w:p>
    <w:p w14:paraId="66DF73B1">
      <w:pPr>
        <w:spacing w:after="0" w:line="240" w:lineRule="auto"/>
      </w:pPr>
    </w:p>
    <w:p w14:paraId="2566396D">
      <w:pPr>
        <w:spacing w:after="0" w:line="240" w:lineRule="auto"/>
      </w:pPr>
    </w:p>
    <w:p w14:paraId="5DB5C231">
      <w:pPr>
        <w:spacing w:after="0" w:line="240" w:lineRule="auto"/>
      </w:pPr>
    </w:p>
    <w:p w14:paraId="20E7C977">
      <w:pPr>
        <w:pStyle w:val="43"/>
        <w:spacing w:line="183" w:lineRule="atLeast"/>
        <w:jc w:val="both"/>
        <w:rPr>
          <w:rFonts w:ascii="Arial" w:hAnsi="Arial" w:cs="Arial"/>
          <w:color w:val="000000" w:themeColor="text1"/>
          <w:sz w:val="18"/>
          <w:szCs w:val="20"/>
          <w14:textFill>
            <w14:solidFill>
              <w14:schemeClr w14:val="tx1"/>
            </w14:solidFill>
          </w14:textFill>
        </w:rPr>
      </w:pPr>
      <w:bookmarkStart w:id="0" w:name="_Hlk67299547"/>
    </w:p>
    <w:p w14:paraId="772890C6">
      <w:pPr>
        <w:pStyle w:val="43"/>
        <w:spacing w:line="183" w:lineRule="atLeast"/>
        <w:jc w:val="both"/>
        <w:rPr>
          <w:rFonts w:ascii="Arial" w:hAnsi="Arial" w:cs="Arial"/>
          <w:color w:val="000000" w:themeColor="text1"/>
          <w:sz w:val="18"/>
          <w:szCs w:val="20"/>
          <w14:textFill>
            <w14:solidFill>
              <w14:schemeClr w14:val="tx1"/>
            </w14:solidFill>
          </w14:textFill>
        </w:rPr>
      </w:pPr>
    </w:p>
    <w:p w14:paraId="6A47051F">
      <w:pPr>
        <w:pStyle w:val="43"/>
        <w:spacing w:line="183" w:lineRule="atLeast"/>
        <w:jc w:val="both"/>
        <w:rPr>
          <w:rFonts w:ascii="Arial" w:hAnsi="Arial" w:cs="Arial"/>
          <w:color w:val="auto"/>
          <w:sz w:val="18"/>
          <w:szCs w:val="18"/>
          <w:lang w:val="da-DK"/>
        </w:rPr>
      </w:pPr>
      <w:r>
        <w:rPr>
          <w:rFonts w:ascii="Arial" w:hAnsi="Arial" w:cs="Arial"/>
          <w:color w:val="000000" w:themeColor="text1"/>
          <w:sz w:val="18"/>
          <w:szCs w:val="20"/>
          <w14:textFill>
            <w14:solidFill>
              <w14:schemeClr w14:val="tx1"/>
            </w14:solidFill>
          </w14:textFill>
        </w:rPr>
        <w:t>Source: Page MJ, et al. BMJ 2021;372:n71. doi: 10.1136/bmj.n71</w:t>
      </w:r>
      <w:bookmarkEnd w:id="0"/>
    </w:p>
    <w:p w14:paraId="419C6694">
      <w:pPr>
        <w:pStyle w:val="18"/>
        <w:spacing w:line="360" w:lineRule="auto"/>
        <w:rPr>
          <w:b/>
          <w:bCs/>
          <w:sz w:val="28"/>
          <w:szCs w:val="28"/>
        </w:rPr>
      </w:pPr>
    </w:p>
    <w:p w14:paraId="28182052">
      <w:pPr>
        <w:pStyle w:val="18"/>
        <w:spacing w:line="360" w:lineRule="auto"/>
        <w:rPr>
          <w:b/>
          <w:bCs/>
          <w:sz w:val="28"/>
          <w:szCs w:val="28"/>
        </w:rPr>
      </w:pPr>
    </w:p>
    <w:p w14:paraId="409CBA7D">
      <w:pPr>
        <w:pStyle w:val="18"/>
        <w:spacing w:line="360" w:lineRule="auto"/>
        <w:rPr>
          <w:b/>
          <w:bCs/>
          <w:sz w:val="28"/>
          <w:szCs w:val="28"/>
        </w:rPr>
      </w:pPr>
      <w:r>
        <w:rPr>
          <w:b/>
          <w:bCs/>
          <w:sz w:val="28"/>
          <w:szCs w:val="28"/>
        </w:rPr>
        <w:t>Results </w:t>
      </w:r>
    </w:p>
    <w:p w14:paraId="57AB18F0">
      <w:pPr>
        <w:pStyle w:val="4"/>
        <w:keepNext w:val="0"/>
        <w:keepLines w:val="0"/>
        <w:spacing w:line="360" w:lineRule="auto"/>
        <w:rPr>
          <w:rFonts w:ascii="Times New Roman" w:hAnsi="Times New Roman" w:cs="Times New Roman"/>
          <w:color w:val="auto"/>
          <w:sz w:val="24"/>
          <w:szCs w:val="24"/>
        </w:rPr>
      </w:pPr>
      <w:r>
        <w:rPr>
          <w:rStyle w:val="19"/>
          <w:rFonts w:ascii="Times New Roman" w:hAnsi="Times New Roman" w:cs="Times New Roman"/>
          <w:color w:val="auto"/>
          <w:sz w:val="24"/>
          <w:szCs w:val="24"/>
        </w:rPr>
        <w:t>3.1 Study Selection</w:t>
      </w:r>
    </w:p>
    <w:p w14:paraId="59E88C9F">
      <w:pPr>
        <w:pStyle w:val="18"/>
        <w:spacing w:line="360" w:lineRule="auto"/>
        <w:jc w:val="both"/>
        <w:rPr>
          <w:b/>
          <w:bCs/>
        </w:rPr>
      </w:pPr>
      <w:r>
        <w:t>A total of 51 studies were included in this review after screening 594 records and removing 55 duplicates and 486 studies which didn’t meet the study inclusion criteria. The study selection process is illustrated in the PRISMA flow diagram (See Figure 1)</w:t>
      </w:r>
    </w:p>
    <w:p w14:paraId="49679D02">
      <w:pPr>
        <w:pStyle w:val="18"/>
        <w:spacing w:line="360" w:lineRule="auto"/>
        <w:rPr>
          <w:b/>
          <w:bCs/>
        </w:rPr>
      </w:pPr>
      <w:r>
        <w:rPr>
          <w:b/>
          <w:bCs/>
        </w:rPr>
        <w:t>3.2 Characteristics of the study</w:t>
      </w:r>
    </w:p>
    <w:p w14:paraId="26FF2920">
      <w:pPr>
        <w:pStyle w:val="18"/>
        <w:spacing w:line="360" w:lineRule="auto"/>
        <w:jc w:val="both"/>
      </w:pPr>
      <w:r>
        <w:t xml:space="preserve">A total of 51 studies, conducted between 2014 and 2025, were included in this scoping review examining the utilisation of HIV self-testing (HIVST) services across 20 countries in sub-Saharan Africa (See Table 2, Supplementary material 1). The countries most frequently represented were Kenya (10 studies), Uganda (9 studies), Malawi (7 studies), Nigeria (5 studies), Zambia (5 studies), South Africa (3 studies), Ethiopia (3 studies) and Tanzania (3 studies). These countries collectively accounted for over two thirds of all the studies reviewed (See Figure 2). Most studies adopted a cross-sectional design (22 studies), followed by randomized controlled trial design (7 studies), qualitative study design (7 studies), and cohort study design (2 studies). A smaller number of studies employed prospective interventional study design (2 studies), quasi-experimental designs (1 study), mixed-methods approaches (5 studies) and Telephone/Population based survey (2 studies).  Sample sizes varied substantially, ranging from small-scale qualitative investigations with fewer than 30 participants to national-level surveys involving over 20,000 individuals. In total, there were 185,858 total participants across 51 studies. The majority of studies recruited participants aged 15 to 49 years, with several focusing specifically on adolescents and young adults (19 studies), or key populations such as female sex workers (FSWs) (10 studies), men who have sex with men (MSM)(9 studies), people who inject drugs (PWID), and university students. </w:t>
      </w:r>
    </w:p>
    <w:p w14:paraId="25D96A79">
      <w:pPr>
        <w:pStyle w:val="18"/>
      </w:pPr>
    </w:p>
    <w:p w14:paraId="20D66020">
      <w:pPr>
        <w:pStyle w:val="18"/>
      </w:pPr>
    </w:p>
    <w:p w14:paraId="5B327FFE">
      <w:pPr>
        <w:pStyle w:val="18"/>
      </w:pPr>
    </w:p>
    <w:p w14:paraId="3B652158">
      <w:pPr>
        <w:pStyle w:val="18"/>
      </w:pPr>
      <w:r>
        <w:t>Table 2: Table showing summary of  selected papers and study characteristics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3468"/>
        <w:gridCol w:w="5106"/>
      </w:tblGrid>
      <w:tr w14:paraId="2DDD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1BD004A">
            <w:pPr>
              <w:pStyle w:val="18"/>
              <w:widowControl w:val="0"/>
              <w:jc w:val="both"/>
            </w:pPr>
            <w:r>
              <w:t>S/N</w:t>
            </w:r>
          </w:p>
        </w:tc>
        <w:tc>
          <w:tcPr>
            <w:tcW w:w="3468" w:type="dxa"/>
          </w:tcPr>
          <w:p w14:paraId="3AC0F020">
            <w:pPr>
              <w:pStyle w:val="18"/>
              <w:widowControl w:val="0"/>
              <w:jc w:val="both"/>
            </w:pPr>
            <w:r>
              <w:t>Domain</w:t>
            </w:r>
          </w:p>
        </w:tc>
        <w:tc>
          <w:tcPr>
            <w:tcW w:w="5106" w:type="dxa"/>
          </w:tcPr>
          <w:p w14:paraId="16C8BBEB">
            <w:pPr>
              <w:pStyle w:val="18"/>
              <w:widowControl w:val="0"/>
              <w:jc w:val="both"/>
            </w:pPr>
            <w:r>
              <w:t>Summary</w:t>
            </w:r>
          </w:p>
        </w:tc>
      </w:tr>
      <w:tr w14:paraId="4FB7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21AF598">
            <w:pPr>
              <w:pStyle w:val="18"/>
              <w:widowControl w:val="0"/>
              <w:jc w:val="both"/>
            </w:pPr>
            <w:r>
              <w:t>1.</w:t>
            </w:r>
          </w:p>
        </w:tc>
        <w:tc>
          <w:tcPr>
            <w:tcW w:w="3468" w:type="dxa"/>
          </w:tcPr>
          <w:p w14:paraId="4F4C89C8">
            <w:pPr>
              <w:pStyle w:val="18"/>
              <w:widowControl w:val="0"/>
              <w:jc w:val="both"/>
            </w:pPr>
            <w:r>
              <w:t>Geographic coverage</w:t>
            </w:r>
          </w:p>
        </w:tc>
        <w:tc>
          <w:tcPr>
            <w:tcW w:w="5106" w:type="dxa"/>
          </w:tcPr>
          <w:p w14:paraId="464E9506">
            <w:pPr>
              <w:pStyle w:val="18"/>
              <w:widowControl w:val="0"/>
              <w:jc w:val="both"/>
            </w:pPr>
            <w:r>
              <w:t>Sub-Saharan Africa, with highest representation from Kenya, Uganda, Malawi, Zambia, Nigeria, Tanzania, Ethiopia, and South Africa</w:t>
            </w:r>
          </w:p>
        </w:tc>
      </w:tr>
      <w:tr w14:paraId="0D82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B0F9C32">
            <w:pPr>
              <w:pStyle w:val="18"/>
              <w:widowControl w:val="0"/>
              <w:numPr>
                <w:ilvl w:val="0"/>
                <w:numId w:val="3"/>
              </w:numPr>
              <w:jc w:val="both"/>
            </w:pPr>
          </w:p>
        </w:tc>
        <w:tc>
          <w:tcPr>
            <w:tcW w:w="3468" w:type="dxa"/>
          </w:tcPr>
          <w:p w14:paraId="00E81265">
            <w:pPr>
              <w:pStyle w:val="18"/>
              <w:widowControl w:val="0"/>
              <w:jc w:val="both"/>
            </w:pPr>
            <w:r>
              <w:t>Year of publication</w:t>
            </w:r>
          </w:p>
        </w:tc>
        <w:tc>
          <w:tcPr>
            <w:tcW w:w="5106" w:type="dxa"/>
          </w:tcPr>
          <w:p w14:paraId="62165334">
            <w:pPr>
              <w:pStyle w:val="18"/>
              <w:widowControl w:val="0"/>
              <w:jc w:val="both"/>
            </w:pPr>
            <w:r>
              <w:t>2014–2025, with the majority published 2020–2025, reflecting recent scale-up of HIVST.</w:t>
            </w:r>
          </w:p>
        </w:tc>
      </w:tr>
      <w:tr w14:paraId="6E6D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E54A03">
            <w:pPr>
              <w:pStyle w:val="18"/>
              <w:widowControl w:val="0"/>
              <w:numPr>
                <w:ilvl w:val="0"/>
                <w:numId w:val="3"/>
              </w:numPr>
              <w:jc w:val="both"/>
            </w:pPr>
          </w:p>
        </w:tc>
        <w:tc>
          <w:tcPr>
            <w:tcW w:w="3468" w:type="dxa"/>
          </w:tcPr>
          <w:p w14:paraId="4A554D93">
            <w:pPr>
              <w:pStyle w:val="18"/>
              <w:widowControl w:val="0"/>
              <w:jc w:val="both"/>
            </w:pPr>
            <w:r>
              <w:t>Study designs</w:t>
            </w:r>
          </w:p>
        </w:tc>
        <w:tc>
          <w:tcPr>
            <w:tcW w:w="5106" w:type="dxa"/>
          </w:tcPr>
          <w:p w14:paraId="458DDD3D">
            <w:pPr>
              <w:pStyle w:val="18"/>
              <w:widowControl w:val="0"/>
              <w:jc w:val="both"/>
            </w:pPr>
            <w:r>
              <w:t>Predominantly cross-sectional studies; also included randomized controlled trials, cohort/prospective studies, implementation studies, qualitative, mixed-methods, and population-based surveys.</w:t>
            </w:r>
          </w:p>
        </w:tc>
      </w:tr>
      <w:tr w14:paraId="405C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197392D">
            <w:pPr>
              <w:pStyle w:val="18"/>
              <w:widowControl w:val="0"/>
              <w:numPr>
                <w:ilvl w:val="0"/>
                <w:numId w:val="3"/>
              </w:numPr>
              <w:jc w:val="both"/>
            </w:pPr>
          </w:p>
        </w:tc>
        <w:tc>
          <w:tcPr>
            <w:tcW w:w="3468" w:type="dxa"/>
          </w:tcPr>
          <w:p w14:paraId="517976FF">
            <w:pPr>
              <w:pStyle w:val="18"/>
              <w:widowControl w:val="0"/>
              <w:jc w:val="both"/>
            </w:pPr>
            <w:r>
              <w:t>Population studied</w:t>
            </w:r>
          </w:p>
        </w:tc>
        <w:tc>
          <w:tcPr>
            <w:tcW w:w="5106" w:type="dxa"/>
          </w:tcPr>
          <w:p w14:paraId="3BD6F405">
            <w:pPr>
              <w:pStyle w:val="18"/>
              <w:widowControl w:val="0"/>
              <w:jc w:val="both"/>
            </w:pPr>
            <w:r>
              <w:t>General population, adolescents and young people (15–24 years), university students, AGYW, male partners of pregnant women, and key populations (MSM, FSW, PWID, street-connected adolescents).</w:t>
            </w:r>
          </w:p>
        </w:tc>
      </w:tr>
      <w:tr w14:paraId="18F3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F067893">
            <w:pPr>
              <w:pStyle w:val="18"/>
              <w:widowControl w:val="0"/>
              <w:numPr>
                <w:ilvl w:val="0"/>
                <w:numId w:val="3"/>
              </w:numPr>
              <w:jc w:val="both"/>
            </w:pPr>
          </w:p>
        </w:tc>
        <w:tc>
          <w:tcPr>
            <w:tcW w:w="3468" w:type="dxa"/>
          </w:tcPr>
          <w:p w14:paraId="264C62FD">
            <w:pPr>
              <w:pStyle w:val="18"/>
              <w:widowControl w:val="0"/>
              <w:jc w:val="both"/>
            </w:pPr>
            <w:r>
              <w:t>Age range</w:t>
            </w:r>
          </w:p>
        </w:tc>
        <w:tc>
          <w:tcPr>
            <w:tcW w:w="5106" w:type="dxa"/>
          </w:tcPr>
          <w:p w14:paraId="5B7E579B">
            <w:pPr>
              <w:pStyle w:val="18"/>
              <w:widowControl w:val="0"/>
              <w:jc w:val="both"/>
            </w:pPr>
            <w:r>
              <w:t>Mostly ≥15 years; strong focus on youth and young adults; some studies included children (≥12 years) or older adults (up to 64 years).</w:t>
            </w:r>
          </w:p>
        </w:tc>
      </w:tr>
      <w:tr w14:paraId="25F0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6F4FD97">
            <w:pPr>
              <w:pStyle w:val="18"/>
              <w:widowControl w:val="0"/>
              <w:numPr>
                <w:ilvl w:val="0"/>
                <w:numId w:val="3"/>
              </w:numPr>
              <w:jc w:val="both"/>
            </w:pPr>
          </w:p>
        </w:tc>
        <w:tc>
          <w:tcPr>
            <w:tcW w:w="3468" w:type="dxa"/>
          </w:tcPr>
          <w:p w14:paraId="0FB15FBA">
            <w:pPr>
              <w:pStyle w:val="18"/>
              <w:widowControl w:val="0"/>
              <w:jc w:val="both"/>
            </w:pPr>
            <w:r>
              <w:t>Gender distribution</w:t>
            </w:r>
          </w:p>
        </w:tc>
        <w:tc>
          <w:tcPr>
            <w:tcW w:w="5106" w:type="dxa"/>
          </w:tcPr>
          <w:p w14:paraId="22B21C31">
            <w:pPr>
              <w:pStyle w:val="18"/>
              <w:widowControl w:val="0"/>
              <w:jc w:val="both"/>
            </w:pPr>
            <w:r>
              <w:t>Mixed-gender studies common; female-focused studies among AGYW and Antenatal/post partum clients; male-focused studies among MSM and general male populations.</w:t>
            </w:r>
          </w:p>
        </w:tc>
      </w:tr>
      <w:tr w14:paraId="7D54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F70A355">
            <w:pPr>
              <w:pStyle w:val="18"/>
              <w:widowControl w:val="0"/>
              <w:numPr>
                <w:ilvl w:val="0"/>
                <w:numId w:val="3"/>
              </w:numPr>
              <w:jc w:val="both"/>
            </w:pPr>
          </w:p>
        </w:tc>
        <w:tc>
          <w:tcPr>
            <w:tcW w:w="3468" w:type="dxa"/>
          </w:tcPr>
          <w:p w14:paraId="6F36BA75">
            <w:pPr>
              <w:pStyle w:val="18"/>
              <w:widowControl w:val="0"/>
              <w:jc w:val="both"/>
            </w:pPr>
            <w:r>
              <w:t>Sample size Range</w:t>
            </w:r>
          </w:p>
        </w:tc>
        <w:tc>
          <w:tcPr>
            <w:tcW w:w="5106" w:type="dxa"/>
          </w:tcPr>
          <w:p w14:paraId="219C1EC1">
            <w:pPr>
              <w:pStyle w:val="18"/>
              <w:widowControl w:val="0"/>
              <w:jc w:val="both"/>
            </w:pPr>
            <w:r>
              <w:t>From small qualitative samples ( &lt;20 participants) to large population-based studies (&gt;20,000 participants); sum total of 185,858 participants.</w:t>
            </w:r>
          </w:p>
        </w:tc>
      </w:tr>
      <w:tr w14:paraId="06B6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2055BF4">
            <w:pPr>
              <w:pStyle w:val="18"/>
              <w:widowControl w:val="0"/>
              <w:numPr>
                <w:ilvl w:val="0"/>
                <w:numId w:val="3"/>
              </w:numPr>
              <w:jc w:val="both"/>
            </w:pPr>
          </w:p>
        </w:tc>
        <w:tc>
          <w:tcPr>
            <w:tcW w:w="3468" w:type="dxa"/>
          </w:tcPr>
          <w:p w14:paraId="12A57DFA">
            <w:pPr>
              <w:pStyle w:val="18"/>
              <w:widowControl w:val="0"/>
              <w:jc w:val="both"/>
            </w:pPr>
            <w:r>
              <w:t>Study setting</w:t>
            </w:r>
          </w:p>
        </w:tc>
        <w:tc>
          <w:tcPr>
            <w:tcW w:w="5106" w:type="dxa"/>
          </w:tcPr>
          <w:p w14:paraId="71DEAD98">
            <w:pPr>
              <w:pStyle w:val="18"/>
              <w:widowControl w:val="0"/>
              <w:jc w:val="both"/>
            </w:pPr>
            <w:r>
              <w:t>Home-based, community-based, facility-based, or hybrid models (home + community/facility).</w:t>
            </w:r>
          </w:p>
        </w:tc>
      </w:tr>
    </w:tbl>
    <w:p w14:paraId="24947F3F">
      <w:pPr>
        <w:pStyle w:val="18"/>
      </w:pPr>
    </w:p>
    <w:p w14:paraId="6FE25320">
      <w:pPr>
        <w:pStyle w:val="18"/>
      </w:pPr>
    </w:p>
    <w:p w14:paraId="589BD827">
      <w:pPr>
        <w:pStyle w:val="18"/>
        <w:rPr>
          <w:b/>
          <w:bCs/>
        </w:rPr>
      </w:pPr>
    </w:p>
    <w:p w14:paraId="6DC02ECD">
      <w:pPr>
        <w:pStyle w:val="18"/>
        <w:rPr>
          <w:b/>
          <w:bCs/>
        </w:rPr>
      </w:pPr>
    </w:p>
    <w:p w14:paraId="00D05820">
      <w:pPr>
        <w:pStyle w:val="18"/>
        <w:rPr>
          <w:b/>
          <w:bCs/>
        </w:rPr>
      </w:pPr>
    </w:p>
    <w:p w14:paraId="53D17B98">
      <w:pPr>
        <w:pStyle w:val="18"/>
        <w:rPr>
          <w:b/>
          <w:bCs/>
        </w:rPr>
      </w:pPr>
      <w:r>
        <w:rPr>
          <w:b/>
          <w:bCs/>
        </w:rPr>
        <w:t>Figure 2: A map showing geographical distribution of the studies</w:t>
      </w:r>
    </w:p>
    <w:p w14:paraId="267F6A5C">
      <w:pPr>
        <w:pStyle w:val="18"/>
        <w:rPr>
          <w:b/>
          <w:bCs/>
        </w:rPr>
      </w:pPr>
      <w:r>
        <w:rPr>
          <w:b/>
          <w:bCs/>
          <w:lang w:val="en-CA" w:eastAsia="en-CA"/>
        </w:rPr>
        <w:drawing>
          <wp:inline distT="0" distB="0" distL="114300" distR="114300">
            <wp:extent cx="5939790" cy="5933440"/>
            <wp:effectExtent l="0" t="0" r="3810" b="10160"/>
            <wp:docPr id="2" name="Picture 2" descr="Distribution_of_study_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tribution_of_study_locations"/>
                    <pic:cNvPicPr>
                      <a:picLocks noChangeAspect="1"/>
                    </pic:cNvPicPr>
                  </pic:nvPicPr>
                  <pic:blipFill>
                    <a:blip r:embed="rId12"/>
                    <a:stretch>
                      <a:fillRect/>
                    </a:stretch>
                  </pic:blipFill>
                  <pic:spPr>
                    <a:xfrm>
                      <a:off x="0" y="0"/>
                      <a:ext cx="5939790" cy="5933440"/>
                    </a:xfrm>
                    <a:prstGeom prst="rect">
                      <a:avLst/>
                    </a:prstGeom>
                  </pic:spPr>
                </pic:pic>
              </a:graphicData>
            </a:graphic>
          </wp:inline>
        </w:drawing>
      </w:r>
    </w:p>
    <w:p w14:paraId="01201F32">
      <w:pPr>
        <w:pStyle w:val="18"/>
        <w:rPr>
          <w:b/>
          <w:bCs/>
        </w:rPr>
      </w:pPr>
    </w:p>
    <w:p w14:paraId="4859777D">
      <w:pPr>
        <w:pStyle w:val="18"/>
        <w:rPr>
          <w:b/>
          <w:bCs/>
        </w:rPr>
      </w:pPr>
    </w:p>
    <w:p w14:paraId="2B49C457">
      <w:pPr>
        <w:pStyle w:val="18"/>
        <w:rPr>
          <w:b/>
          <w:bCs/>
        </w:rPr>
      </w:pPr>
    </w:p>
    <w:p w14:paraId="47FDF8F3">
      <w:pPr>
        <w:pStyle w:val="18"/>
        <w:rPr>
          <w:b/>
          <w:bCs/>
        </w:rPr>
      </w:pPr>
    </w:p>
    <w:p w14:paraId="754456B8">
      <w:pPr>
        <w:pStyle w:val="18"/>
        <w:rPr>
          <w:b/>
          <w:bCs/>
        </w:rPr>
      </w:pPr>
    </w:p>
    <w:p w14:paraId="59BFC5E1">
      <w:pPr>
        <w:pStyle w:val="18"/>
        <w:rPr>
          <w:b/>
          <w:bCs/>
        </w:rPr>
      </w:pPr>
    </w:p>
    <w:p w14:paraId="2D173E74">
      <w:pPr>
        <w:pStyle w:val="18"/>
      </w:pPr>
      <w:r>
        <w:rPr>
          <w:b/>
          <w:bCs/>
        </w:rPr>
        <w:t>3.3 HIV Self-Testing: Delivery and utilisation patterns  </w:t>
      </w:r>
    </w:p>
    <w:p w14:paraId="6FC3A953">
      <w:pPr>
        <w:pStyle w:val="18"/>
        <w:spacing w:line="360" w:lineRule="auto"/>
        <w:jc w:val="both"/>
      </w:pPr>
      <w:r>
        <w:t xml:space="preserve">The majority of studies utilized solely oral fluid-based HIVST kits (33 studies), and they were preferred due to ease of use, non-invasiveness, and the absence of needles. However, two studies reported on blood-based HIVST kits [39, 64], particularly in MSM communities where perceived accuracy was a concern [37]. HIVST distribution occurred through various models. Home-based distribution was the most common, often supported by peer educators, caregivers, or health volunteers (19 studies). Mixed methods of delivery, involving a combination of home-based distribution, community-based delivery or facility-based delivery were equally seen in about 10 studies. Facility-based and private sector models, including drug shops and e-pharmacies, were seen in about 7 studies while Community-based delivery through pharmacies, youth-friendly centers, bars/clubs, or outreach events was seen in 16 studies. In terms of utilisation patterns, among 51 studies analysed, level of utilisation was seen to range from 3.8% to 167%. Approximately 16 studies reported high utilisation rates, defined as over 80% of participants accepting or using HIVST kits. These studies were often characterized by targeted interventions, such as peer-led distribution, home-based delivery, or integration with existing community health structures. For instance, studies among key populations all reported uptake rates exceeding 95%, with near-universal return of test results and strong linkage to care [26, 66, and 74]. In contrast, about 12 studies demonstrated low utilisation rates, generally below 50%. These studies were often based on general population surveys or passive distribution models where HIVST kits were available but not actively promoted. For example, studies by Awopegba and Johnson reported utilisation rates of just 2.9% and 1.2%, respectively [44, 46]. Among the remaining 23 studies, 8 studies reported moderate utilisation rates ranging between 50% and 79% while the utilisation rates for the 15 other studies were not reported. Secondary distribution, where individuals passed kits to partners or peers, emerged as a particularly effective strategy for reaching first-time testers and those reluctant to access facility-based services in 11 studies. See Table 3 and Supplementary material 2 for detailed summary. </w:t>
      </w:r>
    </w:p>
    <w:p w14:paraId="4043D667">
      <w:pPr>
        <w:pStyle w:val="18"/>
        <w:spacing w:line="360" w:lineRule="auto"/>
        <w:jc w:val="both"/>
      </w:pPr>
    </w:p>
    <w:p w14:paraId="05851400">
      <w:pPr>
        <w:pStyle w:val="18"/>
        <w:spacing w:line="360" w:lineRule="auto"/>
        <w:jc w:val="both"/>
      </w:pPr>
    </w:p>
    <w:p w14:paraId="5D5CEAA9">
      <w:pPr>
        <w:spacing w:beforeAutospacing="1" w:after="0" w:afterAutospacing="1"/>
        <w:rPr>
          <w:rFonts w:ascii="Times New Roman" w:hAnsi="Times New Roman"/>
        </w:rPr>
      </w:pPr>
      <w:r>
        <w:rPr>
          <w:rFonts w:ascii="Times New Roman" w:hAnsi="Times New Roman"/>
        </w:rPr>
        <w:t>Table 3: Table showing summary of HIV self-testing utilisation patterns, barriers, facilitators, and outcomes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3156"/>
        <w:gridCol w:w="5826"/>
      </w:tblGrid>
      <w:tr w14:paraId="6F9C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50A34B1B">
            <w:pPr>
              <w:widowControl w:val="0"/>
              <w:spacing w:beforeAutospacing="1" w:after="0" w:afterAutospacing="1"/>
              <w:jc w:val="both"/>
              <w:rPr>
                <w:rFonts w:ascii="Times New Roman" w:hAnsi="Times New Roman"/>
              </w:rPr>
            </w:pPr>
            <w:r>
              <w:rPr>
                <w:rFonts w:ascii="Times New Roman" w:hAnsi="Times New Roman"/>
              </w:rPr>
              <w:t>S/N</w:t>
            </w:r>
          </w:p>
        </w:tc>
        <w:tc>
          <w:tcPr>
            <w:tcW w:w="3156" w:type="dxa"/>
          </w:tcPr>
          <w:p w14:paraId="2385325D">
            <w:pPr>
              <w:widowControl w:val="0"/>
              <w:spacing w:beforeAutospacing="1" w:after="0" w:afterAutospacing="1"/>
              <w:jc w:val="both"/>
              <w:rPr>
                <w:rFonts w:ascii="Times New Roman" w:hAnsi="Times New Roman"/>
              </w:rPr>
            </w:pPr>
            <w:r>
              <w:rPr>
                <w:rFonts w:ascii="Times New Roman" w:hAnsi="Times New Roman"/>
              </w:rPr>
              <w:t>Domain</w:t>
            </w:r>
          </w:p>
        </w:tc>
        <w:tc>
          <w:tcPr>
            <w:tcW w:w="5826" w:type="dxa"/>
          </w:tcPr>
          <w:p w14:paraId="47E9CE4F">
            <w:pPr>
              <w:widowControl w:val="0"/>
              <w:spacing w:beforeAutospacing="1" w:after="0" w:afterAutospacing="1"/>
              <w:jc w:val="both"/>
              <w:rPr>
                <w:rFonts w:ascii="Times New Roman" w:hAnsi="Times New Roman"/>
              </w:rPr>
            </w:pPr>
            <w:r>
              <w:rPr>
                <w:rFonts w:ascii="Times New Roman" w:hAnsi="Times New Roman"/>
              </w:rPr>
              <w:t xml:space="preserve">Key findings across study </w:t>
            </w:r>
          </w:p>
        </w:tc>
      </w:tr>
      <w:tr w14:paraId="0DF4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64C7F7F2">
            <w:pPr>
              <w:widowControl w:val="0"/>
              <w:spacing w:beforeAutospacing="1" w:after="0" w:afterAutospacing="1"/>
              <w:jc w:val="both"/>
              <w:rPr>
                <w:rFonts w:ascii="Times New Roman" w:hAnsi="Times New Roman"/>
              </w:rPr>
            </w:pPr>
            <w:r>
              <w:rPr>
                <w:rFonts w:ascii="Times New Roman" w:hAnsi="Times New Roman"/>
              </w:rPr>
              <w:t>1.</w:t>
            </w:r>
          </w:p>
        </w:tc>
        <w:tc>
          <w:tcPr>
            <w:tcW w:w="3156" w:type="dxa"/>
          </w:tcPr>
          <w:p w14:paraId="667FF8D2">
            <w:pPr>
              <w:widowControl w:val="0"/>
              <w:spacing w:beforeAutospacing="1" w:after="0" w:afterAutospacing="1"/>
              <w:jc w:val="both"/>
              <w:rPr>
                <w:rFonts w:ascii="Times New Roman" w:hAnsi="Times New Roman"/>
              </w:rPr>
            </w:pPr>
            <w:r>
              <w:rPr>
                <w:rFonts w:ascii="Times New Roman" w:hAnsi="Times New Roman"/>
              </w:rPr>
              <w:t>Type of HIVST Used</w:t>
            </w:r>
          </w:p>
        </w:tc>
        <w:tc>
          <w:tcPr>
            <w:tcW w:w="5826" w:type="dxa"/>
          </w:tcPr>
          <w:p w14:paraId="56797E6F">
            <w:pPr>
              <w:widowControl w:val="0"/>
              <w:spacing w:beforeAutospacing="1" w:after="0" w:afterAutospacing="1"/>
              <w:jc w:val="both"/>
              <w:rPr>
                <w:rFonts w:ascii="Times New Roman" w:hAnsi="Times New Roman"/>
              </w:rPr>
            </w:pPr>
            <w:r>
              <w:rPr>
                <w:rFonts w:ascii="Times New Roman" w:hAnsi="Times New Roman"/>
              </w:rPr>
              <w:t xml:space="preserve">Predominantly oral fluid–based self-test kits; fewer studies included blood-based kits. </w:t>
            </w:r>
          </w:p>
        </w:tc>
      </w:tr>
      <w:tr w14:paraId="3D65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6EAC5627">
            <w:pPr>
              <w:widowControl w:val="0"/>
              <w:numPr>
                <w:ilvl w:val="0"/>
                <w:numId w:val="4"/>
              </w:numPr>
              <w:spacing w:beforeAutospacing="1" w:after="0" w:afterAutospacing="1"/>
              <w:jc w:val="both"/>
              <w:rPr>
                <w:rFonts w:ascii="Times New Roman" w:hAnsi="Times New Roman"/>
              </w:rPr>
            </w:pPr>
          </w:p>
        </w:tc>
        <w:tc>
          <w:tcPr>
            <w:tcW w:w="3156" w:type="dxa"/>
          </w:tcPr>
          <w:p w14:paraId="6471FD31">
            <w:pPr>
              <w:widowControl w:val="0"/>
              <w:spacing w:beforeAutospacing="1" w:after="0" w:afterAutospacing="1"/>
              <w:jc w:val="both"/>
              <w:rPr>
                <w:rFonts w:ascii="Times New Roman" w:hAnsi="Times New Roman"/>
              </w:rPr>
            </w:pPr>
            <w:r>
              <w:rPr>
                <w:rFonts w:ascii="Times New Roman" w:hAnsi="Times New Roman"/>
              </w:rPr>
              <w:t xml:space="preserve">Utilisation levels and pattern </w:t>
            </w:r>
          </w:p>
        </w:tc>
        <w:tc>
          <w:tcPr>
            <w:tcW w:w="5826" w:type="dxa"/>
          </w:tcPr>
          <w:p w14:paraId="040B37B7">
            <w:pPr>
              <w:widowControl w:val="0"/>
              <w:spacing w:beforeAutospacing="1" w:after="0" w:afterAutospacing="1"/>
              <w:jc w:val="both"/>
              <w:rPr>
                <w:rFonts w:ascii="Times New Roman" w:hAnsi="Times New Roman"/>
              </w:rPr>
            </w:pPr>
            <w:r>
              <w:rPr>
                <w:rFonts w:ascii="Times New Roman" w:hAnsi="Times New Roman"/>
              </w:rPr>
              <w:t>Utilisation level varied widely. Uptake was highest in home-based, community-based, peer-distributed, and index/partner testing models. First-time testing was frequently reported, particularly with secondary distribution.</w:t>
            </w:r>
          </w:p>
        </w:tc>
      </w:tr>
      <w:tr w14:paraId="3DA9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6C4C0937">
            <w:pPr>
              <w:widowControl w:val="0"/>
              <w:numPr>
                <w:ilvl w:val="0"/>
                <w:numId w:val="4"/>
              </w:numPr>
              <w:spacing w:beforeAutospacing="1" w:after="0" w:afterAutospacing="1"/>
              <w:jc w:val="both"/>
              <w:rPr>
                <w:rFonts w:ascii="Times New Roman" w:hAnsi="Times New Roman"/>
              </w:rPr>
            </w:pPr>
          </w:p>
        </w:tc>
        <w:tc>
          <w:tcPr>
            <w:tcW w:w="3156" w:type="dxa"/>
          </w:tcPr>
          <w:p w14:paraId="3C0A6F7A">
            <w:pPr>
              <w:widowControl w:val="0"/>
              <w:spacing w:beforeAutospacing="1" w:after="0" w:afterAutospacing="1"/>
              <w:jc w:val="both"/>
              <w:rPr>
                <w:rFonts w:ascii="Times New Roman" w:hAnsi="Times New Roman"/>
              </w:rPr>
            </w:pPr>
            <w:r>
              <w:rPr>
                <w:rFonts w:ascii="Times New Roman" w:hAnsi="Times New Roman"/>
              </w:rPr>
              <w:t>Key barriers</w:t>
            </w:r>
          </w:p>
        </w:tc>
        <w:tc>
          <w:tcPr>
            <w:tcW w:w="5826" w:type="dxa"/>
          </w:tcPr>
          <w:p w14:paraId="776375C1">
            <w:pPr>
              <w:widowControl w:val="0"/>
              <w:spacing w:beforeAutospacing="1" w:after="0" w:afterAutospacing="1"/>
              <w:jc w:val="both"/>
              <w:rPr>
                <w:rFonts w:ascii="Times New Roman" w:hAnsi="Times New Roman"/>
              </w:rPr>
            </w:pPr>
            <w:r>
              <w:rPr>
                <w:rFonts w:ascii="Times New Roman" w:hAnsi="Times New Roman"/>
              </w:rPr>
              <w:t>Low awareness of HIVST; fear of positive results; stigma; concerns about test accuracy (especially oral tests); cost and limited access; lack of pre- and post-test counselling; difficulty interpreting results; literacy challenges; fear of coercion, IPV, or self-harm in a minority of studies.</w:t>
            </w:r>
          </w:p>
        </w:tc>
      </w:tr>
      <w:tr w14:paraId="4322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29351E58">
            <w:pPr>
              <w:widowControl w:val="0"/>
              <w:numPr>
                <w:ilvl w:val="0"/>
                <w:numId w:val="4"/>
              </w:numPr>
              <w:spacing w:beforeAutospacing="1" w:after="0" w:afterAutospacing="1"/>
              <w:jc w:val="both"/>
              <w:rPr>
                <w:rFonts w:ascii="Times New Roman" w:hAnsi="Times New Roman"/>
              </w:rPr>
            </w:pPr>
          </w:p>
        </w:tc>
        <w:tc>
          <w:tcPr>
            <w:tcW w:w="3156" w:type="dxa"/>
          </w:tcPr>
          <w:p w14:paraId="75D9CEC3">
            <w:pPr>
              <w:widowControl w:val="0"/>
              <w:spacing w:beforeAutospacing="1" w:after="0" w:afterAutospacing="1"/>
              <w:jc w:val="both"/>
              <w:rPr>
                <w:rFonts w:ascii="Times New Roman" w:hAnsi="Times New Roman"/>
              </w:rPr>
            </w:pPr>
            <w:r>
              <w:rPr>
                <w:rFonts w:ascii="Times New Roman" w:hAnsi="Times New Roman"/>
              </w:rPr>
              <w:t>Key facilitators</w:t>
            </w:r>
          </w:p>
        </w:tc>
        <w:tc>
          <w:tcPr>
            <w:tcW w:w="5826" w:type="dxa"/>
          </w:tcPr>
          <w:p w14:paraId="3FDE02E7">
            <w:pPr>
              <w:widowControl w:val="0"/>
              <w:spacing w:beforeAutospacing="1" w:after="0" w:afterAutospacing="1"/>
              <w:jc w:val="both"/>
              <w:rPr>
                <w:rFonts w:ascii="Times New Roman" w:hAnsi="Times New Roman"/>
              </w:rPr>
            </w:pPr>
            <w:r>
              <w:rPr>
                <w:rFonts w:ascii="Times New Roman" w:hAnsi="Times New Roman"/>
              </w:rPr>
              <w:t>Privacy, confidentiality, convenience, and autonomy were the most consistent facilitators. Other enablers included peer-led distribution, secondary distribution via partners or caregivers, free or subsidised kits, clear instructions/demonstrations, digital or phone-based support, and community trust mechanisms.</w:t>
            </w:r>
          </w:p>
        </w:tc>
      </w:tr>
      <w:tr w14:paraId="4B60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13F25919">
            <w:pPr>
              <w:widowControl w:val="0"/>
              <w:numPr>
                <w:ilvl w:val="0"/>
                <w:numId w:val="4"/>
              </w:numPr>
              <w:spacing w:beforeAutospacing="1" w:after="0" w:afterAutospacing="1"/>
              <w:jc w:val="both"/>
              <w:rPr>
                <w:rFonts w:ascii="Times New Roman" w:hAnsi="Times New Roman"/>
              </w:rPr>
            </w:pPr>
          </w:p>
        </w:tc>
        <w:tc>
          <w:tcPr>
            <w:tcW w:w="3156" w:type="dxa"/>
          </w:tcPr>
          <w:p w14:paraId="5350C7DB">
            <w:pPr>
              <w:widowControl w:val="0"/>
              <w:spacing w:beforeAutospacing="1" w:after="0" w:afterAutospacing="1"/>
              <w:jc w:val="both"/>
              <w:rPr>
                <w:rFonts w:ascii="Times New Roman" w:hAnsi="Times New Roman"/>
              </w:rPr>
            </w:pPr>
            <w:r>
              <w:rPr>
                <w:rFonts w:ascii="Times New Roman" w:hAnsi="Times New Roman"/>
              </w:rPr>
              <w:t>Linkage to care</w:t>
            </w:r>
          </w:p>
        </w:tc>
        <w:tc>
          <w:tcPr>
            <w:tcW w:w="5826" w:type="dxa"/>
          </w:tcPr>
          <w:p w14:paraId="5D100A1A">
            <w:pPr>
              <w:widowControl w:val="0"/>
              <w:spacing w:beforeAutospacing="1" w:after="0" w:afterAutospacing="1"/>
              <w:jc w:val="both"/>
              <w:rPr>
                <w:rFonts w:ascii="Times New Roman" w:hAnsi="Times New Roman"/>
              </w:rPr>
            </w:pPr>
            <w:r>
              <w:rPr>
                <w:rFonts w:ascii="Times New Roman" w:hAnsi="Times New Roman"/>
              </w:rPr>
              <w:t>Linkage varied widely. High linkage (≥85–100%) was reported in structured interventions with follow-up support etc.  Lower linkage occurred where HIVST was fully unassisted or where referral systems were weak.</w:t>
            </w:r>
          </w:p>
        </w:tc>
      </w:tr>
      <w:tr w14:paraId="7E78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4EB71A34">
            <w:pPr>
              <w:widowControl w:val="0"/>
              <w:numPr>
                <w:ilvl w:val="0"/>
                <w:numId w:val="4"/>
              </w:numPr>
              <w:spacing w:beforeAutospacing="1" w:after="0" w:afterAutospacing="1"/>
              <w:jc w:val="both"/>
              <w:rPr>
                <w:rFonts w:ascii="Times New Roman" w:hAnsi="Times New Roman"/>
              </w:rPr>
            </w:pPr>
          </w:p>
        </w:tc>
        <w:tc>
          <w:tcPr>
            <w:tcW w:w="3156" w:type="dxa"/>
          </w:tcPr>
          <w:p w14:paraId="617520EB">
            <w:pPr>
              <w:widowControl w:val="0"/>
              <w:spacing w:beforeAutospacing="1" w:after="0" w:afterAutospacing="1"/>
              <w:jc w:val="both"/>
              <w:rPr>
                <w:rFonts w:ascii="Times New Roman" w:hAnsi="Times New Roman"/>
              </w:rPr>
            </w:pPr>
            <w:r>
              <w:rPr>
                <w:rFonts w:ascii="Times New Roman" w:hAnsi="Times New Roman"/>
              </w:rPr>
              <w:t>Treatment Initiation</w:t>
            </w:r>
          </w:p>
        </w:tc>
        <w:tc>
          <w:tcPr>
            <w:tcW w:w="5826" w:type="dxa"/>
          </w:tcPr>
          <w:p w14:paraId="657CC404">
            <w:pPr>
              <w:widowControl w:val="0"/>
              <w:spacing w:beforeAutospacing="1" w:after="0" w:afterAutospacing="1"/>
              <w:jc w:val="both"/>
              <w:rPr>
                <w:rFonts w:ascii="Times New Roman" w:hAnsi="Times New Roman"/>
              </w:rPr>
            </w:pPr>
            <w:r>
              <w:rPr>
                <w:rFonts w:ascii="Times New Roman" w:hAnsi="Times New Roman"/>
              </w:rPr>
              <w:t>Where reported, most individuals who linked to care initiated ART promptly, often within weeks or months</w:t>
            </w:r>
          </w:p>
        </w:tc>
      </w:tr>
      <w:tr w14:paraId="08EA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77E460D3">
            <w:pPr>
              <w:widowControl w:val="0"/>
              <w:numPr>
                <w:ilvl w:val="0"/>
                <w:numId w:val="4"/>
              </w:numPr>
              <w:spacing w:beforeAutospacing="1" w:after="0" w:afterAutospacing="1"/>
              <w:jc w:val="both"/>
              <w:rPr>
                <w:rFonts w:ascii="Times New Roman" w:hAnsi="Times New Roman"/>
              </w:rPr>
            </w:pPr>
          </w:p>
        </w:tc>
        <w:tc>
          <w:tcPr>
            <w:tcW w:w="3156" w:type="dxa"/>
          </w:tcPr>
          <w:p w14:paraId="0F63848D">
            <w:pPr>
              <w:widowControl w:val="0"/>
              <w:spacing w:beforeAutospacing="1" w:after="0" w:afterAutospacing="1"/>
              <w:jc w:val="both"/>
              <w:rPr>
                <w:rFonts w:ascii="Times New Roman" w:hAnsi="Times New Roman"/>
              </w:rPr>
            </w:pPr>
            <w:r>
              <w:rPr>
                <w:rFonts w:ascii="Times New Roman" w:hAnsi="Times New Roman"/>
              </w:rPr>
              <w:t>Behavioural Outcome</w:t>
            </w:r>
          </w:p>
        </w:tc>
        <w:tc>
          <w:tcPr>
            <w:tcW w:w="5826" w:type="dxa"/>
          </w:tcPr>
          <w:p w14:paraId="77E0DF79">
            <w:pPr>
              <w:widowControl w:val="0"/>
              <w:spacing w:beforeAutospacing="1" w:after="0" w:afterAutospacing="1"/>
              <w:jc w:val="both"/>
              <w:rPr>
                <w:rFonts w:ascii="Times New Roman" w:hAnsi="Times New Roman"/>
              </w:rPr>
            </w:pPr>
            <w:r>
              <w:rPr>
                <w:rFonts w:ascii="Times New Roman" w:hAnsi="Times New Roman"/>
              </w:rPr>
              <w:t>Increased condom use, routine testing and greater engagement with HIV prevention services, increased willingness to disclose status, seek confirmatory testing, and adopt safer sexual practices</w:t>
            </w:r>
          </w:p>
        </w:tc>
      </w:tr>
      <w:tr w14:paraId="488B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Pr>
          <w:p w14:paraId="19A90755">
            <w:pPr>
              <w:widowControl w:val="0"/>
              <w:spacing w:beforeAutospacing="1" w:after="0" w:afterAutospacing="1"/>
              <w:jc w:val="both"/>
              <w:rPr>
                <w:rFonts w:ascii="Times New Roman" w:hAnsi="Times New Roman"/>
              </w:rPr>
            </w:pPr>
            <w:r>
              <w:rPr>
                <w:rFonts w:ascii="Times New Roman" w:hAnsi="Times New Roman"/>
              </w:rPr>
              <w:t>9.</w:t>
            </w:r>
          </w:p>
        </w:tc>
        <w:tc>
          <w:tcPr>
            <w:tcW w:w="3156" w:type="dxa"/>
          </w:tcPr>
          <w:p w14:paraId="048AFC7C">
            <w:pPr>
              <w:widowControl w:val="0"/>
              <w:spacing w:beforeAutospacing="1" w:after="0" w:afterAutospacing="1"/>
              <w:jc w:val="both"/>
              <w:rPr>
                <w:rFonts w:ascii="Times New Roman" w:hAnsi="Times New Roman"/>
              </w:rPr>
            </w:pPr>
            <w:r>
              <w:rPr>
                <w:rFonts w:ascii="Times New Roman" w:hAnsi="Times New Roman"/>
              </w:rPr>
              <w:t>Pyschological Outcome</w:t>
            </w:r>
          </w:p>
        </w:tc>
        <w:tc>
          <w:tcPr>
            <w:tcW w:w="5826" w:type="dxa"/>
          </w:tcPr>
          <w:p w14:paraId="6304C1CA">
            <w:pPr>
              <w:widowControl w:val="0"/>
              <w:spacing w:beforeAutospacing="1" w:after="0" w:afterAutospacing="1"/>
              <w:jc w:val="both"/>
              <w:rPr>
                <w:rFonts w:ascii="Times New Roman" w:hAnsi="Times New Roman"/>
              </w:rPr>
            </w:pPr>
            <w:r>
              <w:rPr>
                <w:rFonts w:ascii="Times New Roman" w:hAnsi="Times New Roman"/>
              </w:rPr>
              <w:t>Generally positive: empowerment, reduced stigma, autonomy, and increased confidence. A small number of studies reported anxiety, emotional distress, or rare social harms, underscoring the need for counselling pathways and safeguards.</w:t>
            </w:r>
          </w:p>
        </w:tc>
      </w:tr>
    </w:tbl>
    <w:p w14:paraId="22BCEF6C">
      <w:pPr>
        <w:pStyle w:val="18"/>
        <w:spacing w:line="360" w:lineRule="auto"/>
        <w:rPr>
          <w:b/>
          <w:bCs/>
        </w:rPr>
      </w:pPr>
    </w:p>
    <w:p w14:paraId="4539BF87">
      <w:pPr>
        <w:pStyle w:val="18"/>
        <w:spacing w:line="360" w:lineRule="auto"/>
        <w:rPr>
          <w:b/>
          <w:bCs/>
        </w:rPr>
      </w:pPr>
      <w:r>
        <w:rPr>
          <w:b/>
          <w:bCs/>
        </w:rPr>
        <w:t>3.4 Barriers and Facilitators to HIVST</w:t>
      </w:r>
    </w:p>
    <w:p w14:paraId="537567D9">
      <w:pPr>
        <w:pStyle w:val="18"/>
        <w:spacing w:line="360" w:lineRule="auto"/>
        <w:jc w:val="both"/>
      </w:pPr>
      <w:r>
        <w:t>The most significant barrier was limited awareness or knowledge of HIVST which was reported in 23 studies, particularly in rural areas or among populations with lower education levels. Stigma and discrimination was highlighted in exactly 20 studies. The next most popular barrier was fear of a positive result, mentioned in 14 studies. Cost and limited availability of kits were noted in 15 studies, especially in private-sector or pharmacy-based models. Concerns about test accuracy and reliability appeared in 15 studies, with some participants expressing skepticism about oral fluid-based kits compared to blood-based alternatives. The absence of pre- and post-test counseling was highlighted in 11 studies, raising concerns about emotional support and linkage to care. Partner related issues were reported in 5 studies. Facilitators were more consistently reported and often aligned with user-centered delivery models. Privacy and confidentiality were the most common facilitators, cited in 35 studies, especially among youth, MSM, and university students. Peer-led or community-based distribution were identified as key enablers in 11 studies, particularly in reaching first-time testers and hard-to-reach populations. Ease of use and convenience were mentioned in 25 studies, with participants appreciating the ability to test at their own time and pace. Home-based delivery was reported as facilitator in 5 studies while counselling and support services was reported in 19 studies. Empowerment and Autonomy were noted in 14 studies, often linked to behavioral changes such as increased condom use or willingness to disclose status while Education and training support were seen in 9 studies.  Other key unique facilitators were integration of HIVST with other services, such as contraception or STI screening, provision of digital support tools linked to HIVST, social media campaigns and media exposure about HIVST.</w:t>
      </w:r>
    </w:p>
    <w:p w14:paraId="5A1DC673">
      <w:pPr>
        <w:spacing w:line="360" w:lineRule="auto"/>
        <w:rPr>
          <w:rFonts w:ascii="Times New Roman" w:hAnsi="Times New Roman" w:cs="Times New Roman"/>
        </w:rPr>
      </w:pPr>
      <w:r>
        <w:rPr>
          <w:rFonts w:ascii="Times New Roman" w:hAnsi="Times New Roman" w:cs="Times New Roman"/>
          <w:b/>
          <w:bCs/>
        </w:rPr>
        <w:t>3.5 Reported Outcomes, Linkage to care and Treatment Initiation</w:t>
      </w:r>
    </w:p>
    <w:p w14:paraId="435302B8">
      <w:pPr>
        <w:spacing w:line="360" w:lineRule="auto"/>
        <w:jc w:val="both"/>
        <w:rPr>
          <w:rFonts w:ascii="Times New Roman" w:hAnsi="Times New Roman"/>
        </w:rPr>
      </w:pPr>
      <w:r>
        <w:rPr>
          <w:rFonts w:ascii="Times New Roman" w:hAnsi="Times New Roman"/>
        </w:rPr>
        <w:t>The outcomes reported across the 51 studies included in this scoping review provide compelling evidence of the effectiveness and broader impact of HIV self-testing (HIVST) in sub-Saharan Africa. Linkage to care following a reactive HIVST result was reported in 22 studies.  Among these, 17 studies documented linkage rates with values varying between 0.7% and 100%. Furthermore, a total of 8 studies achieved ≥90% linkage rates. For instance, in the study by Gross, all children who tested positive through caregiver-assisted HIVST were successfully linked to ART [26]. Similarly, Okoboi reported 100% linkage among MSM who tested positive, facilitated by peer navigators [36]. In contrast, a few studies noted lower linkage rates when considering all self-reported positives, with only 50% of those initially reporting a positive result ultimately initiating treatment, although linkage among confirmed cases was higher at 74% [66]. Treatment initiation was explicitly reported in 12 studies. Among these, 8 studies provided numerical data, with initiation rates ranging from 47% to 100% among participants in the various studies. For example, Dovel found that 47% of index partners who tested positive through HIVST initiated ART within 12 months, with 93% of those doing so within the first three months [63]. In another study, all individuals who tested positive and were linked to care initiated ART within one week [74].  Psychological outcomes were discussed in 23 studies, with effects such as increased self-efficacy, reduced anxiety, and greater autonomy in health decision-making reported [53, 54]. However, few studies raised concerns about emotional distress following a positive result, particularly in the absence of counseling [56].  Despite these concerns, no study reported widespread or sustained psychological harm, and Okoboi emphasized the role of peer support in mitigating distress [36]. Behavioral outcomes were reported in 19 studies. Increased condom use, routine testing and greater engagement with HIV prevention services, increased willingness to disclose status, seek confirmatory testing, and adopt safer sexual practices were all documented outcomes [27, 29, 30, 37].</w:t>
      </w:r>
    </w:p>
    <w:p w14:paraId="629C179F">
      <w:pPr>
        <w:spacing w:line="360" w:lineRule="auto"/>
        <w:jc w:val="both"/>
        <w:rPr>
          <w:rFonts w:ascii="Times New Roman" w:hAnsi="Times New Roman"/>
        </w:rPr>
      </w:pPr>
    </w:p>
    <w:p w14:paraId="1943133E">
      <w:pPr>
        <w:spacing w:line="360" w:lineRule="auto"/>
        <w:jc w:val="both"/>
        <w:rPr>
          <w:rFonts w:ascii="Times New Roman" w:hAnsi="Times New Roman" w:cs="Times New Roman"/>
          <w:b/>
          <w:bCs/>
        </w:rPr>
      </w:pPr>
      <w:r>
        <w:rPr>
          <w:rFonts w:ascii="Times New Roman" w:hAnsi="Times New Roman" w:cs="Times New Roman"/>
          <w:b/>
          <w:bCs/>
        </w:rPr>
        <w:t>DISCUSSION</w:t>
      </w:r>
    </w:p>
    <w:p w14:paraId="3D45FB41">
      <w:pPr>
        <w:spacing w:line="360" w:lineRule="auto"/>
        <w:jc w:val="both"/>
        <w:rPr>
          <w:rFonts w:ascii="Times New Roman" w:hAnsi="Times New Roman" w:cs="Times New Roman"/>
        </w:rPr>
      </w:pPr>
      <w:r>
        <w:rPr>
          <w:rFonts w:ascii="Times New Roman" w:hAnsi="Times New Roman" w:cs="Times New Roman"/>
          <w:lang w:val="en-GB"/>
        </w:rPr>
        <w:t xml:space="preserve">Innovative and effective HIVST strategies are necessary in achieving the UNAIDS 95-95-95 target, particularly in a high burden area like </w:t>
      </w:r>
      <w:r>
        <w:rPr>
          <w:rFonts w:ascii="Times New Roman" w:hAnsi="Times New Roman" w:cs="Times New Roman"/>
        </w:rPr>
        <w:t>sub-Saharan</w:t>
      </w:r>
      <w:r>
        <w:rPr>
          <w:rFonts w:ascii="Times New Roman" w:hAnsi="Times New Roman" w:cs="Times New Roman"/>
          <w:lang w:val="en-GB"/>
        </w:rPr>
        <w:t xml:space="preserve"> Africa (7</w:t>
      </w:r>
      <w:r>
        <w:rPr>
          <w:rFonts w:ascii="Times New Roman" w:hAnsi="Times New Roman" w:cs="Times New Roman"/>
        </w:rPr>
        <w:t>5</w:t>
      </w:r>
      <w:r>
        <w:rPr>
          <w:rFonts w:ascii="Times New Roman" w:hAnsi="Times New Roman" w:cs="Times New Roman"/>
          <w:lang w:val="en-GB"/>
        </w:rPr>
        <w:t>). This scoping review highlights the delivery and utilisation patterns, barriers and facilitators of HIV self-testing services as well as the reported outcomes, linkage</w:t>
      </w:r>
      <w:r>
        <w:rPr>
          <w:rFonts w:ascii="Times New Roman" w:hAnsi="Times New Roman" w:cs="Times New Roman"/>
        </w:rPr>
        <w:t>s</w:t>
      </w:r>
      <w:r>
        <w:rPr>
          <w:rFonts w:ascii="Times New Roman" w:hAnsi="Times New Roman" w:cs="Times New Roman"/>
          <w:lang w:val="en-GB"/>
        </w:rPr>
        <w:t xml:space="preserve"> to care and treatment initiation among people living with HIV in </w:t>
      </w:r>
      <w:r>
        <w:rPr>
          <w:rFonts w:ascii="Times New Roman" w:hAnsi="Times New Roman" w:cs="Times New Roman"/>
        </w:rPr>
        <w:t>sub-Saharan</w:t>
      </w:r>
      <w:r>
        <w:rPr>
          <w:rFonts w:ascii="Times New Roman" w:hAnsi="Times New Roman" w:cs="Times New Roman"/>
          <w:lang w:val="en-GB"/>
        </w:rPr>
        <w:t xml:space="preserve"> Africa. </w:t>
      </w:r>
      <w:r>
        <w:rPr>
          <w:rFonts w:ascii="Times New Roman" w:hAnsi="Times New Roman" w:cs="Times New Roman"/>
        </w:rPr>
        <w:t>Our study showed that t</w:t>
      </w:r>
      <w:r>
        <w:rPr>
          <w:rFonts w:ascii="Times New Roman" w:hAnsi="Times New Roman" w:cs="Times New Roman"/>
          <w:lang w:val="en-GB"/>
        </w:rPr>
        <w:t>here was a strong preference for oral fluid-based kits largely due to their non-invasiveness, ease of use and needle-free administration (3</w:t>
      </w:r>
      <w:r>
        <w:rPr>
          <w:rFonts w:ascii="Times New Roman" w:hAnsi="Times New Roman" w:cs="Times New Roman"/>
        </w:rPr>
        <w:t>9</w:t>
      </w:r>
      <w:r>
        <w:rPr>
          <w:rFonts w:ascii="Times New Roman" w:hAnsi="Times New Roman" w:cs="Times New Roman"/>
          <w:lang w:val="en-GB"/>
        </w:rPr>
        <w:t xml:space="preserve">). This finding differs from findings of cross-sectional studies in India and Kenya, where </w:t>
      </w:r>
      <w:r>
        <w:rPr>
          <w:rFonts w:ascii="Times New Roman" w:hAnsi="Times New Roman" w:cs="Times New Roman"/>
        </w:rPr>
        <w:t>more than half (51% and 57% respectively) preferred a blood-based kit (76, 77). Despite b</w:t>
      </w:r>
      <w:r>
        <w:rPr>
          <w:rFonts w:ascii="Times New Roman" w:hAnsi="Times New Roman" w:cs="Times New Roman"/>
          <w:lang w:val="en-GB"/>
        </w:rPr>
        <w:t xml:space="preserve">lood-based kits </w:t>
      </w:r>
      <w:r>
        <w:rPr>
          <w:rFonts w:ascii="Times New Roman" w:hAnsi="Times New Roman" w:cs="Times New Roman"/>
        </w:rPr>
        <w:t>being</w:t>
      </w:r>
      <w:r>
        <w:rPr>
          <w:rFonts w:ascii="Times New Roman" w:hAnsi="Times New Roman" w:cs="Times New Roman"/>
          <w:lang w:val="en-GB"/>
        </w:rPr>
        <w:t xml:space="preserve"> less common overall, but they were particularly relevant in </w:t>
      </w:r>
      <w:r>
        <w:rPr>
          <w:rFonts w:ascii="Times New Roman" w:hAnsi="Times New Roman" w:cs="Times New Roman"/>
        </w:rPr>
        <w:t>key</w:t>
      </w:r>
      <w:r>
        <w:rPr>
          <w:rFonts w:ascii="Times New Roman" w:hAnsi="Times New Roman" w:cs="Times New Roman"/>
          <w:lang w:val="en-GB"/>
        </w:rPr>
        <w:t xml:space="preserve"> populations such as MSM (3</w:t>
      </w:r>
      <w:r>
        <w:rPr>
          <w:rFonts w:ascii="Times New Roman" w:hAnsi="Times New Roman" w:cs="Times New Roman"/>
        </w:rPr>
        <w:t>7</w:t>
      </w:r>
      <w:r>
        <w:rPr>
          <w:rFonts w:ascii="Times New Roman" w:hAnsi="Times New Roman" w:cs="Times New Roman"/>
          <w:lang w:val="en-GB"/>
        </w:rPr>
        <w:t>), possibly due to underlying concerns about perceived accuracy and test reliability and the need for psychological assurance.</w:t>
      </w:r>
      <w:r>
        <w:rPr>
          <w:rFonts w:ascii="Times New Roman" w:hAnsi="Times New Roman" w:cs="Times New Roman"/>
        </w:rPr>
        <w:t xml:space="preserve"> </w:t>
      </w:r>
    </w:p>
    <w:p w14:paraId="40C4BC43">
      <w:pPr>
        <w:spacing w:line="360" w:lineRule="auto"/>
        <w:jc w:val="both"/>
        <w:rPr>
          <w:rFonts w:ascii="Times New Roman" w:hAnsi="Times New Roman" w:cs="Times New Roman"/>
        </w:rPr>
      </w:pPr>
      <w:r>
        <w:rPr>
          <w:rFonts w:ascii="Times New Roman" w:hAnsi="Times New Roman" w:cs="Times New Roman"/>
          <w:lang w:val="en-GB"/>
        </w:rPr>
        <w:t>Home-based distribution which was facilitated by peer educators, caregivers or community health worked emerged the most common and effective delivery model. This is in alignment with public health strategies that embrace community effort in boosting reach and impact (7</w:t>
      </w:r>
      <w:r>
        <w:rPr>
          <w:rFonts w:ascii="Times New Roman" w:hAnsi="Times New Roman" w:cs="Times New Roman"/>
        </w:rPr>
        <w:t>8</w:t>
      </w:r>
      <w:r>
        <w:rPr>
          <w:rFonts w:ascii="Times New Roman" w:hAnsi="Times New Roman" w:cs="Times New Roman"/>
          <w:lang w:val="en-GB"/>
        </w:rPr>
        <w:t xml:space="preserve">). This assertion is evidenced by a study conducted among MSM in the United States </w:t>
      </w:r>
      <w:r>
        <w:rPr>
          <w:rFonts w:ascii="Times New Roman" w:hAnsi="Times New Roman" w:cs="Times New Roman"/>
        </w:rPr>
        <w:t xml:space="preserve">which </w:t>
      </w:r>
      <w:r>
        <w:rPr>
          <w:rFonts w:ascii="Times New Roman" w:hAnsi="Times New Roman" w:cs="Times New Roman"/>
          <w:lang w:val="en-GB"/>
        </w:rPr>
        <w:t>showed that r</w:t>
      </w:r>
      <w:r>
        <w:rPr>
          <w:rFonts w:ascii="Times New Roman" w:hAnsi="Times New Roman" w:cs="Times New Roman"/>
        </w:rPr>
        <w:t>egular home delivery of HIVST is a key strategy that could help diagnose new HIV cases earlier, especially among those who are at increased risk but who test infrequently. (79)</w:t>
      </w:r>
    </w:p>
    <w:p w14:paraId="56773366">
      <w:pPr>
        <w:spacing w:line="360" w:lineRule="auto"/>
        <w:jc w:val="both"/>
        <w:rPr>
          <w:rFonts w:ascii="Times New Roman" w:hAnsi="Times New Roman" w:cs="Times New Roman"/>
          <w:lang w:val="en-GB"/>
        </w:rPr>
      </w:pPr>
      <w:r>
        <w:rPr>
          <w:rFonts w:ascii="Times New Roman" w:hAnsi="Times New Roman" w:cs="Times New Roman"/>
          <w:lang w:val="en-GB"/>
        </w:rPr>
        <w:t>Mixed delivery approaches combining both community and facility-based strategies were also prominent. In</w:t>
      </w:r>
      <w:r>
        <w:rPr>
          <w:rFonts w:ascii="Times New Roman" w:hAnsi="Times New Roman" w:cs="Times New Roman"/>
        </w:rPr>
        <w:t xml:space="preserve"> Uganda</w:t>
      </w:r>
      <w:r>
        <w:rPr>
          <w:rFonts w:ascii="Times New Roman" w:hAnsi="Times New Roman" w:cs="Times New Roman"/>
          <w:lang w:val="en-GB"/>
        </w:rPr>
        <w:t>, participants expressed that they would prefer to receive the oral based HIVST kits at both public and private health facilities, small and large health facilities, community centres, groups, and sites such as shops. This was attributable to the ease of access, cost implications and privacy concerns (</w:t>
      </w:r>
      <w:r>
        <w:rPr>
          <w:rFonts w:ascii="Times New Roman" w:hAnsi="Times New Roman" w:cs="Times New Roman"/>
        </w:rPr>
        <w:t>80</w:t>
      </w:r>
      <w:r>
        <w:rPr>
          <w:rFonts w:ascii="Times New Roman" w:hAnsi="Times New Roman" w:cs="Times New Roman"/>
          <w:lang w:val="en-GB"/>
        </w:rPr>
        <w:t xml:space="preserve">). This model is important in reaching diverse populations with differing preferences and additionally, it allows individuals to choose the method that best suits their lifestyle and needs which will eventually facilitate enhanced linkage to prevention and treatment services as opposed to a single-delivery approach. </w:t>
      </w:r>
      <w:r>
        <w:rPr>
          <w:rFonts w:ascii="Times New Roman" w:hAnsi="Times New Roman" w:cs="Times New Roman"/>
        </w:rPr>
        <w:t>Furthermore, although</w:t>
      </w:r>
      <w:r>
        <w:rPr>
          <w:rFonts w:ascii="Times New Roman" w:hAnsi="Times New Roman" w:cs="Times New Roman"/>
          <w:lang w:val="en-GB"/>
        </w:rPr>
        <w:t xml:space="preserve"> facility-based and private-sector </w:t>
      </w:r>
      <w:r>
        <w:rPr>
          <w:rFonts w:ascii="Times New Roman" w:hAnsi="Times New Roman" w:cs="Times New Roman"/>
        </w:rPr>
        <w:t>delivery were</w:t>
      </w:r>
      <w:r>
        <w:rPr>
          <w:rFonts w:ascii="Times New Roman" w:hAnsi="Times New Roman" w:cs="Times New Roman"/>
          <w:lang w:val="en-GB"/>
        </w:rPr>
        <w:t xml:space="preserve"> less common, when integrated with digital platforms like e-pharmacies, they may offer scalable options as shown by McGuire et al. In his study, the </w:t>
      </w:r>
      <w:r>
        <w:rPr>
          <w:rFonts w:ascii="Times New Roman" w:hAnsi="Times New Roman" w:cs="Times New Roman"/>
        </w:rPr>
        <w:t xml:space="preserve">willingness to use web-based HIVST interventions ranged between 61%−79% </w:t>
      </w:r>
      <w:bookmarkStart w:id="1" w:name="bbib0029"/>
      <w:bookmarkStart w:id="2" w:name="bbib0037"/>
      <w:r>
        <w:rPr>
          <w:rFonts w:ascii="Times New Roman" w:hAnsi="Times New Roman" w:cs="Times New Roman"/>
        </w:rPr>
        <w:t>and ease of use (97%) </w:t>
      </w:r>
      <w:bookmarkStart w:id="3" w:name="bbib0028"/>
      <w:r>
        <w:rPr>
          <w:rFonts w:ascii="Times New Roman" w:hAnsi="Times New Roman" w:cs="Times New Roman"/>
        </w:rPr>
        <w:t>was high especially among groups such as MSM, transgender women, men with multiple sexual partners, and men who were less likely to have previously sought out HIV testing</w:t>
      </w:r>
      <w:bookmarkEnd w:id="1"/>
      <w:bookmarkEnd w:id="2"/>
      <w:bookmarkEnd w:id="3"/>
      <w:r>
        <w:rPr>
          <w:rFonts w:ascii="Times New Roman" w:hAnsi="Times New Roman" w:cs="Times New Roman"/>
        </w:rPr>
        <w:t xml:space="preserve"> (81).</w:t>
      </w:r>
    </w:p>
    <w:p w14:paraId="35FBC0D3">
      <w:pPr>
        <w:spacing w:line="360" w:lineRule="auto"/>
        <w:jc w:val="both"/>
        <w:rPr>
          <w:rFonts w:ascii="Times New Roman" w:hAnsi="Times New Roman" w:cs="Times New Roman"/>
        </w:rPr>
      </w:pPr>
      <w:r>
        <w:rPr>
          <w:rFonts w:ascii="Times New Roman" w:hAnsi="Times New Roman" w:cs="Times New Roman"/>
        </w:rPr>
        <w:t>Utilisation</w:t>
      </w:r>
      <w:r>
        <w:rPr>
          <w:rFonts w:ascii="Times New Roman" w:hAnsi="Times New Roman" w:cs="Times New Roman"/>
          <w:lang w:val="en-GB"/>
        </w:rPr>
        <w:t xml:space="preserve"> rates ranged from as low as 3.8% to as high as 167%. This is indicative of the varied population engagement, distribution strategies and support structures. The high </w:t>
      </w:r>
      <w:r>
        <w:rPr>
          <w:rFonts w:ascii="Times New Roman" w:hAnsi="Times New Roman" w:cs="Times New Roman"/>
        </w:rPr>
        <w:t>utilisation</w:t>
      </w:r>
      <w:r>
        <w:rPr>
          <w:rFonts w:ascii="Times New Roman" w:hAnsi="Times New Roman" w:cs="Times New Roman"/>
          <w:lang w:val="en-GB"/>
        </w:rPr>
        <w:t xml:space="preserve"> rates in </w:t>
      </w:r>
      <w:r>
        <w:rPr>
          <w:rFonts w:ascii="Times New Roman" w:hAnsi="Times New Roman" w:cs="Times New Roman"/>
        </w:rPr>
        <w:t>peer-led distribution, home-based delivery, or integration with existing community health structures reflects the effectiveness of community-tailored decentralized approaches. Conversely, low utilisation rates were associated with passive distribution strategies and general population surveys. Thus, active engagement and community mobilization are critical in promoting HIVST kits where available.</w:t>
      </w:r>
    </w:p>
    <w:p w14:paraId="1621204B">
      <w:pPr>
        <w:spacing w:line="360" w:lineRule="auto"/>
        <w:jc w:val="both"/>
        <w:rPr>
          <w:rFonts w:ascii="Times New Roman" w:hAnsi="Times New Roman" w:cs="Times New Roman"/>
        </w:rPr>
      </w:pPr>
      <w:r>
        <w:rPr>
          <w:rFonts w:ascii="Times New Roman" w:hAnsi="Times New Roman" w:cs="Times New Roman"/>
        </w:rPr>
        <w:t xml:space="preserve">In many sub-Saharan African communities, HIV still carries a significant stigma and the fear of having one’s status known by others may constitute a major barrier to testing (82). These findings are similar to that of a study carried out by Anyiam et al. which showed that stigma was a significant barrier to HIVST uptake, especially for MSM and FSWs (83). To combat stigma, various studies showed how peer support has become a useful ally for MSMs and FSWs (36, 42, 43). This may be attributable to the default stigmatization and discrimination which they endure and their enhanced trust in people with similar lived experiences. This peer networking may be beneficial in promoting HIVST uptake through positive experiences shared and secondary distribution (84). This finding is also corroborated by Ky-Zerbo et al., who found that effective HIVST secondary distribution to partners, peers, and other relatives was achieved by many primary users (85). </w:t>
      </w:r>
    </w:p>
    <w:p w14:paraId="0FE09539">
      <w:pPr>
        <w:spacing w:line="360" w:lineRule="auto"/>
        <w:jc w:val="both"/>
        <w:rPr>
          <w:rFonts w:ascii="Times New Roman" w:hAnsi="Times New Roman" w:cs="Times New Roman"/>
        </w:rPr>
      </w:pPr>
      <w:r>
        <w:rPr>
          <w:rFonts w:ascii="Times New Roman" w:hAnsi="Times New Roman" w:cs="Times New Roman"/>
        </w:rPr>
        <w:t xml:space="preserve">Limited awareness or knowledge, especially in rural and less-educated areas, was found to be the most significant barrier to HIVST utilisation. This can be overcome by continuous public health campaigns including in local dialects, community mobilization and health providers advocacy. Stigma and discrimination, fear of a positive result, cost and limited availability of kits, concerns about test accuracy, and the absence of pre- and post-test counseling were other barriers highlighted by the studies. This is similar to findings of a scoping review by Anyiam at al., where the major barriers to HIVST uptake were economic constraints, fear of stigma, limited post-test counseling and lack of healthcare access (83). It is also similar to a study carried out among MSM in China, where the barriers to HIVST uptake were fear of being duped by a fake test, concern for cost, fearing disclosure of sexual orientation, limited access to healthcare services, lack of consulting services, biosafety concerns and lack of policy support (86). Measures to overcome aforementioned barriers include provision of clear instructions, helplines and online resources for proper test use and interpretation as well as enhancing affordability and availability to enable equitable access. </w:t>
      </w:r>
    </w:p>
    <w:p w14:paraId="35C9531F">
      <w:pPr>
        <w:spacing w:line="360" w:lineRule="auto"/>
        <w:jc w:val="both"/>
        <w:rPr>
          <w:rFonts w:ascii="Times New Roman" w:hAnsi="Times New Roman" w:cs="Times New Roman"/>
        </w:rPr>
      </w:pPr>
      <w:r>
        <w:rPr>
          <w:rFonts w:ascii="Times New Roman" w:hAnsi="Times New Roman" w:cs="Times New Roman"/>
        </w:rPr>
        <w:t>Privacy, confidentiality, ease of use, convenience, empowerment and autonomy constitute major facilitators to HIVST uptake especially among youth, MSM, and university students. Peer-led or community-based distribution is also a key enabler particularly in reaching first-time testers and hard-to-reach populations. This is in agreement with a study by Anyiam et al. where major facilitators were privacy and autonomy of testing especially among key populations(83).</w:t>
      </w:r>
    </w:p>
    <w:p w14:paraId="07869492">
      <w:pPr>
        <w:spacing w:line="360" w:lineRule="auto"/>
        <w:jc w:val="both"/>
        <w:rPr>
          <w:rFonts w:ascii="Times New Roman" w:hAnsi="Times New Roman" w:cs="Times New Roman"/>
        </w:rPr>
      </w:pPr>
      <w:r>
        <w:rPr>
          <w:rFonts w:ascii="Times New Roman" w:hAnsi="Times New Roman" w:cs="Times New Roman"/>
        </w:rPr>
        <w:t xml:space="preserve">Furthermore, the importance of linkage to care cannot be overemphasized. The integration of HIVST with other reproductive health services will reduce the incidence of missed opportunities, aid destigmatization and improve reproductive health outcomes in the long run (87). A positive self-test result should be followed by a confirmatory test at a health facility, counselling and treatment. It is also essential to inform users about the ‘window period’ and the need for re-testing in cases of robust exposure. Robust referral systems and follow-up measures are therefore critical (88). </w:t>
      </w:r>
      <w:r>
        <w:rPr>
          <w:rFonts w:ascii="Times New Roman" w:hAnsi="Times New Roman" w:cs="Times New Roman"/>
          <w:lang w:val="en-GB"/>
        </w:rPr>
        <w:t xml:space="preserve">The ultimate goal of HIVST is not to simply know one’s status. It is imperative that everyone living with HIV has access to treatment which will promote </w:t>
      </w:r>
      <w:r>
        <w:rPr>
          <w:rFonts w:ascii="Times New Roman" w:hAnsi="Times New Roman" w:cs="Times New Roman"/>
        </w:rPr>
        <w:t>well-being</w:t>
      </w:r>
      <w:r>
        <w:rPr>
          <w:rFonts w:ascii="Times New Roman" w:hAnsi="Times New Roman" w:cs="Times New Roman"/>
          <w:lang w:val="en-GB"/>
        </w:rPr>
        <w:t xml:space="preserve"> and reduce further transmission (8</w:t>
      </w:r>
      <w:r>
        <w:rPr>
          <w:rFonts w:ascii="Times New Roman" w:hAnsi="Times New Roman" w:cs="Times New Roman"/>
        </w:rPr>
        <w:t>8</w:t>
      </w:r>
      <w:r>
        <w:rPr>
          <w:rFonts w:ascii="Times New Roman" w:hAnsi="Times New Roman" w:cs="Times New Roman"/>
          <w:lang w:val="en-GB"/>
        </w:rPr>
        <w:t>)</w:t>
      </w:r>
      <w:r>
        <w:rPr>
          <w:rFonts w:ascii="Times New Roman" w:hAnsi="Times New Roman" w:cs="Times New Roman"/>
        </w:rPr>
        <w:t xml:space="preserve">. </w:t>
      </w:r>
    </w:p>
    <w:p w14:paraId="50FE6361">
      <w:pPr>
        <w:spacing w:line="360" w:lineRule="auto"/>
        <w:jc w:val="both"/>
        <w:rPr>
          <w:rFonts w:ascii="Times New Roman" w:hAnsi="Times New Roman" w:cs="Times New Roman"/>
          <w:b/>
          <w:bCs/>
        </w:rPr>
      </w:pPr>
      <w:r>
        <w:rPr>
          <w:rFonts w:ascii="Times New Roman" w:hAnsi="Times New Roman" w:cs="Times New Roman"/>
          <w:b/>
          <w:bCs/>
        </w:rPr>
        <w:t>LIMITATIONS</w:t>
      </w:r>
    </w:p>
    <w:p w14:paraId="4A375EDF">
      <w:pPr>
        <w:pStyle w:val="18"/>
        <w:spacing w:line="360" w:lineRule="auto"/>
        <w:jc w:val="both"/>
        <w:rPr>
          <w:b/>
          <w:bCs/>
        </w:rPr>
      </w:pPr>
      <w:r>
        <w:t>While this scoping review provides a comprehensive synthesis of HIV self-testing (HIVST) in sub-Saharan Africa, it is important to acknowledge several limitations. Firstly, the geographical distribution of studies was uneven, with the majority originating from a few countries such as Kenya, Uganda, Malawi, and Nigeria. This limits the generalizability of the findings across the broader sub-Saharan African context. Future reviews could address this by including regional reports, grey literature, and local programme evaluations to capture a more balanced perspective. Secondly, the abscence of publications in languages other than English may have led to language bias, potentially omitting significant findings from Francophone and Lusophone African nations. Thirdly, the diversity in study designs, target populations, and implementation models complicated the ability to make standardized comparisons or perform meta-analyses. To mitigate this issue, future research should aim to establish a standardized reporting framework for HIVST implementation studies, which would aid in synthesis and benchmarking. Additionally, many studies did not comprehensively report outcomes such as confirmatory testing, linkage to antiretroviral therapy, or long-term behavioral and psychosocial impacts, thereby limiting the ability to assess the full effectiveness of HIVST interventions. Strengthening routine monitoring and evaluation systems within HIVST programs could help capture these critical outcomes more consistently.</w:t>
      </w:r>
    </w:p>
    <w:p w14:paraId="493F7AA9">
      <w:pPr>
        <w:spacing w:line="360" w:lineRule="auto"/>
        <w:jc w:val="both"/>
        <w:rPr>
          <w:rFonts w:ascii="Times New Roman" w:hAnsi="Times New Roman" w:cs="Times New Roman"/>
          <w:b/>
          <w:bCs/>
        </w:rPr>
      </w:pPr>
      <w:r>
        <w:rPr>
          <w:rFonts w:ascii="Times New Roman" w:hAnsi="Times New Roman" w:cs="Times New Roman"/>
          <w:b/>
          <w:bCs/>
        </w:rPr>
        <w:t>CONCLUSION</w:t>
      </w:r>
    </w:p>
    <w:p w14:paraId="23518395">
      <w:pPr>
        <w:pStyle w:val="18"/>
        <w:spacing w:line="360" w:lineRule="auto"/>
        <w:jc w:val="both"/>
      </w:pPr>
      <w:r>
        <w:t>HIV self-testing (HIVST) is increasingly being adopted throughout sub-Saharan Africa, particularly among key populations such as adolescents, men who have sex with men, and female sex workers. Utilisation rates were highest in environments where HIVST was provided through home-based, peer-led, or community-supported models that enhanced accessibility, privacy, and acceptability for individuals who typically avoid clinic-based services. HIVST has significant potential to bridge the existing gaps in HIV testing by reaching individuals who might otherwise remain undiagnosed. However, to fully harness its advantages, it is essential to tackle challenges related to stigma, lack of awareness, and inadequate linkage to care. This necessitates a focus beyond mere distribution, ensuring that individuals who receive a positive test result have clear and supported pathways to confirmatory testing and treatment. Looking forward, the future of HIVST in the region will hinge on the ability of programs to adapt to local needs. Enhancing trusted, community-based delivery models, integrating digital or mobile health tools where suitable, and providing customized follow-up support could significantly improve both uptake and outcomes. With appropriate investments and strategies, HIVST can serve a crucial role in advancing sub-Saharan Africa towards its HIV prevention and treatment objectives.</w:t>
      </w:r>
    </w:p>
    <w:p w14:paraId="1FE9C389">
      <w:pPr>
        <w:spacing w:line="360" w:lineRule="auto"/>
        <w:jc w:val="both"/>
        <w:rPr>
          <w:rFonts w:ascii="Times New Roman" w:hAnsi="Times New Roman" w:eastAsia="Times New Roman" w:cs="Times New Roman"/>
          <w:b/>
          <w:bCs/>
          <w:lang w:eastAsia="en-GB"/>
        </w:rPr>
      </w:pPr>
      <w:r>
        <w:rPr>
          <w:rFonts w:ascii="Times New Roman" w:hAnsi="Times New Roman" w:eastAsia="Times New Roman" w:cs="Times New Roman"/>
          <w:b/>
          <w:bCs/>
          <w:lang w:eastAsia="en-GB"/>
        </w:rPr>
        <w:t>Clinical trial number</w:t>
      </w:r>
    </w:p>
    <w:p w14:paraId="65FF1E15">
      <w:pPr>
        <w:spacing w:line="360" w:lineRule="auto"/>
        <w:jc w:val="both"/>
        <w:rPr>
          <w:rFonts w:ascii="Times New Roman" w:hAnsi="Times New Roman" w:eastAsia="Times New Roman" w:cs="Times New Roman"/>
          <w:lang w:eastAsia="en-GB"/>
        </w:rPr>
      </w:pPr>
      <w:r>
        <w:rPr>
          <w:rFonts w:ascii="Times New Roman" w:hAnsi="Times New Roman" w:eastAsia="Times New Roman" w:cs="Times New Roman"/>
          <w:lang w:eastAsia="en-GB"/>
        </w:rPr>
        <w:t>Not applicable</w:t>
      </w:r>
    </w:p>
    <w:p w14:paraId="0731F821">
      <w:pPr>
        <w:spacing w:line="360" w:lineRule="auto"/>
        <w:jc w:val="both"/>
        <w:rPr>
          <w:rFonts w:ascii="Times New Roman" w:hAnsi="Times New Roman" w:eastAsia="Times New Roman" w:cs="Times New Roman"/>
          <w:b/>
          <w:bCs/>
          <w:lang w:eastAsia="en-GB"/>
        </w:rPr>
      </w:pPr>
      <w:r>
        <w:rPr>
          <w:rFonts w:ascii="Times New Roman" w:hAnsi="Times New Roman" w:eastAsia="Times New Roman" w:cs="Times New Roman"/>
          <w:b/>
          <w:bCs/>
          <w:lang w:eastAsia="en-GB"/>
        </w:rPr>
        <w:t>Ethics declaration</w:t>
      </w:r>
    </w:p>
    <w:p w14:paraId="2308BE11">
      <w:pPr>
        <w:spacing w:line="360" w:lineRule="auto"/>
        <w:jc w:val="both"/>
        <w:rPr>
          <w:rFonts w:ascii="Times New Roman" w:hAnsi="Times New Roman" w:eastAsia="Times New Roman" w:cs="Times New Roman"/>
          <w:lang w:eastAsia="en-GB"/>
        </w:rPr>
      </w:pPr>
      <w:r>
        <w:rPr>
          <w:rFonts w:ascii="Times New Roman" w:hAnsi="Times New Roman" w:eastAsia="Times New Roman" w:cs="Times New Roman"/>
          <w:lang w:eastAsia="en-GB"/>
        </w:rPr>
        <w:t>Not applicable</w:t>
      </w:r>
    </w:p>
    <w:p w14:paraId="30D5688C">
      <w:pPr>
        <w:spacing w:line="360" w:lineRule="auto"/>
        <w:jc w:val="both"/>
        <w:rPr>
          <w:rFonts w:ascii="Times New Roman" w:hAnsi="Times New Roman" w:eastAsia="Times New Roman" w:cs="Times New Roman"/>
          <w:b/>
          <w:bCs/>
          <w:lang w:eastAsia="en-GB"/>
        </w:rPr>
      </w:pPr>
    </w:p>
    <w:p w14:paraId="061898CE">
      <w:pPr>
        <w:spacing w:line="360" w:lineRule="auto"/>
        <w:jc w:val="both"/>
        <w:rPr>
          <w:rFonts w:ascii="Times New Roman" w:hAnsi="Times New Roman" w:eastAsia="Times New Roman" w:cs="Times New Roman"/>
          <w:b/>
          <w:bCs/>
          <w:lang w:eastAsia="en-GB"/>
        </w:rPr>
      </w:pPr>
      <w:r>
        <w:rPr>
          <w:rFonts w:ascii="Times New Roman" w:hAnsi="Times New Roman" w:eastAsia="Times New Roman" w:cs="Times New Roman"/>
          <w:b/>
          <w:bCs/>
          <w:lang w:eastAsia="en-GB"/>
        </w:rPr>
        <w:t>Availability of data and materials</w:t>
      </w:r>
    </w:p>
    <w:p w14:paraId="78AAD76C">
      <w:pPr>
        <w:spacing w:line="360" w:lineRule="auto"/>
        <w:jc w:val="both"/>
      </w:pPr>
      <w:r>
        <w:rPr>
          <w:rFonts w:ascii="Times New Roman" w:hAnsi="Times New Roman" w:eastAsia="Times New Roman" w:cs="Times New Roman"/>
          <w:lang w:eastAsia="en-GB"/>
        </w:rPr>
        <w:t>All data generated or analysed during this study are included in this published article [and its supplementary information files].</w:t>
      </w:r>
    </w:p>
    <w:p w14:paraId="4D173A1A">
      <w:pPr>
        <w:pStyle w:val="44"/>
        <w:jc w:val="both"/>
        <w:rPr>
          <w:b/>
          <w:bCs/>
        </w:rPr>
      </w:pPr>
      <w:r>
        <w:rPr>
          <w:b/>
          <w:bCs/>
        </w:rPr>
        <w:t>Competing Interests</w:t>
      </w:r>
    </w:p>
    <w:p w14:paraId="0F1CD8A1">
      <w:pPr>
        <w:pStyle w:val="44"/>
        <w:spacing w:line="360" w:lineRule="auto"/>
        <w:jc w:val="both"/>
      </w:pPr>
      <w:r>
        <w:t>The authors declare that they have no financial or personal relationship(s) that may have inappropriately influenced them in writing this article</w:t>
      </w:r>
    </w:p>
    <w:p w14:paraId="60AF6284">
      <w:pPr>
        <w:spacing w:line="360" w:lineRule="auto"/>
        <w:jc w:val="both"/>
        <w:rPr>
          <w:rFonts w:ascii="Times New Roman" w:hAnsi="Times New Roman" w:eastAsia="Times New Roman" w:cs="Times New Roman"/>
          <w:b/>
          <w:bCs/>
          <w:lang w:eastAsia="en-GB"/>
        </w:rPr>
      </w:pPr>
      <w:r>
        <w:rPr>
          <w:rFonts w:ascii="Times New Roman" w:hAnsi="Times New Roman" w:eastAsia="Times New Roman" w:cs="Times New Roman"/>
          <w:b/>
          <w:bCs/>
          <w:lang w:eastAsia="en-GB"/>
        </w:rPr>
        <w:t>Consent for Publication</w:t>
      </w:r>
    </w:p>
    <w:p w14:paraId="43634D7A">
      <w:pPr>
        <w:spacing w:line="360" w:lineRule="auto"/>
        <w:jc w:val="both"/>
        <w:rPr>
          <w:rFonts w:ascii="Times New Roman" w:hAnsi="Times New Roman" w:eastAsia="Times New Roman" w:cs="Times New Roman"/>
          <w:lang w:eastAsia="en-GB"/>
        </w:rPr>
      </w:pPr>
      <w:r>
        <w:rPr>
          <w:rFonts w:ascii="Times New Roman" w:hAnsi="Times New Roman" w:eastAsia="Times New Roman" w:cs="Times New Roman"/>
          <w:lang w:eastAsia="en-GB"/>
        </w:rPr>
        <w:t>Not applicable</w:t>
      </w:r>
    </w:p>
    <w:p w14:paraId="3F07A57D">
      <w:pPr>
        <w:rPr>
          <w:b/>
          <w:highlight w:val="yellow"/>
        </w:rPr>
      </w:pPr>
      <w:r>
        <w:rPr>
          <w:b/>
          <w:highlight w:val="yellow"/>
        </w:rPr>
        <w:t>Disclaimer (Artificial intelligence)</w:t>
      </w:r>
    </w:p>
    <w:p w14:paraId="23647B63">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047EEE6C">
      <w:pPr>
        <w:spacing w:line="360" w:lineRule="auto"/>
        <w:jc w:val="both"/>
        <w:rPr>
          <w:rFonts w:ascii="Times New Roman" w:hAnsi="Times New Roman" w:eastAsia="Times New Roman" w:cs="Times New Roman"/>
          <w:lang w:eastAsia="en-GB"/>
        </w:rPr>
      </w:pPr>
    </w:p>
    <w:p w14:paraId="148D5784">
      <w:pPr>
        <w:spacing w:line="360" w:lineRule="auto"/>
        <w:jc w:val="both"/>
        <w:rPr>
          <w:rFonts w:ascii="Times New Roman" w:hAnsi="Times New Roman" w:cs="Times New Roman"/>
          <w:b/>
          <w:bCs/>
        </w:rPr>
      </w:pPr>
      <w:r>
        <w:rPr>
          <w:rFonts w:ascii="Times New Roman" w:hAnsi="Times New Roman" w:cs="Times New Roman"/>
          <w:b/>
          <w:bCs/>
        </w:rPr>
        <w:t>REFERENCES</w:t>
      </w:r>
    </w:p>
    <w:sdt>
      <w:sdtPr>
        <w:rPr>
          <w:rFonts w:ascii="Times New Roman" w:hAnsi="Times New Roman" w:cs="Times New Roman"/>
          <w:color w:val="000000"/>
        </w:rPr>
        <w:tag w:val="MENDELEY_BIBLIOGRAPHY"/>
        <w:id w:val="-922253950"/>
        <w:placeholder>
          <w:docPart w:val="DefaultPlaceholder_-1854013440"/>
        </w:placeholder>
      </w:sdtPr>
      <w:sdtEndPr>
        <w:rPr>
          <w:rFonts w:ascii="Times New Roman" w:hAnsi="Times New Roman" w:cs="Times New Roman"/>
          <w:color w:val="000000"/>
        </w:rPr>
      </w:sdtEndPr>
      <w:sdtContent>
        <w:p w14:paraId="0D6311DD">
          <w:pPr>
            <w:autoSpaceDE w:val="0"/>
            <w:autoSpaceDN w:val="0"/>
            <w:ind w:hanging="640"/>
            <w:jc w:val="both"/>
            <w:rPr>
              <w:rFonts w:ascii="Times New Roman" w:hAnsi="Times New Roman" w:eastAsia="Times New Roman" w:cs="Times New Roman"/>
              <w:kern w:val="0"/>
              <w14:ligatures w14:val="none"/>
            </w:rPr>
          </w:pPr>
          <w:r>
            <w:rPr>
              <w:rFonts w:ascii="Times New Roman" w:hAnsi="Times New Roman" w:eastAsia="Times New Roman" w:cs="Times New Roman"/>
            </w:rPr>
            <w:t xml:space="preserve">1. </w:t>
          </w:r>
          <w:r>
            <w:rPr>
              <w:rFonts w:ascii="Times New Roman" w:hAnsi="Times New Roman" w:eastAsia="Times New Roman" w:cs="Times New Roman"/>
            </w:rPr>
            <w:tab/>
          </w:r>
          <w:r>
            <w:rPr>
              <w:rFonts w:ascii="Times New Roman" w:hAnsi="Times New Roman" w:eastAsia="Times New Roman" w:cs="Times New Roman"/>
            </w:rPr>
            <w:t>Kharsany ABM, Karim QA. HIV Infection and AIDS in sub-Saharan Africa: Current Status, Challenges and Opportunities. Open AIDS J [Internet]. 2016 Apr 12 [cited 2025 May 24];10(1):34. Available from: https://pmc.ncbi.nlm.nih.gov/articles/PMC4893541/</w:t>
          </w:r>
        </w:p>
        <w:p w14:paraId="2CB0F386">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2. </w:t>
          </w:r>
          <w:r>
            <w:rPr>
              <w:rFonts w:ascii="Times New Roman" w:hAnsi="Times New Roman" w:eastAsia="Times New Roman" w:cs="Times New Roman"/>
            </w:rPr>
            <w:tab/>
          </w:r>
          <w:r>
            <w:rPr>
              <w:rFonts w:ascii="Times New Roman" w:hAnsi="Times New Roman" w:eastAsia="Times New Roman" w:cs="Times New Roman"/>
            </w:rPr>
            <w:t xml:space="preserve">Piot P, Abdool Karim SS, Hecht R, Legido-Quigley H, Buse K, Stover J, et al. Defeating AIDS - Advancing global health. The Lancet. 2015 Jul 11;386(9989):171–218. Available from: </w:t>
          </w:r>
          <w:r>
            <w:rPr>
              <w:rFonts w:ascii="Times New Roman" w:hAnsi="Times New Roman" w:eastAsia="Times New Roman"/>
            </w:rPr>
            <w:t>https://doi.org/10.1016/s0140-6736(15)60658-4</w:t>
          </w:r>
          <w:r>
            <w:rPr>
              <w:rFonts w:ascii="Times New Roman" w:hAnsi="Times New Roman" w:eastAsia="Times New Roman" w:cs="Times New Roman"/>
            </w:rPr>
            <w:t xml:space="preserve"> </w:t>
          </w:r>
        </w:p>
        <w:p w14:paraId="1B7B23EA">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3. </w:t>
          </w:r>
          <w:r>
            <w:rPr>
              <w:rFonts w:ascii="Times New Roman" w:hAnsi="Times New Roman" w:eastAsia="Times New Roman" w:cs="Times New Roman"/>
            </w:rPr>
            <w:tab/>
          </w:r>
          <w:r>
            <w:rPr>
              <w:rFonts w:ascii="Times New Roman" w:hAnsi="Times New Roman" w:eastAsia="Times New Roman" w:cs="Times New Roman"/>
            </w:rPr>
            <w:t xml:space="preserve">Joint United Nations Programme on HIV/AIDS (UNAIDS). In danger: UNAIDS global AIDS update 2022 [Internet]. Geneva: UNAIDS. 2022. Available from: </w:t>
          </w:r>
          <w:r>
            <w:rPr>
              <w:rFonts w:ascii="Times New Roman" w:hAnsi="Times New Roman" w:eastAsia="Times New Roman"/>
            </w:rPr>
            <w:t>https://www.unaids.org/en/resources/documents/2022/in-danger-global-aids-update</w:t>
          </w:r>
        </w:p>
        <w:p w14:paraId="5E1D7F61">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4. </w:t>
          </w:r>
          <w:r>
            <w:rPr>
              <w:rFonts w:ascii="Times New Roman" w:hAnsi="Times New Roman" w:eastAsia="Times New Roman" w:cs="Times New Roman"/>
            </w:rPr>
            <w:tab/>
          </w:r>
          <w:r>
            <w:rPr>
              <w:rFonts w:ascii="Times New Roman" w:hAnsi="Times New Roman" w:eastAsia="Times New Roman" w:cs="Times New Roman"/>
            </w:rPr>
            <w:t>Global HIV &amp; AIDS statistics — Fact sheet | UNAIDS [Internet]. [cited 2025 May 24]. Available from: https://www.unaids.org/en/resources/fact-sheet</w:t>
          </w:r>
        </w:p>
        <w:p w14:paraId="2CAC8EFF">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5. </w:t>
          </w:r>
          <w:r>
            <w:rPr>
              <w:rFonts w:ascii="Times New Roman" w:hAnsi="Times New Roman" w:eastAsia="Times New Roman" w:cs="Times New Roman"/>
            </w:rPr>
            <w:tab/>
          </w:r>
          <w:r>
            <w:rPr>
              <w:rFonts w:ascii="Times New Roman" w:hAnsi="Times New Roman" w:eastAsia="Times New Roman" w:cs="Times New Roman"/>
            </w:rPr>
            <w:t>HIV Statistics - Global and Regional Trends - UNICEF DATA [Internet]. [cited 2025 Feb 5]. Available from: https://data.unicef.org/topic/hivaids/global-regional-trends/</w:t>
          </w:r>
        </w:p>
        <w:p w14:paraId="72F68F8B">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6. </w:t>
          </w:r>
          <w:r>
            <w:rPr>
              <w:rFonts w:ascii="Times New Roman" w:hAnsi="Times New Roman" w:eastAsia="Times New Roman" w:cs="Times New Roman"/>
            </w:rPr>
            <w:tab/>
          </w:r>
          <w:r>
            <w:rPr>
              <w:rFonts w:ascii="Times New Roman" w:hAnsi="Times New Roman" w:eastAsia="Times New Roman" w:cs="Times New Roman"/>
            </w:rPr>
            <w:t>Global Statistics | HIV.gov [Internet]. [cited 2025 May 24]. Available from: https://www.hiv.gov/hiv-basics/overview/data-and-trends/global-statistics</w:t>
          </w:r>
        </w:p>
        <w:p w14:paraId="77EDCF90">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7. </w:t>
          </w:r>
          <w:r>
            <w:rPr>
              <w:rFonts w:ascii="Times New Roman" w:hAnsi="Times New Roman" w:eastAsia="Times New Roman" w:cs="Times New Roman"/>
            </w:rPr>
            <w:tab/>
          </w:r>
          <w:r>
            <w:rPr>
              <w:rFonts w:ascii="Times New Roman" w:hAnsi="Times New Roman" w:eastAsia="Times New Roman" w:cs="Times New Roman"/>
            </w:rPr>
            <w:t>Murewanhema G, Musuka G, Moyo P, Moyo E, Dzinamarira T. HIV and adolescent girls and young women in sub‐Saharan Africa: A call for expedited action to reduce new infections. IJID Regions [Internet]. 2022 Dec 1 [cited 2025 May 24];5:30. Available from: https://pmc.ncbi.nlm.nih.gov/articles/PMC9485902/</w:t>
          </w:r>
        </w:p>
        <w:p w14:paraId="7940C21E">
          <w:pPr>
            <w:autoSpaceDE w:val="0"/>
            <w:autoSpaceDN w:val="0"/>
            <w:ind w:hanging="640"/>
            <w:jc w:val="both"/>
            <w:rPr>
              <w:rFonts w:ascii="Times New Roman" w:hAnsi="Times New Roman" w:eastAsia="Times New Roman"/>
            </w:rPr>
          </w:pPr>
          <w:r>
            <w:rPr>
              <w:rFonts w:ascii="Times New Roman" w:hAnsi="Times New Roman" w:eastAsia="Times New Roman" w:cs="Times New Roman"/>
            </w:rPr>
            <w:t xml:space="preserve">8. </w:t>
          </w:r>
          <w:r>
            <w:rPr>
              <w:rFonts w:ascii="Times New Roman" w:hAnsi="Times New Roman" w:eastAsia="Times New Roman" w:cs="Times New Roman"/>
            </w:rPr>
            <w:tab/>
          </w:r>
          <w:r>
            <w:rPr>
              <w:rFonts w:ascii="Times New Roman" w:hAnsi="Times New Roman" w:eastAsia="Times New Roman" w:cs="Times New Roman"/>
            </w:rPr>
            <w:t xml:space="preserve">Frescura L, Godfrey-Faussett P, Ali Feizzadeh A, El-Sadr W, Syarif O, Ghys PD, et al. Achieving the 95 95 95 targets for all: A pathway to ending AIDS. PLoS One. 2022 Aug 1;17. Available from: </w:t>
          </w:r>
          <w:r>
            <w:fldChar w:fldCharType="begin"/>
          </w:r>
          <w:r>
            <w:instrText xml:space="preserve"> HYPERLINK "https://doi.org/10.1371/journal.pone.0272405" </w:instrText>
          </w:r>
          <w:r>
            <w:fldChar w:fldCharType="separate"/>
          </w:r>
          <w:r>
            <w:rPr>
              <w:rStyle w:val="17"/>
              <w:rFonts w:ascii="Times New Roman" w:hAnsi="Times New Roman" w:eastAsia="Times New Roman"/>
            </w:rPr>
            <w:t>https://doi.org/10.1371/journal.pone.0272405</w:t>
          </w:r>
          <w:r>
            <w:rPr>
              <w:rStyle w:val="17"/>
              <w:rFonts w:ascii="Times New Roman" w:hAnsi="Times New Roman" w:eastAsia="Times New Roman"/>
            </w:rPr>
            <w:fldChar w:fldCharType="end"/>
          </w:r>
        </w:p>
        <w:p w14:paraId="4463EE03">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9. </w:t>
          </w:r>
          <w:r>
            <w:rPr>
              <w:rFonts w:ascii="Times New Roman" w:hAnsi="Times New Roman" w:eastAsia="Times New Roman" w:cs="Times New Roman"/>
            </w:rPr>
            <w:tab/>
          </w:r>
          <w:r>
            <w:rPr>
              <w:rFonts w:ascii="Times New Roman" w:hAnsi="Times New Roman" w:eastAsia="Times New Roman" w:cs="Times New Roman"/>
            </w:rPr>
            <w:t>HIV [Internet]. [cited 2025 May 24]. Available from: https://www.who.int/data/gho/data/themes/hiv-aids</w:t>
          </w:r>
        </w:p>
        <w:p w14:paraId="48AEBF55">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10. </w:t>
          </w:r>
          <w:r>
            <w:rPr>
              <w:rFonts w:ascii="Times New Roman" w:hAnsi="Times New Roman" w:eastAsia="Times New Roman" w:cs="Times New Roman"/>
            </w:rPr>
            <w:tab/>
          </w:r>
          <w:r>
            <w:rPr>
              <w:rFonts w:ascii="Times New Roman" w:hAnsi="Times New Roman" w:eastAsia="Times New Roman" w:cs="Times New Roman"/>
            </w:rPr>
            <w:t xml:space="preserve">McClarty LM, Green K, Leung S, Ejeckam C, Adesina A, Shaw SY, et al. Advancing Programme Science approaches to understand gaps in HIV prevention programme coverage for key populations in 12 Nigerian states: findings from the 2020 Integrated Biological and Behavioural Surveillance Survey. J Int AIDS Soc. 2024 Jul 1;27(S2). Available from: </w:t>
          </w:r>
          <w:r>
            <w:rPr>
              <w:rFonts w:ascii="Times New Roman" w:hAnsi="Times New Roman" w:eastAsia="Times New Roman"/>
            </w:rPr>
            <w:t>https://doi.org/10.1002/jia2.26269</w:t>
          </w:r>
        </w:p>
        <w:p w14:paraId="72EEFC56">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11. </w:t>
          </w:r>
          <w:r>
            <w:rPr>
              <w:rFonts w:ascii="Times New Roman" w:hAnsi="Times New Roman" w:eastAsia="Times New Roman" w:cs="Times New Roman"/>
            </w:rPr>
            <w:tab/>
          </w:r>
          <w:r>
            <w:rPr>
              <w:rFonts w:ascii="Times New Roman" w:hAnsi="Times New Roman" w:eastAsia="Times New Roman" w:cs="Times New Roman"/>
            </w:rPr>
            <w:t>Bedingar E, Ebengho S, Paningar F, Bedingar N, Mbaidoum E, Ngaradoum N, et al. Bridging the gap: Enhancing HIV care pathways for young key populations in Chad. PLOS Global Public Health [Internet]. 2025 Apr 1 [cited 2025 May 24];5(4):e0003790. Available from: https://journals.plos.org/globalpublichealth/article?id=10.1371/journal.pgph.0003790</w:t>
          </w:r>
        </w:p>
        <w:p w14:paraId="555374FD">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12. </w:t>
          </w:r>
          <w:r>
            <w:rPr>
              <w:rFonts w:ascii="Times New Roman" w:hAnsi="Times New Roman" w:eastAsia="Times New Roman" w:cs="Times New Roman"/>
            </w:rPr>
            <w:tab/>
          </w:r>
          <w:r>
            <w:rPr>
              <w:rFonts w:ascii="Times New Roman" w:hAnsi="Times New Roman" w:eastAsia="Times New Roman" w:cs="Times New Roman"/>
            </w:rPr>
            <w:t>U=U: Empowering HIV Prevention Through Effective Treatment | AUC [Internet]. [cited 2025 May 24]. Available from: https://www.aucmed.edu/blog/undetectable-equals-untransmittable-hiv</w:t>
          </w:r>
        </w:p>
        <w:p w14:paraId="7DBBF096">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13. </w:t>
          </w:r>
          <w:r>
            <w:rPr>
              <w:rFonts w:ascii="Times New Roman" w:hAnsi="Times New Roman" w:eastAsia="Times New Roman" w:cs="Times New Roman"/>
            </w:rPr>
            <w:tab/>
          </w:r>
          <w:r>
            <w:rPr>
              <w:rFonts w:ascii="Times New Roman" w:hAnsi="Times New Roman" w:eastAsia="Times New Roman" w:cs="Times New Roman"/>
            </w:rPr>
            <w:t>PRE-TEST AND POST-TEST SERVICES - Consolidated Guidelines on HIV Testing Services - NCBI Bookshelf [Internet]. [cited 2025 May 24]. Available from: https://www.ncbi.nlm.nih.gov/books/NBK316035/</w:t>
          </w:r>
        </w:p>
        <w:p w14:paraId="2E09B32A">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14. </w:t>
          </w:r>
          <w:r>
            <w:rPr>
              <w:rFonts w:ascii="Times New Roman" w:hAnsi="Times New Roman" w:eastAsia="Times New Roman" w:cs="Times New Roman"/>
            </w:rPr>
            <w:tab/>
          </w:r>
          <w:r>
            <w:rPr>
              <w:rFonts w:ascii="Times New Roman" w:hAnsi="Times New Roman" w:eastAsia="Times New Roman" w:cs="Times New Roman"/>
            </w:rPr>
            <w:t>Service delivery approaches for HIV testing - Consolidated guidelines on differentiated HIV testing services - NCBI Bookshelf [Internet]. [cited 2025 May 24]. Available from: https://www.ncbi.nlm.nih.gov/books/NBK605625/</w:t>
          </w:r>
        </w:p>
        <w:p w14:paraId="452B11B9">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15. </w:t>
          </w:r>
          <w:r>
            <w:rPr>
              <w:rFonts w:ascii="Times New Roman" w:hAnsi="Times New Roman" w:eastAsia="Times New Roman" w:cs="Times New Roman"/>
            </w:rPr>
            <w:tab/>
          </w:r>
          <w:r>
            <w:rPr>
              <w:rFonts w:ascii="Times New Roman" w:hAnsi="Times New Roman" w:eastAsia="Times New Roman" w:cs="Times New Roman"/>
            </w:rPr>
            <w:t>Ntimani JM, Mokoena-De Beer AG, Phetlhu DR. Delivery models of HIV pre-exposure prophylaxis and their influence on uptake in South Africa: An integrative review. South Afr J HIV Med [Internet]. 2025 [cited 2025 May 24];26(1):1684. Available from: https://pmc.ncbi.nlm.nih.gov/articles/PMC12067631/</w:t>
          </w:r>
        </w:p>
        <w:p w14:paraId="2053BA47">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16. </w:t>
          </w:r>
          <w:r>
            <w:rPr>
              <w:rFonts w:ascii="Times New Roman" w:hAnsi="Times New Roman" w:eastAsia="Times New Roman" w:cs="Times New Roman"/>
            </w:rPr>
            <w:tab/>
          </w:r>
          <w:r>
            <w:rPr>
              <w:rFonts w:ascii="Times New Roman" w:hAnsi="Times New Roman" w:eastAsia="Times New Roman" w:cs="Times New Roman"/>
            </w:rPr>
            <w:t>Johnson LF, Meyer-Rath G, Dorrington RE, Puren A, Seathlodi T, Zuma K, et al. The Effect of HIV Programs in South Africa on National HIV Incidence Trends, 2000-2019. J Acquir Immune Defic Syndr (1988). 2022 Jun 1;90(2):115–23. Available from:</w:t>
          </w:r>
          <w:r>
            <w:rPr>
              <w:rFonts w:ascii="Times New Roman" w:hAnsi="Times New Roman" w:eastAsia="Times New Roman"/>
            </w:rPr>
            <w:t>https://doi.org/10.1097/qai.0000000000002927</w:t>
          </w:r>
          <w:r>
            <w:rPr>
              <w:rFonts w:ascii="Times New Roman" w:hAnsi="Times New Roman" w:eastAsia="Times New Roman" w:cs="Times New Roman"/>
            </w:rPr>
            <w:t xml:space="preserve"> </w:t>
          </w:r>
        </w:p>
        <w:p w14:paraId="471E07FD">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17. </w:t>
          </w:r>
          <w:r>
            <w:rPr>
              <w:rFonts w:ascii="Times New Roman" w:hAnsi="Times New Roman" w:eastAsia="Times New Roman" w:cs="Times New Roman"/>
            </w:rPr>
            <w:tab/>
          </w:r>
          <w:r>
            <w:rPr>
              <w:rFonts w:ascii="Times New Roman" w:hAnsi="Times New Roman" w:eastAsia="Times New Roman" w:cs="Times New Roman"/>
            </w:rPr>
            <w:t>Mekonnen H, Manyazewal T, Kajogoo VD, Getachew Assefa D, Gugsa Bekele J, Tolossa Debela D. Advances in HIV self-testing: Systematic review of current developments and the road ahead in high-burden countries of Africa. SAGE Open Med [Internet]. 2023 Jan 1 [cited 2025 May 24];12:20503121231220788. Available from: https://pmc.ncbi.nlm.nih.gov/articles/PMC10757441/</w:t>
          </w:r>
        </w:p>
        <w:p w14:paraId="662558B6">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18. </w:t>
          </w:r>
          <w:r>
            <w:rPr>
              <w:rFonts w:ascii="Times New Roman" w:hAnsi="Times New Roman" w:eastAsia="Times New Roman" w:cs="Times New Roman"/>
            </w:rPr>
            <w:tab/>
          </w:r>
          <w:r>
            <w:rPr>
              <w:rFonts w:ascii="Times New Roman" w:hAnsi="Times New Roman" w:eastAsia="Times New Roman" w:cs="Times New Roman"/>
            </w:rPr>
            <w:t xml:space="preserve">Kra AK, Fotso AS, Rouveau N, Maheu-Giroux M, Boily MC, Silhol R, et al. HIV self-testing positivity rate and linkage to confirmatory testing and care: a telephone survey in Côte d’Ivoire, Mali, and Senegal. medRxiv [Internet]. 2024 May 30 [cited 2025 May 24];2023.06.10.23291206. Available from: </w:t>
          </w:r>
          <w:r>
            <w:fldChar w:fldCharType="begin"/>
          </w:r>
          <w:r>
            <w:instrText xml:space="preserve"> HYPERLINK "https://www.medrxiv.org/content/10.1101/2023.06.10.23291206v7" </w:instrText>
          </w:r>
          <w:r>
            <w:fldChar w:fldCharType="separate"/>
          </w:r>
          <w:r>
            <w:rPr>
              <w:rStyle w:val="14"/>
              <w:rFonts w:ascii="Times New Roman" w:hAnsi="Times New Roman" w:eastAsia="Times New Roman" w:cs="Times New Roman"/>
            </w:rPr>
            <w:t>https://www.medrxiv.org/content/10.1101/2023.06.10.23291206v7</w:t>
          </w:r>
          <w:r>
            <w:rPr>
              <w:rStyle w:val="14"/>
              <w:rFonts w:ascii="Times New Roman" w:hAnsi="Times New Roman" w:eastAsia="Times New Roman" w:cs="Times New Roman"/>
            </w:rPr>
            <w:fldChar w:fldCharType="end"/>
          </w:r>
        </w:p>
        <w:p w14:paraId="41C93C39">
          <w:pPr>
            <w:autoSpaceDE w:val="0"/>
            <w:autoSpaceDN w:val="0"/>
            <w:ind w:hanging="640"/>
            <w:jc w:val="both"/>
            <w:rPr>
              <w:rFonts w:ascii="Times New Roman" w:hAnsi="Times New Roman" w:eastAsia="Times New Roman" w:cs="Times New Roman"/>
            </w:rPr>
          </w:pPr>
        </w:p>
        <w:p w14:paraId="60182515">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19. </w:t>
          </w:r>
          <w:r>
            <w:rPr>
              <w:rFonts w:ascii="Times New Roman" w:hAnsi="Times New Roman" w:eastAsia="Times New Roman" w:cs="Times New Roman"/>
            </w:rPr>
            <w:tab/>
          </w:r>
          <w:r>
            <w:rPr>
              <w:rFonts w:ascii="Times New Roman" w:hAnsi="Times New Roman" w:eastAsia="Times New Roman" w:cs="Times New Roman"/>
            </w:rPr>
            <w:t>Nangendo J, Katahoire AR, Karamagi CA, Obeng-Amoako GO, Muwema M, Okiring J, et al. Uptake and perceptions of oral HIV selftesting delivered by village health teams among men in Central Uganda: A concurrent parallel mixed methods analysis. PLOS Global Public Health [Internet]. 2023 Jun 1 [cited 2025 May 24];3(6 June):e0002019. Available from: https://journals.plos.org/globalpublichealth/article?id=10.1371/journal.pgph.0002019</w:t>
          </w:r>
        </w:p>
        <w:p w14:paraId="19537052">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20. </w:t>
          </w:r>
          <w:r>
            <w:rPr>
              <w:rFonts w:ascii="Times New Roman" w:hAnsi="Times New Roman" w:eastAsia="Times New Roman" w:cs="Times New Roman"/>
            </w:rPr>
            <w:tab/>
          </w:r>
          <w:r>
            <w:rPr>
              <w:rFonts w:ascii="Times New Roman" w:hAnsi="Times New Roman" w:eastAsia="Times New Roman" w:cs="Times New Roman"/>
            </w:rPr>
            <w:t>Zewdie K, Kiptinness C, Ngure K, Kipkurui N, Wairimu N, Ambiyo F, et al. Targeted implementation of HIV self-testing increases testing uptake among partners of index persons known to have HIV in Kenya. J Acquir Immune Defic Syndr [Internet]. 2022 Aug 15 [cited 2025 May 24];90(5):524. Available from: https://pmc.ncbi.nlm.nih.gov/articles/PMC9283250/</w:t>
          </w:r>
        </w:p>
        <w:p w14:paraId="3108BD87">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21. </w:t>
          </w:r>
          <w:r>
            <w:rPr>
              <w:rFonts w:ascii="Times New Roman" w:hAnsi="Times New Roman" w:eastAsia="Times New Roman" w:cs="Times New Roman"/>
            </w:rPr>
            <w:tab/>
          </w:r>
          <w:r>
            <w:rPr>
              <w:rFonts w:ascii="Times New Roman" w:hAnsi="Times New Roman" w:eastAsia="Times New Roman" w:cs="Times New Roman"/>
            </w:rPr>
            <w:t xml:space="preserve">Mahachi N, Muchedzi A, Tafuma TA, Mawora P, Kariuki L, Semo B werq, et al. Sustained high HIV case-finding through index testing and partner notification services: experiences from three provinces in Zimbabwe. J Int AIDS Soc. 2019 Jul 1;22(S3). Available from: </w:t>
          </w:r>
          <w:r>
            <w:rPr>
              <w:rFonts w:ascii="Times New Roman" w:hAnsi="Times New Roman" w:eastAsia="Times New Roman"/>
            </w:rPr>
            <w:t>https://doi.org/10.1002/jia2.25321</w:t>
          </w:r>
        </w:p>
        <w:p w14:paraId="375B9F50">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22. </w:t>
          </w:r>
          <w:r>
            <w:rPr>
              <w:rFonts w:ascii="Times New Roman" w:hAnsi="Times New Roman" w:eastAsia="Times New Roman" w:cs="Times New Roman"/>
            </w:rPr>
            <w:tab/>
          </w:r>
          <w:r>
            <w:rPr>
              <w:rFonts w:ascii="Times New Roman" w:hAnsi="Times New Roman" w:eastAsia="Times New Roman" w:cs="Times New Roman"/>
            </w:rPr>
            <w:t xml:space="preserve">Dovel K, Balakasi K, Phiri K, Shaba F, Offorjebe OA, Gupta SK, et al. Effect of index HIV self-testing for sexual partners of clients enrolled in antiretroviral therapy (ART) programs in Malawi: A randomized controlled trial. PLoS Med [Internet]. 2023 Aug 1 [cited 2025 May 24];20(8):e1004270. Available from: </w:t>
          </w:r>
          <w:r>
            <w:fldChar w:fldCharType="begin"/>
          </w:r>
          <w:r>
            <w:instrText xml:space="preserve"> HYPERLINK "https://pmc.ncbi.nlm.nih.gov/articles/PMC10403056/" </w:instrText>
          </w:r>
          <w:r>
            <w:fldChar w:fldCharType="separate"/>
          </w:r>
          <w:r>
            <w:rPr>
              <w:rStyle w:val="14"/>
              <w:rFonts w:ascii="Times New Roman" w:hAnsi="Times New Roman" w:eastAsia="Times New Roman" w:cs="Times New Roman"/>
            </w:rPr>
            <w:t>https://pmc.ncbi.nlm.nih.gov/articles/PMC10403056/</w:t>
          </w:r>
          <w:r>
            <w:rPr>
              <w:rStyle w:val="14"/>
              <w:rFonts w:ascii="Times New Roman" w:hAnsi="Times New Roman" w:eastAsia="Times New Roman" w:cs="Times New Roman"/>
            </w:rPr>
            <w:fldChar w:fldCharType="end"/>
          </w:r>
        </w:p>
        <w:p w14:paraId="50FB8D8A">
          <w:pPr>
            <w:autoSpaceDE w:val="0"/>
            <w:autoSpaceDN w:val="0"/>
            <w:ind w:hanging="640"/>
            <w:jc w:val="both"/>
            <w:rPr>
              <w:rFonts w:ascii="Times New Roman" w:hAnsi="Times New Roman" w:eastAsia="Times New Roman" w:cs="Times New Roman"/>
            </w:rPr>
          </w:pPr>
          <w:r>
            <w:rPr>
              <w:rFonts w:ascii="Times New Roman" w:hAnsi="Times New Roman" w:eastAsia="Times New Roman" w:cs="Times New Roman"/>
            </w:rPr>
            <w:t xml:space="preserve">23. </w:t>
          </w:r>
          <w:r>
            <w:rPr>
              <w:rFonts w:ascii="Times New Roman" w:hAnsi="Times New Roman" w:eastAsia="Times New Roman" w:cs="Times New Roman"/>
            </w:rPr>
            <w:tab/>
          </w:r>
          <w:r>
            <w:rPr>
              <w:rFonts w:ascii="Times New Roman" w:hAnsi="Times New Roman" w:eastAsia="Times New Roman" w:cs="Times New Roman"/>
            </w:rPr>
            <w:t xml:space="preserve">Lariat J, Chikwari CD, Dauya E, Baumu VT, Kaisi V, Kafata L, et al. “It’s not safe for me and what would it achieve?” Acceptability of patient-referral partner notification for sexually transmitted infections to young people, a mixed methods study from Zimbabwe. Sex Reprod Health Matters [Internet]. 2023 Dec 31 [cited 2025 May 24];31(1). Available from: </w:t>
          </w:r>
          <w:r>
            <w:fldChar w:fldCharType="begin"/>
          </w:r>
          <w:r>
            <w:instrText xml:space="preserve"> HYPERLINK "https://www.tandfonline.com/doi/abs/10.1080/26410397.2023.2220188" </w:instrText>
          </w:r>
          <w:r>
            <w:fldChar w:fldCharType="separate"/>
          </w:r>
          <w:r>
            <w:rPr>
              <w:rStyle w:val="17"/>
              <w:rFonts w:ascii="Times New Roman" w:hAnsi="Times New Roman" w:eastAsia="Times New Roman" w:cs="Times New Roman"/>
            </w:rPr>
            <w:t>https://www.tandfonline.com/doi/abs/10.1080/26410397.2023.2220188</w:t>
          </w:r>
          <w:r>
            <w:rPr>
              <w:rStyle w:val="17"/>
              <w:rFonts w:ascii="Times New Roman" w:hAnsi="Times New Roman" w:eastAsia="Times New Roman" w:cs="Times New Roman"/>
            </w:rPr>
            <w:fldChar w:fldCharType="end"/>
          </w:r>
        </w:p>
        <w:p w14:paraId="5D71B9ED">
          <w:pPr>
            <w:autoSpaceDE w:val="0"/>
            <w:autoSpaceDN w:val="0"/>
            <w:ind w:hanging="640"/>
            <w:jc w:val="both"/>
            <w:rPr>
              <w:rFonts w:ascii="Times New Roman" w:hAnsi="Times New Roman" w:cs="Times New Roman"/>
            </w:rPr>
          </w:pPr>
          <w:r>
            <w:rPr>
              <w:rFonts w:ascii="Times New Roman" w:hAnsi="Times New Roman" w:eastAsia="Times New Roman" w:cs="Times New Roman"/>
            </w:rPr>
            <w:t>24.</w:t>
          </w:r>
          <w:r>
            <w:rPr>
              <w:rFonts w:eastAsia="Times New Roman" w:cs="Times New Roman"/>
            </w:rPr>
            <w:t xml:space="preserve">     </w:t>
          </w:r>
          <w:r>
            <w:rPr>
              <w:rFonts w:ascii="Times New Roman" w:hAnsi="Times New Roman" w:cs="Times New Roman"/>
            </w:rPr>
            <w:t xml:space="preserve">Aromataris E, Lockwood C, Porritt K, Pilla B, Jordan Z, editors. (2024). JBI Manual for Evidence Synthesis. JBI. Available from: </w:t>
          </w:r>
          <w:r>
            <w:fldChar w:fldCharType="begin"/>
          </w:r>
          <w:r>
            <w:instrText xml:space="preserve"> HYPERLINK "https://synthesismanual.jbi.global" </w:instrText>
          </w:r>
          <w:r>
            <w:fldChar w:fldCharType="separate"/>
          </w:r>
          <w:r>
            <w:rPr>
              <w:rStyle w:val="17"/>
              <w:rFonts w:ascii="Times New Roman" w:hAnsi="Times New Roman" w:cs="Times New Roman"/>
            </w:rPr>
            <w:t>https://synthesismanual.jbi.global</w:t>
          </w:r>
          <w:r>
            <w:rPr>
              <w:rStyle w:val="17"/>
              <w:rFonts w:ascii="Times New Roman" w:hAnsi="Times New Roman" w:cs="Times New Roman"/>
            </w:rPr>
            <w:fldChar w:fldCharType="end"/>
          </w:r>
        </w:p>
        <w:p w14:paraId="6EF6AE48">
          <w:pPr>
            <w:autoSpaceDE w:val="0"/>
            <w:autoSpaceDN w:val="0"/>
            <w:ind w:hanging="640"/>
            <w:jc w:val="both"/>
            <w:rPr>
              <w:rFonts w:eastAsia="Times New Roman" w:cs="Times New Roman"/>
            </w:rPr>
          </w:pPr>
          <w:r>
            <w:rPr>
              <w:rFonts w:ascii="Times New Roman" w:hAnsi="Times New Roman" w:cs="Times New Roman"/>
            </w:rPr>
            <w:t xml:space="preserve">25.       Tricco AC, Lillie E, Zarin W, O’Brien KK, Colquhoun H, Levac D, et al. PRISMA Extension for Scoping Reviews (PRISMA-ScR): Checklist and Explanation. Annals of Internal Medicine. 2018 Sep 4;169(7):467–73. </w:t>
          </w:r>
          <w:r>
            <w:rPr>
              <w:rFonts w:cs="Times New Roman"/>
            </w:rPr>
            <w:t xml:space="preserve">Available at: </w:t>
          </w:r>
          <w:r>
            <w:rPr>
              <w:rFonts w:ascii="Times New Roman" w:hAnsi="Times New Roman" w:eastAsia="SimSun" w:cs="Times New Roman"/>
            </w:rPr>
            <w:t xml:space="preserve"> https://doi.org/10.7326/m18-0850. PMID: 30178033.</w:t>
          </w:r>
        </w:p>
        <w:p w14:paraId="088903A9">
          <w:pPr>
            <w:pStyle w:val="18"/>
            <w:numPr>
              <w:ilvl w:val="0"/>
              <w:numId w:val="5"/>
            </w:numPr>
            <w:spacing w:beforeAutospacing="0" w:after="210" w:afterAutospacing="0" w:line="360" w:lineRule="auto"/>
            <w:ind w:hanging="720"/>
          </w:pPr>
          <w:r>
            <w:t xml:space="preserve">      Gross J, Tumwesigye NM, Mutembo S, Moyo N, Aggrey Mukose, Obvious Chilyabanyama, et al. Acceptability, feasibility, and effectiveness of caregiver-assisted HIV self-testing among children using an oral mucosal test in Uganda and Zambia: a prospective interventional study. The Lancet HIV. 2025 May 1;12(5):e325–37. Available from: https://doi.org/10.1016/s2352-3018(25)00005-0</w:t>
          </w:r>
        </w:p>
        <w:p w14:paraId="0B5E157B">
          <w:pPr>
            <w:pStyle w:val="18"/>
            <w:numPr>
              <w:ilvl w:val="0"/>
              <w:numId w:val="5"/>
            </w:numPr>
            <w:spacing w:beforeAutospacing="0" w:after="210" w:afterAutospacing="0" w:line="360" w:lineRule="auto"/>
            <w:ind w:hanging="720"/>
          </w:pPr>
          <w:r>
            <w:t xml:space="preserve">      Thirumurthy H, Masters SH, Mavedzenge SN, Maman S, Omanga E, Agot K. Promoting male partner HIV testing and safer sexual decision making through secondary distribution of self-tests by HIV-negative female sex workers and women receiving antenatal and post-partum care in Kenya: a cohort study. The Lancet HIV. 2016 Jun;3(6):e266–74. Available from: https://doi.org/10.1016/s2352-3018(16)00041-2</w:t>
          </w:r>
        </w:p>
        <w:p w14:paraId="336AD42B">
          <w:pPr>
            <w:pStyle w:val="18"/>
            <w:numPr>
              <w:ilvl w:val="0"/>
              <w:numId w:val="5"/>
            </w:numPr>
            <w:spacing w:beforeAutospacing="0" w:after="210" w:afterAutospacing="0" w:line="360" w:lineRule="auto"/>
            <w:ind w:hanging="720"/>
          </w:pPr>
          <w:r>
            <w:t xml:space="preserve">      McHugh G, Koris A, Simms V, Bandason T, Sigwadhi L, Ncube G, et al. On Campus HIV Self-Testing Distribution at Tertiary Level Colleges in Zimbabwe Increases Access to HIV Testing for Youth. Journal of Adolescent Health [Internet]. 2023 Jan 1;72(1):118–25. Available from: </w:t>
          </w:r>
          <w:r>
            <w:fldChar w:fldCharType="begin"/>
          </w:r>
          <w:r>
            <w:instrText xml:space="preserve"> HYPERLINK "https://www.sciencedirect.com/science/article/pii/S1054139X22006243" </w:instrText>
          </w:r>
          <w:r>
            <w:fldChar w:fldCharType="separate"/>
          </w:r>
          <w:r>
            <w:rPr>
              <w:rStyle w:val="17"/>
            </w:rPr>
            <w:t>https://www.sciencedirect.com/science/article/pii/S1054139X22006243</w:t>
          </w:r>
          <w:r>
            <w:rPr>
              <w:rStyle w:val="17"/>
            </w:rPr>
            <w:fldChar w:fldCharType="end"/>
          </w:r>
        </w:p>
        <w:p w14:paraId="245A5036">
          <w:pPr>
            <w:pStyle w:val="18"/>
            <w:numPr>
              <w:ilvl w:val="0"/>
              <w:numId w:val="5"/>
            </w:numPr>
            <w:spacing w:beforeAutospacing="0" w:after="210" w:afterAutospacing="0" w:line="360" w:lineRule="auto"/>
            <w:ind w:hanging="720"/>
          </w:pPr>
          <w:r>
            <w:t xml:space="preserve">      Hunter LA, Rao A, Napierala S, Kalinjila A, Mnyippembe A, Hassan K, et al. Reaching Adolescent Girls and Young Women With HIV Self-Testing and Contraception at Girl-Friendly Drug Shops: A Randomized Trial in Tanzania. Journal of Adolescent Health. 2023 Jan;72(1):64–72. Available from: https://doi.org/10.1016/j.jadohealth.2022.08.013</w:t>
          </w:r>
        </w:p>
        <w:p w14:paraId="37C3F23F">
          <w:pPr>
            <w:pStyle w:val="18"/>
            <w:numPr>
              <w:ilvl w:val="0"/>
              <w:numId w:val="5"/>
            </w:numPr>
            <w:spacing w:beforeAutospacing="0" w:after="210" w:afterAutospacing="0" w:line="360" w:lineRule="auto"/>
            <w:ind w:hanging="720"/>
          </w:pPr>
          <w:r>
            <w:t xml:space="preserve">      Mutale W, Freeborn K, Graybill LA, Lusaka MM, Mollan KR, Mweemba O, et al. Addition of HIV self-test kits to partner notification services to increase HIV testing of male partners of pregnant women in Zambia: two parallel randomised trials. The Lancet Global Health. 2021 Dec;9(12):e1719–29. Available from: https://doi.org/10.1016/s2214-109x(21)00393-4</w:t>
          </w:r>
        </w:p>
        <w:p w14:paraId="7331316D">
          <w:pPr>
            <w:pStyle w:val="18"/>
            <w:numPr>
              <w:ilvl w:val="0"/>
              <w:numId w:val="5"/>
            </w:numPr>
            <w:spacing w:beforeAutospacing="0" w:after="210" w:afterAutospacing="0" w:line="360" w:lineRule="auto"/>
            <w:ind w:hanging="720"/>
          </w:pPr>
          <w:r>
            <w:t xml:space="preserve">      Amstutz A, Lejone TI, Khesa L, Muhairwe J, Bresser M, Vanobberghen F, et al. Home-based oral self-testing for absent and declining individuals during a door-to-door HIV testing campaign in rural Lesotho (HOSENG): a cluster-randomised trial. The Lancet HIV. 2020 Nov;7(11):e752–61. Available from: https://doi.org/10.1016/s2352-3018(20)30233-2</w:t>
          </w:r>
        </w:p>
        <w:p w14:paraId="41421AEF">
          <w:pPr>
            <w:pStyle w:val="18"/>
            <w:numPr>
              <w:ilvl w:val="0"/>
              <w:numId w:val="5"/>
            </w:numPr>
            <w:spacing w:beforeAutospacing="0" w:after="210" w:afterAutospacing="0" w:line="360" w:lineRule="auto"/>
            <w:ind w:hanging="720"/>
          </w:pPr>
          <w:r>
            <w:t xml:space="preserve">      Boisvert Moreau M, Kintin FD, Atchekpe S, Batona G, Béhanzin L, Guédou FA, et al. HIV self-testing implementation, distribution and use among female sex workers in Cotonou, Benin: a qualitative evaluation of acceptability and feasibility. BMC Public Health. 2022 Mar 26;22(1). Available from: https://doi.org/10.1186/s12889-022-12917-3 </w:t>
          </w:r>
        </w:p>
        <w:p w14:paraId="201011E0">
          <w:pPr>
            <w:pStyle w:val="18"/>
            <w:numPr>
              <w:ilvl w:val="0"/>
              <w:numId w:val="5"/>
            </w:numPr>
            <w:spacing w:beforeAutospacing="0" w:after="210" w:afterAutospacing="0" w:line="360" w:lineRule="auto"/>
            <w:ind w:hanging="720"/>
          </w:pPr>
          <w:r>
            <w:t xml:space="preserve">      R Sircar N, A Maleche A. Perspectives on HIV Self-Testing Among Key and Affected Populations in Kenya. African Health Sciences. 2022 Jul 29;22(2):37–45. Available from: https://doi.org/10.4314/ahs.v22i2.5</w:t>
          </w:r>
        </w:p>
        <w:p w14:paraId="238A8A0E">
          <w:pPr>
            <w:pStyle w:val="18"/>
            <w:numPr>
              <w:ilvl w:val="0"/>
              <w:numId w:val="5"/>
            </w:numPr>
            <w:spacing w:beforeAutospacing="0" w:after="210" w:afterAutospacing="0" w:line="360" w:lineRule="auto"/>
            <w:ind w:hanging="720"/>
          </w:pPr>
          <w:r>
            <w:t xml:space="preserve">      Muendo NK, Thigiti J, Tembu O, Mohamed A, Audi S, Karanja M. Exploring HIV Self-Testing: Barriers and Facilitators Among Undergraduate Students in Nairobi, Kenya. The Annals of Family Medicine. 2024 Nov;22(6):502–8. Available from: https://doi.org/10.1370/afm.3169</w:t>
          </w:r>
        </w:p>
        <w:p w14:paraId="14DF0019">
          <w:pPr>
            <w:pStyle w:val="18"/>
            <w:numPr>
              <w:ilvl w:val="0"/>
              <w:numId w:val="5"/>
            </w:numPr>
            <w:spacing w:beforeAutospacing="0" w:after="210" w:afterAutospacing="0" w:line="360" w:lineRule="auto"/>
            <w:ind w:hanging="720"/>
          </w:pPr>
          <w:r>
            <w:t xml:space="preserve">      Segawa I, Bakeera-Kitaka S, Ssebambulidde K, Muwonge TR, Oriokot L, Kevin Ouma Ojiambo, et al. Factors associated with HIV self-testing among female university students in Uganda: a cross-sectional study. AIDS research and therapy. 2022 Dec 1;19(1). Available from: https://doi.org/10.1186/s12981-022-00484-x</w:t>
          </w:r>
        </w:p>
        <w:p w14:paraId="4A137DB9">
          <w:pPr>
            <w:pStyle w:val="18"/>
            <w:numPr>
              <w:ilvl w:val="0"/>
              <w:numId w:val="5"/>
            </w:numPr>
            <w:spacing w:beforeAutospacing="0" w:after="210" w:afterAutospacing="0" w:line="360" w:lineRule="auto"/>
            <w:ind w:hanging="720"/>
          </w:pPr>
          <w:r>
            <w:t xml:space="preserve">      Okoboi S, Lazarus O, Castelnuovo B, Nanfuka M, Kambugu A, Mujugira A, et al. Peer distribution of HIV self-test kits to men who have sex with men to identify undiagnosed HIV infection in Uganda: A pilot study. Clark JL, editor. PLOS ONE. 2020b Jan 23;15(1):e0227741. Available from: https://doi.org/10.1371/journal.pone.0227741</w:t>
          </w:r>
        </w:p>
        <w:p w14:paraId="68CAF659">
          <w:pPr>
            <w:pStyle w:val="18"/>
            <w:numPr>
              <w:ilvl w:val="0"/>
              <w:numId w:val="5"/>
            </w:numPr>
            <w:spacing w:beforeAutospacing="0" w:after="210" w:afterAutospacing="0" w:line="360" w:lineRule="auto"/>
            <w:ind w:hanging="720"/>
          </w:pPr>
          <w:r>
            <w:t xml:space="preserve">      Ndungu K, Gichangi P, Temmerman M. Evaluation of factors associated with HIV self-testing Acceptability and Uptake among the MSM community in Nairobi, Kenya: A cross sectional study. PLOS One. 2023 Mar 9;18(3):e0280540–0. Available from: https://doi.org/10.1371/journal.pone.0280540</w:t>
          </w:r>
        </w:p>
        <w:p w14:paraId="4D59B3DC">
          <w:pPr>
            <w:pStyle w:val="18"/>
            <w:numPr>
              <w:ilvl w:val="0"/>
              <w:numId w:val="5"/>
            </w:numPr>
            <w:spacing w:beforeAutospacing="0" w:after="210" w:afterAutospacing="0" w:line="360" w:lineRule="auto"/>
            <w:ind w:hanging="720"/>
          </w:pPr>
          <w:r>
            <w:t xml:space="preserve">      Iliyasu Z, Kassim RB, Iliyasu BZ, Amole TG, Nass NS, Marryshow SE, et al. Acceptability and correlates of HIV self-testing among university students in northern Nigeria. International Journal of STD &amp; AIDS. 2020 Jul 5;31(9):820–31. Available from: https://doi.org/10.1177/0956462420920136</w:t>
          </w:r>
        </w:p>
        <w:p w14:paraId="0555DE9C">
          <w:pPr>
            <w:pStyle w:val="18"/>
            <w:numPr>
              <w:ilvl w:val="0"/>
              <w:numId w:val="5"/>
            </w:numPr>
            <w:spacing w:beforeAutospacing="0" w:after="210" w:afterAutospacing="0" w:line="360" w:lineRule="auto"/>
            <w:ind w:hanging="720"/>
          </w:pPr>
          <w:r>
            <w:t xml:space="preserve">      Obiezu-Umeh C, Gbajabiamila T, Ezechi O, Nwaozuru U, Ong JJ, Idigbe I, et al. Young people’s preferences for HIV self-testing services in Nigeria: a qualitative analysis. BMC Public Health. 2021b Jan 7;21(1). Available from: https://doi.org/10.1186/s12889-020-10072-1</w:t>
          </w:r>
        </w:p>
        <w:p w14:paraId="4A49B86D">
          <w:pPr>
            <w:pStyle w:val="18"/>
            <w:numPr>
              <w:ilvl w:val="0"/>
              <w:numId w:val="5"/>
            </w:numPr>
            <w:spacing w:beforeAutospacing="0" w:after="210" w:afterAutospacing="0" w:line="360" w:lineRule="auto"/>
            <w:ind w:hanging="720"/>
          </w:pPr>
          <w:r>
            <w:t xml:space="preserve">      Sadio AJ, Kouanfack HR, Rodion Yao Konu, Fifonsi Adjidossi Gbeasor-Komlanvi, Gagnon Kwami Azialey, Gounon HK, et al. HIV self-testing: A highly acceptable and feasible strategy for reconnecting street adolescents with HIV screening and prevention services in Togo (The STADOS study). PLoS ONE. 2024b Oct 24;19(10):e0312693–3. Available from:https://doi.org/10.1371/journal.pone.0312693 </w:t>
          </w:r>
        </w:p>
        <w:p w14:paraId="0934F874">
          <w:pPr>
            <w:pStyle w:val="18"/>
            <w:numPr>
              <w:ilvl w:val="0"/>
              <w:numId w:val="5"/>
            </w:numPr>
            <w:spacing w:beforeAutospacing="0" w:after="210" w:afterAutospacing="0" w:line="360" w:lineRule="auto"/>
            <w:ind w:hanging="720"/>
          </w:pPr>
          <w:r>
            <w:t xml:space="preserve">      Kra AK, Fotso AS, N’guessan KN, Geoffroy O, Younoussa S, Kabemba OK, et al. Can HIV self-testing reach first-time testers? A telephone survey among self-test end users in Côte d’Ivoire, Mali, and Senegal. BMC Infectious Diseases. 2023 Sep 25;22(S1). Available from: https://doi.org/10.1186/s12879-023-08626-w</w:t>
          </w:r>
        </w:p>
        <w:p w14:paraId="502C3F39">
          <w:pPr>
            <w:pStyle w:val="18"/>
            <w:numPr>
              <w:ilvl w:val="0"/>
              <w:numId w:val="5"/>
            </w:numPr>
            <w:spacing w:beforeAutospacing="0" w:after="210" w:afterAutospacing="0" w:line="360" w:lineRule="auto"/>
            <w:ind w:hanging="720"/>
          </w:pPr>
          <w:r>
            <w:t xml:space="preserve">      Aizobu D, Yusuf Hassan Wada, Anyanti J, Omoregie G, Adesina B, Serah Malaba, et al. Enablers and barriers to effective HIV self-testing in the private sector among sexually active youths in Nigeria: A qualitative study using journey map methodology. PLOS ONE. 2023 Apr 27;18(4):e0285003–3. Available from: https://doi.org/10.1371/journal.pone.0285003</w:t>
          </w:r>
        </w:p>
        <w:p w14:paraId="4C8259AE">
          <w:pPr>
            <w:pStyle w:val="18"/>
            <w:numPr>
              <w:ilvl w:val="0"/>
              <w:numId w:val="5"/>
            </w:numPr>
            <w:spacing w:beforeAutospacing="0" w:after="210" w:afterAutospacing="0" w:line="360" w:lineRule="auto"/>
            <w:ind w:hanging="720"/>
          </w:pPr>
          <w:r>
            <w:t xml:space="preserve">      Wilson KS, Mugo C, Katz DA, Manyeki V, Mungwala C, Otiso L, et al. High Acceptance and Completion of HIV Self-testing Among Diverse Populations of Young People in Kenya Using a Community-Based Distribution Strategy. AIDS and Behavior. 2021 Sep 1;26(3):964–74. Available from: https://doi.org/10.1007/s10461-021-03451-1</w:t>
          </w:r>
        </w:p>
        <w:p w14:paraId="3FB7383C">
          <w:pPr>
            <w:pStyle w:val="18"/>
            <w:numPr>
              <w:ilvl w:val="0"/>
              <w:numId w:val="5"/>
            </w:numPr>
            <w:spacing w:beforeAutospacing="0" w:after="210" w:afterAutospacing="0" w:line="360" w:lineRule="auto"/>
            <w:ind w:hanging="720"/>
          </w:pPr>
          <w:r>
            <w:t xml:space="preserve">      Awopegba OE, Ologunowa TO, Ajayi AI. HIV testing and self‐testing coverage among men and women in South Africa: an exploration of related factors. Tropical Medicine &amp; International Health. 2020 Dec 8;26(2). Available from: https://doi.org/10.1111/tmi.13514</w:t>
          </w:r>
        </w:p>
        <w:p w14:paraId="72F52F55">
          <w:pPr>
            <w:pStyle w:val="18"/>
            <w:numPr>
              <w:ilvl w:val="0"/>
              <w:numId w:val="5"/>
            </w:numPr>
            <w:spacing w:beforeAutospacing="0" w:after="210" w:afterAutospacing="0" w:line="360" w:lineRule="auto"/>
            <w:ind w:hanging="720"/>
          </w:pPr>
          <w:r>
            <w:t xml:space="preserve">      Mwangi J, Miruka F, Mugambi M, Fidhow A, Chepkwony B, Kitheka F, et al. Characteristics of users of HIV self-testing in Kenya, outcomes, and factors associated with use: results from a population-based HIV impact assessment, 2018. BMC Public Health. 2022 Apr 2;22(1). https://doi.org/10.1186/s12889-022-12928-0</w:t>
          </w:r>
        </w:p>
        <w:p w14:paraId="4325D267">
          <w:pPr>
            <w:pStyle w:val="18"/>
            <w:numPr>
              <w:ilvl w:val="0"/>
              <w:numId w:val="5"/>
            </w:numPr>
            <w:spacing w:beforeAutospacing="0" w:after="210" w:afterAutospacing="0" w:line="360" w:lineRule="auto"/>
            <w:ind w:hanging="720"/>
          </w:pPr>
          <w:r>
            <w:t xml:space="preserve">       Johnson C, Neuman M, MacPherson P, Choko A, Quinn C, Wong VJ, et al. Use and awareness of and willingness to self-test for HIV: an analysis of cross-sectional population-based surveys in Malawi and Zimbabwe. BMC Public Health. 2020 May 25;20(1). Available from: https://doi.org/10.1186/s12889-020-08855-7</w:t>
          </w:r>
        </w:p>
        <w:p w14:paraId="1D05A372">
          <w:pPr>
            <w:pStyle w:val="18"/>
            <w:numPr>
              <w:ilvl w:val="0"/>
              <w:numId w:val="5"/>
            </w:numPr>
            <w:spacing w:beforeAutospacing="0" w:after="210" w:afterAutospacing="0" w:line="360" w:lineRule="auto"/>
            <w:ind w:hanging="720"/>
          </w:pPr>
          <w:r>
            <w:t xml:space="preserve">      Kumakech E, Deo Benyumiza, Musinguzi M, Inzama W, Ebong Doryn, Okello J, et al. HIV self-testing and HIV nondisclosure to male sexual partners among adolescent girls and young women living with HIV in semi-rural northern Uganda: a cross-sectional study. AIDS Research and Therapy. 2025 Feb 27;22(1). Available from: https://doi.org/10.1186/s12981-025-00716-w</w:t>
          </w:r>
        </w:p>
        <w:p w14:paraId="7C5C00B6">
          <w:pPr>
            <w:pStyle w:val="18"/>
            <w:numPr>
              <w:ilvl w:val="0"/>
              <w:numId w:val="5"/>
            </w:numPr>
            <w:spacing w:beforeAutospacing="0" w:after="210" w:afterAutospacing="0" w:line="360" w:lineRule="auto"/>
            <w:ind w:hanging="720"/>
          </w:pPr>
          <w:r>
            <w:t xml:space="preserve">      Zeleke EA, Stephens JH, Gesesew HA, Gello BM, Worsa KT, Ziersch A. A community-based study of intention to use HIV self-testing among young people in urban areas of southern Ethiopia. Scientific Reports. 2024a Nov 3;14(1). Available from:https://doi.org/10.1038/s41598-024-77728-5 </w:t>
          </w:r>
        </w:p>
        <w:p w14:paraId="70943E13">
          <w:pPr>
            <w:pStyle w:val="18"/>
            <w:numPr>
              <w:ilvl w:val="0"/>
              <w:numId w:val="5"/>
            </w:numPr>
            <w:spacing w:beforeAutospacing="0" w:after="210" w:afterAutospacing="0" w:line="360" w:lineRule="auto"/>
            <w:ind w:hanging="720"/>
          </w:pPr>
          <w:r>
            <w:t xml:space="preserve">      Mwansa E. Factors Influencing the Use of HIV Self Testing Kits among adolescents: a Case of Kalingalinga compound, Lusaka [Internet]. [cited 2025 Jul 1]. Available from: </w:t>
          </w:r>
          <w:r>
            <w:fldChar w:fldCharType="begin"/>
          </w:r>
          <w:r>
            <w:instrText xml:space="preserve"> HYPERLINK "https://dspace.unza.zm/server/api/core/bitstreams/1d616b42-2347-48d1-bf11-ba07663d6ffb/content" </w:instrText>
          </w:r>
          <w:r>
            <w:fldChar w:fldCharType="separate"/>
          </w:r>
          <w:r>
            <w:rPr>
              <w:rStyle w:val="17"/>
            </w:rPr>
            <w:t>https://dspace.unza.zm/server/api/core/bitstreams/1d616b42-2347-48d1-bf11-ba07663d6ffb/content</w:t>
          </w:r>
          <w:r>
            <w:rPr>
              <w:rStyle w:val="17"/>
            </w:rPr>
            <w:fldChar w:fldCharType="end"/>
          </w:r>
        </w:p>
        <w:p w14:paraId="021E57C4">
          <w:pPr>
            <w:pStyle w:val="18"/>
            <w:numPr>
              <w:ilvl w:val="0"/>
              <w:numId w:val="5"/>
            </w:numPr>
            <w:spacing w:beforeAutospacing="0" w:after="210" w:afterAutospacing="0" w:line="360" w:lineRule="auto"/>
            <w:ind w:hanging="720"/>
          </w:pPr>
          <w:r>
            <w:t xml:space="preserve">      Olakunde BO, Alemu D, Conserve DF, Mathai M, Mak’anyengo MO, Jennings Mayo-Wilson L. Awareness of and willingness to use oral HIV self-test kits among Kenyan young adults living in informal urban settlements: a cross-sectional survey. AIDS Care. 2022 Mar 10;35(9):1–11. Available from: https://doi.org/10.1080/09540121.2022.2050176</w:t>
          </w:r>
        </w:p>
        <w:p w14:paraId="6119AD3A">
          <w:pPr>
            <w:pStyle w:val="18"/>
            <w:numPr>
              <w:ilvl w:val="0"/>
              <w:numId w:val="5"/>
            </w:numPr>
            <w:spacing w:beforeAutospacing="0" w:after="210" w:afterAutospacing="0" w:line="360" w:lineRule="auto"/>
            <w:ind w:hanging="720"/>
          </w:pPr>
          <w:r>
            <w:t xml:space="preserve">      Dirisu O, Sekoni A, Vu L, Adebajo S, Njab J, Shoyemi E, et al. “I will welcome this one 101%, I will so embrace it”: a qualitative exploration of the feasibility and acceptability of HIV self-testing among men who have sex with men (MSM) in Lagos, Nigeria. Health Education Research. 2020 Sep 3;35(6):524–37. Available from: https://doi.org/10.1093/her/cyaa028</w:t>
          </w:r>
        </w:p>
        <w:p w14:paraId="31177EAA">
          <w:pPr>
            <w:pStyle w:val="18"/>
            <w:numPr>
              <w:ilvl w:val="0"/>
              <w:numId w:val="5"/>
            </w:numPr>
            <w:spacing w:beforeAutospacing="0" w:after="210" w:afterAutospacing="0" w:line="360" w:lineRule="auto"/>
            <w:ind w:hanging="720"/>
          </w:pPr>
          <w:r>
            <w:t xml:space="preserve">      Lyons CE, Coly K, Bowring AL, Liestman B, Diouf D, Wong VJ, et al. Use and Acceptability of HIV Self-Testing Among First-Time Testers at Risk for HIV in Senegal. AIDS and Behavior [Internet]. 2019 Jun 13 [cited 2022 May 29];23(S2):130–41. Available from: </w:t>
          </w:r>
          <w:r>
            <w:fldChar w:fldCharType="begin"/>
          </w:r>
          <w:r>
            <w:instrText xml:space="preserve"> HYPERLINK "https://www.ncbi.nlm.nih.gov/pmc/articles/PMC6773816/" </w:instrText>
          </w:r>
          <w:r>
            <w:fldChar w:fldCharType="separate"/>
          </w:r>
          <w:r>
            <w:rPr>
              <w:rStyle w:val="17"/>
            </w:rPr>
            <w:t>https://www.ncbi.nlm.nih.gov/pmc/articles/PMC6773816/</w:t>
          </w:r>
          <w:r>
            <w:rPr>
              <w:rStyle w:val="17"/>
            </w:rPr>
            <w:fldChar w:fldCharType="end"/>
          </w:r>
        </w:p>
        <w:p w14:paraId="6D62FC26">
          <w:pPr>
            <w:pStyle w:val="18"/>
            <w:numPr>
              <w:ilvl w:val="0"/>
              <w:numId w:val="5"/>
            </w:numPr>
            <w:spacing w:beforeAutospacing="0" w:after="210" w:afterAutospacing="0" w:line="360" w:lineRule="auto"/>
            <w:ind w:hanging="720"/>
          </w:pPr>
          <w:r>
            <w:t xml:space="preserve">      Amstutz A, Kopo M, Lejone TI, Khesa L, Kao M, Muhairwe J, et al. “If it is left, it becomes easy for me to get tested”: Use of oral self‐tests and community health workers to maximize the potential of home‐based HIV testing among adolescents in Lesotho. Journal of the International AIDS Society. 2020a Aug 31;23(S5). Available from: https://doi.org/10.1002/jia2.25563</w:t>
          </w:r>
        </w:p>
        <w:p w14:paraId="09702715">
          <w:pPr>
            <w:pStyle w:val="18"/>
            <w:numPr>
              <w:ilvl w:val="0"/>
              <w:numId w:val="5"/>
            </w:numPr>
            <w:spacing w:beforeAutospacing="0" w:after="210" w:afterAutospacing="0" w:line="360" w:lineRule="auto"/>
            <w:ind w:hanging="720"/>
          </w:pPr>
          <w:r>
            <w:t xml:space="preserve">      Mphande M, Campbell P, Hoffman RM, Phiri K, Nyirenda M, Gupta SK, et al. Barriers and facilitators to facility HIV self-testing in outpatient settings in Malawi: a qualitative study. BMC Public Health. 2021 Dec;21(1). Available from: https://doi.org/10.1186/s12889-021-12213-6</w:t>
          </w:r>
        </w:p>
        <w:p w14:paraId="2E980C0C">
          <w:pPr>
            <w:pStyle w:val="18"/>
            <w:numPr>
              <w:ilvl w:val="0"/>
              <w:numId w:val="5"/>
            </w:numPr>
            <w:spacing w:beforeAutospacing="0" w:after="210" w:afterAutospacing="0" w:line="360" w:lineRule="auto"/>
            <w:ind w:hanging="720"/>
          </w:pPr>
          <w:r>
            <w:t xml:space="preserve">      Babatunde AO, Agboola P, Babatunde Y, Ilesanmi EB, Ayodele H, Ezechi OC. Assessment of knowledge and acceptability of HIV Self-Testing among students of selected universities in Southwest Nigeria: an online cross-sectional study. Pan African Medical Journal. 2022;43(94). Available from: https://doi.org/10.11604/pamj.2022.43.94.31741</w:t>
          </w:r>
        </w:p>
        <w:p w14:paraId="1A1303C6">
          <w:pPr>
            <w:pStyle w:val="18"/>
            <w:numPr>
              <w:ilvl w:val="0"/>
              <w:numId w:val="5"/>
            </w:numPr>
            <w:spacing w:beforeAutospacing="0" w:after="210" w:afterAutospacing="0" w:line="360" w:lineRule="auto"/>
            <w:ind w:hanging="720"/>
          </w:pPr>
          <w:r>
            <w:t xml:space="preserve">      Ortblad KF, Kibuuka Musoke D, Ngabirano T, Nakitende A, Taasi G, Barresi LG, et al. HIV self-test performance among female sex workers in Kampala, Uganda: a cross-sectional study. BMJ Open. 2018 Nov;8(11):e022652. Available from: https://doi.org/10.1136/bmjopen-2018-022652</w:t>
          </w:r>
        </w:p>
        <w:p w14:paraId="66848D7B">
          <w:pPr>
            <w:pStyle w:val="18"/>
            <w:numPr>
              <w:ilvl w:val="0"/>
              <w:numId w:val="5"/>
            </w:numPr>
            <w:spacing w:beforeAutospacing="0" w:after="210" w:afterAutospacing="0" w:line="360" w:lineRule="auto"/>
            <w:ind w:hanging="720"/>
          </w:pPr>
          <w:r>
            <w:t xml:space="preserve">      Nitika Pant Pai, Esmail A, Paramita Saha Chaudhuri, Oelofse S, Pretorius M, Marathe G, et al. Impact of a personalised, digital, HIV self-testing app-based program on linkages and new infections in the township populations of South Africa. BMJ Global Health. 2021 Aug 1;6(9):e006032–2. Available from: https://doi.org/10.1136/bmjgh-2021-006032</w:t>
          </w:r>
        </w:p>
        <w:p w14:paraId="06349DA0">
          <w:pPr>
            <w:pStyle w:val="18"/>
            <w:numPr>
              <w:ilvl w:val="0"/>
              <w:numId w:val="5"/>
            </w:numPr>
            <w:spacing w:beforeAutospacing="0" w:after="210" w:afterAutospacing="0" w:line="360" w:lineRule="auto"/>
            <w:ind w:hanging="720"/>
          </w:pPr>
          <w:r>
            <w:t xml:space="preserve">      Zanolini A, Jenala Chipungu, Vinikoor MJ, Bosomprah S, Mazuba Mafwenko, Holmes CB, et al. HIV Self-Testing in Lusaka Province, Zambia: Acceptability, Comprehension of Testing Instructions, and Individual Preferences for Self-Test Kit Distribution in a Population-Based Sample of Adolescents and Adults. AIDS Research and Human Retroviruses. 2017 Nov 17;34(3):254–60. Available from: https://doi.org/10.1089/aid.2017.0156</w:t>
          </w:r>
        </w:p>
        <w:p w14:paraId="2B8FB2DB">
          <w:pPr>
            <w:pStyle w:val="18"/>
            <w:numPr>
              <w:ilvl w:val="0"/>
              <w:numId w:val="5"/>
            </w:numPr>
            <w:spacing w:beforeAutospacing="0" w:after="210" w:afterAutospacing="0" w:line="360" w:lineRule="auto"/>
            <w:ind w:hanging="720"/>
          </w:pPr>
          <w:r>
            <w:t xml:space="preserve">      Aloni MS. Drivers of HIV self-test kit among Tanzanian men aged 15–49: findings from the 2022 TDHS-MIS cross-sectional study. AIDS Research and Therapy. 2025 Jan 6;22(1). Available from: https://doi.org/10.1186/s12981-024-00685-6</w:t>
          </w:r>
        </w:p>
        <w:p w14:paraId="42CD4A15">
          <w:pPr>
            <w:pStyle w:val="18"/>
            <w:numPr>
              <w:ilvl w:val="0"/>
              <w:numId w:val="5"/>
            </w:numPr>
            <w:spacing w:beforeAutospacing="0" w:after="210" w:afterAutospacing="0" w:line="360" w:lineRule="auto"/>
            <w:ind w:hanging="720"/>
          </w:pPr>
          <w:r>
            <w:t xml:space="preserve">      Kotu Merga, Benti T, Gada Edea, Firaol Regea, Tesfu Zewdu, Hailu Merga. Exploring HIV self-testing as an early detection strategy among female sex workers in Waliso town, Ethiopia: a community based cross sectional study. AIDS Research and Therapy. 2025 Mar 18;22(1). Available from: https://doi.org/10.1186/s12981-025-00729-5</w:t>
          </w:r>
        </w:p>
        <w:p w14:paraId="589FEF41">
          <w:pPr>
            <w:pStyle w:val="18"/>
            <w:numPr>
              <w:ilvl w:val="0"/>
              <w:numId w:val="5"/>
            </w:numPr>
            <w:spacing w:beforeAutospacing="0" w:after="210" w:afterAutospacing="0" w:line="360" w:lineRule="auto"/>
            <w:ind w:hanging="720"/>
          </w:pPr>
          <w:r>
            <w:t xml:space="preserve">      Daniel D, Hasen H, Yisak Sinebo, Tessema Bereku, Mekuria M, Jemal Z, et al. Level of knowledge and intention to use oral fluid HIV self-testing and associated factors among Ethiopian health care workers in southern Ethiopia. AIDS Research and Therapy. 2024 Aug 24;21(1). Available from: https://doi.org/10.1186/s12981-024-00642-3</w:t>
          </w:r>
        </w:p>
        <w:p w14:paraId="0AAA7279">
          <w:pPr>
            <w:pStyle w:val="18"/>
            <w:numPr>
              <w:ilvl w:val="0"/>
              <w:numId w:val="5"/>
            </w:numPr>
            <w:spacing w:beforeAutospacing="0" w:after="210" w:afterAutospacing="0" w:line="360" w:lineRule="auto"/>
            <w:ind w:hanging="720"/>
          </w:pPr>
          <w:r>
            <w:t xml:space="preserve">      Vara PA, Buhulula LS, Mohammed FA, Njau B. Level of knowledge, acceptability, and willingness to use oral fluid HIV self-testing among medical students in Kilimanjaro region, Tanzania: a descriptive cross-sectional study. AIDS Research and Therapy. 2020 Sep 9;17(1). Available from: https://doi.org/10.1186/s12981-020-00311-1</w:t>
          </w:r>
        </w:p>
        <w:p w14:paraId="47F647F9">
          <w:pPr>
            <w:pStyle w:val="18"/>
            <w:numPr>
              <w:ilvl w:val="0"/>
              <w:numId w:val="5"/>
            </w:numPr>
            <w:spacing w:beforeAutospacing="0" w:after="210" w:afterAutospacing="0" w:line="360" w:lineRule="auto"/>
            <w:ind w:hanging="720"/>
          </w:pPr>
          <w:r>
            <w:t xml:space="preserve">      Dovel K, Balakasi K, Phiri K, Shaba F, Offorjebe OA, Gupta SK, et al. Effect of index HIV self-testing for sexual partners of clients enrolled in antiretroviral therapy (ART) programs in Malawi: A randomized controlled trial. PLoS medicine [Internet]. 2023 Aug 1 [cited 2023 Aug 14];20(8):e1004270. Available from: </w:t>
          </w:r>
          <w:r>
            <w:fldChar w:fldCharType="begin"/>
          </w:r>
          <w:r>
            <w:instrText xml:space="preserve"> HYPERLINK "https://pubmed.ncbi.nlm.nih.gov/37540649/" </w:instrText>
          </w:r>
          <w:r>
            <w:fldChar w:fldCharType="separate"/>
          </w:r>
          <w:r>
            <w:rPr>
              <w:rStyle w:val="17"/>
            </w:rPr>
            <w:t>https://pubmed.ncbi.nlm.nih.gov/37540649/</w:t>
          </w:r>
          <w:r>
            <w:rPr>
              <w:rStyle w:val="17"/>
            </w:rPr>
            <w:fldChar w:fldCharType="end"/>
          </w:r>
        </w:p>
        <w:p w14:paraId="4E340841">
          <w:pPr>
            <w:pStyle w:val="18"/>
            <w:numPr>
              <w:ilvl w:val="0"/>
              <w:numId w:val="5"/>
            </w:numPr>
            <w:spacing w:beforeAutospacing="0" w:after="210" w:afterAutospacing="0" w:line="360" w:lineRule="auto"/>
            <w:ind w:hanging="720"/>
          </w:pPr>
          <w:r>
            <w:t xml:space="preserve">      Shapiro AE, Heerden A, Krows M, Sausi K, Sithole N, Schaafsma TT, et al. An implementation study of oral and blood‐based HIV self‐testing and linkage to care among men in rural and peri‐urban KwaZulu‐Natal, South Africa. Journal of the International AIDS Society. 2020 Jun;23(S2). Available from: https://doi.org/10.1002/jia2.25514</w:t>
          </w:r>
        </w:p>
        <w:p w14:paraId="3D2D7590">
          <w:pPr>
            <w:pStyle w:val="18"/>
            <w:numPr>
              <w:ilvl w:val="0"/>
              <w:numId w:val="5"/>
            </w:numPr>
            <w:spacing w:beforeAutospacing="0" w:after="210" w:afterAutospacing="0" w:line="360" w:lineRule="auto"/>
            <w:ind w:hanging="720"/>
          </w:pPr>
          <w:r>
            <w:t xml:space="preserve">      Unmesha Roy Paladhi, Katz DA, Otieno G, Hughes JP, Harison Lagat, Masyuko S, et al. Effectiveness of HIV self‐testing when offered within assisted partner services in Western Kenya (APS‐HIVST Study): a cluster randomized controlled trial. Journal of the International AIDS Society. 2024 Jul 1;27(S1). Available from: https://doi.org/10.1002/jia2.26298</w:t>
          </w:r>
        </w:p>
        <w:p w14:paraId="1403E7E3">
          <w:pPr>
            <w:pStyle w:val="18"/>
            <w:numPr>
              <w:ilvl w:val="0"/>
              <w:numId w:val="5"/>
            </w:numPr>
            <w:spacing w:beforeAutospacing="0" w:after="210" w:afterAutospacing="0" w:line="360" w:lineRule="auto"/>
            <w:ind w:hanging="720"/>
          </w:pPr>
          <w:r>
            <w:t xml:space="preserve">      Nasuuna E, Namimbi F, Muwanguzi PA, Kabatesi D, Madina Apolot, Muganzi A, et al. Early observations from the HIV self-testing program among key populations and sexual partners of pregnant mothers in Kampala, Uganda: A cross sectional study. PLOS global public health. 2022 Jan 6;2(1):e0000120–0. Available from: https://doi.org/10.1371/journal.pgph.0000120</w:t>
          </w:r>
        </w:p>
        <w:p w14:paraId="74E3A962">
          <w:pPr>
            <w:pStyle w:val="18"/>
            <w:numPr>
              <w:ilvl w:val="0"/>
              <w:numId w:val="5"/>
            </w:numPr>
            <w:spacing w:beforeAutospacing="0" w:after="210" w:afterAutospacing="0" w:line="360" w:lineRule="auto"/>
            <w:ind w:hanging="720"/>
          </w:pPr>
          <w:r>
            <w:t xml:space="preserve">      Bwalya C, Simwinga M, Hensen B, Gwanu L, Hang’andu A, Mulubwa C, et al. Social response to the delivery of HIV self-testing in households: experiences from four Zambian HPTN 071 (PopART) urban communities. AIDS Research and Therapy. 2020 Jun 11;17(1). Available from: https://doi.org/10.1186/s12981-020-00287-y</w:t>
          </w:r>
        </w:p>
        <w:p w14:paraId="5CE5FE19">
          <w:pPr>
            <w:pStyle w:val="18"/>
            <w:numPr>
              <w:ilvl w:val="0"/>
              <w:numId w:val="5"/>
            </w:numPr>
            <w:spacing w:beforeAutospacing="0" w:after="210" w:afterAutospacing="0" w:line="360" w:lineRule="auto"/>
            <w:ind w:hanging="720"/>
          </w:pPr>
          <w:r>
            <w:t xml:space="preserve">      Mudhune V, Roy Paladhi U, Owuor M, Ngure K, Katz DA, Otieno G, et al. Uptake and acceptability of oral HIV self-testing in the context of assisted partner services in Western Kenya: A mixed-methods analysis. Kwan TH, editor. PLOS Global Public Health. 2024 Nov 15;4(11):e0003960. Available from: https://doi.org/10.1371/journal.pgph.0003960</w:t>
          </w:r>
        </w:p>
        <w:p w14:paraId="7E51FBB1">
          <w:pPr>
            <w:pStyle w:val="18"/>
            <w:numPr>
              <w:ilvl w:val="0"/>
              <w:numId w:val="5"/>
            </w:numPr>
            <w:spacing w:beforeAutospacing="0" w:after="210" w:afterAutospacing="0" w:line="360" w:lineRule="auto"/>
            <w:ind w:hanging="720"/>
          </w:pPr>
          <w:r>
            <w:t xml:space="preserve">      MacPherson P, Lalloo DG, Webb EL, Maheswaran H, Choko AT, Makombe SD, et al. Effect of Optional Home Initiation of HIV Care Following HIV Self-testing on Antiretroviral Therapy Initiation Among Adults in Malawi. JAMA. 2014 Jul 23;312(4):372. Available from: https://doi.org/10.1001/jama.2014.6493</w:t>
          </w:r>
        </w:p>
        <w:p w14:paraId="2A31A3BF">
          <w:pPr>
            <w:pStyle w:val="18"/>
            <w:numPr>
              <w:ilvl w:val="0"/>
              <w:numId w:val="5"/>
            </w:numPr>
            <w:spacing w:beforeAutospacing="0" w:after="210" w:afterAutospacing="0" w:line="360" w:lineRule="auto"/>
            <w:ind w:hanging="720"/>
          </w:pPr>
          <w:r>
            <w:t xml:space="preserve">      Choko AT, MacPherson P, Webb EL, Willey BA, Feasy H, Sambakunsi R, et al. Uptake, Accuracy, Safety, and Linkage into Care over Two Years of Promoting Annual Self-Testing for HIV in Blantyre, Malawi: A Community-Based Prospective Study. Bangsberg DR, editor. PLOS Medicine. 2015 Sep 8;12(9):e1001873. Available from: https://doi.org/10.1371/journal.pmed.1001873</w:t>
          </w:r>
        </w:p>
        <w:p w14:paraId="4D63A656">
          <w:pPr>
            <w:pStyle w:val="18"/>
            <w:numPr>
              <w:ilvl w:val="0"/>
              <w:numId w:val="5"/>
            </w:numPr>
            <w:spacing w:beforeAutospacing="0" w:after="210" w:afterAutospacing="0" w:line="360" w:lineRule="auto"/>
            <w:ind w:hanging="720"/>
          </w:pPr>
          <w:r>
            <w:t xml:space="preserve">      Muendo NK. Barriers and Facilitators to Human Immunodeficiency Virus Self Testing among Undergraduate Students in Kenyatta University, Kenya [Internet]. Available from: </w:t>
          </w:r>
          <w:r>
            <w:fldChar w:fldCharType="begin"/>
          </w:r>
          <w:r>
            <w:instrText xml:space="preserve"> HYPERLINK "https://ir-library.ku.ac.ke/server/api/core/bitstreams/e1728ce0-a3ea-4865-a43a-2a494cd94f0f/content" </w:instrText>
          </w:r>
          <w:r>
            <w:fldChar w:fldCharType="separate"/>
          </w:r>
          <w:r>
            <w:rPr>
              <w:rStyle w:val="17"/>
            </w:rPr>
            <w:t>https://ir-library.ku.ac.ke/server/api/core/bitstreams/e1728ce0-a3ea-4865-a43a-2a494cd94f0f/content</w:t>
          </w:r>
          <w:r>
            <w:rPr>
              <w:rStyle w:val="17"/>
            </w:rPr>
            <w:fldChar w:fldCharType="end"/>
          </w:r>
        </w:p>
        <w:p w14:paraId="02F103D1">
          <w:pPr>
            <w:pStyle w:val="18"/>
            <w:numPr>
              <w:ilvl w:val="0"/>
              <w:numId w:val="5"/>
            </w:numPr>
            <w:spacing w:beforeAutospacing="0" w:after="210" w:afterAutospacing="0" w:line="360" w:lineRule="auto"/>
            <w:ind w:hanging="720"/>
          </w:pPr>
          <w:r>
            <w:t xml:space="preserve">      Horvath KJ, Bwanika JM, Lammert S, Banonya J, Atuhaire J, Banturaki G, et al. HiSTEP: A Single-Arm Pilot Study of a Technology-Assisted HIV Self-testing Intervention in Kampala, Uganda. AIDS and Behavior. 2021 Aug 28;26(3):935–46. Available from: https://doi.org/10.1007/s10461-021-03449-9</w:t>
          </w:r>
        </w:p>
        <w:p w14:paraId="732C22D8">
          <w:pPr>
            <w:pStyle w:val="18"/>
            <w:numPr>
              <w:ilvl w:val="0"/>
              <w:numId w:val="5"/>
            </w:numPr>
            <w:spacing w:beforeAutospacing="0" w:after="210" w:afterAutospacing="0" w:line="360" w:lineRule="auto"/>
            <w:ind w:hanging="720"/>
          </w:pPr>
          <w:r>
            <w:t xml:space="preserve">      Offorjebe OA, Hoffman RM, Shaba F, Balakasi K, Davey DJ, Nyirenda M, et al. Acceptability of index partner HIV self-testing among HIV-positive clients in Malawi: A mixed methods analysis. Matovu JKB, editor. PLOS ONE. 2020 Jul 10;15(7):e0235008. Available from: https://doi.org/10.1371/journal.pone.0235008</w:t>
          </w:r>
        </w:p>
        <w:p w14:paraId="7F41A1F7">
          <w:pPr>
            <w:pStyle w:val="18"/>
            <w:numPr>
              <w:ilvl w:val="0"/>
              <w:numId w:val="5"/>
            </w:numPr>
            <w:spacing w:beforeAutospacing="0" w:after="210" w:afterAutospacing="0" w:line="360" w:lineRule="auto"/>
            <w:ind w:hanging="720"/>
          </w:pPr>
          <w:r>
            <w:t xml:space="preserve">      Matovu JKB, Bogart LM, Nakabugo J, Kagaayi J, Serwadda D, Wanyenze RK, et al. Feasibility and acceptability of a pilot, peer-led HIV self-testing intervention in a hyperendemic fishing community in rural Uganda. Francis JM, editor. PLOS ONE. 2020 Aug 7;15(8):e0236141. Available from:  </w:t>
          </w:r>
          <w:r>
            <w:fldChar w:fldCharType="begin"/>
          </w:r>
          <w:r>
            <w:instrText xml:space="preserve"> HYPERLINK "https://doi.org/10.1371/journal.pone.0236141" </w:instrText>
          </w:r>
          <w:r>
            <w:fldChar w:fldCharType="separate"/>
          </w:r>
          <w:r>
            <w:rPr>
              <w:rStyle w:val="17"/>
            </w:rPr>
            <w:t>https://doi.org/10.1371/journal.pone.0236141</w:t>
          </w:r>
          <w:r>
            <w:rPr>
              <w:rStyle w:val="17"/>
            </w:rPr>
            <w:fldChar w:fldCharType="end"/>
          </w:r>
        </w:p>
        <w:p w14:paraId="13EF8E6C">
          <w:pPr>
            <w:pStyle w:val="18"/>
            <w:numPr>
              <w:ilvl w:val="0"/>
              <w:numId w:val="5"/>
            </w:numPr>
            <w:spacing w:beforeAutospacing="0" w:after="210" w:afterAutospacing="0" w:line="360" w:lineRule="auto"/>
            <w:ind w:hanging="720"/>
          </w:pPr>
          <w:r>
            <w:t xml:space="preserve">      Shrestha R, Alias H, Wong LP, Altice FL, Lim SH. Using individual stated-preferences to optimize HIV self-testing service delivery among men who have sex with men (MSM) in Malaysia: results from a conjoint-based analysis. BMC Public Health. 2020 Nov 25;20(1). Available from: https://doi.org/10.1186/s12889-020-09832-w</w:t>
          </w:r>
        </w:p>
        <w:p w14:paraId="68378B4A">
          <w:pPr>
            <w:pStyle w:val="18"/>
            <w:numPr>
              <w:ilvl w:val="0"/>
              <w:numId w:val="5"/>
            </w:numPr>
            <w:spacing w:beforeAutospacing="0" w:after="210" w:afterAutospacing="0" w:line="360" w:lineRule="auto"/>
            <w:ind w:hanging="720"/>
          </w:pPr>
          <w:r>
            <w:t xml:space="preserve">      Chinmay Laxmeshwar, Hegde A, Alpana Dange, Kannan Mariyappan, Manish Soosai, Mane S, et al. Acceptability, usability, and willingness to pay for HIV self‐test kits distributed through community‐based, PLHIV network‐led and private practitioners models in India: Results from the STAR III Initiative. Journal of the International AIDS Society. 2024 Aug 1;27(8). Available from: </w:t>
          </w:r>
          <w:r>
            <w:fldChar w:fldCharType="begin"/>
          </w:r>
          <w:r>
            <w:instrText xml:space="preserve"> HYPERLINK "https://doi.org/10.1002/jia2.26348" </w:instrText>
          </w:r>
          <w:r>
            <w:fldChar w:fldCharType="separate"/>
          </w:r>
          <w:r>
            <w:rPr>
              <w:rStyle w:val="17"/>
            </w:rPr>
            <w:t>https://doi.org/10.1002/jia2.26348</w:t>
          </w:r>
          <w:r>
            <w:rPr>
              <w:rStyle w:val="17"/>
            </w:rPr>
            <w:fldChar w:fldCharType="end"/>
          </w:r>
        </w:p>
        <w:p w14:paraId="35E78FB8">
          <w:pPr>
            <w:pStyle w:val="18"/>
            <w:numPr>
              <w:ilvl w:val="0"/>
              <w:numId w:val="5"/>
            </w:numPr>
            <w:spacing w:beforeAutospacing="0" w:after="210" w:afterAutospacing="0" w:line="360" w:lineRule="auto"/>
            <w:ind w:hanging="720"/>
          </w:pPr>
          <w:r>
            <w:t xml:space="preserve">      Ogello V, Ngure K, Mwangi P, Owidi E, Wairimu N, Etyang L, et al. HIV Self-Testing for Efficient PrEP Delivery Is Highly Acceptable and Feasible in Public Health HIV Clinics in Kenya: A Mixed Methods Study. Journal of the International Association of Providers of AIDS Care (JIAPAC) [Internet]. 2024 Jan;23. Available from: </w:t>
          </w:r>
          <w:r>
            <w:fldChar w:fldCharType="begin"/>
          </w:r>
          <w:r>
            <w:instrText xml:space="preserve"> HYPERLINK "https://doi.org/10.1177/23259582241274311" </w:instrText>
          </w:r>
          <w:r>
            <w:fldChar w:fldCharType="separate"/>
          </w:r>
          <w:r>
            <w:rPr>
              <w:rStyle w:val="17"/>
            </w:rPr>
            <w:t>https://doi.org/10.1177/23259582241274311</w:t>
          </w:r>
          <w:r>
            <w:rPr>
              <w:rStyle w:val="17"/>
            </w:rPr>
            <w:fldChar w:fldCharType="end"/>
          </w:r>
        </w:p>
        <w:p w14:paraId="0F8146A9">
          <w:pPr>
            <w:pStyle w:val="18"/>
            <w:numPr>
              <w:ilvl w:val="0"/>
              <w:numId w:val="5"/>
            </w:numPr>
            <w:spacing w:beforeAutospacing="0" w:after="210" w:afterAutospacing="0" w:line="360" w:lineRule="auto"/>
            <w:ind w:hanging="720"/>
          </w:pPr>
          <w:r>
            <w:t xml:space="preserve">      Bhattacharjee P, Rego D, Musyoki H, Becker M, Pickles M, Isac S, et al. Evaluation of community-based HIV self-testing delivery strategies on reducing undiagnosed HIV infection, and improving linkage to prevention and treatment services, among men who have sex with men in Kenya: a programme science study protocol. BMC Public Health. 2019 Jul 23;19(1). Available from: </w:t>
          </w:r>
          <w:r>
            <w:fldChar w:fldCharType="begin"/>
          </w:r>
          <w:r>
            <w:instrText xml:space="preserve"> HYPERLINK "https://doi.org/10.1186/s12889-019-7291-2" </w:instrText>
          </w:r>
          <w:r>
            <w:fldChar w:fldCharType="separate"/>
          </w:r>
          <w:r>
            <w:rPr>
              <w:rStyle w:val="17"/>
            </w:rPr>
            <w:t>https://doi.org/10.1186/s12889-019-7291-2</w:t>
          </w:r>
          <w:r>
            <w:rPr>
              <w:rStyle w:val="17"/>
            </w:rPr>
            <w:fldChar w:fldCharType="end"/>
          </w:r>
        </w:p>
        <w:p w14:paraId="6D807970">
          <w:pPr>
            <w:pStyle w:val="18"/>
            <w:numPr>
              <w:ilvl w:val="0"/>
              <w:numId w:val="5"/>
            </w:numPr>
            <w:spacing w:beforeAutospacing="0" w:after="210" w:afterAutospacing="0" w:line="360" w:lineRule="auto"/>
            <w:ind w:hanging="720"/>
          </w:pPr>
          <w:r>
            <w:t xml:space="preserve">      Wray TB, Chan PA, Klausner JD, Ward LM, Ocean EMS, Carr DJ, et al. The effects of regular home delivery of HIV self-testing and follow-up counselling on HIV testing and prevention outcomes in men who have sex with men who test infrequently in the United States: a pragmatic, virtual randomized controlled trial. Journal of the International AIDS Society [Internet]. Switzerland; 2024b Jul;27(7):e26318. Available from: </w:t>
          </w:r>
          <w:r>
            <w:fldChar w:fldCharType="begin"/>
          </w:r>
          <w:r>
            <w:instrText xml:space="preserve"> HYPERLINK "https://pubmed.ncbi.nlm.nih.gov/39020453/" </w:instrText>
          </w:r>
          <w:r>
            <w:fldChar w:fldCharType="separate"/>
          </w:r>
          <w:r>
            <w:rPr>
              <w:rStyle w:val="14"/>
            </w:rPr>
            <w:t>https://pubmed.ncbi.nlm.nih.gov/39020453/</w:t>
          </w:r>
          <w:r>
            <w:rPr>
              <w:rStyle w:val="14"/>
            </w:rPr>
            <w:fldChar w:fldCharType="end"/>
          </w:r>
        </w:p>
        <w:p w14:paraId="74BFB8CB">
          <w:pPr>
            <w:pStyle w:val="18"/>
            <w:numPr>
              <w:ilvl w:val="0"/>
              <w:numId w:val="5"/>
            </w:numPr>
            <w:spacing w:beforeAutospacing="0" w:after="210" w:afterAutospacing="0" w:line="360" w:lineRule="auto"/>
            <w:ind w:hanging="720"/>
          </w:pPr>
          <w:r>
            <w:t xml:space="preserve">      Junior Matovu JB, Mayega RW, Nalubega S, Byakika-Tusiime J. Acceptability, Willingness to use and Preferred Distribution Models of Oral- Based HIV Self-Testing Kits among Key and Priority Populations Enrolled in HIV Pre-Exposure Prophylaxis Clinics in Central Uganda. A Mixed-Methods Cross-Sectional Study. Archives of Clinical and Biomedical Research. 2022;06(06). Available from: http://www.doi.org/</w:t>
          </w:r>
          <w:r>
            <w:fldChar w:fldCharType="begin"/>
          </w:r>
          <w:r>
            <w:instrText xml:space="preserve"> HYPERLINK "https://doi.org/10.26502/acbr.50170307" \t "https://www.medrxiv.org/content/10.1101/_blank" </w:instrText>
          </w:r>
          <w:r>
            <w:fldChar w:fldCharType="separate"/>
          </w:r>
          <w:r>
            <w:t>10.26502/acbr.50170307</w:t>
          </w:r>
          <w:r>
            <w:fldChar w:fldCharType="end"/>
          </w:r>
        </w:p>
        <w:p w14:paraId="7A212E5E">
          <w:pPr>
            <w:pStyle w:val="18"/>
            <w:numPr>
              <w:ilvl w:val="0"/>
              <w:numId w:val="5"/>
            </w:numPr>
            <w:spacing w:beforeAutospacing="0" w:after="210" w:afterAutospacing="0" w:line="360" w:lineRule="auto"/>
            <w:ind w:hanging="720"/>
          </w:pPr>
          <w:r>
            <w:t xml:space="preserve">      McGuire M, Waal A de, Karellis A, Janssen R, Engel N, Sampath R, et al. HIV self-testing with digital supports as the new paradigm: A systematic review of global evidence (2010–2021). eClinicalMedicine [Internet]. 2021 Sep 1;39(101059). Available from: </w:t>
          </w:r>
          <w:r>
            <w:fldChar w:fldCharType="begin"/>
          </w:r>
          <w:r>
            <w:instrText xml:space="preserve"> HYPERLINK "https://www.thelancet.com/journals/eclinm/article/PIIS2589-5370(21)00339-4/fulltext" </w:instrText>
          </w:r>
          <w:r>
            <w:fldChar w:fldCharType="separate"/>
          </w:r>
          <w:r>
            <w:rPr>
              <w:rStyle w:val="17"/>
            </w:rPr>
            <w:t>https://www.thelancet.com/journals/eclinm/article/PIIS2589-5370(21)00339-4/fulltext</w:t>
          </w:r>
          <w:r>
            <w:rPr>
              <w:rStyle w:val="17"/>
            </w:rPr>
            <w:fldChar w:fldCharType="end"/>
          </w:r>
        </w:p>
        <w:p w14:paraId="65FCB845">
          <w:pPr>
            <w:pStyle w:val="18"/>
            <w:numPr>
              <w:ilvl w:val="0"/>
              <w:numId w:val="5"/>
            </w:numPr>
            <w:spacing w:beforeAutospacing="0" w:after="210" w:afterAutospacing="0" w:line="360" w:lineRule="auto"/>
            <w:ind w:hanging="720"/>
            <w:rPr>
              <w:lang w:val="en-GB"/>
            </w:rPr>
          </w:pPr>
          <w:r>
            <w:rPr>
              <w:rStyle w:val="17"/>
              <w:u w:val="none"/>
            </w:rPr>
            <w:t xml:space="preserve">      </w:t>
          </w:r>
          <w:r>
            <w:t>Manirankunda L, Wallace A, Ddungu C, Nöstlinger C. Stigma Mechanisms and Outcomes among sub-Saharan African Descendants in Belgium—Contextualizing the HIV Stigma Framework. International Journal of Environmental Research and Public Health. 2021 Aug 16;18(16):8635. Available from: https://doi.org/10.3390/ijerph18168635</w:t>
          </w:r>
        </w:p>
        <w:p w14:paraId="2B360D1A">
          <w:pPr>
            <w:pStyle w:val="18"/>
            <w:numPr>
              <w:ilvl w:val="0"/>
              <w:numId w:val="5"/>
            </w:numPr>
            <w:spacing w:beforeAutospacing="0" w:after="210" w:afterAutospacing="0" w:line="360" w:lineRule="auto"/>
            <w:ind w:hanging="720"/>
          </w:pPr>
          <w:r>
            <w:t xml:space="preserve">      Anyiam FE, Sibiya MN, Oladimeji O. Factors Influencing the Acceptability and Uptake of HIV Self-Testing Among Priority Populations in sub-Saharan Africa: A Scoping Review. Public Health Rev. 2025 Apr 22;46:1608140. Available from: https://doi.org/10.3389/phrs.2025.1608140</w:t>
          </w:r>
        </w:p>
        <w:p w14:paraId="53A176B6">
          <w:pPr>
            <w:pStyle w:val="18"/>
            <w:numPr>
              <w:ilvl w:val="0"/>
              <w:numId w:val="5"/>
            </w:numPr>
            <w:spacing w:beforeAutospacing="0" w:after="210" w:afterAutospacing="0" w:line="360" w:lineRule="auto"/>
            <w:ind w:hanging="720"/>
          </w:pPr>
          <w:r>
            <w:t xml:space="preserve">      Prahlada G, Dr.Chidanand U Dawleshwar (2024), “Role of Peer Support Networks on the Health Outcomes of Female Sex Workers: A Social Work Study", Educational Administration: Theory and Practice, 30(7), 1239-1249. Available from: https://kuey.net/index.php/kuey/article/download/9083/6898/17363</w:t>
          </w:r>
        </w:p>
        <w:p w14:paraId="7453FCE8">
          <w:pPr>
            <w:pStyle w:val="18"/>
            <w:numPr>
              <w:ilvl w:val="0"/>
              <w:numId w:val="5"/>
            </w:numPr>
            <w:spacing w:beforeAutospacing="0" w:after="210" w:afterAutospacing="0" w:line="360" w:lineRule="auto"/>
            <w:ind w:hanging="720"/>
            <w:rPr>
              <w:lang w:val="en-GB"/>
            </w:rPr>
          </w:pPr>
          <w:r>
            <w:t xml:space="preserve">      </w:t>
          </w:r>
        </w:p>
        <w:p w14:paraId="551A337C">
          <w:pPr>
            <w:pStyle w:val="18"/>
            <w:numPr>
              <w:ilvl w:val="0"/>
              <w:numId w:val="5"/>
            </w:numPr>
            <w:spacing w:beforeAutospacing="0" w:after="210" w:afterAutospacing="0" w:line="360" w:lineRule="auto"/>
            <w:ind w:hanging="720"/>
            <w:rPr>
              <w:lang w:val="en-GB"/>
            </w:rPr>
          </w:pPr>
          <w:r>
            <w:t xml:space="preserve">      Ky-Zerbo O, Desclaux A, Boye S, Maheu-Giroux M, Rouveau N, Vautier A, et al. “I take it and give it to my partners who will give it to their partners”: Secondary distribution of HIV self-tests by key populations in Côte d’Ivoire, Mali, and Senegal. BMC Infectious Diseases [Internet]. 2023 May 24 [cited 2024 Jan 11];22(Suppl 1):970. Available from: </w:t>
          </w:r>
          <w:r>
            <w:fldChar w:fldCharType="begin"/>
          </w:r>
          <w:r>
            <w:instrText xml:space="preserve"> HYPERLINK "https://doi.org/10.1186/s12879-023-08319-4" </w:instrText>
          </w:r>
          <w:r>
            <w:fldChar w:fldCharType="separate"/>
          </w:r>
          <w:r>
            <w:rPr>
              <w:rStyle w:val="14"/>
            </w:rPr>
            <w:t>https://doi.org/10.1186/s12879-023-08319-4</w:t>
          </w:r>
          <w:r>
            <w:rPr>
              <w:rStyle w:val="14"/>
            </w:rPr>
            <w:fldChar w:fldCharType="end"/>
          </w:r>
          <w:r>
            <w:t xml:space="preserve">. </w:t>
          </w:r>
        </w:p>
        <w:p w14:paraId="693608C4">
          <w:pPr>
            <w:pStyle w:val="18"/>
            <w:numPr>
              <w:ilvl w:val="0"/>
              <w:numId w:val="5"/>
            </w:numPr>
            <w:spacing w:beforeAutospacing="0" w:after="210" w:afterAutospacing="0" w:line="360" w:lineRule="auto"/>
            <w:ind w:hanging="720"/>
          </w:pPr>
          <w:r>
            <w:t xml:space="preserve">      Zhang C, Li X, Heilemann MV, Chen X, Wang H, Koniak-Griffin D. Facilitators and Barriers of HIV Self-Testing Among Chinese Men Who Have Sex With Men: A Qualitative Study. J Assoc Nurses AIDS Care. 2021 Sep-Oct 01;32(5):599-609. Available from: https://doi.org/10.1097/jnc.0000000000000218</w:t>
          </w:r>
        </w:p>
        <w:p w14:paraId="58FB368C">
          <w:pPr>
            <w:pStyle w:val="18"/>
            <w:numPr>
              <w:ilvl w:val="0"/>
              <w:numId w:val="5"/>
            </w:numPr>
            <w:spacing w:beforeAutospacing="0" w:after="210" w:afterAutospacing="0" w:line="360" w:lineRule="auto"/>
            <w:ind w:hanging="720"/>
          </w:pPr>
          <w:r>
            <w:t xml:space="preserve">      Bulstra CA, Hontelez JAC, Otto M, Stepanova A, Lamontagne E, Yakusik A, et al. Integrating HIV services and other health services: A systematic review and meta-analysis. Nosyk B, editor. PLOS Medicine. 2021 Nov 9;18(11):e1003836. Available from: https://doi.org/10.1371/journal.pmed.1003836</w:t>
          </w:r>
        </w:p>
        <w:p w14:paraId="38686F8D">
          <w:pPr>
            <w:pStyle w:val="18"/>
            <w:numPr>
              <w:ilvl w:val="0"/>
              <w:numId w:val="5"/>
            </w:numPr>
            <w:spacing w:beforeAutospacing="0" w:after="210" w:afterAutospacing="0" w:line="360" w:lineRule="auto"/>
            <w:ind w:hanging="720"/>
          </w:pPr>
          <w:r>
            <w:t xml:space="preserve">      PRE-TEST AND POST-TEST SERVICES [Internet]. www.ncbi.nlm.nih.gov. World Health Organization; 2015. Available from: </w:t>
          </w:r>
          <w:r>
            <w:fldChar w:fldCharType="begin"/>
          </w:r>
          <w:r>
            <w:instrText xml:space="preserve"> HYPERLINK "https://www.ncbi.nlm.nih.gov/books/NBK316035/" </w:instrText>
          </w:r>
          <w:r>
            <w:fldChar w:fldCharType="separate"/>
          </w:r>
          <w:r>
            <w:rPr>
              <w:rStyle w:val="17"/>
            </w:rPr>
            <w:t>https://www.ncbi.nlm.nih.gov/books/NBK316035/</w:t>
          </w:r>
          <w:r>
            <w:rPr>
              <w:rStyle w:val="17"/>
            </w:rPr>
            <w:fldChar w:fldCharType="end"/>
          </w:r>
          <w:r>
            <w:t xml:space="preserve">. </w:t>
          </w:r>
        </w:p>
        <w:p w14:paraId="198C5422">
          <w:pPr>
            <w:pStyle w:val="18"/>
            <w:spacing w:beforeAutospacing="0" w:after="210" w:afterAutospacing="0" w:line="360" w:lineRule="auto"/>
            <w:ind w:left="-720"/>
          </w:pPr>
        </w:p>
        <w:p w14:paraId="37846303">
          <w:pPr>
            <w:pStyle w:val="18"/>
            <w:spacing w:beforeAutospacing="0" w:after="210" w:afterAutospacing="0" w:line="360" w:lineRule="auto"/>
          </w:pPr>
        </w:p>
        <w:p w14:paraId="6CD72894">
          <w:pPr>
            <w:pStyle w:val="18"/>
            <w:spacing w:beforeAutospacing="0" w:after="210" w:afterAutospacing="0" w:line="360" w:lineRule="auto"/>
            <w:ind w:left="-720"/>
          </w:pPr>
        </w:p>
        <w:p w14:paraId="153CA257">
          <w:pPr>
            <w:autoSpaceDE w:val="0"/>
            <w:autoSpaceDN w:val="0"/>
            <w:ind w:hanging="640"/>
            <w:jc w:val="both"/>
            <w:rPr>
              <w:rFonts w:ascii="Times New Roman" w:hAnsi="Times New Roman" w:eastAsia="Times New Roman" w:cs="Times New Roman"/>
            </w:rPr>
          </w:pPr>
        </w:p>
        <w:p w14:paraId="522C9EB9">
          <w:pPr>
            <w:spacing w:line="360" w:lineRule="auto"/>
            <w:jc w:val="both"/>
            <w:rPr>
              <w:rFonts w:ascii="Times New Roman" w:hAnsi="Times New Roman" w:cs="Times New Roman"/>
            </w:rPr>
          </w:pPr>
          <w:r>
            <w:rPr>
              <w:rFonts w:eastAsia="Times New Roman"/>
            </w:rPr>
            <w:t> </w:t>
          </w:r>
        </w:p>
      </w:sdtContent>
    </w:sdt>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9BAE">
    <w:pPr>
      <w:pStyle w:val="15"/>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3C08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6343C08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BDEB5">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1682F">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72101">
    <w:pPr>
      <w:pStyle w:val="16"/>
    </w:pPr>
    <w:r>
      <w:pict>
        <v:shape id="PowerPlusWaterMarkObject1063915345" o:spid="_x0000_s2051" o:spt="136" type="#_x0000_t136" style="position:absolute;left:0pt;height:104.65pt;width:555.05pt;mso-position-horizontal:center;mso-position-horizontal-relative:margin;mso-position-vertical:center;mso-position-vertical-relative:margin;rotation:20643840f;z-index:-25163264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35FAA">
    <w:pPr>
      <w:pStyle w:val="16"/>
    </w:pPr>
    <w:r>
      <w:pict>
        <v:shape id="PowerPlusWaterMarkObject1063915344" o:spid="_x0000_s2050" o:spt="136" type="#_x0000_t136" style="position:absolute;left:0pt;height:104.65pt;width:555.05pt;mso-position-horizontal:center;mso-position-horizontal-relative:margin;mso-position-vertical:center;mso-position-vertical-relative:margin;rotation:20643840f;z-index:-25163366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8685C">
    <w:pPr>
      <w:pStyle w:val="16"/>
    </w:pPr>
    <w:r>
      <w:pict>
        <v:shape id="PowerPlusWaterMarkObject1063915343" o:spid="_x0000_s2049" o:spt="136" type="#_x0000_t136" style="position:absolute;left:0pt;height:104.65pt;width:555.05pt;mso-position-horizontal:center;mso-position-horizontal-relative:margin;mso-position-vertical:center;mso-position-vertical-relative:margin;rotation:20643840f;z-index:-25163468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47DF0"/>
    <w:multiLevelType w:val="singleLevel"/>
    <w:tmpl w:val="AB647DF0"/>
    <w:lvl w:ilvl="0" w:tentative="0">
      <w:start w:val="26"/>
      <w:numFmt w:val="decimal"/>
      <w:suff w:val="space"/>
      <w:lvlText w:val="%1."/>
      <w:lvlJc w:val="left"/>
    </w:lvl>
  </w:abstractNum>
  <w:abstractNum w:abstractNumId="1">
    <w:nsid w:val="E5D15C39"/>
    <w:multiLevelType w:val="singleLevel"/>
    <w:tmpl w:val="E5D15C39"/>
    <w:lvl w:ilvl="0" w:tentative="0">
      <w:start w:val="2"/>
      <w:numFmt w:val="decimal"/>
      <w:suff w:val="space"/>
      <w:lvlText w:val="%1."/>
      <w:lvlJc w:val="left"/>
    </w:lvl>
  </w:abstractNum>
  <w:abstractNum w:abstractNumId="2">
    <w:nsid w:val="E703A256"/>
    <w:multiLevelType w:val="singleLevel"/>
    <w:tmpl w:val="E703A256"/>
    <w:lvl w:ilvl="0" w:tentative="0">
      <w:start w:val="1"/>
      <w:numFmt w:val="lowerRoman"/>
      <w:suff w:val="space"/>
      <w:lvlText w:val="%1."/>
      <w:lvlJc w:val="left"/>
    </w:lvl>
  </w:abstractNum>
  <w:abstractNum w:abstractNumId="3">
    <w:nsid w:val="46F3B2FD"/>
    <w:multiLevelType w:val="singleLevel"/>
    <w:tmpl w:val="46F3B2FD"/>
    <w:lvl w:ilvl="0" w:tentative="0">
      <w:start w:val="2"/>
      <w:numFmt w:val="decimal"/>
      <w:suff w:val="space"/>
      <w:lvlText w:val="%1."/>
      <w:lvlJc w:val="left"/>
    </w:lvl>
  </w:abstractNum>
  <w:abstractNum w:abstractNumId="4">
    <w:nsid w:val="719D3C7C"/>
    <w:multiLevelType w:val="singleLevel"/>
    <w:tmpl w:val="719D3C7C"/>
    <w:lvl w:ilvl="0" w:tentative="0">
      <w:start w:val="1"/>
      <w:numFmt w:val="lowerRoman"/>
      <w:suff w:val="space"/>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D96"/>
    <w:rsid w:val="00042576"/>
    <w:rsid w:val="00092CA0"/>
    <w:rsid w:val="000F44FB"/>
    <w:rsid w:val="001B7B72"/>
    <w:rsid w:val="002429F7"/>
    <w:rsid w:val="002A5B9B"/>
    <w:rsid w:val="002C29DE"/>
    <w:rsid w:val="002E434B"/>
    <w:rsid w:val="003A6E6D"/>
    <w:rsid w:val="004679F3"/>
    <w:rsid w:val="004F13D9"/>
    <w:rsid w:val="004F6A67"/>
    <w:rsid w:val="00503400"/>
    <w:rsid w:val="005C3A66"/>
    <w:rsid w:val="005D4759"/>
    <w:rsid w:val="005E46D1"/>
    <w:rsid w:val="00636E5E"/>
    <w:rsid w:val="00660215"/>
    <w:rsid w:val="006B2E47"/>
    <w:rsid w:val="00702628"/>
    <w:rsid w:val="007329CE"/>
    <w:rsid w:val="0076040C"/>
    <w:rsid w:val="007616D0"/>
    <w:rsid w:val="007D22C6"/>
    <w:rsid w:val="007E464F"/>
    <w:rsid w:val="00832000"/>
    <w:rsid w:val="008A18CB"/>
    <w:rsid w:val="008D012B"/>
    <w:rsid w:val="0093378A"/>
    <w:rsid w:val="00965636"/>
    <w:rsid w:val="009849D8"/>
    <w:rsid w:val="009D2315"/>
    <w:rsid w:val="00A1589A"/>
    <w:rsid w:val="00A3089F"/>
    <w:rsid w:val="00A71350"/>
    <w:rsid w:val="00AA3E8D"/>
    <w:rsid w:val="00AA7964"/>
    <w:rsid w:val="00AE7464"/>
    <w:rsid w:val="00B22CA5"/>
    <w:rsid w:val="00B54B27"/>
    <w:rsid w:val="00B91BA5"/>
    <w:rsid w:val="00C6627C"/>
    <w:rsid w:val="00C70D77"/>
    <w:rsid w:val="00C81D96"/>
    <w:rsid w:val="00CF1F64"/>
    <w:rsid w:val="00D746C6"/>
    <w:rsid w:val="00DC25B8"/>
    <w:rsid w:val="00DD7F41"/>
    <w:rsid w:val="00E37D83"/>
    <w:rsid w:val="00E420C9"/>
    <w:rsid w:val="00E735DF"/>
    <w:rsid w:val="00E93B7E"/>
    <w:rsid w:val="00EC1EEB"/>
    <w:rsid w:val="00F11C40"/>
    <w:rsid w:val="00F210C4"/>
    <w:rsid w:val="02BB297A"/>
    <w:rsid w:val="03585707"/>
    <w:rsid w:val="088F2951"/>
    <w:rsid w:val="0EDA02D8"/>
    <w:rsid w:val="143360E5"/>
    <w:rsid w:val="17B979B3"/>
    <w:rsid w:val="1BD017E0"/>
    <w:rsid w:val="1DD54DE8"/>
    <w:rsid w:val="25514D7C"/>
    <w:rsid w:val="25F751C9"/>
    <w:rsid w:val="25FD4D2D"/>
    <w:rsid w:val="289807AC"/>
    <w:rsid w:val="34A64A4D"/>
    <w:rsid w:val="36377278"/>
    <w:rsid w:val="452B2C04"/>
    <w:rsid w:val="5361246A"/>
    <w:rsid w:val="56AD67E7"/>
    <w:rsid w:val="5B9F2E5B"/>
    <w:rsid w:val="64595450"/>
    <w:rsid w:val="65BF4DF0"/>
    <w:rsid w:val="6A9B1A98"/>
    <w:rsid w:val="7A200342"/>
    <w:rsid w:val="7A732B33"/>
    <w:rsid w:val="7BD80336"/>
    <w:rsid w:val="7C4F0835"/>
    <w:rsid w:val="7F5A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FollowedHyperlink"/>
    <w:basedOn w:val="11"/>
    <w:semiHidden/>
    <w:unhideWhenUsed/>
    <w:qFormat/>
    <w:uiPriority w:val="99"/>
    <w:rPr>
      <w:color w:val="800080"/>
      <w:u w:val="single"/>
    </w:rPr>
  </w:style>
  <w:style w:type="paragraph" w:styleId="15">
    <w:name w:val="footer"/>
    <w:basedOn w:val="1"/>
    <w:qFormat/>
    <w:uiPriority w:val="0"/>
    <w:pPr>
      <w:tabs>
        <w:tab w:val="center" w:pos="4153"/>
        <w:tab w:val="right" w:pos="8306"/>
      </w:tabs>
      <w:snapToGrid w:val="0"/>
    </w:pPr>
    <w:rPr>
      <w:sz w:val="18"/>
      <w:szCs w:val="18"/>
    </w:rPr>
  </w:style>
  <w:style w:type="paragraph" w:styleId="16">
    <w:name w:val="header"/>
    <w:basedOn w:val="1"/>
    <w:link w:val="46"/>
    <w:unhideWhenUsed/>
    <w:qFormat/>
    <w:uiPriority w:val="99"/>
    <w:pPr>
      <w:tabs>
        <w:tab w:val="center" w:pos="4680"/>
        <w:tab w:val="right" w:pos="9360"/>
      </w:tabs>
      <w:spacing w:after="0" w:line="240" w:lineRule="auto"/>
    </w:pPr>
  </w:style>
  <w:style w:type="character" w:styleId="17">
    <w:name w:val="Hyperlink"/>
    <w:basedOn w:val="11"/>
    <w:unhideWhenUsed/>
    <w:qFormat/>
    <w:uiPriority w:val="99"/>
    <w:rPr>
      <w:color w:val="0563C1" w:themeColor="hyperlink"/>
      <w:u w:val="single"/>
      <w14:textFill>
        <w14:solidFill>
          <w14:schemeClr w14:val="hlink"/>
        </w14:solidFill>
      </w14:textFill>
    </w:rPr>
  </w:style>
  <w:style w:type="paragraph" w:styleId="18">
    <w:name w:val="Normal (Web)"/>
    <w:basedOn w:val="1"/>
    <w:qFormat/>
    <w:uiPriority w:val="0"/>
    <w:pPr>
      <w:spacing w:beforeAutospacing="1" w:after="0" w:afterAutospacing="1"/>
    </w:pPr>
    <w:rPr>
      <w:rFonts w:ascii="Times New Roman" w:hAnsi="Times New Roman" w:eastAsia="SimSun" w:cs="Times New Roman"/>
      <w:kern w:val="0"/>
      <w:lang w:eastAsia="zh-CN"/>
    </w:rPr>
  </w:style>
  <w:style w:type="character" w:styleId="19">
    <w:name w:val="Strong"/>
    <w:basedOn w:val="11"/>
    <w:qFormat/>
    <w:uiPriority w:val="0"/>
    <w:rPr>
      <w:b/>
      <w:bCs/>
    </w:rPr>
  </w:style>
  <w:style w:type="paragraph" w:styleId="20">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3">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4">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6">
    <w:name w:val="Heading 4 Char"/>
    <w:basedOn w:val="11"/>
    <w:link w:val="5"/>
    <w:semiHidden/>
    <w:qFormat/>
    <w:uiPriority w:val="9"/>
    <w:rPr>
      <w:rFonts w:eastAsiaTheme="majorEastAsia" w:cstheme="majorBidi"/>
      <w:i/>
      <w:iCs/>
      <w:color w:val="2F5597" w:themeColor="accent1" w:themeShade="BF"/>
    </w:rPr>
  </w:style>
  <w:style w:type="character" w:customStyle="1" w:styleId="27">
    <w:name w:val="Heading 5 Char"/>
    <w:basedOn w:val="11"/>
    <w:link w:val="6"/>
    <w:semiHidden/>
    <w:qFormat/>
    <w:uiPriority w:val="9"/>
    <w:rPr>
      <w:rFonts w:eastAsiaTheme="majorEastAsia" w:cstheme="majorBidi"/>
      <w:color w:val="2F5597" w:themeColor="accent1" w:themeShade="BF"/>
    </w:rPr>
  </w:style>
  <w:style w:type="character" w:customStyle="1" w:styleId="28">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1"/>
    <w:link w:val="22"/>
    <w:qFormat/>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2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1"/>
    <w:basedOn w:val="1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Intense Quote Char"/>
    <w:basedOn w:val="11"/>
    <w:link w:val="38"/>
    <w:qFormat/>
    <w:uiPriority w:val="30"/>
    <w:rPr>
      <w:i/>
      <w:iCs/>
      <w:color w:val="2F5597" w:themeColor="accent1" w:themeShade="BF"/>
    </w:rPr>
  </w:style>
  <w:style w:type="character" w:customStyle="1" w:styleId="40">
    <w:name w:val="Intense Reference1"/>
    <w:basedOn w:val="11"/>
    <w:qFormat/>
    <w:uiPriority w:val="32"/>
    <w:rPr>
      <w:b/>
      <w:bCs/>
      <w:smallCaps/>
      <w:color w:val="2F5597" w:themeColor="accent1" w:themeShade="BF"/>
      <w:spacing w:val="5"/>
    </w:rPr>
  </w:style>
  <w:style w:type="character" w:styleId="41">
    <w:name w:val="Placeholder Text"/>
    <w:basedOn w:val="11"/>
    <w:semiHidden/>
    <w:qFormat/>
    <w:uiPriority w:val="99"/>
    <w:rPr>
      <w:color w:val="666666"/>
    </w:rPr>
  </w:style>
  <w:style w:type="character" w:customStyle="1" w:styleId="42">
    <w:name w:val="Unresolved Mention1"/>
    <w:basedOn w:val="11"/>
    <w:semiHidden/>
    <w:unhideWhenUsed/>
    <w:qFormat/>
    <w:uiPriority w:val="99"/>
    <w:rPr>
      <w:color w:val="605E5C"/>
      <w:shd w:val="clear" w:color="auto" w:fill="E1DFDD"/>
    </w:rPr>
  </w:style>
  <w:style w:type="paragraph" w:customStyle="1" w:styleId="43">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44">
    <w:name w:val="whitespace-normal"/>
    <w:basedOn w:val="1"/>
    <w:qFormat/>
    <w:uiPriority w:val="0"/>
    <w:pPr>
      <w:spacing w:before="100" w:beforeAutospacing="1" w:after="100" w:afterAutospacing="1" w:line="240" w:lineRule="auto"/>
    </w:pPr>
    <w:rPr>
      <w:rFonts w:ascii="Times New Roman" w:hAnsi="Times New Roman" w:eastAsia="Times New Roman" w:cs="Times New Roman"/>
    </w:rPr>
  </w:style>
  <w:style w:type="character" w:customStyle="1" w:styleId="45">
    <w:name w:val="Unresolved Mention"/>
    <w:basedOn w:val="11"/>
    <w:semiHidden/>
    <w:unhideWhenUsed/>
    <w:qFormat/>
    <w:uiPriority w:val="99"/>
    <w:rPr>
      <w:color w:val="605E5C"/>
      <w:shd w:val="clear" w:color="auto" w:fill="E1DFDD"/>
    </w:rPr>
  </w:style>
  <w:style w:type="character" w:customStyle="1" w:styleId="46">
    <w:name w:val="Header Char"/>
    <w:basedOn w:val="11"/>
    <w:link w:val="16"/>
    <w:qFormat/>
    <w:uiPriority w:val="99"/>
    <w:rPr>
      <w:rFonts w:asciiTheme="minorHAnsi" w:hAnsiTheme="minorHAnsi" w:eastAsiaTheme="minorHAnsi" w:cstheme="minorBidi"/>
      <w:kern w:val="2"/>
      <w:sz w:val="24"/>
      <w:szCs w:val="24"/>
      <w:lang w:val="en-US" w:eastAsia="en-US"/>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General"/>
          <w:gallery w:val="placeholder"/>
        </w:category>
        <w:types>
          <w:type w:val="bbPlcHdr"/>
        </w:types>
        <w:behaviors>
          <w:behavior w:val="content"/>
        </w:behaviors>
        <w:description w:val=""/>
        <w:guid w:val="{558C344E-0BE4-4E26-AF4A-FCF2267CBF3E}"/>
      </w:docPartPr>
      <w:docPartBody>
        <w:p w14:paraId="620328A5">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A4"/>
    <w:rsid w:val="00191398"/>
    <w:rsid w:val="00220131"/>
    <w:rsid w:val="004864AF"/>
    <w:rsid w:val="00730543"/>
    <w:rsid w:val="00786917"/>
    <w:rsid w:val="007E464F"/>
    <w:rsid w:val="0087565A"/>
    <w:rsid w:val="008B4967"/>
    <w:rsid w:val="00984CA4"/>
    <w:rsid w:val="00A1589A"/>
    <w:rsid w:val="00C41CC0"/>
    <w:rsid w:val="00CB69ED"/>
    <w:rsid w:val="00CD367D"/>
    <w:rsid w:val="00D325EB"/>
    <w:rsid w:val="00E60627"/>
    <w:rsid w:val="00F1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666666"/>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99478D-8893-474D-A82B-8E235CF11C77}">
  <ds:schemaRefs/>
</ds:datastoreItem>
</file>

<file path=docProps/app.xml><?xml version="1.0" encoding="utf-8"?>
<Properties xmlns="http://schemas.openxmlformats.org/officeDocument/2006/extended-properties" xmlns:vt="http://schemas.openxmlformats.org/officeDocument/2006/docPropsVTypes">
  <Template>Normal</Template>
  <Pages>31</Pages>
  <Words>9553</Words>
  <Characters>54455</Characters>
  <Lines>453</Lines>
  <Paragraphs>127</Paragraphs>
  <TotalTime>6</TotalTime>
  <ScaleCrop>false</ScaleCrop>
  <LinksUpToDate>false</LinksUpToDate>
  <CharactersWithSpaces>63881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2025-06-10T07:08:00Z</dcterms:created>
  <dc:creator>HP</dc:creator>
  <cp:lastModifiedBy>Colours Of Nigeria</cp:lastModifiedBy>
  <dcterms:modified xsi:type="dcterms:W3CDTF">2026-01-24T14:30:00Z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B8771C2C2EDA44A3A16D2E8A9DB896A1_13</vt:lpwstr>
  </property>
</Properties>
</file>