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C8097" w14:textId="37213873" w:rsidR="00A3436B" w:rsidRDefault="00A32D99" w:rsidP="002F4CC3">
      <w:pPr>
        <w:spacing w:line="360" w:lineRule="auto"/>
        <w:jc w:val="both"/>
        <w:rPr>
          <w:rFonts w:ascii="Times New Roman" w:hAnsi="Times New Roman"/>
          <w:b/>
          <w:sz w:val="24"/>
          <w:szCs w:val="24"/>
        </w:rPr>
      </w:pPr>
      <w:r>
        <w:rPr>
          <w:rFonts w:ascii="Times New Roman" w:hAnsi="Times New Roman"/>
          <w:b/>
          <w:bCs/>
          <w:sz w:val="24"/>
          <w:szCs w:val="24"/>
          <w:lang w:val="en-GB"/>
        </w:rPr>
        <w:t xml:space="preserve">Prevalence of </w:t>
      </w:r>
      <w:proofErr w:type="spellStart"/>
      <w:r>
        <w:rPr>
          <w:rFonts w:ascii="Times New Roman" w:hAnsi="Times New Roman"/>
          <w:b/>
          <w:bCs/>
          <w:sz w:val="24"/>
          <w:szCs w:val="24"/>
          <w:lang w:val="en-GB"/>
        </w:rPr>
        <w:t>MecA</w:t>
      </w:r>
      <w:proofErr w:type="spellEnd"/>
      <w:r>
        <w:rPr>
          <w:rFonts w:ascii="Times New Roman" w:hAnsi="Times New Roman"/>
          <w:b/>
          <w:bCs/>
          <w:sz w:val="24"/>
          <w:szCs w:val="24"/>
          <w:lang w:val="en-GB"/>
        </w:rPr>
        <w:t xml:space="preserve"> positive </w:t>
      </w:r>
      <w:r>
        <w:rPr>
          <w:rFonts w:ascii="Times New Roman" w:hAnsi="Times New Roman"/>
          <w:b/>
          <w:bCs/>
          <w:i/>
          <w:iCs/>
          <w:sz w:val="24"/>
          <w:szCs w:val="24"/>
          <w:lang w:val="en-GB"/>
        </w:rPr>
        <w:t xml:space="preserve">Staphylococcus aureus </w:t>
      </w:r>
      <w:r>
        <w:rPr>
          <w:rFonts w:ascii="Times New Roman" w:hAnsi="Times New Roman"/>
          <w:b/>
          <w:bCs/>
          <w:sz w:val="24"/>
          <w:szCs w:val="24"/>
          <w:lang w:val="en-GB"/>
        </w:rPr>
        <w:t>and PVL gene among wound isolates at a Tertiary Hospital in Port Harcourt, Nigeria</w:t>
      </w:r>
    </w:p>
    <w:p w14:paraId="3F1DDF32" w14:textId="77777777" w:rsidR="00EB13F4" w:rsidRPr="008777B3" w:rsidRDefault="00EB13F4" w:rsidP="00EB13F4">
      <w:pPr>
        <w:autoSpaceDE w:val="0"/>
        <w:autoSpaceDN w:val="0"/>
        <w:adjustRightInd w:val="0"/>
        <w:spacing w:after="0" w:line="360" w:lineRule="auto"/>
        <w:jc w:val="both"/>
        <w:rPr>
          <w:rFonts w:ascii="Times New Roman" w:hAnsi="Times New Roman"/>
          <w:b/>
          <w:sz w:val="24"/>
          <w:szCs w:val="24"/>
        </w:rPr>
      </w:pPr>
    </w:p>
    <w:p w14:paraId="78085FCC" w14:textId="77777777" w:rsidR="00EB13F4" w:rsidRPr="008777B3" w:rsidRDefault="00EB13F4" w:rsidP="00026017">
      <w:pPr>
        <w:spacing w:line="240" w:lineRule="auto"/>
        <w:jc w:val="both"/>
        <w:rPr>
          <w:rFonts w:ascii="Times New Roman" w:hAnsi="Times New Roman"/>
          <w:b/>
          <w:bCs/>
          <w:sz w:val="24"/>
          <w:szCs w:val="24"/>
        </w:rPr>
      </w:pPr>
      <w:r w:rsidRPr="008777B3">
        <w:rPr>
          <w:rFonts w:ascii="Times New Roman" w:hAnsi="Times New Roman"/>
          <w:b/>
          <w:bCs/>
          <w:sz w:val="24"/>
          <w:szCs w:val="24"/>
        </w:rPr>
        <w:t>ABSTRACT</w:t>
      </w:r>
    </w:p>
    <w:p w14:paraId="744FFEC1" w14:textId="45FD2C34" w:rsidR="00EB13F4" w:rsidRPr="000A0ACB" w:rsidRDefault="007606C0" w:rsidP="00026017">
      <w:pPr>
        <w:spacing w:line="240" w:lineRule="auto"/>
        <w:jc w:val="both"/>
        <w:rPr>
          <w:rFonts w:ascii="Times New Roman" w:hAnsi="Times New Roman"/>
          <w:sz w:val="24"/>
          <w:szCs w:val="24"/>
        </w:rPr>
      </w:pPr>
      <w:r w:rsidRPr="00BA72A9">
        <w:rPr>
          <w:rFonts w:ascii="Times New Roman" w:hAnsi="Times New Roman"/>
          <w:i/>
          <w:sz w:val="24"/>
          <w:szCs w:val="24"/>
        </w:rPr>
        <w:t>Staphylococcus aureus</w:t>
      </w:r>
      <w:r w:rsidRPr="007606C0">
        <w:rPr>
          <w:rFonts w:ascii="Times New Roman" w:hAnsi="Times New Roman"/>
          <w:sz w:val="24"/>
          <w:szCs w:val="24"/>
        </w:rPr>
        <w:t xml:space="preserve"> is a prevalent pathogen in both hospital and community settings and is frequently implicated in wound infections. In light of its clinical significance</w:t>
      </w:r>
      <w:r>
        <w:rPr>
          <w:rFonts w:ascii="Times New Roman" w:hAnsi="Times New Roman"/>
          <w:sz w:val="24"/>
          <w:szCs w:val="24"/>
        </w:rPr>
        <w:t xml:space="preserve">, the research was </w:t>
      </w:r>
      <w:r w:rsidR="00BA72A9">
        <w:rPr>
          <w:rFonts w:ascii="Times New Roman" w:hAnsi="Times New Roman"/>
          <w:sz w:val="24"/>
          <w:szCs w:val="24"/>
        </w:rPr>
        <w:t xml:space="preserve">carried out </w:t>
      </w:r>
      <w:r>
        <w:rPr>
          <w:rFonts w:ascii="Times New Roman" w:hAnsi="Times New Roman"/>
          <w:sz w:val="24"/>
          <w:szCs w:val="24"/>
        </w:rPr>
        <w:t xml:space="preserve">to determine the prevalence of </w:t>
      </w:r>
      <w:proofErr w:type="spellStart"/>
      <w:r>
        <w:rPr>
          <w:rFonts w:ascii="Times New Roman" w:hAnsi="Times New Roman"/>
          <w:sz w:val="24"/>
          <w:szCs w:val="24"/>
        </w:rPr>
        <w:t>mec</w:t>
      </w:r>
      <w:proofErr w:type="spellEnd"/>
      <w:r>
        <w:rPr>
          <w:rFonts w:ascii="Times New Roman" w:hAnsi="Times New Roman"/>
          <w:sz w:val="24"/>
          <w:szCs w:val="24"/>
        </w:rPr>
        <w:t xml:space="preserve">-A positive </w:t>
      </w:r>
      <w:r>
        <w:rPr>
          <w:rFonts w:ascii="Times New Roman" w:hAnsi="Times New Roman"/>
          <w:i/>
          <w:iCs/>
          <w:sz w:val="24"/>
          <w:szCs w:val="24"/>
        </w:rPr>
        <w:t xml:space="preserve">Staphylococcus aureus </w:t>
      </w:r>
      <w:r>
        <w:rPr>
          <w:rFonts w:ascii="Times New Roman" w:hAnsi="Times New Roman"/>
          <w:sz w:val="24"/>
          <w:szCs w:val="24"/>
        </w:rPr>
        <w:t>and PVL gene carriage among wound isolates at a tertiary hospital in Port Harcourt, Nigeria</w:t>
      </w:r>
      <w:r w:rsidR="00EE4612" w:rsidRPr="008777B3">
        <w:rPr>
          <w:rFonts w:ascii="Times New Roman" w:hAnsi="Times New Roman"/>
          <w:b/>
          <w:sz w:val="24"/>
          <w:szCs w:val="24"/>
        </w:rPr>
        <w:t>.</w:t>
      </w:r>
      <w:r w:rsidR="00EE4612">
        <w:rPr>
          <w:rFonts w:ascii="Times New Roman" w:hAnsi="Times New Roman"/>
          <w:b/>
          <w:sz w:val="24"/>
          <w:szCs w:val="24"/>
        </w:rPr>
        <w:t xml:space="preserve"> </w:t>
      </w:r>
      <w:r w:rsidR="00BA72A9" w:rsidRPr="00BA72A9">
        <w:rPr>
          <w:rFonts w:ascii="Times New Roman" w:hAnsi="Times New Roman"/>
          <w:sz w:val="24"/>
          <w:szCs w:val="24"/>
        </w:rPr>
        <w:t>The study involved</w:t>
      </w:r>
      <w:r w:rsidR="00BA72A9">
        <w:rPr>
          <w:rFonts w:ascii="Times New Roman" w:hAnsi="Times New Roman"/>
          <w:b/>
          <w:sz w:val="24"/>
          <w:szCs w:val="24"/>
        </w:rPr>
        <w:t xml:space="preserve"> </w:t>
      </w:r>
      <w:r w:rsidR="00EB13F4" w:rsidRPr="008777B3">
        <w:rPr>
          <w:rFonts w:ascii="Times New Roman" w:hAnsi="Times New Roman"/>
          <w:bCs/>
          <w:sz w:val="24"/>
          <w:szCs w:val="24"/>
        </w:rPr>
        <w:t xml:space="preserve">150 specimens </w:t>
      </w:r>
      <w:r w:rsidR="00BA72A9">
        <w:rPr>
          <w:rFonts w:ascii="Times New Roman" w:hAnsi="Times New Roman"/>
          <w:bCs/>
          <w:sz w:val="24"/>
          <w:szCs w:val="24"/>
        </w:rPr>
        <w:t xml:space="preserve">from different types of wounds such as </w:t>
      </w:r>
      <w:r w:rsidR="00BA72A9" w:rsidRPr="008777B3">
        <w:rPr>
          <w:rFonts w:ascii="Times New Roman" w:hAnsi="Times New Roman"/>
          <w:bCs/>
          <w:sz w:val="24"/>
          <w:szCs w:val="24"/>
        </w:rPr>
        <w:t>caesarean section</w:t>
      </w:r>
      <w:r w:rsidR="00BA72A9">
        <w:rPr>
          <w:rFonts w:ascii="Times New Roman" w:hAnsi="Times New Roman"/>
          <w:bCs/>
          <w:sz w:val="24"/>
          <w:szCs w:val="24"/>
        </w:rPr>
        <w:t xml:space="preserve">, </w:t>
      </w:r>
      <w:r w:rsidR="00EB13F4" w:rsidRPr="008777B3">
        <w:rPr>
          <w:rFonts w:ascii="Times New Roman" w:hAnsi="Times New Roman"/>
          <w:bCs/>
          <w:sz w:val="24"/>
          <w:szCs w:val="24"/>
        </w:rPr>
        <w:t>traumatic wound,</w:t>
      </w:r>
      <w:r w:rsidR="00BA72A9" w:rsidRPr="00BA72A9">
        <w:rPr>
          <w:rFonts w:ascii="Times New Roman" w:hAnsi="Times New Roman"/>
          <w:bCs/>
          <w:sz w:val="24"/>
          <w:szCs w:val="24"/>
        </w:rPr>
        <w:t xml:space="preserve"> </w:t>
      </w:r>
      <w:r w:rsidR="00BA72A9" w:rsidRPr="008777B3">
        <w:rPr>
          <w:rFonts w:ascii="Times New Roman" w:hAnsi="Times New Roman"/>
          <w:bCs/>
          <w:sz w:val="24"/>
          <w:szCs w:val="24"/>
        </w:rPr>
        <w:t>surgical</w:t>
      </w:r>
      <w:r w:rsidR="00BA72A9">
        <w:rPr>
          <w:rFonts w:ascii="Times New Roman" w:hAnsi="Times New Roman"/>
          <w:bCs/>
          <w:sz w:val="24"/>
          <w:szCs w:val="24"/>
        </w:rPr>
        <w:t xml:space="preserve"> wound</w:t>
      </w:r>
      <w:r w:rsidR="00EB13F4" w:rsidRPr="008777B3">
        <w:rPr>
          <w:rFonts w:ascii="Times New Roman" w:hAnsi="Times New Roman"/>
          <w:bCs/>
          <w:sz w:val="24"/>
          <w:szCs w:val="24"/>
        </w:rPr>
        <w:t xml:space="preserve">, scrotal wound, </w:t>
      </w:r>
      <w:r w:rsidR="00BA72A9" w:rsidRPr="008777B3">
        <w:rPr>
          <w:rFonts w:ascii="Times New Roman" w:hAnsi="Times New Roman"/>
          <w:bCs/>
          <w:sz w:val="24"/>
          <w:szCs w:val="24"/>
        </w:rPr>
        <w:t>diabetic foot</w:t>
      </w:r>
      <w:r w:rsidR="00BA72A9">
        <w:rPr>
          <w:rFonts w:ascii="Times New Roman" w:hAnsi="Times New Roman"/>
          <w:bCs/>
          <w:sz w:val="24"/>
          <w:szCs w:val="24"/>
        </w:rPr>
        <w:t xml:space="preserve">, </w:t>
      </w:r>
      <w:r w:rsidR="00BA72A9" w:rsidRPr="008777B3">
        <w:rPr>
          <w:rFonts w:ascii="Times New Roman" w:hAnsi="Times New Roman"/>
          <w:bCs/>
          <w:sz w:val="24"/>
          <w:szCs w:val="24"/>
        </w:rPr>
        <w:t xml:space="preserve">plastic surgery </w:t>
      </w:r>
      <w:r w:rsidR="00EB13F4" w:rsidRPr="008777B3">
        <w:rPr>
          <w:rFonts w:ascii="Times New Roman" w:hAnsi="Times New Roman"/>
          <w:bCs/>
          <w:sz w:val="24"/>
          <w:szCs w:val="24"/>
        </w:rPr>
        <w:t>b</w:t>
      </w:r>
      <w:r w:rsidR="00BA72A9">
        <w:rPr>
          <w:rFonts w:ascii="Times New Roman" w:hAnsi="Times New Roman"/>
          <w:bCs/>
          <w:sz w:val="24"/>
          <w:szCs w:val="24"/>
        </w:rPr>
        <w:t xml:space="preserve">urns). The specimens were </w:t>
      </w:r>
      <w:r w:rsidR="00EB13F4" w:rsidRPr="008777B3">
        <w:rPr>
          <w:rFonts w:ascii="Times New Roman" w:hAnsi="Times New Roman"/>
          <w:bCs/>
          <w:sz w:val="24"/>
          <w:szCs w:val="24"/>
        </w:rPr>
        <w:t xml:space="preserve">collected </w:t>
      </w:r>
      <w:r w:rsidR="00BA72A9">
        <w:rPr>
          <w:rFonts w:ascii="Times New Roman" w:hAnsi="Times New Roman"/>
          <w:bCs/>
          <w:sz w:val="24"/>
          <w:szCs w:val="24"/>
        </w:rPr>
        <w:t>and subjected to</w:t>
      </w:r>
      <w:r w:rsidR="00EB13F4" w:rsidRPr="008777B3">
        <w:rPr>
          <w:rFonts w:ascii="Times New Roman" w:hAnsi="Times New Roman"/>
          <w:bCs/>
          <w:sz w:val="24"/>
          <w:szCs w:val="24"/>
        </w:rPr>
        <w:t xml:space="preserve"> standard </w:t>
      </w:r>
      <w:r w:rsidR="00BA72A9">
        <w:rPr>
          <w:rFonts w:ascii="Times New Roman" w:hAnsi="Times New Roman"/>
          <w:bCs/>
          <w:sz w:val="24"/>
          <w:szCs w:val="24"/>
        </w:rPr>
        <w:t xml:space="preserve">bacteriological </w:t>
      </w:r>
      <w:r w:rsidR="00EB13F4" w:rsidRPr="008777B3">
        <w:rPr>
          <w:rFonts w:ascii="Times New Roman" w:hAnsi="Times New Roman"/>
          <w:bCs/>
          <w:sz w:val="24"/>
          <w:szCs w:val="24"/>
        </w:rPr>
        <w:t>procedures</w:t>
      </w:r>
      <w:r w:rsidR="00BA72A9">
        <w:rPr>
          <w:rFonts w:ascii="Times New Roman" w:hAnsi="Times New Roman"/>
          <w:bCs/>
          <w:sz w:val="24"/>
          <w:szCs w:val="24"/>
        </w:rPr>
        <w:t xml:space="preserve"> for a period of six months</w:t>
      </w:r>
      <w:r w:rsidR="00EB13F4" w:rsidRPr="008777B3">
        <w:rPr>
          <w:rFonts w:ascii="Times New Roman" w:hAnsi="Times New Roman"/>
          <w:bCs/>
          <w:sz w:val="24"/>
          <w:szCs w:val="24"/>
        </w:rPr>
        <w:t xml:space="preserve">. </w:t>
      </w:r>
      <w:r w:rsidR="000A0ACB">
        <w:rPr>
          <w:rFonts w:ascii="Times New Roman" w:hAnsi="Times New Roman"/>
          <w:bCs/>
          <w:sz w:val="24"/>
          <w:szCs w:val="24"/>
          <w:lang w:val="en-US"/>
        </w:rPr>
        <w:t xml:space="preserve">Pure isolates </w:t>
      </w:r>
      <w:r w:rsidR="008D4D1C">
        <w:rPr>
          <w:rFonts w:ascii="Times New Roman" w:hAnsi="Times New Roman"/>
          <w:bCs/>
          <w:sz w:val="24"/>
          <w:szCs w:val="24"/>
          <w:lang w:val="en-US"/>
        </w:rPr>
        <w:t>were</w:t>
      </w:r>
      <w:r w:rsidR="00EE4612" w:rsidRPr="00EE4612">
        <w:rPr>
          <w:rFonts w:ascii="Times New Roman" w:hAnsi="Times New Roman"/>
          <w:bCs/>
          <w:sz w:val="24"/>
          <w:szCs w:val="24"/>
          <w:lang w:val="en-US"/>
        </w:rPr>
        <w:t xml:space="preserve"> </w:t>
      </w:r>
      <w:r w:rsidR="00026017">
        <w:rPr>
          <w:rFonts w:ascii="Times New Roman" w:hAnsi="Times New Roman"/>
          <w:bCs/>
          <w:sz w:val="24"/>
          <w:szCs w:val="24"/>
          <w:lang w:val="en-US"/>
        </w:rPr>
        <w:t>characterized</w:t>
      </w:r>
      <w:r w:rsidR="00EE4612" w:rsidRPr="00EE4612">
        <w:rPr>
          <w:rFonts w:ascii="Times New Roman" w:hAnsi="Times New Roman"/>
          <w:bCs/>
          <w:sz w:val="24"/>
          <w:szCs w:val="24"/>
          <w:lang w:val="en-US"/>
        </w:rPr>
        <w:t xml:space="preserve"> at the molecular level following the given steps: DNA extraction, PCR amplification, Agarose Gel Electrophoresis, 16S rRNA sequencing, sequence analysis and phylogenic tree construction</w:t>
      </w:r>
      <w:r w:rsidR="00EE4612">
        <w:rPr>
          <w:rFonts w:ascii="Times New Roman" w:hAnsi="Times New Roman"/>
          <w:bCs/>
          <w:sz w:val="24"/>
          <w:szCs w:val="24"/>
          <w:lang w:val="en-US"/>
        </w:rPr>
        <w:t xml:space="preserve">. </w:t>
      </w:r>
      <w:r w:rsidR="00026017" w:rsidRPr="008777B3">
        <w:rPr>
          <w:rFonts w:ascii="Times New Roman" w:hAnsi="Times New Roman"/>
          <w:sz w:val="24"/>
          <w:szCs w:val="24"/>
        </w:rPr>
        <w:t xml:space="preserve">Data obtained showed </w:t>
      </w:r>
      <w:r w:rsidR="008D4D1C">
        <w:rPr>
          <w:rFonts w:ascii="Times New Roman" w:hAnsi="Times New Roman"/>
          <w:sz w:val="24"/>
          <w:szCs w:val="24"/>
        </w:rPr>
        <w:t>58 (</w:t>
      </w:r>
      <w:r w:rsidR="00026017" w:rsidRPr="008777B3">
        <w:rPr>
          <w:rFonts w:ascii="Times New Roman" w:hAnsi="Times New Roman"/>
          <w:bCs/>
          <w:sz w:val="24"/>
          <w:szCs w:val="24"/>
        </w:rPr>
        <w:t>38.7%</w:t>
      </w:r>
      <w:r w:rsidR="008D4D1C">
        <w:rPr>
          <w:rFonts w:ascii="Times New Roman" w:hAnsi="Times New Roman"/>
          <w:bCs/>
          <w:sz w:val="24"/>
          <w:szCs w:val="24"/>
        </w:rPr>
        <w:t>)</w:t>
      </w:r>
      <w:r w:rsidR="00026017" w:rsidRPr="008777B3">
        <w:rPr>
          <w:rFonts w:ascii="Times New Roman" w:hAnsi="Times New Roman"/>
          <w:bCs/>
          <w:sz w:val="24"/>
          <w:szCs w:val="24"/>
        </w:rPr>
        <w:t xml:space="preserve"> of the wound cases were </w:t>
      </w:r>
      <w:r w:rsidR="008D4D1C">
        <w:rPr>
          <w:rFonts w:ascii="Times New Roman" w:hAnsi="Times New Roman"/>
          <w:bCs/>
          <w:sz w:val="24"/>
          <w:szCs w:val="24"/>
        </w:rPr>
        <w:t>infected</w:t>
      </w:r>
      <w:r w:rsidR="00026017" w:rsidRPr="008777B3">
        <w:rPr>
          <w:rFonts w:ascii="Times New Roman" w:hAnsi="Times New Roman"/>
          <w:bCs/>
          <w:sz w:val="24"/>
          <w:szCs w:val="24"/>
        </w:rPr>
        <w:t xml:space="preserve"> with</w:t>
      </w:r>
      <w:r w:rsidR="00026017" w:rsidRPr="008777B3">
        <w:rPr>
          <w:rFonts w:ascii="Times New Roman" w:hAnsi="Times New Roman"/>
          <w:sz w:val="24"/>
          <w:szCs w:val="24"/>
        </w:rPr>
        <w:t xml:space="preserve"> </w:t>
      </w:r>
      <w:r w:rsidR="00026017" w:rsidRPr="008777B3">
        <w:rPr>
          <w:rFonts w:ascii="Times New Roman" w:hAnsi="Times New Roman"/>
          <w:bCs/>
          <w:i/>
          <w:sz w:val="24"/>
          <w:szCs w:val="24"/>
        </w:rPr>
        <w:t xml:space="preserve">Staphylococcus aureus </w:t>
      </w:r>
      <w:r w:rsidR="00026017" w:rsidRPr="00F52A3B">
        <w:rPr>
          <w:rFonts w:ascii="Times New Roman" w:hAnsi="Times New Roman"/>
          <w:bCs/>
          <w:sz w:val="24"/>
          <w:szCs w:val="24"/>
        </w:rPr>
        <w:t>isolates</w:t>
      </w:r>
      <w:r w:rsidR="00136513" w:rsidRPr="00136513">
        <w:rPr>
          <w:rFonts w:ascii="Times New Roman" w:hAnsi="Times New Roman"/>
          <w:bCs/>
          <w:sz w:val="24"/>
          <w:szCs w:val="24"/>
        </w:rPr>
        <w:t>.</w:t>
      </w:r>
      <w:r w:rsidR="00136513">
        <w:rPr>
          <w:rFonts w:ascii="Times New Roman" w:hAnsi="Times New Roman"/>
          <w:bCs/>
          <w:sz w:val="24"/>
          <w:szCs w:val="24"/>
        </w:rPr>
        <w:t xml:space="preserve"> </w:t>
      </w:r>
      <w:r w:rsidR="008D4D1C">
        <w:rPr>
          <w:rFonts w:ascii="Times New Roman" w:hAnsi="Times New Roman"/>
          <w:bCs/>
          <w:sz w:val="24"/>
          <w:szCs w:val="24"/>
        </w:rPr>
        <w:t xml:space="preserve">The study also revealed the presence of </w:t>
      </w:r>
      <w:proofErr w:type="spellStart"/>
      <w:r w:rsidR="008D4D1C">
        <w:rPr>
          <w:rFonts w:ascii="Times New Roman" w:hAnsi="Times New Roman"/>
          <w:bCs/>
          <w:sz w:val="24"/>
          <w:szCs w:val="24"/>
        </w:rPr>
        <w:t>mecA</w:t>
      </w:r>
      <w:proofErr w:type="spellEnd"/>
      <w:r w:rsidR="008D4D1C">
        <w:rPr>
          <w:rFonts w:ascii="Times New Roman" w:hAnsi="Times New Roman"/>
          <w:bCs/>
          <w:sz w:val="24"/>
          <w:szCs w:val="24"/>
        </w:rPr>
        <w:t xml:space="preserve"> gene in all the nine (9) isolates screened. The molecular analysis indicated the presence of the PVL (</w:t>
      </w:r>
      <w:proofErr w:type="spellStart"/>
      <w:r w:rsidR="008D4D1C">
        <w:rPr>
          <w:rFonts w:ascii="Times New Roman" w:hAnsi="Times New Roman"/>
          <w:bCs/>
          <w:sz w:val="24"/>
          <w:szCs w:val="24"/>
        </w:rPr>
        <w:t>lukS</w:t>
      </w:r>
      <w:proofErr w:type="spellEnd"/>
      <w:r w:rsidR="008D4D1C">
        <w:rPr>
          <w:rFonts w:ascii="Times New Roman" w:hAnsi="Times New Roman"/>
          <w:bCs/>
          <w:sz w:val="24"/>
          <w:szCs w:val="24"/>
        </w:rPr>
        <w:t>-PV/</w:t>
      </w:r>
      <w:proofErr w:type="spellStart"/>
      <w:r w:rsidR="008D4D1C">
        <w:rPr>
          <w:rFonts w:ascii="Times New Roman" w:hAnsi="Times New Roman"/>
          <w:bCs/>
          <w:sz w:val="24"/>
          <w:szCs w:val="24"/>
        </w:rPr>
        <w:t>LukF</w:t>
      </w:r>
      <w:proofErr w:type="spellEnd"/>
      <w:r w:rsidR="008D4D1C">
        <w:rPr>
          <w:rFonts w:ascii="Times New Roman" w:hAnsi="Times New Roman"/>
          <w:bCs/>
          <w:sz w:val="24"/>
          <w:szCs w:val="24"/>
        </w:rPr>
        <w:t xml:space="preserve">-PV) gene in 67% of the isolates screened. </w:t>
      </w:r>
      <w:r w:rsidR="00BA72A9">
        <w:rPr>
          <w:rFonts w:ascii="Times New Roman" w:hAnsi="Times New Roman"/>
          <w:bCs/>
          <w:sz w:val="24"/>
          <w:szCs w:val="24"/>
        </w:rPr>
        <w:t>Data obtained from the study warrants serious</w:t>
      </w:r>
      <w:r w:rsidR="00EB13F4" w:rsidRPr="008D4D1C">
        <w:rPr>
          <w:rFonts w:ascii="Times New Roman" w:hAnsi="Times New Roman"/>
          <w:bCs/>
          <w:sz w:val="24"/>
          <w:szCs w:val="24"/>
        </w:rPr>
        <w:t xml:space="preserve"> public</w:t>
      </w:r>
      <w:r w:rsidR="00E05E88">
        <w:rPr>
          <w:rFonts w:ascii="Times New Roman" w:hAnsi="Times New Roman"/>
          <w:bCs/>
          <w:sz w:val="24"/>
          <w:szCs w:val="24"/>
        </w:rPr>
        <w:t xml:space="preserve"> health </w:t>
      </w:r>
      <w:r w:rsidR="00BA72A9">
        <w:rPr>
          <w:rFonts w:ascii="Times New Roman" w:hAnsi="Times New Roman"/>
          <w:bCs/>
          <w:sz w:val="24"/>
          <w:szCs w:val="24"/>
        </w:rPr>
        <w:t xml:space="preserve">intervention targeted at </w:t>
      </w:r>
      <w:r w:rsidR="00E05E88">
        <w:rPr>
          <w:rFonts w:ascii="Times New Roman" w:hAnsi="Times New Roman"/>
          <w:bCs/>
          <w:sz w:val="24"/>
          <w:szCs w:val="24"/>
        </w:rPr>
        <w:t xml:space="preserve">for proper antibiotics </w:t>
      </w:r>
      <w:r w:rsidR="00BA72A9">
        <w:rPr>
          <w:rFonts w:ascii="Times New Roman" w:hAnsi="Times New Roman"/>
          <w:bCs/>
          <w:sz w:val="24"/>
          <w:szCs w:val="24"/>
        </w:rPr>
        <w:t>stewardship and the management of wound cases in clinical settings</w:t>
      </w:r>
      <w:r w:rsidR="00EB13F4" w:rsidRPr="008777B3">
        <w:rPr>
          <w:rFonts w:ascii="Times New Roman" w:hAnsi="Times New Roman"/>
          <w:bCs/>
          <w:sz w:val="24"/>
          <w:szCs w:val="24"/>
        </w:rPr>
        <w:t>.</w:t>
      </w:r>
    </w:p>
    <w:p w14:paraId="3BED36D0" w14:textId="77777777" w:rsidR="00EB13F4" w:rsidRPr="008777B3" w:rsidRDefault="00EB13F4" w:rsidP="00EB13F4">
      <w:pPr>
        <w:spacing w:line="360" w:lineRule="auto"/>
        <w:jc w:val="both"/>
        <w:rPr>
          <w:rFonts w:ascii="Times New Roman" w:hAnsi="Times New Roman"/>
          <w:sz w:val="24"/>
          <w:szCs w:val="24"/>
        </w:rPr>
      </w:pPr>
      <w:r w:rsidRPr="008777B3">
        <w:rPr>
          <w:rFonts w:ascii="Times New Roman" w:hAnsi="Times New Roman"/>
          <w:b/>
          <w:color w:val="000000" w:themeColor="text1"/>
          <w:sz w:val="24"/>
          <w:szCs w:val="24"/>
        </w:rPr>
        <w:t xml:space="preserve">Keywords: </w:t>
      </w:r>
      <w:r w:rsidR="000A0ACB">
        <w:rPr>
          <w:rFonts w:ascii="Times New Roman" w:hAnsi="Times New Roman"/>
          <w:color w:val="000000" w:themeColor="text1"/>
          <w:sz w:val="24"/>
          <w:szCs w:val="24"/>
        </w:rPr>
        <w:t>Panton valentine leucocidin gene (PVL)</w:t>
      </w:r>
      <w:r w:rsidRPr="008777B3">
        <w:rPr>
          <w:rFonts w:ascii="Times New Roman" w:hAnsi="Times New Roman"/>
          <w:color w:val="000000" w:themeColor="text1"/>
          <w:sz w:val="24"/>
          <w:szCs w:val="24"/>
        </w:rPr>
        <w:t>,</w:t>
      </w:r>
      <w:r w:rsidR="000A0ACB">
        <w:rPr>
          <w:rFonts w:ascii="Times New Roman" w:hAnsi="Times New Roman"/>
          <w:color w:val="000000" w:themeColor="text1"/>
          <w:sz w:val="24"/>
          <w:szCs w:val="24"/>
        </w:rPr>
        <w:t xml:space="preserve"> Genomic</w:t>
      </w:r>
      <w:r w:rsidRPr="008777B3">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roofErr w:type="spellStart"/>
      <w:r w:rsidR="000A0ACB">
        <w:rPr>
          <w:rFonts w:ascii="Times New Roman" w:hAnsi="Times New Roman"/>
          <w:bCs/>
          <w:sz w:val="24"/>
          <w:szCs w:val="24"/>
          <w:lang w:val="en-GB"/>
        </w:rPr>
        <w:t>mecA</w:t>
      </w:r>
      <w:proofErr w:type="spellEnd"/>
      <w:r w:rsidR="000A0ACB">
        <w:rPr>
          <w:rFonts w:ascii="Times New Roman" w:hAnsi="Times New Roman"/>
          <w:bCs/>
          <w:sz w:val="24"/>
          <w:szCs w:val="24"/>
          <w:lang w:val="en-GB"/>
        </w:rPr>
        <w:t xml:space="preserve"> gene</w:t>
      </w:r>
      <w:r w:rsidRPr="008777B3">
        <w:rPr>
          <w:rFonts w:ascii="Times New Roman" w:hAnsi="Times New Roman"/>
          <w:bCs/>
          <w:sz w:val="24"/>
          <w:szCs w:val="24"/>
          <w:lang w:val="en-GB"/>
        </w:rPr>
        <w:t xml:space="preserve">, </w:t>
      </w:r>
      <w:r w:rsidR="000A0ACB">
        <w:rPr>
          <w:rFonts w:ascii="Times New Roman" w:hAnsi="Times New Roman"/>
          <w:sz w:val="24"/>
          <w:szCs w:val="24"/>
        </w:rPr>
        <w:t>toxigenic</w:t>
      </w:r>
      <w:r>
        <w:rPr>
          <w:rFonts w:ascii="Times New Roman" w:hAnsi="Times New Roman"/>
          <w:bCs/>
          <w:i/>
          <w:sz w:val="24"/>
          <w:szCs w:val="24"/>
          <w:lang w:val="en-GB"/>
        </w:rPr>
        <w:t xml:space="preserve">, </w:t>
      </w:r>
      <w:r w:rsidRPr="008777B3">
        <w:rPr>
          <w:rFonts w:ascii="Times New Roman" w:hAnsi="Times New Roman"/>
          <w:bCs/>
          <w:i/>
          <w:sz w:val="24"/>
          <w:szCs w:val="24"/>
          <w:lang w:val="en-GB"/>
        </w:rPr>
        <w:t>Staphylococcus</w:t>
      </w:r>
      <w:r w:rsidRPr="008777B3">
        <w:rPr>
          <w:rFonts w:ascii="Times New Roman" w:hAnsi="Times New Roman"/>
          <w:bCs/>
          <w:sz w:val="24"/>
          <w:szCs w:val="24"/>
          <w:lang w:val="en-GB"/>
        </w:rPr>
        <w:t xml:space="preserve"> </w:t>
      </w:r>
      <w:r w:rsidRPr="008777B3">
        <w:rPr>
          <w:rFonts w:ascii="Times New Roman" w:hAnsi="Times New Roman"/>
          <w:bCs/>
          <w:i/>
          <w:sz w:val="24"/>
          <w:szCs w:val="24"/>
          <w:lang w:val="en-GB"/>
        </w:rPr>
        <w:t>aureus</w:t>
      </w:r>
      <w:r w:rsidRPr="008777B3">
        <w:rPr>
          <w:rFonts w:ascii="Times New Roman" w:hAnsi="Times New Roman"/>
          <w:bCs/>
          <w:sz w:val="24"/>
          <w:szCs w:val="24"/>
          <w:lang w:val="en-GB"/>
        </w:rPr>
        <w:t xml:space="preserve">, </w:t>
      </w:r>
      <w:r w:rsidR="00186F76">
        <w:rPr>
          <w:rFonts w:ascii="Times New Roman" w:hAnsi="Times New Roman"/>
          <w:sz w:val="24"/>
          <w:szCs w:val="24"/>
        </w:rPr>
        <w:t>resistance</w:t>
      </w:r>
      <w:r>
        <w:rPr>
          <w:rFonts w:ascii="Times New Roman" w:hAnsi="Times New Roman"/>
          <w:sz w:val="24"/>
          <w:szCs w:val="24"/>
        </w:rPr>
        <w:t>.</w:t>
      </w:r>
      <w:r w:rsidRPr="008777B3">
        <w:rPr>
          <w:rFonts w:ascii="Times New Roman" w:hAnsi="Times New Roman"/>
          <w:sz w:val="24"/>
          <w:szCs w:val="24"/>
        </w:rPr>
        <w:t xml:space="preserve"> </w:t>
      </w:r>
    </w:p>
    <w:p w14:paraId="79298CC7" w14:textId="77777777" w:rsidR="00EB13F4" w:rsidRPr="008777B3" w:rsidRDefault="00EB13F4" w:rsidP="00EB13F4">
      <w:pPr>
        <w:autoSpaceDE w:val="0"/>
        <w:autoSpaceDN w:val="0"/>
        <w:adjustRightInd w:val="0"/>
        <w:spacing w:line="360" w:lineRule="auto"/>
        <w:jc w:val="both"/>
        <w:rPr>
          <w:rFonts w:ascii="Times New Roman" w:hAnsi="Times New Roman"/>
          <w:b/>
          <w:iCs/>
          <w:caps/>
          <w:color w:val="000000" w:themeColor="text1"/>
          <w:sz w:val="20"/>
          <w:szCs w:val="20"/>
        </w:rPr>
      </w:pPr>
      <w:r w:rsidRPr="008777B3">
        <w:rPr>
          <w:rFonts w:ascii="Times New Roman" w:hAnsi="Times New Roman"/>
          <w:b/>
          <w:iCs/>
          <w:caps/>
          <w:color w:val="000000" w:themeColor="text1"/>
          <w:sz w:val="20"/>
          <w:szCs w:val="20"/>
        </w:rPr>
        <w:t>1.0 InTroduction</w:t>
      </w:r>
    </w:p>
    <w:p w14:paraId="3EF66738" w14:textId="67662577" w:rsidR="007606C0" w:rsidRPr="007606C0" w:rsidRDefault="00EE64C2" w:rsidP="007606C0">
      <w:pPr>
        <w:autoSpaceDE w:val="0"/>
        <w:autoSpaceDN w:val="0"/>
        <w:adjustRightInd w:val="0"/>
        <w:spacing w:line="360" w:lineRule="auto"/>
        <w:jc w:val="both"/>
        <w:rPr>
          <w:rFonts w:ascii="Times New Roman" w:hAnsi="Times New Roman"/>
          <w:sz w:val="24"/>
          <w:szCs w:val="24"/>
          <w:lang w:val="en-US"/>
        </w:rPr>
      </w:pPr>
      <w:r w:rsidRPr="00EE64C2">
        <w:rPr>
          <w:rFonts w:ascii="Times New Roman" w:hAnsi="Times New Roman"/>
          <w:iCs/>
          <w:sz w:val="24"/>
          <w:szCs w:val="24"/>
          <w:lang w:val="en-US"/>
        </w:rPr>
        <w:t xml:space="preserve">Species of </w:t>
      </w:r>
      <w:r w:rsidRPr="00EE64C2">
        <w:rPr>
          <w:rFonts w:ascii="Times New Roman" w:hAnsi="Times New Roman"/>
          <w:i/>
          <w:iCs/>
          <w:sz w:val="24"/>
          <w:szCs w:val="24"/>
          <w:lang w:val="en-US"/>
        </w:rPr>
        <w:t xml:space="preserve">Staphylococcus </w:t>
      </w:r>
      <w:r w:rsidRPr="00EE64C2">
        <w:rPr>
          <w:rFonts w:ascii="Times New Roman" w:hAnsi="Times New Roman"/>
          <w:iCs/>
          <w:sz w:val="24"/>
          <w:szCs w:val="24"/>
          <w:lang w:val="en-US"/>
        </w:rPr>
        <w:t>are implicated in a wide array of pathologies affecting both humans and animals, encompassing conditions that range from superficial dermatological infections to severe, potentially fatal systemic diseases</w:t>
      </w:r>
      <w:r w:rsidR="007606C0" w:rsidRPr="00EE64C2">
        <w:rPr>
          <w:rFonts w:ascii="Times New Roman" w:hAnsi="Times New Roman"/>
          <w:sz w:val="24"/>
          <w:szCs w:val="24"/>
          <w:lang w:val="en-US"/>
        </w:rPr>
        <w:t>.</w:t>
      </w:r>
      <w:r w:rsidR="007606C0" w:rsidRPr="007606C0">
        <w:rPr>
          <w:rFonts w:ascii="Times New Roman" w:hAnsi="Times New Roman"/>
          <w:sz w:val="24"/>
          <w:szCs w:val="24"/>
          <w:lang w:val="en-US"/>
        </w:rPr>
        <w:t xml:space="preserve"> </w:t>
      </w:r>
      <w:r w:rsidR="001F5F2C">
        <w:rPr>
          <w:rFonts w:ascii="Times New Roman" w:hAnsi="Times New Roman"/>
          <w:sz w:val="24"/>
          <w:szCs w:val="24"/>
          <w:lang w:val="en-US"/>
        </w:rPr>
        <w:t xml:space="preserve">The organism is a </w:t>
      </w:r>
      <w:r w:rsidR="001F5F2C" w:rsidRPr="007606C0">
        <w:rPr>
          <w:rFonts w:ascii="Times New Roman" w:hAnsi="Times New Roman"/>
          <w:sz w:val="24"/>
          <w:szCs w:val="24"/>
          <w:lang w:val="en-US"/>
        </w:rPr>
        <w:t>facultative aerobic</w:t>
      </w:r>
      <w:r w:rsidR="001F5F2C">
        <w:rPr>
          <w:rFonts w:ascii="Times New Roman" w:hAnsi="Times New Roman"/>
          <w:sz w:val="24"/>
          <w:szCs w:val="24"/>
          <w:lang w:val="en-US"/>
        </w:rPr>
        <w:t>, non-motile</w:t>
      </w:r>
      <w:r w:rsidR="007606C0" w:rsidRPr="007606C0">
        <w:rPr>
          <w:rFonts w:ascii="Times New Roman" w:hAnsi="Times New Roman"/>
          <w:sz w:val="24"/>
          <w:szCs w:val="24"/>
          <w:lang w:val="en-US"/>
        </w:rPr>
        <w:t xml:space="preserve"> Gram-positive </w:t>
      </w:r>
      <w:r w:rsidR="001F5F2C">
        <w:rPr>
          <w:rFonts w:ascii="Times New Roman" w:hAnsi="Times New Roman"/>
          <w:sz w:val="24"/>
          <w:szCs w:val="24"/>
          <w:lang w:val="en-US"/>
        </w:rPr>
        <w:t>cocci</w:t>
      </w:r>
      <w:r w:rsidR="007606C0" w:rsidRPr="007606C0">
        <w:rPr>
          <w:rFonts w:ascii="Times New Roman" w:hAnsi="Times New Roman"/>
          <w:sz w:val="24"/>
          <w:szCs w:val="24"/>
          <w:lang w:val="en-US"/>
        </w:rPr>
        <w:t xml:space="preserve">, typically </w:t>
      </w:r>
      <w:r w:rsidR="001F5F2C" w:rsidRPr="007606C0">
        <w:rPr>
          <w:rFonts w:ascii="Times New Roman" w:hAnsi="Times New Roman"/>
          <w:sz w:val="24"/>
          <w:szCs w:val="24"/>
          <w:lang w:val="en-US"/>
        </w:rPr>
        <w:t>occur</w:t>
      </w:r>
      <w:r w:rsidR="001F5F2C">
        <w:rPr>
          <w:rFonts w:ascii="Times New Roman" w:hAnsi="Times New Roman"/>
          <w:sz w:val="24"/>
          <w:szCs w:val="24"/>
          <w:lang w:val="en-US"/>
        </w:rPr>
        <w:t>ring</w:t>
      </w:r>
      <w:r w:rsidR="007606C0" w:rsidRPr="007606C0">
        <w:rPr>
          <w:rFonts w:ascii="Times New Roman" w:hAnsi="Times New Roman"/>
          <w:sz w:val="24"/>
          <w:szCs w:val="24"/>
          <w:lang w:val="en-US"/>
        </w:rPr>
        <w:t xml:space="preserve"> in pairs or clusters [1]. Although it is commonly a commensal organism inhabiting the skin and mucosal surfaces of healthy individuals, it can become pathogenic when the skin barrier is disrupted or host immunity is compromised.</w:t>
      </w:r>
      <w:r w:rsidR="009A41EB">
        <w:rPr>
          <w:rFonts w:ascii="Times New Roman" w:hAnsi="Times New Roman"/>
          <w:sz w:val="24"/>
          <w:szCs w:val="24"/>
          <w:lang w:val="en-US"/>
        </w:rPr>
        <w:t xml:space="preserve"> </w:t>
      </w:r>
      <w:r w:rsidR="007606C0" w:rsidRPr="007606C0">
        <w:rPr>
          <w:rFonts w:ascii="Times New Roman" w:hAnsi="Times New Roman"/>
          <w:sz w:val="24"/>
          <w:szCs w:val="24"/>
          <w:lang w:val="en-US"/>
        </w:rPr>
        <w:t xml:space="preserve">The pathogenicity of </w:t>
      </w:r>
      <w:r w:rsidR="007606C0" w:rsidRPr="001F5F2C">
        <w:rPr>
          <w:rFonts w:ascii="Times New Roman" w:hAnsi="Times New Roman"/>
          <w:i/>
          <w:sz w:val="24"/>
          <w:szCs w:val="24"/>
          <w:lang w:val="en-US"/>
        </w:rPr>
        <w:t>S. aureus</w:t>
      </w:r>
      <w:r w:rsidR="007606C0" w:rsidRPr="007606C0">
        <w:rPr>
          <w:rFonts w:ascii="Times New Roman" w:hAnsi="Times New Roman"/>
          <w:sz w:val="24"/>
          <w:szCs w:val="24"/>
          <w:lang w:val="en-US"/>
        </w:rPr>
        <w:t xml:space="preserve"> is mediated by a variety of virulence factors, including surface proteins that facilitate adhesion, toxins that destroy host cells, and enzymes that promote tissue invasion. Clinically, </w:t>
      </w:r>
      <w:r w:rsidR="007606C0" w:rsidRPr="001F5F2C">
        <w:rPr>
          <w:rFonts w:ascii="Times New Roman" w:hAnsi="Times New Roman"/>
          <w:i/>
          <w:sz w:val="24"/>
          <w:szCs w:val="24"/>
          <w:lang w:val="en-US"/>
        </w:rPr>
        <w:t>S. aureus</w:t>
      </w:r>
      <w:r w:rsidR="007606C0" w:rsidRPr="007606C0">
        <w:rPr>
          <w:rFonts w:ascii="Times New Roman" w:hAnsi="Times New Roman"/>
          <w:sz w:val="24"/>
          <w:szCs w:val="24"/>
          <w:lang w:val="en-US"/>
        </w:rPr>
        <w:t xml:space="preserve"> infections range from superficial skin and soft tissue infections, such as boils, impetigo, and abscesses, to severe conditions including pneumonia, endocarditis, osteomyelitis, toxic shock syndrome, and bloodstream infections [2]. Its ability to colonize </w:t>
      </w:r>
      <w:r w:rsidR="007606C0" w:rsidRPr="007606C0">
        <w:rPr>
          <w:rFonts w:ascii="Times New Roman" w:hAnsi="Times New Roman"/>
          <w:sz w:val="24"/>
          <w:szCs w:val="24"/>
          <w:lang w:val="en-US"/>
        </w:rPr>
        <w:lastRenderedPageBreak/>
        <w:t>mucosal surfaces, combined with the emergence of antibiotic-resistant strains, makes it a frequent cause of both community-acquired and hospital-acquired (nosocomial) infections [3].</w:t>
      </w:r>
    </w:p>
    <w:p w14:paraId="4A0AB53D" w14:textId="2DBFC968" w:rsidR="00A85DDC" w:rsidRPr="007606C0" w:rsidRDefault="007606C0" w:rsidP="00A85DDC">
      <w:pPr>
        <w:autoSpaceDE w:val="0"/>
        <w:autoSpaceDN w:val="0"/>
        <w:adjustRightInd w:val="0"/>
        <w:spacing w:line="360" w:lineRule="auto"/>
        <w:jc w:val="both"/>
        <w:rPr>
          <w:rFonts w:ascii="Times New Roman" w:hAnsi="Times New Roman"/>
          <w:i/>
          <w:iCs/>
          <w:sz w:val="24"/>
          <w:szCs w:val="24"/>
          <w:lang w:val="en-US"/>
        </w:rPr>
      </w:pPr>
      <w:r w:rsidRPr="007606C0">
        <w:rPr>
          <w:rFonts w:ascii="Times New Roman" w:hAnsi="Times New Roman"/>
          <w:sz w:val="24"/>
          <w:szCs w:val="24"/>
          <w:lang w:val="en-US"/>
        </w:rPr>
        <w:t>Wound infections, specifically, result from a complex interaction between pathogenic microorganisms and the host. A wound infection is defined as the presence or proliferation of pathog</w:t>
      </w:r>
      <w:r w:rsidR="001F5F2C">
        <w:rPr>
          <w:rFonts w:ascii="Times New Roman" w:hAnsi="Times New Roman"/>
          <w:sz w:val="24"/>
          <w:szCs w:val="24"/>
          <w:lang w:val="en-US"/>
        </w:rPr>
        <w:t>enic organisms in the wound environment or area</w:t>
      </w:r>
      <w:r w:rsidRPr="007606C0">
        <w:rPr>
          <w:rFonts w:ascii="Times New Roman" w:hAnsi="Times New Roman"/>
          <w:sz w:val="24"/>
          <w:szCs w:val="24"/>
          <w:lang w:val="en-US"/>
        </w:rPr>
        <w:t>, often leading to local inflammation, delayed healing, and sometimes systemic complications [4,5].</w:t>
      </w:r>
    </w:p>
    <w:p w14:paraId="46E043AE" w14:textId="04091DB1" w:rsidR="007606C0" w:rsidRPr="007606C0" w:rsidRDefault="007606C0" w:rsidP="00186F76">
      <w:pPr>
        <w:spacing w:line="360" w:lineRule="auto"/>
        <w:jc w:val="both"/>
        <w:rPr>
          <w:rFonts w:ascii="Times New Roman" w:hAnsi="Times New Roman"/>
          <w:sz w:val="24"/>
          <w:szCs w:val="24"/>
        </w:rPr>
      </w:pPr>
      <w:r w:rsidRPr="001F5F2C">
        <w:rPr>
          <w:rFonts w:ascii="Times New Roman" w:hAnsi="Times New Roman"/>
          <w:i/>
          <w:sz w:val="24"/>
          <w:szCs w:val="24"/>
        </w:rPr>
        <w:t>Staphylococcus aureus</w:t>
      </w:r>
      <w:r w:rsidRPr="007606C0">
        <w:rPr>
          <w:rFonts w:ascii="Times New Roman" w:hAnsi="Times New Roman"/>
          <w:sz w:val="24"/>
          <w:szCs w:val="24"/>
        </w:rPr>
        <w:t xml:space="preserve"> produces a wide array of virulence </w:t>
      </w:r>
      <w:r w:rsidR="001F5F2C" w:rsidRPr="007606C0">
        <w:rPr>
          <w:rFonts w:ascii="Times New Roman" w:hAnsi="Times New Roman"/>
          <w:sz w:val="24"/>
          <w:szCs w:val="24"/>
        </w:rPr>
        <w:t>features</w:t>
      </w:r>
      <w:r w:rsidRPr="007606C0">
        <w:rPr>
          <w:rFonts w:ascii="Times New Roman" w:hAnsi="Times New Roman"/>
          <w:sz w:val="24"/>
          <w:szCs w:val="24"/>
        </w:rPr>
        <w:t xml:space="preserve"> that enable it to establish infection by promoting adhesion to host tissues, facilitating tissue invasion, and evading host immune responses. These virulence mechanisms, combined with the bacterium’s remarkable capacity to acquire resistance to multiple classes of antibiotics, make S. aureus a particularly difficult pathogen to treat [7]. Indeed, </w:t>
      </w:r>
      <w:r w:rsidRPr="00CE0488">
        <w:rPr>
          <w:rFonts w:ascii="Times New Roman" w:hAnsi="Times New Roman"/>
          <w:i/>
          <w:sz w:val="24"/>
          <w:szCs w:val="24"/>
        </w:rPr>
        <w:t>S. aureus</w:t>
      </w:r>
      <w:r w:rsidRPr="007606C0">
        <w:rPr>
          <w:rFonts w:ascii="Times New Roman" w:hAnsi="Times New Roman"/>
          <w:sz w:val="24"/>
          <w:szCs w:val="24"/>
        </w:rPr>
        <w:t xml:space="preserve"> is considered one of the most clinically significant antibiotic-resistant bacteria, having developed mechanisms of resistance against nearly all antibiotics historically employed for its treatment [8]. Consequently, infections caused by S. aureus, and other antibiotic-resistant staphylococcal species, are increasingly challenging to manage due to the prevalence of multidrug-resistant strains and the associated risk of treatment failure [9].</w:t>
      </w:r>
    </w:p>
    <w:p w14:paraId="4B906B9E" w14:textId="2D3FB2DB" w:rsidR="00E81725" w:rsidRPr="00186F76" w:rsidRDefault="008F6E93" w:rsidP="00186F76">
      <w:pPr>
        <w:spacing w:line="360" w:lineRule="auto"/>
        <w:jc w:val="both"/>
        <w:rPr>
          <w:rFonts w:ascii="Times New Roman" w:hAnsi="Times New Roman"/>
          <w:b/>
          <w:sz w:val="24"/>
          <w:szCs w:val="24"/>
        </w:rPr>
      </w:pPr>
      <w:r w:rsidRPr="00F35F6D">
        <w:rPr>
          <w:rFonts w:ascii="Times New Roman" w:hAnsi="Times New Roman"/>
          <w:sz w:val="24"/>
          <w:szCs w:val="24"/>
        </w:rPr>
        <w:t xml:space="preserve">The increasing level of resistance of </w:t>
      </w:r>
      <w:r w:rsidRPr="00F35F6D">
        <w:rPr>
          <w:rFonts w:ascii="Times New Roman" w:eastAsiaTheme="minorEastAsia" w:hAnsi="Times New Roman"/>
          <w:i/>
          <w:kern w:val="24"/>
          <w:sz w:val="24"/>
          <w:szCs w:val="24"/>
        </w:rPr>
        <w:t>Staphylococcus</w:t>
      </w:r>
      <w:r w:rsidRPr="00F35F6D">
        <w:rPr>
          <w:rFonts w:ascii="Times New Roman" w:eastAsiaTheme="minorEastAsia" w:hAnsi="Times New Roman"/>
          <w:kern w:val="24"/>
          <w:sz w:val="24"/>
          <w:szCs w:val="24"/>
        </w:rPr>
        <w:t xml:space="preserve"> </w:t>
      </w:r>
      <w:r w:rsidRPr="00F35F6D">
        <w:rPr>
          <w:rFonts w:ascii="Times New Roman" w:eastAsiaTheme="minorEastAsia" w:hAnsi="Times New Roman"/>
          <w:i/>
          <w:kern w:val="24"/>
          <w:sz w:val="24"/>
          <w:szCs w:val="24"/>
        </w:rPr>
        <w:t>aureus</w:t>
      </w:r>
      <w:r w:rsidRPr="00F35F6D">
        <w:rPr>
          <w:rFonts w:ascii="Times New Roman" w:hAnsi="Times New Roman"/>
          <w:sz w:val="24"/>
          <w:szCs w:val="24"/>
        </w:rPr>
        <w:t xml:space="preserve"> to antibiotics </w:t>
      </w:r>
      <w:r w:rsidRPr="00F35F6D">
        <w:rPr>
          <w:rFonts w:ascii="Times New Roman" w:eastAsiaTheme="minorEastAsia" w:hAnsi="Times New Roman"/>
          <w:kern w:val="24"/>
          <w:sz w:val="24"/>
          <w:szCs w:val="24"/>
        </w:rPr>
        <w:t xml:space="preserve">could be </w:t>
      </w:r>
      <w:r w:rsidR="007606C0">
        <w:rPr>
          <w:rFonts w:ascii="Times New Roman" w:eastAsiaTheme="minorEastAsia" w:hAnsi="Times New Roman"/>
          <w:kern w:val="24"/>
          <w:sz w:val="24"/>
          <w:szCs w:val="24"/>
        </w:rPr>
        <w:t>because</w:t>
      </w:r>
      <w:r>
        <w:rPr>
          <w:rFonts w:ascii="Times New Roman" w:eastAsiaTheme="minorEastAsia" w:hAnsi="Times New Roman"/>
          <w:kern w:val="24"/>
          <w:sz w:val="24"/>
          <w:szCs w:val="24"/>
        </w:rPr>
        <w:t xml:space="preserve"> of the presence of </w:t>
      </w:r>
      <w:r w:rsidRPr="00F35F6D">
        <w:rPr>
          <w:rFonts w:ascii="Times New Roman" w:eastAsiaTheme="minorEastAsia" w:hAnsi="Times New Roman"/>
          <w:kern w:val="24"/>
          <w:sz w:val="24"/>
          <w:szCs w:val="24"/>
        </w:rPr>
        <w:t xml:space="preserve">resistance genes. </w:t>
      </w:r>
      <w:r w:rsidR="007606C0" w:rsidRPr="00F35F6D">
        <w:rPr>
          <w:rFonts w:ascii="Times New Roman" w:eastAsiaTheme="minorEastAsia" w:hAnsi="Times New Roman"/>
          <w:kern w:val="24"/>
          <w:sz w:val="24"/>
          <w:szCs w:val="24"/>
        </w:rPr>
        <w:t>Therefore,</w:t>
      </w:r>
      <w:r w:rsidRPr="00F35F6D">
        <w:rPr>
          <w:rFonts w:ascii="Times New Roman" w:eastAsiaTheme="minorEastAsia" w:hAnsi="Times New Roman"/>
          <w:kern w:val="24"/>
          <w:sz w:val="24"/>
          <w:szCs w:val="24"/>
        </w:rPr>
        <w:t xml:space="preserve"> the need to probe</w:t>
      </w:r>
      <w:r>
        <w:rPr>
          <w:rFonts w:ascii="Times New Roman" w:eastAsiaTheme="minorEastAsia" w:hAnsi="Times New Roman"/>
          <w:kern w:val="24"/>
          <w:sz w:val="24"/>
          <w:szCs w:val="24"/>
        </w:rPr>
        <w:t xml:space="preserve"> for antibiotic resistance</w:t>
      </w:r>
      <w:r w:rsidRPr="00F35F6D">
        <w:rPr>
          <w:rFonts w:ascii="Times New Roman" w:eastAsiaTheme="minorEastAsia" w:hAnsi="Times New Roman"/>
          <w:kern w:val="24"/>
          <w:sz w:val="24"/>
          <w:szCs w:val="24"/>
        </w:rPr>
        <w:t xml:space="preserve"> in isolates is very essential.</w:t>
      </w:r>
      <w:r w:rsidRPr="008777B3">
        <w:rPr>
          <w:rFonts w:ascii="Times New Roman" w:hAnsi="Times New Roman"/>
          <w:sz w:val="24"/>
          <w:szCs w:val="24"/>
        </w:rPr>
        <w:t xml:space="preserve"> </w:t>
      </w:r>
      <w:r w:rsidR="00E81725" w:rsidRPr="002E3A13">
        <w:rPr>
          <w:rFonts w:ascii="Times New Roman" w:hAnsi="Times New Roman"/>
          <w:sz w:val="24"/>
          <w:szCs w:val="24"/>
        </w:rPr>
        <w:t xml:space="preserve"> </w:t>
      </w:r>
      <w:r w:rsidR="00E95B34" w:rsidRPr="00F35F6D">
        <w:rPr>
          <w:rFonts w:ascii="Times New Roman" w:eastAsiaTheme="minorEastAsia" w:hAnsi="Times New Roman"/>
          <w:i/>
          <w:kern w:val="24"/>
          <w:sz w:val="24"/>
          <w:szCs w:val="24"/>
        </w:rPr>
        <w:t>S</w:t>
      </w:r>
      <w:r w:rsidR="00E95B34" w:rsidRPr="00F35F6D">
        <w:rPr>
          <w:rFonts w:ascii="Times New Roman" w:hAnsi="Times New Roman"/>
          <w:i/>
          <w:sz w:val="24"/>
          <w:szCs w:val="24"/>
        </w:rPr>
        <w:t>. aureus</w:t>
      </w:r>
      <w:r w:rsidR="00E95B34" w:rsidRPr="00F35F6D">
        <w:rPr>
          <w:rFonts w:ascii="Times New Roman" w:hAnsi="Times New Roman"/>
          <w:sz w:val="24"/>
          <w:szCs w:val="24"/>
        </w:rPr>
        <w:t xml:space="preserve"> </w:t>
      </w:r>
      <w:r w:rsidR="00CE0488">
        <w:rPr>
          <w:rFonts w:ascii="Times New Roman" w:hAnsi="Times New Roman"/>
          <w:sz w:val="24"/>
          <w:szCs w:val="24"/>
        </w:rPr>
        <w:t>elaborates</w:t>
      </w:r>
      <w:r w:rsidR="00E95B34" w:rsidRPr="00F35F6D">
        <w:rPr>
          <w:rFonts w:ascii="Times New Roman" w:hAnsi="Times New Roman"/>
          <w:sz w:val="24"/>
          <w:szCs w:val="24"/>
        </w:rPr>
        <w:t xml:space="preserve"> virulence </w:t>
      </w:r>
      <w:r w:rsidR="00CE0488">
        <w:rPr>
          <w:rFonts w:ascii="Times New Roman" w:hAnsi="Times New Roman"/>
          <w:sz w:val="24"/>
          <w:szCs w:val="24"/>
        </w:rPr>
        <w:t xml:space="preserve">through various </w:t>
      </w:r>
      <w:r w:rsidR="00E95B34" w:rsidRPr="00F35F6D">
        <w:rPr>
          <w:rFonts w:ascii="Times New Roman" w:hAnsi="Times New Roman"/>
          <w:sz w:val="24"/>
          <w:szCs w:val="24"/>
        </w:rPr>
        <w:t xml:space="preserve">factors, such as toxins, production of biofilm and lysing of red blood cells to develop an infection in the host and persist in their infection. </w:t>
      </w:r>
      <w:r w:rsidR="00E95B34">
        <w:rPr>
          <w:rFonts w:ascii="Times New Roman" w:hAnsi="Times New Roman"/>
          <w:sz w:val="24"/>
          <w:szCs w:val="24"/>
        </w:rPr>
        <w:t xml:space="preserve">Analysis for the </w:t>
      </w:r>
      <w:r w:rsidR="00E95B34" w:rsidRPr="00F35F6D">
        <w:rPr>
          <w:rFonts w:ascii="Times New Roman" w:hAnsi="Times New Roman"/>
          <w:sz w:val="24"/>
          <w:szCs w:val="24"/>
        </w:rPr>
        <w:t>presence of toxigenic (</w:t>
      </w:r>
      <w:proofErr w:type="spellStart"/>
      <w:r w:rsidR="00E95B34" w:rsidRPr="00F35F6D">
        <w:rPr>
          <w:rFonts w:ascii="Times New Roman" w:hAnsi="Times New Roman"/>
          <w:sz w:val="24"/>
          <w:szCs w:val="24"/>
        </w:rPr>
        <w:t>panton</w:t>
      </w:r>
      <w:proofErr w:type="spellEnd"/>
      <w:r w:rsidR="00E95B34" w:rsidRPr="00F35F6D">
        <w:rPr>
          <w:rFonts w:ascii="Times New Roman" w:hAnsi="Times New Roman"/>
          <w:sz w:val="24"/>
          <w:szCs w:val="24"/>
        </w:rPr>
        <w:t xml:space="preserve">-valentine </w:t>
      </w:r>
      <w:proofErr w:type="spellStart"/>
      <w:r w:rsidR="00E95B34" w:rsidRPr="00F35F6D">
        <w:rPr>
          <w:rFonts w:ascii="Times New Roman" w:hAnsi="Times New Roman"/>
          <w:sz w:val="24"/>
          <w:szCs w:val="24"/>
        </w:rPr>
        <w:t>leucocidine</w:t>
      </w:r>
      <w:proofErr w:type="spellEnd"/>
      <w:r w:rsidR="00E95B34" w:rsidRPr="00F35F6D">
        <w:rPr>
          <w:rFonts w:ascii="Times New Roman" w:hAnsi="Times New Roman"/>
          <w:sz w:val="24"/>
          <w:szCs w:val="24"/>
        </w:rPr>
        <w:t xml:space="preserve">) genes is therefore important in probing the pathogenic potentials of these isolates. </w:t>
      </w:r>
      <w:r w:rsidR="007606C0">
        <w:rPr>
          <w:rFonts w:ascii="Times New Roman" w:hAnsi="Times New Roman"/>
          <w:sz w:val="24"/>
          <w:szCs w:val="24"/>
        </w:rPr>
        <w:t xml:space="preserve">Therefore, the aim of the research was to determine the prevalence of </w:t>
      </w:r>
      <w:proofErr w:type="spellStart"/>
      <w:r w:rsidR="007606C0">
        <w:rPr>
          <w:rFonts w:ascii="Times New Roman" w:hAnsi="Times New Roman"/>
          <w:sz w:val="24"/>
          <w:szCs w:val="24"/>
        </w:rPr>
        <w:t>mec</w:t>
      </w:r>
      <w:proofErr w:type="spellEnd"/>
      <w:r w:rsidR="007606C0">
        <w:rPr>
          <w:rFonts w:ascii="Times New Roman" w:hAnsi="Times New Roman"/>
          <w:sz w:val="24"/>
          <w:szCs w:val="24"/>
        </w:rPr>
        <w:t xml:space="preserve">-A positive </w:t>
      </w:r>
      <w:r w:rsidR="00CE0488">
        <w:rPr>
          <w:rFonts w:ascii="Times New Roman" w:hAnsi="Times New Roman"/>
          <w:i/>
          <w:iCs/>
          <w:sz w:val="24"/>
          <w:szCs w:val="24"/>
        </w:rPr>
        <w:t>S.</w:t>
      </w:r>
      <w:r w:rsidR="007606C0">
        <w:rPr>
          <w:rFonts w:ascii="Times New Roman" w:hAnsi="Times New Roman"/>
          <w:i/>
          <w:iCs/>
          <w:sz w:val="24"/>
          <w:szCs w:val="24"/>
        </w:rPr>
        <w:t xml:space="preserve"> aureus </w:t>
      </w:r>
      <w:r w:rsidR="007606C0">
        <w:rPr>
          <w:rFonts w:ascii="Times New Roman" w:hAnsi="Times New Roman"/>
          <w:sz w:val="24"/>
          <w:szCs w:val="24"/>
        </w:rPr>
        <w:t>and PVL gene carriage among wound isolates at a tertiary hospital in Port Harcourt, Nigeria.</w:t>
      </w:r>
      <w:r>
        <w:rPr>
          <w:rFonts w:ascii="Times New Roman" w:hAnsi="Times New Roman"/>
          <w:b/>
          <w:sz w:val="24"/>
          <w:szCs w:val="24"/>
        </w:rPr>
        <w:t xml:space="preserve"> </w:t>
      </w:r>
    </w:p>
    <w:p w14:paraId="7E7D7837" w14:textId="77777777" w:rsidR="00EB13F4" w:rsidRPr="00D56875" w:rsidRDefault="00EB13F4" w:rsidP="00EB13F4">
      <w:pPr>
        <w:spacing w:line="360" w:lineRule="auto"/>
        <w:jc w:val="both"/>
        <w:rPr>
          <w:rFonts w:ascii="Times New Roman" w:hAnsi="Times New Roman"/>
          <w:sz w:val="24"/>
          <w:szCs w:val="24"/>
        </w:rPr>
      </w:pPr>
      <w:r w:rsidRPr="00017AD9">
        <w:rPr>
          <w:rFonts w:ascii="Times New Roman" w:hAnsi="Times New Roman"/>
          <w:b/>
          <w:sz w:val="24"/>
          <w:szCs w:val="24"/>
        </w:rPr>
        <w:t>2.0</w:t>
      </w:r>
      <w:r>
        <w:rPr>
          <w:rFonts w:ascii="Times New Roman" w:hAnsi="Times New Roman"/>
          <w:sz w:val="24"/>
          <w:szCs w:val="24"/>
        </w:rPr>
        <w:t xml:space="preserve"> </w:t>
      </w:r>
      <w:r w:rsidRPr="008777B3">
        <w:rPr>
          <w:rFonts w:ascii="Times New Roman" w:hAnsi="Times New Roman"/>
          <w:b/>
          <w:sz w:val="24"/>
          <w:szCs w:val="24"/>
        </w:rPr>
        <w:t>MATERIALS AND METHODS</w:t>
      </w:r>
    </w:p>
    <w:p w14:paraId="2E79E4CC" w14:textId="77777777" w:rsidR="00EB13F4" w:rsidRPr="008777B3" w:rsidRDefault="00EB13F4" w:rsidP="00EB13F4">
      <w:pPr>
        <w:spacing w:after="0" w:line="360" w:lineRule="auto"/>
        <w:jc w:val="both"/>
        <w:rPr>
          <w:rFonts w:ascii="Times New Roman" w:hAnsi="Times New Roman"/>
          <w:b/>
          <w:sz w:val="24"/>
          <w:szCs w:val="24"/>
        </w:rPr>
      </w:pPr>
      <w:r>
        <w:rPr>
          <w:rFonts w:ascii="Times New Roman" w:hAnsi="Times New Roman"/>
          <w:b/>
          <w:sz w:val="24"/>
          <w:szCs w:val="24"/>
        </w:rPr>
        <w:t>2.1</w:t>
      </w:r>
      <w:r w:rsidRPr="008777B3">
        <w:rPr>
          <w:rFonts w:ascii="Times New Roman" w:hAnsi="Times New Roman"/>
          <w:b/>
          <w:sz w:val="24"/>
          <w:szCs w:val="24"/>
        </w:rPr>
        <w:tab/>
        <w:t>Description of Study location</w:t>
      </w:r>
    </w:p>
    <w:p w14:paraId="11462A8A" w14:textId="052338BE" w:rsidR="009F2BD8" w:rsidRPr="009F2BD8" w:rsidRDefault="00CE0488" w:rsidP="009F2BD8">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Samples for this study </w:t>
      </w:r>
      <w:r w:rsidR="009F2BD8" w:rsidRPr="009F2BD8">
        <w:rPr>
          <w:rFonts w:ascii="Times New Roman" w:hAnsi="Times New Roman"/>
          <w:sz w:val="24"/>
          <w:szCs w:val="24"/>
          <w:lang w:val="en-US"/>
        </w:rPr>
        <w:t xml:space="preserve">was </w:t>
      </w:r>
      <w:r>
        <w:rPr>
          <w:rFonts w:ascii="Times New Roman" w:hAnsi="Times New Roman"/>
          <w:sz w:val="24"/>
          <w:szCs w:val="24"/>
          <w:lang w:val="en-US"/>
        </w:rPr>
        <w:t xml:space="preserve">collected from </w:t>
      </w:r>
      <w:r w:rsidR="009F2BD8" w:rsidRPr="009F2BD8">
        <w:rPr>
          <w:rFonts w:ascii="Times New Roman" w:hAnsi="Times New Roman"/>
          <w:sz w:val="24"/>
          <w:szCs w:val="24"/>
          <w:lang w:val="en-US"/>
        </w:rPr>
        <w:t xml:space="preserve">the University of </w:t>
      </w:r>
      <w:r>
        <w:rPr>
          <w:rFonts w:ascii="Times New Roman" w:hAnsi="Times New Roman"/>
          <w:sz w:val="24"/>
          <w:szCs w:val="24"/>
          <w:lang w:val="en-US"/>
        </w:rPr>
        <w:t xml:space="preserve">Port Harcourt Teaching Hospital, </w:t>
      </w:r>
      <w:r w:rsidR="009F2BD8" w:rsidRPr="009F2BD8">
        <w:rPr>
          <w:rFonts w:ascii="Times New Roman" w:hAnsi="Times New Roman"/>
          <w:sz w:val="24"/>
          <w:szCs w:val="24"/>
          <w:lang w:val="en-US"/>
        </w:rPr>
        <w:t>Port Harcourt</w:t>
      </w:r>
      <w:r>
        <w:rPr>
          <w:rFonts w:ascii="Times New Roman" w:hAnsi="Times New Roman"/>
          <w:sz w:val="24"/>
          <w:szCs w:val="24"/>
          <w:lang w:val="en-US"/>
        </w:rPr>
        <w:t xml:space="preserve">, </w:t>
      </w:r>
      <w:r w:rsidR="009F2BD8" w:rsidRPr="009F2BD8">
        <w:rPr>
          <w:rFonts w:ascii="Times New Roman" w:hAnsi="Times New Roman"/>
          <w:sz w:val="24"/>
          <w:szCs w:val="24"/>
          <w:lang w:val="en-US"/>
        </w:rPr>
        <w:t>Nigeria</w:t>
      </w:r>
      <w:r>
        <w:rPr>
          <w:rFonts w:ascii="Times New Roman" w:hAnsi="Times New Roman"/>
          <w:sz w:val="24"/>
          <w:szCs w:val="24"/>
          <w:lang w:val="en-US"/>
        </w:rPr>
        <w:t xml:space="preserve">. The hospital lies between </w:t>
      </w:r>
      <w:r w:rsidR="009F2BD8" w:rsidRPr="009F2BD8">
        <w:rPr>
          <w:rFonts w:ascii="Times New Roman" w:hAnsi="Times New Roman"/>
          <w:sz w:val="24"/>
          <w:szCs w:val="24"/>
          <w:lang w:val="en-US"/>
        </w:rPr>
        <w:t xml:space="preserve">Latitude </w:t>
      </w:r>
      <w:r>
        <w:rPr>
          <w:rFonts w:ascii="Times New Roman" w:hAnsi="Times New Roman"/>
          <w:sz w:val="24"/>
          <w:szCs w:val="24"/>
          <w:lang w:val="en-US"/>
        </w:rPr>
        <w:t>4.8998°N and Longitude 6.9292°E</w:t>
      </w:r>
      <w:r w:rsidR="009F2BD8" w:rsidRPr="009F2BD8">
        <w:rPr>
          <w:rFonts w:ascii="Times New Roman" w:hAnsi="Times New Roman"/>
          <w:sz w:val="24"/>
          <w:szCs w:val="24"/>
          <w:lang w:val="en-US"/>
        </w:rPr>
        <w:t xml:space="preserve">. </w:t>
      </w:r>
      <w:r>
        <w:rPr>
          <w:rFonts w:ascii="Times New Roman" w:hAnsi="Times New Roman"/>
          <w:sz w:val="24"/>
          <w:szCs w:val="24"/>
          <w:lang w:val="en-US"/>
        </w:rPr>
        <w:t xml:space="preserve">The hospital </w:t>
      </w:r>
      <w:r w:rsidR="009F2BD8" w:rsidRPr="009F2BD8">
        <w:rPr>
          <w:rFonts w:ascii="Times New Roman" w:hAnsi="Times New Roman"/>
          <w:sz w:val="24"/>
          <w:szCs w:val="24"/>
          <w:lang w:val="en-US"/>
        </w:rPr>
        <w:t xml:space="preserve">is a </w:t>
      </w:r>
      <w:r>
        <w:rPr>
          <w:rFonts w:ascii="Times New Roman" w:hAnsi="Times New Roman"/>
          <w:sz w:val="24"/>
          <w:szCs w:val="24"/>
          <w:lang w:val="en-US"/>
        </w:rPr>
        <w:t>teaching hospital and hub for</w:t>
      </w:r>
      <w:r w:rsidR="009F2BD8" w:rsidRPr="009F2BD8">
        <w:rPr>
          <w:rFonts w:ascii="Times New Roman" w:hAnsi="Times New Roman"/>
          <w:sz w:val="24"/>
          <w:szCs w:val="24"/>
          <w:lang w:val="en-US"/>
        </w:rPr>
        <w:t xml:space="preserve"> healthcare and </w:t>
      </w:r>
      <w:r>
        <w:rPr>
          <w:rFonts w:ascii="Times New Roman" w:hAnsi="Times New Roman"/>
          <w:sz w:val="24"/>
          <w:szCs w:val="24"/>
          <w:lang w:val="en-US"/>
        </w:rPr>
        <w:t xml:space="preserve">clinical </w:t>
      </w:r>
      <w:r w:rsidR="009F2BD8" w:rsidRPr="009F2BD8">
        <w:rPr>
          <w:rFonts w:ascii="Times New Roman" w:hAnsi="Times New Roman"/>
          <w:sz w:val="24"/>
          <w:szCs w:val="24"/>
          <w:lang w:val="en-US"/>
        </w:rPr>
        <w:t xml:space="preserve">research </w:t>
      </w:r>
      <w:r>
        <w:rPr>
          <w:rFonts w:ascii="Times New Roman" w:hAnsi="Times New Roman"/>
          <w:sz w:val="24"/>
          <w:szCs w:val="24"/>
          <w:lang w:val="en-US"/>
        </w:rPr>
        <w:t xml:space="preserve">in Rivers State, </w:t>
      </w:r>
      <w:r>
        <w:rPr>
          <w:rFonts w:ascii="Times New Roman" w:hAnsi="Times New Roman"/>
          <w:sz w:val="24"/>
          <w:szCs w:val="24"/>
          <w:lang w:val="en-US"/>
        </w:rPr>
        <w:lastRenderedPageBreak/>
        <w:t xml:space="preserve">Nigeria, </w:t>
      </w:r>
      <w:r w:rsidR="009F2BD8" w:rsidRPr="009F2BD8">
        <w:rPr>
          <w:rFonts w:ascii="Times New Roman" w:hAnsi="Times New Roman"/>
          <w:sz w:val="24"/>
          <w:szCs w:val="24"/>
          <w:lang w:val="en-US"/>
        </w:rPr>
        <w:t>offering specialized medical services across multiple departments, including surgery, internal medicine, and infectious diseases.</w:t>
      </w:r>
      <w:r w:rsidR="009F2BD8">
        <w:rPr>
          <w:rFonts w:ascii="Times New Roman" w:hAnsi="Times New Roman"/>
          <w:sz w:val="24"/>
          <w:szCs w:val="24"/>
          <w:lang w:val="en-US"/>
        </w:rPr>
        <w:t xml:space="preserve"> </w:t>
      </w:r>
      <w:r w:rsidR="009F2BD8" w:rsidRPr="009F2BD8">
        <w:rPr>
          <w:rFonts w:ascii="Times New Roman" w:hAnsi="Times New Roman"/>
          <w:sz w:val="24"/>
          <w:szCs w:val="24"/>
          <w:lang w:val="en-US"/>
        </w:rPr>
        <w:t xml:space="preserve">The hospital serves a diverse patient population, attracting individuals from a wide range of geographical regions within and beyond the state. Its status as a referral center and high patient turnover makes it an ideal setting for studying the prevalence and molecular characteristics of </w:t>
      </w:r>
      <w:r w:rsidR="009F2BD8" w:rsidRPr="009F2BD8">
        <w:rPr>
          <w:rFonts w:ascii="Times New Roman" w:hAnsi="Times New Roman"/>
          <w:i/>
          <w:iCs/>
          <w:sz w:val="24"/>
          <w:szCs w:val="24"/>
          <w:lang w:val="en-US"/>
        </w:rPr>
        <w:t>Staphylococcus aureus</w:t>
      </w:r>
      <w:r w:rsidR="009F2BD8" w:rsidRPr="009F2BD8">
        <w:rPr>
          <w:rFonts w:ascii="Times New Roman" w:hAnsi="Times New Roman"/>
          <w:sz w:val="24"/>
          <w:szCs w:val="24"/>
          <w:lang w:val="en-US"/>
        </w:rPr>
        <w:t xml:space="preserve"> in wound infections.</w:t>
      </w:r>
    </w:p>
    <w:p w14:paraId="7C2AD9E6" w14:textId="77777777" w:rsidR="009F2BD8" w:rsidRPr="009F2BD8" w:rsidRDefault="009F2BD8" w:rsidP="009F2BD8">
      <w:pPr>
        <w:spacing w:line="360" w:lineRule="auto"/>
        <w:jc w:val="both"/>
        <w:rPr>
          <w:rFonts w:ascii="Times New Roman" w:hAnsi="Times New Roman"/>
          <w:b/>
          <w:bCs/>
          <w:sz w:val="24"/>
          <w:szCs w:val="24"/>
          <w:lang w:val="en-US"/>
        </w:rPr>
      </w:pPr>
      <w:r w:rsidRPr="009F2BD8">
        <w:rPr>
          <w:rFonts w:ascii="Times New Roman" w:hAnsi="Times New Roman"/>
          <w:b/>
          <w:bCs/>
          <w:sz w:val="24"/>
          <w:szCs w:val="24"/>
          <w:lang w:val="en-US"/>
        </w:rPr>
        <w:t>2.2 Study Design and Sample Collection</w:t>
      </w:r>
    </w:p>
    <w:p w14:paraId="0B703CE2" w14:textId="022D89B1" w:rsidR="009F2BD8" w:rsidRPr="009F2BD8" w:rsidRDefault="009F2BD8" w:rsidP="009F2BD8">
      <w:pPr>
        <w:spacing w:line="360" w:lineRule="auto"/>
        <w:jc w:val="both"/>
        <w:rPr>
          <w:rFonts w:ascii="Times New Roman" w:hAnsi="Times New Roman"/>
          <w:bCs/>
          <w:sz w:val="24"/>
          <w:szCs w:val="24"/>
          <w:lang w:val="en-US"/>
        </w:rPr>
      </w:pPr>
      <w:r w:rsidRPr="009F2BD8">
        <w:rPr>
          <w:rFonts w:ascii="Times New Roman" w:hAnsi="Times New Roman"/>
          <w:bCs/>
          <w:sz w:val="24"/>
          <w:szCs w:val="24"/>
          <w:lang w:val="en-US"/>
        </w:rPr>
        <w:t xml:space="preserve">A cross-sectional study was conducted to assess the occurrence of </w:t>
      </w:r>
      <w:r w:rsidRPr="009F2BD8">
        <w:rPr>
          <w:rFonts w:ascii="Times New Roman" w:hAnsi="Times New Roman"/>
          <w:bCs/>
          <w:i/>
          <w:iCs/>
          <w:sz w:val="24"/>
          <w:szCs w:val="24"/>
          <w:lang w:val="en-US"/>
        </w:rPr>
        <w:t>Staphylococcus aureus</w:t>
      </w:r>
      <w:r w:rsidR="00BC464E">
        <w:rPr>
          <w:rFonts w:ascii="Times New Roman" w:hAnsi="Times New Roman"/>
          <w:bCs/>
          <w:sz w:val="24"/>
          <w:szCs w:val="24"/>
          <w:lang w:val="en-US"/>
        </w:rPr>
        <w:t xml:space="preserve"> in wound infections in a hospital setting. It </w:t>
      </w:r>
      <w:proofErr w:type="gramStart"/>
      <w:r w:rsidR="00BC464E">
        <w:rPr>
          <w:rFonts w:ascii="Times New Roman" w:hAnsi="Times New Roman"/>
          <w:bCs/>
          <w:sz w:val="24"/>
          <w:szCs w:val="24"/>
          <w:lang w:val="en-US"/>
        </w:rPr>
        <w:t>involved  the</w:t>
      </w:r>
      <w:proofErr w:type="gramEnd"/>
      <w:r w:rsidR="00BC464E">
        <w:rPr>
          <w:rFonts w:ascii="Times New Roman" w:hAnsi="Times New Roman"/>
          <w:bCs/>
          <w:sz w:val="24"/>
          <w:szCs w:val="24"/>
          <w:lang w:val="en-US"/>
        </w:rPr>
        <w:t xml:space="preserve"> collection of </w:t>
      </w:r>
      <w:r w:rsidRPr="009F2BD8">
        <w:rPr>
          <w:rFonts w:ascii="Times New Roman" w:hAnsi="Times New Roman"/>
          <w:bCs/>
          <w:sz w:val="24"/>
          <w:szCs w:val="24"/>
          <w:lang w:val="en-US"/>
        </w:rPr>
        <w:t xml:space="preserve">150 wound specimens </w:t>
      </w:r>
      <w:r w:rsidR="00BC464E">
        <w:rPr>
          <w:rFonts w:ascii="Times New Roman" w:hAnsi="Times New Roman"/>
          <w:bCs/>
          <w:sz w:val="24"/>
          <w:szCs w:val="24"/>
          <w:lang w:val="en-US"/>
        </w:rPr>
        <w:t xml:space="preserve">randomly </w:t>
      </w:r>
      <w:r w:rsidRPr="009F2BD8">
        <w:rPr>
          <w:rFonts w:ascii="Times New Roman" w:hAnsi="Times New Roman"/>
          <w:bCs/>
          <w:sz w:val="24"/>
          <w:szCs w:val="24"/>
          <w:lang w:val="en-US"/>
        </w:rPr>
        <w:t>patients presenting with various types of wounds, including surgical, traumatic, and chronic ulcers, to ensure a representative sampling of the hospital population.</w:t>
      </w:r>
      <w:r>
        <w:rPr>
          <w:rFonts w:ascii="Times New Roman" w:hAnsi="Times New Roman"/>
          <w:bCs/>
          <w:sz w:val="24"/>
          <w:szCs w:val="24"/>
          <w:lang w:val="en-US"/>
        </w:rPr>
        <w:t xml:space="preserve"> </w:t>
      </w:r>
      <w:r w:rsidRPr="009F2BD8">
        <w:rPr>
          <w:rFonts w:ascii="Times New Roman" w:hAnsi="Times New Roman"/>
          <w:bCs/>
          <w:sz w:val="24"/>
          <w:szCs w:val="24"/>
          <w:lang w:val="en-US"/>
        </w:rPr>
        <w:t>Specimens were obtained using sterile swab sticks under aseptic conditions to minimize contamination. Immediately after collection, the swabs were placed in appropriate transport media and transported to the Microbiology Laboratory at Rivers State University for further processing and microbiological analysis. All samples were handled according to standard biosafety procedures to preserve specimen integrity and ensure laboratory safety.</w:t>
      </w:r>
    </w:p>
    <w:p w14:paraId="6F75C180" w14:textId="77777777" w:rsidR="00EB13F4" w:rsidRPr="008777B3" w:rsidRDefault="00EB13F4" w:rsidP="00EB13F4">
      <w:pPr>
        <w:spacing w:line="360" w:lineRule="auto"/>
        <w:jc w:val="both"/>
        <w:rPr>
          <w:rFonts w:ascii="Times New Roman" w:hAnsi="Times New Roman"/>
          <w:b/>
          <w:sz w:val="24"/>
          <w:szCs w:val="24"/>
        </w:rPr>
      </w:pPr>
      <w:r w:rsidRPr="008777B3">
        <w:rPr>
          <w:rFonts w:ascii="Times New Roman" w:hAnsi="Times New Roman"/>
          <w:b/>
          <w:sz w:val="24"/>
          <w:szCs w:val="24"/>
        </w:rPr>
        <w:t xml:space="preserve"> </w:t>
      </w:r>
      <w:r>
        <w:rPr>
          <w:rFonts w:ascii="Times New Roman" w:hAnsi="Times New Roman"/>
          <w:b/>
          <w:sz w:val="24"/>
          <w:szCs w:val="24"/>
        </w:rPr>
        <w:t>2.3</w:t>
      </w:r>
      <w:r w:rsidRPr="008777B3">
        <w:rPr>
          <w:rFonts w:ascii="Times New Roman" w:hAnsi="Times New Roman"/>
          <w:b/>
          <w:sz w:val="24"/>
          <w:szCs w:val="24"/>
        </w:rPr>
        <w:t xml:space="preserve"> Sample Size </w:t>
      </w:r>
      <w:r>
        <w:rPr>
          <w:rFonts w:ascii="Times New Roman" w:hAnsi="Times New Roman"/>
          <w:b/>
          <w:sz w:val="24"/>
          <w:szCs w:val="24"/>
        </w:rPr>
        <w:t>determination</w:t>
      </w:r>
    </w:p>
    <w:p w14:paraId="138D47E2" w14:textId="218CD7A8" w:rsidR="00EB13F4" w:rsidRPr="008777B3" w:rsidRDefault="009F2BD8" w:rsidP="00EB13F4">
      <w:pPr>
        <w:autoSpaceDE w:val="0"/>
        <w:autoSpaceDN w:val="0"/>
        <w:adjustRightInd w:val="0"/>
        <w:spacing w:after="0" w:line="360" w:lineRule="auto"/>
        <w:jc w:val="both"/>
        <w:rPr>
          <w:rFonts w:ascii="Times New Roman" w:hAnsi="Times New Roman"/>
          <w:sz w:val="24"/>
          <w:szCs w:val="24"/>
        </w:rPr>
      </w:pPr>
      <w:r w:rsidRPr="009F2BD8">
        <w:rPr>
          <w:rFonts w:ascii="Times New Roman" w:hAnsi="Times New Roman"/>
          <w:sz w:val="24"/>
          <w:szCs w:val="24"/>
        </w:rPr>
        <w:t xml:space="preserve">The sample size for this study was calculated using the standard formula for estimating proportions </w:t>
      </w:r>
      <w:r w:rsidR="00D71BA8">
        <w:rPr>
          <w:rFonts w:ascii="Times New Roman" w:hAnsi="Times New Roman"/>
          <w:sz w:val="24"/>
          <w:szCs w:val="24"/>
        </w:rPr>
        <w:t>[10]</w:t>
      </w:r>
      <w:r w:rsidR="00EB13F4">
        <w:rPr>
          <w:rFonts w:ascii="Times New Roman" w:hAnsi="Times New Roman"/>
          <w:sz w:val="24"/>
          <w:szCs w:val="24"/>
        </w:rPr>
        <w:t>:</w:t>
      </w:r>
    </w:p>
    <w:p w14:paraId="2E0B70A9" w14:textId="28080BE4" w:rsidR="00EB13F4" w:rsidRPr="008777B3" w:rsidRDefault="00EB13F4" w:rsidP="00EB13F4">
      <w:pPr>
        <w:autoSpaceDE w:val="0"/>
        <w:autoSpaceDN w:val="0"/>
        <w:adjustRightInd w:val="0"/>
        <w:spacing w:after="0" w:line="360" w:lineRule="auto"/>
        <w:jc w:val="both"/>
        <w:rPr>
          <w:rFonts w:ascii="Times New Roman" w:hAnsi="Times New Roman"/>
          <w:sz w:val="24"/>
          <w:szCs w:val="24"/>
        </w:rPr>
      </w:pPr>
      <w:r w:rsidRPr="008777B3">
        <w:rPr>
          <w:rFonts w:ascii="Times New Roman" w:hAnsi="Times New Roman"/>
          <w:sz w:val="24"/>
          <w:szCs w:val="24"/>
        </w:rPr>
        <w:t>N = [Z</w:t>
      </w:r>
      <w:r w:rsidRPr="008777B3">
        <w:rPr>
          <w:rFonts w:ascii="Times New Roman" w:hAnsi="Times New Roman"/>
          <w:sz w:val="24"/>
          <w:szCs w:val="24"/>
          <w:vertAlign w:val="superscript"/>
        </w:rPr>
        <w:t>2</w:t>
      </w:r>
      <w:r w:rsidR="00BC464E">
        <w:rPr>
          <w:rFonts w:ascii="Times New Roman" w:hAnsi="Times New Roman"/>
          <w:sz w:val="24"/>
          <w:szCs w:val="24"/>
          <w:vertAlign w:val="superscript"/>
        </w:rPr>
        <w:t xml:space="preserve"> </w:t>
      </w:r>
      <w:r w:rsidRPr="008777B3">
        <w:rPr>
          <w:rFonts w:ascii="Times New Roman" w:hAnsi="Times New Roman"/>
          <w:sz w:val="24"/>
          <w:szCs w:val="24"/>
        </w:rPr>
        <w:t>(</w:t>
      </w:r>
      <w:proofErr w:type="spellStart"/>
      <w:r w:rsidRPr="008777B3">
        <w:rPr>
          <w:rFonts w:ascii="Times New Roman" w:hAnsi="Times New Roman"/>
          <w:sz w:val="24"/>
          <w:szCs w:val="24"/>
        </w:rPr>
        <w:t>pq</w:t>
      </w:r>
      <w:proofErr w:type="spellEnd"/>
      <w:r w:rsidRPr="008777B3">
        <w:rPr>
          <w:rFonts w:ascii="Times New Roman" w:hAnsi="Times New Roman"/>
          <w:sz w:val="24"/>
          <w:szCs w:val="24"/>
        </w:rPr>
        <w:t>)]/d</w:t>
      </w:r>
      <w:proofErr w:type="gramStart"/>
      <w:r w:rsidRPr="008777B3">
        <w:rPr>
          <w:rFonts w:ascii="Times New Roman" w:hAnsi="Times New Roman"/>
          <w:sz w:val="24"/>
          <w:szCs w:val="24"/>
          <w:vertAlign w:val="superscript"/>
        </w:rPr>
        <w:t>2</w:t>
      </w:r>
      <w:r>
        <w:rPr>
          <w:rFonts w:ascii="Times New Roman" w:hAnsi="Times New Roman"/>
          <w:sz w:val="24"/>
          <w:szCs w:val="24"/>
          <w:vertAlign w:val="superscript"/>
        </w:rPr>
        <w:t xml:space="preserve"> </w:t>
      </w:r>
      <w:r>
        <w:rPr>
          <w:rFonts w:ascii="Times New Roman" w:hAnsi="Times New Roman"/>
          <w:sz w:val="24"/>
          <w:szCs w:val="24"/>
        </w:rPr>
        <w:t xml:space="preserve"> [</w:t>
      </w:r>
      <w:proofErr w:type="gramEnd"/>
      <w:r>
        <w:rPr>
          <w:rFonts w:ascii="Times New Roman" w:hAnsi="Times New Roman"/>
          <w:sz w:val="24"/>
          <w:szCs w:val="24"/>
        </w:rPr>
        <w:t>10]</w:t>
      </w:r>
    </w:p>
    <w:p w14:paraId="07EDC8C8" w14:textId="06CFFBFE" w:rsidR="00EB13F4" w:rsidRPr="008777B3" w:rsidRDefault="00EB13F4" w:rsidP="00EB13F4">
      <w:pPr>
        <w:autoSpaceDE w:val="0"/>
        <w:autoSpaceDN w:val="0"/>
        <w:adjustRightInd w:val="0"/>
        <w:spacing w:after="0" w:line="360" w:lineRule="auto"/>
        <w:jc w:val="both"/>
        <w:rPr>
          <w:rFonts w:ascii="Times New Roman" w:hAnsi="Times New Roman"/>
          <w:sz w:val="24"/>
          <w:szCs w:val="24"/>
        </w:rPr>
      </w:pPr>
      <w:r w:rsidRPr="00D56875">
        <w:rPr>
          <w:rFonts w:ascii="Times New Roman" w:hAnsi="Times New Roman"/>
          <w:b/>
          <w:sz w:val="24"/>
          <w:szCs w:val="24"/>
        </w:rPr>
        <w:t>Where</w:t>
      </w:r>
      <w:r w:rsidR="00BC464E">
        <w:rPr>
          <w:rFonts w:ascii="Times New Roman" w:hAnsi="Times New Roman"/>
          <w:sz w:val="24"/>
          <w:szCs w:val="24"/>
        </w:rPr>
        <w:t>;</w:t>
      </w:r>
    </w:p>
    <w:p w14:paraId="13B8ED50" w14:textId="39352A92" w:rsidR="009F2BD8" w:rsidRPr="009F2BD8" w:rsidRDefault="009F2BD8" w:rsidP="009A41EB">
      <w:pPr>
        <w:spacing w:after="0" w:line="360" w:lineRule="auto"/>
        <w:jc w:val="both"/>
        <w:rPr>
          <w:rFonts w:ascii="Times New Roman" w:hAnsi="Times New Roman"/>
          <w:sz w:val="24"/>
          <w:szCs w:val="24"/>
          <w:lang w:val="en-US"/>
        </w:rPr>
      </w:pPr>
      <w:r>
        <w:rPr>
          <w:rFonts w:ascii="Times New Roman" w:hAnsi="Times New Roman"/>
          <w:sz w:val="24"/>
          <w:szCs w:val="24"/>
          <w:lang w:val="en-US"/>
        </w:rPr>
        <w:t>N</w:t>
      </w:r>
      <w:r w:rsidRPr="009F2BD8">
        <w:rPr>
          <w:rFonts w:ascii="Times New Roman" w:hAnsi="Times New Roman"/>
          <w:sz w:val="24"/>
          <w:szCs w:val="24"/>
          <w:lang w:val="en-US"/>
        </w:rPr>
        <w:t xml:space="preserve"> = </w:t>
      </w:r>
      <w:r w:rsidR="00BC464E">
        <w:rPr>
          <w:rFonts w:ascii="Times New Roman" w:hAnsi="Times New Roman"/>
          <w:sz w:val="24"/>
          <w:szCs w:val="24"/>
          <w:lang w:val="en-US"/>
        </w:rPr>
        <w:t>S</w:t>
      </w:r>
      <w:r w:rsidRPr="009F2BD8">
        <w:rPr>
          <w:rFonts w:ascii="Times New Roman" w:hAnsi="Times New Roman"/>
          <w:sz w:val="24"/>
          <w:szCs w:val="24"/>
          <w:lang w:val="en-US"/>
        </w:rPr>
        <w:t>ample size</w:t>
      </w:r>
      <w:r w:rsidR="00BC464E">
        <w:rPr>
          <w:rFonts w:ascii="Times New Roman" w:hAnsi="Times New Roman"/>
          <w:sz w:val="24"/>
          <w:szCs w:val="24"/>
          <w:lang w:val="en-US"/>
        </w:rPr>
        <w:t xml:space="preserve"> required</w:t>
      </w:r>
    </w:p>
    <w:p w14:paraId="3874E317" w14:textId="555D836E" w:rsidR="009F2BD8" w:rsidRPr="009F2BD8" w:rsidRDefault="009F2BD8" w:rsidP="009A41EB">
      <w:pPr>
        <w:spacing w:after="0" w:line="360" w:lineRule="auto"/>
        <w:jc w:val="both"/>
        <w:rPr>
          <w:rFonts w:ascii="Times New Roman" w:hAnsi="Times New Roman"/>
          <w:sz w:val="24"/>
          <w:szCs w:val="24"/>
          <w:lang w:val="en-US"/>
        </w:rPr>
      </w:pPr>
      <w:r>
        <w:rPr>
          <w:rFonts w:ascii="Times New Roman" w:hAnsi="Times New Roman"/>
          <w:sz w:val="24"/>
          <w:szCs w:val="24"/>
          <w:lang w:val="en-US"/>
        </w:rPr>
        <w:t>Z=</w:t>
      </w:r>
      <w:r w:rsidRPr="009F2BD8">
        <w:rPr>
          <w:rFonts w:ascii="Times New Roman" w:hAnsi="Times New Roman"/>
          <w:sz w:val="24"/>
          <w:szCs w:val="24"/>
          <w:lang w:val="en-US"/>
        </w:rPr>
        <w:t xml:space="preserve"> </w:t>
      </w:r>
      <w:r w:rsidR="00BC464E" w:rsidRPr="009F2BD8">
        <w:rPr>
          <w:rFonts w:ascii="Times New Roman" w:hAnsi="Times New Roman"/>
          <w:sz w:val="24"/>
          <w:szCs w:val="24"/>
          <w:lang w:val="en-US"/>
        </w:rPr>
        <w:t>Norma</w:t>
      </w:r>
      <w:r w:rsidR="00BC464E">
        <w:rPr>
          <w:rFonts w:ascii="Times New Roman" w:hAnsi="Times New Roman"/>
          <w:sz w:val="24"/>
          <w:szCs w:val="24"/>
          <w:lang w:val="en-US"/>
        </w:rPr>
        <w:t xml:space="preserve">l standard </w:t>
      </w:r>
      <w:r w:rsidRPr="009F2BD8">
        <w:rPr>
          <w:rFonts w:ascii="Times New Roman" w:hAnsi="Times New Roman"/>
          <w:sz w:val="24"/>
          <w:szCs w:val="24"/>
          <w:lang w:val="en-US"/>
        </w:rPr>
        <w:t>deviat</w:t>
      </w:r>
      <w:r w:rsidR="00BC464E">
        <w:rPr>
          <w:rFonts w:ascii="Times New Roman" w:hAnsi="Times New Roman"/>
          <w:sz w:val="24"/>
          <w:szCs w:val="24"/>
          <w:lang w:val="en-US"/>
        </w:rPr>
        <w:t>ion that corresponds</w:t>
      </w:r>
      <w:r w:rsidRPr="009F2BD8">
        <w:rPr>
          <w:rFonts w:ascii="Times New Roman" w:hAnsi="Times New Roman"/>
          <w:sz w:val="24"/>
          <w:szCs w:val="24"/>
          <w:lang w:val="en-US"/>
        </w:rPr>
        <w:t xml:space="preserve"> to the desired confidence level (1.96 for 95% confidence interval)</w:t>
      </w:r>
    </w:p>
    <w:p w14:paraId="5612B8F1" w14:textId="1C12EBF7" w:rsidR="009F2BD8" w:rsidRDefault="009F2BD8" w:rsidP="009A41EB">
      <w:pPr>
        <w:spacing w:after="0" w:line="360" w:lineRule="auto"/>
        <w:jc w:val="both"/>
        <w:rPr>
          <w:rFonts w:ascii="Times New Roman" w:hAnsi="Times New Roman"/>
          <w:sz w:val="24"/>
          <w:szCs w:val="24"/>
          <w:lang w:val="en-US"/>
        </w:rPr>
      </w:pPr>
      <w:r>
        <w:rPr>
          <w:rFonts w:ascii="Times New Roman" w:hAnsi="Times New Roman"/>
          <w:sz w:val="24"/>
          <w:szCs w:val="24"/>
          <w:lang w:val="en-US"/>
        </w:rPr>
        <w:t>P= E</w:t>
      </w:r>
      <w:r w:rsidRPr="009F2BD8">
        <w:rPr>
          <w:rFonts w:ascii="Times New Roman" w:hAnsi="Times New Roman"/>
          <w:sz w:val="24"/>
          <w:szCs w:val="24"/>
          <w:lang w:val="en-US"/>
        </w:rPr>
        <w:t xml:space="preserve">stimated prevalence of </w:t>
      </w:r>
      <w:r w:rsidRPr="009F2BD8">
        <w:rPr>
          <w:rFonts w:ascii="Times New Roman" w:hAnsi="Times New Roman"/>
          <w:i/>
          <w:iCs/>
          <w:sz w:val="24"/>
          <w:szCs w:val="24"/>
          <w:lang w:val="en-US"/>
        </w:rPr>
        <w:t>Staphylococcus</w:t>
      </w:r>
      <w:r w:rsidRPr="009F2BD8">
        <w:rPr>
          <w:rFonts w:ascii="Times New Roman" w:hAnsi="Times New Roman"/>
          <w:sz w:val="24"/>
          <w:szCs w:val="24"/>
          <w:lang w:val="en-US"/>
        </w:rPr>
        <w:t xml:space="preserve"> </w:t>
      </w:r>
      <w:r w:rsidR="00BC464E" w:rsidRPr="00BC464E">
        <w:rPr>
          <w:rFonts w:ascii="Times New Roman" w:hAnsi="Times New Roman"/>
          <w:i/>
          <w:sz w:val="24"/>
          <w:szCs w:val="24"/>
          <w:lang w:val="en-US"/>
        </w:rPr>
        <w:t>aureus</w:t>
      </w:r>
      <w:r w:rsidRPr="009F2BD8">
        <w:rPr>
          <w:rFonts w:ascii="Times New Roman" w:hAnsi="Times New Roman"/>
          <w:sz w:val="24"/>
          <w:szCs w:val="24"/>
          <w:lang w:val="en-US"/>
        </w:rPr>
        <w:t xml:space="preserve"> in the study population</w:t>
      </w:r>
    </w:p>
    <w:p w14:paraId="2A6E6AAD" w14:textId="68E9D7C0" w:rsidR="009F2BD8" w:rsidRPr="009F2BD8" w:rsidRDefault="009F2BD8" w:rsidP="009A41EB">
      <w:pPr>
        <w:spacing w:after="0" w:line="360" w:lineRule="auto"/>
        <w:jc w:val="both"/>
        <w:rPr>
          <w:rFonts w:ascii="Times New Roman" w:hAnsi="Times New Roman"/>
          <w:sz w:val="24"/>
          <w:szCs w:val="24"/>
          <w:lang w:val="en-US"/>
        </w:rPr>
      </w:pPr>
      <w:r>
        <w:rPr>
          <w:rFonts w:ascii="Times New Roman" w:hAnsi="Times New Roman"/>
          <w:sz w:val="24"/>
          <w:szCs w:val="24"/>
          <w:lang w:val="en-US"/>
        </w:rPr>
        <w:t>q = 1-p</w:t>
      </w:r>
    </w:p>
    <w:p w14:paraId="274DD097" w14:textId="356BFDAB" w:rsidR="009F2BD8" w:rsidRPr="009F2BD8" w:rsidRDefault="009F2BD8" w:rsidP="009A41EB">
      <w:pPr>
        <w:spacing w:after="0" w:line="360" w:lineRule="auto"/>
        <w:jc w:val="both"/>
        <w:rPr>
          <w:rFonts w:ascii="Times New Roman" w:hAnsi="Times New Roman"/>
          <w:sz w:val="24"/>
          <w:szCs w:val="24"/>
          <w:lang w:val="en-US"/>
        </w:rPr>
      </w:pPr>
      <w:r>
        <w:rPr>
          <w:rFonts w:ascii="Times New Roman" w:hAnsi="Times New Roman"/>
          <w:sz w:val="24"/>
          <w:szCs w:val="24"/>
          <w:lang w:val="en-US"/>
        </w:rPr>
        <w:t>d= D</w:t>
      </w:r>
      <w:r w:rsidRPr="009F2BD8">
        <w:rPr>
          <w:rFonts w:ascii="Times New Roman" w:hAnsi="Times New Roman"/>
          <w:sz w:val="24"/>
          <w:szCs w:val="24"/>
          <w:lang w:val="en-US"/>
        </w:rPr>
        <w:t>esired precision or margin of error, set at 0.05</w:t>
      </w:r>
    </w:p>
    <w:p w14:paraId="34DF38AE" w14:textId="77777777" w:rsidR="00EB13F4" w:rsidRPr="008777B3" w:rsidRDefault="00EB13F4" w:rsidP="009A41EB">
      <w:pPr>
        <w:spacing w:after="0" w:line="360" w:lineRule="auto"/>
        <w:jc w:val="both"/>
        <w:rPr>
          <w:rFonts w:ascii="Times New Roman" w:hAnsi="Times New Roman"/>
          <w:b/>
          <w:sz w:val="24"/>
          <w:szCs w:val="24"/>
        </w:rPr>
      </w:pPr>
      <w:r>
        <w:rPr>
          <w:rFonts w:ascii="Times New Roman" w:hAnsi="Times New Roman"/>
          <w:b/>
          <w:sz w:val="24"/>
          <w:szCs w:val="24"/>
        </w:rPr>
        <w:t>2</w:t>
      </w:r>
      <w:r w:rsidRPr="008777B3">
        <w:rPr>
          <w:rFonts w:ascii="Times New Roman" w:hAnsi="Times New Roman"/>
          <w:b/>
          <w:sz w:val="24"/>
          <w:szCs w:val="24"/>
        </w:rPr>
        <w:t>.4</w:t>
      </w:r>
      <w:r w:rsidRPr="008777B3">
        <w:rPr>
          <w:rFonts w:ascii="Times New Roman" w:hAnsi="Times New Roman"/>
          <w:b/>
          <w:sz w:val="24"/>
          <w:szCs w:val="24"/>
        </w:rPr>
        <w:tab/>
        <w:t xml:space="preserve">Isolation of </w:t>
      </w:r>
      <w:r w:rsidRPr="008777B3">
        <w:rPr>
          <w:rFonts w:ascii="Times New Roman" w:hAnsi="Times New Roman"/>
          <w:b/>
          <w:i/>
          <w:sz w:val="24"/>
          <w:szCs w:val="24"/>
        </w:rPr>
        <w:t>Staphylococcus aureus</w:t>
      </w:r>
    </w:p>
    <w:p w14:paraId="1B5F8636" w14:textId="09C14835" w:rsidR="009F2BD8" w:rsidRPr="009F2BD8" w:rsidRDefault="009F2BD8" w:rsidP="009A41EB">
      <w:pPr>
        <w:spacing w:after="0" w:line="360" w:lineRule="auto"/>
        <w:jc w:val="both"/>
        <w:rPr>
          <w:rFonts w:ascii="Times New Roman" w:hAnsi="Times New Roman"/>
          <w:sz w:val="24"/>
          <w:szCs w:val="24"/>
          <w:lang w:val="en-US"/>
        </w:rPr>
      </w:pPr>
      <w:r w:rsidRPr="009F2BD8">
        <w:rPr>
          <w:rFonts w:ascii="Times New Roman" w:hAnsi="Times New Roman"/>
          <w:sz w:val="24"/>
          <w:szCs w:val="24"/>
          <w:lang w:val="en-US"/>
        </w:rPr>
        <w:t xml:space="preserve">Specimens collected using sterile swab sticks were inoculated onto Mannitol Salt Agar (MSA) plates using the streak plate method to facilitate isolation of discrete colonies. The plates were </w:t>
      </w:r>
      <w:r w:rsidRPr="009F2BD8">
        <w:rPr>
          <w:rFonts w:ascii="Times New Roman" w:hAnsi="Times New Roman"/>
          <w:sz w:val="24"/>
          <w:szCs w:val="24"/>
          <w:lang w:val="en-US"/>
        </w:rPr>
        <w:lastRenderedPageBreak/>
        <w:t xml:space="preserve">incubated aerobically at 37°C for 24 hours to promote growth of halotolerant </w:t>
      </w:r>
      <w:r w:rsidR="00BC464E" w:rsidRPr="00BC464E">
        <w:rPr>
          <w:rFonts w:ascii="Times New Roman" w:hAnsi="Times New Roman"/>
          <w:i/>
          <w:sz w:val="24"/>
          <w:szCs w:val="24"/>
          <w:lang w:val="en-US"/>
        </w:rPr>
        <w:t>Staphylococcal</w:t>
      </w:r>
      <w:r w:rsidR="00BC464E" w:rsidRPr="009F2BD8">
        <w:rPr>
          <w:rFonts w:ascii="Times New Roman" w:hAnsi="Times New Roman"/>
          <w:sz w:val="24"/>
          <w:szCs w:val="24"/>
          <w:lang w:val="en-US"/>
        </w:rPr>
        <w:t xml:space="preserve"> </w:t>
      </w:r>
      <w:r w:rsidRPr="009F2BD8">
        <w:rPr>
          <w:rFonts w:ascii="Times New Roman" w:hAnsi="Times New Roman"/>
          <w:sz w:val="24"/>
          <w:szCs w:val="24"/>
          <w:lang w:val="en-US"/>
        </w:rPr>
        <w:t>species</w:t>
      </w:r>
      <w:r w:rsidR="009A41EB">
        <w:rPr>
          <w:rFonts w:ascii="Times New Roman" w:hAnsi="Times New Roman"/>
          <w:sz w:val="24"/>
          <w:szCs w:val="24"/>
          <w:lang w:val="en-US"/>
        </w:rPr>
        <w:t xml:space="preserve">. </w:t>
      </w:r>
      <w:r w:rsidRPr="009F2BD8">
        <w:rPr>
          <w:rFonts w:ascii="Times New Roman" w:hAnsi="Times New Roman"/>
          <w:sz w:val="24"/>
          <w:szCs w:val="24"/>
          <w:lang w:val="en-US"/>
        </w:rPr>
        <w:t xml:space="preserve">Following incubation, colonies exhibiting typical </w:t>
      </w:r>
      <w:r w:rsidRPr="009F2BD8">
        <w:rPr>
          <w:rFonts w:ascii="Times New Roman" w:hAnsi="Times New Roman"/>
          <w:i/>
          <w:iCs/>
          <w:sz w:val="24"/>
          <w:szCs w:val="24"/>
          <w:lang w:val="en-US"/>
        </w:rPr>
        <w:t>Staphylococcus aureus</w:t>
      </w:r>
      <w:r w:rsidRPr="009F2BD8">
        <w:rPr>
          <w:rFonts w:ascii="Times New Roman" w:hAnsi="Times New Roman"/>
          <w:sz w:val="24"/>
          <w:szCs w:val="24"/>
          <w:lang w:val="en-US"/>
        </w:rPr>
        <w:t xml:space="preserve"> characteristics on MSA</w:t>
      </w:r>
      <w:r>
        <w:rPr>
          <w:rFonts w:ascii="Times New Roman" w:hAnsi="Times New Roman"/>
          <w:sz w:val="24"/>
          <w:szCs w:val="24"/>
          <w:lang w:val="en-US"/>
        </w:rPr>
        <w:t xml:space="preserve"> </w:t>
      </w:r>
      <w:r w:rsidRPr="009F2BD8">
        <w:rPr>
          <w:rFonts w:ascii="Times New Roman" w:hAnsi="Times New Roman"/>
          <w:sz w:val="24"/>
          <w:szCs w:val="24"/>
          <w:lang w:val="en-US"/>
        </w:rPr>
        <w:t>such as golden-yellow pigmentation and mannitol fermentation indicated by color change in the medium</w:t>
      </w:r>
      <w:r>
        <w:rPr>
          <w:rFonts w:ascii="Times New Roman" w:hAnsi="Times New Roman"/>
          <w:sz w:val="24"/>
          <w:szCs w:val="24"/>
          <w:lang w:val="en-US"/>
        </w:rPr>
        <w:t xml:space="preserve"> </w:t>
      </w:r>
      <w:r w:rsidRPr="009F2BD8">
        <w:rPr>
          <w:rFonts w:ascii="Times New Roman" w:hAnsi="Times New Roman"/>
          <w:sz w:val="24"/>
          <w:szCs w:val="24"/>
          <w:lang w:val="en-US"/>
        </w:rPr>
        <w:t xml:space="preserve">were selected for further purification. Each presumptive colony was further </w:t>
      </w:r>
      <w:proofErr w:type="spellStart"/>
      <w:r w:rsidRPr="009F2BD8">
        <w:rPr>
          <w:rFonts w:ascii="Times New Roman" w:hAnsi="Times New Roman"/>
          <w:sz w:val="24"/>
          <w:szCs w:val="24"/>
          <w:lang w:val="en-US"/>
        </w:rPr>
        <w:t>subcultured</w:t>
      </w:r>
      <w:proofErr w:type="spellEnd"/>
      <w:r w:rsidRPr="009F2BD8">
        <w:rPr>
          <w:rFonts w:ascii="Times New Roman" w:hAnsi="Times New Roman"/>
          <w:sz w:val="24"/>
          <w:szCs w:val="24"/>
          <w:lang w:val="en-US"/>
        </w:rPr>
        <w:t xml:space="preserve"> onto freshly prepared Nutrient Agar (NA) plates to obtain pure isolates for downstream molecular and biochemical analyses.</w:t>
      </w:r>
    </w:p>
    <w:p w14:paraId="56B118C2" w14:textId="77777777" w:rsidR="00EB13F4" w:rsidRPr="008777B3" w:rsidRDefault="00EB13F4" w:rsidP="009A41EB">
      <w:pPr>
        <w:spacing w:after="0" w:line="360" w:lineRule="auto"/>
        <w:jc w:val="both"/>
        <w:rPr>
          <w:rFonts w:ascii="Times New Roman" w:hAnsi="Times New Roman"/>
          <w:b/>
          <w:sz w:val="24"/>
          <w:szCs w:val="24"/>
        </w:rPr>
      </w:pPr>
      <w:r>
        <w:rPr>
          <w:rFonts w:ascii="Times New Roman" w:hAnsi="Times New Roman"/>
          <w:b/>
          <w:sz w:val="24"/>
          <w:szCs w:val="24"/>
        </w:rPr>
        <w:t>2</w:t>
      </w:r>
      <w:r w:rsidRPr="008777B3">
        <w:rPr>
          <w:rFonts w:ascii="Times New Roman" w:hAnsi="Times New Roman"/>
          <w:b/>
          <w:sz w:val="24"/>
          <w:szCs w:val="24"/>
        </w:rPr>
        <w:t>.5</w:t>
      </w:r>
      <w:r w:rsidRPr="008777B3">
        <w:rPr>
          <w:rFonts w:ascii="Times New Roman" w:hAnsi="Times New Roman"/>
          <w:b/>
          <w:sz w:val="24"/>
          <w:szCs w:val="24"/>
        </w:rPr>
        <w:tab/>
        <w:t>Purification and Preservation of Isolates</w:t>
      </w:r>
    </w:p>
    <w:p w14:paraId="54484155" w14:textId="61C2E22D" w:rsidR="008D7B91" w:rsidRPr="008D7B91" w:rsidRDefault="008D7B91" w:rsidP="008D7B91">
      <w:pPr>
        <w:spacing w:line="480" w:lineRule="auto"/>
        <w:jc w:val="both"/>
        <w:rPr>
          <w:rFonts w:ascii="Times New Roman" w:hAnsi="Times New Roman"/>
          <w:sz w:val="24"/>
          <w:szCs w:val="24"/>
          <w:lang w:val="en-US"/>
        </w:rPr>
      </w:pPr>
      <w:r w:rsidRPr="008D7B91">
        <w:rPr>
          <w:rFonts w:ascii="Times New Roman" w:hAnsi="Times New Roman"/>
          <w:sz w:val="24"/>
          <w:szCs w:val="24"/>
          <w:lang w:val="en-US"/>
        </w:rPr>
        <w:t xml:space="preserve">Distinct presumptive </w:t>
      </w:r>
      <w:r w:rsidR="00C95156">
        <w:rPr>
          <w:rFonts w:ascii="Times New Roman" w:hAnsi="Times New Roman"/>
          <w:sz w:val="24"/>
          <w:szCs w:val="24"/>
          <w:lang w:val="en-US"/>
        </w:rPr>
        <w:t xml:space="preserve">isolates of </w:t>
      </w:r>
      <w:r w:rsidRPr="008D7B91">
        <w:rPr>
          <w:rFonts w:ascii="Times New Roman" w:hAnsi="Times New Roman"/>
          <w:i/>
          <w:iCs/>
          <w:sz w:val="24"/>
          <w:szCs w:val="24"/>
          <w:lang w:val="en-US"/>
        </w:rPr>
        <w:t>Staphylococcus</w:t>
      </w:r>
      <w:r w:rsidRPr="008D7B91">
        <w:rPr>
          <w:rFonts w:ascii="Times New Roman" w:hAnsi="Times New Roman"/>
          <w:sz w:val="24"/>
          <w:szCs w:val="24"/>
          <w:lang w:val="en-US"/>
        </w:rPr>
        <w:t xml:space="preserve"> observed on Mannitol Salt Agar (MSA) plates were </w:t>
      </w:r>
      <w:proofErr w:type="spellStart"/>
      <w:r w:rsidR="00C95156">
        <w:rPr>
          <w:rFonts w:ascii="Times New Roman" w:hAnsi="Times New Roman"/>
          <w:sz w:val="24"/>
          <w:szCs w:val="24"/>
          <w:lang w:val="en-US"/>
        </w:rPr>
        <w:t>subcultured</w:t>
      </w:r>
      <w:proofErr w:type="spellEnd"/>
      <w:r w:rsidRPr="008D7B91">
        <w:rPr>
          <w:rFonts w:ascii="Times New Roman" w:hAnsi="Times New Roman"/>
          <w:sz w:val="24"/>
          <w:szCs w:val="24"/>
          <w:lang w:val="en-US"/>
        </w:rPr>
        <w:t xml:space="preserve"> onto freshly prepared Nutrient Agar (NA) plates </w:t>
      </w:r>
      <w:r w:rsidR="00C95156">
        <w:rPr>
          <w:rFonts w:ascii="Times New Roman" w:hAnsi="Times New Roman"/>
          <w:sz w:val="24"/>
          <w:szCs w:val="24"/>
          <w:lang w:val="en-US"/>
        </w:rPr>
        <w:t>to obtain morphologically uniform, purified isolate</w:t>
      </w:r>
      <w:r w:rsidRPr="008D7B91">
        <w:rPr>
          <w:rFonts w:ascii="Times New Roman" w:hAnsi="Times New Roman"/>
          <w:sz w:val="24"/>
          <w:szCs w:val="24"/>
          <w:lang w:val="en-US"/>
        </w:rPr>
        <w:t xml:space="preserve">. Each pure isolate was examined for colony characteristics, including size, shape, margin, elevation, and pigmentation, to ensure consistency with </w:t>
      </w:r>
      <w:r w:rsidRPr="008D7B91">
        <w:rPr>
          <w:rFonts w:ascii="Times New Roman" w:hAnsi="Times New Roman"/>
          <w:i/>
          <w:iCs/>
          <w:sz w:val="24"/>
          <w:szCs w:val="24"/>
          <w:lang w:val="en-US"/>
        </w:rPr>
        <w:t>Staphylococcus</w:t>
      </w:r>
      <w:r w:rsidRPr="008D7B91">
        <w:rPr>
          <w:rFonts w:ascii="Times New Roman" w:hAnsi="Times New Roman"/>
          <w:sz w:val="24"/>
          <w:szCs w:val="24"/>
          <w:lang w:val="en-US"/>
        </w:rPr>
        <w:t xml:space="preserve"> species.</w:t>
      </w:r>
    </w:p>
    <w:p w14:paraId="72FF415A" w14:textId="77777777" w:rsidR="008D7B91" w:rsidRPr="008D7B91" w:rsidRDefault="008D7B91" w:rsidP="008D7B91">
      <w:pPr>
        <w:spacing w:line="480" w:lineRule="auto"/>
        <w:jc w:val="both"/>
        <w:rPr>
          <w:rFonts w:ascii="Times New Roman" w:hAnsi="Times New Roman"/>
          <w:sz w:val="24"/>
          <w:szCs w:val="24"/>
          <w:lang w:val="en-US"/>
        </w:rPr>
      </w:pPr>
      <w:r w:rsidRPr="008D7B91">
        <w:rPr>
          <w:rFonts w:ascii="Times New Roman" w:hAnsi="Times New Roman"/>
          <w:sz w:val="24"/>
          <w:szCs w:val="24"/>
          <w:lang w:val="en-US"/>
        </w:rPr>
        <w:t>The confirmed pure cultures were aseptically transferred to nutrient agar slants in sterile Bijou bottles and incubated at 37°C for 24 hours to allow optimal growth. Following incubation, the slants were carefully sealed and stored at 4°C to preserve the isolates for subsequent molecular, biochemical, and antimicrobial analyses. To maintain culture integrity during the study period, periodic subculturing was performed, and sterility checks were carried out to prevent contamination.</w:t>
      </w:r>
    </w:p>
    <w:p w14:paraId="68DD9794" w14:textId="5AED9EBE" w:rsidR="000A0ACB" w:rsidRPr="00F35F6D" w:rsidRDefault="00D647F7" w:rsidP="000A0ACB">
      <w:pPr>
        <w:spacing w:line="480" w:lineRule="auto"/>
        <w:jc w:val="both"/>
        <w:rPr>
          <w:rFonts w:ascii="Times New Roman" w:hAnsi="Times New Roman"/>
          <w:b/>
          <w:sz w:val="24"/>
          <w:szCs w:val="24"/>
        </w:rPr>
      </w:pPr>
      <w:r>
        <w:rPr>
          <w:rFonts w:ascii="Times New Roman" w:hAnsi="Times New Roman"/>
          <w:b/>
          <w:sz w:val="24"/>
          <w:szCs w:val="24"/>
        </w:rPr>
        <w:t>2.6</w:t>
      </w:r>
      <w:r w:rsidR="000A0ACB" w:rsidRPr="00F35F6D">
        <w:rPr>
          <w:rFonts w:ascii="Times New Roman" w:hAnsi="Times New Roman"/>
          <w:b/>
          <w:sz w:val="24"/>
          <w:szCs w:val="24"/>
        </w:rPr>
        <w:tab/>
        <w:t>Molecular Characterization</w:t>
      </w:r>
      <w:r w:rsidR="008D7B91">
        <w:rPr>
          <w:rFonts w:ascii="Times New Roman" w:hAnsi="Times New Roman"/>
          <w:b/>
          <w:sz w:val="24"/>
          <w:szCs w:val="24"/>
        </w:rPr>
        <w:t xml:space="preserve"> of the isolates</w:t>
      </w:r>
    </w:p>
    <w:p w14:paraId="17CAEB16" w14:textId="0C6BB483" w:rsidR="008D7B91" w:rsidRPr="008D7B91" w:rsidRDefault="008D7B91" w:rsidP="000A0ACB">
      <w:pPr>
        <w:spacing w:after="0" w:line="480" w:lineRule="auto"/>
        <w:jc w:val="both"/>
        <w:rPr>
          <w:rFonts w:ascii="Times New Roman" w:hAnsi="Times New Roman"/>
          <w:sz w:val="24"/>
          <w:szCs w:val="24"/>
        </w:rPr>
      </w:pPr>
      <w:r>
        <w:rPr>
          <w:rFonts w:ascii="Times New Roman" w:hAnsi="Times New Roman"/>
          <w:sz w:val="24"/>
          <w:szCs w:val="24"/>
        </w:rPr>
        <w:t xml:space="preserve">This present study was limited to a PCR-based detection of </w:t>
      </w:r>
      <w:proofErr w:type="spellStart"/>
      <w:r>
        <w:rPr>
          <w:rFonts w:ascii="Times New Roman" w:hAnsi="Times New Roman"/>
          <w:sz w:val="24"/>
          <w:szCs w:val="24"/>
        </w:rPr>
        <w:t>mec</w:t>
      </w:r>
      <w:proofErr w:type="spellEnd"/>
      <w:r>
        <w:rPr>
          <w:rFonts w:ascii="Times New Roman" w:hAnsi="Times New Roman"/>
          <w:sz w:val="24"/>
          <w:szCs w:val="24"/>
        </w:rPr>
        <w:t>-A gene and PVL</w:t>
      </w:r>
      <w:r w:rsidR="00C95156">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lukS</w:t>
      </w:r>
      <w:proofErr w:type="spellEnd"/>
      <w:r>
        <w:rPr>
          <w:rFonts w:ascii="Times New Roman" w:hAnsi="Times New Roman"/>
          <w:sz w:val="24"/>
          <w:szCs w:val="24"/>
        </w:rPr>
        <w:t>-PV/</w:t>
      </w:r>
      <w:proofErr w:type="spellStart"/>
      <w:r>
        <w:rPr>
          <w:rFonts w:ascii="Times New Roman" w:hAnsi="Times New Roman"/>
          <w:sz w:val="24"/>
          <w:szCs w:val="24"/>
        </w:rPr>
        <w:t>lukF</w:t>
      </w:r>
      <w:proofErr w:type="spellEnd"/>
      <w:r>
        <w:rPr>
          <w:rFonts w:ascii="Times New Roman" w:hAnsi="Times New Roman"/>
          <w:sz w:val="24"/>
          <w:szCs w:val="24"/>
        </w:rPr>
        <w:t>-PV) genes in the isolates. Nine (9) isolates that showed high level of in vitro antibiotics resistance were screened using a PCR method as indicated below.</w:t>
      </w:r>
    </w:p>
    <w:p w14:paraId="180D09B8" w14:textId="0248FE77" w:rsidR="000A0ACB" w:rsidRPr="009A41EB" w:rsidRDefault="00A32D99" w:rsidP="009A41EB">
      <w:pPr>
        <w:pStyle w:val="ListParagraph"/>
        <w:numPr>
          <w:ilvl w:val="0"/>
          <w:numId w:val="5"/>
        </w:numPr>
        <w:spacing w:after="0" w:line="480" w:lineRule="auto"/>
        <w:ind w:hanging="720"/>
        <w:jc w:val="both"/>
        <w:rPr>
          <w:rFonts w:ascii="Times New Roman" w:hAnsi="Times New Roman"/>
          <w:sz w:val="24"/>
          <w:szCs w:val="24"/>
        </w:rPr>
      </w:pPr>
      <w:r w:rsidRPr="009A41EB">
        <w:rPr>
          <w:rFonts w:ascii="Times New Roman" w:hAnsi="Times New Roman"/>
          <w:b/>
          <w:bCs/>
          <w:sz w:val="24"/>
          <w:szCs w:val="24"/>
        </w:rPr>
        <w:t>DNA Extraction Using the Boiling Method</w:t>
      </w:r>
    </w:p>
    <w:p w14:paraId="53A6F2C7" w14:textId="77777777" w:rsidR="00A32D99" w:rsidRPr="00A32D99" w:rsidRDefault="00A32D99" w:rsidP="009A41EB">
      <w:pPr>
        <w:spacing w:after="0" w:line="480" w:lineRule="auto"/>
        <w:jc w:val="both"/>
        <w:rPr>
          <w:rFonts w:ascii="Times New Roman" w:hAnsi="Times New Roman"/>
          <w:sz w:val="24"/>
          <w:szCs w:val="24"/>
          <w:lang w:val="en-US"/>
        </w:rPr>
      </w:pPr>
      <w:r w:rsidRPr="00A32D99">
        <w:rPr>
          <w:rFonts w:ascii="Times New Roman" w:hAnsi="Times New Roman"/>
          <w:sz w:val="24"/>
          <w:szCs w:val="24"/>
          <w:lang w:val="en-US"/>
        </w:rPr>
        <w:lastRenderedPageBreak/>
        <w:t>Genomic DNA was extracted from bacterial isolates using the boiling lysis technique, a rapid and cost-effective method suitable for downstream molecular applications. Briefly, 5 mL of an overnight culture grown in Luria–Bertani (LB) broth was transferred into a sterile microcentrifuge tube and centrifuged at 14,000 rpm for 3 minutes to pellet the bacterial cells. The resulting supernatant was carefully discarded, and the cell pellet was resuspended in 500 µL of sterile normal saline solution to ensure uniform cell dispersion.</w:t>
      </w:r>
    </w:p>
    <w:p w14:paraId="46BC9F93" w14:textId="77777777" w:rsidR="00A32D99" w:rsidRPr="00A32D99" w:rsidRDefault="00A32D99" w:rsidP="009A41EB">
      <w:pPr>
        <w:spacing w:after="0" w:line="480" w:lineRule="auto"/>
        <w:jc w:val="both"/>
        <w:rPr>
          <w:rFonts w:ascii="Times New Roman" w:hAnsi="Times New Roman"/>
          <w:sz w:val="24"/>
          <w:szCs w:val="24"/>
          <w:lang w:val="en-US"/>
        </w:rPr>
      </w:pPr>
      <w:r w:rsidRPr="00A32D99">
        <w:rPr>
          <w:rFonts w:ascii="Times New Roman" w:hAnsi="Times New Roman"/>
          <w:sz w:val="24"/>
          <w:szCs w:val="24"/>
          <w:lang w:val="en-US"/>
        </w:rPr>
        <w:t>The suspension was subjected to thermal lysis by incubation at 95°C for 20 minutes. This high-temperature treatment facilitates disruption of the bacterial cell membrane and denaturation of cellular proteins, thereby releasing genomic DNA into the solution. Immediately after heating, the lysate was rapidly cooled on ice to enhance DNA stabilization and reduce thermal degradation.</w:t>
      </w:r>
    </w:p>
    <w:p w14:paraId="4D4297BA" w14:textId="77777777" w:rsidR="00A32D99" w:rsidRPr="00A32D99" w:rsidRDefault="00A32D99" w:rsidP="00A32D99">
      <w:pPr>
        <w:spacing w:line="480" w:lineRule="auto"/>
        <w:jc w:val="both"/>
        <w:rPr>
          <w:rFonts w:ascii="Times New Roman" w:hAnsi="Times New Roman"/>
          <w:sz w:val="24"/>
          <w:szCs w:val="24"/>
          <w:lang w:val="en-US"/>
        </w:rPr>
      </w:pPr>
      <w:r w:rsidRPr="00A32D99">
        <w:rPr>
          <w:rFonts w:ascii="Times New Roman" w:hAnsi="Times New Roman"/>
          <w:sz w:val="24"/>
          <w:szCs w:val="24"/>
          <w:lang w:val="en-US"/>
        </w:rPr>
        <w:t>The cooled lysate was centrifuged again at 14,000 rpm for 3 minutes to separate cellular debris from the soluble nucleic acids. The clear supernatant containing the extracted DNA was carefully transferred into a sterile 1.5 mL microcentrifuge tube, ensuring that the pellet was not disturbed. The extracted DNA was subsequently stored at −20°C until required for further downstream molecular analyses, including polymerase chain reaction (PCR).</w:t>
      </w:r>
    </w:p>
    <w:p w14:paraId="6711FEE2" w14:textId="77777777" w:rsidR="00A32D99" w:rsidRDefault="00A32D99" w:rsidP="000A0ACB">
      <w:pPr>
        <w:spacing w:line="480" w:lineRule="auto"/>
        <w:jc w:val="both"/>
        <w:rPr>
          <w:rFonts w:ascii="Times New Roman" w:hAnsi="Times New Roman"/>
          <w:b/>
          <w:bCs/>
          <w:sz w:val="24"/>
          <w:szCs w:val="24"/>
        </w:rPr>
      </w:pPr>
    </w:p>
    <w:p w14:paraId="2F77D280" w14:textId="67E569A0" w:rsidR="000A0ACB" w:rsidRPr="00F35F6D" w:rsidRDefault="000A0ACB" w:rsidP="000A0ACB">
      <w:pPr>
        <w:spacing w:line="480" w:lineRule="auto"/>
        <w:jc w:val="both"/>
        <w:rPr>
          <w:rFonts w:ascii="Times New Roman" w:hAnsi="Times New Roman"/>
          <w:sz w:val="24"/>
          <w:szCs w:val="24"/>
        </w:rPr>
      </w:pPr>
      <w:r w:rsidRPr="00F35F6D">
        <w:rPr>
          <w:rFonts w:ascii="Times New Roman" w:hAnsi="Times New Roman"/>
          <w:b/>
          <w:bCs/>
          <w:sz w:val="24"/>
          <w:szCs w:val="24"/>
        </w:rPr>
        <w:t>b.</w:t>
      </w:r>
      <w:r w:rsidRPr="00F35F6D">
        <w:rPr>
          <w:rFonts w:ascii="Times New Roman" w:hAnsi="Times New Roman"/>
          <w:b/>
          <w:bCs/>
          <w:sz w:val="24"/>
          <w:szCs w:val="24"/>
        </w:rPr>
        <w:tab/>
        <w:t>DNA Quantification</w:t>
      </w:r>
    </w:p>
    <w:p w14:paraId="13391334" w14:textId="3589B8FF" w:rsidR="00A32D99" w:rsidRPr="00A32D99" w:rsidRDefault="00A32D99" w:rsidP="00A32D99">
      <w:pPr>
        <w:widowControl w:val="0"/>
        <w:spacing w:after="0" w:line="480" w:lineRule="auto"/>
        <w:jc w:val="both"/>
        <w:rPr>
          <w:rFonts w:ascii="Times New Roman" w:hAnsi="Times New Roman"/>
          <w:sz w:val="24"/>
          <w:szCs w:val="24"/>
          <w:lang w:val="en-US"/>
        </w:rPr>
      </w:pPr>
      <w:r w:rsidRPr="00A32D99">
        <w:rPr>
          <w:rFonts w:ascii="Times New Roman" w:hAnsi="Times New Roman"/>
          <w:sz w:val="24"/>
          <w:szCs w:val="24"/>
        </w:rPr>
        <w:t>Genomic DNA concentration and purity were assessed to determine suitability for downstream molecular applications.</w:t>
      </w:r>
      <w:r>
        <w:rPr>
          <w:rFonts w:ascii="Times New Roman" w:hAnsi="Times New Roman"/>
          <w:sz w:val="24"/>
          <w:szCs w:val="24"/>
        </w:rPr>
        <w:t xml:space="preserve"> </w:t>
      </w:r>
      <w:r w:rsidRPr="00A32D99">
        <w:rPr>
          <w:rFonts w:ascii="Times New Roman" w:hAnsi="Times New Roman"/>
          <w:sz w:val="24"/>
          <w:szCs w:val="24"/>
          <w:lang w:val="en-US"/>
        </w:rPr>
        <w:t xml:space="preserve">The concentration and purity of the extracted genomic DNA were determined using a </w:t>
      </w:r>
      <w:proofErr w:type="spellStart"/>
      <w:r w:rsidRPr="00A32D99">
        <w:rPr>
          <w:rFonts w:ascii="Times New Roman" w:hAnsi="Times New Roman"/>
          <w:sz w:val="24"/>
          <w:szCs w:val="24"/>
          <w:lang w:val="en-US"/>
        </w:rPr>
        <w:t>NanoDrop</w:t>
      </w:r>
      <w:proofErr w:type="spellEnd"/>
      <w:r w:rsidRPr="00A32D99">
        <w:rPr>
          <w:rFonts w:ascii="Times New Roman" w:hAnsi="Times New Roman"/>
          <w:sz w:val="24"/>
          <w:szCs w:val="24"/>
          <w:lang w:val="en-US"/>
        </w:rPr>
        <w:t xml:space="preserve"> 1000 spectrophotometer (Thermo Scientific, USA), following the manufacturer’s instructions. Prior to measurement, the instrument software was launched, and </w:t>
      </w:r>
      <w:r w:rsidRPr="00A32D99">
        <w:rPr>
          <w:rFonts w:ascii="Times New Roman" w:hAnsi="Times New Roman"/>
          <w:sz w:val="24"/>
          <w:szCs w:val="24"/>
          <w:lang w:val="en-US"/>
        </w:rPr>
        <w:lastRenderedPageBreak/>
        <w:t>the system was allowed to initialize. The spectrophotometer was first calibrated using 2 µL of sterile distilled water to clean the optical surfaces, after which a blank measurement was performed using normal saline to account for background absorbance.</w:t>
      </w:r>
    </w:p>
    <w:p w14:paraId="0FA25EED" w14:textId="77777777" w:rsidR="00A32D99" w:rsidRPr="00A32D99" w:rsidRDefault="00A32D99" w:rsidP="00A32D99">
      <w:pPr>
        <w:widowControl w:val="0"/>
        <w:spacing w:after="0" w:line="480" w:lineRule="auto"/>
        <w:jc w:val="both"/>
        <w:rPr>
          <w:rFonts w:ascii="Times New Roman" w:hAnsi="Times New Roman"/>
          <w:sz w:val="24"/>
          <w:szCs w:val="24"/>
          <w:lang w:val="en-US"/>
        </w:rPr>
      </w:pPr>
      <w:r w:rsidRPr="00A32D99">
        <w:rPr>
          <w:rFonts w:ascii="Times New Roman" w:hAnsi="Times New Roman"/>
          <w:sz w:val="24"/>
          <w:szCs w:val="24"/>
          <w:lang w:val="en-US"/>
        </w:rPr>
        <w:t>For quantification, 2 µL of each DNA sample was carefully pipetted onto the lower measurement pedestal. The upper pedestal arm was then lowered to establish a liquid column between the optical surfaces. Absorbance readings were obtained by selecting the “Measure” function within the software interface. DNA concentration was automatically calculated by the instrument based on absorbance at 260 nm (A260), while purity was assessed using the A260/A280 ratio to evaluate potential protein contamination.</w:t>
      </w:r>
    </w:p>
    <w:p w14:paraId="1EDCD2DC" w14:textId="7F8AEE04" w:rsidR="00B533A1" w:rsidRPr="00A32D99" w:rsidRDefault="00A32D99" w:rsidP="000A0ACB">
      <w:pPr>
        <w:widowControl w:val="0"/>
        <w:spacing w:after="0" w:line="480" w:lineRule="auto"/>
        <w:jc w:val="both"/>
        <w:rPr>
          <w:rFonts w:ascii="Times New Roman" w:hAnsi="Times New Roman"/>
          <w:sz w:val="24"/>
          <w:szCs w:val="24"/>
          <w:lang w:val="en-US"/>
        </w:rPr>
      </w:pPr>
      <w:r w:rsidRPr="00A32D99">
        <w:rPr>
          <w:rFonts w:ascii="Times New Roman" w:hAnsi="Times New Roman"/>
          <w:sz w:val="24"/>
          <w:szCs w:val="24"/>
          <w:lang w:val="en-US"/>
        </w:rPr>
        <w:t>Following measurement, the pedestal surfaces were cleaned with sterile, lint-free tissue to prevent cross-contamination between samples. The quantified DNA samples were subsequently stored at −20°C for downstream molecular applications.</w:t>
      </w:r>
    </w:p>
    <w:p w14:paraId="50EF7C7A" w14:textId="5DCCAE1A" w:rsidR="0058244A" w:rsidRPr="0058244A" w:rsidRDefault="0058244A" w:rsidP="0058244A">
      <w:pPr>
        <w:pStyle w:val="TableContents"/>
        <w:spacing w:line="480" w:lineRule="auto"/>
        <w:jc w:val="both"/>
        <w:rPr>
          <w:rFonts w:ascii="Times New Roman" w:eastAsia="Times New Roman" w:hAnsi="Times New Roman"/>
          <w:b/>
          <w:bCs/>
          <w:lang w:val="en-US"/>
        </w:rPr>
      </w:pPr>
      <w:r w:rsidRPr="0058244A">
        <w:rPr>
          <w:rFonts w:ascii="Times New Roman" w:eastAsia="Times New Roman" w:hAnsi="Times New Roman"/>
          <w:b/>
          <w:bCs/>
          <w:lang w:val="en-US"/>
        </w:rPr>
        <w:t>c.</w:t>
      </w:r>
      <w:r w:rsidRPr="0058244A">
        <w:rPr>
          <w:rFonts w:ascii="Times New Roman" w:eastAsia="Times New Roman" w:hAnsi="Times New Roman"/>
          <w:b/>
          <w:bCs/>
          <w:lang w:val="en-US"/>
        </w:rPr>
        <w:tab/>
        <w:t>16S rRNA Gene Amplification</w:t>
      </w:r>
    </w:p>
    <w:p w14:paraId="0E87471D" w14:textId="520E2858" w:rsidR="0058244A" w:rsidRPr="0058244A" w:rsidRDefault="0058244A" w:rsidP="0058244A">
      <w:pPr>
        <w:pStyle w:val="TableContents"/>
        <w:spacing w:line="480" w:lineRule="auto"/>
        <w:jc w:val="both"/>
        <w:rPr>
          <w:rFonts w:ascii="Times New Roman" w:eastAsia="Times New Roman" w:hAnsi="Times New Roman"/>
          <w:lang w:val="en-US"/>
        </w:rPr>
      </w:pPr>
      <w:r w:rsidRPr="0058244A">
        <w:rPr>
          <w:rFonts w:ascii="Times New Roman" w:eastAsia="Times New Roman" w:hAnsi="Times New Roman"/>
          <w:lang w:val="en-US"/>
        </w:rPr>
        <w:t xml:space="preserve">The 16S </w:t>
      </w:r>
      <w:r w:rsidR="00C95156">
        <w:rPr>
          <w:rFonts w:ascii="Times New Roman" w:eastAsia="Times New Roman" w:hAnsi="Times New Roman"/>
          <w:lang w:val="en-US"/>
        </w:rPr>
        <w:t xml:space="preserve">ribosomal </w:t>
      </w:r>
      <w:r w:rsidRPr="0058244A">
        <w:rPr>
          <w:rFonts w:ascii="Times New Roman" w:eastAsia="Times New Roman" w:hAnsi="Times New Roman"/>
          <w:lang w:val="en-US"/>
        </w:rPr>
        <w:t xml:space="preserve">RNA </w:t>
      </w:r>
      <w:r w:rsidR="00C95156">
        <w:rPr>
          <w:rFonts w:ascii="Times New Roman" w:eastAsia="Times New Roman" w:hAnsi="Times New Roman"/>
          <w:lang w:val="en-US"/>
        </w:rPr>
        <w:t xml:space="preserve">(rRNA) </w:t>
      </w:r>
      <w:r w:rsidRPr="0058244A">
        <w:rPr>
          <w:rFonts w:ascii="Times New Roman" w:eastAsia="Times New Roman" w:hAnsi="Times New Roman"/>
          <w:lang w:val="en-US"/>
        </w:rPr>
        <w:t xml:space="preserve">gene was amplified to enable molecular </w:t>
      </w:r>
      <w:r w:rsidR="00C95156">
        <w:rPr>
          <w:rFonts w:ascii="Times New Roman" w:eastAsia="Times New Roman" w:hAnsi="Times New Roman"/>
          <w:lang w:val="en-US"/>
        </w:rPr>
        <w:t xml:space="preserve">characterization </w:t>
      </w:r>
      <w:r w:rsidRPr="0058244A">
        <w:rPr>
          <w:rFonts w:ascii="Times New Roman" w:eastAsia="Times New Roman" w:hAnsi="Times New Roman"/>
          <w:lang w:val="en-US"/>
        </w:rPr>
        <w:t>of the bacterial isolates. Amplification of the approximately 1,500 bp fragment of the 16S rRNA gene was performed using the universal primers 27F (5′-AGAGTTTGATCMTGGCTCAG-3′) and 1492R (5′-CGGTTACCTTGTTACGACTT-3′). Polymerase chain reaction (PCR) was carried out in a total reaction volume of 40 µL using an ABI 9700 Applied Biosystems thermal cycler.</w:t>
      </w:r>
    </w:p>
    <w:p w14:paraId="76BFE17F" w14:textId="77777777" w:rsidR="0058244A" w:rsidRPr="0058244A" w:rsidRDefault="0058244A" w:rsidP="0058244A">
      <w:pPr>
        <w:pStyle w:val="TableContents"/>
        <w:spacing w:line="480" w:lineRule="auto"/>
        <w:jc w:val="both"/>
        <w:rPr>
          <w:rFonts w:ascii="Times New Roman" w:eastAsia="Times New Roman" w:hAnsi="Times New Roman"/>
          <w:lang w:val="en-US"/>
        </w:rPr>
      </w:pPr>
      <w:r w:rsidRPr="0058244A">
        <w:rPr>
          <w:rFonts w:ascii="Times New Roman" w:eastAsia="Times New Roman" w:hAnsi="Times New Roman"/>
          <w:lang w:val="en-US"/>
        </w:rPr>
        <w:t xml:space="preserve">The PCR reaction mixture consisted of 2× </w:t>
      </w:r>
      <w:proofErr w:type="spellStart"/>
      <w:r w:rsidRPr="0058244A">
        <w:rPr>
          <w:rFonts w:ascii="Times New Roman" w:eastAsia="Times New Roman" w:hAnsi="Times New Roman"/>
          <w:lang w:val="en-US"/>
        </w:rPr>
        <w:t>DreamTaq</w:t>
      </w:r>
      <w:proofErr w:type="spellEnd"/>
      <w:r w:rsidRPr="0058244A">
        <w:rPr>
          <w:rFonts w:ascii="Times New Roman" w:eastAsia="Times New Roman" w:hAnsi="Times New Roman"/>
          <w:lang w:val="en-US"/>
        </w:rPr>
        <w:t xml:space="preserve"> Master Mix (</w:t>
      </w:r>
      <w:proofErr w:type="spellStart"/>
      <w:r w:rsidRPr="0058244A">
        <w:rPr>
          <w:rFonts w:ascii="Times New Roman" w:eastAsia="Times New Roman" w:hAnsi="Times New Roman"/>
          <w:lang w:val="en-US"/>
        </w:rPr>
        <w:t>Inqaba</w:t>
      </w:r>
      <w:proofErr w:type="spellEnd"/>
      <w:r w:rsidRPr="0058244A">
        <w:rPr>
          <w:rFonts w:ascii="Times New Roman" w:eastAsia="Times New Roman" w:hAnsi="Times New Roman"/>
          <w:lang w:val="en-US"/>
        </w:rPr>
        <w:t xml:space="preserve"> Biotechnological Industries, South Africa), containing </w:t>
      </w:r>
      <w:proofErr w:type="spellStart"/>
      <w:r w:rsidRPr="0058244A">
        <w:rPr>
          <w:rFonts w:ascii="Times New Roman" w:eastAsia="Times New Roman" w:hAnsi="Times New Roman"/>
          <w:lang w:val="en-US"/>
        </w:rPr>
        <w:t>Taq</w:t>
      </w:r>
      <w:proofErr w:type="spellEnd"/>
      <w:r w:rsidRPr="0058244A">
        <w:rPr>
          <w:rFonts w:ascii="Times New Roman" w:eastAsia="Times New Roman" w:hAnsi="Times New Roman"/>
          <w:lang w:val="en-US"/>
        </w:rPr>
        <w:t xml:space="preserve"> DNA polymerase, dNTPs, </w:t>
      </w:r>
      <w:proofErr w:type="spellStart"/>
      <w:r w:rsidRPr="0058244A">
        <w:rPr>
          <w:rFonts w:ascii="Times New Roman" w:eastAsia="Times New Roman" w:hAnsi="Times New Roman"/>
          <w:lang w:val="en-US"/>
        </w:rPr>
        <w:t>MgCl</w:t>
      </w:r>
      <w:proofErr w:type="spellEnd"/>
      <w:r w:rsidRPr="0058244A">
        <w:rPr>
          <w:rFonts w:ascii="Times New Roman" w:eastAsia="Times New Roman" w:hAnsi="Times New Roman"/>
          <w:lang w:val="en-US"/>
        </w:rPr>
        <w:t>₂, and reaction buffer; forward and reverse primers at a final concentration of 0.5 µM each; and the extracted genomic DNA serving as template. Nuclease-free water was added to make up the final reaction volume.</w:t>
      </w:r>
    </w:p>
    <w:p w14:paraId="3A3ACDA8" w14:textId="77777777" w:rsidR="0058244A" w:rsidRPr="0058244A" w:rsidRDefault="0058244A" w:rsidP="0058244A">
      <w:pPr>
        <w:pStyle w:val="TableContents"/>
        <w:spacing w:line="480" w:lineRule="auto"/>
        <w:jc w:val="both"/>
        <w:rPr>
          <w:rFonts w:ascii="Times New Roman" w:eastAsia="Times New Roman" w:hAnsi="Times New Roman"/>
          <w:lang w:val="en-US"/>
        </w:rPr>
      </w:pPr>
      <w:r w:rsidRPr="0058244A">
        <w:rPr>
          <w:rFonts w:ascii="Times New Roman" w:eastAsia="Times New Roman" w:hAnsi="Times New Roman"/>
          <w:lang w:val="en-US"/>
        </w:rPr>
        <w:t xml:space="preserve">Thermal cycling conditions were as follows: initial denaturation at 95°C for 5 minutes; 35 cycles </w:t>
      </w:r>
      <w:r w:rsidRPr="0058244A">
        <w:rPr>
          <w:rFonts w:ascii="Times New Roman" w:eastAsia="Times New Roman" w:hAnsi="Times New Roman"/>
          <w:lang w:val="en-US"/>
        </w:rPr>
        <w:lastRenderedPageBreak/>
        <w:t>of denaturation at 95°C for 30 seconds, annealing at 52°C for 30 seconds, and extension at 72°C for 30 seconds; followed by a final extension step at 72°C for 5 minutes.</w:t>
      </w:r>
    </w:p>
    <w:p w14:paraId="312162CA" w14:textId="36CC2B9B" w:rsidR="0058244A" w:rsidRPr="0058244A" w:rsidRDefault="0058244A" w:rsidP="0058244A">
      <w:pPr>
        <w:pStyle w:val="TableContents"/>
        <w:spacing w:line="480" w:lineRule="auto"/>
        <w:jc w:val="both"/>
        <w:rPr>
          <w:rFonts w:ascii="Times New Roman" w:eastAsia="Times New Roman" w:hAnsi="Times New Roman"/>
          <w:lang w:val="en-US"/>
        </w:rPr>
      </w:pPr>
      <w:r w:rsidRPr="0058244A">
        <w:rPr>
          <w:rFonts w:ascii="Times New Roman" w:eastAsia="Times New Roman" w:hAnsi="Times New Roman"/>
          <w:lang w:val="en-US"/>
        </w:rPr>
        <w:t>Amplified PCR products were resolved by electrophoresis on a 1% (w/v) agarose gel prepared in 1× TAE buffer. Electrophoresis was conducted at 130 V for 30 minutes, and the DNA bands were visualized using a blue-light transilluminator.</w:t>
      </w:r>
    </w:p>
    <w:p w14:paraId="68D7A8BC" w14:textId="584C85E0" w:rsidR="0058244A" w:rsidRPr="0058244A" w:rsidRDefault="0058244A" w:rsidP="0058244A">
      <w:pPr>
        <w:pStyle w:val="TableContents"/>
        <w:spacing w:line="480" w:lineRule="auto"/>
        <w:jc w:val="both"/>
        <w:rPr>
          <w:rFonts w:ascii="Times New Roman" w:eastAsia="Times New Roman" w:hAnsi="Times New Roman"/>
          <w:b/>
          <w:bCs/>
          <w:lang w:val="en-US"/>
        </w:rPr>
      </w:pPr>
      <w:r w:rsidRPr="0058244A">
        <w:rPr>
          <w:rFonts w:ascii="Times New Roman" w:eastAsia="Times New Roman" w:hAnsi="Times New Roman"/>
          <w:b/>
          <w:bCs/>
          <w:lang w:val="en-US"/>
        </w:rPr>
        <w:t>d.</w:t>
      </w:r>
      <w:r w:rsidRPr="0058244A">
        <w:rPr>
          <w:rFonts w:ascii="Times New Roman" w:eastAsia="Times New Roman" w:hAnsi="Times New Roman"/>
          <w:b/>
          <w:bCs/>
          <w:lang w:val="en-US"/>
        </w:rPr>
        <w:tab/>
        <w:t>Sequencing</w:t>
      </w:r>
    </w:p>
    <w:p w14:paraId="34712DD5" w14:textId="77777777" w:rsidR="0058244A" w:rsidRPr="0058244A" w:rsidRDefault="0058244A" w:rsidP="0058244A">
      <w:pPr>
        <w:pStyle w:val="TableContents"/>
        <w:spacing w:line="480" w:lineRule="auto"/>
        <w:jc w:val="both"/>
        <w:rPr>
          <w:rFonts w:ascii="Times New Roman" w:eastAsia="Times New Roman" w:hAnsi="Times New Roman"/>
          <w:lang w:val="en-US"/>
        </w:rPr>
      </w:pPr>
      <w:r w:rsidRPr="0058244A">
        <w:rPr>
          <w:rFonts w:ascii="Times New Roman" w:eastAsia="Times New Roman" w:hAnsi="Times New Roman"/>
          <w:lang w:val="en-US"/>
        </w:rPr>
        <w:t xml:space="preserve">Sanger sequencing of the amplified 16S rRNA gene products was performed to determine nucleotide composition and confirm bacterial identity. Sequencing reactions were carried out using the </w:t>
      </w:r>
      <w:proofErr w:type="spellStart"/>
      <w:r w:rsidRPr="0058244A">
        <w:rPr>
          <w:rFonts w:ascii="Times New Roman" w:eastAsia="Times New Roman" w:hAnsi="Times New Roman"/>
          <w:lang w:val="en-US"/>
        </w:rPr>
        <w:t>BigDye</w:t>
      </w:r>
      <w:proofErr w:type="spellEnd"/>
      <w:r w:rsidRPr="0058244A">
        <w:rPr>
          <w:rFonts w:ascii="Times New Roman" w:eastAsia="Times New Roman" w:hAnsi="Times New Roman"/>
          <w:lang w:val="en-US"/>
        </w:rPr>
        <w:t xml:space="preserve">® Terminator v1.1/v3.1 Cycle Sequencing Kit (Applied Biosystems) on an ABI 3510 Genetic Analyzer at </w:t>
      </w:r>
      <w:proofErr w:type="spellStart"/>
      <w:r w:rsidRPr="0058244A">
        <w:rPr>
          <w:rFonts w:ascii="Times New Roman" w:eastAsia="Times New Roman" w:hAnsi="Times New Roman"/>
          <w:lang w:val="en-US"/>
        </w:rPr>
        <w:t>Inqaba</w:t>
      </w:r>
      <w:proofErr w:type="spellEnd"/>
      <w:r w:rsidRPr="0058244A">
        <w:rPr>
          <w:rFonts w:ascii="Times New Roman" w:eastAsia="Times New Roman" w:hAnsi="Times New Roman"/>
          <w:lang w:val="en-US"/>
        </w:rPr>
        <w:t xml:space="preserve"> Biotechnological Industries, Pretoria, South Africa.</w:t>
      </w:r>
    </w:p>
    <w:p w14:paraId="74F80FAE" w14:textId="77777777" w:rsidR="0058244A" w:rsidRPr="0058244A" w:rsidRDefault="0058244A" w:rsidP="0058244A">
      <w:pPr>
        <w:pStyle w:val="TableContents"/>
        <w:spacing w:line="480" w:lineRule="auto"/>
        <w:jc w:val="both"/>
        <w:rPr>
          <w:rFonts w:ascii="Times New Roman" w:eastAsia="Times New Roman" w:hAnsi="Times New Roman"/>
          <w:lang w:val="en-US"/>
        </w:rPr>
      </w:pPr>
      <w:r w:rsidRPr="0058244A">
        <w:rPr>
          <w:rFonts w:ascii="Times New Roman" w:eastAsia="Times New Roman" w:hAnsi="Times New Roman"/>
          <w:lang w:val="en-US"/>
        </w:rPr>
        <w:t xml:space="preserve">The sequencing reaction was prepared in a final volume of 10 µL, comprising 0.25 µL </w:t>
      </w:r>
      <w:proofErr w:type="spellStart"/>
      <w:r w:rsidRPr="0058244A">
        <w:rPr>
          <w:rFonts w:ascii="Times New Roman" w:eastAsia="Times New Roman" w:hAnsi="Times New Roman"/>
          <w:lang w:val="en-US"/>
        </w:rPr>
        <w:t>BigDye</w:t>
      </w:r>
      <w:proofErr w:type="spellEnd"/>
      <w:r w:rsidRPr="0058244A">
        <w:rPr>
          <w:rFonts w:ascii="Times New Roman" w:eastAsia="Times New Roman" w:hAnsi="Times New Roman"/>
          <w:lang w:val="en-US"/>
        </w:rPr>
        <w:t xml:space="preserve"> Terminator Ready Reaction Mix, 2.25 µL of 5× </w:t>
      </w:r>
      <w:proofErr w:type="spellStart"/>
      <w:r w:rsidRPr="0058244A">
        <w:rPr>
          <w:rFonts w:ascii="Times New Roman" w:eastAsia="Times New Roman" w:hAnsi="Times New Roman"/>
          <w:lang w:val="en-US"/>
        </w:rPr>
        <w:t>BigDye</w:t>
      </w:r>
      <w:proofErr w:type="spellEnd"/>
      <w:r w:rsidRPr="0058244A">
        <w:rPr>
          <w:rFonts w:ascii="Times New Roman" w:eastAsia="Times New Roman" w:hAnsi="Times New Roman"/>
          <w:lang w:val="en-US"/>
        </w:rPr>
        <w:t xml:space="preserve"> sequencing buffer, 10 µM sequencing primer, and 2–10 ng of purified PCR product per 100 bp of amplicon length. Nuclease-free water was added to adjust the final volume.</w:t>
      </w:r>
    </w:p>
    <w:p w14:paraId="6D5F600D" w14:textId="1B76846B" w:rsidR="0058244A" w:rsidRPr="0058244A" w:rsidRDefault="0058244A" w:rsidP="0058244A">
      <w:pPr>
        <w:pStyle w:val="TableContents"/>
        <w:spacing w:line="480" w:lineRule="auto"/>
        <w:jc w:val="both"/>
        <w:rPr>
          <w:rFonts w:ascii="Times New Roman" w:eastAsia="Times New Roman" w:hAnsi="Times New Roman"/>
          <w:lang w:val="en-US"/>
        </w:rPr>
      </w:pPr>
      <w:r w:rsidRPr="0058244A">
        <w:rPr>
          <w:rFonts w:ascii="Times New Roman" w:eastAsia="Times New Roman" w:hAnsi="Times New Roman"/>
          <w:lang w:val="en-US"/>
        </w:rPr>
        <w:t>Cycle sequencing conditions included 32 cycles of denaturation at 96°C for 10 seconds, annealing at 55°C for 5 seconds, and extension at 60°C for 4 minutes.</w:t>
      </w:r>
    </w:p>
    <w:p w14:paraId="7EF4CB6E" w14:textId="6EB3F59E" w:rsidR="0058244A" w:rsidRPr="0058244A" w:rsidRDefault="0058244A" w:rsidP="0058244A">
      <w:pPr>
        <w:pStyle w:val="TableContents"/>
        <w:spacing w:line="480" w:lineRule="auto"/>
        <w:jc w:val="both"/>
        <w:rPr>
          <w:rFonts w:ascii="Times New Roman" w:eastAsia="Times New Roman" w:hAnsi="Times New Roman"/>
          <w:b/>
          <w:bCs/>
          <w:lang w:val="en-US"/>
        </w:rPr>
      </w:pPr>
      <w:r w:rsidRPr="0058244A">
        <w:rPr>
          <w:rFonts w:ascii="Times New Roman" w:eastAsia="Times New Roman" w:hAnsi="Times New Roman"/>
          <w:b/>
          <w:bCs/>
          <w:lang w:val="en-US"/>
        </w:rPr>
        <w:t>e.</w:t>
      </w:r>
      <w:r w:rsidRPr="0058244A">
        <w:rPr>
          <w:rFonts w:ascii="Times New Roman" w:eastAsia="Times New Roman" w:hAnsi="Times New Roman"/>
          <w:b/>
          <w:bCs/>
          <w:lang w:val="en-US"/>
        </w:rPr>
        <w:tab/>
        <w:t>Phylogenetic Analysis</w:t>
      </w:r>
    </w:p>
    <w:p w14:paraId="102D2CC8" w14:textId="77777777" w:rsidR="0058244A" w:rsidRPr="0058244A" w:rsidRDefault="0058244A" w:rsidP="0058244A">
      <w:pPr>
        <w:pStyle w:val="TableContents"/>
        <w:spacing w:line="480" w:lineRule="auto"/>
        <w:jc w:val="both"/>
        <w:rPr>
          <w:rFonts w:ascii="Times New Roman" w:eastAsia="Times New Roman" w:hAnsi="Times New Roman"/>
          <w:lang w:val="en-US"/>
        </w:rPr>
      </w:pPr>
      <w:r w:rsidRPr="0058244A">
        <w:rPr>
          <w:rFonts w:ascii="Times New Roman" w:eastAsia="Times New Roman" w:hAnsi="Times New Roman"/>
          <w:lang w:val="en-US"/>
        </w:rPr>
        <w:t xml:space="preserve">Phylogenetic analysis was conducted to determine the evolutionary relationships between the obtained isolates and reference strains. Raw sequence chromatograms were edited and trimmed using </w:t>
      </w:r>
      <w:proofErr w:type="spellStart"/>
      <w:r w:rsidRPr="0058244A">
        <w:rPr>
          <w:rFonts w:ascii="Times New Roman" w:eastAsia="Times New Roman" w:hAnsi="Times New Roman"/>
          <w:lang w:val="en-US"/>
        </w:rPr>
        <w:t>TraceEdit</w:t>
      </w:r>
      <w:proofErr w:type="spellEnd"/>
      <w:r w:rsidRPr="0058244A">
        <w:rPr>
          <w:rFonts w:ascii="Times New Roman" w:eastAsia="Times New Roman" w:hAnsi="Times New Roman"/>
          <w:lang w:val="en-US"/>
        </w:rPr>
        <w:t xml:space="preserve"> to remove low-quality base calls. The curated sequences were subjected to similarity searches using the Basic Local Alignment Search Tool for nucleotides (</w:t>
      </w:r>
      <w:proofErr w:type="spellStart"/>
      <w:r w:rsidRPr="0058244A">
        <w:rPr>
          <w:rFonts w:ascii="Times New Roman" w:eastAsia="Times New Roman" w:hAnsi="Times New Roman"/>
          <w:lang w:val="en-US"/>
        </w:rPr>
        <w:t>BLASTn</w:t>
      </w:r>
      <w:proofErr w:type="spellEnd"/>
      <w:r w:rsidRPr="0058244A">
        <w:rPr>
          <w:rFonts w:ascii="Times New Roman" w:eastAsia="Times New Roman" w:hAnsi="Times New Roman"/>
          <w:lang w:val="en-US"/>
        </w:rPr>
        <w:t>) against the National Center for Biotechnology Information (NCBI) database to identify closely related sequences.</w:t>
      </w:r>
    </w:p>
    <w:p w14:paraId="301BA4D6" w14:textId="77777777" w:rsidR="0058244A" w:rsidRPr="0058244A" w:rsidRDefault="0058244A" w:rsidP="0058244A">
      <w:pPr>
        <w:pStyle w:val="TableContents"/>
        <w:spacing w:line="480" w:lineRule="auto"/>
        <w:jc w:val="both"/>
        <w:rPr>
          <w:rFonts w:ascii="Times New Roman" w:eastAsia="Times New Roman" w:hAnsi="Times New Roman"/>
          <w:lang w:val="en-US"/>
        </w:rPr>
      </w:pPr>
      <w:r w:rsidRPr="0058244A">
        <w:rPr>
          <w:rFonts w:ascii="Times New Roman" w:eastAsia="Times New Roman" w:hAnsi="Times New Roman"/>
          <w:lang w:val="en-US"/>
        </w:rPr>
        <w:lastRenderedPageBreak/>
        <w:t>Reference sequences with high similarity scores were retrieved from the database and aligned with the study sequences using the MAFFT multiple sequence alignment algorithm. Phylogenetic trees were constructed using the Neighbor-Joining method implemented in MEGA version 6.0.</w:t>
      </w:r>
    </w:p>
    <w:p w14:paraId="2DF07662" w14:textId="436A1E36" w:rsidR="0058244A" w:rsidRPr="0058244A" w:rsidRDefault="0058244A" w:rsidP="0058244A">
      <w:pPr>
        <w:pStyle w:val="TableContents"/>
        <w:spacing w:line="480" w:lineRule="auto"/>
        <w:jc w:val="both"/>
        <w:rPr>
          <w:rFonts w:ascii="Times New Roman" w:eastAsia="Times New Roman" w:hAnsi="Times New Roman"/>
          <w:lang w:val="en-US"/>
        </w:rPr>
      </w:pPr>
      <w:r w:rsidRPr="0058244A">
        <w:rPr>
          <w:rFonts w:ascii="Times New Roman" w:eastAsia="Times New Roman" w:hAnsi="Times New Roman"/>
          <w:lang w:val="en-US"/>
        </w:rPr>
        <w:t>The robustness of the inferred phylogenetic relationships was evaluated using bootstrap analysis with 500 replicates. Evolutionary distances were calculated using the Jukes–Cantor substitution model, and the resulting bootstrap consensus tree was used to represent the evolutionary history of the taxa analyzed.</w:t>
      </w:r>
    </w:p>
    <w:p w14:paraId="7CFA4B57" w14:textId="08E2AF81" w:rsidR="0058244A" w:rsidRPr="0058244A" w:rsidRDefault="0058244A" w:rsidP="0058244A">
      <w:pPr>
        <w:pStyle w:val="TableContents"/>
        <w:spacing w:line="480" w:lineRule="auto"/>
        <w:jc w:val="both"/>
        <w:rPr>
          <w:rFonts w:ascii="Times New Roman" w:eastAsia="Times New Roman" w:hAnsi="Times New Roman"/>
          <w:b/>
          <w:bCs/>
          <w:lang w:val="en-US"/>
        </w:rPr>
      </w:pPr>
      <w:r w:rsidRPr="0058244A">
        <w:rPr>
          <w:rFonts w:ascii="Times New Roman" w:eastAsia="Times New Roman" w:hAnsi="Times New Roman"/>
          <w:b/>
          <w:bCs/>
          <w:lang w:val="en-US"/>
        </w:rPr>
        <w:t xml:space="preserve">2.7 </w:t>
      </w:r>
      <w:r w:rsidRPr="0058244A">
        <w:rPr>
          <w:rFonts w:ascii="Times New Roman" w:eastAsia="Times New Roman" w:hAnsi="Times New Roman"/>
          <w:b/>
          <w:bCs/>
          <w:lang w:val="en-US"/>
        </w:rPr>
        <w:tab/>
        <w:t>Molecular Antibiotic Resistance Screening</w:t>
      </w:r>
    </w:p>
    <w:p w14:paraId="29293C39" w14:textId="51CB2115" w:rsidR="0058244A" w:rsidRPr="0058244A" w:rsidRDefault="0058244A" w:rsidP="0058244A">
      <w:pPr>
        <w:pStyle w:val="TableContents"/>
        <w:spacing w:line="480" w:lineRule="auto"/>
        <w:jc w:val="both"/>
        <w:rPr>
          <w:rFonts w:ascii="Times New Roman" w:eastAsia="Times New Roman" w:hAnsi="Times New Roman"/>
          <w:b/>
          <w:bCs/>
          <w:lang w:val="en-US"/>
        </w:rPr>
      </w:pPr>
      <w:r w:rsidRPr="0058244A">
        <w:rPr>
          <w:rFonts w:ascii="Times New Roman" w:eastAsia="Times New Roman" w:hAnsi="Times New Roman"/>
          <w:b/>
          <w:bCs/>
          <w:lang w:val="en-US"/>
        </w:rPr>
        <w:t xml:space="preserve">2.7.1 </w:t>
      </w:r>
      <w:r w:rsidRPr="0058244A">
        <w:rPr>
          <w:rFonts w:ascii="Times New Roman" w:eastAsia="Times New Roman" w:hAnsi="Times New Roman"/>
          <w:b/>
          <w:bCs/>
          <w:lang w:val="en-US"/>
        </w:rPr>
        <w:tab/>
      </w:r>
      <w:proofErr w:type="spellStart"/>
      <w:r w:rsidRPr="0058244A">
        <w:rPr>
          <w:rFonts w:ascii="Times New Roman" w:eastAsia="Times New Roman" w:hAnsi="Times New Roman"/>
          <w:b/>
          <w:bCs/>
          <w:lang w:val="en-US"/>
        </w:rPr>
        <w:t>MecA</w:t>
      </w:r>
      <w:proofErr w:type="spellEnd"/>
      <w:r w:rsidRPr="0058244A">
        <w:rPr>
          <w:rFonts w:ascii="Times New Roman" w:eastAsia="Times New Roman" w:hAnsi="Times New Roman"/>
          <w:b/>
          <w:bCs/>
          <w:lang w:val="en-US"/>
        </w:rPr>
        <w:t xml:space="preserve"> Gene Amplification</w:t>
      </w:r>
    </w:p>
    <w:p w14:paraId="2DF814AD" w14:textId="77777777" w:rsidR="0058244A" w:rsidRPr="0058244A" w:rsidRDefault="0058244A" w:rsidP="0058244A">
      <w:pPr>
        <w:pStyle w:val="TableContents"/>
        <w:spacing w:line="480" w:lineRule="auto"/>
        <w:jc w:val="both"/>
        <w:rPr>
          <w:rFonts w:ascii="Times New Roman" w:eastAsia="Times New Roman" w:hAnsi="Times New Roman"/>
          <w:lang w:val="en-US"/>
        </w:rPr>
      </w:pPr>
      <w:r w:rsidRPr="0058244A">
        <w:rPr>
          <w:rFonts w:ascii="Times New Roman" w:eastAsia="Times New Roman" w:hAnsi="Times New Roman"/>
          <w:lang w:val="en-US"/>
        </w:rPr>
        <w:t xml:space="preserve">Detection of the </w:t>
      </w:r>
      <w:proofErr w:type="spellStart"/>
      <w:r w:rsidRPr="0058244A">
        <w:rPr>
          <w:rFonts w:ascii="Times New Roman" w:eastAsia="Times New Roman" w:hAnsi="Times New Roman"/>
          <w:lang w:val="en-US"/>
        </w:rPr>
        <w:t>mecA</w:t>
      </w:r>
      <w:proofErr w:type="spellEnd"/>
      <w:r w:rsidRPr="0058244A">
        <w:rPr>
          <w:rFonts w:ascii="Times New Roman" w:eastAsia="Times New Roman" w:hAnsi="Times New Roman"/>
          <w:lang w:val="en-US"/>
        </w:rPr>
        <w:t xml:space="preserve"> gene was performed to determine the presence of methicillin resistance among the isolates. Amplification was carried out using specific primers </w:t>
      </w:r>
      <w:proofErr w:type="spellStart"/>
      <w:r w:rsidRPr="0058244A">
        <w:rPr>
          <w:rFonts w:ascii="Times New Roman" w:eastAsia="Times New Roman" w:hAnsi="Times New Roman"/>
          <w:lang w:val="en-US"/>
        </w:rPr>
        <w:t>mecAF</w:t>
      </w:r>
      <w:proofErr w:type="spellEnd"/>
      <w:r w:rsidRPr="0058244A">
        <w:rPr>
          <w:rFonts w:ascii="Times New Roman" w:eastAsia="Times New Roman" w:hAnsi="Times New Roman"/>
          <w:lang w:val="en-US"/>
        </w:rPr>
        <w:t xml:space="preserve"> (TGGCTATCGTGTCACAATCG) and </w:t>
      </w:r>
      <w:proofErr w:type="spellStart"/>
      <w:r w:rsidRPr="0058244A">
        <w:rPr>
          <w:rFonts w:ascii="Times New Roman" w:eastAsia="Times New Roman" w:hAnsi="Times New Roman"/>
          <w:lang w:val="en-US"/>
        </w:rPr>
        <w:t>mecAR</w:t>
      </w:r>
      <w:proofErr w:type="spellEnd"/>
      <w:r w:rsidRPr="0058244A">
        <w:rPr>
          <w:rFonts w:ascii="Times New Roman" w:eastAsia="Times New Roman" w:hAnsi="Times New Roman"/>
          <w:lang w:val="en-US"/>
        </w:rPr>
        <w:t xml:space="preserve"> (CTGGAACTTGTTGAGCAGAG) in a total reaction volume of 40 µL using an ABI 9700 Applied Biosystems thermal cycler.</w:t>
      </w:r>
    </w:p>
    <w:p w14:paraId="484C809D" w14:textId="77777777" w:rsidR="00EE64C2" w:rsidRPr="00EE64C2" w:rsidRDefault="00EE64C2" w:rsidP="00EE64C2">
      <w:pPr>
        <w:pStyle w:val="TableContents"/>
        <w:spacing w:line="480" w:lineRule="auto"/>
        <w:jc w:val="both"/>
        <w:rPr>
          <w:rFonts w:ascii="Times New Roman" w:eastAsia="Times New Roman" w:hAnsi="Times New Roman"/>
          <w:lang w:val="en-US"/>
        </w:rPr>
      </w:pPr>
      <w:r w:rsidRPr="00EE64C2">
        <w:rPr>
          <w:rFonts w:ascii="Times New Roman" w:eastAsia="Times New Roman" w:hAnsi="Times New Roman"/>
          <w:lang w:val="en-US"/>
        </w:rPr>
        <w:t xml:space="preserve">The PCR reaction mixture comprised 2× </w:t>
      </w:r>
      <w:proofErr w:type="spellStart"/>
      <w:r w:rsidRPr="00EE64C2">
        <w:rPr>
          <w:rFonts w:ascii="Times New Roman" w:eastAsia="Times New Roman" w:hAnsi="Times New Roman"/>
          <w:lang w:val="en-US"/>
        </w:rPr>
        <w:t>DreamTaq</w:t>
      </w:r>
      <w:proofErr w:type="spellEnd"/>
      <w:r w:rsidRPr="00EE64C2">
        <w:rPr>
          <w:rFonts w:ascii="Times New Roman" w:eastAsia="Times New Roman" w:hAnsi="Times New Roman"/>
          <w:lang w:val="en-US"/>
        </w:rPr>
        <w:t xml:space="preserve"> Master Mix (</w:t>
      </w:r>
      <w:proofErr w:type="spellStart"/>
      <w:r w:rsidRPr="00EE64C2">
        <w:rPr>
          <w:rFonts w:ascii="Times New Roman" w:eastAsia="Times New Roman" w:hAnsi="Times New Roman"/>
          <w:lang w:val="en-US"/>
        </w:rPr>
        <w:t>Inqaba</w:t>
      </w:r>
      <w:proofErr w:type="spellEnd"/>
      <w:r w:rsidRPr="00EE64C2">
        <w:rPr>
          <w:rFonts w:ascii="Times New Roman" w:eastAsia="Times New Roman" w:hAnsi="Times New Roman"/>
          <w:lang w:val="en-US"/>
        </w:rPr>
        <w:t xml:space="preserve"> Biotechnological Industries, South Africa), which contains </w:t>
      </w:r>
      <w:proofErr w:type="spellStart"/>
      <w:r w:rsidRPr="00EE64C2">
        <w:rPr>
          <w:rFonts w:ascii="Times New Roman" w:eastAsia="Times New Roman" w:hAnsi="Times New Roman"/>
          <w:lang w:val="en-US"/>
        </w:rPr>
        <w:t>Taq</w:t>
      </w:r>
      <w:proofErr w:type="spellEnd"/>
      <w:r w:rsidRPr="00EE64C2">
        <w:rPr>
          <w:rFonts w:ascii="Times New Roman" w:eastAsia="Times New Roman" w:hAnsi="Times New Roman"/>
          <w:lang w:val="en-US"/>
        </w:rPr>
        <w:t xml:space="preserve"> DNA polymerase, dNTPs, </w:t>
      </w:r>
      <w:proofErr w:type="spellStart"/>
      <w:r w:rsidRPr="00EE64C2">
        <w:rPr>
          <w:rFonts w:ascii="Times New Roman" w:eastAsia="Times New Roman" w:hAnsi="Times New Roman"/>
          <w:lang w:val="en-US"/>
        </w:rPr>
        <w:t>MgCl</w:t>
      </w:r>
      <w:proofErr w:type="spellEnd"/>
      <w:r w:rsidRPr="00EE64C2">
        <w:rPr>
          <w:rFonts w:ascii="Times New Roman" w:eastAsia="Times New Roman" w:hAnsi="Times New Roman"/>
          <w:lang w:val="en-US"/>
        </w:rPr>
        <w:t>₂, and the appropriate reaction buffer, supplemented with forward and reverse primers at a final concentration of 0.4 µM each, and 50 ng of extracted genomic DNA as the template. Nuclease-free water was added to bring the reaction to the desired final volume.</w:t>
      </w:r>
    </w:p>
    <w:p w14:paraId="5FAC2778" w14:textId="7EEE8F5F" w:rsidR="0058244A" w:rsidRPr="0058244A" w:rsidRDefault="00EE64C2" w:rsidP="00EE64C2">
      <w:pPr>
        <w:pStyle w:val="TableContents"/>
        <w:spacing w:line="480" w:lineRule="auto"/>
        <w:jc w:val="both"/>
        <w:rPr>
          <w:rFonts w:ascii="Times New Roman" w:eastAsia="Times New Roman" w:hAnsi="Times New Roman"/>
          <w:lang w:val="en-US"/>
        </w:rPr>
      </w:pPr>
      <w:r w:rsidRPr="00EE64C2">
        <w:rPr>
          <w:rFonts w:ascii="Times New Roman" w:eastAsia="Times New Roman" w:hAnsi="Times New Roman"/>
          <w:lang w:val="en-US"/>
        </w:rPr>
        <w:t>Thermal cycling was performed with an initial denaturation at 95 °C for 5 minutes, followed by 35 cycles of denaturation at 95 °C for 30 seconds, annealing at 58 °C for 30 seconds, and extension at 72 °C for 30 seconds, with a final extension step at 72 °C for 5 minutes</w:t>
      </w:r>
      <w:r w:rsidR="0058244A" w:rsidRPr="0058244A">
        <w:rPr>
          <w:rFonts w:ascii="Times New Roman" w:eastAsia="Times New Roman" w:hAnsi="Times New Roman"/>
          <w:lang w:val="en-US"/>
        </w:rPr>
        <w:t>.</w:t>
      </w:r>
    </w:p>
    <w:p w14:paraId="6A7302E7" w14:textId="77777777" w:rsidR="0058244A" w:rsidRPr="0058244A" w:rsidRDefault="0058244A" w:rsidP="0058244A">
      <w:pPr>
        <w:pStyle w:val="TableContents"/>
        <w:spacing w:line="480" w:lineRule="auto"/>
        <w:jc w:val="both"/>
        <w:rPr>
          <w:rFonts w:ascii="Times New Roman" w:eastAsia="Times New Roman" w:hAnsi="Times New Roman"/>
          <w:lang w:val="en-US"/>
        </w:rPr>
      </w:pPr>
      <w:r w:rsidRPr="0058244A">
        <w:rPr>
          <w:rFonts w:ascii="Times New Roman" w:eastAsia="Times New Roman" w:hAnsi="Times New Roman"/>
          <w:lang w:val="en-US"/>
        </w:rPr>
        <w:t xml:space="preserve">Amplified products were separated on a 1% agarose gel at 120 V for 25 minutes and visualized </w:t>
      </w:r>
      <w:r w:rsidRPr="0058244A">
        <w:rPr>
          <w:rFonts w:ascii="Times New Roman" w:eastAsia="Times New Roman" w:hAnsi="Times New Roman"/>
          <w:lang w:val="en-US"/>
        </w:rPr>
        <w:lastRenderedPageBreak/>
        <w:t>under ultraviolet illumination using a UV transilluminator.</w:t>
      </w:r>
    </w:p>
    <w:p w14:paraId="1E006785" w14:textId="77777777" w:rsidR="000A0ACB" w:rsidRPr="00F35F6D" w:rsidRDefault="00D647F7" w:rsidP="000A0ACB">
      <w:pPr>
        <w:pStyle w:val="TableContents"/>
        <w:spacing w:line="480" w:lineRule="auto"/>
        <w:jc w:val="both"/>
        <w:rPr>
          <w:rFonts w:ascii="Times New Roman" w:eastAsia="Times New Roman" w:hAnsi="Times New Roman" w:cs="Times New Roman"/>
          <w:b/>
        </w:rPr>
      </w:pPr>
      <w:r>
        <w:rPr>
          <w:rFonts w:ascii="Times New Roman" w:eastAsia="Times New Roman" w:hAnsi="Times New Roman" w:cs="Times New Roman"/>
          <w:b/>
        </w:rPr>
        <w:t>2.8</w:t>
      </w:r>
      <w:r w:rsidR="000A0ACB" w:rsidRPr="00F35F6D">
        <w:rPr>
          <w:rFonts w:ascii="Times New Roman" w:eastAsia="Times New Roman" w:hAnsi="Times New Roman" w:cs="Times New Roman"/>
          <w:b/>
        </w:rPr>
        <w:tab/>
        <w:t>Toxigenic (</w:t>
      </w:r>
      <w:r w:rsidR="000A0ACB" w:rsidRPr="00F35F6D">
        <w:rPr>
          <w:rFonts w:ascii="Times New Roman" w:hAnsi="Times New Roman" w:cs="Times New Roman"/>
          <w:b/>
        </w:rPr>
        <w:t>PVL) Gene Amplification</w:t>
      </w:r>
      <w:r w:rsidR="000A0ACB" w:rsidRPr="00F35F6D">
        <w:rPr>
          <w:rFonts w:ascii="Times New Roman" w:eastAsia="Times New Roman" w:hAnsi="Times New Roman" w:cs="Times New Roman"/>
          <w:b/>
        </w:rPr>
        <w:t xml:space="preserve"> </w:t>
      </w:r>
    </w:p>
    <w:p w14:paraId="3F89CD04" w14:textId="0BBB8287" w:rsidR="0058244A" w:rsidRPr="0058244A" w:rsidRDefault="0058244A" w:rsidP="0058244A">
      <w:pPr>
        <w:spacing w:line="480" w:lineRule="auto"/>
        <w:jc w:val="both"/>
        <w:rPr>
          <w:lang w:val="en-US"/>
        </w:rPr>
      </w:pPr>
      <w:r w:rsidRPr="0058244A">
        <w:rPr>
          <w:rFonts w:ascii="Times New Roman" w:hAnsi="Times New Roman"/>
          <w:sz w:val="24"/>
          <w:szCs w:val="24"/>
        </w:rPr>
        <w:t xml:space="preserve">Amplification of the Panton–Valentine </w:t>
      </w:r>
      <w:proofErr w:type="spellStart"/>
      <w:r w:rsidRPr="0058244A">
        <w:rPr>
          <w:rFonts w:ascii="Times New Roman" w:hAnsi="Times New Roman"/>
          <w:sz w:val="24"/>
          <w:szCs w:val="24"/>
        </w:rPr>
        <w:t>leukocidin</w:t>
      </w:r>
      <w:proofErr w:type="spellEnd"/>
      <w:r w:rsidRPr="0058244A">
        <w:rPr>
          <w:rFonts w:ascii="Times New Roman" w:hAnsi="Times New Roman"/>
          <w:sz w:val="24"/>
          <w:szCs w:val="24"/>
        </w:rPr>
        <w:t xml:space="preserve"> (PVL) gene was performed to determine the toxigenic potential of the bacterial isolates.</w:t>
      </w:r>
      <w:r>
        <w:rPr>
          <w:rFonts w:ascii="Times New Roman" w:hAnsi="Times New Roman"/>
          <w:sz w:val="24"/>
          <w:szCs w:val="24"/>
        </w:rPr>
        <w:t xml:space="preserve"> </w:t>
      </w:r>
      <w:r w:rsidR="000A0ACB" w:rsidRPr="00F35F6D">
        <w:rPr>
          <w:rFonts w:ascii="Times New Roman" w:hAnsi="Times New Roman"/>
          <w:sz w:val="24"/>
          <w:szCs w:val="24"/>
        </w:rPr>
        <w:t xml:space="preserve">The </w:t>
      </w:r>
      <w:proofErr w:type="spellStart"/>
      <w:r w:rsidR="000A0ACB" w:rsidRPr="00F35F6D">
        <w:rPr>
          <w:rFonts w:ascii="Times New Roman" w:hAnsi="Times New Roman"/>
          <w:sz w:val="24"/>
          <w:szCs w:val="24"/>
        </w:rPr>
        <w:t>pvl</w:t>
      </w:r>
      <w:proofErr w:type="spellEnd"/>
      <w:r w:rsidR="000A0ACB" w:rsidRPr="00F35F6D">
        <w:rPr>
          <w:rFonts w:ascii="Times New Roman" w:hAnsi="Times New Roman"/>
          <w:sz w:val="24"/>
          <w:szCs w:val="24"/>
        </w:rPr>
        <w:t xml:space="preserve"> gene amplification was carried out using the </w:t>
      </w:r>
      <w:r w:rsidR="000A0ACB" w:rsidRPr="00F35F6D">
        <w:rPr>
          <w:rFonts w:ascii="Times New Roman" w:eastAsia="Times New Roman" w:hAnsi="Times New Roman"/>
          <w:sz w:val="24"/>
          <w:szCs w:val="24"/>
        </w:rPr>
        <w:t>primer pair 5’-</w:t>
      </w:r>
      <w:r w:rsidR="000A0ACB" w:rsidRPr="00F35F6D">
        <w:rPr>
          <w:rFonts w:ascii="Times New Roman" w:hAnsi="Times New Roman"/>
          <w:color w:val="000000"/>
          <w:sz w:val="24"/>
          <w:szCs w:val="24"/>
        </w:rPr>
        <w:t>ATCATTAGGTAAAATGTC</w:t>
      </w:r>
      <w:r w:rsidR="000A0ACB">
        <w:rPr>
          <w:rFonts w:ascii="Times New Roman" w:hAnsi="Times New Roman"/>
          <w:color w:val="000000"/>
          <w:sz w:val="24"/>
          <w:szCs w:val="24"/>
        </w:rPr>
        <w:t xml:space="preserve">TGGACATGATCCA-3’ and </w:t>
      </w:r>
      <w:r w:rsidR="000A0ACB" w:rsidRPr="00F35F6D">
        <w:rPr>
          <w:rFonts w:ascii="Times New Roman" w:hAnsi="Times New Roman"/>
          <w:color w:val="000000"/>
          <w:sz w:val="24"/>
          <w:szCs w:val="24"/>
        </w:rPr>
        <w:t>5’-GCATCAAGTGTATTGGATAGCAAAAGC-3’</w:t>
      </w:r>
      <w:r>
        <w:rPr>
          <w:rFonts w:ascii="Times New Roman" w:hAnsi="Times New Roman"/>
          <w:color w:val="000000"/>
          <w:sz w:val="24"/>
          <w:szCs w:val="24"/>
        </w:rPr>
        <w:t>.</w:t>
      </w:r>
      <w:r w:rsidR="000A0ACB" w:rsidRPr="00F35F6D">
        <w:rPr>
          <w:rFonts w:ascii="Times New Roman" w:eastAsia="Times New Roman" w:hAnsi="Times New Roman"/>
          <w:sz w:val="24"/>
          <w:szCs w:val="24"/>
        </w:rPr>
        <w:t xml:space="preserve"> </w:t>
      </w:r>
      <w:r w:rsidRPr="0058244A">
        <w:rPr>
          <w:rFonts w:ascii="Times New Roman" w:hAnsi="Times New Roman"/>
          <w:sz w:val="24"/>
          <w:szCs w:val="24"/>
          <w:lang w:val="en-US"/>
        </w:rPr>
        <w:t>Reactions were conducted in a total volume of 40 µL using an ABI 9700 Applied Biosystems thermal cycler.</w:t>
      </w:r>
    </w:p>
    <w:p w14:paraId="248ADF08" w14:textId="77777777" w:rsidR="0058244A" w:rsidRPr="0058244A" w:rsidRDefault="0058244A" w:rsidP="0058244A">
      <w:pPr>
        <w:spacing w:line="480" w:lineRule="auto"/>
        <w:jc w:val="both"/>
        <w:rPr>
          <w:rFonts w:ascii="Times New Roman" w:eastAsia="Times New Roman" w:hAnsi="Times New Roman"/>
          <w:sz w:val="24"/>
          <w:szCs w:val="24"/>
          <w:lang w:val="en-US"/>
        </w:rPr>
      </w:pPr>
      <w:r w:rsidRPr="0058244A">
        <w:rPr>
          <w:rFonts w:ascii="Times New Roman" w:eastAsia="Times New Roman" w:hAnsi="Times New Roman"/>
          <w:sz w:val="24"/>
          <w:szCs w:val="24"/>
          <w:lang w:val="en-US"/>
        </w:rPr>
        <w:t xml:space="preserve">Each PCR reaction mixture contained 2× </w:t>
      </w:r>
      <w:proofErr w:type="spellStart"/>
      <w:r w:rsidRPr="0058244A">
        <w:rPr>
          <w:rFonts w:ascii="Times New Roman" w:eastAsia="Times New Roman" w:hAnsi="Times New Roman"/>
          <w:sz w:val="24"/>
          <w:szCs w:val="24"/>
          <w:lang w:val="en-US"/>
        </w:rPr>
        <w:t>DreamTaq</w:t>
      </w:r>
      <w:proofErr w:type="spellEnd"/>
      <w:r w:rsidRPr="0058244A">
        <w:rPr>
          <w:rFonts w:ascii="Times New Roman" w:eastAsia="Times New Roman" w:hAnsi="Times New Roman"/>
          <w:sz w:val="24"/>
          <w:szCs w:val="24"/>
          <w:lang w:val="en-US"/>
        </w:rPr>
        <w:t xml:space="preserve"> Master Mix (</w:t>
      </w:r>
      <w:proofErr w:type="spellStart"/>
      <w:r w:rsidRPr="0058244A">
        <w:rPr>
          <w:rFonts w:ascii="Times New Roman" w:eastAsia="Times New Roman" w:hAnsi="Times New Roman"/>
          <w:sz w:val="24"/>
          <w:szCs w:val="24"/>
          <w:lang w:val="en-US"/>
        </w:rPr>
        <w:t>Inqaba</w:t>
      </w:r>
      <w:proofErr w:type="spellEnd"/>
      <w:r w:rsidRPr="0058244A">
        <w:rPr>
          <w:rFonts w:ascii="Times New Roman" w:eastAsia="Times New Roman" w:hAnsi="Times New Roman"/>
          <w:sz w:val="24"/>
          <w:szCs w:val="24"/>
          <w:lang w:val="en-US"/>
        </w:rPr>
        <w:t xml:space="preserve"> Biotechnological Industries, South Africa), comprising </w:t>
      </w:r>
      <w:proofErr w:type="spellStart"/>
      <w:r w:rsidRPr="0058244A">
        <w:rPr>
          <w:rFonts w:ascii="Times New Roman" w:eastAsia="Times New Roman" w:hAnsi="Times New Roman"/>
          <w:sz w:val="24"/>
          <w:szCs w:val="24"/>
          <w:lang w:val="en-US"/>
        </w:rPr>
        <w:t>Taq</w:t>
      </w:r>
      <w:proofErr w:type="spellEnd"/>
      <w:r w:rsidRPr="0058244A">
        <w:rPr>
          <w:rFonts w:ascii="Times New Roman" w:eastAsia="Times New Roman" w:hAnsi="Times New Roman"/>
          <w:sz w:val="24"/>
          <w:szCs w:val="24"/>
          <w:lang w:val="en-US"/>
        </w:rPr>
        <w:t xml:space="preserve"> DNA polymerase, dNTPs, </w:t>
      </w:r>
      <w:proofErr w:type="spellStart"/>
      <w:r w:rsidRPr="0058244A">
        <w:rPr>
          <w:rFonts w:ascii="Times New Roman" w:eastAsia="Times New Roman" w:hAnsi="Times New Roman"/>
          <w:sz w:val="24"/>
          <w:szCs w:val="24"/>
          <w:lang w:val="en-US"/>
        </w:rPr>
        <w:t>MgCl</w:t>
      </w:r>
      <w:proofErr w:type="spellEnd"/>
      <w:r w:rsidRPr="0058244A">
        <w:rPr>
          <w:rFonts w:ascii="Times New Roman" w:eastAsia="Times New Roman" w:hAnsi="Times New Roman"/>
          <w:sz w:val="24"/>
          <w:szCs w:val="24"/>
          <w:lang w:val="en-US"/>
        </w:rPr>
        <w:t>₂, and optimized reaction buffer; forward and reverse primers at a final concentration of 0.4 µM each; and 50 ng of extracted genomic DNA as template. Nuclease-free water was added to achieve the final reaction volume.</w:t>
      </w:r>
    </w:p>
    <w:p w14:paraId="7E9B01CE" w14:textId="77777777" w:rsidR="0058244A" w:rsidRPr="0058244A" w:rsidRDefault="0058244A" w:rsidP="0058244A">
      <w:pPr>
        <w:spacing w:line="480" w:lineRule="auto"/>
        <w:jc w:val="both"/>
        <w:rPr>
          <w:rFonts w:ascii="Times New Roman" w:eastAsia="Times New Roman" w:hAnsi="Times New Roman"/>
          <w:sz w:val="24"/>
          <w:szCs w:val="24"/>
          <w:lang w:val="en-US"/>
        </w:rPr>
      </w:pPr>
      <w:r w:rsidRPr="0058244A">
        <w:rPr>
          <w:rFonts w:ascii="Times New Roman" w:eastAsia="Times New Roman" w:hAnsi="Times New Roman"/>
          <w:sz w:val="24"/>
          <w:szCs w:val="24"/>
          <w:lang w:val="en-US"/>
        </w:rPr>
        <w:t>Thermal cycling conditions were as follows: initial denaturation at 95°C for 5 minutes; 35 cycles of denaturation at 95°C for 40 seconds, annealing at 50°C for 45 seconds, and extension at 72°C for 40 seconds; followed by a final extension step at 72°C for 5 minutes to ensure complete amplification of target fragments.</w:t>
      </w:r>
    </w:p>
    <w:p w14:paraId="1BA13C1E" w14:textId="77777777" w:rsidR="0058244A" w:rsidRPr="0058244A" w:rsidRDefault="0058244A" w:rsidP="0058244A">
      <w:pPr>
        <w:spacing w:line="480" w:lineRule="auto"/>
        <w:jc w:val="both"/>
        <w:rPr>
          <w:rFonts w:ascii="Times New Roman" w:eastAsia="Times New Roman" w:hAnsi="Times New Roman"/>
          <w:sz w:val="24"/>
          <w:szCs w:val="24"/>
          <w:lang w:val="en-US"/>
        </w:rPr>
      </w:pPr>
      <w:r w:rsidRPr="0058244A">
        <w:rPr>
          <w:rFonts w:ascii="Times New Roman" w:eastAsia="Times New Roman" w:hAnsi="Times New Roman"/>
          <w:sz w:val="24"/>
          <w:szCs w:val="24"/>
          <w:lang w:val="en-US"/>
        </w:rPr>
        <w:t>Amplified PCR products were separated by electrophoresis on a 1% (w/v) agarose gel prepared in 1× TAE buffer. Electrophoresis was performed at 130 V for 25 minutes, and the amplified bands were visualized under ultraviolet illumination using a UV transilluminator.</w:t>
      </w:r>
    </w:p>
    <w:p w14:paraId="3626CAF6" w14:textId="138BFD2E" w:rsidR="00EB13F4" w:rsidRPr="008777B3" w:rsidRDefault="00EB13F4" w:rsidP="0058244A">
      <w:pPr>
        <w:spacing w:line="480" w:lineRule="auto"/>
        <w:jc w:val="both"/>
        <w:rPr>
          <w:rFonts w:ascii="Times New Roman" w:hAnsi="Times New Roman"/>
          <w:b/>
          <w:sz w:val="24"/>
          <w:szCs w:val="24"/>
        </w:rPr>
      </w:pPr>
      <w:r>
        <w:rPr>
          <w:rFonts w:ascii="Times New Roman" w:hAnsi="Times New Roman"/>
          <w:b/>
          <w:sz w:val="24"/>
          <w:szCs w:val="24"/>
        </w:rPr>
        <w:t xml:space="preserve">3.0 </w:t>
      </w:r>
      <w:r w:rsidRPr="008777B3">
        <w:rPr>
          <w:rFonts w:ascii="Times New Roman" w:hAnsi="Times New Roman"/>
          <w:b/>
          <w:sz w:val="24"/>
          <w:szCs w:val="24"/>
        </w:rPr>
        <w:t>RESULTS</w:t>
      </w:r>
    </w:p>
    <w:p w14:paraId="094516E3" w14:textId="77777777" w:rsidR="00D647F7" w:rsidRPr="00F35F6D" w:rsidRDefault="00D647F7" w:rsidP="00D647F7">
      <w:pPr>
        <w:spacing w:before="240" w:after="0" w:line="480" w:lineRule="auto"/>
        <w:jc w:val="both"/>
        <w:rPr>
          <w:rFonts w:ascii="Times New Roman" w:hAnsi="Times New Roman"/>
          <w:b/>
          <w:sz w:val="24"/>
          <w:szCs w:val="24"/>
        </w:rPr>
      </w:pPr>
      <w:r>
        <w:rPr>
          <w:rFonts w:ascii="Times New Roman" w:hAnsi="Times New Roman"/>
          <w:b/>
          <w:sz w:val="24"/>
          <w:szCs w:val="24"/>
        </w:rPr>
        <w:t>3.1</w:t>
      </w:r>
      <w:r w:rsidRPr="00F35F6D">
        <w:rPr>
          <w:rFonts w:ascii="Times New Roman" w:hAnsi="Times New Roman"/>
          <w:b/>
          <w:sz w:val="24"/>
          <w:szCs w:val="24"/>
        </w:rPr>
        <w:tab/>
      </w:r>
      <w:r>
        <w:rPr>
          <w:rFonts w:ascii="Times New Roman" w:hAnsi="Times New Roman"/>
          <w:b/>
          <w:sz w:val="24"/>
          <w:szCs w:val="24"/>
        </w:rPr>
        <w:t xml:space="preserve">Molecular </w:t>
      </w:r>
      <w:r w:rsidRPr="00F35F6D">
        <w:rPr>
          <w:rFonts w:ascii="Times New Roman" w:hAnsi="Times New Roman"/>
          <w:b/>
          <w:sz w:val="24"/>
          <w:szCs w:val="24"/>
        </w:rPr>
        <w:t>Characteristics of the Isolates</w:t>
      </w:r>
    </w:p>
    <w:p w14:paraId="3CDCEA7C" w14:textId="77777777" w:rsidR="00F32CD1" w:rsidRDefault="00F32CD1" w:rsidP="00D647F7">
      <w:pPr>
        <w:autoSpaceDE w:val="0"/>
        <w:spacing w:line="480" w:lineRule="auto"/>
        <w:jc w:val="both"/>
        <w:rPr>
          <w:rFonts w:ascii="Times New Roman" w:eastAsia="Times New Roman" w:hAnsi="Times New Roman"/>
          <w:color w:val="000000" w:themeColor="text1"/>
          <w:kern w:val="1"/>
          <w:sz w:val="24"/>
          <w:szCs w:val="24"/>
          <w:lang w:bidi="hi-IN"/>
        </w:rPr>
      </w:pPr>
      <w:r w:rsidRPr="00F32CD1">
        <w:rPr>
          <w:rFonts w:ascii="Times New Roman" w:eastAsia="Times New Roman" w:hAnsi="Times New Roman"/>
          <w:color w:val="000000" w:themeColor="text1"/>
          <w:kern w:val="1"/>
          <w:sz w:val="24"/>
          <w:szCs w:val="24"/>
          <w:lang w:bidi="hi-IN"/>
        </w:rPr>
        <w:lastRenderedPageBreak/>
        <w:t>Agarose gel electrophoresis (1% w/v) of the amplified 16S rRNA gene products revealed distinct bands corresponding to approximately 1,500 base pairs (bp), consistent with the expected amplicon size. The purified PCR products labeled B1 and B2 (Plate 1) each demonstrated a single, well-defined band at 1500 bp. Lane L contained a 100 bp molecular weight ladder used as a size reference for fragment estimation.</w:t>
      </w:r>
    </w:p>
    <w:p w14:paraId="5CA96B59" w14:textId="6C2404E6" w:rsidR="00D647F7" w:rsidRPr="00F32CD1" w:rsidRDefault="00F32CD1" w:rsidP="00D647F7">
      <w:pPr>
        <w:autoSpaceDE w:val="0"/>
        <w:spacing w:line="480" w:lineRule="auto"/>
        <w:jc w:val="both"/>
        <w:rPr>
          <w:rFonts w:ascii="Times New Roman" w:hAnsi="Times New Roman"/>
          <w:color w:val="000000" w:themeColor="text1"/>
          <w:sz w:val="24"/>
          <w:szCs w:val="24"/>
          <w:lang w:val="en-US"/>
        </w:rPr>
      </w:pPr>
      <w:r w:rsidRPr="00F32CD1">
        <w:rPr>
          <w:rFonts w:ascii="Times New Roman" w:hAnsi="Times New Roman"/>
          <w:color w:val="000000" w:themeColor="text1"/>
          <w:sz w:val="24"/>
          <w:szCs w:val="24"/>
          <w:lang w:val="en-US"/>
        </w:rPr>
        <w:t>Sequence analysis of the amplified 16S rRNA gene fragments showed 100% identity with sequences deposited in the National Center for Biotechnology Information (NCBI) non-redundant nucleotide (nr/</w:t>
      </w:r>
      <w:proofErr w:type="spellStart"/>
      <w:r w:rsidRPr="00F32CD1">
        <w:rPr>
          <w:rFonts w:ascii="Times New Roman" w:hAnsi="Times New Roman"/>
          <w:color w:val="000000" w:themeColor="text1"/>
          <w:sz w:val="24"/>
          <w:szCs w:val="24"/>
          <w:lang w:val="en-US"/>
        </w:rPr>
        <w:t>nt</w:t>
      </w:r>
      <w:proofErr w:type="spellEnd"/>
      <w:r w:rsidRPr="00F32CD1">
        <w:rPr>
          <w:rFonts w:ascii="Times New Roman" w:hAnsi="Times New Roman"/>
          <w:color w:val="000000" w:themeColor="text1"/>
          <w:sz w:val="24"/>
          <w:szCs w:val="24"/>
          <w:lang w:val="en-US"/>
        </w:rPr>
        <w:t xml:space="preserve">) database following </w:t>
      </w:r>
      <w:proofErr w:type="spellStart"/>
      <w:r w:rsidRPr="00F32CD1">
        <w:rPr>
          <w:rFonts w:ascii="Times New Roman" w:hAnsi="Times New Roman"/>
          <w:color w:val="000000" w:themeColor="text1"/>
          <w:sz w:val="24"/>
          <w:szCs w:val="24"/>
          <w:lang w:val="en-US"/>
        </w:rPr>
        <w:t>MegaBLAST</w:t>
      </w:r>
      <w:proofErr w:type="spellEnd"/>
      <w:r w:rsidRPr="00F32CD1">
        <w:rPr>
          <w:rFonts w:ascii="Times New Roman" w:hAnsi="Times New Roman"/>
          <w:color w:val="000000" w:themeColor="text1"/>
          <w:sz w:val="24"/>
          <w:szCs w:val="24"/>
          <w:lang w:val="en-US"/>
        </w:rPr>
        <w:t xml:space="preserve"> search for highly similar sequences.</w:t>
      </w:r>
      <w:r>
        <w:rPr>
          <w:rFonts w:ascii="Times New Roman" w:hAnsi="Times New Roman"/>
          <w:color w:val="000000" w:themeColor="text1"/>
          <w:sz w:val="24"/>
          <w:szCs w:val="24"/>
          <w:lang w:val="en-US"/>
        </w:rPr>
        <w:t xml:space="preserve"> </w:t>
      </w:r>
      <w:r w:rsidRPr="00F32CD1">
        <w:rPr>
          <w:rFonts w:ascii="Times New Roman" w:hAnsi="Times New Roman"/>
          <w:color w:val="000000" w:themeColor="text1"/>
          <w:sz w:val="24"/>
          <w:szCs w:val="24"/>
          <w:lang w:val="en-US"/>
        </w:rPr>
        <w:t>Phylogenetic analysis further supported species-level identification.</w:t>
      </w:r>
      <w:r>
        <w:rPr>
          <w:rFonts w:ascii="Times New Roman" w:hAnsi="Times New Roman"/>
          <w:color w:val="000000" w:themeColor="text1"/>
          <w:sz w:val="24"/>
          <w:szCs w:val="24"/>
        </w:rPr>
        <w:t xml:space="preserve"> </w:t>
      </w:r>
      <w:r w:rsidRPr="00F32CD1">
        <w:rPr>
          <w:rFonts w:ascii="Times New Roman" w:hAnsi="Times New Roman"/>
          <w:color w:val="000000" w:themeColor="text1"/>
          <w:sz w:val="24"/>
          <w:szCs w:val="24"/>
        </w:rPr>
        <w:t>Evolutionary distances calculated using the Jukes–Cantor substitution model were consistent with the clustering pattern observed in the phylogenetic tree</w:t>
      </w:r>
      <w:r>
        <w:rPr>
          <w:rFonts w:ascii="Times New Roman" w:hAnsi="Times New Roman"/>
          <w:color w:val="000000" w:themeColor="text1"/>
          <w:sz w:val="24"/>
          <w:szCs w:val="24"/>
        </w:rPr>
        <w:t xml:space="preserve"> i</w:t>
      </w:r>
      <w:r w:rsidRPr="00F32CD1">
        <w:rPr>
          <w:rFonts w:ascii="Times New Roman" w:hAnsi="Times New Roman"/>
          <w:color w:val="000000" w:themeColor="text1"/>
          <w:sz w:val="24"/>
          <w:szCs w:val="24"/>
        </w:rPr>
        <w:t>solates</w:t>
      </w:r>
      <w:r>
        <w:rPr>
          <w:rFonts w:ascii="Times New Roman" w:hAnsi="Times New Roman"/>
          <w:color w:val="000000" w:themeColor="text1"/>
          <w:sz w:val="24"/>
          <w:szCs w:val="24"/>
        </w:rPr>
        <w:t>.</w:t>
      </w:r>
      <w:r w:rsidRPr="00F32CD1">
        <w:rPr>
          <w:rFonts w:ascii="Times New Roman" w:hAnsi="Times New Roman"/>
          <w:color w:val="000000" w:themeColor="text1"/>
          <w:sz w:val="24"/>
          <w:szCs w:val="24"/>
        </w:rPr>
        <w:t xml:space="preserve"> B1 and B2 grouped closely with reference strains of </w:t>
      </w:r>
      <w:r w:rsidRPr="00F32CD1">
        <w:rPr>
          <w:rFonts w:ascii="Times New Roman" w:hAnsi="Times New Roman"/>
          <w:i/>
          <w:iCs/>
          <w:color w:val="000000" w:themeColor="text1"/>
          <w:sz w:val="24"/>
          <w:szCs w:val="24"/>
        </w:rPr>
        <w:t>Staphylococcus aureus</w:t>
      </w:r>
      <w:r w:rsidRPr="00F32CD1">
        <w:rPr>
          <w:rFonts w:ascii="Times New Roman" w:hAnsi="Times New Roman"/>
          <w:color w:val="000000" w:themeColor="text1"/>
          <w:sz w:val="24"/>
          <w:szCs w:val="24"/>
        </w:rPr>
        <w:t>, confirming their taxonomic affiliation (Figure 2)</w:t>
      </w:r>
      <w:r>
        <w:rPr>
          <w:rFonts w:ascii="Times New Roman" w:hAnsi="Times New Roman"/>
          <w:color w:val="000000" w:themeColor="text1"/>
          <w:sz w:val="24"/>
          <w:szCs w:val="24"/>
        </w:rPr>
        <w:t>.</w:t>
      </w:r>
    </w:p>
    <w:p w14:paraId="6A882187" w14:textId="77777777" w:rsidR="00C53460" w:rsidRPr="00F35F6D" w:rsidRDefault="00C53460" w:rsidP="00943AA2">
      <w:pPr>
        <w:tabs>
          <w:tab w:val="left" w:pos="8349"/>
        </w:tabs>
        <w:jc w:val="both"/>
        <w:rPr>
          <w:rFonts w:ascii="Times New Roman" w:hAnsi="Times New Roman"/>
          <w:sz w:val="24"/>
          <w:szCs w:val="24"/>
        </w:rPr>
      </w:pPr>
      <w:r>
        <w:rPr>
          <w:noProof/>
          <w:lang w:val="en-US" w:eastAsia="en-US"/>
        </w:rPr>
        <w:drawing>
          <wp:inline distT="0" distB="0" distL="0" distR="0" wp14:anchorId="52B2CF37" wp14:editId="30C44893">
            <wp:extent cx="5372100" cy="365760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1349A3" w14:textId="3C9141C7" w:rsidR="00E960CC" w:rsidRDefault="00594219" w:rsidP="00C53460">
      <w:pPr>
        <w:jc w:val="both"/>
        <w:rPr>
          <w:rFonts w:ascii="Times New Roman" w:hAnsi="Times New Roman"/>
          <w:b/>
          <w:sz w:val="24"/>
          <w:szCs w:val="24"/>
        </w:rPr>
      </w:pPr>
      <w:r>
        <w:rPr>
          <w:rFonts w:ascii="Times New Roman" w:hAnsi="Times New Roman"/>
          <w:b/>
          <w:sz w:val="24"/>
          <w:szCs w:val="24"/>
        </w:rPr>
        <w:lastRenderedPageBreak/>
        <w:t>Figure 1</w:t>
      </w:r>
      <w:r w:rsidR="00C53460">
        <w:rPr>
          <w:rFonts w:ascii="Times New Roman" w:hAnsi="Times New Roman"/>
          <w:b/>
          <w:sz w:val="24"/>
          <w:szCs w:val="24"/>
        </w:rPr>
        <w:t xml:space="preserve"> </w:t>
      </w:r>
      <w:r w:rsidR="00F32CD1" w:rsidRPr="00F32CD1">
        <w:rPr>
          <w:rFonts w:ascii="Times New Roman" w:eastAsiaTheme="minorEastAsia" w:hAnsi="Times New Roman"/>
          <w:b/>
          <w:sz w:val="24"/>
          <w:szCs w:val="24"/>
        </w:rPr>
        <w:t>Visualization of 16S rRNA gene amplification products on a 1% agarose gel. Lanes B1 and B2 show bands at ~1500 bp, and lane L contains a 100 bp DNA ladder.</w:t>
      </w:r>
    </w:p>
    <w:p w14:paraId="6FFCA922" w14:textId="77777777" w:rsidR="00E960CC" w:rsidRDefault="00E960CC" w:rsidP="00C53460">
      <w:pPr>
        <w:jc w:val="both"/>
        <w:rPr>
          <w:rFonts w:ascii="Times New Roman" w:hAnsi="Times New Roman"/>
          <w:b/>
          <w:sz w:val="24"/>
          <w:szCs w:val="24"/>
        </w:rPr>
      </w:pPr>
      <w:r>
        <w:rPr>
          <w:noProof/>
          <w:lang w:val="en-US" w:eastAsia="en-US"/>
        </w:rPr>
        <w:drawing>
          <wp:inline distT="0" distB="0" distL="0" distR="0" wp14:anchorId="7520EFD6" wp14:editId="0B9DED0A">
            <wp:extent cx="5943600" cy="2508885"/>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508885"/>
                    </a:xfrm>
                    <a:prstGeom prst="rect">
                      <a:avLst/>
                    </a:prstGeom>
                    <a:solidFill>
                      <a:srgbClr val="FFFFFF">
                        <a:alpha val="0"/>
                      </a:srgbClr>
                    </a:solidFill>
                    <a:ln>
                      <a:noFill/>
                    </a:ln>
                  </pic:spPr>
                </pic:pic>
              </a:graphicData>
            </a:graphic>
          </wp:inline>
        </w:drawing>
      </w:r>
    </w:p>
    <w:p w14:paraId="4AF18306" w14:textId="77777777" w:rsidR="00E960CC" w:rsidRPr="00E960CC" w:rsidRDefault="00E960CC" w:rsidP="00E960CC">
      <w:pPr>
        <w:jc w:val="both"/>
        <w:rPr>
          <w:rFonts w:ascii="Times New Roman" w:hAnsi="Times New Roman"/>
          <w:b/>
          <w:sz w:val="24"/>
          <w:szCs w:val="24"/>
          <w:lang w:val="en-US"/>
        </w:rPr>
      </w:pPr>
      <w:r w:rsidRPr="00E960CC">
        <w:rPr>
          <w:rFonts w:ascii="Times New Roman" w:hAnsi="Times New Roman"/>
          <w:b/>
          <w:bCs/>
          <w:sz w:val="24"/>
          <w:szCs w:val="24"/>
          <w:lang w:val="en-US"/>
        </w:rPr>
        <w:t xml:space="preserve">Figure 2 Phylogenic Placement Tree of </w:t>
      </w:r>
      <w:r w:rsidRPr="00E960CC">
        <w:rPr>
          <w:rFonts w:ascii="Times New Roman" w:hAnsi="Times New Roman"/>
          <w:b/>
          <w:bCs/>
          <w:i/>
          <w:iCs/>
          <w:sz w:val="24"/>
          <w:szCs w:val="24"/>
          <w:lang w:val="en-US"/>
        </w:rPr>
        <w:t xml:space="preserve">Staphylococcus </w:t>
      </w:r>
      <w:r w:rsidRPr="00E960CC">
        <w:rPr>
          <w:rFonts w:ascii="Times New Roman" w:hAnsi="Times New Roman"/>
          <w:b/>
          <w:bCs/>
          <w:sz w:val="24"/>
          <w:szCs w:val="24"/>
          <w:lang w:val="en-US"/>
        </w:rPr>
        <w:t>isolates from Wound Specimens</w:t>
      </w:r>
    </w:p>
    <w:p w14:paraId="2E3C58D2" w14:textId="77777777" w:rsidR="00E960CC" w:rsidRDefault="00E960CC" w:rsidP="00C53460">
      <w:pPr>
        <w:jc w:val="both"/>
        <w:rPr>
          <w:rFonts w:ascii="Times New Roman" w:hAnsi="Times New Roman"/>
          <w:b/>
          <w:sz w:val="24"/>
          <w:szCs w:val="24"/>
        </w:rPr>
      </w:pPr>
    </w:p>
    <w:p w14:paraId="0304B024" w14:textId="77777777" w:rsidR="00F32CD1" w:rsidRDefault="00F32CD1" w:rsidP="00C53460">
      <w:pPr>
        <w:jc w:val="both"/>
        <w:rPr>
          <w:rFonts w:ascii="Times New Roman" w:hAnsi="Times New Roman"/>
          <w:b/>
          <w:sz w:val="24"/>
          <w:szCs w:val="24"/>
        </w:rPr>
      </w:pPr>
    </w:p>
    <w:p w14:paraId="4680EEA3" w14:textId="77777777" w:rsidR="00F32CD1" w:rsidRPr="00F35F6D" w:rsidRDefault="00F32CD1" w:rsidP="00C53460">
      <w:pPr>
        <w:jc w:val="both"/>
        <w:rPr>
          <w:rFonts w:ascii="Times New Roman" w:hAnsi="Times New Roman"/>
          <w:b/>
          <w:sz w:val="24"/>
          <w:szCs w:val="24"/>
        </w:rPr>
      </w:pPr>
    </w:p>
    <w:p w14:paraId="5C282962" w14:textId="77777777" w:rsidR="00C53460" w:rsidRDefault="00D647F7" w:rsidP="00C53460">
      <w:pPr>
        <w:jc w:val="both"/>
        <w:rPr>
          <w:rFonts w:ascii="Times New Roman" w:hAnsi="Times New Roman"/>
          <w:b/>
          <w:sz w:val="24"/>
          <w:szCs w:val="24"/>
        </w:rPr>
      </w:pPr>
      <w:r>
        <w:rPr>
          <w:rFonts w:ascii="Times New Roman" w:hAnsi="Times New Roman"/>
          <w:b/>
          <w:sz w:val="24"/>
          <w:szCs w:val="24"/>
        </w:rPr>
        <w:t xml:space="preserve">3.2 </w:t>
      </w:r>
      <w:r w:rsidR="001A139E">
        <w:rPr>
          <w:rFonts w:ascii="Times New Roman" w:hAnsi="Times New Roman"/>
          <w:b/>
          <w:sz w:val="24"/>
          <w:szCs w:val="24"/>
        </w:rPr>
        <w:t>Prevalence</w:t>
      </w:r>
      <w:r>
        <w:rPr>
          <w:rFonts w:ascii="Times New Roman" w:hAnsi="Times New Roman"/>
          <w:b/>
          <w:sz w:val="24"/>
          <w:szCs w:val="24"/>
        </w:rPr>
        <w:t xml:space="preserve"> of </w:t>
      </w:r>
      <w:proofErr w:type="spellStart"/>
      <w:r w:rsidR="001A139E">
        <w:rPr>
          <w:rFonts w:ascii="Times New Roman" w:hAnsi="Times New Roman"/>
          <w:b/>
          <w:sz w:val="24"/>
          <w:szCs w:val="24"/>
        </w:rPr>
        <w:t>mecA</w:t>
      </w:r>
      <w:proofErr w:type="spellEnd"/>
      <w:r w:rsidR="001A139E">
        <w:rPr>
          <w:rFonts w:ascii="Times New Roman" w:hAnsi="Times New Roman"/>
          <w:b/>
          <w:sz w:val="24"/>
          <w:szCs w:val="24"/>
        </w:rPr>
        <w:t xml:space="preserve"> positive isolates</w:t>
      </w:r>
    </w:p>
    <w:p w14:paraId="0BC87E2E" w14:textId="5F0439AC" w:rsidR="00D647F7" w:rsidRDefault="00207457" w:rsidP="00D647F7">
      <w:pPr>
        <w:spacing w:line="480" w:lineRule="auto"/>
        <w:jc w:val="both"/>
        <w:rPr>
          <w:rFonts w:ascii="Times New Roman" w:hAnsi="Times New Roman"/>
          <w:sz w:val="24"/>
          <w:szCs w:val="24"/>
        </w:rPr>
      </w:pPr>
      <w:r>
        <w:rPr>
          <w:rFonts w:ascii="Times New Roman" w:hAnsi="Times New Roman"/>
          <w:sz w:val="24"/>
          <w:szCs w:val="24"/>
        </w:rPr>
        <w:t xml:space="preserve">The agarose gel </w:t>
      </w:r>
      <w:proofErr w:type="spellStart"/>
      <w:r>
        <w:rPr>
          <w:rFonts w:ascii="Times New Roman" w:hAnsi="Times New Roman"/>
          <w:sz w:val="24"/>
          <w:szCs w:val="24"/>
        </w:rPr>
        <w:t>electrophorsis</w:t>
      </w:r>
      <w:proofErr w:type="spellEnd"/>
      <w:r>
        <w:rPr>
          <w:rFonts w:ascii="Times New Roman" w:hAnsi="Times New Roman"/>
          <w:sz w:val="24"/>
          <w:szCs w:val="24"/>
        </w:rPr>
        <w:t xml:space="preserve"> output showed the presence of </w:t>
      </w:r>
      <w:proofErr w:type="spellStart"/>
      <w:r>
        <w:rPr>
          <w:rFonts w:ascii="Times New Roman" w:hAnsi="Times New Roman"/>
          <w:sz w:val="24"/>
          <w:szCs w:val="24"/>
        </w:rPr>
        <w:t>MecA</w:t>
      </w:r>
      <w:proofErr w:type="spellEnd"/>
      <w:r>
        <w:rPr>
          <w:rFonts w:ascii="Times New Roman" w:hAnsi="Times New Roman"/>
          <w:sz w:val="24"/>
          <w:szCs w:val="24"/>
        </w:rPr>
        <w:t xml:space="preserve"> gene in 100% of the isolate screened as shown in plate 3.</w:t>
      </w:r>
    </w:p>
    <w:p w14:paraId="259D5B91" w14:textId="77777777" w:rsidR="00D647F7" w:rsidRPr="00D647F7" w:rsidRDefault="00E960CC" w:rsidP="00C53460">
      <w:pPr>
        <w:jc w:val="both"/>
        <w:rPr>
          <w:rFonts w:ascii="Times New Roman" w:hAnsi="Times New Roman"/>
          <w:b/>
          <w:sz w:val="24"/>
          <w:szCs w:val="24"/>
        </w:rPr>
      </w:pPr>
      <w:r w:rsidRPr="00F35F6D">
        <w:rPr>
          <w:rFonts w:ascii="Times New Roman" w:hAnsi="Times New Roman"/>
          <w:noProof/>
          <w:sz w:val="24"/>
          <w:szCs w:val="24"/>
          <w:lang w:val="en-US" w:eastAsia="en-US"/>
        </w:rPr>
        <w:lastRenderedPageBreak/>
        <w:drawing>
          <wp:inline distT="0" distB="0" distL="0" distR="0" wp14:anchorId="449B5BB2" wp14:editId="171984F2">
            <wp:extent cx="5854535" cy="543889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861043" cy="5444945"/>
                    </a:xfrm>
                    <a:prstGeom prst="rect">
                      <a:avLst/>
                    </a:prstGeom>
                    <a:ln>
                      <a:noFill/>
                    </a:ln>
                  </pic:spPr>
                </pic:pic>
              </a:graphicData>
            </a:graphic>
          </wp:inline>
        </w:drawing>
      </w:r>
    </w:p>
    <w:p w14:paraId="35A62D8C" w14:textId="77777777" w:rsidR="007F4C3D" w:rsidRDefault="00E960CC" w:rsidP="007F4C3D">
      <w:pPr>
        <w:jc w:val="both"/>
        <w:rPr>
          <w:rFonts w:ascii="Times New Roman" w:hAnsi="Times New Roman"/>
          <w:sz w:val="24"/>
          <w:szCs w:val="24"/>
        </w:rPr>
      </w:pPr>
      <w:r>
        <w:rPr>
          <w:rFonts w:ascii="Times New Roman" w:hAnsi="Times New Roman"/>
          <w:b/>
          <w:sz w:val="24"/>
          <w:szCs w:val="24"/>
        </w:rPr>
        <w:t>Plate 3</w:t>
      </w:r>
      <w:r w:rsidRPr="00F35F6D">
        <w:rPr>
          <w:rFonts w:ascii="Times New Roman" w:hAnsi="Times New Roman"/>
          <w:b/>
          <w:sz w:val="24"/>
          <w:szCs w:val="24"/>
        </w:rPr>
        <w:t>:</w:t>
      </w:r>
      <w:r>
        <w:rPr>
          <w:rFonts w:ascii="Times New Roman" w:hAnsi="Times New Roman"/>
          <w:sz w:val="24"/>
          <w:szCs w:val="24"/>
        </w:rPr>
        <w:t xml:space="preserve"> </w:t>
      </w:r>
      <w:r w:rsidR="007F4C3D" w:rsidRPr="007F4C3D">
        <w:rPr>
          <w:rFonts w:ascii="Times New Roman" w:hAnsi="Times New Roman"/>
          <w:sz w:val="24"/>
          <w:szCs w:val="24"/>
        </w:rPr>
        <w:t xml:space="preserve">Agarose gel electrophoresis of amplified </w:t>
      </w:r>
      <w:proofErr w:type="spellStart"/>
      <w:r w:rsidR="007F4C3D" w:rsidRPr="007F4C3D">
        <w:rPr>
          <w:rFonts w:ascii="Times New Roman" w:hAnsi="Times New Roman"/>
          <w:sz w:val="24"/>
          <w:szCs w:val="24"/>
        </w:rPr>
        <w:t>mecA</w:t>
      </w:r>
      <w:proofErr w:type="spellEnd"/>
      <w:r w:rsidR="007F4C3D" w:rsidRPr="007F4C3D">
        <w:rPr>
          <w:rFonts w:ascii="Times New Roman" w:hAnsi="Times New Roman"/>
          <w:sz w:val="24"/>
          <w:szCs w:val="24"/>
        </w:rPr>
        <w:t xml:space="preserve"> gene fragments (~300 bp). Lanes 1 and 3–10 show </w:t>
      </w:r>
      <w:proofErr w:type="spellStart"/>
      <w:r w:rsidR="007F4C3D" w:rsidRPr="007F4C3D">
        <w:rPr>
          <w:rFonts w:ascii="Times New Roman" w:hAnsi="Times New Roman"/>
          <w:sz w:val="24"/>
          <w:szCs w:val="24"/>
        </w:rPr>
        <w:t>mecA</w:t>
      </w:r>
      <w:proofErr w:type="spellEnd"/>
      <w:r w:rsidR="007F4C3D" w:rsidRPr="007F4C3D">
        <w:rPr>
          <w:rFonts w:ascii="Times New Roman" w:hAnsi="Times New Roman"/>
          <w:sz w:val="24"/>
          <w:szCs w:val="24"/>
        </w:rPr>
        <w:t xml:space="preserve"> bands, and lane L corresponds to a 100 bp DNA ladder</w:t>
      </w:r>
      <w:r w:rsidR="007F4C3D">
        <w:rPr>
          <w:rFonts w:ascii="Times New Roman" w:hAnsi="Times New Roman"/>
          <w:sz w:val="24"/>
          <w:szCs w:val="24"/>
        </w:rPr>
        <w:t>.</w:t>
      </w:r>
    </w:p>
    <w:p w14:paraId="0FDC41B8" w14:textId="5951E40A" w:rsidR="001A139E" w:rsidRPr="007F4C3D" w:rsidRDefault="001A139E" w:rsidP="007F4C3D">
      <w:pPr>
        <w:jc w:val="both"/>
        <w:rPr>
          <w:rFonts w:ascii="Times New Roman" w:hAnsi="Times New Roman"/>
          <w:sz w:val="24"/>
          <w:szCs w:val="24"/>
        </w:rPr>
      </w:pPr>
      <w:r>
        <w:rPr>
          <w:rFonts w:ascii="Times New Roman" w:hAnsi="Times New Roman"/>
          <w:b/>
          <w:sz w:val="24"/>
          <w:szCs w:val="24"/>
        </w:rPr>
        <w:t>3.3</w:t>
      </w:r>
      <w:r w:rsidR="000603F8" w:rsidRPr="00F35F6D">
        <w:rPr>
          <w:rFonts w:ascii="Times New Roman" w:hAnsi="Times New Roman"/>
          <w:b/>
          <w:sz w:val="24"/>
          <w:szCs w:val="24"/>
        </w:rPr>
        <w:t xml:space="preserve"> </w:t>
      </w:r>
      <w:r w:rsidRPr="00F35F6D">
        <w:rPr>
          <w:rFonts w:ascii="Times New Roman" w:hAnsi="Times New Roman"/>
          <w:b/>
          <w:sz w:val="24"/>
          <w:szCs w:val="24"/>
        </w:rPr>
        <w:t xml:space="preserve">Prevalence of </w:t>
      </w:r>
      <w:r w:rsidRPr="00F35F6D">
        <w:rPr>
          <w:rFonts w:ascii="Times New Roman" w:hAnsi="Times New Roman"/>
          <w:sz w:val="24"/>
          <w:szCs w:val="24"/>
        </w:rPr>
        <w:t>PVL</w:t>
      </w:r>
      <w:r w:rsidRPr="00F35F6D">
        <w:rPr>
          <w:rFonts w:ascii="Times New Roman" w:hAnsi="Times New Roman"/>
          <w:b/>
          <w:sz w:val="24"/>
          <w:szCs w:val="24"/>
        </w:rPr>
        <w:t xml:space="preserve"> positive isolates</w:t>
      </w:r>
    </w:p>
    <w:p w14:paraId="0FD1F588" w14:textId="4AB51800" w:rsidR="001A139E" w:rsidRPr="00207457" w:rsidRDefault="001A139E" w:rsidP="001A139E">
      <w:pPr>
        <w:spacing w:line="480" w:lineRule="auto"/>
        <w:jc w:val="both"/>
        <w:rPr>
          <w:rFonts w:ascii="Times New Roman" w:hAnsi="Times New Roman"/>
          <w:sz w:val="24"/>
          <w:szCs w:val="24"/>
        </w:rPr>
      </w:pPr>
      <w:r w:rsidRPr="00F35F6D">
        <w:rPr>
          <w:rFonts w:ascii="Times New Roman" w:hAnsi="Times New Roman"/>
          <w:sz w:val="24"/>
          <w:szCs w:val="24"/>
        </w:rPr>
        <w:t xml:space="preserve">The result of the molecular screening for a toxigenic gene, PVL in isolated </w:t>
      </w:r>
      <w:r w:rsidRPr="00F35F6D">
        <w:rPr>
          <w:rFonts w:ascii="Times New Roman" w:hAnsi="Times New Roman"/>
          <w:i/>
          <w:sz w:val="24"/>
          <w:szCs w:val="24"/>
        </w:rPr>
        <w:t xml:space="preserve">Staphylococcus </w:t>
      </w:r>
      <w:r>
        <w:rPr>
          <w:rFonts w:ascii="Times New Roman" w:hAnsi="Times New Roman"/>
          <w:i/>
          <w:sz w:val="24"/>
          <w:szCs w:val="24"/>
        </w:rPr>
        <w:t>aureus</w:t>
      </w:r>
      <w:r w:rsidR="007E4C8D">
        <w:rPr>
          <w:rFonts w:ascii="Times New Roman" w:hAnsi="Times New Roman"/>
          <w:sz w:val="24"/>
          <w:szCs w:val="24"/>
        </w:rPr>
        <w:t xml:space="preserve"> is shown in Plate 4</w:t>
      </w:r>
      <w:r>
        <w:rPr>
          <w:rFonts w:ascii="Times New Roman" w:hAnsi="Times New Roman"/>
          <w:sz w:val="24"/>
          <w:szCs w:val="24"/>
        </w:rPr>
        <w:t xml:space="preserve">. </w:t>
      </w:r>
      <w:r w:rsidR="00207457">
        <w:rPr>
          <w:rFonts w:ascii="Times New Roman" w:hAnsi="Times New Roman"/>
          <w:sz w:val="24"/>
          <w:szCs w:val="24"/>
        </w:rPr>
        <w:t xml:space="preserve">From the result, 67% of the isolates had the </w:t>
      </w:r>
      <w:r w:rsidR="00207457" w:rsidRPr="00207457">
        <w:rPr>
          <w:rFonts w:ascii="Times New Roman" w:hAnsi="Times New Roman"/>
          <w:sz w:val="24"/>
          <w:szCs w:val="24"/>
        </w:rPr>
        <w:t>PVL (</w:t>
      </w:r>
      <w:proofErr w:type="spellStart"/>
      <w:r w:rsidR="00207457" w:rsidRPr="00207457">
        <w:rPr>
          <w:rFonts w:ascii="Times New Roman" w:hAnsi="Times New Roman"/>
          <w:sz w:val="24"/>
          <w:szCs w:val="24"/>
        </w:rPr>
        <w:t>lukS</w:t>
      </w:r>
      <w:proofErr w:type="spellEnd"/>
      <w:r w:rsidR="00207457" w:rsidRPr="00207457">
        <w:rPr>
          <w:rFonts w:ascii="Times New Roman" w:hAnsi="Times New Roman"/>
          <w:sz w:val="24"/>
          <w:szCs w:val="24"/>
        </w:rPr>
        <w:t>-PV/</w:t>
      </w:r>
      <w:proofErr w:type="spellStart"/>
      <w:r w:rsidR="00207457" w:rsidRPr="00207457">
        <w:rPr>
          <w:rFonts w:ascii="Times New Roman" w:hAnsi="Times New Roman"/>
          <w:sz w:val="24"/>
          <w:szCs w:val="24"/>
        </w:rPr>
        <w:t>lukF</w:t>
      </w:r>
      <w:proofErr w:type="spellEnd"/>
      <w:r w:rsidR="00207457" w:rsidRPr="00207457">
        <w:rPr>
          <w:rFonts w:ascii="Times New Roman" w:hAnsi="Times New Roman"/>
          <w:sz w:val="24"/>
          <w:szCs w:val="24"/>
        </w:rPr>
        <w:t>-PV) gene in their genome.</w:t>
      </w:r>
    </w:p>
    <w:p w14:paraId="04C5130A" w14:textId="77777777" w:rsidR="001A139E" w:rsidRDefault="001A139E" w:rsidP="001A139E">
      <w:pPr>
        <w:spacing w:line="480" w:lineRule="auto"/>
        <w:jc w:val="both"/>
        <w:rPr>
          <w:rFonts w:ascii="Times New Roman" w:hAnsi="Times New Roman"/>
          <w:sz w:val="24"/>
          <w:szCs w:val="24"/>
        </w:rPr>
      </w:pPr>
    </w:p>
    <w:p w14:paraId="177815B1" w14:textId="77777777" w:rsidR="001A139E" w:rsidRDefault="001A139E" w:rsidP="001A139E">
      <w:pPr>
        <w:spacing w:line="480" w:lineRule="auto"/>
        <w:jc w:val="both"/>
        <w:rPr>
          <w:rFonts w:ascii="Times New Roman" w:hAnsi="Times New Roman"/>
          <w:sz w:val="24"/>
          <w:szCs w:val="24"/>
        </w:rPr>
      </w:pPr>
      <w:r w:rsidRPr="00F35F6D">
        <w:rPr>
          <w:rFonts w:ascii="Times New Roman" w:hAnsi="Times New Roman"/>
          <w:noProof/>
          <w:sz w:val="24"/>
          <w:szCs w:val="24"/>
          <w:lang w:val="en-US" w:eastAsia="en-US"/>
        </w:rPr>
        <w:lastRenderedPageBreak/>
        <w:drawing>
          <wp:inline distT="0" distB="0" distL="0" distR="0" wp14:anchorId="490E041E" wp14:editId="39C0C253">
            <wp:extent cx="5937250" cy="46672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34430" cy="4665033"/>
                    </a:xfrm>
                    <a:prstGeom prst="rect">
                      <a:avLst/>
                    </a:prstGeom>
                    <a:ln>
                      <a:noFill/>
                    </a:ln>
                  </pic:spPr>
                </pic:pic>
              </a:graphicData>
            </a:graphic>
          </wp:inline>
        </w:drawing>
      </w:r>
    </w:p>
    <w:p w14:paraId="0B115150" w14:textId="39741422" w:rsidR="000603F8" w:rsidRPr="00F35F6D" w:rsidRDefault="001A139E" w:rsidP="007F4C3D">
      <w:pPr>
        <w:jc w:val="both"/>
        <w:rPr>
          <w:rFonts w:ascii="Times New Roman" w:hAnsi="Times New Roman"/>
          <w:b/>
          <w:sz w:val="24"/>
          <w:szCs w:val="24"/>
        </w:rPr>
      </w:pPr>
      <w:r>
        <w:rPr>
          <w:rFonts w:ascii="Times New Roman" w:hAnsi="Times New Roman"/>
          <w:b/>
          <w:sz w:val="24"/>
          <w:szCs w:val="24"/>
        </w:rPr>
        <w:t>Plate 4</w:t>
      </w:r>
      <w:r w:rsidRPr="00811A9F">
        <w:rPr>
          <w:rFonts w:ascii="Times New Roman" w:hAnsi="Times New Roman"/>
          <w:b/>
          <w:sz w:val="24"/>
          <w:szCs w:val="24"/>
        </w:rPr>
        <w:t xml:space="preserve"> </w:t>
      </w:r>
      <w:r w:rsidR="007F4C3D" w:rsidRPr="007F4C3D">
        <w:rPr>
          <w:rFonts w:ascii="Times New Roman" w:hAnsi="Times New Roman"/>
          <w:b/>
          <w:sz w:val="24"/>
          <w:szCs w:val="24"/>
        </w:rPr>
        <w:t>Agarose gel electrophoresis of amplified PVL gene fragments (~800 bp) from the staphylococcal isolates. Lanes 1, 3–5, 7, and 9 display PVL gene bands, and lane L corresponds to the 100 bp DNA ladder.</w:t>
      </w:r>
    </w:p>
    <w:p w14:paraId="1B95295B" w14:textId="77777777" w:rsidR="007F4C3D" w:rsidRDefault="007F4C3D" w:rsidP="00EB13F4">
      <w:pPr>
        <w:spacing w:line="360" w:lineRule="auto"/>
        <w:jc w:val="both"/>
        <w:rPr>
          <w:rFonts w:ascii="Times New Roman" w:hAnsi="Times New Roman"/>
          <w:b/>
          <w:sz w:val="24"/>
          <w:szCs w:val="24"/>
        </w:rPr>
      </w:pPr>
    </w:p>
    <w:p w14:paraId="3A7FAC73" w14:textId="77777777" w:rsidR="007F4C3D" w:rsidRDefault="007F4C3D" w:rsidP="00EB13F4">
      <w:pPr>
        <w:spacing w:line="360" w:lineRule="auto"/>
        <w:jc w:val="both"/>
        <w:rPr>
          <w:rFonts w:ascii="Times New Roman" w:hAnsi="Times New Roman"/>
          <w:b/>
          <w:sz w:val="24"/>
          <w:szCs w:val="24"/>
        </w:rPr>
      </w:pPr>
    </w:p>
    <w:p w14:paraId="32692256" w14:textId="44603936" w:rsidR="00EB13F4" w:rsidRPr="008777B3" w:rsidRDefault="00EB13F4" w:rsidP="00EB13F4">
      <w:pPr>
        <w:spacing w:line="360" w:lineRule="auto"/>
        <w:jc w:val="both"/>
        <w:rPr>
          <w:rFonts w:ascii="Times New Roman" w:hAnsi="Times New Roman"/>
          <w:b/>
          <w:sz w:val="24"/>
          <w:szCs w:val="24"/>
        </w:rPr>
      </w:pPr>
      <w:r>
        <w:rPr>
          <w:rFonts w:ascii="Times New Roman" w:hAnsi="Times New Roman"/>
          <w:b/>
          <w:sz w:val="24"/>
          <w:szCs w:val="24"/>
        </w:rPr>
        <w:t xml:space="preserve">4. 0 </w:t>
      </w:r>
      <w:r w:rsidRPr="008777B3">
        <w:rPr>
          <w:rFonts w:ascii="Times New Roman" w:hAnsi="Times New Roman"/>
          <w:b/>
          <w:sz w:val="24"/>
          <w:szCs w:val="24"/>
        </w:rPr>
        <w:t>DISCUSSION</w:t>
      </w:r>
    </w:p>
    <w:p w14:paraId="06570088" w14:textId="04861046" w:rsidR="00EB13F4" w:rsidRPr="0015467E" w:rsidRDefault="00E90738" w:rsidP="0015467E">
      <w:pPr>
        <w:spacing w:line="480" w:lineRule="auto"/>
        <w:jc w:val="both"/>
        <w:rPr>
          <w:rFonts w:ascii="Times New Roman" w:hAnsi="Times New Roman"/>
          <w:sz w:val="24"/>
          <w:szCs w:val="24"/>
        </w:rPr>
      </w:pPr>
      <w:r>
        <w:rPr>
          <w:rFonts w:ascii="Times New Roman" w:hAnsi="Times New Roman"/>
          <w:sz w:val="24"/>
          <w:szCs w:val="24"/>
        </w:rPr>
        <w:t>The study aimed to carry out the</w:t>
      </w:r>
      <w:r w:rsidRPr="008777B3">
        <w:rPr>
          <w:rFonts w:ascii="Times New Roman" w:hAnsi="Times New Roman"/>
          <w:sz w:val="24"/>
          <w:szCs w:val="24"/>
        </w:rPr>
        <w:t xml:space="preserve"> </w:t>
      </w:r>
      <w:r w:rsidRPr="00EE4612">
        <w:rPr>
          <w:rFonts w:ascii="Times New Roman" w:hAnsi="Times New Roman"/>
          <w:bCs/>
          <w:sz w:val="24"/>
          <w:szCs w:val="24"/>
          <w:lang w:val="en-GB"/>
        </w:rPr>
        <w:t xml:space="preserve">genomic detection of toxigenic and antibiotics resistance genes in </w:t>
      </w:r>
      <w:r w:rsidRPr="00EE4612">
        <w:rPr>
          <w:rFonts w:ascii="Times New Roman" w:hAnsi="Times New Roman"/>
          <w:bCs/>
          <w:i/>
          <w:sz w:val="24"/>
          <w:szCs w:val="24"/>
          <w:lang w:val="en-GB"/>
        </w:rPr>
        <w:t xml:space="preserve">staphylococcus aureus </w:t>
      </w:r>
      <w:r w:rsidRPr="00EE4612">
        <w:rPr>
          <w:rFonts w:ascii="Times New Roman" w:hAnsi="Times New Roman"/>
          <w:bCs/>
          <w:sz w:val="24"/>
          <w:szCs w:val="24"/>
          <w:lang w:val="en-GB"/>
        </w:rPr>
        <w:t>associated with wound contamination at a tertiary hospital in Port Harcourt, Nigeria</w:t>
      </w:r>
      <w:r w:rsidRPr="008777B3">
        <w:rPr>
          <w:rFonts w:ascii="Times New Roman" w:hAnsi="Times New Roman"/>
          <w:b/>
          <w:sz w:val="24"/>
          <w:szCs w:val="24"/>
        </w:rPr>
        <w:t>.</w:t>
      </w:r>
      <w:r w:rsidR="00EB13F4" w:rsidRPr="008777B3">
        <w:rPr>
          <w:rFonts w:ascii="Times New Roman" w:hAnsi="Times New Roman"/>
          <w:sz w:val="24"/>
          <w:szCs w:val="24"/>
        </w:rPr>
        <w:t xml:space="preserve"> included a total sample size of 150 different wound types [traumatic wound (16%) and caesarean section (14, 7 %), scrotal wound). (12%), surgical wound (4%), accident </w:t>
      </w:r>
      <w:r w:rsidR="00EB13F4" w:rsidRPr="008777B3">
        <w:rPr>
          <w:rFonts w:ascii="Times New Roman" w:hAnsi="Times New Roman"/>
          <w:sz w:val="24"/>
          <w:szCs w:val="24"/>
        </w:rPr>
        <w:lastRenderedPageBreak/>
        <w:t xml:space="preserve">and emergency (13.4%), burns (25.3%), diabetic foot ulcer 2.6%, plastic surgery (12.3%), traumatic injury (16%)]. </w:t>
      </w:r>
      <w:r w:rsidR="007F4C3D" w:rsidRPr="007F4C3D">
        <w:rPr>
          <w:rFonts w:ascii="Times New Roman" w:hAnsi="Times New Roman"/>
          <w:sz w:val="24"/>
          <w:szCs w:val="24"/>
        </w:rPr>
        <w:t xml:space="preserve">Because </w:t>
      </w:r>
      <w:r w:rsidR="007F4C3D" w:rsidRPr="007F4C3D">
        <w:rPr>
          <w:rFonts w:ascii="Times New Roman" w:hAnsi="Times New Roman"/>
          <w:i/>
          <w:iCs/>
          <w:sz w:val="24"/>
          <w:szCs w:val="24"/>
        </w:rPr>
        <w:t>Staphylococcus aureus</w:t>
      </w:r>
      <w:r w:rsidR="007F4C3D" w:rsidRPr="007F4C3D">
        <w:rPr>
          <w:rFonts w:ascii="Times New Roman" w:hAnsi="Times New Roman"/>
          <w:sz w:val="24"/>
          <w:szCs w:val="24"/>
        </w:rPr>
        <w:t xml:space="preserve"> is a common component of the skin microbiota, it was essential to collect samples from a variety of wound types in order to characterize the patterns of staphylococcal wound infections within the hospital environment.</w:t>
      </w:r>
      <w:r w:rsidR="007F4C3D">
        <w:rPr>
          <w:rFonts w:ascii="Times New Roman" w:hAnsi="Times New Roman"/>
          <w:sz w:val="24"/>
          <w:szCs w:val="24"/>
        </w:rPr>
        <w:t xml:space="preserve"> </w:t>
      </w:r>
      <w:r w:rsidR="0015467E">
        <w:rPr>
          <w:rFonts w:ascii="Times New Roman" w:hAnsi="Times New Roman"/>
          <w:sz w:val="24"/>
          <w:szCs w:val="24"/>
        </w:rPr>
        <w:t xml:space="preserve"> </w:t>
      </w:r>
      <w:r w:rsidR="0015467E" w:rsidRPr="00F35F6D">
        <w:rPr>
          <w:rFonts w:ascii="Times New Roman" w:hAnsi="Times New Roman"/>
          <w:sz w:val="24"/>
          <w:szCs w:val="24"/>
        </w:rPr>
        <w:t xml:space="preserve">All isolated species were characterized and identified to be </w:t>
      </w:r>
      <w:proofErr w:type="spellStart"/>
      <w:r w:rsidR="0015467E" w:rsidRPr="00F35F6D">
        <w:rPr>
          <w:rFonts w:ascii="Times New Roman" w:hAnsi="Times New Roman"/>
          <w:i/>
          <w:sz w:val="24"/>
          <w:szCs w:val="24"/>
        </w:rPr>
        <w:t>Staphyococcus</w:t>
      </w:r>
      <w:proofErr w:type="spellEnd"/>
      <w:r w:rsidR="0015467E" w:rsidRPr="00F35F6D">
        <w:rPr>
          <w:rFonts w:ascii="Times New Roman" w:hAnsi="Times New Roman"/>
          <w:i/>
          <w:sz w:val="24"/>
          <w:szCs w:val="24"/>
        </w:rPr>
        <w:t xml:space="preserve"> aureus</w:t>
      </w:r>
      <w:r w:rsidR="0015467E">
        <w:rPr>
          <w:rFonts w:ascii="Times New Roman" w:hAnsi="Times New Roman"/>
          <w:i/>
          <w:sz w:val="24"/>
          <w:szCs w:val="24"/>
        </w:rPr>
        <w:t xml:space="preserve"> </w:t>
      </w:r>
      <w:r w:rsidR="0015467E" w:rsidRPr="00F35F6D">
        <w:rPr>
          <w:rFonts w:ascii="Times New Roman" w:hAnsi="Times New Roman"/>
          <w:sz w:val="24"/>
          <w:szCs w:val="24"/>
        </w:rPr>
        <w:t>and have their 16S RNA gene bands to be at 1500bp as r</w:t>
      </w:r>
      <w:r w:rsidR="0015467E">
        <w:rPr>
          <w:rFonts w:ascii="Times New Roman" w:hAnsi="Times New Roman"/>
          <w:sz w:val="24"/>
          <w:szCs w:val="24"/>
        </w:rPr>
        <w:t>ecorded and shown in figure 1.</w:t>
      </w:r>
      <w:r w:rsidR="0015467E" w:rsidRPr="00F35F6D">
        <w:rPr>
          <w:rFonts w:ascii="Times New Roman" w:hAnsi="Times New Roman"/>
          <w:sz w:val="24"/>
          <w:szCs w:val="24"/>
        </w:rPr>
        <w:t xml:space="preserve"> </w:t>
      </w:r>
    </w:p>
    <w:p w14:paraId="52BC193A" w14:textId="1971B5F8" w:rsidR="00084B11" w:rsidRPr="001A7188" w:rsidRDefault="00207457" w:rsidP="00084B11">
      <w:pPr>
        <w:spacing w:line="480" w:lineRule="auto"/>
        <w:jc w:val="both"/>
        <w:rPr>
          <w:rFonts w:ascii="Times New Roman" w:hAnsi="Times New Roman"/>
          <w:sz w:val="24"/>
          <w:szCs w:val="24"/>
        </w:rPr>
      </w:pPr>
      <w:r w:rsidRPr="007F4C3D">
        <w:rPr>
          <w:rFonts w:ascii="Times New Roman" w:hAnsi="Times New Roman"/>
          <w:sz w:val="24"/>
          <w:szCs w:val="24"/>
        </w:rPr>
        <w:t xml:space="preserve">Out of the 9 isolates screened 9 (100%) </w:t>
      </w:r>
      <w:r w:rsidR="001A7188" w:rsidRPr="007F4C3D">
        <w:rPr>
          <w:rFonts w:ascii="Times New Roman" w:hAnsi="Times New Roman"/>
          <w:sz w:val="24"/>
          <w:szCs w:val="24"/>
        </w:rPr>
        <w:t>had the</w:t>
      </w:r>
      <w:r w:rsidRPr="007F4C3D">
        <w:rPr>
          <w:rFonts w:ascii="Times New Roman" w:hAnsi="Times New Roman"/>
          <w:sz w:val="24"/>
          <w:szCs w:val="24"/>
        </w:rPr>
        <w:t xml:space="preserve"> </w:t>
      </w:r>
      <w:proofErr w:type="spellStart"/>
      <w:r w:rsidRPr="007F4C3D">
        <w:rPr>
          <w:rFonts w:ascii="Times New Roman" w:hAnsi="Times New Roman"/>
          <w:sz w:val="24"/>
          <w:szCs w:val="24"/>
        </w:rPr>
        <w:t>MecA</w:t>
      </w:r>
      <w:proofErr w:type="spellEnd"/>
      <w:r w:rsidRPr="007F4C3D">
        <w:rPr>
          <w:rFonts w:ascii="Times New Roman" w:hAnsi="Times New Roman"/>
          <w:sz w:val="24"/>
          <w:szCs w:val="24"/>
        </w:rPr>
        <w:t xml:space="preserve"> resistance gene</w:t>
      </w:r>
      <w:r w:rsidR="009A6656" w:rsidRPr="007F4C3D">
        <w:rPr>
          <w:rFonts w:ascii="Times New Roman" w:hAnsi="Times New Roman"/>
          <w:sz w:val="24"/>
          <w:szCs w:val="24"/>
        </w:rPr>
        <w:t xml:space="preserve"> (Plate 3)</w:t>
      </w:r>
      <w:r w:rsidRPr="007F4C3D">
        <w:rPr>
          <w:rFonts w:ascii="Times New Roman" w:hAnsi="Times New Roman"/>
          <w:sz w:val="24"/>
          <w:szCs w:val="24"/>
        </w:rPr>
        <w:t xml:space="preserve">. </w:t>
      </w:r>
      <w:r w:rsidR="00084B11" w:rsidRPr="007F4C3D">
        <w:rPr>
          <w:rFonts w:ascii="Times New Roman" w:hAnsi="Times New Roman"/>
          <w:sz w:val="24"/>
          <w:szCs w:val="24"/>
        </w:rPr>
        <w:t xml:space="preserve">The presence of the </w:t>
      </w:r>
      <w:proofErr w:type="spellStart"/>
      <w:r w:rsidR="00084B11" w:rsidRPr="007F4C3D">
        <w:rPr>
          <w:rFonts w:ascii="Times New Roman" w:hAnsi="Times New Roman"/>
          <w:sz w:val="24"/>
          <w:szCs w:val="24"/>
        </w:rPr>
        <w:t>mecA</w:t>
      </w:r>
      <w:proofErr w:type="spellEnd"/>
      <w:r w:rsidR="00084B11" w:rsidRPr="007F4C3D">
        <w:rPr>
          <w:rFonts w:ascii="Times New Roman" w:hAnsi="Times New Roman"/>
          <w:sz w:val="24"/>
          <w:szCs w:val="24"/>
        </w:rPr>
        <w:t xml:space="preserve"> gene allows for bacterial cells to be resistant to antibiotics such as methicillin, penicillin and a good number of B-lactam class of antibiot</w:t>
      </w:r>
      <w:r w:rsidR="007E4C8D" w:rsidRPr="007F4C3D">
        <w:rPr>
          <w:rFonts w:ascii="Times New Roman" w:hAnsi="Times New Roman"/>
          <w:sz w:val="24"/>
          <w:szCs w:val="24"/>
        </w:rPr>
        <w:t>ics [14]</w:t>
      </w:r>
      <w:r w:rsidR="00084B11" w:rsidRPr="007F4C3D">
        <w:rPr>
          <w:rFonts w:ascii="Times New Roman" w:hAnsi="Times New Roman"/>
          <w:sz w:val="24"/>
          <w:szCs w:val="24"/>
        </w:rPr>
        <w:t xml:space="preserve">. </w:t>
      </w:r>
      <w:r w:rsidR="001A7188">
        <w:rPr>
          <w:rFonts w:ascii="Times New Roman" w:hAnsi="Times New Roman"/>
          <w:sz w:val="24"/>
          <w:szCs w:val="24"/>
        </w:rPr>
        <w:t xml:space="preserve">So, the vast resistance of the isolated </w:t>
      </w:r>
      <w:r w:rsidR="001A7188">
        <w:rPr>
          <w:rFonts w:ascii="Times New Roman" w:hAnsi="Times New Roman"/>
          <w:i/>
          <w:iCs/>
          <w:sz w:val="24"/>
          <w:szCs w:val="24"/>
        </w:rPr>
        <w:t xml:space="preserve">Staphylococcus </w:t>
      </w:r>
      <w:r w:rsidR="001A7188">
        <w:rPr>
          <w:rFonts w:ascii="Times New Roman" w:hAnsi="Times New Roman"/>
          <w:sz w:val="24"/>
          <w:szCs w:val="24"/>
        </w:rPr>
        <w:t>species can be linked to th</w:t>
      </w:r>
      <w:r w:rsidR="007F4C3D">
        <w:rPr>
          <w:rFonts w:ascii="Times New Roman" w:hAnsi="Times New Roman"/>
          <w:sz w:val="24"/>
          <w:szCs w:val="24"/>
        </w:rPr>
        <w:t>is gene being present</w:t>
      </w:r>
      <w:r w:rsidR="001A7188">
        <w:rPr>
          <w:rFonts w:ascii="Times New Roman" w:hAnsi="Times New Roman"/>
          <w:sz w:val="24"/>
          <w:szCs w:val="24"/>
        </w:rPr>
        <w:t>.</w:t>
      </w:r>
    </w:p>
    <w:p w14:paraId="00C4693D" w14:textId="65964A1B" w:rsidR="00027F8A" w:rsidRDefault="00207457" w:rsidP="00084B11">
      <w:pPr>
        <w:spacing w:line="480" w:lineRule="auto"/>
        <w:jc w:val="both"/>
        <w:rPr>
          <w:rFonts w:ascii="Times New Roman" w:hAnsi="Times New Roman"/>
          <w:sz w:val="24"/>
          <w:szCs w:val="24"/>
        </w:rPr>
      </w:pPr>
      <w:r w:rsidRPr="007F4C3D">
        <w:rPr>
          <w:rFonts w:ascii="Times New Roman" w:hAnsi="Times New Roman"/>
          <w:sz w:val="24"/>
          <w:szCs w:val="24"/>
        </w:rPr>
        <w:t>Out of the 9 isolates screened 6 (67%) had the PVL (</w:t>
      </w:r>
      <w:proofErr w:type="spellStart"/>
      <w:r w:rsidRPr="007F4C3D">
        <w:rPr>
          <w:rFonts w:ascii="Times New Roman" w:hAnsi="Times New Roman"/>
          <w:sz w:val="24"/>
          <w:szCs w:val="24"/>
        </w:rPr>
        <w:t>lukS</w:t>
      </w:r>
      <w:proofErr w:type="spellEnd"/>
      <w:r w:rsidRPr="007F4C3D">
        <w:rPr>
          <w:rFonts w:ascii="Times New Roman" w:hAnsi="Times New Roman"/>
          <w:sz w:val="24"/>
          <w:szCs w:val="24"/>
        </w:rPr>
        <w:t>-PV/</w:t>
      </w:r>
      <w:proofErr w:type="spellStart"/>
      <w:r w:rsidRPr="007F4C3D">
        <w:rPr>
          <w:rFonts w:ascii="Times New Roman" w:hAnsi="Times New Roman"/>
          <w:sz w:val="24"/>
          <w:szCs w:val="24"/>
        </w:rPr>
        <w:t>lukF</w:t>
      </w:r>
      <w:proofErr w:type="spellEnd"/>
      <w:r w:rsidRPr="007F4C3D">
        <w:rPr>
          <w:rFonts w:ascii="Times New Roman" w:hAnsi="Times New Roman"/>
          <w:sz w:val="24"/>
          <w:szCs w:val="24"/>
        </w:rPr>
        <w:t>-PV) gene in their genome</w:t>
      </w:r>
      <w:r w:rsidR="009A6656" w:rsidRPr="007F4C3D">
        <w:rPr>
          <w:rFonts w:ascii="Times New Roman" w:hAnsi="Times New Roman"/>
          <w:sz w:val="24"/>
          <w:szCs w:val="24"/>
        </w:rPr>
        <w:t xml:space="preserve"> (plate 4)</w:t>
      </w:r>
      <w:r w:rsidRPr="007F4C3D">
        <w:rPr>
          <w:rFonts w:ascii="Times New Roman" w:hAnsi="Times New Roman"/>
          <w:sz w:val="24"/>
          <w:szCs w:val="24"/>
        </w:rPr>
        <w:t xml:space="preserve">. </w:t>
      </w:r>
      <w:r w:rsidR="007F4C3D" w:rsidRPr="007F4C3D">
        <w:rPr>
          <w:rFonts w:ascii="Times New Roman" w:hAnsi="Times New Roman"/>
          <w:sz w:val="24"/>
          <w:szCs w:val="24"/>
        </w:rPr>
        <w:t xml:space="preserve">Panton–Valentine </w:t>
      </w:r>
      <w:proofErr w:type="spellStart"/>
      <w:r w:rsidR="007F4C3D" w:rsidRPr="007F4C3D">
        <w:rPr>
          <w:rFonts w:ascii="Times New Roman" w:hAnsi="Times New Roman"/>
          <w:sz w:val="24"/>
          <w:szCs w:val="24"/>
        </w:rPr>
        <w:t>leukocidin</w:t>
      </w:r>
      <w:proofErr w:type="spellEnd"/>
      <w:r w:rsidR="007F4C3D" w:rsidRPr="007F4C3D">
        <w:rPr>
          <w:rFonts w:ascii="Times New Roman" w:hAnsi="Times New Roman"/>
          <w:sz w:val="24"/>
          <w:szCs w:val="24"/>
        </w:rPr>
        <w:t xml:space="preserve"> (PVL) is a gamma-hemolysin toxin composed of F and S subunits that specifically targets leukocytes, leading to cellular damage and necrosis </w:t>
      </w:r>
      <w:r w:rsidRPr="007F4C3D">
        <w:rPr>
          <w:rFonts w:ascii="Times New Roman" w:hAnsi="Times New Roman"/>
          <w:sz w:val="24"/>
          <w:szCs w:val="24"/>
        </w:rPr>
        <w:t>[15].</w:t>
      </w:r>
      <w:r>
        <w:rPr>
          <w:rFonts w:ascii="Times New Roman" w:hAnsi="Times New Roman"/>
          <w:sz w:val="24"/>
          <w:szCs w:val="24"/>
        </w:rPr>
        <w:t xml:space="preserve"> </w:t>
      </w:r>
      <w:r w:rsidR="00084B11" w:rsidRPr="00F35F6D">
        <w:rPr>
          <w:rFonts w:ascii="Times New Roman" w:hAnsi="Times New Roman"/>
          <w:sz w:val="24"/>
          <w:szCs w:val="24"/>
        </w:rPr>
        <w:t>Th</w:t>
      </w:r>
      <w:r w:rsidR="008D7B91">
        <w:rPr>
          <w:rFonts w:ascii="Times New Roman" w:hAnsi="Times New Roman"/>
          <w:sz w:val="24"/>
          <w:szCs w:val="24"/>
        </w:rPr>
        <w:t xml:space="preserve">e </w:t>
      </w:r>
      <w:r w:rsidR="00084B11">
        <w:rPr>
          <w:rFonts w:ascii="Times New Roman" w:hAnsi="Times New Roman"/>
          <w:sz w:val="24"/>
          <w:szCs w:val="24"/>
        </w:rPr>
        <w:t>PVL</w:t>
      </w:r>
      <w:r w:rsidR="008D7B91">
        <w:rPr>
          <w:rFonts w:ascii="Times New Roman" w:hAnsi="Times New Roman"/>
          <w:sz w:val="24"/>
          <w:szCs w:val="24"/>
        </w:rPr>
        <w:t xml:space="preserve"> gene</w:t>
      </w:r>
      <w:r w:rsidR="00084B11">
        <w:rPr>
          <w:rFonts w:ascii="Times New Roman" w:hAnsi="Times New Roman"/>
          <w:sz w:val="24"/>
          <w:szCs w:val="24"/>
        </w:rPr>
        <w:t xml:space="preserve">, </w:t>
      </w:r>
      <w:r w:rsidR="00084B11" w:rsidRPr="00F35F6D">
        <w:rPr>
          <w:rFonts w:ascii="Times New Roman" w:hAnsi="Times New Roman"/>
          <w:sz w:val="24"/>
          <w:szCs w:val="24"/>
        </w:rPr>
        <w:t xml:space="preserve">confers toxicity </w:t>
      </w:r>
      <w:r w:rsidR="007F4C3D" w:rsidRPr="007F4C3D">
        <w:rPr>
          <w:rFonts w:ascii="Times New Roman" w:hAnsi="Times New Roman"/>
          <w:sz w:val="24"/>
          <w:szCs w:val="24"/>
        </w:rPr>
        <w:t xml:space="preserve">by encoding two synergistic proteins, </w:t>
      </w:r>
      <w:proofErr w:type="spellStart"/>
      <w:r w:rsidR="007F4C3D" w:rsidRPr="007F4C3D">
        <w:rPr>
          <w:rFonts w:ascii="Times New Roman" w:hAnsi="Times New Roman"/>
          <w:sz w:val="24"/>
          <w:szCs w:val="24"/>
        </w:rPr>
        <w:t>LukS</w:t>
      </w:r>
      <w:proofErr w:type="spellEnd"/>
      <w:r w:rsidR="007F4C3D" w:rsidRPr="007F4C3D">
        <w:rPr>
          <w:rFonts w:ascii="Times New Roman" w:hAnsi="Times New Roman"/>
          <w:sz w:val="24"/>
          <w:szCs w:val="24"/>
        </w:rPr>
        <w:t xml:space="preserve"> and </w:t>
      </w:r>
      <w:proofErr w:type="spellStart"/>
      <w:r w:rsidR="007F4C3D" w:rsidRPr="007F4C3D">
        <w:rPr>
          <w:rFonts w:ascii="Times New Roman" w:hAnsi="Times New Roman"/>
          <w:sz w:val="24"/>
          <w:szCs w:val="24"/>
        </w:rPr>
        <w:t>LukF</w:t>
      </w:r>
      <w:proofErr w:type="spellEnd"/>
      <w:r w:rsidR="007F4C3D" w:rsidRPr="007F4C3D">
        <w:rPr>
          <w:rFonts w:ascii="Times New Roman" w:hAnsi="Times New Roman"/>
          <w:sz w:val="24"/>
          <w:szCs w:val="24"/>
        </w:rPr>
        <w:t xml:space="preserve">, which form lytic pores in leukocytes, leading to their activation and destruction. This cytotoxic activity is associated with necrotizing infections of the skin, subcutaneous tissue, and pneumonia [16]. Presence of the PVL virulence factor has been linked to increased clinical severity, recurrent infections, and the emergence of community-associated methicillin-resistant </w:t>
      </w:r>
      <w:r w:rsidR="007F4C3D" w:rsidRPr="007F4C3D">
        <w:rPr>
          <w:rFonts w:ascii="Times New Roman" w:hAnsi="Times New Roman"/>
          <w:i/>
          <w:iCs/>
          <w:sz w:val="24"/>
          <w:szCs w:val="24"/>
        </w:rPr>
        <w:t>Staphylococcus aureus</w:t>
      </w:r>
      <w:r w:rsidR="007F4C3D" w:rsidRPr="007F4C3D">
        <w:rPr>
          <w:rFonts w:ascii="Times New Roman" w:hAnsi="Times New Roman"/>
          <w:sz w:val="24"/>
          <w:szCs w:val="24"/>
        </w:rPr>
        <w:t xml:space="preserve"> (CA-MRSA)</w:t>
      </w:r>
      <w:r w:rsidR="00A36C50" w:rsidRPr="00A36C50">
        <w:rPr>
          <w:rFonts w:ascii="Times New Roman" w:hAnsi="Times New Roman"/>
          <w:sz w:val="24"/>
          <w:szCs w:val="24"/>
        </w:rPr>
        <w:t>.</w:t>
      </w:r>
      <w:r>
        <w:rPr>
          <w:rFonts w:ascii="Times New Roman" w:hAnsi="Times New Roman"/>
          <w:sz w:val="24"/>
          <w:szCs w:val="24"/>
        </w:rPr>
        <w:t xml:space="preserve"> </w:t>
      </w:r>
    </w:p>
    <w:p w14:paraId="217DC9FB" w14:textId="77777777" w:rsidR="00EB13F4" w:rsidRPr="008777B3" w:rsidRDefault="00EB13F4" w:rsidP="00EB13F4">
      <w:pPr>
        <w:spacing w:line="360" w:lineRule="auto"/>
        <w:jc w:val="both"/>
        <w:rPr>
          <w:rFonts w:ascii="Times New Roman" w:hAnsi="Times New Roman"/>
          <w:b/>
          <w:bCs/>
          <w:sz w:val="24"/>
          <w:szCs w:val="24"/>
        </w:rPr>
      </w:pPr>
      <w:r>
        <w:rPr>
          <w:rFonts w:ascii="Times New Roman" w:hAnsi="Times New Roman"/>
          <w:b/>
          <w:bCs/>
          <w:sz w:val="24"/>
          <w:szCs w:val="24"/>
        </w:rPr>
        <w:t>4.0</w:t>
      </w:r>
      <w:r w:rsidRPr="008777B3">
        <w:rPr>
          <w:rFonts w:ascii="Times New Roman" w:hAnsi="Times New Roman"/>
          <w:b/>
          <w:bCs/>
          <w:sz w:val="24"/>
          <w:szCs w:val="24"/>
        </w:rPr>
        <w:t xml:space="preserve"> Conclusion</w:t>
      </w:r>
    </w:p>
    <w:p w14:paraId="15F9149C" w14:textId="38AF1107" w:rsidR="0015467E" w:rsidRPr="008D7B91" w:rsidRDefault="0015467E" w:rsidP="0015467E">
      <w:pPr>
        <w:spacing w:line="480" w:lineRule="auto"/>
        <w:jc w:val="both"/>
        <w:rPr>
          <w:rFonts w:ascii="Times New Roman" w:hAnsi="Times New Roman"/>
          <w:bCs/>
          <w:sz w:val="24"/>
          <w:szCs w:val="24"/>
        </w:rPr>
      </w:pPr>
      <w:r w:rsidRPr="008D7B91">
        <w:rPr>
          <w:rFonts w:ascii="Times New Roman" w:hAnsi="Times New Roman"/>
          <w:bCs/>
          <w:sz w:val="24"/>
          <w:szCs w:val="24"/>
        </w:rPr>
        <w:lastRenderedPageBreak/>
        <w:t xml:space="preserve">Resistance to the antibiotic groups must have been brought about by presence of the </w:t>
      </w:r>
      <w:proofErr w:type="spellStart"/>
      <w:r w:rsidRPr="008D7B91">
        <w:rPr>
          <w:rFonts w:ascii="Times New Roman" w:hAnsi="Times New Roman"/>
          <w:bCs/>
          <w:sz w:val="24"/>
          <w:szCs w:val="24"/>
        </w:rPr>
        <w:t>mecA</w:t>
      </w:r>
      <w:proofErr w:type="spellEnd"/>
      <w:r w:rsidRPr="008D7B91">
        <w:rPr>
          <w:rFonts w:ascii="Times New Roman" w:hAnsi="Times New Roman"/>
          <w:bCs/>
          <w:sz w:val="24"/>
          <w:szCs w:val="24"/>
        </w:rPr>
        <w:t xml:space="preserve"> gene in the species which was probably transmitted to the vast number of these species in a bit to help them thrive in the presence of these antibiotic classes. </w:t>
      </w:r>
    </w:p>
    <w:p w14:paraId="7F3DC122" w14:textId="2AED34FD" w:rsidR="008D7B91" w:rsidRPr="008D7B91" w:rsidRDefault="0015467E" w:rsidP="0015467E">
      <w:pPr>
        <w:spacing w:line="480" w:lineRule="auto"/>
        <w:jc w:val="both"/>
        <w:rPr>
          <w:rFonts w:ascii="Times New Roman" w:hAnsi="Times New Roman"/>
          <w:bCs/>
          <w:sz w:val="24"/>
          <w:szCs w:val="24"/>
        </w:rPr>
      </w:pPr>
      <w:r w:rsidRPr="008D7B91">
        <w:rPr>
          <w:rFonts w:ascii="Times New Roman" w:hAnsi="Times New Roman"/>
          <w:bCs/>
          <w:sz w:val="24"/>
          <w:szCs w:val="24"/>
        </w:rPr>
        <w:t xml:space="preserve">The presence of a key toxigenic </w:t>
      </w:r>
      <w:r w:rsidR="00A00E80" w:rsidRPr="008D7B91">
        <w:rPr>
          <w:rFonts w:ascii="Times New Roman" w:hAnsi="Times New Roman"/>
          <w:sz w:val="24"/>
          <w:szCs w:val="24"/>
        </w:rPr>
        <w:t>PVL (</w:t>
      </w:r>
      <w:proofErr w:type="spellStart"/>
      <w:r w:rsidR="00A00E80" w:rsidRPr="008D7B91">
        <w:rPr>
          <w:rFonts w:ascii="Times New Roman" w:hAnsi="Times New Roman"/>
          <w:sz w:val="24"/>
          <w:szCs w:val="24"/>
        </w:rPr>
        <w:t>lukS</w:t>
      </w:r>
      <w:proofErr w:type="spellEnd"/>
      <w:r w:rsidR="00A00E80" w:rsidRPr="008D7B91">
        <w:rPr>
          <w:rFonts w:ascii="Times New Roman" w:hAnsi="Times New Roman"/>
          <w:sz w:val="24"/>
          <w:szCs w:val="24"/>
        </w:rPr>
        <w:t>-PV/</w:t>
      </w:r>
      <w:proofErr w:type="spellStart"/>
      <w:r w:rsidR="00A00E80" w:rsidRPr="008D7B91">
        <w:rPr>
          <w:rFonts w:ascii="Times New Roman" w:hAnsi="Times New Roman"/>
          <w:sz w:val="24"/>
          <w:szCs w:val="24"/>
        </w:rPr>
        <w:t>lukF</w:t>
      </w:r>
      <w:proofErr w:type="spellEnd"/>
      <w:r w:rsidR="00A00E80" w:rsidRPr="008D7B91">
        <w:rPr>
          <w:rFonts w:ascii="Times New Roman" w:hAnsi="Times New Roman"/>
          <w:sz w:val="24"/>
          <w:szCs w:val="24"/>
        </w:rPr>
        <w:t>-PV</w:t>
      </w:r>
      <w:r w:rsidRPr="008D7B91">
        <w:rPr>
          <w:rFonts w:ascii="Times New Roman" w:hAnsi="Times New Roman"/>
          <w:bCs/>
          <w:sz w:val="24"/>
          <w:szCs w:val="24"/>
        </w:rPr>
        <w:t xml:space="preserve">) </w:t>
      </w:r>
      <w:r w:rsidR="00A00E80" w:rsidRPr="008D7B91">
        <w:rPr>
          <w:rFonts w:ascii="Times New Roman" w:hAnsi="Times New Roman"/>
          <w:bCs/>
          <w:sz w:val="24"/>
          <w:szCs w:val="24"/>
        </w:rPr>
        <w:t xml:space="preserve">gene </w:t>
      </w:r>
      <w:r w:rsidRPr="008D7B91">
        <w:rPr>
          <w:rFonts w:ascii="Times New Roman" w:hAnsi="Times New Roman"/>
          <w:bCs/>
          <w:sz w:val="24"/>
          <w:szCs w:val="24"/>
        </w:rPr>
        <w:t>in 6</w:t>
      </w:r>
      <w:r w:rsidR="001A7188" w:rsidRPr="008D7B91">
        <w:rPr>
          <w:rFonts w:ascii="Times New Roman" w:hAnsi="Times New Roman"/>
          <w:bCs/>
          <w:sz w:val="24"/>
          <w:szCs w:val="24"/>
        </w:rPr>
        <w:t>7</w:t>
      </w:r>
      <w:r w:rsidRPr="008D7B91">
        <w:rPr>
          <w:rFonts w:ascii="Times New Roman" w:hAnsi="Times New Roman"/>
          <w:bCs/>
          <w:sz w:val="24"/>
          <w:szCs w:val="24"/>
        </w:rPr>
        <w:t xml:space="preserve">% of the isolates is a key indication of virulence in species associated with wounds. In a more general terms, </w:t>
      </w:r>
      <w:r w:rsidRPr="008D7B91">
        <w:rPr>
          <w:rFonts w:ascii="Times New Roman" w:hAnsi="Times New Roman"/>
          <w:bCs/>
          <w:i/>
          <w:sz w:val="24"/>
          <w:szCs w:val="24"/>
        </w:rPr>
        <w:t>Staphylococcus aureus</w:t>
      </w:r>
      <w:r w:rsidRPr="008D7B91">
        <w:rPr>
          <w:rFonts w:ascii="Times New Roman" w:hAnsi="Times New Roman"/>
          <w:bCs/>
          <w:sz w:val="24"/>
          <w:szCs w:val="24"/>
        </w:rPr>
        <w:t xml:space="preserve"> is prevalent in wounds and can persist in their infection by forming biofilms, lysing blood cells and resisting a vast majority of antibiotics.</w:t>
      </w:r>
      <w:r w:rsidR="00A00E80" w:rsidRPr="008D7B91">
        <w:rPr>
          <w:rFonts w:ascii="Times New Roman" w:hAnsi="Times New Roman"/>
          <w:bCs/>
          <w:sz w:val="24"/>
          <w:szCs w:val="24"/>
        </w:rPr>
        <w:t xml:space="preserve"> The significant co-occurrence of the </w:t>
      </w:r>
      <w:r w:rsidR="00A00E80" w:rsidRPr="008D7B91">
        <w:rPr>
          <w:rFonts w:ascii="Times New Roman" w:hAnsi="Times New Roman"/>
          <w:sz w:val="24"/>
          <w:szCs w:val="24"/>
        </w:rPr>
        <w:t>PVL (</w:t>
      </w:r>
      <w:proofErr w:type="spellStart"/>
      <w:r w:rsidR="00A00E80" w:rsidRPr="008D7B91">
        <w:rPr>
          <w:rFonts w:ascii="Times New Roman" w:hAnsi="Times New Roman"/>
          <w:sz w:val="24"/>
          <w:szCs w:val="24"/>
        </w:rPr>
        <w:t>lukS</w:t>
      </w:r>
      <w:proofErr w:type="spellEnd"/>
      <w:r w:rsidR="00A00E80" w:rsidRPr="008D7B91">
        <w:rPr>
          <w:rFonts w:ascii="Times New Roman" w:hAnsi="Times New Roman"/>
          <w:sz w:val="24"/>
          <w:szCs w:val="24"/>
        </w:rPr>
        <w:t>-PV/</w:t>
      </w:r>
      <w:proofErr w:type="spellStart"/>
      <w:r w:rsidR="00A00E80" w:rsidRPr="008D7B91">
        <w:rPr>
          <w:rFonts w:ascii="Times New Roman" w:hAnsi="Times New Roman"/>
          <w:sz w:val="24"/>
          <w:szCs w:val="24"/>
        </w:rPr>
        <w:t>lukF</w:t>
      </w:r>
      <w:proofErr w:type="spellEnd"/>
      <w:r w:rsidR="00A00E80" w:rsidRPr="008D7B91">
        <w:rPr>
          <w:rFonts w:ascii="Times New Roman" w:hAnsi="Times New Roman"/>
          <w:sz w:val="24"/>
          <w:szCs w:val="24"/>
        </w:rPr>
        <w:t xml:space="preserve">-PV) </w:t>
      </w:r>
      <w:r w:rsidR="00A00E80" w:rsidRPr="008D7B91">
        <w:rPr>
          <w:rFonts w:ascii="Times New Roman" w:hAnsi="Times New Roman"/>
          <w:bCs/>
          <w:sz w:val="24"/>
          <w:szCs w:val="24"/>
        </w:rPr>
        <w:t xml:space="preserve">virulence gene </w:t>
      </w:r>
      <w:r w:rsidR="008D7B91" w:rsidRPr="008D7B91">
        <w:rPr>
          <w:rFonts w:ascii="Times New Roman" w:hAnsi="Times New Roman"/>
          <w:bCs/>
          <w:sz w:val="24"/>
          <w:szCs w:val="24"/>
        </w:rPr>
        <w:t xml:space="preserve">along with the </w:t>
      </w:r>
      <w:proofErr w:type="spellStart"/>
      <w:r w:rsidR="008D7B91" w:rsidRPr="008D7B91">
        <w:rPr>
          <w:rFonts w:ascii="Times New Roman" w:hAnsi="Times New Roman"/>
          <w:bCs/>
          <w:sz w:val="24"/>
          <w:szCs w:val="24"/>
        </w:rPr>
        <w:t>mecA</w:t>
      </w:r>
      <w:proofErr w:type="spellEnd"/>
      <w:r w:rsidR="008D7B91" w:rsidRPr="008D7B91">
        <w:rPr>
          <w:rFonts w:ascii="Times New Roman" w:hAnsi="Times New Roman"/>
          <w:bCs/>
          <w:sz w:val="24"/>
          <w:szCs w:val="24"/>
        </w:rPr>
        <w:t xml:space="preserve"> methicillin-resistance gene, constitutes a significant public health threat, as it can lead to severe and difficult-to-treat infections in critical healthcare settings. The findings of this study therefore highlight important public health concerns and underscore the need for stringent antibiotic stewardship and effective wound management strategies.</w:t>
      </w:r>
    </w:p>
    <w:p w14:paraId="65491B25" w14:textId="77777777" w:rsidR="00EB13F4" w:rsidRPr="00703836" w:rsidRDefault="00EB13F4" w:rsidP="00EB13F4">
      <w:pPr>
        <w:spacing w:line="360" w:lineRule="auto"/>
        <w:jc w:val="both"/>
        <w:rPr>
          <w:b/>
        </w:rPr>
      </w:pPr>
      <w:r w:rsidRPr="008D7B91">
        <w:rPr>
          <w:b/>
        </w:rPr>
        <w:t>CONSENT AND ETHICAL APPROVAL</w:t>
      </w:r>
      <w:r w:rsidRPr="00703836">
        <w:rPr>
          <w:b/>
        </w:rPr>
        <w:t xml:space="preserve"> </w:t>
      </w:r>
    </w:p>
    <w:p w14:paraId="40A33960" w14:textId="5CD629DB" w:rsidR="00EB13F4" w:rsidRDefault="00EB13F4" w:rsidP="00EB13F4">
      <w:pPr>
        <w:spacing w:line="360" w:lineRule="auto"/>
        <w:jc w:val="both"/>
      </w:pPr>
      <w:r>
        <w:t xml:space="preserve">As per international standard guideline </w:t>
      </w:r>
      <w:r w:rsidR="00EE64C2" w:rsidRPr="00EE64C2">
        <w:t xml:space="preserve">participant </w:t>
      </w:r>
      <w:r>
        <w:t>consent and ethical approval has been collected and preserved by the authors.</w:t>
      </w:r>
    </w:p>
    <w:p w14:paraId="50DCF709" w14:textId="77777777" w:rsidR="00EB13F4" w:rsidRPr="00703836" w:rsidRDefault="00EB13F4" w:rsidP="00EB13F4">
      <w:pPr>
        <w:spacing w:line="360" w:lineRule="auto"/>
        <w:jc w:val="both"/>
        <w:rPr>
          <w:b/>
        </w:rPr>
      </w:pPr>
      <w:r w:rsidRPr="00703836">
        <w:rPr>
          <w:b/>
        </w:rPr>
        <w:t xml:space="preserve">COMPETING INTERESTS </w:t>
      </w:r>
      <w:bookmarkStart w:id="0" w:name="_GoBack"/>
      <w:bookmarkEnd w:id="0"/>
    </w:p>
    <w:p w14:paraId="47FDE1F8" w14:textId="36D8B7E3" w:rsidR="00EB13F4" w:rsidRDefault="00EB13F4" w:rsidP="00EB13F4">
      <w:pPr>
        <w:spacing w:line="360" w:lineRule="auto"/>
        <w:jc w:val="both"/>
      </w:pPr>
      <w:r>
        <w:t>Authors have declared that no competing interests exist.</w:t>
      </w:r>
    </w:p>
    <w:p w14:paraId="13281250" w14:textId="77777777" w:rsidR="00177AC1" w:rsidRPr="00177AC1" w:rsidRDefault="00177AC1" w:rsidP="00177AC1">
      <w:pPr>
        <w:spacing w:line="360" w:lineRule="auto"/>
        <w:jc w:val="both"/>
        <w:rPr>
          <w:rFonts w:ascii="Times New Roman" w:hAnsi="Times New Roman"/>
          <w:b/>
          <w:bCs/>
          <w:sz w:val="24"/>
          <w:szCs w:val="24"/>
        </w:rPr>
      </w:pPr>
      <w:r w:rsidRPr="00177AC1">
        <w:rPr>
          <w:rFonts w:ascii="Times New Roman" w:hAnsi="Times New Roman"/>
          <w:b/>
          <w:bCs/>
          <w:sz w:val="24"/>
          <w:szCs w:val="24"/>
        </w:rPr>
        <w:t>Disclaimer (Artificial intelligence)</w:t>
      </w:r>
    </w:p>
    <w:p w14:paraId="03533B71" w14:textId="77777777" w:rsidR="00177AC1" w:rsidRPr="00177AC1" w:rsidRDefault="00177AC1" w:rsidP="00177AC1">
      <w:pPr>
        <w:spacing w:line="360" w:lineRule="auto"/>
        <w:jc w:val="both"/>
        <w:rPr>
          <w:rFonts w:ascii="Times New Roman" w:hAnsi="Times New Roman"/>
          <w:b/>
          <w:bCs/>
          <w:sz w:val="24"/>
          <w:szCs w:val="24"/>
        </w:rPr>
      </w:pPr>
      <w:r w:rsidRPr="00177AC1">
        <w:rPr>
          <w:rFonts w:ascii="Times New Roman" w:hAnsi="Times New Roman"/>
          <w:b/>
          <w:bCs/>
          <w:sz w:val="24"/>
          <w:szCs w:val="24"/>
        </w:rPr>
        <w:t>Author(s) hereby declare that NO generative AI technologies such as Large Language Models (</w:t>
      </w:r>
      <w:proofErr w:type="spellStart"/>
      <w:r w:rsidRPr="00177AC1">
        <w:rPr>
          <w:rFonts w:ascii="Times New Roman" w:hAnsi="Times New Roman"/>
          <w:b/>
          <w:bCs/>
          <w:sz w:val="24"/>
          <w:szCs w:val="24"/>
        </w:rPr>
        <w:t>ChatGPT</w:t>
      </w:r>
      <w:proofErr w:type="spellEnd"/>
      <w:r w:rsidRPr="00177AC1">
        <w:rPr>
          <w:rFonts w:ascii="Times New Roman" w:hAnsi="Times New Roman"/>
          <w:b/>
          <w:bCs/>
          <w:sz w:val="24"/>
          <w:szCs w:val="24"/>
        </w:rPr>
        <w:t xml:space="preserve">, COPILOT, etc.) and text-to-image generators have been used during the writing or editing of this manuscript. </w:t>
      </w:r>
    </w:p>
    <w:p w14:paraId="33133F88" w14:textId="77777777" w:rsidR="00177AC1" w:rsidRPr="008777B3" w:rsidRDefault="00177AC1" w:rsidP="00EB13F4">
      <w:pPr>
        <w:spacing w:line="360" w:lineRule="auto"/>
        <w:jc w:val="both"/>
        <w:rPr>
          <w:rFonts w:ascii="Times New Roman" w:hAnsi="Times New Roman"/>
          <w:b/>
          <w:bCs/>
          <w:sz w:val="24"/>
          <w:szCs w:val="24"/>
        </w:rPr>
      </w:pPr>
    </w:p>
    <w:p w14:paraId="71D2CECB" w14:textId="77777777" w:rsidR="00EB13F4" w:rsidRPr="008777B3" w:rsidRDefault="00EB13F4" w:rsidP="00EB13F4">
      <w:pPr>
        <w:spacing w:line="360" w:lineRule="auto"/>
        <w:jc w:val="both"/>
        <w:rPr>
          <w:rFonts w:ascii="Times New Roman" w:hAnsi="Times New Roman"/>
          <w:bCs/>
          <w:sz w:val="24"/>
          <w:szCs w:val="24"/>
        </w:rPr>
      </w:pPr>
      <w:r w:rsidRPr="008777B3">
        <w:rPr>
          <w:rFonts w:ascii="Times New Roman" w:hAnsi="Times New Roman"/>
          <w:b/>
          <w:bCs/>
          <w:sz w:val="24"/>
          <w:szCs w:val="24"/>
        </w:rPr>
        <w:t>REFERENCES</w:t>
      </w:r>
    </w:p>
    <w:p w14:paraId="3F542A92" w14:textId="77777777" w:rsidR="00EB13F4" w:rsidRDefault="00EB13F4" w:rsidP="00EB13F4">
      <w:pPr>
        <w:pStyle w:val="ListParagraph"/>
        <w:numPr>
          <w:ilvl w:val="0"/>
          <w:numId w:val="4"/>
        </w:numPr>
        <w:spacing w:line="360" w:lineRule="auto"/>
        <w:jc w:val="both"/>
        <w:rPr>
          <w:rFonts w:ascii="Times New Roman" w:hAnsi="Times New Roman"/>
          <w:sz w:val="24"/>
          <w:szCs w:val="24"/>
        </w:rPr>
      </w:pPr>
      <w:proofErr w:type="spellStart"/>
      <w:r w:rsidRPr="00704640">
        <w:rPr>
          <w:rFonts w:ascii="Times New Roman" w:hAnsi="Times New Roman"/>
          <w:sz w:val="24"/>
          <w:szCs w:val="24"/>
        </w:rPr>
        <w:lastRenderedPageBreak/>
        <w:t>Akpaka</w:t>
      </w:r>
      <w:proofErr w:type="spellEnd"/>
      <w:r w:rsidRPr="00704640">
        <w:rPr>
          <w:rFonts w:ascii="Times New Roman" w:hAnsi="Times New Roman"/>
          <w:sz w:val="24"/>
          <w:szCs w:val="24"/>
        </w:rPr>
        <w:t xml:space="preserve">, P. E., Kissoon, S., Swanston, W. &amp; Monteil, M. (2006). Prevalence and antimicrobial Susceptibility pattern of methicillin resistant </w:t>
      </w:r>
      <w:r w:rsidRPr="00704640">
        <w:rPr>
          <w:rFonts w:ascii="Times New Roman" w:hAnsi="Times New Roman"/>
          <w:i/>
          <w:iCs/>
          <w:sz w:val="24"/>
          <w:szCs w:val="24"/>
        </w:rPr>
        <w:t>Staphylococcus aureus</w:t>
      </w:r>
      <w:r w:rsidRPr="00704640">
        <w:rPr>
          <w:rFonts w:ascii="Times New Roman" w:hAnsi="Times New Roman"/>
          <w:sz w:val="24"/>
          <w:szCs w:val="24"/>
        </w:rPr>
        <w:t xml:space="preserve"> isolates from Trinidad &amp; Tobago. </w:t>
      </w:r>
      <w:r w:rsidRPr="00704640">
        <w:rPr>
          <w:rFonts w:ascii="Times New Roman" w:hAnsi="Times New Roman"/>
          <w:i/>
          <w:iCs/>
          <w:sz w:val="24"/>
          <w:szCs w:val="24"/>
        </w:rPr>
        <w:t>Annuals of Clinical Microbiology. Antimicrobials</w:t>
      </w:r>
      <w:r w:rsidRPr="00704640">
        <w:rPr>
          <w:rFonts w:ascii="Times New Roman" w:hAnsi="Times New Roman"/>
          <w:sz w:val="24"/>
          <w:szCs w:val="24"/>
        </w:rPr>
        <w:t>. 5, 10.</w:t>
      </w:r>
    </w:p>
    <w:p w14:paraId="1AF20160" w14:textId="22C56590" w:rsidR="00EB13F4" w:rsidRPr="008C4EEC" w:rsidRDefault="00981F53" w:rsidP="00EB13F4">
      <w:pPr>
        <w:pStyle w:val="ListParagraph"/>
        <w:numPr>
          <w:ilvl w:val="0"/>
          <w:numId w:val="4"/>
        </w:numPr>
        <w:spacing w:line="360" w:lineRule="auto"/>
        <w:jc w:val="both"/>
        <w:rPr>
          <w:rFonts w:ascii="Times New Roman" w:hAnsi="Times New Roman"/>
          <w:sz w:val="24"/>
          <w:szCs w:val="24"/>
          <w:highlight w:val="yellow"/>
        </w:rPr>
      </w:pPr>
      <w:proofErr w:type="spellStart"/>
      <w:r w:rsidRPr="008C4EEC">
        <w:rPr>
          <w:rFonts w:ascii="Times New Roman" w:hAnsi="Times New Roman"/>
          <w:sz w:val="24"/>
          <w:szCs w:val="24"/>
          <w:highlight w:val="yellow"/>
        </w:rPr>
        <w:t>Boswihi</w:t>
      </w:r>
      <w:proofErr w:type="spellEnd"/>
      <w:r w:rsidRPr="008C4EEC">
        <w:rPr>
          <w:rFonts w:ascii="Times New Roman" w:hAnsi="Times New Roman"/>
          <w:sz w:val="24"/>
          <w:szCs w:val="24"/>
          <w:highlight w:val="yellow"/>
        </w:rPr>
        <w:t xml:space="preserve"> S, S, &amp; Udo, E, E. (2018). Methicillin-resistant Staphylococcus aureus: an update on the epidemiology, treatment options and infection control. </w:t>
      </w:r>
      <w:r w:rsidRPr="008C4EEC">
        <w:rPr>
          <w:rFonts w:ascii="Times New Roman" w:hAnsi="Times New Roman"/>
          <w:i/>
          <w:iCs/>
          <w:sz w:val="24"/>
          <w:szCs w:val="24"/>
          <w:highlight w:val="yellow"/>
        </w:rPr>
        <w:t xml:space="preserve">Current Medicine Research and Practice, </w:t>
      </w:r>
      <w:r w:rsidRPr="008C4EEC">
        <w:rPr>
          <w:rFonts w:ascii="Times New Roman" w:hAnsi="Times New Roman"/>
          <w:sz w:val="24"/>
          <w:szCs w:val="24"/>
          <w:highlight w:val="yellow"/>
        </w:rPr>
        <w:t>8(1)</w:t>
      </w:r>
      <w:r w:rsidR="008C4EEC" w:rsidRPr="008C4EEC">
        <w:rPr>
          <w:rFonts w:ascii="Times New Roman" w:hAnsi="Times New Roman"/>
          <w:sz w:val="24"/>
          <w:szCs w:val="24"/>
          <w:highlight w:val="yellow"/>
        </w:rPr>
        <w:t xml:space="preserve">, </w:t>
      </w:r>
      <w:r w:rsidRPr="008C4EEC">
        <w:rPr>
          <w:rFonts w:ascii="Times New Roman" w:hAnsi="Times New Roman"/>
          <w:sz w:val="24"/>
          <w:szCs w:val="24"/>
          <w:highlight w:val="yellow"/>
        </w:rPr>
        <w:t>18–</w:t>
      </w:r>
      <w:proofErr w:type="gramStart"/>
      <w:r w:rsidRPr="008C4EEC">
        <w:rPr>
          <w:rFonts w:ascii="Times New Roman" w:hAnsi="Times New Roman"/>
          <w:sz w:val="24"/>
          <w:szCs w:val="24"/>
          <w:highlight w:val="yellow"/>
        </w:rPr>
        <w:t>24.</w:t>
      </w:r>
      <w:r w:rsidR="00EB13F4" w:rsidRPr="008C4EEC">
        <w:rPr>
          <w:rFonts w:ascii="Times New Roman" w:hAnsi="Times New Roman"/>
          <w:sz w:val="24"/>
          <w:szCs w:val="24"/>
          <w:highlight w:val="yellow"/>
        </w:rPr>
        <w:t>.</w:t>
      </w:r>
      <w:proofErr w:type="gramEnd"/>
    </w:p>
    <w:p w14:paraId="512B8DA6" w14:textId="77777777" w:rsidR="00EB13F4" w:rsidRPr="00704640" w:rsidRDefault="00EB13F4" w:rsidP="00EB13F4">
      <w:pPr>
        <w:pStyle w:val="ListParagraph"/>
        <w:numPr>
          <w:ilvl w:val="0"/>
          <w:numId w:val="4"/>
        </w:numPr>
        <w:spacing w:line="360" w:lineRule="auto"/>
        <w:jc w:val="both"/>
        <w:rPr>
          <w:rFonts w:ascii="Times New Roman" w:hAnsi="Times New Roman"/>
          <w:sz w:val="24"/>
          <w:szCs w:val="24"/>
        </w:rPr>
      </w:pPr>
      <w:proofErr w:type="spellStart"/>
      <w:r w:rsidRPr="00704640">
        <w:rPr>
          <w:rFonts w:ascii="Times New Roman" w:hAnsi="Times New Roman"/>
          <w:sz w:val="24"/>
          <w:szCs w:val="24"/>
        </w:rPr>
        <w:t>Chiquet</w:t>
      </w:r>
      <w:proofErr w:type="spellEnd"/>
      <w:r w:rsidRPr="00704640">
        <w:rPr>
          <w:rFonts w:ascii="Times New Roman" w:hAnsi="Times New Roman"/>
          <w:sz w:val="24"/>
          <w:szCs w:val="24"/>
        </w:rPr>
        <w:t xml:space="preserve">, C., </w:t>
      </w:r>
      <w:proofErr w:type="spellStart"/>
      <w:r w:rsidRPr="00704640">
        <w:rPr>
          <w:rFonts w:ascii="Times New Roman" w:hAnsi="Times New Roman"/>
          <w:sz w:val="24"/>
          <w:szCs w:val="24"/>
        </w:rPr>
        <w:t>Pechinot</w:t>
      </w:r>
      <w:proofErr w:type="spellEnd"/>
      <w:r w:rsidRPr="00704640">
        <w:rPr>
          <w:rFonts w:ascii="Times New Roman" w:hAnsi="Times New Roman"/>
          <w:sz w:val="24"/>
          <w:szCs w:val="24"/>
        </w:rPr>
        <w:t xml:space="preserve">, A., </w:t>
      </w:r>
      <w:proofErr w:type="spellStart"/>
      <w:r w:rsidRPr="00704640">
        <w:rPr>
          <w:rFonts w:ascii="Times New Roman" w:hAnsi="Times New Roman"/>
          <w:sz w:val="24"/>
          <w:szCs w:val="24"/>
        </w:rPr>
        <w:t>Creuzot-Garcher</w:t>
      </w:r>
      <w:proofErr w:type="spellEnd"/>
      <w:r w:rsidRPr="00704640">
        <w:rPr>
          <w:rFonts w:ascii="Times New Roman" w:hAnsi="Times New Roman"/>
          <w:sz w:val="24"/>
          <w:szCs w:val="24"/>
        </w:rPr>
        <w:t xml:space="preserve">, C., Benito, Y. &amp; </w:t>
      </w:r>
      <w:proofErr w:type="spellStart"/>
      <w:r w:rsidRPr="00704640">
        <w:rPr>
          <w:rFonts w:ascii="Times New Roman" w:hAnsi="Times New Roman"/>
          <w:sz w:val="24"/>
          <w:szCs w:val="24"/>
        </w:rPr>
        <w:t>Croize</w:t>
      </w:r>
      <w:proofErr w:type="spellEnd"/>
      <w:r w:rsidRPr="00704640">
        <w:rPr>
          <w:rFonts w:ascii="Times New Roman" w:hAnsi="Times New Roman"/>
          <w:sz w:val="24"/>
          <w:szCs w:val="24"/>
        </w:rPr>
        <w:t xml:space="preserve"> J. (2007). Acute</w:t>
      </w:r>
      <w:r>
        <w:rPr>
          <w:rFonts w:ascii="Times New Roman" w:hAnsi="Times New Roman"/>
          <w:sz w:val="24"/>
          <w:szCs w:val="24"/>
        </w:rPr>
        <w:t xml:space="preserve"> postoperative endophthalmitis caused </w:t>
      </w:r>
      <w:r w:rsidR="00067441">
        <w:rPr>
          <w:rFonts w:ascii="Times New Roman" w:hAnsi="Times New Roman"/>
          <w:sz w:val="24"/>
          <w:szCs w:val="24"/>
        </w:rPr>
        <w:t xml:space="preserve">by </w:t>
      </w:r>
      <w:r w:rsidR="00B533A1">
        <w:rPr>
          <w:rFonts w:ascii="Times New Roman" w:hAnsi="Times New Roman"/>
          <w:i/>
          <w:sz w:val="24"/>
          <w:szCs w:val="24"/>
        </w:rPr>
        <w:t xml:space="preserve">Staphylococcus </w:t>
      </w:r>
      <w:proofErr w:type="spellStart"/>
      <w:r w:rsidRPr="00704640">
        <w:rPr>
          <w:rFonts w:ascii="Times New Roman" w:hAnsi="Times New Roman"/>
          <w:i/>
          <w:sz w:val="24"/>
          <w:szCs w:val="24"/>
        </w:rPr>
        <w:t>lugdunensis</w:t>
      </w:r>
      <w:proofErr w:type="spellEnd"/>
      <w:r w:rsidRPr="00704640">
        <w:rPr>
          <w:rFonts w:ascii="Times New Roman" w:hAnsi="Times New Roman"/>
          <w:sz w:val="24"/>
          <w:szCs w:val="24"/>
        </w:rPr>
        <w:t xml:space="preserve">. </w:t>
      </w:r>
      <w:r w:rsidRPr="00704640">
        <w:rPr>
          <w:rFonts w:ascii="Times New Roman" w:hAnsi="Times New Roman"/>
          <w:i/>
          <w:sz w:val="24"/>
          <w:szCs w:val="24"/>
        </w:rPr>
        <w:t>Journal of Clinical Microbiology</w:t>
      </w:r>
      <w:r w:rsidRPr="00704640">
        <w:rPr>
          <w:rFonts w:ascii="Times New Roman" w:hAnsi="Times New Roman"/>
          <w:sz w:val="24"/>
          <w:szCs w:val="24"/>
        </w:rPr>
        <w:t>. 45, 1673-1678.</w:t>
      </w:r>
    </w:p>
    <w:p w14:paraId="0EE607FA" w14:textId="77777777" w:rsidR="00EB13F4" w:rsidRPr="00F84E63" w:rsidRDefault="00EB13F4" w:rsidP="00EB13F4">
      <w:pPr>
        <w:pStyle w:val="ListParagraph"/>
        <w:numPr>
          <w:ilvl w:val="0"/>
          <w:numId w:val="4"/>
        </w:numPr>
        <w:spacing w:line="480" w:lineRule="auto"/>
        <w:jc w:val="both"/>
        <w:rPr>
          <w:rFonts w:ascii="Times New Roman" w:hAnsi="Times New Roman"/>
          <w:sz w:val="24"/>
          <w:szCs w:val="24"/>
        </w:rPr>
      </w:pPr>
      <w:r w:rsidRPr="00F84E63">
        <w:rPr>
          <w:rFonts w:ascii="Times New Roman" w:hAnsi="Times New Roman"/>
          <w:sz w:val="24"/>
          <w:szCs w:val="24"/>
        </w:rPr>
        <w:t xml:space="preserve">White, R. J. (2009). Wound infection-associated pain. </w:t>
      </w:r>
      <w:r w:rsidRPr="00F84E63">
        <w:rPr>
          <w:rFonts w:ascii="Times New Roman" w:hAnsi="Times New Roman"/>
          <w:i/>
          <w:iCs/>
          <w:sz w:val="24"/>
          <w:szCs w:val="24"/>
        </w:rPr>
        <w:t>Journal of Wound Care</w:t>
      </w:r>
      <w:r w:rsidRPr="00F84E63">
        <w:rPr>
          <w:rFonts w:ascii="Times New Roman" w:hAnsi="Times New Roman"/>
          <w:sz w:val="24"/>
          <w:szCs w:val="24"/>
        </w:rPr>
        <w:t>. 18(6), 245–249.</w:t>
      </w:r>
    </w:p>
    <w:p w14:paraId="29CCC02A" w14:textId="77777777" w:rsidR="00EB13F4" w:rsidRPr="00704640" w:rsidRDefault="00EB13F4" w:rsidP="00EB13F4">
      <w:pPr>
        <w:pStyle w:val="ListParagraph"/>
        <w:numPr>
          <w:ilvl w:val="0"/>
          <w:numId w:val="4"/>
        </w:numPr>
        <w:spacing w:line="360" w:lineRule="auto"/>
        <w:jc w:val="both"/>
        <w:rPr>
          <w:rFonts w:ascii="Times New Roman" w:hAnsi="Times New Roman"/>
          <w:sz w:val="24"/>
          <w:szCs w:val="24"/>
        </w:rPr>
      </w:pPr>
      <w:r w:rsidRPr="00704640">
        <w:rPr>
          <w:rFonts w:ascii="Times New Roman" w:hAnsi="Times New Roman"/>
          <w:sz w:val="24"/>
          <w:szCs w:val="24"/>
        </w:rPr>
        <w:t xml:space="preserve">Stotts, N. A. (2004). Wound infection: diagnosis and management. In: Morison, M. J., Ovington, L. G. and Wilkie, K. (eds.). </w:t>
      </w:r>
      <w:r w:rsidRPr="00704640">
        <w:rPr>
          <w:rFonts w:ascii="Times New Roman" w:hAnsi="Times New Roman"/>
          <w:i/>
          <w:iCs/>
          <w:sz w:val="24"/>
          <w:szCs w:val="24"/>
        </w:rPr>
        <w:t>Chronic Wound Care. A Problem-Based Learning Approach</w:t>
      </w:r>
      <w:r w:rsidRPr="00704640">
        <w:rPr>
          <w:rFonts w:ascii="Times New Roman" w:hAnsi="Times New Roman"/>
          <w:sz w:val="24"/>
          <w:szCs w:val="24"/>
        </w:rPr>
        <w:t>. Mosby Elsevier Limited, London: 101–116.</w:t>
      </w:r>
    </w:p>
    <w:p w14:paraId="2EF4C388" w14:textId="77777777" w:rsidR="00B533A1" w:rsidRPr="00B533A1" w:rsidRDefault="00B533A1" w:rsidP="00B533A1">
      <w:pPr>
        <w:pStyle w:val="ListParagraph"/>
        <w:numPr>
          <w:ilvl w:val="0"/>
          <w:numId w:val="4"/>
        </w:numPr>
        <w:spacing w:line="240" w:lineRule="auto"/>
        <w:jc w:val="both"/>
        <w:rPr>
          <w:rFonts w:ascii="Times New Roman" w:hAnsi="Times New Roman"/>
          <w:sz w:val="24"/>
          <w:szCs w:val="24"/>
        </w:rPr>
      </w:pPr>
      <w:proofErr w:type="spellStart"/>
      <w:r w:rsidRPr="00B533A1">
        <w:rPr>
          <w:rFonts w:ascii="Times New Roman" w:hAnsi="Times New Roman"/>
          <w:sz w:val="24"/>
          <w:szCs w:val="24"/>
        </w:rPr>
        <w:t>Gnanamani</w:t>
      </w:r>
      <w:proofErr w:type="spellEnd"/>
      <w:r w:rsidRPr="00B533A1">
        <w:rPr>
          <w:rFonts w:ascii="Times New Roman" w:hAnsi="Times New Roman"/>
          <w:sz w:val="24"/>
          <w:szCs w:val="24"/>
        </w:rPr>
        <w:t xml:space="preserve">, Arumugam &amp; </w:t>
      </w:r>
      <w:proofErr w:type="spellStart"/>
      <w:r w:rsidRPr="00B533A1">
        <w:rPr>
          <w:rFonts w:ascii="Times New Roman" w:hAnsi="Times New Roman"/>
          <w:sz w:val="24"/>
          <w:szCs w:val="24"/>
        </w:rPr>
        <w:t>Periasamy</w:t>
      </w:r>
      <w:proofErr w:type="spellEnd"/>
      <w:r w:rsidRPr="00B533A1">
        <w:rPr>
          <w:rFonts w:ascii="Times New Roman" w:hAnsi="Times New Roman"/>
          <w:sz w:val="24"/>
          <w:szCs w:val="24"/>
        </w:rPr>
        <w:t xml:space="preserve">, Hariharan &amp; Paul </w:t>
      </w:r>
      <w:proofErr w:type="spellStart"/>
      <w:r w:rsidRPr="00B533A1">
        <w:rPr>
          <w:rFonts w:ascii="Times New Roman" w:hAnsi="Times New Roman"/>
          <w:sz w:val="24"/>
          <w:szCs w:val="24"/>
        </w:rPr>
        <w:t>Satyaseela</w:t>
      </w:r>
      <w:proofErr w:type="spellEnd"/>
      <w:r w:rsidRPr="00B533A1">
        <w:rPr>
          <w:rFonts w:ascii="Times New Roman" w:hAnsi="Times New Roman"/>
          <w:sz w:val="24"/>
          <w:szCs w:val="24"/>
        </w:rPr>
        <w:t xml:space="preserve">, Maneesh. (2017). </w:t>
      </w:r>
      <w:r w:rsidRPr="00B533A1">
        <w:rPr>
          <w:rFonts w:ascii="Times New Roman" w:hAnsi="Times New Roman"/>
          <w:i/>
          <w:sz w:val="24"/>
          <w:szCs w:val="24"/>
        </w:rPr>
        <w:t>Staphylococcus aureus</w:t>
      </w:r>
      <w:r w:rsidRPr="00B533A1">
        <w:rPr>
          <w:rFonts w:ascii="Times New Roman" w:hAnsi="Times New Roman"/>
          <w:sz w:val="24"/>
          <w:szCs w:val="24"/>
        </w:rPr>
        <w:t xml:space="preserve">: Overview of Bacteriology, Clinical Diseases, Epidemiology, Antibiotic Resistance and Therapeutic Approach. </w:t>
      </w:r>
      <w:r w:rsidRPr="00B533A1">
        <w:rPr>
          <w:rFonts w:ascii="Times New Roman" w:hAnsi="Times New Roman"/>
          <w:i/>
          <w:sz w:val="24"/>
          <w:szCs w:val="24"/>
        </w:rPr>
        <w:t>Frontiers in Staphylococcus aureus,</w:t>
      </w:r>
      <w:r w:rsidRPr="00B533A1">
        <w:rPr>
          <w:rFonts w:ascii="Times New Roman" w:hAnsi="Times New Roman"/>
          <w:sz w:val="24"/>
          <w:szCs w:val="24"/>
        </w:rPr>
        <w:t xml:space="preserve"> 10, 5772-67338.</w:t>
      </w:r>
    </w:p>
    <w:p w14:paraId="7EFDFBB0" w14:textId="77777777" w:rsidR="0062351F" w:rsidRPr="00B533A1" w:rsidRDefault="0062351F" w:rsidP="00B533A1">
      <w:pPr>
        <w:pStyle w:val="ListParagraph"/>
        <w:numPr>
          <w:ilvl w:val="0"/>
          <w:numId w:val="4"/>
        </w:numPr>
        <w:spacing w:line="360" w:lineRule="auto"/>
        <w:jc w:val="both"/>
        <w:rPr>
          <w:rFonts w:ascii="Times New Roman" w:hAnsi="Times New Roman"/>
          <w:sz w:val="24"/>
          <w:szCs w:val="24"/>
        </w:rPr>
      </w:pPr>
      <w:r w:rsidRPr="00B533A1">
        <w:rPr>
          <w:rFonts w:ascii="Times New Roman" w:hAnsi="Times New Roman"/>
          <w:sz w:val="24"/>
          <w:szCs w:val="24"/>
        </w:rPr>
        <w:t xml:space="preserve">Foster, T.J. (2017). Antibiotic resistance in Staphylococcus aureus. Current status and future prospects, </w:t>
      </w:r>
      <w:r w:rsidRPr="00B533A1">
        <w:rPr>
          <w:rFonts w:ascii="Times New Roman" w:hAnsi="Times New Roman"/>
          <w:i/>
          <w:sz w:val="24"/>
          <w:szCs w:val="24"/>
        </w:rPr>
        <w:t>FEMS Microbiology Reviews,</w:t>
      </w:r>
      <w:r w:rsidRPr="00B533A1">
        <w:rPr>
          <w:rFonts w:ascii="Times New Roman" w:hAnsi="Times New Roman"/>
          <w:sz w:val="24"/>
          <w:szCs w:val="24"/>
        </w:rPr>
        <w:t xml:space="preserve"> 007, 430–449</w:t>
      </w:r>
      <w:r>
        <w:t>.</w:t>
      </w:r>
    </w:p>
    <w:p w14:paraId="70AD937C" w14:textId="77777777" w:rsidR="0062351F" w:rsidRPr="0062351F" w:rsidRDefault="0062351F" w:rsidP="00067441">
      <w:pPr>
        <w:pStyle w:val="ListParagraph"/>
        <w:numPr>
          <w:ilvl w:val="0"/>
          <w:numId w:val="4"/>
        </w:numPr>
        <w:spacing w:line="360" w:lineRule="auto"/>
        <w:jc w:val="both"/>
        <w:rPr>
          <w:rFonts w:ascii="Times New Roman" w:hAnsi="Times New Roman"/>
          <w:sz w:val="24"/>
          <w:szCs w:val="24"/>
        </w:rPr>
      </w:pPr>
      <w:r w:rsidRPr="0062351F">
        <w:rPr>
          <w:rFonts w:ascii="Times New Roman" w:hAnsi="Times New Roman"/>
          <w:sz w:val="24"/>
          <w:szCs w:val="24"/>
        </w:rPr>
        <w:t xml:space="preserve">Simpson, A. H., Dave, J. &amp; Cookson, B. (2007). The value of routine screening of staff for MRSA. </w:t>
      </w:r>
      <w:r w:rsidRPr="0062351F">
        <w:rPr>
          <w:rFonts w:ascii="Times New Roman" w:hAnsi="Times New Roman"/>
          <w:i/>
          <w:iCs/>
          <w:sz w:val="24"/>
          <w:szCs w:val="24"/>
        </w:rPr>
        <w:t>Journal of Bone and Joint Surgery British volume</w:t>
      </w:r>
      <w:r w:rsidRPr="0062351F">
        <w:rPr>
          <w:rFonts w:ascii="Times New Roman" w:hAnsi="Times New Roman"/>
          <w:sz w:val="24"/>
          <w:szCs w:val="24"/>
        </w:rPr>
        <w:t>, 89, 565-566.</w:t>
      </w:r>
    </w:p>
    <w:p w14:paraId="4DFFE253" w14:textId="77777777" w:rsidR="00044655" w:rsidRPr="00067441" w:rsidRDefault="00044655" w:rsidP="00067441">
      <w:pPr>
        <w:pStyle w:val="ListParagraph"/>
        <w:numPr>
          <w:ilvl w:val="0"/>
          <w:numId w:val="4"/>
        </w:numPr>
        <w:spacing w:line="360" w:lineRule="auto"/>
        <w:jc w:val="both"/>
        <w:rPr>
          <w:rFonts w:ascii="Times New Roman" w:hAnsi="Times New Roman"/>
          <w:lang w:val="en-US"/>
        </w:rPr>
      </w:pPr>
      <w:r w:rsidRPr="00044655">
        <w:rPr>
          <w:rFonts w:ascii="Times New Roman" w:hAnsi="Times New Roman"/>
          <w:sz w:val="24"/>
          <w:szCs w:val="24"/>
        </w:rPr>
        <w:t xml:space="preserve">Dale, J. W. &amp; Park, S. (2004). </w:t>
      </w:r>
      <w:r w:rsidRPr="00044655">
        <w:rPr>
          <w:rFonts w:ascii="Times New Roman" w:hAnsi="Times New Roman"/>
          <w:i/>
          <w:sz w:val="24"/>
          <w:szCs w:val="24"/>
        </w:rPr>
        <w:t>Molecular Genetics of Bacteria</w:t>
      </w:r>
      <w:r w:rsidRPr="00044655">
        <w:rPr>
          <w:rFonts w:ascii="Times New Roman" w:hAnsi="Times New Roman"/>
          <w:sz w:val="24"/>
          <w:szCs w:val="24"/>
        </w:rPr>
        <w:t xml:space="preserve">. 4th </w:t>
      </w:r>
      <w:proofErr w:type="spellStart"/>
      <w:r w:rsidRPr="00044655">
        <w:rPr>
          <w:rFonts w:ascii="Times New Roman" w:hAnsi="Times New Roman"/>
          <w:sz w:val="24"/>
          <w:szCs w:val="24"/>
        </w:rPr>
        <w:t>Edn</w:t>
      </w:r>
      <w:proofErr w:type="spellEnd"/>
      <w:r w:rsidRPr="00044655">
        <w:rPr>
          <w:rFonts w:ascii="Times New Roman" w:hAnsi="Times New Roman"/>
          <w:sz w:val="24"/>
          <w:szCs w:val="24"/>
        </w:rPr>
        <w:t>. John Wiley and Sons Inc., Chichester, UK. 22-24.</w:t>
      </w:r>
    </w:p>
    <w:p w14:paraId="6C9A61BE" w14:textId="77777777" w:rsidR="00067441" w:rsidRPr="00067441" w:rsidRDefault="00067441" w:rsidP="00067441">
      <w:pPr>
        <w:pStyle w:val="ListParagraph"/>
        <w:numPr>
          <w:ilvl w:val="0"/>
          <w:numId w:val="4"/>
        </w:numPr>
        <w:spacing w:line="360" w:lineRule="auto"/>
        <w:jc w:val="both"/>
        <w:rPr>
          <w:rFonts w:ascii="Times New Roman" w:hAnsi="Times New Roman"/>
          <w:sz w:val="24"/>
          <w:szCs w:val="24"/>
          <w:lang w:val="en-US"/>
        </w:rPr>
      </w:pPr>
      <w:r w:rsidRPr="00067441">
        <w:rPr>
          <w:rFonts w:ascii="Times New Roman" w:hAnsi="Times New Roman"/>
          <w:sz w:val="24"/>
          <w:szCs w:val="24"/>
        </w:rPr>
        <w:t xml:space="preserve">Niang, L., Winn, T. &amp; Nordin, R. (2006). Practical issues in calculating the sample size for prevalence studies. </w:t>
      </w:r>
      <w:r w:rsidRPr="00067441">
        <w:rPr>
          <w:rFonts w:ascii="Times New Roman" w:hAnsi="Times New Roman"/>
          <w:i/>
          <w:sz w:val="24"/>
          <w:szCs w:val="24"/>
        </w:rPr>
        <w:t xml:space="preserve">Archives of Orofacial Sciences, </w:t>
      </w:r>
      <w:r w:rsidRPr="00067441">
        <w:rPr>
          <w:rFonts w:ascii="Times New Roman" w:hAnsi="Times New Roman"/>
          <w:sz w:val="24"/>
          <w:szCs w:val="24"/>
        </w:rPr>
        <w:t>1.</w:t>
      </w:r>
    </w:p>
    <w:p w14:paraId="79A49CD2" w14:textId="77777777" w:rsidR="00F175CC" w:rsidRPr="00F175CC" w:rsidRDefault="00F175CC" w:rsidP="00067441">
      <w:pPr>
        <w:pStyle w:val="ListParagraph"/>
        <w:numPr>
          <w:ilvl w:val="0"/>
          <w:numId w:val="4"/>
        </w:numPr>
        <w:spacing w:line="36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Saitou, N. &amp; Nei, M. (1987). The neighbor-joining method: a new method for reconstructing phylogenetic trees. </w:t>
      </w:r>
      <w:r w:rsidRPr="00F175CC">
        <w:rPr>
          <w:rFonts w:ascii="Times New Roman" w:hAnsi="Times New Roman"/>
          <w:i/>
          <w:color w:val="000000"/>
          <w:sz w:val="24"/>
          <w:szCs w:val="24"/>
          <w:lang w:val="en-US"/>
        </w:rPr>
        <w:t>Mol</w:t>
      </w:r>
      <w:r>
        <w:rPr>
          <w:rFonts w:ascii="Times New Roman" w:hAnsi="Times New Roman"/>
          <w:i/>
          <w:color w:val="000000"/>
          <w:sz w:val="24"/>
          <w:szCs w:val="24"/>
          <w:lang w:val="en-US"/>
        </w:rPr>
        <w:t>ecular</w:t>
      </w:r>
      <w:r w:rsidRPr="00F175CC">
        <w:rPr>
          <w:rFonts w:ascii="Times New Roman" w:hAnsi="Times New Roman"/>
          <w:i/>
          <w:color w:val="000000"/>
          <w:sz w:val="24"/>
          <w:szCs w:val="24"/>
          <w:lang w:val="en-US"/>
        </w:rPr>
        <w:t xml:space="preserve"> Biol</w:t>
      </w:r>
      <w:r>
        <w:rPr>
          <w:rFonts w:ascii="Times New Roman" w:hAnsi="Times New Roman"/>
          <w:i/>
          <w:color w:val="000000"/>
          <w:sz w:val="24"/>
          <w:szCs w:val="24"/>
          <w:lang w:val="en-US"/>
        </w:rPr>
        <w:t>ogy and</w:t>
      </w:r>
      <w:r w:rsidRPr="00F175CC">
        <w:rPr>
          <w:rFonts w:ascii="Times New Roman" w:hAnsi="Times New Roman"/>
          <w:i/>
          <w:color w:val="000000"/>
          <w:sz w:val="24"/>
          <w:szCs w:val="24"/>
          <w:lang w:val="en-US"/>
        </w:rPr>
        <w:t xml:space="preserve"> Evol</w:t>
      </w:r>
      <w:r>
        <w:rPr>
          <w:rFonts w:ascii="Times New Roman" w:hAnsi="Times New Roman"/>
          <w:i/>
          <w:color w:val="000000"/>
          <w:sz w:val="24"/>
          <w:szCs w:val="24"/>
          <w:lang w:val="en-US"/>
        </w:rPr>
        <w:t>ution</w:t>
      </w:r>
      <w:r>
        <w:rPr>
          <w:rFonts w:ascii="Times New Roman" w:hAnsi="Times New Roman"/>
          <w:color w:val="000000"/>
          <w:sz w:val="24"/>
          <w:szCs w:val="24"/>
          <w:lang w:val="en-US"/>
        </w:rPr>
        <w:t>, 4 (4), 406-425.</w:t>
      </w:r>
    </w:p>
    <w:p w14:paraId="3B212C96" w14:textId="77777777" w:rsidR="00F175CC" w:rsidRPr="00F175CC" w:rsidRDefault="00F175CC" w:rsidP="00067441">
      <w:pPr>
        <w:pStyle w:val="ListParagraph"/>
        <w:numPr>
          <w:ilvl w:val="0"/>
          <w:numId w:val="4"/>
        </w:numPr>
        <w:spacing w:line="36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Felsenstein, J. (1985). Confidence limits on phylogenies: An approach using the bootstrap. </w:t>
      </w:r>
      <w:r>
        <w:rPr>
          <w:rFonts w:ascii="Times New Roman" w:hAnsi="Times New Roman"/>
          <w:i/>
          <w:color w:val="000000"/>
          <w:sz w:val="24"/>
          <w:szCs w:val="24"/>
          <w:lang w:val="en-US"/>
        </w:rPr>
        <w:t xml:space="preserve">Evolution, </w:t>
      </w:r>
      <w:r w:rsidRPr="00CC4929">
        <w:rPr>
          <w:rFonts w:ascii="Times New Roman" w:hAnsi="Times New Roman"/>
          <w:color w:val="000000"/>
          <w:sz w:val="24"/>
          <w:szCs w:val="24"/>
          <w:lang w:val="en-US"/>
        </w:rPr>
        <w:t>39 (4), 783-791.</w:t>
      </w:r>
    </w:p>
    <w:p w14:paraId="02B8398F" w14:textId="77777777" w:rsidR="00CC4929" w:rsidRPr="00CC4929" w:rsidRDefault="00CC4929" w:rsidP="00067441">
      <w:pPr>
        <w:pStyle w:val="ListParagraph"/>
        <w:numPr>
          <w:ilvl w:val="0"/>
          <w:numId w:val="4"/>
        </w:numPr>
        <w:spacing w:line="360" w:lineRule="auto"/>
        <w:jc w:val="both"/>
        <w:rPr>
          <w:rFonts w:ascii="Times New Roman" w:hAnsi="Times New Roman"/>
          <w:color w:val="000000"/>
          <w:sz w:val="24"/>
          <w:szCs w:val="24"/>
          <w:lang w:val="en-US"/>
        </w:rPr>
      </w:pPr>
      <w:r>
        <w:rPr>
          <w:rFonts w:ascii="Times New Roman" w:hAnsi="Times New Roman"/>
          <w:color w:val="000000"/>
          <w:sz w:val="24"/>
          <w:szCs w:val="24"/>
          <w:lang w:val="en-US"/>
        </w:rPr>
        <w:lastRenderedPageBreak/>
        <w:t>Jukes, T. &amp; Cantor, C. (1969). Evolution of protein molecules</w:t>
      </w:r>
      <w:r w:rsidR="00B533A1">
        <w:rPr>
          <w:rFonts w:ascii="Times New Roman" w:hAnsi="Times New Roman"/>
          <w:color w:val="000000"/>
          <w:sz w:val="24"/>
          <w:szCs w:val="24"/>
          <w:lang w:val="en-US"/>
        </w:rPr>
        <w:t xml:space="preserve">. </w:t>
      </w:r>
      <w:r w:rsidR="00B533A1">
        <w:rPr>
          <w:rFonts w:ascii="Times New Roman" w:hAnsi="Times New Roman"/>
          <w:i/>
          <w:color w:val="000000"/>
          <w:sz w:val="24"/>
          <w:szCs w:val="24"/>
          <w:lang w:val="en-US"/>
        </w:rPr>
        <w:t xml:space="preserve">Mammalian Protein Metabolism, </w:t>
      </w:r>
      <w:r w:rsidR="00B533A1">
        <w:rPr>
          <w:rFonts w:ascii="Times New Roman" w:hAnsi="Times New Roman"/>
          <w:color w:val="000000"/>
          <w:sz w:val="24"/>
          <w:szCs w:val="24"/>
          <w:lang w:val="en-US"/>
        </w:rPr>
        <w:t>21-132.</w:t>
      </w:r>
    </w:p>
    <w:p w14:paraId="7084C5DD" w14:textId="77777777" w:rsidR="00B533A1" w:rsidRPr="00207457" w:rsidRDefault="00B533A1" w:rsidP="00B533A1">
      <w:pPr>
        <w:pStyle w:val="ListParagraph"/>
        <w:numPr>
          <w:ilvl w:val="0"/>
          <w:numId w:val="4"/>
        </w:numPr>
        <w:spacing w:line="240" w:lineRule="auto"/>
        <w:jc w:val="both"/>
        <w:rPr>
          <w:rFonts w:ascii="Times New Roman" w:hAnsi="Times New Roman"/>
        </w:rPr>
      </w:pPr>
      <w:r w:rsidRPr="00B533A1">
        <w:rPr>
          <w:rFonts w:ascii="Times New Roman" w:hAnsi="Times New Roman"/>
          <w:sz w:val="24"/>
          <w:szCs w:val="24"/>
        </w:rPr>
        <w:t xml:space="preserve">Calderon, C. B. &amp; </w:t>
      </w:r>
      <w:proofErr w:type="spellStart"/>
      <w:r w:rsidRPr="00B533A1">
        <w:rPr>
          <w:rFonts w:ascii="Times New Roman" w:hAnsi="Times New Roman"/>
          <w:sz w:val="24"/>
          <w:szCs w:val="24"/>
        </w:rPr>
        <w:t>Sabundayo</w:t>
      </w:r>
      <w:proofErr w:type="spellEnd"/>
      <w:r w:rsidRPr="00B533A1">
        <w:rPr>
          <w:rFonts w:ascii="Times New Roman" w:hAnsi="Times New Roman"/>
          <w:sz w:val="24"/>
          <w:szCs w:val="24"/>
        </w:rPr>
        <w:t xml:space="preserve">, B. P. (2007). Antimicrobial Classifications: Drugs for Bugs. In Schwalbe, R., Steele-Moore, L. and Goodwin, A. C. (Eds.). </w:t>
      </w:r>
      <w:r w:rsidRPr="00B533A1">
        <w:rPr>
          <w:rFonts w:ascii="Times New Roman" w:hAnsi="Times New Roman"/>
          <w:i/>
          <w:sz w:val="24"/>
          <w:szCs w:val="24"/>
        </w:rPr>
        <w:t>Antimicrobial Susceptibility Testing Protocols</w:t>
      </w:r>
      <w:r w:rsidRPr="00B533A1">
        <w:rPr>
          <w:rFonts w:ascii="Times New Roman" w:hAnsi="Times New Roman"/>
          <w:sz w:val="24"/>
          <w:szCs w:val="24"/>
        </w:rPr>
        <w:t>. CRC Press. Taylor &amp; Frances group. 45.</w:t>
      </w:r>
    </w:p>
    <w:p w14:paraId="7395EF4C" w14:textId="523660F9" w:rsidR="00207457" w:rsidRPr="00B533A1" w:rsidRDefault="00207457" w:rsidP="00B533A1">
      <w:pPr>
        <w:pStyle w:val="ListParagraph"/>
        <w:numPr>
          <w:ilvl w:val="0"/>
          <w:numId w:val="4"/>
        </w:numPr>
        <w:spacing w:line="240" w:lineRule="auto"/>
        <w:jc w:val="both"/>
        <w:rPr>
          <w:rFonts w:ascii="Times New Roman" w:hAnsi="Times New Roman"/>
        </w:rPr>
      </w:pPr>
      <w:proofErr w:type="spellStart"/>
      <w:r w:rsidRPr="00207457">
        <w:rPr>
          <w:rFonts w:ascii="Times New Roman" w:hAnsi="Times New Roman"/>
        </w:rPr>
        <w:t>Havaei</w:t>
      </w:r>
      <w:proofErr w:type="spellEnd"/>
      <w:r w:rsidRPr="00207457">
        <w:rPr>
          <w:rFonts w:ascii="Times New Roman" w:hAnsi="Times New Roman"/>
        </w:rPr>
        <w:t xml:space="preserve"> S. A., </w:t>
      </w:r>
      <w:proofErr w:type="spellStart"/>
      <w:r w:rsidRPr="00207457">
        <w:rPr>
          <w:rFonts w:ascii="Times New Roman" w:hAnsi="Times New Roman"/>
        </w:rPr>
        <w:t>Poursina</w:t>
      </w:r>
      <w:proofErr w:type="spellEnd"/>
      <w:r w:rsidRPr="00207457">
        <w:rPr>
          <w:rFonts w:ascii="Times New Roman" w:hAnsi="Times New Roman"/>
        </w:rPr>
        <w:t xml:space="preserve"> F., Ahmadpour M., </w:t>
      </w:r>
      <w:proofErr w:type="spellStart"/>
      <w:r w:rsidRPr="00207457">
        <w:rPr>
          <w:rFonts w:ascii="Times New Roman" w:hAnsi="Times New Roman"/>
        </w:rPr>
        <w:t>Havaei</w:t>
      </w:r>
      <w:proofErr w:type="spellEnd"/>
      <w:r w:rsidRPr="00207457">
        <w:rPr>
          <w:rFonts w:ascii="Times New Roman" w:hAnsi="Times New Roman"/>
        </w:rPr>
        <w:t xml:space="preserve"> S. R., &amp; </w:t>
      </w:r>
      <w:proofErr w:type="spellStart"/>
      <w:r w:rsidRPr="00207457">
        <w:rPr>
          <w:rFonts w:ascii="Times New Roman" w:hAnsi="Times New Roman"/>
        </w:rPr>
        <w:t>Ruzbahani</w:t>
      </w:r>
      <w:proofErr w:type="spellEnd"/>
      <w:r w:rsidRPr="00207457">
        <w:rPr>
          <w:rFonts w:ascii="Times New Roman" w:hAnsi="Times New Roman"/>
        </w:rPr>
        <w:t xml:space="preserve"> M.</w:t>
      </w:r>
      <w:r>
        <w:rPr>
          <w:rFonts w:ascii="Times New Roman" w:hAnsi="Times New Roman"/>
        </w:rPr>
        <w:t xml:space="preserve"> (2017).</w:t>
      </w:r>
      <w:r w:rsidRPr="00207457">
        <w:rPr>
          <w:rFonts w:ascii="Times New Roman" w:hAnsi="Times New Roman"/>
        </w:rPr>
        <w:t xml:space="preserve"> Detection of Panton-valentine </w:t>
      </w:r>
      <w:proofErr w:type="spellStart"/>
      <w:r w:rsidRPr="00207457">
        <w:rPr>
          <w:rFonts w:ascii="Times New Roman" w:hAnsi="Times New Roman"/>
        </w:rPr>
        <w:t>Leukocidin</w:t>
      </w:r>
      <w:proofErr w:type="spellEnd"/>
      <w:r w:rsidRPr="00207457">
        <w:rPr>
          <w:rFonts w:ascii="Times New Roman" w:hAnsi="Times New Roman"/>
        </w:rPr>
        <w:t xml:space="preserve"> Gene Isoforms of Staphylococcus aureus Isolates in Al-Zahra Hospital, Isfahan-Iran. </w:t>
      </w:r>
      <w:r w:rsidRPr="00207457">
        <w:rPr>
          <w:rFonts w:ascii="Times New Roman" w:hAnsi="Times New Roman"/>
          <w:i/>
          <w:iCs/>
        </w:rPr>
        <w:t>Advanced Biomedical Research</w:t>
      </w:r>
      <w:r>
        <w:rPr>
          <w:rFonts w:ascii="Times New Roman" w:hAnsi="Times New Roman"/>
        </w:rPr>
        <w:t>,</w:t>
      </w:r>
      <w:r w:rsidRPr="00207457">
        <w:rPr>
          <w:rFonts w:ascii="Times New Roman" w:hAnsi="Times New Roman"/>
        </w:rPr>
        <w:t xml:space="preserve"> 6:93.</w:t>
      </w:r>
    </w:p>
    <w:p w14:paraId="30A7A1DB" w14:textId="77777777" w:rsidR="00B533A1" w:rsidRPr="00B533A1" w:rsidRDefault="00B533A1" w:rsidP="00B533A1">
      <w:pPr>
        <w:pStyle w:val="ListParagraph"/>
        <w:numPr>
          <w:ilvl w:val="0"/>
          <w:numId w:val="4"/>
        </w:numPr>
        <w:spacing w:line="240" w:lineRule="auto"/>
        <w:jc w:val="both"/>
        <w:rPr>
          <w:rFonts w:ascii="Times New Roman" w:hAnsi="Times New Roman"/>
        </w:rPr>
      </w:pPr>
      <w:r w:rsidRPr="00B533A1">
        <w:rPr>
          <w:rFonts w:ascii="Times New Roman" w:hAnsi="Times New Roman"/>
          <w:sz w:val="24"/>
          <w:szCs w:val="24"/>
        </w:rPr>
        <w:t xml:space="preserve">Dinges, M. M., Orwin, P. M. &amp; Schlievert, P. M. (2000). Exotoxins of </w:t>
      </w:r>
      <w:r w:rsidRPr="00B533A1">
        <w:rPr>
          <w:rFonts w:ascii="Times New Roman" w:hAnsi="Times New Roman"/>
          <w:i/>
          <w:sz w:val="24"/>
          <w:szCs w:val="24"/>
        </w:rPr>
        <w:t>Staphylococcus</w:t>
      </w:r>
      <w:r w:rsidRPr="00B533A1">
        <w:rPr>
          <w:rFonts w:ascii="Times New Roman" w:hAnsi="Times New Roman"/>
          <w:sz w:val="24"/>
          <w:szCs w:val="24"/>
        </w:rPr>
        <w:t xml:space="preserve"> </w:t>
      </w:r>
      <w:r w:rsidRPr="00B533A1">
        <w:rPr>
          <w:rFonts w:ascii="Times New Roman" w:hAnsi="Times New Roman"/>
          <w:i/>
          <w:sz w:val="24"/>
          <w:szCs w:val="24"/>
        </w:rPr>
        <w:t>aureus</w:t>
      </w:r>
      <w:r w:rsidRPr="00B533A1">
        <w:rPr>
          <w:rFonts w:ascii="Times New Roman" w:hAnsi="Times New Roman"/>
          <w:sz w:val="24"/>
          <w:szCs w:val="24"/>
        </w:rPr>
        <w:t xml:space="preserve">. </w:t>
      </w:r>
      <w:r w:rsidRPr="00B533A1">
        <w:rPr>
          <w:rFonts w:ascii="Times New Roman" w:hAnsi="Times New Roman"/>
          <w:i/>
          <w:sz w:val="24"/>
          <w:szCs w:val="24"/>
        </w:rPr>
        <w:t>Clinical Microbiology Reviews</w:t>
      </w:r>
      <w:r w:rsidRPr="00B533A1">
        <w:rPr>
          <w:rFonts w:ascii="Times New Roman" w:hAnsi="Times New Roman"/>
          <w:sz w:val="24"/>
          <w:szCs w:val="24"/>
        </w:rPr>
        <w:t>, 13, 16–34.</w:t>
      </w:r>
    </w:p>
    <w:p w14:paraId="29F90EA0" w14:textId="77777777" w:rsidR="00B25EDD" w:rsidRPr="00EB13F4" w:rsidRDefault="00B25EDD" w:rsidP="00067441">
      <w:pPr>
        <w:spacing w:line="360" w:lineRule="auto"/>
      </w:pPr>
    </w:p>
    <w:sectPr w:rsidR="00B25EDD" w:rsidRPr="00EB13F4" w:rsidSect="00017AD9">
      <w:headerReference w:type="default" r:id="rId12"/>
      <w:footerReference w:type="defaul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C6263" w14:textId="77777777" w:rsidR="00B735BD" w:rsidRDefault="00B735BD">
      <w:pPr>
        <w:spacing w:after="0" w:line="240" w:lineRule="auto"/>
      </w:pPr>
      <w:r>
        <w:separator/>
      </w:r>
    </w:p>
  </w:endnote>
  <w:endnote w:type="continuationSeparator" w:id="0">
    <w:p w14:paraId="6BA60516" w14:textId="77777777" w:rsidR="00B735BD" w:rsidRDefault="00B73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6216582"/>
      <w:docPartObj>
        <w:docPartGallery w:val="Page Numbers (Bottom of Page)"/>
        <w:docPartUnique/>
      </w:docPartObj>
    </w:sdtPr>
    <w:sdtEndPr>
      <w:rPr>
        <w:noProof/>
      </w:rPr>
    </w:sdtEndPr>
    <w:sdtContent>
      <w:p w14:paraId="7B953A9D" w14:textId="77777777" w:rsidR="00857062" w:rsidRDefault="006A080C">
        <w:pPr>
          <w:pStyle w:val="Footer"/>
          <w:jc w:val="center"/>
        </w:pPr>
        <w:r>
          <w:fldChar w:fldCharType="begin"/>
        </w:r>
        <w:r>
          <w:instrText xml:space="preserve"> PAGE   \* MERGEFORMAT </w:instrText>
        </w:r>
        <w:r>
          <w:fldChar w:fldCharType="separate"/>
        </w:r>
        <w:r w:rsidR="00C95156">
          <w:rPr>
            <w:noProof/>
          </w:rPr>
          <w:t>11</w:t>
        </w:r>
        <w:r>
          <w:rPr>
            <w:noProof/>
          </w:rPr>
          <w:fldChar w:fldCharType="end"/>
        </w:r>
      </w:p>
    </w:sdtContent>
  </w:sdt>
  <w:p w14:paraId="26F6A574" w14:textId="77777777" w:rsidR="00857062" w:rsidRDefault="00857062" w:rsidP="00CA245A">
    <w:pPr>
      <w:tabs>
        <w:tab w:val="left" w:pos="4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FB0D1" w14:textId="77777777" w:rsidR="00B735BD" w:rsidRDefault="00B735BD">
      <w:pPr>
        <w:spacing w:after="0" w:line="240" w:lineRule="auto"/>
      </w:pPr>
      <w:r>
        <w:separator/>
      </w:r>
    </w:p>
  </w:footnote>
  <w:footnote w:type="continuationSeparator" w:id="0">
    <w:p w14:paraId="0A729840" w14:textId="77777777" w:rsidR="00B735BD" w:rsidRDefault="00B73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90EBD" w14:textId="77777777" w:rsidR="00857062" w:rsidRDefault="00857062">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34EE5"/>
    <w:multiLevelType w:val="hybridMultilevel"/>
    <w:tmpl w:val="F6E663EC"/>
    <w:lvl w:ilvl="0" w:tplc="6A34BA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337D45"/>
    <w:multiLevelType w:val="hybridMultilevel"/>
    <w:tmpl w:val="AE104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587FC5"/>
    <w:multiLevelType w:val="hybridMultilevel"/>
    <w:tmpl w:val="75524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310221"/>
    <w:multiLevelType w:val="hybridMultilevel"/>
    <w:tmpl w:val="0C907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8A0089"/>
    <w:multiLevelType w:val="hybridMultilevel"/>
    <w:tmpl w:val="D4CC4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6795"/>
    <w:rsid w:val="00026017"/>
    <w:rsid w:val="00027F8A"/>
    <w:rsid w:val="00034969"/>
    <w:rsid w:val="00044655"/>
    <w:rsid w:val="000603F8"/>
    <w:rsid w:val="00060C16"/>
    <w:rsid w:val="00067441"/>
    <w:rsid w:val="0008098F"/>
    <w:rsid w:val="00084B11"/>
    <w:rsid w:val="00087F48"/>
    <w:rsid w:val="000A0ACB"/>
    <w:rsid w:val="000C2C53"/>
    <w:rsid w:val="000F1788"/>
    <w:rsid w:val="000F533F"/>
    <w:rsid w:val="00136513"/>
    <w:rsid w:val="0015467E"/>
    <w:rsid w:val="00177AC1"/>
    <w:rsid w:val="00182A47"/>
    <w:rsid w:val="00186F76"/>
    <w:rsid w:val="001A139E"/>
    <w:rsid w:val="001A710F"/>
    <w:rsid w:val="001A7188"/>
    <w:rsid w:val="001D1AD3"/>
    <w:rsid w:val="001D7804"/>
    <w:rsid w:val="001E74F8"/>
    <w:rsid w:val="001F5F2C"/>
    <w:rsid w:val="00207457"/>
    <w:rsid w:val="0021520B"/>
    <w:rsid w:val="00215973"/>
    <w:rsid w:val="0022555C"/>
    <w:rsid w:val="0023722E"/>
    <w:rsid w:val="002420C3"/>
    <w:rsid w:val="00244A2A"/>
    <w:rsid w:val="002A009D"/>
    <w:rsid w:val="002D551D"/>
    <w:rsid w:val="002E78BF"/>
    <w:rsid w:val="002F4CC3"/>
    <w:rsid w:val="00325B44"/>
    <w:rsid w:val="00337A8C"/>
    <w:rsid w:val="00341CAB"/>
    <w:rsid w:val="003431F1"/>
    <w:rsid w:val="00376961"/>
    <w:rsid w:val="003A4235"/>
    <w:rsid w:val="003A6FFA"/>
    <w:rsid w:val="00435AC9"/>
    <w:rsid w:val="004D2529"/>
    <w:rsid w:val="004D39D5"/>
    <w:rsid w:val="004E2351"/>
    <w:rsid w:val="004E3E49"/>
    <w:rsid w:val="004E6C6D"/>
    <w:rsid w:val="004F52E7"/>
    <w:rsid w:val="0058244A"/>
    <w:rsid w:val="0058399A"/>
    <w:rsid w:val="00594219"/>
    <w:rsid w:val="005979A1"/>
    <w:rsid w:val="005D15FF"/>
    <w:rsid w:val="005E0B87"/>
    <w:rsid w:val="005E3234"/>
    <w:rsid w:val="005E4A9B"/>
    <w:rsid w:val="005E6BAD"/>
    <w:rsid w:val="0062351F"/>
    <w:rsid w:val="00656503"/>
    <w:rsid w:val="00682CC6"/>
    <w:rsid w:val="00690783"/>
    <w:rsid w:val="006A080C"/>
    <w:rsid w:val="006A43D2"/>
    <w:rsid w:val="007606C0"/>
    <w:rsid w:val="007A27E4"/>
    <w:rsid w:val="007C065E"/>
    <w:rsid w:val="007C27D9"/>
    <w:rsid w:val="007C42FA"/>
    <w:rsid w:val="007D4D46"/>
    <w:rsid w:val="007E4C8D"/>
    <w:rsid w:val="007E6795"/>
    <w:rsid w:val="007E7A65"/>
    <w:rsid w:val="007F3C31"/>
    <w:rsid w:val="007F4C3D"/>
    <w:rsid w:val="008170BB"/>
    <w:rsid w:val="00847725"/>
    <w:rsid w:val="00851803"/>
    <w:rsid w:val="00857062"/>
    <w:rsid w:val="00863727"/>
    <w:rsid w:val="008A5C19"/>
    <w:rsid w:val="008C4EEC"/>
    <w:rsid w:val="008D03E2"/>
    <w:rsid w:val="008D4D1C"/>
    <w:rsid w:val="008D7B91"/>
    <w:rsid w:val="008F6E93"/>
    <w:rsid w:val="00901E5E"/>
    <w:rsid w:val="009103AD"/>
    <w:rsid w:val="00910C4C"/>
    <w:rsid w:val="009231D0"/>
    <w:rsid w:val="00933F38"/>
    <w:rsid w:val="00943AA2"/>
    <w:rsid w:val="00945E8A"/>
    <w:rsid w:val="00961B6E"/>
    <w:rsid w:val="0096231B"/>
    <w:rsid w:val="00981F53"/>
    <w:rsid w:val="009926DD"/>
    <w:rsid w:val="009A41EB"/>
    <w:rsid w:val="009A52C9"/>
    <w:rsid w:val="009A6656"/>
    <w:rsid w:val="009F2BD8"/>
    <w:rsid w:val="00A00E80"/>
    <w:rsid w:val="00A32D99"/>
    <w:rsid w:val="00A3436B"/>
    <w:rsid w:val="00A36C50"/>
    <w:rsid w:val="00A85DDC"/>
    <w:rsid w:val="00AF6C4F"/>
    <w:rsid w:val="00B25EDD"/>
    <w:rsid w:val="00B33F97"/>
    <w:rsid w:val="00B533A1"/>
    <w:rsid w:val="00B735BD"/>
    <w:rsid w:val="00BA72A9"/>
    <w:rsid w:val="00BA7420"/>
    <w:rsid w:val="00BB7E3A"/>
    <w:rsid w:val="00BC464E"/>
    <w:rsid w:val="00C05D98"/>
    <w:rsid w:val="00C43544"/>
    <w:rsid w:val="00C53460"/>
    <w:rsid w:val="00C56E91"/>
    <w:rsid w:val="00C95156"/>
    <w:rsid w:val="00CB221F"/>
    <w:rsid w:val="00CC3237"/>
    <w:rsid w:val="00CC4929"/>
    <w:rsid w:val="00CC495E"/>
    <w:rsid w:val="00CE0488"/>
    <w:rsid w:val="00D1132C"/>
    <w:rsid w:val="00D36088"/>
    <w:rsid w:val="00D62EAF"/>
    <w:rsid w:val="00D647F7"/>
    <w:rsid w:val="00D6553B"/>
    <w:rsid w:val="00D71BA8"/>
    <w:rsid w:val="00D90AE0"/>
    <w:rsid w:val="00D933A4"/>
    <w:rsid w:val="00DD01E5"/>
    <w:rsid w:val="00DF264D"/>
    <w:rsid w:val="00E05E88"/>
    <w:rsid w:val="00E260EF"/>
    <w:rsid w:val="00E410E9"/>
    <w:rsid w:val="00E65E1B"/>
    <w:rsid w:val="00E81725"/>
    <w:rsid w:val="00E90738"/>
    <w:rsid w:val="00E95B34"/>
    <w:rsid w:val="00E960CC"/>
    <w:rsid w:val="00EA0049"/>
    <w:rsid w:val="00EA0C8C"/>
    <w:rsid w:val="00EA2936"/>
    <w:rsid w:val="00EA57A2"/>
    <w:rsid w:val="00EB13F4"/>
    <w:rsid w:val="00EB7B7E"/>
    <w:rsid w:val="00EE4612"/>
    <w:rsid w:val="00EE46ED"/>
    <w:rsid w:val="00EE64C2"/>
    <w:rsid w:val="00F10166"/>
    <w:rsid w:val="00F175CC"/>
    <w:rsid w:val="00F32CD1"/>
    <w:rsid w:val="00F52583"/>
    <w:rsid w:val="00F52A3B"/>
    <w:rsid w:val="00F856B9"/>
    <w:rsid w:val="00FB5FF2"/>
    <w:rsid w:val="00FF3B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746C1"/>
  <w15:docId w15:val="{2DD1F96A-A297-405B-A8CB-237C74EB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3F4"/>
    <w:pPr>
      <w:spacing w:after="200" w:line="276" w:lineRule="auto"/>
    </w:pPr>
    <w:rPr>
      <w:rFonts w:ascii="Calibri" w:eastAsia="SimSun" w:hAnsi="Calibri" w:cs="Times New Roman"/>
      <w:lang w:val="e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795"/>
    <w:pPr>
      <w:ind w:left="720"/>
      <w:contextualSpacing/>
    </w:pPr>
  </w:style>
  <w:style w:type="table" w:styleId="TableGrid">
    <w:name w:val="Table Grid"/>
    <w:basedOn w:val="TableNormal"/>
    <w:uiPriority w:val="39"/>
    <w:rsid w:val="00EB13F4"/>
    <w:pPr>
      <w:spacing w:after="0" w:line="240" w:lineRule="auto"/>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B1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3F4"/>
    <w:rPr>
      <w:rFonts w:ascii="Calibri" w:eastAsia="SimSun" w:hAnsi="Calibri" w:cs="Times New Roman"/>
      <w:lang w:val="en" w:eastAsia="zh-CN"/>
    </w:rPr>
  </w:style>
  <w:style w:type="paragraph" w:customStyle="1" w:styleId="ParaAttribute4">
    <w:name w:val="ParaAttribute4"/>
    <w:rsid w:val="00A85DDC"/>
    <w:pPr>
      <w:widowControl w:val="0"/>
      <w:wordWrap w:val="0"/>
      <w:spacing w:after="0" w:line="240" w:lineRule="auto"/>
      <w:jc w:val="both"/>
    </w:pPr>
    <w:rPr>
      <w:rFonts w:ascii="Times New Roman" w:eastAsia="Batang" w:hAnsi="Times New Roman" w:cs="Times New Roman"/>
      <w:sz w:val="20"/>
      <w:szCs w:val="20"/>
      <w:lang w:val="en-GB" w:eastAsia="en-GB"/>
    </w:rPr>
  </w:style>
  <w:style w:type="paragraph" w:customStyle="1" w:styleId="ParaAttribute11">
    <w:name w:val="ParaAttribute11"/>
    <w:rsid w:val="00A85DDC"/>
    <w:pPr>
      <w:widowControl w:val="0"/>
      <w:wordWrap w:val="0"/>
      <w:spacing w:after="0" w:line="240" w:lineRule="auto"/>
      <w:jc w:val="both"/>
    </w:pPr>
    <w:rPr>
      <w:rFonts w:ascii="Times New Roman" w:eastAsia="Batang" w:hAnsi="Times New Roman" w:cs="Times New Roman"/>
      <w:sz w:val="20"/>
      <w:szCs w:val="20"/>
      <w:lang w:val="en-GB" w:eastAsia="en-GB"/>
    </w:rPr>
  </w:style>
  <w:style w:type="character" w:customStyle="1" w:styleId="CharAttribute17">
    <w:name w:val="CharAttribute17"/>
    <w:rsid w:val="00A85DDC"/>
    <w:rPr>
      <w:rFonts w:ascii="Times New Roman" w:eastAsia="Batang" w:hAnsi="Times New Roman" w:hint="default"/>
      <w:sz w:val="24"/>
    </w:rPr>
  </w:style>
  <w:style w:type="character" w:customStyle="1" w:styleId="CharAttribute26">
    <w:name w:val="CharAttribute26"/>
    <w:rsid w:val="00A85DDC"/>
    <w:rPr>
      <w:rFonts w:ascii="Times New Roman" w:eastAsia="Gulim" w:hAnsi="Times New Roman" w:hint="default"/>
      <w:sz w:val="24"/>
    </w:rPr>
  </w:style>
  <w:style w:type="character" w:customStyle="1" w:styleId="CharAttribute34">
    <w:name w:val="CharAttribute34"/>
    <w:rsid w:val="00A85DDC"/>
    <w:rPr>
      <w:rFonts w:ascii="Times New Roman" w:eastAsia="Batang" w:hAnsi="Times New Roman" w:hint="default"/>
      <w:b/>
      <w:sz w:val="32"/>
    </w:rPr>
  </w:style>
  <w:style w:type="character" w:customStyle="1" w:styleId="CharAttribute35">
    <w:name w:val="CharAttribute35"/>
    <w:rsid w:val="00A85DDC"/>
    <w:rPr>
      <w:rFonts w:ascii="Gulim" w:eastAsia="Gulim" w:hAnsi="Gulim" w:hint="default"/>
      <w:sz w:val="24"/>
      <w:vertAlign w:val="subscript"/>
    </w:rPr>
  </w:style>
  <w:style w:type="paragraph" w:styleId="NormalWeb">
    <w:name w:val="Normal (Web)"/>
    <w:basedOn w:val="Normal"/>
    <w:uiPriority w:val="99"/>
    <w:semiHidden/>
    <w:unhideWhenUsed/>
    <w:rsid w:val="00EE4612"/>
    <w:pPr>
      <w:spacing w:before="100" w:beforeAutospacing="1" w:after="100" w:afterAutospacing="1" w:line="240" w:lineRule="auto"/>
    </w:pPr>
    <w:rPr>
      <w:rFonts w:ascii="Times New Roman" w:eastAsia="Times New Roman" w:hAnsi="Times New Roman"/>
      <w:sz w:val="24"/>
      <w:szCs w:val="24"/>
      <w:lang w:val="en-US" w:eastAsia="en-US"/>
    </w:rPr>
  </w:style>
  <w:style w:type="paragraph" w:customStyle="1" w:styleId="TableContents">
    <w:name w:val="Table Contents"/>
    <w:basedOn w:val="Normal"/>
    <w:rsid w:val="000A0ACB"/>
    <w:pPr>
      <w:widowControl w:val="0"/>
      <w:suppressAutoHyphens/>
      <w:spacing w:after="0" w:line="240" w:lineRule="auto"/>
    </w:pPr>
    <w:rPr>
      <w:rFonts w:ascii="Liberation Serif" w:eastAsia="Droid Sans Fallback" w:hAnsi="Liberation Serif" w:cs="FreeSans"/>
      <w:kern w:val="2"/>
      <w:sz w:val="24"/>
      <w:szCs w:val="24"/>
      <w:lang w:val="en-GB" w:bidi="hi-IN"/>
    </w:rPr>
  </w:style>
  <w:style w:type="character" w:styleId="PlaceholderText">
    <w:name w:val="Placeholder Text"/>
    <w:basedOn w:val="DefaultParagraphFont"/>
    <w:uiPriority w:val="99"/>
    <w:semiHidden/>
    <w:rsid w:val="009F2B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8370">
      <w:bodyDiv w:val="1"/>
      <w:marLeft w:val="0"/>
      <w:marRight w:val="0"/>
      <w:marTop w:val="0"/>
      <w:marBottom w:val="0"/>
      <w:divBdr>
        <w:top w:val="none" w:sz="0" w:space="0" w:color="auto"/>
        <w:left w:val="none" w:sz="0" w:space="0" w:color="auto"/>
        <w:bottom w:val="none" w:sz="0" w:space="0" w:color="auto"/>
        <w:right w:val="none" w:sz="0" w:space="0" w:color="auto"/>
      </w:divBdr>
    </w:div>
    <w:div w:id="112557207">
      <w:bodyDiv w:val="1"/>
      <w:marLeft w:val="0"/>
      <w:marRight w:val="0"/>
      <w:marTop w:val="0"/>
      <w:marBottom w:val="0"/>
      <w:divBdr>
        <w:top w:val="none" w:sz="0" w:space="0" w:color="auto"/>
        <w:left w:val="none" w:sz="0" w:space="0" w:color="auto"/>
        <w:bottom w:val="none" w:sz="0" w:space="0" w:color="auto"/>
        <w:right w:val="none" w:sz="0" w:space="0" w:color="auto"/>
      </w:divBdr>
    </w:div>
    <w:div w:id="133301306">
      <w:bodyDiv w:val="1"/>
      <w:marLeft w:val="0"/>
      <w:marRight w:val="0"/>
      <w:marTop w:val="0"/>
      <w:marBottom w:val="0"/>
      <w:divBdr>
        <w:top w:val="none" w:sz="0" w:space="0" w:color="auto"/>
        <w:left w:val="none" w:sz="0" w:space="0" w:color="auto"/>
        <w:bottom w:val="none" w:sz="0" w:space="0" w:color="auto"/>
        <w:right w:val="none" w:sz="0" w:space="0" w:color="auto"/>
      </w:divBdr>
    </w:div>
    <w:div w:id="246230142">
      <w:bodyDiv w:val="1"/>
      <w:marLeft w:val="0"/>
      <w:marRight w:val="0"/>
      <w:marTop w:val="0"/>
      <w:marBottom w:val="0"/>
      <w:divBdr>
        <w:top w:val="none" w:sz="0" w:space="0" w:color="auto"/>
        <w:left w:val="none" w:sz="0" w:space="0" w:color="auto"/>
        <w:bottom w:val="none" w:sz="0" w:space="0" w:color="auto"/>
        <w:right w:val="none" w:sz="0" w:space="0" w:color="auto"/>
      </w:divBdr>
    </w:div>
    <w:div w:id="545993073">
      <w:bodyDiv w:val="1"/>
      <w:marLeft w:val="0"/>
      <w:marRight w:val="0"/>
      <w:marTop w:val="0"/>
      <w:marBottom w:val="0"/>
      <w:divBdr>
        <w:top w:val="none" w:sz="0" w:space="0" w:color="auto"/>
        <w:left w:val="none" w:sz="0" w:space="0" w:color="auto"/>
        <w:bottom w:val="none" w:sz="0" w:space="0" w:color="auto"/>
        <w:right w:val="none" w:sz="0" w:space="0" w:color="auto"/>
      </w:divBdr>
    </w:div>
    <w:div w:id="1052384043">
      <w:bodyDiv w:val="1"/>
      <w:marLeft w:val="0"/>
      <w:marRight w:val="0"/>
      <w:marTop w:val="0"/>
      <w:marBottom w:val="0"/>
      <w:divBdr>
        <w:top w:val="none" w:sz="0" w:space="0" w:color="auto"/>
        <w:left w:val="none" w:sz="0" w:space="0" w:color="auto"/>
        <w:bottom w:val="none" w:sz="0" w:space="0" w:color="auto"/>
        <w:right w:val="none" w:sz="0" w:space="0" w:color="auto"/>
      </w:divBdr>
    </w:div>
    <w:div w:id="1066338933">
      <w:bodyDiv w:val="1"/>
      <w:marLeft w:val="0"/>
      <w:marRight w:val="0"/>
      <w:marTop w:val="0"/>
      <w:marBottom w:val="0"/>
      <w:divBdr>
        <w:top w:val="none" w:sz="0" w:space="0" w:color="auto"/>
        <w:left w:val="none" w:sz="0" w:space="0" w:color="auto"/>
        <w:bottom w:val="none" w:sz="0" w:space="0" w:color="auto"/>
        <w:right w:val="none" w:sz="0" w:space="0" w:color="auto"/>
      </w:divBdr>
    </w:div>
    <w:div w:id="1437483667">
      <w:bodyDiv w:val="1"/>
      <w:marLeft w:val="0"/>
      <w:marRight w:val="0"/>
      <w:marTop w:val="0"/>
      <w:marBottom w:val="0"/>
      <w:divBdr>
        <w:top w:val="none" w:sz="0" w:space="0" w:color="auto"/>
        <w:left w:val="none" w:sz="0" w:space="0" w:color="auto"/>
        <w:bottom w:val="none" w:sz="0" w:space="0" w:color="auto"/>
        <w:right w:val="none" w:sz="0" w:space="0" w:color="auto"/>
      </w:divBdr>
    </w:div>
    <w:div w:id="1538659736">
      <w:bodyDiv w:val="1"/>
      <w:marLeft w:val="0"/>
      <w:marRight w:val="0"/>
      <w:marTop w:val="0"/>
      <w:marBottom w:val="0"/>
      <w:divBdr>
        <w:top w:val="none" w:sz="0" w:space="0" w:color="auto"/>
        <w:left w:val="none" w:sz="0" w:space="0" w:color="auto"/>
        <w:bottom w:val="none" w:sz="0" w:space="0" w:color="auto"/>
        <w:right w:val="none" w:sz="0" w:space="0" w:color="auto"/>
      </w:divBdr>
    </w:div>
    <w:div w:id="1992707042">
      <w:bodyDiv w:val="1"/>
      <w:marLeft w:val="0"/>
      <w:marRight w:val="0"/>
      <w:marTop w:val="0"/>
      <w:marBottom w:val="0"/>
      <w:divBdr>
        <w:top w:val="none" w:sz="0" w:space="0" w:color="auto"/>
        <w:left w:val="none" w:sz="0" w:space="0" w:color="auto"/>
        <w:bottom w:val="none" w:sz="0" w:space="0" w:color="auto"/>
        <w:right w:val="none" w:sz="0" w:space="0" w:color="auto"/>
      </w:divBdr>
    </w:div>
    <w:div w:id="2037805797">
      <w:bodyDiv w:val="1"/>
      <w:marLeft w:val="0"/>
      <w:marRight w:val="0"/>
      <w:marTop w:val="0"/>
      <w:marBottom w:val="0"/>
      <w:divBdr>
        <w:top w:val="none" w:sz="0" w:space="0" w:color="auto"/>
        <w:left w:val="none" w:sz="0" w:space="0" w:color="auto"/>
        <w:bottom w:val="none" w:sz="0" w:space="0" w:color="auto"/>
        <w:right w:val="none" w:sz="0" w:space="0" w:color="auto"/>
      </w:divBdr>
    </w:div>
    <w:div w:id="2048337631">
      <w:bodyDiv w:val="1"/>
      <w:marLeft w:val="0"/>
      <w:marRight w:val="0"/>
      <w:marTop w:val="0"/>
      <w:marBottom w:val="0"/>
      <w:divBdr>
        <w:top w:val="none" w:sz="0" w:space="0" w:color="auto"/>
        <w:left w:val="none" w:sz="0" w:space="0" w:color="auto"/>
        <w:bottom w:val="none" w:sz="0" w:space="0" w:color="auto"/>
        <w:right w:val="none" w:sz="0" w:space="0" w:color="auto"/>
      </w:divBdr>
    </w:div>
    <w:div w:id="206066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0"/>
          <c:tx>
            <c:strRef>
              <c:f>Sheet1!$D$5</c:f>
              <c:strCache>
                <c:ptCount val="1"/>
                <c:pt idx="0">
                  <c:v>I (%)</c:v>
                </c:pt>
              </c:strCache>
            </c:strRef>
          </c:tx>
          <c:spPr>
            <a:solidFill>
              <a:schemeClr val="accent3"/>
            </a:solidFill>
            <a:ln>
              <a:noFill/>
            </a:ln>
            <a:effectLst/>
          </c:spPr>
          <c:invertIfNegative val="0"/>
          <c:cat>
            <c:strRef>
              <c:f>Sheet1!$E$2:$L$2</c:f>
              <c:strCache>
                <c:ptCount val="8"/>
                <c:pt idx="0">
                  <c:v>CAZ</c:v>
                </c:pt>
                <c:pt idx="1">
                  <c:v>CRX</c:v>
                </c:pt>
                <c:pt idx="2">
                  <c:v>GEN</c:v>
                </c:pt>
                <c:pt idx="3">
                  <c:v>CTR</c:v>
                </c:pt>
                <c:pt idx="4">
                  <c:v>ERY</c:v>
                </c:pt>
                <c:pt idx="5">
                  <c:v>CXC</c:v>
                </c:pt>
                <c:pt idx="6">
                  <c:v>OFL</c:v>
                </c:pt>
                <c:pt idx="7">
                  <c:v>AUG</c:v>
                </c:pt>
              </c:strCache>
            </c:strRef>
          </c:cat>
          <c:val>
            <c:numRef>
              <c:f>Sheet1!$E$5:$L$5</c:f>
              <c:numCache>
                <c:formatCode>General</c:formatCode>
                <c:ptCount val="8"/>
                <c:pt idx="0">
                  <c:v>0</c:v>
                </c:pt>
                <c:pt idx="1">
                  <c:v>6.8</c:v>
                </c:pt>
                <c:pt idx="2">
                  <c:v>0</c:v>
                </c:pt>
                <c:pt idx="3">
                  <c:v>0</c:v>
                </c:pt>
                <c:pt idx="4">
                  <c:v>3.4</c:v>
                </c:pt>
                <c:pt idx="5">
                  <c:v>0</c:v>
                </c:pt>
                <c:pt idx="6">
                  <c:v>17.2</c:v>
                </c:pt>
                <c:pt idx="7">
                  <c:v>20.6</c:v>
                </c:pt>
              </c:numCache>
            </c:numRef>
          </c:val>
          <c:extLst>
            <c:ext xmlns:c16="http://schemas.microsoft.com/office/drawing/2014/chart" uri="{C3380CC4-5D6E-409C-BE32-E72D297353CC}">
              <c16:uniqueId val="{00000000-B320-4C5D-ADFC-0F8AE549BD64}"/>
            </c:ext>
          </c:extLst>
        </c:ser>
        <c:dLbls>
          <c:showLegendKey val="0"/>
          <c:showVal val="0"/>
          <c:showCatName val="0"/>
          <c:showSerName val="0"/>
          <c:showPercent val="0"/>
          <c:showBubbleSize val="0"/>
        </c:dLbls>
        <c:gapWidth val="219"/>
        <c:overlap val="-27"/>
        <c:axId val="324002112"/>
        <c:axId val="324001720"/>
      </c:barChart>
      <c:catAx>
        <c:axId val="324002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Antibiotics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001720"/>
        <c:crosses val="autoZero"/>
        <c:auto val="1"/>
        <c:lblAlgn val="ctr"/>
        <c:lblOffset val="100"/>
        <c:noMultiLvlLbl val="0"/>
      </c:catAx>
      <c:valAx>
        <c:axId val="324001720"/>
        <c:scaling>
          <c:orientation val="minMax"/>
        </c:scaling>
        <c:delete val="1"/>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r>
                  <a:rPr lang="en-US" baseline="0"/>
                  <a:t> of isolates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3240021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pic>
      <cdr:nvPicPr>
        <cdr:cNvPr id="2" name="Picture 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0800" y="50800"/>
          <a:ext cx="5782945" cy="4618990"/>
        </a:xfrm>
        <a:prstGeom xmlns:a="http://schemas.openxmlformats.org/drawingml/2006/main" prst="rect">
          <a:avLst/>
        </a:prstGeom>
        <a:ln xmlns:a="http://schemas.openxmlformats.org/drawingml/2006/main">
          <a:noFill/>
        </a:ln>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FEF32-2743-4E0E-85F2-015E1B64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17</Pages>
  <Words>3887</Words>
  <Characters>22156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ALEX</dc:creator>
  <cp:lastModifiedBy>Editor-1183</cp:lastModifiedBy>
  <cp:revision>80</cp:revision>
  <dcterms:created xsi:type="dcterms:W3CDTF">2020-05-26T12:22:00Z</dcterms:created>
  <dcterms:modified xsi:type="dcterms:W3CDTF">2026-02-20T12:23:00Z</dcterms:modified>
</cp:coreProperties>
</file>