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6C0E2" w14:textId="65DBC794" w:rsidR="004361C8" w:rsidRDefault="00A5626D" w:rsidP="00A5626D">
      <w:pPr>
        <w:spacing w:after="0"/>
        <w:jc w:val="center"/>
        <w:rPr>
          <w:rFonts w:ascii="Arial" w:hAnsi="Arial" w:cs="Arial"/>
          <w:b/>
          <w:bCs/>
          <w:sz w:val="18"/>
          <w:szCs w:val="18"/>
        </w:rPr>
      </w:pPr>
      <w:r w:rsidRPr="00A5626D">
        <w:rPr>
          <w:rFonts w:ascii="Arial" w:hAnsi="Arial" w:cs="Arial"/>
          <w:b/>
          <w:bCs/>
          <w:sz w:val="24"/>
          <w:szCs w:val="24"/>
          <w:lang w:val="en-GB"/>
        </w:rPr>
        <w:t xml:space="preserve">Spatial </w:t>
      </w:r>
      <w:r w:rsidRPr="00A5626D">
        <w:rPr>
          <w:rFonts w:ascii="Arial" w:hAnsi="Arial" w:cs="Arial"/>
          <w:b/>
          <w:bCs/>
          <w:sz w:val="24"/>
          <w:szCs w:val="24"/>
        </w:rPr>
        <w:t>variations</w:t>
      </w:r>
      <w:r w:rsidRPr="00A5626D">
        <w:rPr>
          <w:rFonts w:ascii="Arial" w:hAnsi="Arial" w:cs="Arial"/>
          <w:b/>
          <w:bCs/>
          <w:sz w:val="24"/>
          <w:szCs w:val="24"/>
          <w:lang w:val="en-GB"/>
        </w:rPr>
        <w:t xml:space="preserve"> of Groundwater Total Dissolved Solids (TDS) in the</w:t>
      </w:r>
      <w:r>
        <w:rPr>
          <w:rFonts w:ascii="Arial" w:hAnsi="Arial" w:cs="Arial"/>
          <w:b/>
          <w:bCs/>
          <w:sz w:val="24"/>
          <w:szCs w:val="24"/>
          <w:lang w:val="en-GB"/>
        </w:rPr>
        <w:t xml:space="preserve"> </w:t>
      </w:r>
      <w:r w:rsidRPr="00A5626D">
        <w:rPr>
          <w:rFonts w:ascii="Arial" w:hAnsi="Arial" w:cs="Arial"/>
          <w:b/>
          <w:bCs/>
          <w:sz w:val="24"/>
          <w:szCs w:val="24"/>
          <w:lang w:val="en-GB"/>
        </w:rPr>
        <w:t>Dungarpur District. Rajasthan, India</w:t>
      </w:r>
    </w:p>
    <w:p w14:paraId="5CB59029" w14:textId="77777777" w:rsidR="00D62659" w:rsidRDefault="00D62659" w:rsidP="00B90BE6">
      <w:pPr>
        <w:spacing w:after="0"/>
        <w:rPr>
          <w:rFonts w:ascii="Arial" w:hAnsi="Arial" w:cs="Arial"/>
          <w:b/>
          <w:bCs/>
          <w:sz w:val="18"/>
          <w:szCs w:val="18"/>
        </w:rPr>
      </w:pPr>
    </w:p>
    <w:p w14:paraId="5A694C5D" w14:textId="77777777" w:rsidR="004361C8" w:rsidRDefault="004361C8" w:rsidP="00B90BE6">
      <w:pPr>
        <w:spacing w:after="0"/>
        <w:rPr>
          <w:rFonts w:ascii="Arial" w:hAnsi="Arial" w:cs="Arial"/>
          <w:b/>
          <w:bCs/>
          <w:sz w:val="18"/>
          <w:szCs w:val="18"/>
        </w:rPr>
      </w:pPr>
    </w:p>
    <w:p w14:paraId="71274E8F" w14:textId="1F350202" w:rsidR="004361C8" w:rsidRDefault="004361C8" w:rsidP="006F45C1">
      <w:pPr>
        <w:spacing w:after="0" w:line="360" w:lineRule="auto"/>
        <w:jc w:val="both"/>
        <w:rPr>
          <w:rFonts w:ascii="Arial" w:hAnsi="Arial" w:cs="Arial"/>
          <w:sz w:val="20"/>
          <w:szCs w:val="20"/>
        </w:rPr>
      </w:pPr>
      <w:r w:rsidRPr="00047B98">
        <w:rPr>
          <w:rFonts w:ascii="Arial" w:hAnsi="Arial" w:cs="Arial"/>
          <w:b/>
          <w:bCs/>
          <w:sz w:val="20"/>
          <w:szCs w:val="20"/>
        </w:rPr>
        <w:t xml:space="preserve">Abstract: </w:t>
      </w:r>
      <w:r w:rsidR="00E6507F" w:rsidRPr="00A31B07">
        <w:rPr>
          <w:rFonts w:ascii="Arial" w:hAnsi="Arial" w:cs="Arial"/>
          <w:sz w:val="20"/>
          <w:szCs w:val="20"/>
        </w:rPr>
        <w:t xml:space="preserve">Total Dissolved Solids (TDS) is a key indicator of groundwater quality, representing dissolved minerals, salts, and organic matter that influence water </w:t>
      </w:r>
      <w:r w:rsidR="00FB08A6">
        <w:rPr>
          <w:rFonts w:ascii="Arial" w:hAnsi="Arial" w:cs="Arial"/>
          <w:sz w:val="20"/>
          <w:szCs w:val="20"/>
        </w:rPr>
        <w:t>suitability</w:t>
      </w:r>
      <w:r w:rsidR="00E6507F" w:rsidRPr="00A31B07">
        <w:rPr>
          <w:rFonts w:ascii="Arial" w:hAnsi="Arial" w:cs="Arial"/>
          <w:sz w:val="20"/>
          <w:szCs w:val="20"/>
        </w:rPr>
        <w:t xml:space="preserve"> for drinking and agriculture. This study assesses </w:t>
      </w:r>
      <w:r w:rsidR="00357364">
        <w:rPr>
          <w:rFonts w:ascii="Arial" w:hAnsi="Arial" w:cs="Arial"/>
          <w:sz w:val="20"/>
          <w:szCs w:val="20"/>
        </w:rPr>
        <w:t>s</w:t>
      </w:r>
      <w:r w:rsidR="00357364" w:rsidRPr="00357364">
        <w:rPr>
          <w:rFonts w:ascii="Arial" w:hAnsi="Arial" w:cs="Arial"/>
          <w:sz w:val="20"/>
          <w:szCs w:val="20"/>
        </w:rPr>
        <w:t xml:space="preserve">patial </w:t>
      </w:r>
      <w:r w:rsidR="00357364">
        <w:rPr>
          <w:rFonts w:ascii="Arial" w:hAnsi="Arial" w:cs="Arial"/>
          <w:sz w:val="20"/>
          <w:szCs w:val="20"/>
        </w:rPr>
        <w:t>v</w:t>
      </w:r>
      <w:r w:rsidR="00357364" w:rsidRPr="00357364">
        <w:rPr>
          <w:rFonts w:ascii="Arial" w:hAnsi="Arial" w:cs="Arial"/>
          <w:sz w:val="20"/>
          <w:szCs w:val="20"/>
        </w:rPr>
        <w:t xml:space="preserve">ariations of </w:t>
      </w:r>
      <w:r w:rsidR="00E6507F" w:rsidRPr="00357364">
        <w:rPr>
          <w:rFonts w:ascii="Arial" w:hAnsi="Arial" w:cs="Arial"/>
          <w:sz w:val="20"/>
          <w:szCs w:val="20"/>
        </w:rPr>
        <w:t>TDS</w:t>
      </w:r>
      <w:r w:rsidR="00E6507F" w:rsidRPr="00A31B07">
        <w:rPr>
          <w:rFonts w:ascii="Arial" w:hAnsi="Arial" w:cs="Arial"/>
          <w:sz w:val="20"/>
          <w:szCs w:val="20"/>
        </w:rPr>
        <w:t xml:space="preserve"> across Dungarpur district, Rajasthan, using water samples collected from 21 locations. The results indicate that 76% of the samples fall within the desirable limit (≤500 mg/L), ensuring good water quality.</w:t>
      </w:r>
      <w:r w:rsidR="00E6507F" w:rsidRPr="00A31B07">
        <w:t xml:space="preserve"> </w:t>
      </w:r>
      <w:r w:rsidR="00E6507F" w:rsidRPr="00A31B07">
        <w:rPr>
          <w:rFonts w:ascii="Arial" w:hAnsi="Arial" w:cs="Arial"/>
          <w:sz w:val="20"/>
          <w:szCs w:val="20"/>
        </w:rPr>
        <w:t xml:space="preserve">However, </w:t>
      </w:r>
      <w:proofErr w:type="spellStart"/>
      <w:r w:rsidR="00E6507F" w:rsidRPr="00A31B07">
        <w:rPr>
          <w:rFonts w:ascii="Arial" w:hAnsi="Arial" w:cs="Arial"/>
          <w:sz w:val="20"/>
          <w:szCs w:val="20"/>
        </w:rPr>
        <w:t>Odabada</w:t>
      </w:r>
      <w:proofErr w:type="spellEnd"/>
      <w:r w:rsidR="00E6507F" w:rsidRPr="00A31B07">
        <w:rPr>
          <w:rFonts w:ascii="Arial" w:hAnsi="Arial" w:cs="Arial"/>
          <w:sz w:val="20"/>
          <w:szCs w:val="20"/>
        </w:rPr>
        <w:t xml:space="preserve"> (1225 mg/L), </w:t>
      </w:r>
      <w:proofErr w:type="spellStart"/>
      <w:r w:rsidR="00E6507F" w:rsidRPr="00A31B07">
        <w:rPr>
          <w:rFonts w:ascii="Arial" w:hAnsi="Arial" w:cs="Arial"/>
          <w:sz w:val="20"/>
          <w:szCs w:val="20"/>
        </w:rPr>
        <w:t>Virwada</w:t>
      </w:r>
      <w:proofErr w:type="spellEnd"/>
      <w:r w:rsidR="00E6507F" w:rsidRPr="00A31B07">
        <w:rPr>
          <w:rFonts w:ascii="Arial" w:hAnsi="Arial" w:cs="Arial"/>
          <w:sz w:val="20"/>
          <w:szCs w:val="20"/>
        </w:rPr>
        <w:t xml:space="preserve"> (778 mg/L), and </w:t>
      </w:r>
      <w:proofErr w:type="spellStart"/>
      <w:r w:rsidR="00E6507F" w:rsidRPr="00A31B07">
        <w:rPr>
          <w:rFonts w:ascii="Arial" w:hAnsi="Arial" w:cs="Arial"/>
          <w:sz w:val="20"/>
          <w:szCs w:val="20"/>
        </w:rPr>
        <w:t>Simalwada</w:t>
      </w:r>
      <w:proofErr w:type="spellEnd"/>
      <w:r w:rsidR="00E6507F" w:rsidRPr="00A31B07">
        <w:rPr>
          <w:rFonts w:ascii="Arial" w:hAnsi="Arial" w:cs="Arial"/>
          <w:sz w:val="20"/>
          <w:szCs w:val="20"/>
        </w:rPr>
        <w:t xml:space="preserve"> (607 mg/L) exhibit elevated TDS levels, likely influenced by mineral dissolution, agricultural runoff, and anthropogenic contamination. Conversely, </w:t>
      </w:r>
      <w:proofErr w:type="spellStart"/>
      <w:r w:rsidR="00E6507F" w:rsidRPr="00A31B07">
        <w:rPr>
          <w:rFonts w:ascii="Arial" w:hAnsi="Arial" w:cs="Arial"/>
          <w:sz w:val="20"/>
          <w:szCs w:val="20"/>
        </w:rPr>
        <w:t>Chandradiya</w:t>
      </w:r>
      <w:proofErr w:type="spellEnd"/>
      <w:r w:rsidR="00E6507F" w:rsidRPr="00A31B07">
        <w:rPr>
          <w:rFonts w:ascii="Arial" w:hAnsi="Arial" w:cs="Arial"/>
          <w:sz w:val="20"/>
          <w:szCs w:val="20"/>
        </w:rPr>
        <w:t xml:space="preserve"> (227 mg/L), </w:t>
      </w:r>
      <w:proofErr w:type="spellStart"/>
      <w:r w:rsidR="00E6507F" w:rsidRPr="00A31B07">
        <w:rPr>
          <w:rFonts w:ascii="Arial" w:hAnsi="Arial" w:cs="Arial"/>
          <w:sz w:val="20"/>
          <w:szCs w:val="20"/>
        </w:rPr>
        <w:t>Kanba</w:t>
      </w:r>
      <w:proofErr w:type="spellEnd"/>
      <w:r w:rsidR="00E6507F" w:rsidRPr="00A31B07">
        <w:rPr>
          <w:rFonts w:ascii="Arial" w:hAnsi="Arial" w:cs="Arial"/>
          <w:sz w:val="20"/>
          <w:szCs w:val="20"/>
        </w:rPr>
        <w:t xml:space="preserve"> (298 mg/L), and Aspur (285 mg/L) show the lowest TDS levels, which may necessitate mineral supplementation for drinking purposes. Spatial analysis using QGIS 3.24 highlights Bichhiwara Tehsil as the most affected region, requiring targeted water treatment interventions. The findings emphasize the need for regular groundwater monitoring, improved filtration techniques, and sustainable water management practices. Rainwater harvesting and public awareness initiatives are recommended to mitigate high TDS effects and ensure safe and sustainable groundwater resources in Dungarpur district.</w:t>
      </w:r>
    </w:p>
    <w:p w14:paraId="4F9AB734" w14:textId="77777777" w:rsidR="007020F2" w:rsidRDefault="007020F2" w:rsidP="006F45C1">
      <w:pPr>
        <w:spacing w:after="0" w:line="360" w:lineRule="auto"/>
        <w:jc w:val="both"/>
        <w:rPr>
          <w:rFonts w:ascii="Arial" w:hAnsi="Arial" w:cs="Arial"/>
          <w:b/>
          <w:bCs/>
          <w:sz w:val="20"/>
          <w:szCs w:val="20"/>
        </w:rPr>
      </w:pPr>
    </w:p>
    <w:p w14:paraId="439BD9B5" w14:textId="5208FDC5" w:rsidR="00E6507F" w:rsidRPr="00047B98" w:rsidRDefault="00E6507F" w:rsidP="006F45C1">
      <w:pPr>
        <w:spacing w:after="0" w:line="360" w:lineRule="auto"/>
        <w:jc w:val="both"/>
        <w:rPr>
          <w:rFonts w:ascii="Arial" w:hAnsi="Arial" w:cs="Arial"/>
          <w:b/>
          <w:bCs/>
          <w:sz w:val="20"/>
          <w:szCs w:val="20"/>
        </w:rPr>
      </w:pPr>
      <w:r w:rsidRPr="00E6507F">
        <w:rPr>
          <w:rFonts w:ascii="Arial" w:hAnsi="Arial" w:cs="Arial"/>
          <w:b/>
          <w:bCs/>
          <w:sz w:val="20"/>
          <w:szCs w:val="20"/>
        </w:rPr>
        <w:t>Keywords: Groundwater quality, Total Dissolved Solids (TDS), Dungarpur district, Spatial analysis, Water management, Contamination sources</w:t>
      </w:r>
    </w:p>
    <w:p w14:paraId="50A5A406" w14:textId="77777777" w:rsidR="00E57FF5" w:rsidRPr="006F45C1" w:rsidRDefault="00E57FF5" w:rsidP="006F45C1">
      <w:pPr>
        <w:spacing w:after="0" w:line="360" w:lineRule="auto"/>
        <w:rPr>
          <w:rFonts w:ascii="Arial" w:hAnsi="Arial" w:cs="Arial"/>
          <w:b/>
          <w:bCs/>
          <w:sz w:val="24"/>
          <w:szCs w:val="24"/>
        </w:rPr>
      </w:pPr>
    </w:p>
    <w:p w14:paraId="456507D9" w14:textId="604CBDF5" w:rsidR="004361C8" w:rsidRPr="006F45C1" w:rsidRDefault="00E57FF5" w:rsidP="006F45C1">
      <w:pPr>
        <w:pStyle w:val="ListParagraph"/>
        <w:numPr>
          <w:ilvl w:val="0"/>
          <w:numId w:val="2"/>
        </w:numPr>
        <w:spacing w:after="0" w:line="360" w:lineRule="auto"/>
        <w:rPr>
          <w:rFonts w:ascii="Arial" w:hAnsi="Arial" w:cs="Arial"/>
          <w:b/>
          <w:bCs/>
          <w:sz w:val="24"/>
          <w:szCs w:val="24"/>
        </w:rPr>
      </w:pPr>
      <w:r w:rsidRPr="006F45C1">
        <w:rPr>
          <w:rFonts w:ascii="Arial" w:hAnsi="Arial" w:cs="Arial"/>
          <w:b/>
          <w:bCs/>
          <w:sz w:val="24"/>
          <w:szCs w:val="24"/>
        </w:rPr>
        <w:t>Introduction:</w:t>
      </w:r>
    </w:p>
    <w:p w14:paraId="0B677FD7" w14:textId="06D8AB5B" w:rsidR="00EB2157" w:rsidRDefault="00563F91" w:rsidP="00F422BF">
      <w:pPr>
        <w:spacing w:after="0" w:line="360" w:lineRule="auto"/>
        <w:ind w:firstLine="360"/>
        <w:jc w:val="both"/>
        <w:rPr>
          <w:rFonts w:ascii="Arial" w:hAnsi="Arial" w:cs="Arial"/>
          <w:sz w:val="24"/>
          <w:szCs w:val="24"/>
        </w:rPr>
      </w:pPr>
      <w:r w:rsidRPr="00563F91">
        <w:rPr>
          <w:rFonts w:ascii="Arial" w:hAnsi="Arial" w:cs="Arial"/>
          <w:sz w:val="24"/>
          <w:szCs w:val="24"/>
        </w:rPr>
        <w:t>“Total Dissolved Solids (TDS) is a critical indicator of water quality that reflects the combined concentration of dissolved minerals, salts, and organic matter”</w:t>
      </w:r>
      <w:r w:rsidR="006B656A">
        <w:rPr>
          <w:rFonts w:ascii="Arial" w:hAnsi="Arial" w:cs="Arial"/>
          <w:sz w:val="24"/>
          <w:szCs w:val="24"/>
        </w:rPr>
        <w:t xml:space="preserve"> (</w:t>
      </w:r>
      <w:proofErr w:type="spellStart"/>
      <w:r w:rsidR="006B656A" w:rsidRPr="006B656A">
        <w:rPr>
          <w:rFonts w:ascii="Arial" w:hAnsi="Arial" w:cs="Arial"/>
          <w:sz w:val="24"/>
          <w:szCs w:val="24"/>
        </w:rPr>
        <w:t>Adjovu</w:t>
      </w:r>
      <w:proofErr w:type="spellEnd"/>
      <w:r w:rsidR="006B656A">
        <w:rPr>
          <w:rFonts w:ascii="Arial" w:hAnsi="Arial" w:cs="Arial"/>
          <w:sz w:val="24"/>
          <w:szCs w:val="24"/>
        </w:rPr>
        <w:t xml:space="preserve"> et al., 2023).</w:t>
      </w:r>
      <w:r>
        <w:rPr>
          <w:rFonts w:ascii="Arial" w:hAnsi="Arial" w:cs="Arial"/>
          <w:sz w:val="24"/>
          <w:szCs w:val="24"/>
        </w:rPr>
        <w:t xml:space="preserve"> </w:t>
      </w:r>
      <w:r w:rsidR="00EB2157" w:rsidRPr="006F45C1">
        <w:rPr>
          <w:rFonts w:ascii="Arial" w:hAnsi="Arial" w:cs="Arial"/>
          <w:sz w:val="24"/>
          <w:szCs w:val="24"/>
        </w:rPr>
        <w:t xml:space="preserve">According to Indian standards (IS 10500: 2012), the desirable limit for TDS in drinking water is 500 mg/L, with a permissible limit of 2,000 mg/L in the absence of alternative sources. TDS levels below 300 mg/L are considered excellent, while values above 1,200 mg/L are deemed unacceptable. High TDS levels can affect water taste, cause scaling in pipelines and appliances, and </w:t>
      </w:r>
      <w:r w:rsidR="00FD407B" w:rsidRPr="00FD407B">
        <w:rPr>
          <w:rFonts w:ascii="Arial" w:hAnsi="Arial" w:cs="Arial"/>
          <w:sz w:val="24"/>
          <w:szCs w:val="24"/>
        </w:rPr>
        <w:t>may indicate the presence of potentially harmful contaminants, including heavy metals.</w:t>
      </w:r>
      <w:r w:rsidR="00FD407B">
        <w:rPr>
          <w:rFonts w:ascii="Arial" w:hAnsi="Arial" w:cs="Arial"/>
          <w:sz w:val="24"/>
          <w:szCs w:val="24"/>
        </w:rPr>
        <w:t xml:space="preserve"> </w:t>
      </w:r>
      <w:r w:rsidR="00EB2157" w:rsidRPr="006F45C1">
        <w:rPr>
          <w:rFonts w:ascii="Arial" w:hAnsi="Arial" w:cs="Arial"/>
          <w:sz w:val="24"/>
          <w:szCs w:val="24"/>
        </w:rPr>
        <w:t>Prolonged consumption of high TDS water can lead to health issues such as kidney stones and hypertension, wh</w:t>
      </w:r>
      <w:r w:rsidR="00800106">
        <w:rPr>
          <w:rFonts w:ascii="Arial" w:hAnsi="Arial" w:cs="Arial"/>
          <w:sz w:val="24"/>
          <w:szCs w:val="24"/>
        </w:rPr>
        <w:t>ereas</w:t>
      </w:r>
      <w:r w:rsidR="00EB2157" w:rsidRPr="006F45C1">
        <w:rPr>
          <w:rFonts w:ascii="Arial" w:hAnsi="Arial" w:cs="Arial"/>
          <w:sz w:val="24"/>
          <w:szCs w:val="24"/>
        </w:rPr>
        <w:t xml:space="preserve"> water with excessively low TDS may lack essential minerals, potentially causing </w:t>
      </w:r>
      <w:r w:rsidR="00FB3CAC" w:rsidRPr="00FB3CAC">
        <w:rPr>
          <w:rFonts w:ascii="Arial" w:hAnsi="Arial" w:cs="Arial"/>
          <w:sz w:val="24"/>
          <w:szCs w:val="24"/>
        </w:rPr>
        <w:t>nutritional deficiencies</w:t>
      </w:r>
      <w:r w:rsidR="006B656A">
        <w:rPr>
          <w:rFonts w:ascii="Arial" w:hAnsi="Arial" w:cs="Arial"/>
          <w:sz w:val="24"/>
          <w:szCs w:val="24"/>
        </w:rPr>
        <w:t xml:space="preserve"> (</w:t>
      </w:r>
      <w:proofErr w:type="spellStart"/>
      <w:r w:rsidR="006B656A" w:rsidRPr="006B656A">
        <w:rPr>
          <w:rFonts w:ascii="Arial" w:hAnsi="Arial" w:cs="Arial"/>
          <w:sz w:val="24"/>
          <w:szCs w:val="24"/>
        </w:rPr>
        <w:t>Sihombing</w:t>
      </w:r>
      <w:proofErr w:type="spellEnd"/>
      <w:r w:rsidR="006B656A">
        <w:rPr>
          <w:rFonts w:ascii="Arial" w:hAnsi="Arial" w:cs="Arial"/>
          <w:sz w:val="24"/>
          <w:szCs w:val="24"/>
        </w:rPr>
        <w:t>, 2025)</w:t>
      </w:r>
      <w:r w:rsidR="00EB2157" w:rsidRPr="006F45C1">
        <w:rPr>
          <w:rFonts w:ascii="Arial" w:hAnsi="Arial" w:cs="Arial"/>
          <w:sz w:val="24"/>
          <w:szCs w:val="24"/>
        </w:rPr>
        <w:t xml:space="preserve">. Dungarpur district, located in southern Rajasthan, faces significant challenges related to groundwater quality, which is a critical resource for drinking, agriculture, and daily use. The district's water quality has been assessed </w:t>
      </w:r>
      <w:r w:rsidR="00ED3BC7">
        <w:rPr>
          <w:rFonts w:ascii="Arial" w:hAnsi="Arial" w:cs="Arial"/>
          <w:sz w:val="24"/>
          <w:szCs w:val="24"/>
        </w:rPr>
        <w:t>using</w:t>
      </w:r>
      <w:r w:rsidR="00EB2157" w:rsidRPr="006F45C1">
        <w:rPr>
          <w:rFonts w:ascii="Arial" w:hAnsi="Arial" w:cs="Arial"/>
          <w:sz w:val="24"/>
          <w:szCs w:val="24"/>
        </w:rPr>
        <w:t xml:space="preserve"> </w:t>
      </w:r>
      <w:r w:rsidR="00EB2157" w:rsidRPr="006F45C1">
        <w:rPr>
          <w:rFonts w:ascii="Arial" w:hAnsi="Arial" w:cs="Arial"/>
          <w:sz w:val="24"/>
          <w:szCs w:val="24"/>
        </w:rPr>
        <w:lastRenderedPageBreak/>
        <w:t>various parameters, including fluoride, nitrate, iron, and Total Dissolved Solids (TDS). Studies reveal that while TDS levels are generally within permissible limits in most areas, localized instances of elevated levels have been recorded, influenced by factors such as mineral dissolution, agricultural runoff, and waste disposal</w:t>
      </w:r>
      <w:r w:rsidR="006B656A">
        <w:rPr>
          <w:rFonts w:ascii="Arial" w:hAnsi="Arial" w:cs="Arial"/>
          <w:sz w:val="24"/>
          <w:szCs w:val="24"/>
        </w:rPr>
        <w:t xml:space="preserve"> (</w:t>
      </w:r>
      <w:r w:rsidR="006B656A" w:rsidRPr="006B656A">
        <w:rPr>
          <w:rFonts w:ascii="Arial" w:hAnsi="Arial" w:cs="Arial"/>
          <w:sz w:val="24"/>
          <w:szCs w:val="24"/>
        </w:rPr>
        <w:t>Preethi</w:t>
      </w:r>
      <w:r w:rsidR="006B656A">
        <w:rPr>
          <w:rFonts w:ascii="Arial" w:hAnsi="Arial" w:cs="Arial"/>
          <w:sz w:val="24"/>
          <w:szCs w:val="24"/>
        </w:rPr>
        <w:t xml:space="preserve"> et al., 2025)</w:t>
      </w:r>
      <w:r w:rsidR="00EB2157" w:rsidRPr="006F45C1">
        <w:rPr>
          <w:rFonts w:ascii="Arial" w:hAnsi="Arial" w:cs="Arial"/>
          <w:sz w:val="24"/>
          <w:szCs w:val="24"/>
        </w:rPr>
        <w:t>. High fluoride concentrations in several blocks, including Aspur, Dungarpur, and Sagwara, exceed permissible limits and pose risks of dental and skeletal fluorosis. Similarly, elevated nitrate levels, particularly in Simalwara and Sagwara tehsils, have raised concerns about methemoglobinemia, especially among infants. Iron concentrations also exceed safe limits in about 19.7% of samples, contributing to water quality concerns. Although parameters like chloride and TDS are typically within safe ranges, occasional spikes highlight the need for continuous monitoring. The district's tribal-dominated population is particularly vulnerable to health risks stemming from poor water quality, emphasizing the importance of interventions such as improved water treatment, source protection, and public awareness campaigns to ensure access to safe and sustainable drinking water.</w:t>
      </w:r>
      <w:r w:rsidR="00DE5152">
        <w:rPr>
          <w:rFonts w:ascii="Arial" w:hAnsi="Arial" w:cs="Arial"/>
          <w:sz w:val="24"/>
          <w:szCs w:val="24"/>
        </w:rPr>
        <w:t xml:space="preserve"> </w:t>
      </w:r>
    </w:p>
    <w:p w14:paraId="5C786A35" w14:textId="21F3107B" w:rsidR="00DE5152" w:rsidRDefault="00DE5152" w:rsidP="00F422BF">
      <w:pPr>
        <w:spacing w:after="0" w:line="360" w:lineRule="auto"/>
        <w:ind w:firstLine="360"/>
        <w:jc w:val="both"/>
        <w:rPr>
          <w:rFonts w:ascii="Arial" w:hAnsi="Arial" w:cs="Arial"/>
          <w:sz w:val="24"/>
          <w:szCs w:val="24"/>
        </w:rPr>
      </w:pPr>
      <w:r>
        <w:rPr>
          <w:rFonts w:ascii="Arial" w:hAnsi="Arial" w:cs="Arial"/>
          <w:sz w:val="24"/>
          <w:szCs w:val="24"/>
        </w:rPr>
        <w:tab/>
      </w:r>
      <w:r w:rsidRPr="00DE5152">
        <w:rPr>
          <w:rFonts w:ascii="Arial" w:hAnsi="Arial" w:cs="Arial"/>
          <w:sz w:val="24"/>
          <w:szCs w:val="24"/>
        </w:rPr>
        <w:t xml:space="preserve">The need to analyze Total Dissolved Solids (TDS) in groundwater research in Dungarpur district is crucial due to its direct impact on water quality, human health, and agricultural sustainability. TDS represents the total concentration of dissolved substances, including minerals, salts, and organic matter, which influence the potability, taste, and usability of groundwater. In Dungarpur, where groundwater is a primary source of drinking water, high TDS levels may indicate contamination from natural sources (rock dissolution) </w:t>
      </w:r>
      <w:r w:rsidR="00066524">
        <w:rPr>
          <w:rFonts w:ascii="Arial" w:hAnsi="Arial" w:cs="Arial"/>
          <w:sz w:val="24"/>
          <w:szCs w:val="24"/>
        </w:rPr>
        <w:t>and</w:t>
      </w:r>
      <w:r w:rsidRPr="00DE5152">
        <w:rPr>
          <w:rFonts w:ascii="Arial" w:hAnsi="Arial" w:cs="Arial"/>
          <w:sz w:val="24"/>
          <w:szCs w:val="24"/>
        </w:rPr>
        <w:t xml:space="preserve"> human activities (agricultural runoff, wastewater disposal). Monitoring TDS helps identify areas with deteriorating water quality and potential health risks, such as kidney problems and gastrointestinal issues linked to excessive dissolved salts. Additionally, high TDS can affect crop yield by increasing soil salinity, making it essential to assess its impact on agricultural sustainability. Given the district’s tribal-dominated population, many of whom rely on untreated groundwater, studying TDS variations can guide policymakers in implementing water treatment solutions, conservation measures, and public awareness programs. Regular TDS monitoring in groundwater research ensures early detection of water quality issues, </w:t>
      </w:r>
      <w:r w:rsidR="00B118B4">
        <w:rPr>
          <w:rFonts w:ascii="Arial" w:hAnsi="Arial" w:cs="Arial"/>
          <w:sz w:val="24"/>
          <w:szCs w:val="24"/>
        </w:rPr>
        <w:t xml:space="preserve">thereby </w:t>
      </w:r>
      <w:r w:rsidRPr="00DE5152">
        <w:rPr>
          <w:rFonts w:ascii="Arial" w:hAnsi="Arial" w:cs="Arial"/>
          <w:sz w:val="24"/>
          <w:szCs w:val="24"/>
        </w:rPr>
        <w:t>helping safeguard both public health and local livelihoods.</w:t>
      </w:r>
    </w:p>
    <w:p w14:paraId="526087C2" w14:textId="77777777" w:rsidR="007653FD" w:rsidRPr="007653FD" w:rsidRDefault="007653FD" w:rsidP="007653FD">
      <w:pPr>
        <w:spacing w:after="0" w:line="360" w:lineRule="auto"/>
        <w:ind w:firstLine="360"/>
        <w:jc w:val="both"/>
        <w:rPr>
          <w:rFonts w:ascii="Arial" w:hAnsi="Arial" w:cs="Arial"/>
          <w:sz w:val="24"/>
          <w:szCs w:val="24"/>
        </w:rPr>
      </w:pPr>
      <w:r w:rsidRPr="007653FD">
        <w:rPr>
          <w:rFonts w:ascii="Arial" w:hAnsi="Arial" w:cs="Arial"/>
          <w:sz w:val="24"/>
          <w:szCs w:val="24"/>
        </w:rPr>
        <w:lastRenderedPageBreak/>
        <w:t>Beyond basic concentration levels, the spatial and temporal variation of Total Dissolved Solids (TDS) in groundwater is strongly governed by hydrogeochemical processes operating within aquifer systems. In Dungarpur district, the interaction between groundwater and host rock material plays a decisive role in determining dissolved solid loads. The region is underlain by complex geological formations, including gneisses, schists, quartzites, and phyllites, which influence groundwater chemistry through prolonged water–rock interaction. As groundwater residence time increases, enhanced dissolution of silicate and carbonate minerals contributes to gradual enrichment of dissolved ions, thereby affecting TDS levels.</w:t>
      </w:r>
    </w:p>
    <w:p w14:paraId="5C450CE5" w14:textId="77777777" w:rsidR="007653FD" w:rsidRPr="007653FD" w:rsidRDefault="007653FD" w:rsidP="007653FD">
      <w:pPr>
        <w:spacing w:after="0" w:line="360" w:lineRule="auto"/>
        <w:ind w:firstLine="360"/>
        <w:jc w:val="both"/>
        <w:rPr>
          <w:rFonts w:ascii="Arial" w:hAnsi="Arial" w:cs="Arial"/>
          <w:sz w:val="24"/>
          <w:szCs w:val="24"/>
        </w:rPr>
      </w:pPr>
      <w:r w:rsidRPr="007653FD">
        <w:rPr>
          <w:rFonts w:ascii="Arial" w:hAnsi="Arial" w:cs="Arial"/>
          <w:sz w:val="24"/>
          <w:szCs w:val="24"/>
        </w:rPr>
        <w:t>Climatic conditions further regulate TDS variability. The semi-arid climate of southern Rajasthan is characterized by high evaporation rates, limited rainfall, and uneven monsoonal distribution. During prolonged dry periods, reduced recharge and increased evaporation lead to concentration of dissolved solids in groundwater. Post-monsoon recharge may temporarily dilute TDS concentrations; however, this dilution effect is often short-lived due to rapid withdrawal for domestic and agricultural purposes. Seasonal fluctuations in groundwater levels thus directly influence the chemical composition and TDS concentration of aquifers.</w:t>
      </w:r>
    </w:p>
    <w:p w14:paraId="56424079" w14:textId="77777777" w:rsidR="007653FD" w:rsidRPr="007653FD" w:rsidRDefault="007653FD" w:rsidP="007653FD">
      <w:pPr>
        <w:spacing w:after="0" w:line="360" w:lineRule="auto"/>
        <w:ind w:firstLine="360"/>
        <w:jc w:val="both"/>
        <w:rPr>
          <w:rFonts w:ascii="Arial" w:hAnsi="Arial" w:cs="Arial"/>
          <w:sz w:val="24"/>
          <w:szCs w:val="24"/>
        </w:rPr>
      </w:pPr>
      <w:r w:rsidRPr="007653FD">
        <w:rPr>
          <w:rFonts w:ascii="Arial" w:hAnsi="Arial" w:cs="Arial"/>
          <w:sz w:val="24"/>
          <w:szCs w:val="24"/>
        </w:rPr>
        <w:t>TDS does not act as an isolated parameter but is closely linked with the overall ionic composition of groundwater. Elevated concentrations of calcium, magnesium, sodium, bicarbonate, sulfate, and chloride collectively influence TDS values. Changes in any of these constituents can alter the overall dissolved solid load. Therefore, TDS serves as an integrative indicator reflecting the combined effect of multiple chemical processes rather than a single contaminant source.</w:t>
      </w:r>
    </w:p>
    <w:p w14:paraId="46B04EFA" w14:textId="77777777" w:rsidR="007653FD" w:rsidRPr="007653FD" w:rsidRDefault="007653FD" w:rsidP="007653FD">
      <w:pPr>
        <w:spacing w:after="0" w:line="360" w:lineRule="auto"/>
        <w:ind w:firstLine="360"/>
        <w:jc w:val="both"/>
        <w:rPr>
          <w:rFonts w:ascii="Arial" w:hAnsi="Arial" w:cs="Arial"/>
          <w:sz w:val="24"/>
          <w:szCs w:val="24"/>
        </w:rPr>
      </w:pPr>
      <w:r w:rsidRPr="007653FD">
        <w:rPr>
          <w:rFonts w:ascii="Arial" w:hAnsi="Arial" w:cs="Arial"/>
          <w:sz w:val="24"/>
          <w:szCs w:val="24"/>
        </w:rPr>
        <w:t>The correlation between TDS and electrical conductivity (EC) is particularly useful in groundwater studies. EC measurements offer a rapid, cost-effective proxy for estimating TDS variations across large spatial scales. In regions like Dungarpur, where extensive laboratory testing may not always be feasible, EC-based monitoring can support preliminary groundwater quality assessments and help identify zones requiring detailed chemical analysis.</w:t>
      </w:r>
    </w:p>
    <w:p w14:paraId="3B98C58E" w14:textId="77777777" w:rsidR="007653FD" w:rsidRDefault="007653FD" w:rsidP="00F422BF">
      <w:pPr>
        <w:spacing w:after="0" w:line="360" w:lineRule="auto"/>
        <w:ind w:firstLine="360"/>
        <w:jc w:val="both"/>
        <w:rPr>
          <w:rFonts w:ascii="Arial" w:hAnsi="Arial" w:cs="Arial"/>
          <w:sz w:val="24"/>
          <w:szCs w:val="24"/>
        </w:rPr>
      </w:pPr>
    </w:p>
    <w:p w14:paraId="0776D38C" w14:textId="6427CCEE" w:rsidR="0011139C" w:rsidRPr="0011139C" w:rsidRDefault="004C4EB3" w:rsidP="0011139C">
      <w:pPr>
        <w:pStyle w:val="ListParagraph"/>
        <w:numPr>
          <w:ilvl w:val="0"/>
          <w:numId w:val="2"/>
        </w:numPr>
        <w:spacing w:after="0" w:line="360" w:lineRule="auto"/>
        <w:jc w:val="both"/>
        <w:rPr>
          <w:rFonts w:ascii="Arial" w:hAnsi="Arial" w:cs="Arial"/>
          <w:b/>
          <w:bCs/>
          <w:sz w:val="24"/>
          <w:szCs w:val="24"/>
        </w:rPr>
      </w:pPr>
      <w:r>
        <w:rPr>
          <w:rFonts w:ascii="Arial" w:hAnsi="Arial" w:cs="Arial"/>
          <w:b/>
          <w:bCs/>
          <w:noProof/>
          <w:sz w:val="24"/>
          <w:szCs w:val="24"/>
        </w:rPr>
        <w:lastRenderedPageBreak/>
        <w:drawing>
          <wp:anchor distT="0" distB="0" distL="114300" distR="114300" simplePos="0" relativeHeight="251658240" behindDoc="1" locked="0" layoutInCell="1" allowOverlap="1" wp14:anchorId="02AD9E6D" wp14:editId="4F6E5046">
            <wp:simplePos x="0" y="0"/>
            <wp:positionH relativeFrom="margin">
              <wp:posOffset>3698240</wp:posOffset>
            </wp:positionH>
            <wp:positionV relativeFrom="paragraph">
              <wp:posOffset>197485</wp:posOffset>
            </wp:positionV>
            <wp:extent cx="2366645" cy="2771775"/>
            <wp:effectExtent l="0" t="0" r="0" b="0"/>
            <wp:wrapTight wrapText="bothSides">
              <wp:wrapPolygon edited="0">
                <wp:start x="0" y="0"/>
                <wp:lineTo x="0" y="21377"/>
                <wp:lineTo x="21386" y="21377"/>
                <wp:lineTo x="21386" y="0"/>
                <wp:lineTo x="0" y="0"/>
              </wp:wrapPolygon>
            </wp:wrapTight>
            <wp:docPr id="20141709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170957" name="Picture 2014170957"/>
                    <pic:cNvPicPr/>
                  </pic:nvPicPr>
                  <pic:blipFill rotWithShape="1">
                    <a:blip r:embed="rId7" cstate="print">
                      <a:extLst>
                        <a:ext uri="{28A0092B-C50C-407E-A947-70E740481C1C}">
                          <a14:useLocalDpi xmlns:a14="http://schemas.microsoft.com/office/drawing/2010/main" val="0"/>
                        </a:ext>
                      </a:extLst>
                    </a:blip>
                    <a:srcRect l="9834" t="1376" r="31452" b="1382"/>
                    <a:stretch/>
                  </pic:blipFill>
                  <pic:spPr bwMode="auto">
                    <a:xfrm>
                      <a:off x="0" y="0"/>
                      <a:ext cx="2366645" cy="2771775"/>
                    </a:xfrm>
                    <a:prstGeom prst="rect">
                      <a:avLst/>
                    </a:prstGeom>
                    <a:ln>
                      <a:noFill/>
                    </a:ln>
                    <a:extLst>
                      <a:ext uri="{53640926-AAD7-44D8-BBD7-CCE9431645EC}">
                        <a14:shadowObscured xmlns:a14="http://schemas.microsoft.com/office/drawing/2010/main"/>
                      </a:ext>
                    </a:extLst>
                  </pic:spPr>
                </pic:pic>
              </a:graphicData>
            </a:graphic>
          </wp:anchor>
        </w:drawing>
      </w:r>
      <w:r w:rsidR="0011139C" w:rsidRPr="0011139C">
        <w:rPr>
          <w:rFonts w:ascii="Arial" w:hAnsi="Arial" w:cs="Arial"/>
          <w:b/>
          <w:bCs/>
          <w:sz w:val="24"/>
          <w:szCs w:val="24"/>
        </w:rPr>
        <w:t xml:space="preserve">The study area </w:t>
      </w:r>
      <w:r w:rsidR="00F27D82">
        <w:rPr>
          <w:rFonts w:ascii="Arial" w:hAnsi="Arial" w:cs="Arial"/>
          <w:b/>
          <w:bCs/>
          <w:sz w:val="24"/>
          <w:szCs w:val="24"/>
        </w:rPr>
        <w:t xml:space="preserve">                                                                 </w:t>
      </w:r>
      <w:r w:rsidR="00F27D82" w:rsidRPr="00F27D82">
        <w:rPr>
          <w:rFonts w:ascii="Arial" w:hAnsi="Arial" w:cs="Arial"/>
          <w:b/>
          <w:bCs/>
          <w:sz w:val="16"/>
          <w:szCs w:val="16"/>
        </w:rPr>
        <w:t>Figure 1 Location Map</w:t>
      </w:r>
    </w:p>
    <w:p w14:paraId="3931B8A5" w14:textId="1A5AB81A" w:rsidR="0011139C" w:rsidRDefault="008014FB" w:rsidP="0011139C">
      <w:pPr>
        <w:spacing w:after="0" w:line="360" w:lineRule="auto"/>
        <w:ind w:firstLine="360"/>
        <w:jc w:val="both"/>
        <w:rPr>
          <w:rFonts w:ascii="Arial" w:hAnsi="Arial" w:cs="Arial"/>
          <w:sz w:val="24"/>
          <w:szCs w:val="24"/>
        </w:rPr>
      </w:pPr>
      <w:r>
        <w:rPr>
          <w:rFonts w:ascii="Arial" w:hAnsi="Arial" w:cs="Arial"/>
          <w:sz w:val="24"/>
          <w:szCs w:val="24"/>
        </w:rPr>
        <w:t xml:space="preserve">The </w:t>
      </w:r>
      <w:r w:rsidR="0011139C" w:rsidRPr="0011139C">
        <w:rPr>
          <w:rFonts w:ascii="Arial" w:hAnsi="Arial" w:cs="Arial"/>
          <w:sz w:val="24"/>
          <w:szCs w:val="24"/>
        </w:rPr>
        <w:t xml:space="preserve">Dungarpur district is located in the southernmost part of Rajasthan, India, and shares its borders with Udaipur district to the north, </w:t>
      </w:r>
      <w:r w:rsidR="00E84E5B" w:rsidRPr="00E84E5B">
        <w:rPr>
          <w:rFonts w:ascii="Arial" w:hAnsi="Arial" w:cs="Arial"/>
          <w:sz w:val="24"/>
          <w:szCs w:val="24"/>
        </w:rPr>
        <w:t>the Banswara district to the east, and the Gujarat state to the south and west</w:t>
      </w:r>
      <w:r w:rsidR="0011139C" w:rsidRPr="0011139C">
        <w:rPr>
          <w:rFonts w:ascii="Arial" w:hAnsi="Arial" w:cs="Arial"/>
          <w:sz w:val="24"/>
          <w:szCs w:val="24"/>
        </w:rPr>
        <w:t>. It lies between 23°20' to 24°01' North latitude and 73°21' to 74°23' East longitude, covering an area of approximately 3,770 square kilometers. The district is characterized by its undulating terrain, with hills and forests, and forms part of the Aravalli Mountain range. The major rivers flowing through the region include Mahi, Som, and Jakham, which are crucial for agriculture and groundwater recharge.</w:t>
      </w:r>
      <w:r w:rsidR="0011139C">
        <w:rPr>
          <w:rFonts w:ascii="Arial" w:hAnsi="Arial" w:cs="Arial"/>
          <w:sz w:val="24"/>
          <w:szCs w:val="24"/>
        </w:rPr>
        <w:t xml:space="preserve"> </w:t>
      </w:r>
      <w:r w:rsidR="0011139C" w:rsidRPr="0011139C">
        <w:rPr>
          <w:rFonts w:ascii="Arial" w:hAnsi="Arial" w:cs="Arial"/>
          <w:sz w:val="24"/>
          <w:szCs w:val="24"/>
        </w:rPr>
        <w:t xml:space="preserve">Dungarpur is a tribal-dominated district, with a significant population of Bhil and </w:t>
      </w:r>
      <w:proofErr w:type="spellStart"/>
      <w:r w:rsidR="0011139C" w:rsidRPr="0011139C">
        <w:rPr>
          <w:rFonts w:ascii="Arial" w:hAnsi="Arial" w:cs="Arial"/>
          <w:sz w:val="24"/>
          <w:szCs w:val="24"/>
        </w:rPr>
        <w:t>Garasi</w:t>
      </w:r>
      <w:r w:rsidR="0011139C">
        <w:rPr>
          <w:rFonts w:ascii="Arial" w:hAnsi="Arial" w:cs="Arial"/>
          <w:sz w:val="24"/>
          <w:szCs w:val="24"/>
        </w:rPr>
        <w:t>ya</w:t>
      </w:r>
      <w:proofErr w:type="spellEnd"/>
      <w:r w:rsidR="0011139C" w:rsidRPr="0011139C">
        <w:rPr>
          <w:rFonts w:ascii="Arial" w:hAnsi="Arial" w:cs="Arial"/>
          <w:sz w:val="24"/>
          <w:szCs w:val="24"/>
        </w:rPr>
        <w:t xml:space="preserve"> communities, who primarily depend on agriculture and allied activities for their livelihood. The district experiences a semi-arid climate, with an average annual rainfall of about 700 mm, mostly received during the monsoon season. </w:t>
      </w:r>
    </w:p>
    <w:p w14:paraId="0DA62A86" w14:textId="3D49A08B" w:rsidR="004C4EB3" w:rsidRPr="00E6507F" w:rsidRDefault="004C4EB3" w:rsidP="004C4EB3">
      <w:pPr>
        <w:pStyle w:val="ListParagraph"/>
        <w:numPr>
          <w:ilvl w:val="0"/>
          <w:numId w:val="2"/>
        </w:numPr>
        <w:spacing w:after="0" w:line="360" w:lineRule="auto"/>
        <w:jc w:val="both"/>
        <w:rPr>
          <w:rFonts w:ascii="Arial" w:hAnsi="Arial" w:cs="Arial"/>
          <w:b/>
          <w:bCs/>
          <w:sz w:val="24"/>
          <w:szCs w:val="24"/>
        </w:rPr>
      </w:pPr>
      <w:r w:rsidRPr="00E6507F">
        <w:rPr>
          <w:rFonts w:ascii="Arial" w:hAnsi="Arial" w:cs="Arial"/>
          <w:b/>
          <w:bCs/>
          <w:sz w:val="24"/>
          <w:szCs w:val="24"/>
        </w:rPr>
        <w:t>Materials and Methods</w:t>
      </w:r>
    </w:p>
    <w:p w14:paraId="29CAC894" w14:textId="32A829AB" w:rsidR="004C4EB3" w:rsidRPr="00294647" w:rsidRDefault="004C4EB3" w:rsidP="004C4EB3">
      <w:pPr>
        <w:pStyle w:val="ListParagraph"/>
        <w:numPr>
          <w:ilvl w:val="1"/>
          <w:numId w:val="2"/>
        </w:numPr>
        <w:spacing w:after="0" w:line="360" w:lineRule="auto"/>
        <w:jc w:val="both"/>
        <w:rPr>
          <w:rFonts w:ascii="Arial" w:hAnsi="Arial" w:cs="Arial"/>
          <w:b/>
          <w:bCs/>
          <w:sz w:val="24"/>
          <w:szCs w:val="24"/>
        </w:rPr>
      </w:pPr>
      <w:r w:rsidRPr="00294647">
        <w:rPr>
          <w:rFonts w:ascii="Arial" w:hAnsi="Arial" w:cs="Arial"/>
          <w:b/>
          <w:bCs/>
          <w:sz w:val="24"/>
          <w:szCs w:val="24"/>
        </w:rPr>
        <w:t>Water sample collection</w:t>
      </w:r>
    </w:p>
    <w:p w14:paraId="69BDD52E" w14:textId="2AD5B905" w:rsidR="004C4EB3" w:rsidRDefault="00CD1ED0" w:rsidP="00CD1ED0">
      <w:pPr>
        <w:spacing w:after="0" w:line="360" w:lineRule="auto"/>
        <w:jc w:val="both"/>
        <w:rPr>
          <w:rFonts w:ascii="Arial" w:hAnsi="Arial" w:cs="Arial"/>
          <w:sz w:val="24"/>
          <w:szCs w:val="24"/>
        </w:rPr>
      </w:pPr>
      <w:r w:rsidRPr="00CD1ED0">
        <w:rPr>
          <w:rFonts w:ascii="Arial" w:hAnsi="Arial" w:cs="Arial"/>
          <w:sz w:val="24"/>
          <w:szCs w:val="24"/>
        </w:rPr>
        <w:t xml:space="preserve">Water sampling was carried out </w:t>
      </w:r>
      <w:r>
        <w:rPr>
          <w:rFonts w:ascii="Arial" w:hAnsi="Arial" w:cs="Arial"/>
          <w:sz w:val="24"/>
          <w:szCs w:val="24"/>
        </w:rPr>
        <w:t>between</w:t>
      </w:r>
      <w:r w:rsidRPr="00CD1ED0">
        <w:rPr>
          <w:rFonts w:ascii="Arial" w:hAnsi="Arial" w:cs="Arial"/>
          <w:sz w:val="24"/>
          <w:szCs w:val="24"/>
        </w:rPr>
        <w:t xml:space="preserve"> March to May 20</w:t>
      </w:r>
      <w:r>
        <w:rPr>
          <w:rFonts w:ascii="Arial" w:hAnsi="Arial" w:cs="Arial"/>
          <w:sz w:val="24"/>
          <w:szCs w:val="24"/>
        </w:rPr>
        <w:t>23</w:t>
      </w:r>
      <w:r w:rsidRPr="00CD1ED0">
        <w:rPr>
          <w:rFonts w:ascii="Arial" w:hAnsi="Arial" w:cs="Arial"/>
          <w:sz w:val="24"/>
          <w:szCs w:val="24"/>
        </w:rPr>
        <w:t xml:space="preserve"> at </w:t>
      </w:r>
      <w:r>
        <w:rPr>
          <w:rFonts w:ascii="Arial" w:hAnsi="Arial" w:cs="Arial"/>
          <w:sz w:val="24"/>
          <w:szCs w:val="24"/>
        </w:rPr>
        <w:t>twenty-one</w:t>
      </w:r>
      <w:r w:rsidRPr="00CD1ED0">
        <w:rPr>
          <w:rFonts w:ascii="Arial" w:hAnsi="Arial" w:cs="Arial"/>
          <w:sz w:val="24"/>
          <w:szCs w:val="24"/>
        </w:rPr>
        <w:t xml:space="preserve"> stations </w:t>
      </w:r>
      <w:r>
        <w:rPr>
          <w:rFonts w:ascii="Arial" w:hAnsi="Arial" w:cs="Arial"/>
          <w:sz w:val="24"/>
          <w:szCs w:val="24"/>
        </w:rPr>
        <w:t>within</w:t>
      </w:r>
      <w:r w:rsidRPr="00CD1ED0">
        <w:rPr>
          <w:rFonts w:ascii="Arial" w:hAnsi="Arial" w:cs="Arial"/>
          <w:sz w:val="24"/>
          <w:szCs w:val="24"/>
        </w:rPr>
        <w:t xml:space="preserve"> the </w:t>
      </w:r>
      <w:r>
        <w:rPr>
          <w:rFonts w:ascii="Arial" w:hAnsi="Arial" w:cs="Arial"/>
          <w:sz w:val="24"/>
          <w:szCs w:val="24"/>
        </w:rPr>
        <w:t>Dungarpur District</w:t>
      </w:r>
      <w:r w:rsidRPr="00CD1ED0">
        <w:rPr>
          <w:rFonts w:ascii="Arial" w:hAnsi="Arial" w:cs="Arial"/>
          <w:sz w:val="24"/>
          <w:szCs w:val="24"/>
        </w:rPr>
        <w:t xml:space="preserve">. The locations of sampling are presented in figure </w:t>
      </w:r>
      <w:r>
        <w:rPr>
          <w:rFonts w:ascii="Arial" w:hAnsi="Arial" w:cs="Arial"/>
          <w:sz w:val="24"/>
          <w:szCs w:val="24"/>
        </w:rPr>
        <w:t>2</w:t>
      </w:r>
      <w:r w:rsidRPr="00CD1ED0">
        <w:rPr>
          <w:rFonts w:ascii="Arial" w:hAnsi="Arial" w:cs="Arial"/>
          <w:sz w:val="24"/>
          <w:szCs w:val="24"/>
        </w:rPr>
        <w:t xml:space="preserve"> and a detailed description of sampling points is displayed in table </w:t>
      </w:r>
      <w:r>
        <w:rPr>
          <w:rFonts w:ascii="Arial" w:hAnsi="Arial" w:cs="Arial"/>
          <w:sz w:val="24"/>
          <w:szCs w:val="24"/>
        </w:rPr>
        <w:t>1</w:t>
      </w:r>
      <w:r w:rsidRPr="00CD1ED0">
        <w:rPr>
          <w:rFonts w:ascii="Arial" w:hAnsi="Arial" w:cs="Arial"/>
          <w:sz w:val="24"/>
          <w:szCs w:val="24"/>
        </w:rPr>
        <w:t>. Some environmental parameters including temperature, pH, and dissolved oxygen were measured in the field. Water samples were collected in 1 L glass bottles and were placed in cooler boxes with ice at approximately 4°C before analysis.</w:t>
      </w:r>
    </w:p>
    <w:p w14:paraId="1E182A3B" w14:textId="77777777" w:rsidR="00E6507F" w:rsidRDefault="00E6507F" w:rsidP="00CD1ED0">
      <w:pPr>
        <w:spacing w:after="0" w:line="360" w:lineRule="auto"/>
        <w:jc w:val="both"/>
        <w:rPr>
          <w:rFonts w:ascii="Arial" w:hAnsi="Arial" w:cs="Arial"/>
          <w:sz w:val="24"/>
          <w:szCs w:val="24"/>
        </w:rPr>
      </w:pPr>
    </w:p>
    <w:p w14:paraId="774B00D5" w14:textId="77777777" w:rsidR="00E6507F" w:rsidRDefault="00E6507F" w:rsidP="00CD1ED0">
      <w:pPr>
        <w:spacing w:after="0" w:line="360" w:lineRule="auto"/>
        <w:jc w:val="both"/>
        <w:rPr>
          <w:rFonts w:ascii="Arial" w:hAnsi="Arial" w:cs="Arial"/>
          <w:sz w:val="24"/>
          <w:szCs w:val="24"/>
        </w:rPr>
      </w:pPr>
    </w:p>
    <w:p w14:paraId="2DACAB4A" w14:textId="77777777" w:rsidR="00E6507F" w:rsidRDefault="00E6507F" w:rsidP="00CD1ED0">
      <w:pPr>
        <w:spacing w:after="0" w:line="360" w:lineRule="auto"/>
        <w:jc w:val="both"/>
        <w:rPr>
          <w:rFonts w:ascii="Arial" w:hAnsi="Arial" w:cs="Arial"/>
          <w:sz w:val="24"/>
          <w:szCs w:val="24"/>
        </w:rPr>
      </w:pPr>
    </w:p>
    <w:p w14:paraId="6A15B75B" w14:textId="77777777" w:rsidR="00E6507F" w:rsidRDefault="00E6507F" w:rsidP="00CD1ED0">
      <w:pPr>
        <w:spacing w:after="0" w:line="360" w:lineRule="auto"/>
        <w:jc w:val="both"/>
        <w:rPr>
          <w:rFonts w:ascii="Arial" w:hAnsi="Arial" w:cs="Arial"/>
          <w:sz w:val="24"/>
          <w:szCs w:val="24"/>
        </w:rPr>
      </w:pPr>
    </w:p>
    <w:p w14:paraId="3F3B5A45" w14:textId="77777777" w:rsidR="00E6507F" w:rsidRDefault="00E6507F" w:rsidP="00CD1ED0">
      <w:pPr>
        <w:spacing w:after="0" w:line="360" w:lineRule="auto"/>
        <w:jc w:val="both"/>
        <w:rPr>
          <w:rFonts w:ascii="Arial" w:hAnsi="Arial" w:cs="Arial"/>
          <w:sz w:val="24"/>
          <w:szCs w:val="24"/>
        </w:rPr>
      </w:pPr>
    </w:p>
    <w:p w14:paraId="7F26E2B4" w14:textId="77777777" w:rsidR="00E6507F" w:rsidRDefault="00E6507F" w:rsidP="00CD1ED0">
      <w:pPr>
        <w:spacing w:after="0" w:line="360" w:lineRule="auto"/>
        <w:jc w:val="both"/>
        <w:rPr>
          <w:rFonts w:ascii="Arial" w:hAnsi="Arial" w:cs="Arial"/>
          <w:sz w:val="24"/>
          <w:szCs w:val="24"/>
        </w:rPr>
      </w:pPr>
    </w:p>
    <w:tbl>
      <w:tblPr>
        <w:tblStyle w:val="PlainTable1"/>
        <w:tblpPr w:leftFromText="180" w:rightFromText="180" w:vertAnchor="text" w:horzAnchor="page" w:tblpX="7182" w:tblpY="143"/>
        <w:tblW w:w="0" w:type="auto"/>
        <w:tblLook w:val="04A0" w:firstRow="1" w:lastRow="0" w:firstColumn="1" w:lastColumn="0" w:noHBand="0" w:noVBand="1"/>
      </w:tblPr>
      <w:tblGrid>
        <w:gridCol w:w="1525"/>
        <w:gridCol w:w="880"/>
        <w:gridCol w:w="1190"/>
      </w:tblGrid>
      <w:tr w:rsidR="00FF5924" w:rsidRPr="00FF5924" w14:paraId="05BAE6F9" w14:textId="77777777" w:rsidTr="00FF5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gridSpan w:val="3"/>
            <w:noWrap/>
            <w:vAlign w:val="center"/>
          </w:tcPr>
          <w:p w14:paraId="0E80FEC8" w14:textId="712CF984" w:rsidR="00FF5924" w:rsidRPr="00FF5924" w:rsidRDefault="00FF5924" w:rsidP="00FF5924">
            <w:pPr>
              <w:pStyle w:val="NoSpacing"/>
              <w:rPr>
                <w:sz w:val="14"/>
                <w:szCs w:val="14"/>
              </w:rPr>
            </w:pPr>
            <w:r w:rsidRPr="00FF5924">
              <w:rPr>
                <w:sz w:val="14"/>
                <w:szCs w:val="14"/>
              </w:rPr>
              <w:lastRenderedPageBreak/>
              <w:t>Table .1 Sampling Locations in the study area</w:t>
            </w:r>
          </w:p>
        </w:tc>
      </w:tr>
      <w:tr w:rsidR="00FF5924" w:rsidRPr="00FF5924" w14:paraId="2F02508D" w14:textId="77777777" w:rsidTr="00FF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6E3B874A" w14:textId="77777777" w:rsidR="00FF5924" w:rsidRPr="00FF5924" w:rsidRDefault="00FF5924" w:rsidP="00FF5924">
            <w:pPr>
              <w:pStyle w:val="NoSpacing"/>
              <w:rPr>
                <w:sz w:val="14"/>
                <w:szCs w:val="14"/>
              </w:rPr>
            </w:pPr>
            <w:r w:rsidRPr="00FF5924">
              <w:rPr>
                <w:sz w:val="14"/>
                <w:szCs w:val="14"/>
              </w:rPr>
              <w:t>Location</w:t>
            </w:r>
          </w:p>
        </w:tc>
        <w:tc>
          <w:tcPr>
            <w:tcW w:w="880" w:type="dxa"/>
            <w:noWrap/>
            <w:vAlign w:val="center"/>
            <w:hideMark/>
          </w:tcPr>
          <w:p w14:paraId="7CC221DB"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 xml:space="preserve">Latitude </w:t>
            </w:r>
          </w:p>
        </w:tc>
        <w:tc>
          <w:tcPr>
            <w:tcW w:w="1190" w:type="dxa"/>
            <w:noWrap/>
            <w:vAlign w:val="center"/>
            <w:hideMark/>
          </w:tcPr>
          <w:p w14:paraId="3E99D80D"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Longitude</w:t>
            </w:r>
          </w:p>
        </w:tc>
      </w:tr>
      <w:tr w:rsidR="00FF5924" w:rsidRPr="00FF5924" w14:paraId="694AD34C" w14:textId="77777777" w:rsidTr="00FF5924">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06D9054C" w14:textId="77777777" w:rsidR="00FF5924" w:rsidRPr="00FF5924" w:rsidRDefault="00FF5924" w:rsidP="00FF5924">
            <w:pPr>
              <w:pStyle w:val="NoSpacing"/>
              <w:rPr>
                <w:sz w:val="14"/>
                <w:szCs w:val="14"/>
              </w:rPr>
            </w:pPr>
            <w:r w:rsidRPr="00FF5924">
              <w:rPr>
                <w:sz w:val="14"/>
                <w:szCs w:val="14"/>
              </w:rPr>
              <w:t>Bichhiwara</w:t>
            </w:r>
          </w:p>
        </w:tc>
        <w:tc>
          <w:tcPr>
            <w:tcW w:w="880" w:type="dxa"/>
            <w:noWrap/>
            <w:vAlign w:val="center"/>
            <w:hideMark/>
          </w:tcPr>
          <w:p w14:paraId="4EACE071"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23.78</w:t>
            </w:r>
          </w:p>
        </w:tc>
        <w:tc>
          <w:tcPr>
            <w:tcW w:w="1190" w:type="dxa"/>
            <w:noWrap/>
            <w:vAlign w:val="center"/>
            <w:hideMark/>
          </w:tcPr>
          <w:p w14:paraId="592B32DB"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73.52</w:t>
            </w:r>
          </w:p>
        </w:tc>
      </w:tr>
      <w:tr w:rsidR="00FF5924" w:rsidRPr="00FF5924" w14:paraId="6873E282" w14:textId="77777777" w:rsidTr="00FF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7698FF58" w14:textId="77777777" w:rsidR="00FF5924" w:rsidRPr="00FF5924" w:rsidRDefault="00FF5924" w:rsidP="00FF5924">
            <w:pPr>
              <w:pStyle w:val="NoSpacing"/>
              <w:rPr>
                <w:sz w:val="14"/>
                <w:szCs w:val="14"/>
              </w:rPr>
            </w:pPr>
            <w:proofErr w:type="spellStart"/>
            <w:r w:rsidRPr="00FF5924">
              <w:rPr>
                <w:sz w:val="14"/>
                <w:szCs w:val="14"/>
              </w:rPr>
              <w:t>Kanba</w:t>
            </w:r>
            <w:proofErr w:type="spellEnd"/>
          </w:p>
        </w:tc>
        <w:tc>
          <w:tcPr>
            <w:tcW w:w="880" w:type="dxa"/>
            <w:noWrap/>
            <w:vAlign w:val="center"/>
            <w:hideMark/>
          </w:tcPr>
          <w:p w14:paraId="6688D305"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23.81</w:t>
            </w:r>
          </w:p>
        </w:tc>
        <w:tc>
          <w:tcPr>
            <w:tcW w:w="1190" w:type="dxa"/>
            <w:noWrap/>
            <w:vAlign w:val="center"/>
            <w:hideMark/>
          </w:tcPr>
          <w:p w14:paraId="2A1450FE"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73.57</w:t>
            </w:r>
          </w:p>
        </w:tc>
      </w:tr>
      <w:tr w:rsidR="00FF5924" w:rsidRPr="00FF5924" w14:paraId="72DC2A36" w14:textId="77777777" w:rsidTr="00FF5924">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40C584F2" w14:textId="77777777" w:rsidR="00FF5924" w:rsidRPr="00FF5924" w:rsidRDefault="00FF5924" w:rsidP="00FF5924">
            <w:pPr>
              <w:pStyle w:val="NoSpacing"/>
              <w:rPr>
                <w:sz w:val="14"/>
                <w:szCs w:val="14"/>
              </w:rPr>
            </w:pPr>
            <w:proofErr w:type="spellStart"/>
            <w:r w:rsidRPr="00FF5924">
              <w:rPr>
                <w:sz w:val="14"/>
                <w:szCs w:val="14"/>
              </w:rPr>
              <w:t>Odabada</w:t>
            </w:r>
            <w:proofErr w:type="spellEnd"/>
          </w:p>
        </w:tc>
        <w:tc>
          <w:tcPr>
            <w:tcW w:w="880" w:type="dxa"/>
            <w:noWrap/>
            <w:vAlign w:val="center"/>
            <w:hideMark/>
          </w:tcPr>
          <w:p w14:paraId="748A0B15"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23.82</w:t>
            </w:r>
          </w:p>
        </w:tc>
        <w:tc>
          <w:tcPr>
            <w:tcW w:w="1190" w:type="dxa"/>
            <w:noWrap/>
            <w:vAlign w:val="center"/>
            <w:hideMark/>
          </w:tcPr>
          <w:p w14:paraId="6ED8164B"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73.59</w:t>
            </w:r>
          </w:p>
        </w:tc>
      </w:tr>
      <w:tr w:rsidR="00FF5924" w:rsidRPr="00FF5924" w14:paraId="6EFD6ECF" w14:textId="77777777" w:rsidTr="00FF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034C5A46" w14:textId="77777777" w:rsidR="00FF5924" w:rsidRPr="00FF5924" w:rsidRDefault="00FF5924" w:rsidP="00FF5924">
            <w:pPr>
              <w:pStyle w:val="NoSpacing"/>
              <w:rPr>
                <w:sz w:val="14"/>
                <w:szCs w:val="14"/>
              </w:rPr>
            </w:pPr>
            <w:proofErr w:type="spellStart"/>
            <w:r w:rsidRPr="00FF5924">
              <w:rPr>
                <w:sz w:val="14"/>
                <w:szCs w:val="14"/>
              </w:rPr>
              <w:t>Balbada</w:t>
            </w:r>
            <w:proofErr w:type="spellEnd"/>
          </w:p>
        </w:tc>
        <w:tc>
          <w:tcPr>
            <w:tcW w:w="880" w:type="dxa"/>
            <w:noWrap/>
            <w:vAlign w:val="center"/>
            <w:hideMark/>
          </w:tcPr>
          <w:p w14:paraId="232FDE43"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23.82</w:t>
            </w:r>
          </w:p>
        </w:tc>
        <w:tc>
          <w:tcPr>
            <w:tcW w:w="1190" w:type="dxa"/>
            <w:noWrap/>
            <w:vAlign w:val="center"/>
            <w:hideMark/>
          </w:tcPr>
          <w:p w14:paraId="7E6E77F8"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73.62</w:t>
            </w:r>
          </w:p>
        </w:tc>
      </w:tr>
      <w:tr w:rsidR="00FF5924" w:rsidRPr="00FF5924" w14:paraId="5F1F77E7" w14:textId="77777777" w:rsidTr="00FF5924">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0B90F603" w14:textId="77777777" w:rsidR="00FF5924" w:rsidRPr="00FF5924" w:rsidRDefault="00FF5924" w:rsidP="00FF5924">
            <w:pPr>
              <w:pStyle w:val="NoSpacing"/>
              <w:rPr>
                <w:sz w:val="14"/>
                <w:szCs w:val="14"/>
              </w:rPr>
            </w:pPr>
            <w:r w:rsidRPr="00FF5924">
              <w:rPr>
                <w:sz w:val="14"/>
                <w:szCs w:val="14"/>
              </w:rPr>
              <w:t>Bori</w:t>
            </w:r>
          </w:p>
        </w:tc>
        <w:tc>
          <w:tcPr>
            <w:tcW w:w="880" w:type="dxa"/>
            <w:noWrap/>
            <w:vAlign w:val="center"/>
            <w:hideMark/>
          </w:tcPr>
          <w:p w14:paraId="533A797A"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23.82</w:t>
            </w:r>
          </w:p>
        </w:tc>
        <w:tc>
          <w:tcPr>
            <w:tcW w:w="1190" w:type="dxa"/>
            <w:noWrap/>
            <w:vAlign w:val="center"/>
            <w:hideMark/>
          </w:tcPr>
          <w:p w14:paraId="0553137E"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73.68</w:t>
            </w:r>
          </w:p>
        </w:tc>
      </w:tr>
      <w:tr w:rsidR="00FF5924" w:rsidRPr="00FF5924" w14:paraId="1B95B38C" w14:textId="77777777" w:rsidTr="00FF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5547BC6C" w14:textId="77777777" w:rsidR="00FF5924" w:rsidRPr="00FF5924" w:rsidRDefault="00FF5924" w:rsidP="00FF5924">
            <w:pPr>
              <w:pStyle w:val="NoSpacing"/>
              <w:rPr>
                <w:sz w:val="14"/>
                <w:szCs w:val="14"/>
              </w:rPr>
            </w:pPr>
            <w:r w:rsidRPr="00FF5924">
              <w:rPr>
                <w:sz w:val="14"/>
                <w:szCs w:val="14"/>
              </w:rPr>
              <w:t>Genji</w:t>
            </w:r>
          </w:p>
        </w:tc>
        <w:tc>
          <w:tcPr>
            <w:tcW w:w="880" w:type="dxa"/>
            <w:noWrap/>
            <w:vAlign w:val="center"/>
            <w:hideMark/>
          </w:tcPr>
          <w:p w14:paraId="3C145D77"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23.72</w:t>
            </w:r>
          </w:p>
        </w:tc>
        <w:tc>
          <w:tcPr>
            <w:tcW w:w="1190" w:type="dxa"/>
            <w:noWrap/>
            <w:vAlign w:val="center"/>
            <w:hideMark/>
          </w:tcPr>
          <w:p w14:paraId="74527D16"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73.69</w:t>
            </w:r>
          </w:p>
        </w:tc>
      </w:tr>
      <w:tr w:rsidR="00FF5924" w:rsidRPr="00FF5924" w14:paraId="422E289A" w14:textId="77777777" w:rsidTr="00FF5924">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5915D3C1" w14:textId="77777777" w:rsidR="00FF5924" w:rsidRPr="00FF5924" w:rsidRDefault="00FF5924" w:rsidP="00FF5924">
            <w:pPr>
              <w:pStyle w:val="NoSpacing"/>
              <w:rPr>
                <w:sz w:val="14"/>
                <w:szCs w:val="14"/>
              </w:rPr>
            </w:pPr>
            <w:proofErr w:type="spellStart"/>
            <w:r w:rsidRPr="00FF5924">
              <w:rPr>
                <w:sz w:val="14"/>
                <w:szCs w:val="14"/>
              </w:rPr>
              <w:t>Paldi</w:t>
            </w:r>
            <w:proofErr w:type="spellEnd"/>
          </w:p>
        </w:tc>
        <w:tc>
          <w:tcPr>
            <w:tcW w:w="880" w:type="dxa"/>
            <w:noWrap/>
            <w:vAlign w:val="center"/>
            <w:hideMark/>
          </w:tcPr>
          <w:p w14:paraId="35698169"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23.71</w:t>
            </w:r>
          </w:p>
        </w:tc>
        <w:tc>
          <w:tcPr>
            <w:tcW w:w="1190" w:type="dxa"/>
            <w:noWrap/>
            <w:vAlign w:val="center"/>
            <w:hideMark/>
          </w:tcPr>
          <w:p w14:paraId="2B965B02"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73.73</w:t>
            </w:r>
          </w:p>
        </w:tc>
      </w:tr>
      <w:tr w:rsidR="00FF5924" w:rsidRPr="00FF5924" w14:paraId="5789D63D" w14:textId="77777777" w:rsidTr="00FF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7FD883B8" w14:textId="77777777" w:rsidR="00FF5924" w:rsidRPr="00FF5924" w:rsidRDefault="00FF5924" w:rsidP="00FF5924">
            <w:pPr>
              <w:pStyle w:val="NoSpacing"/>
              <w:rPr>
                <w:sz w:val="14"/>
                <w:szCs w:val="14"/>
              </w:rPr>
            </w:pPr>
            <w:proofErr w:type="spellStart"/>
            <w:r w:rsidRPr="00FF5924">
              <w:rPr>
                <w:sz w:val="14"/>
                <w:szCs w:val="14"/>
              </w:rPr>
              <w:t>Virwada</w:t>
            </w:r>
            <w:proofErr w:type="spellEnd"/>
          </w:p>
        </w:tc>
        <w:tc>
          <w:tcPr>
            <w:tcW w:w="880" w:type="dxa"/>
            <w:noWrap/>
            <w:vAlign w:val="center"/>
            <w:hideMark/>
          </w:tcPr>
          <w:p w14:paraId="304219A3"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23.63</w:t>
            </w:r>
          </w:p>
        </w:tc>
        <w:tc>
          <w:tcPr>
            <w:tcW w:w="1190" w:type="dxa"/>
            <w:noWrap/>
            <w:vAlign w:val="center"/>
            <w:hideMark/>
          </w:tcPr>
          <w:p w14:paraId="72DE5C5A"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73.74</w:t>
            </w:r>
          </w:p>
        </w:tc>
      </w:tr>
      <w:tr w:rsidR="00FF5924" w:rsidRPr="00FF5924" w14:paraId="488721FF" w14:textId="77777777" w:rsidTr="00FF5924">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5DECD194" w14:textId="77777777" w:rsidR="00FF5924" w:rsidRPr="00FF5924" w:rsidRDefault="00FF5924" w:rsidP="00FF5924">
            <w:pPr>
              <w:pStyle w:val="NoSpacing"/>
              <w:rPr>
                <w:sz w:val="14"/>
                <w:szCs w:val="14"/>
              </w:rPr>
            </w:pPr>
            <w:proofErr w:type="spellStart"/>
            <w:r w:rsidRPr="00FF5924">
              <w:rPr>
                <w:sz w:val="14"/>
                <w:szCs w:val="14"/>
              </w:rPr>
              <w:t>Dhambola</w:t>
            </w:r>
            <w:proofErr w:type="spellEnd"/>
          </w:p>
        </w:tc>
        <w:tc>
          <w:tcPr>
            <w:tcW w:w="880" w:type="dxa"/>
            <w:noWrap/>
            <w:vAlign w:val="center"/>
            <w:hideMark/>
          </w:tcPr>
          <w:p w14:paraId="6130F86D"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23.6</w:t>
            </w:r>
          </w:p>
        </w:tc>
        <w:tc>
          <w:tcPr>
            <w:tcW w:w="1190" w:type="dxa"/>
            <w:noWrap/>
            <w:vAlign w:val="center"/>
            <w:hideMark/>
          </w:tcPr>
          <w:p w14:paraId="2EB74963"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73.75</w:t>
            </w:r>
          </w:p>
        </w:tc>
      </w:tr>
      <w:tr w:rsidR="00FF5924" w:rsidRPr="00FF5924" w14:paraId="0E023A44" w14:textId="77777777" w:rsidTr="00FF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033014F9" w14:textId="77777777" w:rsidR="00FF5924" w:rsidRPr="00FF5924" w:rsidRDefault="00FF5924" w:rsidP="00FF5924">
            <w:pPr>
              <w:pStyle w:val="NoSpacing"/>
              <w:rPr>
                <w:sz w:val="14"/>
                <w:szCs w:val="14"/>
              </w:rPr>
            </w:pPr>
            <w:proofErr w:type="spellStart"/>
            <w:r w:rsidRPr="00FF5924">
              <w:rPr>
                <w:sz w:val="14"/>
                <w:szCs w:val="14"/>
              </w:rPr>
              <w:t>Simalwada</w:t>
            </w:r>
            <w:proofErr w:type="spellEnd"/>
          </w:p>
        </w:tc>
        <w:tc>
          <w:tcPr>
            <w:tcW w:w="880" w:type="dxa"/>
            <w:noWrap/>
            <w:vAlign w:val="center"/>
            <w:hideMark/>
          </w:tcPr>
          <w:p w14:paraId="66A1460F"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23.53</w:t>
            </w:r>
          </w:p>
        </w:tc>
        <w:tc>
          <w:tcPr>
            <w:tcW w:w="1190" w:type="dxa"/>
            <w:noWrap/>
            <w:vAlign w:val="center"/>
            <w:hideMark/>
          </w:tcPr>
          <w:p w14:paraId="540990BB"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73.76</w:t>
            </w:r>
          </w:p>
        </w:tc>
      </w:tr>
      <w:tr w:rsidR="00FF5924" w:rsidRPr="00FF5924" w14:paraId="7D0BC101" w14:textId="77777777" w:rsidTr="00FF5924">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0681FE80" w14:textId="77777777" w:rsidR="00FF5924" w:rsidRPr="00FF5924" w:rsidRDefault="00FF5924" w:rsidP="00FF5924">
            <w:pPr>
              <w:pStyle w:val="NoSpacing"/>
              <w:rPr>
                <w:sz w:val="14"/>
                <w:szCs w:val="14"/>
              </w:rPr>
            </w:pPr>
            <w:proofErr w:type="spellStart"/>
            <w:r w:rsidRPr="00FF5924">
              <w:rPr>
                <w:sz w:val="14"/>
                <w:szCs w:val="14"/>
              </w:rPr>
              <w:t>Jorawarpura</w:t>
            </w:r>
            <w:proofErr w:type="spellEnd"/>
          </w:p>
        </w:tc>
        <w:tc>
          <w:tcPr>
            <w:tcW w:w="880" w:type="dxa"/>
            <w:noWrap/>
            <w:vAlign w:val="center"/>
            <w:hideMark/>
          </w:tcPr>
          <w:p w14:paraId="440D2607"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23.52</w:t>
            </w:r>
          </w:p>
        </w:tc>
        <w:tc>
          <w:tcPr>
            <w:tcW w:w="1190" w:type="dxa"/>
            <w:noWrap/>
            <w:vAlign w:val="center"/>
            <w:hideMark/>
          </w:tcPr>
          <w:p w14:paraId="4778B6DB"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73.79</w:t>
            </w:r>
          </w:p>
        </w:tc>
      </w:tr>
      <w:tr w:rsidR="00FF5924" w:rsidRPr="00FF5924" w14:paraId="5AEA5F6C" w14:textId="77777777" w:rsidTr="00FF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46F82E36" w14:textId="77777777" w:rsidR="00FF5924" w:rsidRPr="00FF5924" w:rsidRDefault="00FF5924" w:rsidP="00FF5924">
            <w:pPr>
              <w:pStyle w:val="NoSpacing"/>
              <w:rPr>
                <w:sz w:val="14"/>
                <w:szCs w:val="14"/>
              </w:rPr>
            </w:pPr>
            <w:proofErr w:type="spellStart"/>
            <w:r w:rsidRPr="00FF5924">
              <w:rPr>
                <w:sz w:val="14"/>
                <w:szCs w:val="14"/>
              </w:rPr>
              <w:t>Chandradiya</w:t>
            </w:r>
            <w:proofErr w:type="spellEnd"/>
          </w:p>
        </w:tc>
        <w:tc>
          <w:tcPr>
            <w:tcW w:w="880" w:type="dxa"/>
            <w:noWrap/>
            <w:vAlign w:val="center"/>
            <w:hideMark/>
          </w:tcPr>
          <w:p w14:paraId="3A11A85B"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23.51</w:t>
            </w:r>
          </w:p>
        </w:tc>
        <w:tc>
          <w:tcPr>
            <w:tcW w:w="1190" w:type="dxa"/>
            <w:noWrap/>
            <w:vAlign w:val="center"/>
            <w:hideMark/>
          </w:tcPr>
          <w:p w14:paraId="5274839F"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73.86</w:t>
            </w:r>
          </w:p>
        </w:tc>
      </w:tr>
      <w:tr w:rsidR="00FF5924" w:rsidRPr="00FF5924" w14:paraId="30605466" w14:textId="77777777" w:rsidTr="00FF5924">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6C5BAB51" w14:textId="77777777" w:rsidR="00FF5924" w:rsidRPr="00FF5924" w:rsidRDefault="00FF5924" w:rsidP="00FF5924">
            <w:pPr>
              <w:pStyle w:val="NoSpacing"/>
              <w:rPr>
                <w:sz w:val="14"/>
                <w:szCs w:val="14"/>
              </w:rPr>
            </w:pPr>
            <w:proofErr w:type="spellStart"/>
            <w:r w:rsidRPr="00FF5924">
              <w:rPr>
                <w:sz w:val="14"/>
                <w:szCs w:val="14"/>
              </w:rPr>
              <w:t>Sohanborli</w:t>
            </w:r>
            <w:proofErr w:type="spellEnd"/>
          </w:p>
        </w:tc>
        <w:tc>
          <w:tcPr>
            <w:tcW w:w="880" w:type="dxa"/>
            <w:noWrap/>
            <w:vAlign w:val="center"/>
            <w:hideMark/>
          </w:tcPr>
          <w:p w14:paraId="13C830A6"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23.52</w:t>
            </w:r>
          </w:p>
        </w:tc>
        <w:tc>
          <w:tcPr>
            <w:tcW w:w="1190" w:type="dxa"/>
            <w:noWrap/>
            <w:vAlign w:val="center"/>
            <w:hideMark/>
          </w:tcPr>
          <w:p w14:paraId="01FF0B47"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73.88</w:t>
            </w:r>
          </w:p>
        </w:tc>
      </w:tr>
      <w:tr w:rsidR="00FF5924" w:rsidRPr="00FF5924" w14:paraId="5D8F541C" w14:textId="77777777" w:rsidTr="00FF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7A9289F8" w14:textId="77777777" w:rsidR="00FF5924" w:rsidRPr="00FF5924" w:rsidRDefault="00FF5924" w:rsidP="00FF5924">
            <w:pPr>
              <w:pStyle w:val="NoSpacing"/>
              <w:rPr>
                <w:sz w:val="14"/>
                <w:szCs w:val="14"/>
              </w:rPr>
            </w:pPr>
            <w:proofErr w:type="spellStart"/>
            <w:r w:rsidRPr="00FF5924">
              <w:rPr>
                <w:sz w:val="14"/>
                <w:szCs w:val="14"/>
              </w:rPr>
              <w:t>Bhimai</w:t>
            </w:r>
            <w:proofErr w:type="spellEnd"/>
          </w:p>
        </w:tc>
        <w:tc>
          <w:tcPr>
            <w:tcW w:w="880" w:type="dxa"/>
            <w:noWrap/>
            <w:vAlign w:val="center"/>
            <w:hideMark/>
          </w:tcPr>
          <w:p w14:paraId="62C3F9C9"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23.56</w:t>
            </w:r>
          </w:p>
        </w:tc>
        <w:tc>
          <w:tcPr>
            <w:tcW w:w="1190" w:type="dxa"/>
            <w:noWrap/>
            <w:vAlign w:val="center"/>
            <w:hideMark/>
          </w:tcPr>
          <w:p w14:paraId="13527641"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73.92</w:t>
            </w:r>
          </w:p>
        </w:tc>
      </w:tr>
      <w:tr w:rsidR="00FF5924" w:rsidRPr="00FF5924" w14:paraId="7D9E7F32" w14:textId="77777777" w:rsidTr="00FF5924">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5E9A8E5C" w14:textId="77777777" w:rsidR="00FF5924" w:rsidRPr="00FF5924" w:rsidRDefault="00FF5924" w:rsidP="00FF5924">
            <w:pPr>
              <w:pStyle w:val="NoSpacing"/>
              <w:rPr>
                <w:sz w:val="14"/>
                <w:szCs w:val="14"/>
              </w:rPr>
            </w:pPr>
            <w:proofErr w:type="spellStart"/>
            <w:r w:rsidRPr="00FF5924">
              <w:rPr>
                <w:sz w:val="14"/>
                <w:szCs w:val="14"/>
              </w:rPr>
              <w:t>Semlia</w:t>
            </w:r>
            <w:proofErr w:type="spellEnd"/>
            <w:r w:rsidRPr="00FF5924">
              <w:rPr>
                <w:sz w:val="14"/>
                <w:szCs w:val="14"/>
              </w:rPr>
              <w:t xml:space="preserve"> </w:t>
            </w:r>
            <w:proofErr w:type="spellStart"/>
            <w:r w:rsidRPr="00FF5924">
              <w:rPr>
                <w:sz w:val="14"/>
                <w:szCs w:val="14"/>
              </w:rPr>
              <w:t>ghata</w:t>
            </w:r>
            <w:proofErr w:type="spellEnd"/>
          </w:p>
        </w:tc>
        <w:tc>
          <w:tcPr>
            <w:tcW w:w="880" w:type="dxa"/>
            <w:noWrap/>
            <w:vAlign w:val="center"/>
            <w:hideMark/>
          </w:tcPr>
          <w:p w14:paraId="6A54579B"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23.58</w:t>
            </w:r>
          </w:p>
        </w:tc>
        <w:tc>
          <w:tcPr>
            <w:tcW w:w="1190" w:type="dxa"/>
            <w:noWrap/>
            <w:vAlign w:val="center"/>
            <w:hideMark/>
          </w:tcPr>
          <w:p w14:paraId="40B1BCA3"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73.94</w:t>
            </w:r>
          </w:p>
        </w:tc>
      </w:tr>
      <w:tr w:rsidR="00FF5924" w:rsidRPr="00FF5924" w14:paraId="467C783C" w14:textId="77777777" w:rsidTr="00FF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44829407" w14:textId="77777777" w:rsidR="00FF5924" w:rsidRPr="00FF5924" w:rsidRDefault="00FF5924" w:rsidP="00FF5924">
            <w:pPr>
              <w:pStyle w:val="NoSpacing"/>
              <w:rPr>
                <w:sz w:val="14"/>
                <w:szCs w:val="14"/>
              </w:rPr>
            </w:pPr>
            <w:proofErr w:type="spellStart"/>
            <w:r w:rsidRPr="00FF5924">
              <w:rPr>
                <w:sz w:val="14"/>
                <w:szCs w:val="14"/>
              </w:rPr>
              <w:t>Khuntwada</w:t>
            </w:r>
            <w:proofErr w:type="spellEnd"/>
          </w:p>
        </w:tc>
        <w:tc>
          <w:tcPr>
            <w:tcW w:w="880" w:type="dxa"/>
            <w:noWrap/>
            <w:vAlign w:val="center"/>
            <w:hideMark/>
          </w:tcPr>
          <w:p w14:paraId="6075BBEA"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23.6</w:t>
            </w:r>
          </w:p>
        </w:tc>
        <w:tc>
          <w:tcPr>
            <w:tcW w:w="1190" w:type="dxa"/>
            <w:noWrap/>
            <w:vAlign w:val="center"/>
            <w:hideMark/>
          </w:tcPr>
          <w:p w14:paraId="1FB6E503"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73.98</w:t>
            </w:r>
          </w:p>
        </w:tc>
      </w:tr>
      <w:tr w:rsidR="00FF5924" w:rsidRPr="00FF5924" w14:paraId="4FA1EFF5" w14:textId="77777777" w:rsidTr="00FF5924">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301D6EF6" w14:textId="77777777" w:rsidR="00FF5924" w:rsidRPr="00FF5924" w:rsidRDefault="00FF5924" w:rsidP="00FF5924">
            <w:pPr>
              <w:pStyle w:val="NoSpacing"/>
              <w:rPr>
                <w:sz w:val="14"/>
                <w:szCs w:val="14"/>
              </w:rPr>
            </w:pPr>
            <w:proofErr w:type="spellStart"/>
            <w:r w:rsidRPr="00FF5924">
              <w:rPr>
                <w:sz w:val="14"/>
                <w:szCs w:val="14"/>
              </w:rPr>
              <w:t>Sagwada</w:t>
            </w:r>
            <w:proofErr w:type="spellEnd"/>
          </w:p>
        </w:tc>
        <w:tc>
          <w:tcPr>
            <w:tcW w:w="880" w:type="dxa"/>
            <w:noWrap/>
            <w:vAlign w:val="center"/>
            <w:hideMark/>
          </w:tcPr>
          <w:p w14:paraId="7436B30C"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23.66</w:t>
            </w:r>
          </w:p>
        </w:tc>
        <w:tc>
          <w:tcPr>
            <w:tcW w:w="1190" w:type="dxa"/>
            <w:noWrap/>
            <w:vAlign w:val="center"/>
            <w:hideMark/>
          </w:tcPr>
          <w:p w14:paraId="717FD1D6"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74.01</w:t>
            </w:r>
          </w:p>
        </w:tc>
      </w:tr>
      <w:tr w:rsidR="00FF5924" w:rsidRPr="00FF5924" w14:paraId="2E0CDEAC" w14:textId="77777777" w:rsidTr="00FF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127F7587" w14:textId="77777777" w:rsidR="00FF5924" w:rsidRPr="00FF5924" w:rsidRDefault="00FF5924" w:rsidP="00FF5924">
            <w:pPr>
              <w:pStyle w:val="NoSpacing"/>
              <w:rPr>
                <w:sz w:val="14"/>
                <w:szCs w:val="14"/>
              </w:rPr>
            </w:pPr>
            <w:r w:rsidRPr="00FF5924">
              <w:rPr>
                <w:sz w:val="14"/>
                <w:szCs w:val="14"/>
              </w:rPr>
              <w:t>Oad</w:t>
            </w:r>
          </w:p>
        </w:tc>
        <w:tc>
          <w:tcPr>
            <w:tcW w:w="880" w:type="dxa"/>
            <w:noWrap/>
            <w:vAlign w:val="center"/>
            <w:hideMark/>
          </w:tcPr>
          <w:p w14:paraId="3ECC889F"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23.73</w:t>
            </w:r>
          </w:p>
        </w:tc>
        <w:tc>
          <w:tcPr>
            <w:tcW w:w="1190" w:type="dxa"/>
            <w:noWrap/>
            <w:vAlign w:val="center"/>
            <w:hideMark/>
          </w:tcPr>
          <w:p w14:paraId="47A207AA"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74.004</w:t>
            </w:r>
          </w:p>
        </w:tc>
      </w:tr>
      <w:tr w:rsidR="00FF5924" w:rsidRPr="00FF5924" w14:paraId="64A6700D" w14:textId="77777777" w:rsidTr="00FF5924">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3EC74520" w14:textId="77777777" w:rsidR="00FF5924" w:rsidRPr="00FF5924" w:rsidRDefault="00FF5924" w:rsidP="00FF5924">
            <w:pPr>
              <w:pStyle w:val="NoSpacing"/>
              <w:rPr>
                <w:sz w:val="14"/>
                <w:szCs w:val="14"/>
              </w:rPr>
            </w:pPr>
            <w:proofErr w:type="spellStart"/>
            <w:r w:rsidRPr="00FF5924">
              <w:rPr>
                <w:sz w:val="14"/>
                <w:szCs w:val="14"/>
              </w:rPr>
              <w:t>Punjpur</w:t>
            </w:r>
            <w:proofErr w:type="spellEnd"/>
          </w:p>
        </w:tc>
        <w:tc>
          <w:tcPr>
            <w:tcW w:w="880" w:type="dxa"/>
            <w:noWrap/>
            <w:vAlign w:val="center"/>
            <w:hideMark/>
          </w:tcPr>
          <w:p w14:paraId="7DB3B1E4"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23.86</w:t>
            </w:r>
          </w:p>
        </w:tc>
        <w:tc>
          <w:tcPr>
            <w:tcW w:w="1190" w:type="dxa"/>
            <w:noWrap/>
            <w:vAlign w:val="center"/>
            <w:hideMark/>
          </w:tcPr>
          <w:p w14:paraId="71BC6CCA"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74.03</w:t>
            </w:r>
          </w:p>
        </w:tc>
      </w:tr>
      <w:tr w:rsidR="00FF5924" w:rsidRPr="00FF5924" w14:paraId="4C6EE804" w14:textId="77777777" w:rsidTr="00FF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60258780" w14:textId="77777777" w:rsidR="00FF5924" w:rsidRPr="00FF5924" w:rsidRDefault="00FF5924" w:rsidP="00FF5924">
            <w:pPr>
              <w:pStyle w:val="NoSpacing"/>
              <w:rPr>
                <w:sz w:val="14"/>
                <w:szCs w:val="14"/>
              </w:rPr>
            </w:pPr>
            <w:r w:rsidRPr="00FF5924">
              <w:rPr>
                <w:sz w:val="14"/>
                <w:szCs w:val="14"/>
              </w:rPr>
              <w:t>Aspur</w:t>
            </w:r>
          </w:p>
        </w:tc>
        <w:tc>
          <w:tcPr>
            <w:tcW w:w="880" w:type="dxa"/>
            <w:noWrap/>
            <w:vAlign w:val="center"/>
            <w:hideMark/>
          </w:tcPr>
          <w:p w14:paraId="1ACC1F1B"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23.94</w:t>
            </w:r>
          </w:p>
        </w:tc>
        <w:tc>
          <w:tcPr>
            <w:tcW w:w="1190" w:type="dxa"/>
            <w:noWrap/>
            <w:vAlign w:val="center"/>
            <w:hideMark/>
          </w:tcPr>
          <w:p w14:paraId="23D20DFA" w14:textId="77777777" w:rsidR="00FF5924" w:rsidRPr="00FF5924" w:rsidRDefault="00FF5924" w:rsidP="00FF5924">
            <w:pPr>
              <w:pStyle w:val="NoSpacing"/>
              <w:cnfStyle w:val="000000100000" w:firstRow="0" w:lastRow="0" w:firstColumn="0" w:lastColumn="0" w:oddVBand="0" w:evenVBand="0" w:oddHBand="1" w:evenHBand="0" w:firstRowFirstColumn="0" w:firstRowLastColumn="0" w:lastRowFirstColumn="0" w:lastRowLastColumn="0"/>
              <w:rPr>
                <w:sz w:val="14"/>
                <w:szCs w:val="14"/>
              </w:rPr>
            </w:pPr>
            <w:r w:rsidRPr="00FF5924">
              <w:rPr>
                <w:sz w:val="14"/>
                <w:szCs w:val="14"/>
              </w:rPr>
              <w:t>74.07</w:t>
            </w:r>
          </w:p>
        </w:tc>
      </w:tr>
      <w:tr w:rsidR="00FF5924" w:rsidRPr="00FF5924" w14:paraId="75647410" w14:textId="77777777" w:rsidTr="00FF5924">
        <w:tc>
          <w:tcPr>
            <w:cnfStyle w:val="001000000000" w:firstRow="0" w:lastRow="0" w:firstColumn="1" w:lastColumn="0" w:oddVBand="0" w:evenVBand="0" w:oddHBand="0" w:evenHBand="0" w:firstRowFirstColumn="0" w:firstRowLastColumn="0" w:lastRowFirstColumn="0" w:lastRowLastColumn="0"/>
            <w:tcW w:w="1525" w:type="dxa"/>
            <w:noWrap/>
            <w:vAlign w:val="center"/>
            <w:hideMark/>
          </w:tcPr>
          <w:p w14:paraId="55C7C422" w14:textId="77777777" w:rsidR="00FF5924" w:rsidRPr="00FF5924" w:rsidRDefault="00FF5924" w:rsidP="00FF5924">
            <w:pPr>
              <w:pStyle w:val="NoSpacing"/>
              <w:rPr>
                <w:sz w:val="14"/>
                <w:szCs w:val="14"/>
              </w:rPr>
            </w:pPr>
            <w:r w:rsidRPr="00FF5924">
              <w:rPr>
                <w:sz w:val="14"/>
                <w:szCs w:val="14"/>
              </w:rPr>
              <w:t>Garda</w:t>
            </w:r>
          </w:p>
        </w:tc>
        <w:tc>
          <w:tcPr>
            <w:tcW w:w="880" w:type="dxa"/>
            <w:noWrap/>
            <w:vAlign w:val="center"/>
            <w:hideMark/>
          </w:tcPr>
          <w:p w14:paraId="6BBC2EA8"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24.001</w:t>
            </w:r>
          </w:p>
        </w:tc>
        <w:tc>
          <w:tcPr>
            <w:tcW w:w="1190" w:type="dxa"/>
            <w:noWrap/>
            <w:vAlign w:val="center"/>
            <w:hideMark/>
          </w:tcPr>
          <w:p w14:paraId="2D56C8DC" w14:textId="77777777" w:rsidR="00FF5924" w:rsidRPr="00FF5924" w:rsidRDefault="00FF5924" w:rsidP="00FF5924">
            <w:pPr>
              <w:pStyle w:val="NoSpacing"/>
              <w:cnfStyle w:val="000000000000" w:firstRow="0" w:lastRow="0" w:firstColumn="0" w:lastColumn="0" w:oddVBand="0" w:evenVBand="0" w:oddHBand="0" w:evenHBand="0" w:firstRowFirstColumn="0" w:firstRowLastColumn="0" w:lastRowFirstColumn="0" w:lastRowLastColumn="0"/>
              <w:rPr>
                <w:sz w:val="14"/>
                <w:szCs w:val="14"/>
              </w:rPr>
            </w:pPr>
            <w:r w:rsidRPr="00FF5924">
              <w:rPr>
                <w:sz w:val="14"/>
                <w:szCs w:val="14"/>
              </w:rPr>
              <w:t>74.08</w:t>
            </w:r>
          </w:p>
        </w:tc>
      </w:tr>
    </w:tbl>
    <w:p w14:paraId="75BFD410" w14:textId="77777777" w:rsidR="00FF5924" w:rsidRPr="00C504AD" w:rsidRDefault="00F27D82" w:rsidP="00FF5924">
      <w:pPr>
        <w:spacing w:after="0" w:line="360" w:lineRule="auto"/>
        <w:rPr>
          <w:rFonts w:ascii="Arial" w:hAnsi="Arial" w:cs="Arial"/>
          <w:sz w:val="24"/>
          <w:szCs w:val="24"/>
        </w:rPr>
      </w:pPr>
      <w:r>
        <w:rPr>
          <w:rFonts w:ascii="Arial" w:hAnsi="Arial" w:cs="Arial"/>
          <w:noProof/>
          <w:sz w:val="24"/>
          <w:szCs w:val="24"/>
        </w:rPr>
        <w:drawing>
          <wp:anchor distT="0" distB="0" distL="114300" distR="114300" simplePos="0" relativeHeight="251659264" behindDoc="1" locked="0" layoutInCell="1" allowOverlap="1" wp14:anchorId="4EC165C8" wp14:editId="5B12C9DE">
            <wp:simplePos x="0" y="0"/>
            <wp:positionH relativeFrom="margin">
              <wp:align>left</wp:align>
            </wp:positionH>
            <wp:positionV relativeFrom="paragraph">
              <wp:posOffset>-3038</wp:posOffset>
            </wp:positionV>
            <wp:extent cx="3552825" cy="2720050"/>
            <wp:effectExtent l="0" t="0" r="0" b="4445"/>
            <wp:wrapNone/>
            <wp:docPr id="3728173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817380" name="Picture 372817380"/>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52825" cy="2720050"/>
                    </a:xfrm>
                    <a:prstGeom prst="rect">
                      <a:avLst/>
                    </a:prstGeom>
                  </pic:spPr>
                </pic:pic>
              </a:graphicData>
            </a:graphic>
            <wp14:sizeRelV relativeFrom="margin">
              <wp14:pctHeight>0</wp14:pctHeight>
            </wp14:sizeRelV>
          </wp:anchor>
        </w:drawing>
      </w:r>
    </w:p>
    <w:p w14:paraId="48B6305C" w14:textId="2BFF21C9" w:rsidR="00F27D82" w:rsidRPr="00C504AD" w:rsidRDefault="00F27D82" w:rsidP="00FF5924">
      <w:pPr>
        <w:spacing w:after="0" w:line="360" w:lineRule="auto"/>
        <w:rPr>
          <w:rFonts w:ascii="Arial" w:hAnsi="Arial" w:cs="Arial"/>
          <w:sz w:val="24"/>
          <w:szCs w:val="24"/>
        </w:rPr>
      </w:pPr>
    </w:p>
    <w:p w14:paraId="025E821E" w14:textId="77777777" w:rsidR="00FF5924" w:rsidRDefault="00FF5924" w:rsidP="00FF5924">
      <w:pPr>
        <w:spacing w:after="0" w:line="360" w:lineRule="auto"/>
        <w:rPr>
          <w:rFonts w:ascii="Arial" w:hAnsi="Arial" w:cs="Arial"/>
          <w:b/>
          <w:bCs/>
          <w:noProof/>
          <w:sz w:val="16"/>
          <w:szCs w:val="16"/>
        </w:rPr>
      </w:pPr>
    </w:p>
    <w:p w14:paraId="1E5ECBC4" w14:textId="77777777" w:rsidR="00FF5924" w:rsidRPr="00F27D82" w:rsidRDefault="00FF5924" w:rsidP="00FF5924">
      <w:pPr>
        <w:spacing w:after="0" w:line="360" w:lineRule="auto"/>
        <w:rPr>
          <w:rFonts w:ascii="Arial" w:hAnsi="Arial" w:cs="Arial"/>
          <w:b/>
          <w:bCs/>
          <w:noProof/>
          <w:sz w:val="16"/>
          <w:szCs w:val="16"/>
        </w:rPr>
      </w:pPr>
    </w:p>
    <w:p w14:paraId="66C7ED26" w14:textId="67B62A13" w:rsidR="00B90BE6" w:rsidRDefault="00B90BE6" w:rsidP="006F45C1">
      <w:pPr>
        <w:spacing w:after="0" w:line="360" w:lineRule="auto"/>
        <w:rPr>
          <w:rFonts w:ascii="Arial" w:hAnsi="Arial" w:cs="Arial"/>
          <w:b/>
          <w:bCs/>
          <w:sz w:val="24"/>
          <w:szCs w:val="24"/>
        </w:rPr>
      </w:pPr>
    </w:p>
    <w:p w14:paraId="02F76C6C" w14:textId="77777777" w:rsidR="00FF5924" w:rsidRDefault="00FF5924" w:rsidP="006F45C1">
      <w:pPr>
        <w:spacing w:after="0" w:line="360" w:lineRule="auto"/>
        <w:rPr>
          <w:rFonts w:ascii="Arial" w:hAnsi="Arial" w:cs="Arial"/>
          <w:b/>
          <w:bCs/>
          <w:sz w:val="24"/>
          <w:szCs w:val="24"/>
        </w:rPr>
      </w:pPr>
    </w:p>
    <w:p w14:paraId="4EDC18B1" w14:textId="77777777" w:rsidR="00FF5924" w:rsidRDefault="00FF5924" w:rsidP="006F45C1">
      <w:pPr>
        <w:spacing w:after="0" w:line="360" w:lineRule="auto"/>
        <w:rPr>
          <w:rFonts w:ascii="Arial" w:hAnsi="Arial" w:cs="Arial"/>
          <w:b/>
          <w:bCs/>
          <w:sz w:val="24"/>
          <w:szCs w:val="24"/>
        </w:rPr>
      </w:pPr>
    </w:p>
    <w:p w14:paraId="20C25347" w14:textId="77777777" w:rsidR="00FF5924" w:rsidRDefault="00FF5924" w:rsidP="006F45C1">
      <w:pPr>
        <w:spacing w:after="0" w:line="360" w:lineRule="auto"/>
        <w:rPr>
          <w:rFonts w:ascii="Arial" w:hAnsi="Arial" w:cs="Arial"/>
          <w:b/>
          <w:bCs/>
          <w:sz w:val="24"/>
          <w:szCs w:val="24"/>
        </w:rPr>
      </w:pPr>
    </w:p>
    <w:p w14:paraId="0AA5BD15" w14:textId="77777777" w:rsidR="00FF5924" w:rsidRDefault="00FF5924" w:rsidP="006F45C1">
      <w:pPr>
        <w:spacing w:after="0" w:line="360" w:lineRule="auto"/>
        <w:rPr>
          <w:rFonts w:ascii="Arial" w:hAnsi="Arial" w:cs="Arial"/>
          <w:b/>
          <w:bCs/>
          <w:sz w:val="24"/>
          <w:szCs w:val="24"/>
        </w:rPr>
      </w:pPr>
    </w:p>
    <w:p w14:paraId="0431E8D0" w14:textId="77777777" w:rsidR="00FF5924" w:rsidRDefault="00FF5924" w:rsidP="006F45C1">
      <w:pPr>
        <w:spacing w:after="0" w:line="360" w:lineRule="auto"/>
        <w:rPr>
          <w:rFonts w:ascii="Arial" w:hAnsi="Arial" w:cs="Arial"/>
          <w:b/>
          <w:bCs/>
          <w:sz w:val="24"/>
          <w:szCs w:val="24"/>
        </w:rPr>
      </w:pPr>
    </w:p>
    <w:p w14:paraId="3AC2E2F5" w14:textId="77777777" w:rsidR="00FF5924" w:rsidRDefault="00FF5924" w:rsidP="006F45C1">
      <w:pPr>
        <w:spacing w:after="0" w:line="360" w:lineRule="auto"/>
        <w:rPr>
          <w:rFonts w:ascii="Arial" w:hAnsi="Arial" w:cs="Arial"/>
          <w:b/>
          <w:bCs/>
          <w:sz w:val="24"/>
          <w:szCs w:val="24"/>
        </w:rPr>
      </w:pPr>
    </w:p>
    <w:p w14:paraId="17DB1830" w14:textId="65EDB7AD" w:rsidR="00FF5924" w:rsidRDefault="00FF5924" w:rsidP="00FF5924">
      <w:pPr>
        <w:spacing w:after="0" w:line="360" w:lineRule="auto"/>
        <w:jc w:val="center"/>
        <w:rPr>
          <w:rFonts w:ascii="Arial" w:hAnsi="Arial" w:cs="Arial"/>
          <w:b/>
          <w:bCs/>
          <w:noProof/>
          <w:sz w:val="16"/>
          <w:szCs w:val="16"/>
        </w:rPr>
      </w:pPr>
      <w:r w:rsidRPr="00F27D82">
        <w:rPr>
          <w:rFonts w:ascii="Arial" w:hAnsi="Arial" w:cs="Arial"/>
          <w:b/>
          <w:bCs/>
          <w:noProof/>
          <w:sz w:val="16"/>
          <w:szCs w:val="16"/>
        </w:rPr>
        <w:t>Figure 2 The Sampling Locations</w:t>
      </w:r>
    </w:p>
    <w:p w14:paraId="0D6FA455" w14:textId="521EFCAF" w:rsidR="00105099" w:rsidRPr="00105099" w:rsidRDefault="00105099" w:rsidP="00105099">
      <w:pPr>
        <w:spacing w:after="0" w:line="360" w:lineRule="auto"/>
        <w:jc w:val="both"/>
        <w:rPr>
          <w:rFonts w:ascii="Arial" w:hAnsi="Arial" w:cs="Arial"/>
          <w:b/>
          <w:bCs/>
          <w:sz w:val="24"/>
          <w:szCs w:val="24"/>
        </w:rPr>
      </w:pPr>
      <w:r>
        <w:rPr>
          <w:rFonts w:ascii="Arial" w:hAnsi="Arial" w:cs="Arial"/>
          <w:b/>
          <w:bCs/>
          <w:sz w:val="24"/>
          <w:szCs w:val="24"/>
        </w:rPr>
        <w:t xml:space="preserve">3.2 </w:t>
      </w:r>
      <w:r w:rsidRPr="00105099">
        <w:rPr>
          <w:rFonts w:ascii="Arial" w:hAnsi="Arial" w:cs="Arial"/>
          <w:b/>
          <w:bCs/>
          <w:sz w:val="24"/>
          <w:szCs w:val="24"/>
        </w:rPr>
        <w:t>Laboratory Analysis of TDS</w:t>
      </w:r>
    </w:p>
    <w:p w14:paraId="0F0014C4" w14:textId="77777777" w:rsidR="00105099" w:rsidRPr="00105099" w:rsidRDefault="00105099" w:rsidP="00105099">
      <w:pPr>
        <w:spacing w:after="0" w:line="360" w:lineRule="auto"/>
        <w:jc w:val="both"/>
        <w:rPr>
          <w:rFonts w:ascii="Arial" w:hAnsi="Arial" w:cs="Arial"/>
          <w:sz w:val="24"/>
          <w:szCs w:val="24"/>
        </w:rPr>
      </w:pPr>
      <w:r w:rsidRPr="00105099">
        <w:rPr>
          <w:rFonts w:ascii="Arial" w:hAnsi="Arial" w:cs="Arial"/>
          <w:sz w:val="24"/>
          <w:szCs w:val="24"/>
        </w:rPr>
        <w:t>Collected groundwater samples were analyzed for Total Dissolved Solids using standard analytical procedures recommended by recognized water quality guidelines. TDS values were determined through gravimetric and conductivity-based methods under controlled laboratory conditions to ensure accuracy and consistency. Quality assurance measures, including calibration of instruments and duplicate sample analysis, were employed to minimize analytical errors.</w:t>
      </w:r>
    </w:p>
    <w:p w14:paraId="36F578DB" w14:textId="14B455EE" w:rsidR="00B3736C" w:rsidRPr="00105099" w:rsidRDefault="00B3736C" w:rsidP="00105099">
      <w:pPr>
        <w:spacing w:after="0" w:line="360" w:lineRule="auto"/>
        <w:jc w:val="both"/>
        <w:rPr>
          <w:rFonts w:ascii="Arial" w:hAnsi="Arial" w:cs="Arial"/>
          <w:b/>
          <w:bCs/>
          <w:sz w:val="24"/>
          <w:szCs w:val="24"/>
        </w:rPr>
      </w:pPr>
      <w:r w:rsidRPr="00105099">
        <w:rPr>
          <w:rFonts w:ascii="Arial" w:hAnsi="Arial" w:cs="Arial"/>
          <w:b/>
          <w:bCs/>
          <w:sz w:val="24"/>
          <w:szCs w:val="24"/>
        </w:rPr>
        <w:t>3.</w:t>
      </w:r>
      <w:r w:rsidR="00105099">
        <w:rPr>
          <w:rFonts w:ascii="Arial" w:hAnsi="Arial" w:cs="Arial"/>
          <w:b/>
          <w:bCs/>
          <w:sz w:val="24"/>
          <w:szCs w:val="24"/>
        </w:rPr>
        <w:t>3</w:t>
      </w:r>
      <w:r w:rsidRPr="00105099">
        <w:rPr>
          <w:rFonts w:ascii="Arial" w:hAnsi="Arial" w:cs="Arial"/>
          <w:b/>
          <w:bCs/>
          <w:sz w:val="24"/>
          <w:szCs w:val="24"/>
        </w:rPr>
        <w:t xml:space="preserve"> </w:t>
      </w:r>
      <w:r w:rsidR="00294647" w:rsidRPr="00294647">
        <w:rPr>
          <w:rFonts w:ascii="Arial" w:hAnsi="Arial" w:cs="Arial"/>
          <w:b/>
          <w:bCs/>
          <w:sz w:val="24"/>
          <w:szCs w:val="24"/>
        </w:rPr>
        <w:t>Spatial Interpolation and GIS Mapping</w:t>
      </w:r>
    </w:p>
    <w:p w14:paraId="12F9808A" w14:textId="7B4F732E" w:rsidR="00294647" w:rsidRPr="00294647" w:rsidRDefault="00B3736C" w:rsidP="00294647">
      <w:pPr>
        <w:spacing w:after="0" w:line="360" w:lineRule="auto"/>
        <w:jc w:val="both"/>
        <w:rPr>
          <w:rFonts w:ascii="Arial" w:hAnsi="Arial" w:cs="Arial"/>
          <w:sz w:val="24"/>
          <w:szCs w:val="24"/>
        </w:rPr>
      </w:pPr>
      <w:r w:rsidRPr="00B3736C">
        <w:rPr>
          <w:rFonts w:ascii="Arial" w:hAnsi="Arial" w:cs="Arial"/>
          <w:sz w:val="24"/>
          <w:szCs w:val="24"/>
        </w:rPr>
        <w:t xml:space="preserve">The collected data were processed and analyzed using </w:t>
      </w:r>
      <w:r w:rsidR="000C490B">
        <w:rPr>
          <w:rFonts w:ascii="Arial" w:hAnsi="Arial" w:cs="Arial"/>
          <w:sz w:val="24"/>
          <w:szCs w:val="24"/>
        </w:rPr>
        <w:t>QGIS 3.24</w:t>
      </w:r>
      <w:r w:rsidRPr="00B3736C">
        <w:rPr>
          <w:rFonts w:ascii="Arial" w:hAnsi="Arial" w:cs="Arial"/>
          <w:sz w:val="24"/>
          <w:szCs w:val="24"/>
        </w:rPr>
        <w:t xml:space="preserve"> for tabulation and graphical representation. This approach helped in identifying spatial patterns, potential contamination sources, and the overall impact of various factors on groundwater quality in the study area.</w:t>
      </w:r>
      <w:r w:rsidR="00294647">
        <w:rPr>
          <w:rFonts w:ascii="Arial" w:hAnsi="Arial" w:cs="Arial"/>
          <w:sz w:val="24"/>
          <w:szCs w:val="24"/>
        </w:rPr>
        <w:t xml:space="preserve"> </w:t>
      </w:r>
      <w:r w:rsidR="00294647" w:rsidRPr="00294647">
        <w:rPr>
          <w:rFonts w:ascii="Arial" w:hAnsi="Arial" w:cs="Arial"/>
          <w:sz w:val="24"/>
          <w:szCs w:val="24"/>
        </w:rPr>
        <w:t>Geographic Information System (GIS) techniques were used to visualize the spatial distribution of TDS across Dungarpur district. Sampling point data were georeferenced using geographic coordinates and imported into GIS software. Spatial interpolation was performed using an appropriate interpolation technique to generate a continuous surface representing TDS concentration trends across the district. This method estimates TDS values for unsampled locations based on the spatial relationship among observed data points.</w:t>
      </w:r>
    </w:p>
    <w:p w14:paraId="08C4F5B1" w14:textId="77777777" w:rsidR="00294647" w:rsidRPr="00294647" w:rsidRDefault="00294647" w:rsidP="00294647">
      <w:pPr>
        <w:spacing w:after="0" w:line="360" w:lineRule="auto"/>
        <w:jc w:val="both"/>
        <w:rPr>
          <w:rFonts w:ascii="Arial" w:hAnsi="Arial" w:cs="Arial"/>
          <w:sz w:val="24"/>
          <w:szCs w:val="24"/>
        </w:rPr>
      </w:pPr>
      <w:r w:rsidRPr="00294647">
        <w:rPr>
          <w:rFonts w:ascii="Arial" w:hAnsi="Arial" w:cs="Arial"/>
          <w:sz w:val="24"/>
          <w:szCs w:val="24"/>
        </w:rPr>
        <w:lastRenderedPageBreak/>
        <w:t>The interpolated TDS surface was clipped to the administrative boundary of Dungarpur district to ensure spatial accuracy. Tehsil boundaries were overlaid on the map to enable tehsil-wise interpretation of groundwater quality patterns.</w:t>
      </w:r>
    </w:p>
    <w:p w14:paraId="07124CB0" w14:textId="7EADD10F" w:rsidR="00294647" w:rsidRPr="00294647" w:rsidRDefault="00294647" w:rsidP="00294647">
      <w:pPr>
        <w:spacing w:after="0" w:line="360" w:lineRule="auto"/>
        <w:jc w:val="both"/>
        <w:rPr>
          <w:rFonts w:ascii="Arial" w:hAnsi="Arial" w:cs="Arial"/>
          <w:b/>
          <w:bCs/>
          <w:sz w:val="24"/>
          <w:szCs w:val="24"/>
        </w:rPr>
      </w:pPr>
      <w:r>
        <w:rPr>
          <w:rFonts w:ascii="Arial" w:hAnsi="Arial" w:cs="Arial"/>
          <w:b/>
          <w:bCs/>
          <w:sz w:val="24"/>
          <w:szCs w:val="24"/>
        </w:rPr>
        <w:t xml:space="preserve">3.4 </w:t>
      </w:r>
      <w:r w:rsidRPr="00294647">
        <w:rPr>
          <w:rFonts w:ascii="Arial" w:hAnsi="Arial" w:cs="Arial"/>
          <w:b/>
          <w:bCs/>
          <w:sz w:val="24"/>
          <w:szCs w:val="24"/>
        </w:rPr>
        <w:t>Map Preparation and Visualization</w:t>
      </w:r>
    </w:p>
    <w:p w14:paraId="7FFCC170" w14:textId="6D3A1EF0" w:rsidR="00294647" w:rsidRDefault="00294647" w:rsidP="00B3736C">
      <w:pPr>
        <w:spacing w:after="0" w:line="360" w:lineRule="auto"/>
        <w:jc w:val="both"/>
        <w:rPr>
          <w:rFonts w:ascii="Arial" w:hAnsi="Arial" w:cs="Arial"/>
          <w:sz w:val="24"/>
          <w:szCs w:val="24"/>
        </w:rPr>
      </w:pPr>
      <w:r w:rsidRPr="00294647">
        <w:rPr>
          <w:rFonts w:ascii="Arial" w:hAnsi="Arial" w:cs="Arial"/>
          <w:sz w:val="24"/>
          <w:szCs w:val="24"/>
        </w:rPr>
        <w:t>The final TDS distribution map was prepared using a graded color scheme, where lighter shades represent lower TDS concentrations and darker shades indicate higher levels. This visual classification enhances interpretability and allows quick identification of areas with relatively elevated TDS levels. Essential cartographic elements such as legend, scale bar, north arrow, and administrative labels were incorporated to improve map readability and scientific presentation.</w:t>
      </w:r>
    </w:p>
    <w:p w14:paraId="43895120" w14:textId="77777777" w:rsidR="000317F7" w:rsidRPr="00E6507F" w:rsidRDefault="000317F7" w:rsidP="00B3736C">
      <w:pPr>
        <w:spacing w:after="0" w:line="360" w:lineRule="auto"/>
        <w:jc w:val="both"/>
        <w:rPr>
          <w:rFonts w:ascii="Arial" w:hAnsi="Arial" w:cs="Arial"/>
          <w:b/>
          <w:bCs/>
          <w:sz w:val="24"/>
          <w:szCs w:val="24"/>
        </w:rPr>
      </w:pPr>
    </w:p>
    <w:p w14:paraId="46D3FF4C" w14:textId="0BF31CF8" w:rsidR="000317F7" w:rsidRPr="00E6507F" w:rsidRDefault="00E6507F" w:rsidP="00E6507F">
      <w:pPr>
        <w:pStyle w:val="ListParagraph"/>
        <w:numPr>
          <w:ilvl w:val="0"/>
          <w:numId w:val="2"/>
        </w:numPr>
        <w:spacing w:after="0" w:line="360" w:lineRule="auto"/>
        <w:jc w:val="both"/>
        <w:rPr>
          <w:rFonts w:ascii="Arial" w:hAnsi="Arial" w:cs="Arial"/>
          <w:b/>
          <w:bCs/>
          <w:sz w:val="24"/>
          <w:szCs w:val="24"/>
        </w:rPr>
      </w:pPr>
      <w:r w:rsidRPr="00E6507F">
        <w:rPr>
          <w:rFonts w:ascii="Arial" w:hAnsi="Arial" w:cs="Arial"/>
          <w:b/>
          <w:bCs/>
          <w:sz w:val="24"/>
          <w:szCs w:val="24"/>
        </w:rPr>
        <w:t xml:space="preserve">Result and </w:t>
      </w:r>
      <w:r w:rsidR="00E304D4">
        <w:rPr>
          <w:rFonts w:ascii="Arial" w:hAnsi="Arial" w:cs="Arial"/>
          <w:b/>
          <w:bCs/>
          <w:sz w:val="24"/>
          <w:szCs w:val="24"/>
        </w:rPr>
        <w:t>Discussion</w:t>
      </w:r>
    </w:p>
    <w:p w14:paraId="4C0D7A87" w14:textId="53B6C046" w:rsidR="007D6A80" w:rsidRDefault="00797F64" w:rsidP="00797F64">
      <w:pPr>
        <w:spacing w:after="0" w:line="360" w:lineRule="auto"/>
        <w:jc w:val="both"/>
        <w:rPr>
          <w:rFonts w:ascii="Arial" w:hAnsi="Arial" w:cs="Arial"/>
          <w:sz w:val="24"/>
          <w:szCs w:val="24"/>
        </w:rPr>
      </w:pPr>
      <w:r w:rsidRPr="00797F64">
        <w:rPr>
          <w:rFonts w:ascii="Arial" w:hAnsi="Arial" w:cs="Arial"/>
          <w:sz w:val="24"/>
          <w:szCs w:val="24"/>
        </w:rPr>
        <w:t xml:space="preserve">The analysis of groundwater Total Dissolved Solids (TDS) levels in Dungarpur district reveals significant spatial variations, </w:t>
      </w:r>
      <w:r w:rsidR="00DF51E0">
        <w:rPr>
          <w:rFonts w:ascii="Arial" w:hAnsi="Arial" w:cs="Arial"/>
          <w:sz w:val="24"/>
          <w:szCs w:val="24"/>
        </w:rPr>
        <w:t xml:space="preserve">which </w:t>
      </w:r>
      <w:r w:rsidRPr="00797F64">
        <w:rPr>
          <w:rFonts w:ascii="Arial" w:hAnsi="Arial" w:cs="Arial"/>
          <w:sz w:val="24"/>
          <w:szCs w:val="24"/>
        </w:rPr>
        <w:t xml:space="preserve">influencing water quality and usability. The TDS values range from 227 mg/L in </w:t>
      </w:r>
      <w:proofErr w:type="spellStart"/>
      <w:r w:rsidRPr="00797F64">
        <w:rPr>
          <w:rFonts w:ascii="Arial" w:hAnsi="Arial" w:cs="Arial"/>
          <w:sz w:val="24"/>
          <w:szCs w:val="24"/>
        </w:rPr>
        <w:t>Chandradiya</w:t>
      </w:r>
      <w:proofErr w:type="spellEnd"/>
      <w:r w:rsidRPr="00797F64">
        <w:rPr>
          <w:rFonts w:ascii="Arial" w:hAnsi="Arial" w:cs="Arial"/>
          <w:sz w:val="24"/>
          <w:szCs w:val="24"/>
        </w:rPr>
        <w:t xml:space="preserve"> to 1225 mg/L in </w:t>
      </w:r>
      <w:proofErr w:type="spellStart"/>
      <w:r w:rsidRPr="00797F64">
        <w:rPr>
          <w:rFonts w:ascii="Arial" w:hAnsi="Arial" w:cs="Arial"/>
          <w:sz w:val="24"/>
          <w:szCs w:val="24"/>
        </w:rPr>
        <w:t>Odabada</w:t>
      </w:r>
      <w:proofErr w:type="spellEnd"/>
      <w:r w:rsidRPr="00797F64">
        <w:rPr>
          <w:rFonts w:ascii="Arial" w:hAnsi="Arial" w:cs="Arial"/>
          <w:sz w:val="24"/>
          <w:szCs w:val="24"/>
        </w:rPr>
        <w:t xml:space="preserve">, with an average of approximately 440 mg/L, which is within the desirable limit of 500 mg/L set by IS 10500:2012 for drinking water. Most locations (76%) fall within the safe limit, indicating generally good water quality. However, </w:t>
      </w:r>
      <w:proofErr w:type="spellStart"/>
      <w:r w:rsidRPr="00797F64">
        <w:rPr>
          <w:rFonts w:ascii="Arial" w:hAnsi="Arial" w:cs="Arial"/>
          <w:sz w:val="24"/>
          <w:szCs w:val="24"/>
        </w:rPr>
        <w:t>Odabada</w:t>
      </w:r>
      <w:proofErr w:type="spellEnd"/>
      <w:r w:rsidRPr="00797F64">
        <w:rPr>
          <w:rFonts w:ascii="Arial" w:hAnsi="Arial" w:cs="Arial"/>
          <w:sz w:val="24"/>
          <w:szCs w:val="24"/>
        </w:rPr>
        <w:t xml:space="preserve"> (1225 mg/L) exceeds the desirable limit, raising concerns about potential mineral leaching, agricultural runoff, or anthropogenic contamination. </w:t>
      </w:r>
      <w:proofErr w:type="spellStart"/>
      <w:r w:rsidRPr="00797F64">
        <w:rPr>
          <w:rFonts w:ascii="Arial" w:hAnsi="Arial" w:cs="Arial"/>
          <w:sz w:val="24"/>
          <w:szCs w:val="24"/>
        </w:rPr>
        <w:t>Virwada</w:t>
      </w:r>
      <w:proofErr w:type="spellEnd"/>
      <w:r w:rsidRPr="00797F64">
        <w:rPr>
          <w:rFonts w:ascii="Arial" w:hAnsi="Arial" w:cs="Arial"/>
          <w:sz w:val="24"/>
          <w:szCs w:val="24"/>
        </w:rPr>
        <w:t xml:space="preserve"> (778 mg/L) and </w:t>
      </w:r>
      <w:proofErr w:type="spellStart"/>
      <w:r w:rsidRPr="00797F64">
        <w:rPr>
          <w:rFonts w:ascii="Arial" w:hAnsi="Arial" w:cs="Arial"/>
          <w:sz w:val="24"/>
          <w:szCs w:val="24"/>
        </w:rPr>
        <w:t>Simalwada</w:t>
      </w:r>
      <w:proofErr w:type="spellEnd"/>
      <w:r w:rsidRPr="00797F64">
        <w:rPr>
          <w:rFonts w:ascii="Arial" w:hAnsi="Arial" w:cs="Arial"/>
          <w:sz w:val="24"/>
          <w:szCs w:val="24"/>
        </w:rPr>
        <w:t xml:space="preserve"> (607 mg/L) also show moderately high TDS levels, which may impact water taste and usability over time. On the other hand, </w:t>
      </w:r>
      <w:proofErr w:type="spellStart"/>
      <w:r w:rsidRPr="00797F64">
        <w:rPr>
          <w:rFonts w:ascii="Arial" w:hAnsi="Arial" w:cs="Arial"/>
          <w:sz w:val="24"/>
          <w:szCs w:val="24"/>
        </w:rPr>
        <w:t>Chandradiya</w:t>
      </w:r>
      <w:proofErr w:type="spellEnd"/>
      <w:r w:rsidRPr="00797F64">
        <w:rPr>
          <w:rFonts w:ascii="Arial" w:hAnsi="Arial" w:cs="Arial"/>
          <w:sz w:val="24"/>
          <w:szCs w:val="24"/>
        </w:rPr>
        <w:t xml:space="preserve"> (227 mg/L), </w:t>
      </w:r>
      <w:proofErr w:type="spellStart"/>
      <w:r w:rsidRPr="00797F64">
        <w:rPr>
          <w:rFonts w:ascii="Arial" w:hAnsi="Arial" w:cs="Arial"/>
          <w:sz w:val="24"/>
          <w:szCs w:val="24"/>
        </w:rPr>
        <w:t>Kanba</w:t>
      </w:r>
      <w:proofErr w:type="spellEnd"/>
      <w:r w:rsidRPr="00797F64">
        <w:rPr>
          <w:rFonts w:ascii="Arial" w:hAnsi="Arial" w:cs="Arial"/>
          <w:sz w:val="24"/>
          <w:szCs w:val="24"/>
        </w:rPr>
        <w:t xml:space="preserve"> (298 mg/L), and Aspur (285 mg/L) have the lowest TDS, which, while indicating low salinity, may lack essential minerals necessary for human consumption. </w:t>
      </w:r>
    </w:p>
    <w:p w14:paraId="2254ACB7" w14:textId="3C902CBD" w:rsidR="007D6A80" w:rsidRDefault="007D6A80" w:rsidP="00797F64">
      <w:pPr>
        <w:spacing w:after="0" w:line="360" w:lineRule="auto"/>
        <w:jc w:val="both"/>
        <w:rPr>
          <w:rFonts w:ascii="Arial" w:hAnsi="Arial" w:cs="Arial"/>
          <w:sz w:val="24"/>
          <w:szCs w:val="24"/>
        </w:rPr>
      </w:pPr>
      <w:r>
        <w:rPr>
          <w:rFonts w:ascii="Arial" w:hAnsi="Arial" w:cs="Arial"/>
          <w:noProof/>
          <w:sz w:val="24"/>
          <w:szCs w:val="24"/>
        </w:rPr>
        <w:lastRenderedPageBreak/>
        <w:drawing>
          <wp:inline distT="0" distB="0" distL="0" distR="0" wp14:anchorId="021134F1" wp14:editId="791C1C85">
            <wp:extent cx="5994619" cy="4255129"/>
            <wp:effectExtent l="0" t="0" r="6350" b="0"/>
            <wp:docPr id="1719662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662590" name="Picture 1719662590"/>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06604" cy="4263636"/>
                    </a:xfrm>
                    <a:prstGeom prst="rect">
                      <a:avLst/>
                    </a:prstGeom>
                  </pic:spPr>
                </pic:pic>
              </a:graphicData>
            </a:graphic>
          </wp:inline>
        </w:drawing>
      </w:r>
    </w:p>
    <w:p w14:paraId="1EE0C4A3" w14:textId="37058C6C" w:rsidR="007D6A80" w:rsidRDefault="007D6A80" w:rsidP="007D6A80">
      <w:pPr>
        <w:spacing w:after="0" w:line="360" w:lineRule="auto"/>
        <w:jc w:val="center"/>
        <w:rPr>
          <w:rFonts w:ascii="Arial" w:hAnsi="Arial" w:cs="Arial"/>
          <w:sz w:val="24"/>
          <w:szCs w:val="24"/>
        </w:rPr>
      </w:pPr>
      <w:r>
        <w:rPr>
          <w:rFonts w:ascii="Arial" w:hAnsi="Arial" w:cs="Arial"/>
          <w:sz w:val="24"/>
          <w:szCs w:val="24"/>
        </w:rPr>
        <w:t>Figure 3 TDS levels in Dungarpur District</w:t>
      </w:r>
    </w:p>
    <w:p w14:paraId="06F99026" w14:textId="6AE8EC7D" w:rsidR="007D6A80" w:rsidRPr="007D6A80" w:rsidRDefault="007D6A80" w:rsidP="007D6A80">
      <w:pPr>
        <w:spacing w:after="0" w:line="360" w:lineRule="auto"/>
        <w:ind w:firstLine="720"/>
        <w:jc w:val="both"/>
        <w:rPr>
          <w:rFonts w:ascii="Arial" w:hAnsi="Arial" w:cs="Arial"/>
          <w:sz w:val="24"/>
          <w:szCs w:val="24"/>
        </w:rPr>
      </w:pPr>
      <w:r w:rsidRPr="007D6A80">
        <w:rPr>
          <w:rFonts w:ascii="Arial" w:hAnsi="Arial" w:cs="Arial"/>
          <w:sz w:val="24"/>
          <w:szCs w:val="24"/>
        </w:rPr>
        <w:t>The TDS (Total Dissolved Solids) map (Figure 3) of Dungarpur district visually represents the spatial distribution of groundwater salinity across different tehsils. The color gradient indicates varying TDS levels, ranging from ≤ 371.5 mg/L (lightest shade) to &gt; 1073.3 mg/L (darkest shade).</w:t>
      </w:r>
    </w:p>
    <w:p w14:paraId="2F1BA5C6" w14:textId="77777777" w:rsidR="007D6A80" w:rsidRPr="007D6A80" w:rsidRDefault="007D6A80" w:rsidP="007D6A80">
      <w:pPr>
        <w:spacing w:after="0" w:line="360" w:lineRule="auto"/>
        <w:jc w:val="both"/>
        <w:rPr>
          <w:rFonts w:ascii="Arial" w:hAnsi="Arial" w:cs="Arial"/>
          <w:sz w:val="24"/>
          <w:szCs w:val="24"/>
        </w:rPr>
      </w:pPr>
      <w:r w:rsidRPr="007D6A80">
        <w:rPr>
          <w:rFonts w:ascii="Arial" w:hAnsi="Arial" w:cs="Arial"/>
          <w:sz w:val="24"/>
          <w:szCs w:val="24"/>
        </w:rPr>
        <w:t>Key Observations from the Map:</w:t>
      </w:r>
    </w:p>
    <w:p w14:paraId="52B35799" w14:textId="77777777" w:rsidR="007D6A80" w:rsidRPr="007D6A80" w:rsidRDefault="007D6A80" w:rsidP="007D6A80">
      <w:pPr>
        <w:numPr>
          <w:ilvl w:val="0"/>
          <w:numId w:val="3"/>
        </w:numPr>
        <w:spacing w:after="0" w:line="360" w:lineRule="auto"/>
        <w:jc w:val="both"/>
        <w:rPr>
          <w:rFonts w:ascii="Arial" w:hAnsi="Arial" w:cs="Arial"/>
          <w:sz w:val="24"/>
          <w:szCs w:val="24"/>
        </w:rPr>
      </w:pPr>
      <w:r w:rsidRPr="007D6A80">
        <w:rPr>
          <w:rFonts w:ascii="Arial" w:hAnsi="Arial" w:cs="Arial"/>
          <w:sz w:val="24"/>
          <w:szCs w:val="24"/>
        </w:rPr>
        <w:t>High TDS Zones:</w:t>
      </w:r>
    </w:p>
    <w:p w14:paraId="45346B0A" w14:textId="77777777" w:rsidR="007D6A80" w:rsidRPr="007D6A80" w:rsidRDefault="007D6A80" w:rsidP="007D6A80">
      <w:pPr>
        <w:numPr>
          <w:ilvl w:val="1"/>
          <w:numId w:val="3"/>
        </w:numPr>
        <w:spacing w:after="0" w:line="360" w:lineRule="auto"/>
        <w:jc w:val="both"/>
        <w:rPr>
          <w:rFonts w:ascii="Arial" w:hAnsi="Arial" w:cs="Arial"/>
          <w:sz w:val="24"/>
          <w:szCs w:val="24"/>
        </w:rPr>
      </w:pPr>
      <w:r w:rsidRPr="007D6A80">
        <w:rPr>
          <w:rFonts w:ascii="Arial" w:hAnsi="Arial" w:cs="Arial"/>
          <w:sz w:val="24"/>
          <w:szCs w:val="24"/>
        </w:rPr>
        <w:t>The Bichhiwara Tehsil shows the highest TDS levels, with dark blue zones exceeding 1073 mg/L, indicating possible groundwater contamination or natural mineral dissolution.</w:t>
      </w:r>
    </w:p>
    <w:p w14:paraId="06FB2C0A" w14:textId="77777777" w:rsidR="007D6A80" w:rsidRPr="007D6A80" w:rsidRDefault="007D6A80" w:rsidP="007D6A80">
      <w:pPr>
        <w:numPr>
          <w:ilvl w:val="1"/>
          <w:numId w:val="3"/>
        </w:numPr>
        <w:spacing w:after="0" w:line="360" w:lineRule="auto"/>
        <w:jc w:val="both"/>
        <w:rPr>
          <w:rFonts w:ascii="Arial" w:hAnsi="Arial" w:cs="Arial"/>
          <w:sz w:val="24"/>
          <w:szCs w:val="24"/>
        </w:rPr>
      </w:pPr>
      <w:r w:rsidRPr="007D6A80">
        <w:rPr>
          <w:rFonts w:ascii="Arial" w:hAnsi="Arial" w:cs="Arial"/>
          <w:sz w:val="24"/>
          <w:szCs w:val="24"/>
        </w:rPr>
        <w:t xml:space="preserve">Some parts of </w:t>
      </w:r>
      <w:proofErr w:type="spellStart"/>
      <w:r w:rsidRPr="007D6A80">
        <w:rPr>
          <w:rFonts w:ascii="Arial" w:hAnsi="Arial" w:cs="Arial"/>
          <w:sz w:val="24"/>
          <w:szCs w:val="24"/>
        </w:rPr>
        <w:t>Jhothari</w:t>
      </w:r>
      <w:proofErr w:type="spellEnd"/>
      <w:r w:rsidRPr="007D6A80">
        <w:rPr>
          <w:rFonts w:ascii="Arial" w:hAnsi="Arial" w:cs="Arial"/>
          <w:sz w:val="24"/>
          <w:szCs w:val="24"/>
        </w:rPr>
        <w:t xml:space="preserve"> Tehsil also exhibit moderate to high TDS levels.</w:t>
      </w:r>
    </w:p>
    <w:p w14:paraId="6CD52118" w14:textId="77777777" w:rsidR="007D6A80" w:rsidRPr="007D6A80" w:rsidRDefault="007D6A80" w:rsidP="007D6A80">
      <w:pPr>
        <w:numPr>
          <w:ilvl w:val="0"/>
          <w:numId w:val="3"/>
        </w:numPr>
        <w:spacing w:after="0" w:line="360" w:lineRule="auto"/>
        <w:jc w:val="both"/>
        <w:rPr>
          <w:rFonts w:ascii="Arial" w:hAnsi="Arial" w:cs="Arial"/>
          <w:sz w:val="24"/>
          <w:szCs w:val="24"/>
        </w:rPr>
      </w:pPr>
      <w:r w:rsidRPr="007D6A80">
        <w:rPr>
          <w:rFonts w:ascii="Arial" w:hAnsi="Arial" w:cs="Arial"/>
          <w:sz w:val="24"/>
          <w:szCs w:val="24"/>
        </w:rPr>
        <w:t>Moderate TDS Zones:</w:t>
      </w:r>
    </w:p>
    <w:p w14:paraId="47638F07" w14:textId="77777777" w:rsidR="007D6A80" w:rsidRPr="007D6A80" w:rsidRDefault="007D6A80" w:rsidP="007D6A80">
      <w:pPr>
        <w:numPr>
          <w:ilvl w:val="1"/>
          <w:numId w:val="3"/>
        </w:numPr>
        <w:spacing w:after="0" w:line="360" w:lineRule="auto"/>
        <w:jc w:val="both"/>
        <w:rPr>
          <w:rFonts w:ascii="Arial" w:hAnsi="Arial" w:cs="Arial"/>
          <w:sz w:val="24"/>
          <w:szCs w:val="24"/>
        </w:rPr>
      </w:pPr>
      <w:r w:rsidRPr="007D6A80">
        <w:rPr>
          <w:rFonts w:ascii="Arial" w:hAnsi="Arial" w:cs="Arial"/>
          <w:sz w:val="24"/>
          <w:szCs w:val="24"/>
        </w:rPr>
        <w:t xml:space="preserve">Dungarpur, </w:t>
      </w:r>
      <w:proofErr w:type="spellStart"/>
      <w:r w:rsidRPr="007D6A80">
        <w:rPr>
          <w:rFonts w:ascii="Arial" w:hAnsi="Arial" w:cs="Arial"/>
          <w:sz w:val="24"/>
          <w:szCs w:val="24"/>
        </w:rPr>
        <w:t>Simalwara</w:t>
      </w:r>
      <w:proofErr w:type="spellEnd"/>
      <w:r w:rsidRPr="007D6A80">
        <w:rPr>
          <w:rFonts w:ascii="Arial" w:hAnsi="Arial" w:cs="Arial"/>
          <w:sz w:val="24"/>
          <w:szCs w:val="24"/>
        </w:rPr>
        <w:t xml:space="preserve">, and </w:t>
      </w:r>
      <w:proofErr w:type="spellStart"/>
      <w:r w:rsidRPr="007D6A80">
        <w:rPr>
          <w:rFonts w:ascii="Arial" w:hAnsi="Arial" w:cs="Arial"/>
          <w:sz w:val="24"/>
          <w:szCs w:val="24"/>
        </w:rPr>
        <w:t>Gamdi</w:t>
      </w:r>
      <w:proofErr w:type="spellEnd"/>
      <w:r w:rsidRPr="007D6A80">
        <w:rPr>
          <w:rFonts w:ascii="Arial" w:hAnsi="Arial" w:cs="Arial"/>
          <w:sz w:val="24"/>
          <w:szCs w:val="24"/>
        </w:rPr>
        <w:t xml:space="preserve"> </w:t>
      </w:r>
      <w:proofErr w:type="spellStart"/>
      <w:r w:rsidRPr="007D6A80">
        <w:rPr>
          <w:rFonts w:ascii="Arial" w:hAnsi="Arial" w:cs="Arial"/>
          <w:sz w:val="24"/>
          <w:szCs w:val="24"/>
        </w:rPr>
        <w:t>Ahada</w:t>
      </w:r>
      <w:proofErr w:type="spellEnd"/>
      <w:r w:rsidRPr="007D6A80">
        <w:rPr>
          <w:rFonts w:ascii="Arial" w:hAnsi="Arial" w:cs="Arial"/>
          <w:sz w:val="24"/>
          <w:szCs w:val="24"/>
        </w:rPr>
        <w:t xml:space="preserve"> Tehsils have TDS values ranging between 511 to 792 mg/L, which is within permissible limits but could affect water taste and usage over time.</w:t>
      </w:r>
    </w:p>
    <w:p w14:paraId="5172DC61" w14:textId="77777777" w:rsidR="007D6A80" w:rsidRPr="007D6A80" w:rsidRDefault="007D6A80" w:rsidP="007D6A80">
      <w:pPr>
        <w:numPr>
          <w:ilvl w:val="0"/>
          <w:numId w:val="3"/>
        </w:numPr>
        <w:spacing w:after="0" w:line="360" w:lineRule="auto"/>
        <w:jc w:val="both"/>
        <w:rPr>
          <w:rFonts w:ascii="Arial" w:hAnsi="Arial" w:cs="Arial"/>
          <w:sz w:val="24"/>
          <w:szCs w:val="24"/>
        </w:rPr>
      </w:pPr>
      <w:r w:rsidRPr="007D6A80">
        <w:rPr>
          <w:rFonts w:ascii="Arial" w:hAnsi="Arial" w:cs="Arial"/>
          <w:sz w:val="24"/>
          <w:szCs w:val="24"/>
        </w:rPr>
        <w:lastRenderedPageBreak/>
        <w:t>Low TDS Zones:</w:t>
      </w:r>
    </w:p>
    <w:p w14:paraId="3E7D511A" w14:textId="77777777" w:rsidR="007D6A80" w:rsidRPr="007D6A80" w:rsidRDefault="007D6A80" w:rsidP="007D6A80">
      <w:pPr>
        <w:numPr>
          <w:ilvl w:val="1"/>
          <w:numId w:val="3"/>
        </w:numPr>
        <w:spacing w:after="0" w:line="360" w:lineRule="auto"/>
        <w:jc w:val="both"/>
        <w:rPr>
          <w:rFonts w:ascii="Arial" w:hAnsi="Arial" w:cs="Arial"/>
          <w:sz w:val="24"/>
          <w:szCs w:val="24"/>
        </w:rPr>
      </w:pPr>
      <w:r w:rsidRPr="007D6A80">
        <w:rPr>
          <w:rFonts w:ascii="Arial" w:hAnsi="Arial" w:cs="Arial"/>
          <w:sz w:val="24"/>
          <w:szCs w:val="24"/>
        </w:rPr>
        <w:t>Aspur, Sabla, Galiakot, and Chikhli Tehsils have the lowest TDS concentrations, mostly ≤ 371 mg/L, suggesting good groundwater quality with minimal dissolved solids.</w:t>
      </w:r>
    </w:p>
    <w:p w14:paraId="689D2072" w14:textId="77777777" w:rsidR="007D6A80" w:rsidRPr="007D6A80" w:rsidRDefault="007D6A80" w:rsidP="007D6A80">
      <w:pPr>
        <w:numPr>
          <w:ilvl w:val="1"/>
          <w:numId w:val="3"/>
        </w:numPr>
        <w:spacing w:after="0" w:line="360" w:lineRule="auto"/>
        <w:jc w:val="both"/>
        <w:rPr>
          <w:rFonts w:ascii="Arial" w:hAnsi="Arial" w:cs="Arial"/>
          <w:sz w:val="24"/>
          <w:szCs w:val="24"/>
        </w:rPr>
      </w:pPr>
      <w:r w:rsidRPr="007D6A80">
        <w:rPr>
          <w:rFonts w:ascii="Arial" w:hAnsi="Arial" w:cs="Arial"/>
          <w:sz w:val="24"/>
          <w:szCs w:val="24"/>
        </w:rPr>
        <w:t>These areas may require mineral supplementation if used for drinking purposes, as excessively low TDS can lead to demineralized water, which lacks essential nutrients.</w:t>
      </w:r>
    </w:p>
    <w:p w14:paraId="1027CE63" w14:textId="052D8F22" w:rsidR="007D6A80" w:rsidRPr="007D6A80" w:rsidRDefault="007D6A80" w:rsidP="00797F64">
      <w:pPr>
        <w:spacing w:after="0" w:line="360" w:lineRule="auto"/>
        <w:jc w:val="both"/>
        <w:rPr>
          <w:rFonts w:ascii="Arial" w:hAnsi="Arial" w:cs="Arial"/>
          <w:sz w:val="24"/>
          <w:szCs w:val="24"/>
        </w:rPr>
      </w:pPr>
    </w:p>
    <w:p w14:paraId="76749F08" w14:textId="0C5C4D48" w:rsidR="00797F64" w:rsidRDefault="00797F64" w:rsidP="00797F64">
      <w:pPr>
        <w:spacing w:after="0" w:line="360" w:lineRule="auto"/>
        <w:jc w:val="both"/>
        <w:rPr>
          <w:rFonts w:ascii="Arial" w:hAnsi="Arial" w:cs="Arial"/>
          <w:sz w:val="24"/>
          <w:szCs w:val="24"/>
        </w:rPr>
      </w:pPr>
      <w:r w:rsidRPr="00797F64">
        <w:rPr>
          <w:rFonts w:ascii="Arial" w:hAnsi="Arial" w:cs="Arial"/>
          <w:sz w:val="24"/>
          <w:szCs w:val="24"/>
        </w:rPr>
        <w:t>The variations in TDS could be attributed to geological formations, agricultural activities, and seasonal changes affecting groundwater recharge. To ensure water safety, regular monitoring, improved filtration techniques, and sustainable water management practices are essential. Areas with high TDS should consider reverse osmosis (RO) treatment, while promoting rainwater harvesting can help dilute mineral concentrations, ensuring long-term groundwater sustainability.</w:t>
      </w:r>
    </w:p>
    <w:p w14:paraId="756DCBBB" w14:textId="76766966" w:rsidR="0084287F" w:rsidRPr="0084287F" w:rsidRDefault="00294647" w:rsidP="0084287F">
      <w:pPr>
        <w:spacing w:after="0" w:line="360" w:lineRule="auto"/>
        <w:jc w:val="both"/>
        <w:rPr>
          <w:rFonts w:ascii="Arial" w:hAnsi="Arial" w:cs="Arial"/>
          <w:b/>
          <w:bCs/>
          <w:sz w:val="24"/>
          <w:szCs w:val="24"/>
        </w:rPr>
      </w:pPr>
      <w:r>
        <w:rPr>
          <w:rFonts w:ascii="Arial" w:hAnsi="Arial" w:cs="Arial"/>
          <w:b/>
          <w:bCs/>
          <w:sz w:val="24"/>
          <w:szCs w:val="24"/>
        </w:rPr>
        <w:t xml:space="preserve">4.1 </w:t>
      </w:r>
      <w:r w:rsidR="0084287F" w:rsidRPr="0084287F">
        <w:rPr>
          <w:rFonts w:ascii="Arial" w:hAnsi="Arial" w:cs="Arial"/>
          <w:b/>
          <w:bCs/>
          <w:sz w:val="24"/>
          <w:szCs w:val="24"/>
        </w:rPr>
        <w:t>Influence of Geology and Land Use</w:t>
      </w:r>
    </w:p>
    <w:p w14:paraId="102DB674" w14:textId="77777777" w:rsidR="0084287F" w:rsidRPr="0084287F" w:rsidRDefault="0084287F" w:rsidP="0084287F">
      <w:pPr>
        <w:spacing w:after="0" w:line="360" w:lineRule="auto"/>
        <w:jc w:val="both"/>
        <w:rPr>
          <w:rFonts w:ascii="Arial" w:hAnsi="Arial" w:cs="Arial"/>
          <w:sz w:val="24"/>
          <w:szCs w:val="24"/>
        </w:rPr>
      </w:pPr>
      <w:r w:rsidRPr="0084287F">
        <w:rPr>
          <w:rFonts w:ascii="Arial" w:hAnsi="Arial" w:cs="Arial"/>
          <w:sz w:val="24"/>
          <w:szCs w:val="24"/>
        </w:rPr>
        <w:t>The spatial variation of TDS in Dungarpur district can be largely attributed to geological heterogeneity and land-use patterns. The district lies within the Aravalli Supergroup, characterized by metamorphic rocks such as phyllite, quartzite, schist, and gneiss. Weathering and dissolution of these rock types release various ions into groundwater, thereby influencing TDS concentrations. Areas with shallow aquifers and limited recharge tend to exhibit higher TDS due to evaporation and concentration effects, particularly during pre-monsoon periods.</w:t>
      </w:r>
    </w:p>
    <w:p w14:paraId="44BD3ACF" w14:textId="77777777" w:rsidR="0084287F" w:rsidRDefault="0084287F" w:rsidP="0084287F">
      <w:pPr>
        <w:spacing w:after="0" w:line="360" w:lineRule="auto"/>
        <w:jc w:val="both"/>
        <w:rPr>
          <w:rFonts w:ascii="Arial" w:hAnsi="Arial" w:cs="Arial"/>
          <w:sz w:val="24"/>
          <w:szCs w:val="24"/>
        </w:rPr>
      </w:pPr>
      <w:r w:rsidRPr="0084287F">
        <w:rPr>
          <w:rFonts w:ascii="Arial" w:hAnsi="Arial" w:cs="Arial"/>
          <w:sz w:val="24"/>
          <w:szCs w:val="24"/>
        </w:rPr>
        <w:t>Anthropogenic factors such as agricultural practices, use of chemical fertilizers, unregulated disposal of domestic waste, and over-extraction of groundwater further exacerbate TDS levels in certain pockets. Similar observations have been reported in other semi-arid regions of India, where groundwater quality deterioration is closely linked with intensive land use and inadequate water management practices.</w:t>
      </w:r>
    </w:p>
    <w:p w14:paraId="07FB7E61" w14:textId="05093CC2" w:rsidR="007653FD" w:rsidRPr="007653FD" w:rsidRDefault="00294647" w:rsidP="007653FD">
      <w:pPr>
        <w:spacing w:after="0" w:line="360" w:lineRule="auto"/>
        <w:jc w:val="both"/>
        <w:rPr>
          <w:rFonts w:ascii="Arial" w:hAnsi="Arial" w:cs="Arial"/>
          <w:b/>
          <w:bCs/>
          <w:sz w:val="24"/>
          <w:szCs w:val="24"/>
        </w:rPr>
      </w:pPr>
      <w:r>
        <w:rPr>
          <w:rFonts w:ascii="Arial" w:hAnsi="Arial" w:cs="Arial"/>
          <w:b/>
          <w:bCs/>
          <w:sz w:val="24"/>
          <w:szCs w:val="24"/>
        </w:rPr>
        <w:t xml:space="preserve">4.2 </w:t>
      </w:r>
      <w:r w:rsidR="007653FD" w:rsidRPr="007653FD">
        <w:rPr>
          <w:rFonts w:ascii="Arial" w:hAnsi="Arial" w:cs="Arial"/>
          <w:b/>
          <w:bCs/>
          <w:sz w:val="24"/>
          <w:szCs w:val="24"/>
        </w:rPr>
        <w:t>Socio-Economic Dimensions of TDS-Related Water Quality Issues</w:t>
      </w:r>
    </w:p>
    <w:p w14:paraId="562C137F" w14:textId="77777777" w:rsidR="007653FD" w:rsidRPr="007653FD" w:rsidRDefault="007653FD" w:rsidP="007653FD">
      <w:pPr>
        <w:spacing w:after="0" w:line="360" w:lineRule="auto"/>
        <w:jc w:val="both"/>
        <w:rPr>
          <w:rFonts w:ascii="Arial" w:hAnsi="Arial" w:cs="Arial"/>
          <w:sz w:val="24"/>
          <w:szCs w:val="24"/>
        </w:rPr>
      </w:pPr>
      <w:r w:rsidRPr="007653FD">
        <w:rPr>
          <w:rFonts w:ascii="Arial" w:hAnsi="Arial" w:cs="Arial"/>
          <w:sz w:val="24"/>
          <w:szCs w:val="24"/>
        </w:rPr>
        <w:t xml:space="preserve">Groundwater quality issues associated with TDS have broader socio-economic implications, particularly in tribal-dominated regions like Dungarpur. Communities with limited access to treated water supplies often depend on locally available groundwater </w:t>
      </w:r>
      <w:r w:rsidRPr="007653FD">
        <w:rPr>
          <w:rFonts w:ascii="Arial" w:hAnsi="Arial" w:cs="Arial"/>
          <w:sz w:val="24"/>
          <w:szCs w:val="24"/>
        </w:rPr>
        <w:lastRenderedPageBreak/>
        <w:t>regardless of its chemical quality. In such contexts, even moderate deterioration in water quality can exacerbate existing vulnerabilities related to health, nutrition, and income security.</w:t>
      </w:r>
    </w:p>
    <w:p w14:paraId="02156BA1" w14:textId="2C5A1597" w:rsidR="007653FD" w:rsidRPr="0084287F" w:rsidRDefault="007653FD" w:rsidP="0084287F">
      <w:pPr>
        <w:spacing w:after="0" w:line="360" w:lineRule="auto"/>
        <w:jc w:val="both"/>
        <w:rPr>
          <w:rFonts w:ascii="Arial" w:hAnsi="Arial" w:cs="Arial"/>
          <w:sz w:val="24"/>
          <w:szCs w:val="24"/>
        </w:rPr>
      </w:pPr>
      <w:r w:rsidRPr="007653FD">
        <w:rPr>
          <w:rFonts w:ascii="Arial" w:hAnsi="Arial" w:cs="Arial"/>
          <w:sz w:val="24"/>
          <w:szCs w:val="24"/>
        </w:rPr>
        <w:t>Women and children are disproportionately affected, as they are primarily responsible for water collection and household water use. Time spent accessing alternative water sources during periods of water quality deterioration can reduce opportunities for education and income-generating activities. Thus, TDS-related groundwater degradation extends beyond environmental concerns and intersects with issues of social equity and human development.</w:t>
      </w:r>
    </w:p>
    <w:p w14:paraId="2A85F9A8" w14:textId="120CD121" w:rsidR="0084287F" w:rsidRPr="0084287F" w:rsidRDefault="00FA0ACF" w:rsidP="0084287F">
      <w:pPr>
        <w:spacing w:after="0" w:line="360" w:lineRule="auto"/>
        <w:jc w:val="both"/>
        <w:rPr>
          <w:rFonts w:ascii="Arial" w:hAnsi="Arial" w:cs="Arial"/>
          <w:b/>
          <w:bCs/>
          <w:sz w:val="24"/>
          <w:szCs w:val="24"/>
        </w:rPr>
      </w:pPr>
      <w:r>
        <w:rPr>
          <w:rFonts w:ascii="Arial" w:hAnsi="Arial" w:cs="Arial"/>
          <w:b/>
          <w:bCs/>
          <w:sz w:val="24"/>
          <w:szCs w:val="24"/>
        </w:rPr>
        <w:t xml:space="preserve">4.3 </w:t>
      </w:r>
      <w:r w:rsidR="0084287F" w:rsidRPr="0084287F">
        <w:rPr>
          <w:rFonts w:ascii="Arial" w:hAnsi="Arial" w:cs="Arial"/>
          <w:b/>
          <w:bCs/>
          <w:sz w:val="24"/>
          <w:szCs w:val="24"/>
        </w:rPr>
        <w:t>Implications for Drinking and Irrigation</w:t>
      </w:r>
    </w:p>
    <w:p w14:paraId="70C76F6E" w14:textId="77777777" w:rsidR="0084287F" w:rsidRPr="0084287F" w:rsidRDefault="0084287F" w:rsidP="0084287F">
      <w:pPr>
        <w:spacing w:after="0" w:line="360" w:lineRule="auto"/>
        <w:jc w:val="both"/>
        <w:rPr>
          <w:rFonts w:ascii="Arial" w:hAnsi="Arial" w:cs="Arial"/>
          <w:sz w:val="24"/>
          <w:szCs w:val="24"/>
        </w:rPr>
      </w:pPr>
      <w:r w:rsidRPr="0084287F">
        <w:rPr>
          <w:rFonts w:ascii="Arial" w:hAnsi="Arial" w:cs="Arial"/>
          <w:sz w:val="24"/>
          <w:szCs w:val="24"/>
        </w:rPr>
        <w:t>From a drinking water perspective, groundwater with high TDS levels may cause taste-related issues, gastrointestinal discomfort, and scaling of pipes and household appliances. Long-term consumption of high TDS water has also been linked with kidney-related ailments and hypertension. For irrigation, elevated TDS can increase soil salinity, adversely affecting crop productivity and soil structure, especially in areas dependent on groundwater for irrigation.</w:t>
      </w:r>
    </w:p>
    <w:p w14:paraId="2E0AC127" w14:textId="3FFF0AB9" w:rsidR="0084287F" w:rsidRPr="0084287F" w:rsidRDefault="00FA0ACF" w:rsidP="0084287F">
      <w:pPr>
        <w:spacing w:after="0" w:line="360" w:lineRule="auto"/>
        <w:jc w:val="both"/>
        <w:rPr>
          <w:rFonts w:ascii="Arial" w:hAnsi="Arial" w:cs="Arial"/>
          <w:b/>
          <w:bCs/>
          <w:sz w:val="24"/>
          <w:szCs w:val="24"/>
        </w:rPr>
      </w:pPr>
      <w:r>
        <w:rPr>
          <w:rFonts w:ascii="Arial" w:hAnsi="Arial" w:cs="Arial"/>
          <w:b/>
          <w:bCs/>
          <w:sz w:val="24"/>
          <w:szCs w:val="24"/>
        </w:rPr>
        <w:t xml:space="preserve">4.4 </w:t>
      </w:r>
      <w:r w:rsidR="0084287F" w:rsidRPr="0084287F">
        <w:rPr>
          <w:rFonts w:ascii="Arial" w:hAnsi="Arial" w:cs="Arial"/>
          <w:b/>
          <w:bCs/>
          <w:sz w:val="24"/>
          <w:szCs w:val="24"/>
        </w:rPr>
        <w:t>Management and Mitigation Measures</w:t>
      </w:r>
    </w:p>
    <w:p w14:paraId="6DA0C81C" w14:textId="77777777" w:rsidR="0084287F" w:rsidRPr="0084287F" w:rsidRDefault="0084287F" w:rsidP="0084287F">
      <w:pPr>
        <w:spacing w:after="0" w:line="360" w:lineRule="auto"/>
        <w:jc w:val="both"/>
        <w:rPr>
          <w:rFonts w:ascii="Arial" w:hAnsi="Arial" w:cs="Arial"/>
          <w:sz w:val="24"/>
          <w:szCs w:val="24"/>
        </w:rPr>
      </w:pPr>
      <w:r w:rsidRPr="0084287F">
        <w:rPr>
          <w:rFonts w:ascii="Arial" w:hAnsi="Arial" w:cs="Arial"/>
          <w:sz w:val="24"/>
          <w:szCs w:val="24"/>
        </w:rPr>
        <w:t xml:space="preserve">The findings underscore the urgent need for </w:t>
      </w:r>
      <w:r w:rsidRPr="0084287F">
        <w:rPr>
          <w:rFonts w:ascii="Arial" w:hAnsi="Arial" w:cs="Arial"/>
          <w:b/>
          <w:bCs/>
          <w:sz w:val="24"/>
          <w:szCs w:val="24"/>
        </w:rPr>
        <w:t>regular groundwater quality monitoring</w:t>
      </w:r>
      <w:r w:rsidRPr="0084287F">
        <w:rPr>
          <w:rFonts w:ascii="Arial" w:hAnsi="Arial" w:cs="Arial"/>
          <w:sz w:val="24"/>
          <w:szCs w:val="24"/>
        </w:rPr>
        <w:t xml:space="preserve"> in Dungarpur district, particularly in high-TDS zones such as Bichhiwara and adjoining areas. Adoption of </w:t>
      </w:r>
      <w:r w:rsidRPr="0084287F">
        <w:rPr>
          <w:rFonts w:ascii="Arial" w:hAnsi="Arial" w:cs="Arial"/>
          <w:b/>
          <w:bCs/>
          <w:sz w:val="24"/>
          <w:szCs w:val="24"/>
        </w:rPr>
        <w:t>appropriate water treatment technologies</w:t>
      </w:r>
      <w:r w:rsidRPr="0084287F">
        <w:rPr>
          <w:rFonts w:ascii="Arial" w:hAnsi="Arial" w:cs="Arial"/>
          <w:sz w:val="24"/>
          <w:szCs w:val="24"/>
        </w:rPr>
        <w:t xml:space="preserve">, including reverse osmosis (RO) and community-level filtration units, is recommended in affected villages. Additionally, </w:t>
      </w:r>
      <w:r w:rsidRPr="0084287F">
        <w:rPr>
          <w:rFonts w:ascii="Arial" w:hAnsi="Arial" w:cs="Arial"/>
          <w:b/>
          <w:bCs/>
          <w:sz w:val="24"/>
          <w:szCs w:val="24"/>
        </w:rPr>
        <w:t>rainwater harvesting and artificial recharge structures</w:t>
      </w:r>
      <w:r w:rsidRPr="0084287F">
        <w:rPr>
          <w:rFonts w:ascii="Arial" w:hAnsi="Arial" w:cs="Arial"/>
          <w:sz w:val="24"/>
          <w:szCs w:val="24"/>
        </w:rPr>
        <w:t xml:space="preserve"> should be promoted to enhance groundwater dilution and reduce dissolved solid concentrations.</w:t>
      </w:r>
    </w:p>
    <w:p w14:paraId="4C29DD4C" w14:textId="77777777" w:rsidR="0084287F" w:rsidRDefault="0084287F" w:rsidP="0084287F">
      <w:pPr>
        <w:spacing w:after="0" w:line="360" w:lineRule="auto"/>
        <w:jc w:val="both"/>
        <w:rPr>
          <w:rFonts w:ascii="Arial" w:hAnsi="Arial" w:cs="Arial"/>
          <w:sz w:val="24"/>
          <w:szCs w:val="24"/>
        </w:rPr>
      </w:pPr>
      <w:r w:rsidRPr="0084287F">
        <w:rPr>
          <w:rFonts w:ascii="Arial" w:hAnsi="Arial" w:cs="Arial"/>
          <w:sz w:val="24"/>
          <w:szCs w:val="24"/>
        </w:rPr>
        <w:t>Public awareness programs focusing on groundwater conservation, judicious use of fertilizers, and protection of recharge zones can play a crucial role in maintaining groundwater quality. Sustainable groundwater management strategies, integrated with spatial analysis tools like GIS, are essential to ensure long-term water security in this tribal-dominated and environmentally sensitive region.</w:t>
      </w:r>
    </w:p>
    <w:p w14:paraId="6CE9CFF4" w14:textId="1D86CFC5" w:rsidR="007653FD" w:rsidRPr="007653FD" w:rsidRDefault="00FA0ACF" w:rsidP="007653FD">
      <w:pPr>
        <w:spacing w:after="0" w:line="360" w:lineRule="auto"/>
        <w:jc w:val="both"/>
        <w:rPr>
          <w:rFonts w:ascii="Arial" w:hAnsi="Arial" w:cs="Arial"/>
          <w:b/>
          <w:bCs/>
          <w:sz w:val="24"/>
          <w:szCs w:val="24"/>
        </w:rPr>
      </w:pPr>
      <w:r>
        <w:rPr>
          <w:rFonts w:ascii="Arial" w:hAnsi="Arial" w:cs="Arial"/>
          <w:b/>
          <w:bCs/>
          <w:sz w:val="24"/>
          <w:szCs w:val="24"/>
        </w:rPr>
        <w:t xml:space="preserve">4.5 </w:t>
      </w:r>
      <w:r w:rsidR="007653FD" w:rsidRPr="007653FD">
        <w:rPr>
          <w:rFonts w:ascii="Arial" w:hAnsi="Arial" w:cs="Arial"/>
          <w:b/>
          <w:bCs/>
          <w:sz w:val="24"/>
          <w:szCs w:val="24"/>
        </w:rPr>
        <w:t>Policy and Management Implications</w:t>
      </w:r>
    </w:p>
    <w:p w14:paraId="60DBA86B" w14:textId="77777777" w:rsidR="007653FD" w:rsidRPr="007653FD" w:rsidRDefault="007653FD" w:rsidP="007653FD">
      <w:pPr>
        <w:spacing w:after="0" w:line="360" w:lineRule="auto"/>
        <w:jc w:val="both"/>
        <w:rPr>
          <w:rFonts w:ascii="Arial" w:hAnsi="Arial" w:cs="Arial"/>
          <w:sz w:val="24"/>
          <w:szCs w:val="24"/>
        </w:rPr>
      </w:pPr>
      <w:r w:rsidRPr="007653FD">
        <w:rPr>
          <w:rFonts w:ascii="Arial" w:hAnsi="Arial" w:cs="Arial"/>
          <w:sz w:val="24"/>
          <w:szCs w:val="24"/>
        </w:rPr>
        <w:t xml:space="preserve">Effective groundwater management in Dungarpur district requires incorporation of TDS assessment into broader water resource planning frameworks. Policies aimed at </w:t>
      </w:r>
      <w:r w:rsidRPr="007653FD">
        <w:rPr>
          <w:rFonts w:ascii="Arial" w:hAnsi="Arial" w:cs="Arial"/>
          <w:sz w:val="24"/>
          <w:szCs w:val="24"/>
        </w:rPr>
        <w:lastRenderedPageBreak/>
        <w:t>groundwater sustainability must address both quantity and quality aspects. Promoting controlled fertilizer use, improving sanitation infrastructure, and encouraging artificial recharge techniques can help mitigate long-term TDS enrichment.</w:t>
      </w:r>
    </w:p>
    <w:p w14:paraId="65D8F68C" w14:textId="77777777" w:rsidR="007653FD" w:rsidRPr="007653FD" w:rsidRDefault="007653FD" w:rsidP="007653FD">
      <w:pPr>
        <w:spacing w:after="0" w:line="360" w:lineRule="auto"/>
        <w:jc w:val="both"/>
        <w:rPr>
          <w:rFonts w:ascii="Arial" w:hAnsi="Arial" w:cs="Arial"/>
          <w:sz w:val="24"/>
          <w:szCs w:val="24"/>
        </w:rPr>
      </w:pPr>
      <w:r w:rsidRPr="007653FD">
        <w:rPr>
          <w:rFonts w:ascii="Arial" w:hAnsi="Arial" w:cs="Arial"/>
          <w:sz w:val="24"/>
          <w:szCs w:val="24"/>
        </w:rPr>
        <w:t>Community-based water management approaches are equally important. Educating local populations about groundwater quality, safe water practices, and simple household treatment methods can reduce exposure to poor-quality water. Involving local institutions and tribal governance systems in water monitoring initiatives can enhance awareness and foster collective responsibility for groundwater protection.</w:t>
      </w:r>
    </w:p>
    <w:p w14:paraId="4F77455B" w14:textId="20F25851" w:rsidR="007653FD" w:rsidRPr="007653FD" w:rsidRDefault="00FA0ACF" w:rsidP="007653FD">
      <w:pPr>
        <w:spacing w:after="0" w:line="360" w:lineRule="auto"/>
        <w:jc w:val="both"/>
        <w:rPr>
          <w:rFonts w:ascii="Arial" w:hAnsi="Arial" w:cs="Arial"/>
          <w:b/>
          <w:bCs/>
          <w:sz w:val="24"/>
          <w:szCs w:val="24"/>
        </w:rPr>
      </w:pPr>
      <w:r>
        <w:rPr>
          <w:rFonts w:ascii="Arial" w:hAnsi="Arial" w:cs="Arial"/>
          <w:b/>
          <w:bCs/>
          <w:sz w:val="24"/>
          <w:szCs w:val="24"/>
        </w:rPr>
        <w:t xml:space="preserve">4.6 </w:t>
      </w:r>
      <w:r w:rsidR="007653FD" w:rsidRPr="007653FD">
        <w:rPr>
          <w:rFonts w:ascii="Arial" w:hAnsi="Arial" w:cs="Arial"/>
          <w:b/>
          <w:bCs/>
          <w:sz w:val="24"/>
          <w:szCs w:val="24"/>
        </w:rPr>
        <w:t>Research Gaps and Future Directions</w:t>
      </w:r>
    </w:p>
    <w:p w14:paraId="2DAC8E80" w14:textId="77777777" w:rsidR="007653FD" w:rsidRPr="007653FD" w:rsidRDefault="007653FD" w:rsidP="007653FD">
      <w:pPr>
        <w:spacing w:after="0" w:line="360" w:lineRule="auto"/>
        <w:jc w:val="both"/>
        <w:rPr>
          <w:rFonts w:ascii="Arial" w:hAnsi="Arial" w:cs="Arial"/>
          <w:sz w:val="24"/>
          <w:szCs w:val="24"/>
        </w:rPr>
      </w:pPr>
      <w:r w:rsidRPr="007653FD">
        <w:rPr>
          <w:rFonts w:ascii="Arial" w:hAnsi="Arial" w:cs="Arial"/>
          <w:sz w:val="24"/>
          <w:szCs w:val="24"/>
        </w:rPr>
        <w:t>Despite existing studies, several research gaps remain regarding TDS dynamics in the region. There is a need for detailed isotopic and geochemical studies to differentiate between natural and anthropogenic sources of dissolved solids. Understanding aquifer-specific processes can improve prediction models and guide targeted interventions.</w:t>
      </w:r>
    </w:p>
    <w:p w14:paraId="4FE38131" w14:textId="77777777" w:rsidR="007653FD" w:rsidRPr="007653FD" w:rsidRDefault="007653FD" w:rsidP="007653FD">
      <w:pPr>
        <w:spacing w:after="0" w:line="360" w:lineRule="auto"/>
        <w:jc w:val="both"/>
        <w:rPr>
          <w:rFonts w:ascii="Arial" w:hAnsi="Arial" w:cs="Arial"/>
          <w:sz w:val="24"/>
          <w:szCs w:val="24"/>
        </w:rPr>
      </w:pPr>
      <w:r w:rsidRPr="007653FD">
        <w:rPr>
          <w:rFonts w:ascii="Arial" w:hAnsi="Arial" w:cs="Arial"/>
          <w:sz w:val="24"/>
          <w:szCs w:val="24"/>
        </w:rPr>
        <w:t>Future research should also focus on climate change impacts on groundwater chemistry. Altered rainfall patterns, increased frequency of droughts, and rising temperatures are likely to influence recharge processes and dissolved solid concentrations. Integrating climate projections with groundwater quality studies will be essential for long-term water security planning.</w:t>
      </w:r>
    </w:p>
    <w:p w14:paraId="76FF41C3" w14:textId="77777777" w:rsidR="0084287F" w:rsidRPr="00797F64" w:rsidRDefault="0084287F" w:rsidP="00797F64">
      <w:pPr>
        <w:spacing w:after="0" w:line="360" w:lineRule="auto"/>
        <w:jc w:val="both"/>
        <w:rPr>
          <w:rFonts w:ascii="Arial" w:hAnsi="Arial" w:cs="Arial"/>
          <w:sz w:val="24"/>
          <w:szCs w:val="24"/>
        </w:rPr>
      </w:pPr>
    </w:p>
    <w:p w14:paraId="502D0585" w14:textId="14064539" w:rsidR="00E6507F" w:rsidRPr="00FA0ACF" w:rsidRDefault="00E6507F" w:rsidP="00FA0ACF">
      <w:pPr>
        <w:pStyle w:val="ListParagraph"/>
        <w:numPr>
          <w:ilvl w:val="0"/>
          <w:numId w:val="2"/>
        </w:numPr>
        <w:spacing w:after="0" w:line="360" w:lineRule="auto"/>
        <w:jc w:val="both"/>
        <w:rPr>
          <w:rFonts w:ascii="Arial" w:hAnsi="Arial" w:cs="Arial"/>
          <w:b/>
          <w:bCs/>
          <w:sz w:val="24"/>
          <w:szCs w:val="24"/>
        </w:rPr>
      </w:pPr>
      <w:r w:rsidRPr="00FA0ACF">
        <w:rPr>
          <w:rFonts w:ascii="Arial" w:hAnsi="Arial" w:cs="Arial"/>
          <w:b/>
          <w:bCs/>
          <w:sz w:val="24"/>
          <w:szCs w:val="24"/>
        </w:rPr>
        <w:t>Conclusion</w:t>
      </w:r>
    </w:p>
    <w:p w14:paraId="6A399F5F" w14:textId="77777777" w:rsidR="00E6507F" w:rsidRDefault="00E6507F" w:rsidP="00E6507F">
      <w:pPr>
        <w:spacing w:after="0" w:line="360" w:lineRule="auto"/>
        <w:jc w:val="both"/>
        <w:rPr>
          <w:rFonts w:ascii="Arial" w:hAnsi="Arial" w:cs="Arial"/>
          <w:sz w:val="24"/>
          <w:szCs w:val="24"/>
        </w:rPr>
      </w:pPr>
      <w:r w:rsidRPr="00E6507F">
        <w:rPr>
          <w:rFonts w:ascii="Arial" w:hAnsi="Arial" w:cs="Arial"/>
          <w:sz w:val="24"/>
          <w:szCs w:val="24"/>
        </w:rPr>
        <w:t xml:space="preserve">The analysis of </w:t>
      </w:r>
      <w:r w:rsidRPr="00E6507F">
        <w:rPr>
          <w:rFonts w:ascii="Arial" w:hAnsi="Arial" w:cs="Arial"/>
          <w:b/>
          <w:bCs/>
          <w:sz w:val="24"/>
          <w:szCs w:val="24"/>
        </w:rPr>
        <w:t>Total Dissolved Solids (TDS) levels in Dungarpur district</w:t>
      </w:r>
      <w:r w:rsidRPr="00E6507F">
        <w:rPr>
          <w:rFonts w:ascii="Arial" w:hAnsi="Arial" w:cs="Arial"/>
          <w:sz w:val="24"/>
          <w:szCs w:val="24"/>
        </w:rPr>
        <w:t xml:space="preserve"> reveals notable spatial variations, with certain tehsils experiencing </w:t>
      </w:r>
      <w:r w:rsidRPr="00E6507F">
        <w:rPr>
          <w:rFonts w:ascii="Arial" w:hAnsi="Arial" w:cs="Arial"/>
          <w:b/>
          <w:bCs/>
          <w:sz w:val="24"/>
          <w:szCs w:val="24"/>
        </w:rPr>
        <w:t>elevated TDS concentrations</w:t>
      </w:r>
      <w:r w:rsidRPr="00E6507F">
        <w:rPr>
          <w:rFonts w:ascii="Arial" w:hAnsi="Arial" w:cs="Arial"/>
          <w:sz w:val="24"/>
          <w:szCs w:val="24"/>
        </w:rPr>
        <w:t xml:space="preserve">, potentially impacting groundwater quality and usability. </w:t>
      </w:r>
      <w:r w:rsidRPr="00E6507F">
        <w:rPr>
          <w:rFonts w:ascii="Arial" w:hAnsi="Arial" w:cs="Arial"/>
          <w:b/>
          <w:bCs/>
          <w:sz w:val="24"/>
          <w:szCs w:val="24"/>
        </w:rPr>
        <w:t>Bichhiwara Tehsil</w:t>
      </w:r>
      <w:r w:rsidRPr="00E6507F">
        <w:rPr>
          <w:rFonts w:ascii="Arial" w:hAnsi="Arial" w:cs="Arial"/>
          <w:sz w:val="24"/>
          <w:szCs w:val="24"/>
        </w:rPr>
        <w:t xml:space="preserve"> shows the highest TDS levels, necessitating </w:t>
      </w:r>
      <w:r w:rsidRPr="00E6507F">
        <w:rPr>
          <w:rFonts w:ascii="Arial" w:hAnsi="Arial" w:cs="Arial"/>
          <w:b/>
          <w:bCs/>
          <w:sz w:val="24"/>
          <w:szCs w:val="24"/>
        </w:rPr>
        <w:t>water treatment interventions</w:t>
      </w:r>
      <w:r w:rsidRPr="00E6507F">
        <w:rPr>
          <w:rFonts w:ascii="Arial" w:hAnsi="Arial" w:cs="Arial"/>
          <w:sz w:val="24"/>
          <w:szCs w:val="24"/>
        </w:rPr>
        <w:t xml:space="preserve">, while </w:t>
      </w:r>
      <w:r w:rsidRPr="00E6507F">
        <w:rPr>
          <w:rFonts w:ascii="Arial" w:hAnsi="Arial" w:cs="Arial"/>
          <w:b/>
          <w:bCs/>
          <w:sz w:val="24"/>
          <w:szCs w:val="24"/>
        </w:rPr>
        <w:t>Aspur, Sabla, and Chikhli Tehsils</w:t>
      </w:r>
      <w:r w:rsidRPr="00E6507F">
        <w:rPr>
          <w:rFonts w:ascii="Arial" w:hAnsi="Arial" w:cs="Arial"/>
          <w:sz w:val="24"/>
          <w:szCs w:val="24"/>
        </w:rPr>
        <w:t xml:space="preserve"> have the lowest values, indicating better water quality. The variation in TDS can be attributed to </w:t>
      </w:r>
      <w:r w:rsidRPr="00E6507F">
        <w:rPr>
          <w:rFonts w:ascii="Arial" w:hAnsi="Arial" w:cs="Arial"/>
          <w:b/>
          <w:bCs/>
          <w:sz w:val="24"/>
          <w:szCs w:val="24"/>
        </w:rPr>
        <w:t>geological formations, agricultural runoff, and groundwater recharge patterns</w:t>
      </w:r>
      <w:r w:rsidRPr="00E6507F">
        <w:rPr>
          <w:rFonts w:ascii="Arial" w:hAnsi="Arial" w:cs="Arial"/>
          <w:sz w:val="24"/>
          <w:szCs w:val="24"/>
        </w:rPr>
        <w:t xml:space="preserve">. To ensure sustainable water use, </w:t>
      </w:r>
      <w:r w:rsidRPr="00E6507F">
        <w:rPr>
          <w:rFonts w:ascii="Arial" w:hAnsi="Arial" w:cs="Arial"/>
          <w:b/>
          <w:bCs/>
          <w:sz w:val="24"/>
          <w:szCs w:val="24"/>
        </w:rPr>
        <w:t>regular groundwater monitoring, advanced filtration methods, and rainwater harvesting</w:t>
      </w:r>
      <w:r w:rsidRPr="00E6507F">
        <w:rPr>
          <w:rFonts w:ascii="Arial" w:hAnsi="Arial" w:cs="Arial"/>
          <w:sz w:val="24"/>
          <w:szCs w:val="24"/>
        </w:rPr>
        <w:t xml:space="preserve"> should be prioritized. Implementing </w:t>
      </w:r>
      <w:r w:rsidRPr="00E6507F">
        <w:rPr>
          <w:rFonts w:ascii="Arial" w:hAnsi="Arial" w:cs="Arial"/>
          <w:b/>
          <w:bCs/>
          <w:sz w:val="24"/>
          <w:szCs w:val="24"/>
        </w:rPr>
        <w:t>effective water management strategies</w:t>
      </w:r>
      <w:r w:rsidRPr="00E6507F">
        <w:rPr>
          <w:rFonts w:ascii="Arial" w:hAnsi="Arial" w:cs="Arial"/>
          <w:sz w:val="24"/>
          <w:szCs w:val="24"/>
        </w:rPr>
        <w:t xml:space="preserve"> will help mitigate high TDS effects, ensuring safe and sustainable groundwater for drinking and agricultural purposes in Dungarpur district.</w:t>
      </w:r>
    </w:p>
    <w:p w14:paraId="0A16765D" w14:textId="77777777" w:rsidR="00555191" w:rsidRPr="00005ED1" w:rsidRDefault="00555191" w:rsidP="00555191">
      <w:pPr>
        <w:pStyle w:val="NoSpacing"/>
        <w:rPr>
          <w:rFonts w:ascii="Arial" w:hAnsi="Arial" w:cs="Arial"/>
          <w:highlight w:val="yellow"/>
        </w:rPr>
      </w:pPr>
      <w:bookmarkStart w:id="0" w:name="_Hlk219284361"/>
      <w:bookmarkStart w:id="1" w:name="_Hlk198031404"/>
      <w:r w:rsidRPr="00005ED1">
        <w:rPr>
          <w:rFonts w:ascii="Arial" w:hAnsi="Arial" w:cs="Arial"/>
          <w:highlight w:val="yellow"/>
        </w:rPr>
        <w:lastRenderedPageBreak/>
        <w:t>Disclaimer (Artificial intelligence)</w:t>
      </w:r>
    </w:p>
    <w:p w14:paraId="1AC79412" w14:textId="77777777" w:rsidR="00555191" w:rsidRPr="00005ED1" w:rsidRDefault="00555191" w:rsidP="00555191">
      <w:pPr>
        <w:pStyle w:val="NoSpacing"/>
        <w:rPr>
          <w:rFonts w:ascii="Arial" w:hAnsi="Arial" w:cs="Arial"/>
          <w:highlight w:val="yellow"/>
        </w:rPr>
      </w:pPr>
    </w:p>
    <w:p w14:paraId="7588388C" w14:textId="77777777" w:rsidR="00555191" w:rsidRPr="00005ED1" w:rsidRDefault="00555191" w:rsidP="00555191">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0"/>
      <w:r w:rsidRPr="00005ED1">
        <w:rPr>
          <w:rFonts w:ascii="Arial" w:hAnsi="Arial" w:cs="Arial"/>
          <w:highlight w:val="yellow"/>
        </w:rPr>
        <w:t xml:space="preserve">. </w:t>
      </w:r>
    </w:p>
    <w:bookmarkEnd w:id="1"/>
    <w:p w14:paraId="33316C5A" w14:textId="77777777" w:rsidR="00555191" w:rsidRDefault="00555191" w:rsidP="0084287F">
      <w:pPr>
        <w:spacing w:after="0" w:line="360" w:lineRule="auto"/>
        <w:jc w:val="both"/>
        <w:rPr>
          <w:rFonts w:ascii="Arial" w:hAnsi="Arial" w:cs="Arial"/>
          <w:sz w:val="24"/>
          <w:szCs w:val="24"/>
        </w:rPr>
      </w:pPr>
    </w:p>
    <w:p w14:paraId="16C93743" w14:textId="788C2341" w:rsidR="0084287F" w:rsidRPr="007020F2" w:rsidRDefault="00BB4E32" w:rsidP="0084287F">
      <w:pPr>
        <w:spacing w:after="0" w:line="360" w:lineRule="auto"/>
        <w:jc w:val="both"/>
        <w:rPr>
          <w:rFonts w:ascii="Arial" w:hAnsi="Arial" w:cs="Arial"/>
          <w:b/>
          <w:sz w:val="24"/>
          <w:szCs w:val="24"/>
        </w:rPr>
      </w:pPr>
      <w:r w:rsidRPr="007020F2">
        <w:rPr>
          <w:rFonts w:ascii="Arial" w:hAnsi="Arial" w:cs="Arial"/>
          <w:b/>
          <w:sz w:val="24"/>
          <w:szCs w:val="24"/>
        </w:rPr>
        <w:t xml:space="preserve">References: </w:t>
      </w:r>
    </w:p>
    <w:p w14:paraId="3577E7A5" w14:textId="74C98D46" w:rsidR="008D169A" w:rsidRDefault="008E400E" w:rsidP="00F81C9E">
      <w:pPr>
        <w:pStyle w:val="NoSpacing"/>
        <w:numPr>
          <w:ilvl w:val="0"/>
          <w:numId w:val="7"/>
        </w:numPr>
        <w:jc w:val="both"/>
        <w:rPr>
          <w:sz w:val="24"/>
          <w:szCs w:val="24"/>
          <w:lang w:bidi="hi-IN"/>
        </w:rPr>
      </w:pPr>
      <w:proofErr w:type="spellStart"/>
      <w:r w:rsidRPr="008E400E">
        <w:rPr>
          <w:sz w:val="24"/>
          <w:szCs w:val="24"/>
          <w:lang w:bidi="hi-IN"/>
        </w:rPr>
        <w:t>Adimalla</w:t>
      </w:r>
      <w:proofErr w:type="spellEnd"/>
      <w:r w:rsidRPr="008E400E">
        <w:rPr>
          <w:sz w:val="24"/>
          <w:szCs w:val="24"/>
          <w:lang w:bidi="hi-IN"/>
        </w:rPr>
        <w:t xml:space="preserve"> N, Qian H. Groundwater quality evaluation using water quality index (WQI) for drinking purposes and human health risk (HHR) assessment in an agricultural region of </w:t>
      </w:r>
      <w:proofErr w:type="spellStart"/>
      <w:r w:rsidRPr="008E400E">
        <w:rPr>
          <w:sz w:val="24"/>
          <w:szCs w:val="24"/>
          <w:lang w:bidi="hi-IN"/>
        </w:rPr>
        <w:t>Nanganur</w:t>
      </w:r>
      <w:proofErr w:type="spellEnd"/>
      <w:r w:rsidRPr="008E400E">
        <w:rPr>
          <w:sz w:val="24"/>
          <w:szCs w:val="24"/>
          <w:lang w:bidi="hi-IN"/>
        </w:rPr>
        <w:t xml:space="preserve">, south India. </w:t>
      </w:r>
      <w:proofErr w:type="spellStart"/>
      <w:r w:rsidRPr="008E400E">
        <w:rPr>
          <w:sz w:val="24"/>
          <w:szCs w:val="24"/>
          <w:lang w:bidi="hi-IN"/>
        </w:rPr>
        <w:t>Ecotoxicol</w:t>
      </w:r>
      <w:proofErr w:type="spellEnd"/>
      <w:r w:rsidRPr="008E400E">
        <w:rPr>
          <w:sz w:val="24"/>
          <w:szCs w:val="24"/>
          <w:lang w:bidi="hi-IN"/>
        </w:rPr>
        <w:t xml:space="preserve"> Environ </w:t>
      </w:r>
      <w:proofErr w:type="spellStart"/>
      <w:r w:rsidRPr="008E400E">
        <w:rPr>
          <w:sz w:val="24"/>
          <w:szCs w:val="24"/>
          <w:lang w:bidi="hi-IN"/>
        </w:rPr>
        <w:t>Saf</w:t>
      </w:r>
      <w:proofErr w:type="spellEnd"/>
      <w:r w:rsidRPr="008E400E">
        <w:rPr>
          <w:sz w:val="24"/>
          <w:szCs w:val="24"/>
          <w:lang w:bidi="hi-IN"/>
        </w:rPr>
        <w:t xml:space="preserve">. 2019 Jul </w:t>
      </w:r>
      <w:proofErr w:type="gramStart"/>
      <w:r w:rsidRPr="008E400E">
        <w:rPr>
          <w:sz w:val="24"/>
          <w:szCs w:val="24"/>
          <w:lang w:bidi="hi-IN"/>
        </w:rPr>
        <w:t>30;176:153</w:t>
      </w:r>
      <w:proofErr w:type="gramEnd"/>
      <w:r w:rsidRPr="008E400E">
        <w:rPr>
          <w:sz w:val="24"/>
          <w:szCs w:val="24"/>
          <w:lang w:bidi="hi-IN"/>
        </w:rPr>
        <w:t xml:space="preserve">-161. </w:t>
      </w:r>
      <w:proofErr w:type="spellStart"/>
      <w:r w:rsidRPr="008E400E">
        <w:rPr>
          <w:sz w:val="24"/>
          <w:szCs w:val="24"/>
          <w:lang w:bidi="hi-IN"/>
        </w:rPr>
        <w:t>doi</w:t>
      </w:r>
      <w:proofErr w:type="spellEnd"/>
      <w:r w:rsidRPr="008E400E">
        <w:rPr>
          <w:sz w:val="24"/>
          <w:szCs w:val="24"/>
          <w:lang w:bidi="hi-IN"/>
        </w:rPr>
        <w:t xml:space="preserve">: 10.1016/j.ecoenv.2019.03.066. </w:t>
      </w:r>
      <w:proofErr w:type="spellStart"/>
      <w:r w:rsidRPr="008E400E">
        <w:rPr>
          <w:sz w:val="24"/>
          <w:szCs w:val="24"/>
          <w:lang w:bidi="hi-IN"/>
        </w:rPr>
        <w:t>Epub</w:t>
      </w:r>
      <w:proofErr w:type="spellEnd"/>
      <w:r w:rsidRPr="008E400E">
        <w:rPr>
          <w:sz w:val="24"/>
          <w:szCs w:val="24"/>
          <w:lang w:bidi="hi-IN"/>
        </w:rPr>
        <w:t xml:space="preserve"> 2019 Mar 27. PMID: 30927636.</w:t>
      </w:r>
    </w:p>
    <w:p w14:paraId="5950A2F8" w14:textId="1733B372" w:rsidR="009B0EA4" w:rsidRPr="009B0EA4" w:rsidRDefault="009B0EA4" w:rsidP="00F81C9E">
      <w:pPr>
        <w:pStyle w:val="NoSpacing"/>
        <w:numPr>
          <w:ilvl w:val="0"/>
          <w:numId w:val="7"/>
        </w:numPr>
        <w:jc w:val="both"/>
        <w:rPr>
          <w:sz w:val="24"/>
          <w:szCs w:val="24"/>
          <w:lang w:bidi="hi-IN"/>
        </w:rPr>
      </w:pPr>
      <w:r w:rsidRPr="009B0EA4">
        <w:rPr>
          <w:sz w:val="24"/>
          <w:szCs w:val="24"/>
          <w:lang w:bidi="hi-IN"/>
        </w:rPr>
        <w:t xml:space="preserve">Appelo, C. A. J., &amp; Postma, D. (2005). </w:t>
      </w:r>
      <w:r w:rsidRPr="009B0EA4">
        <w:rPr>
          <w:i/>
          <w:iCs/>
          <w:sz w:val="24"/>
          <w:szCs w:val="24"/>
          <w:lang w:bidi="hi-IN"/>
        </w:rPr>
        <w:t>Geochemistry, groundwater and pollution</w:t>
      </w:r>
      <w:r w:rsidRPr="009B0EA4">
        <w:rPr>
          <w:sz w:val="24"/>
          <w:szCs w:val="24"/>
          <w:lang w:bidi="hi-IN"/>
        </w:rPr>
        <w:t xml:space="preserve"> (2nd ed.). A.A. Balkema Publishers.</w:t>
      </w:r>
    </w:p>
    <w:p w14:paraId="0588F6AA" w14:textId="5D5E679F" w:rsidR="009B0EA4" w:rsidRDefault="009B0EA4" w:rsidP="006E38DD">
      <w:pPr>
        <w:pStyle w:val="NoSpacing"/>
        <w:numPr>
          <w:ilvl w:val="0"/>
          <w:numId w:val="7"/>
        </w:numPr>
        <w:jc w:val="both"/>
        <w:rPr>
          <w:sz w:val="24"/>
          <w:szCs w:val="24"/>
          <w:lang w:bidi="hi-IN"/>
        </w:rPr>
      </w:pPr>
      <w:r w:rsidRPr="009B0EA4">
        <w:rPr>
          <w:sz w:val="24"/>
          <w:szCs w:val="24"/>
          <w:lang w:bidi="hi-IN"/>
        </w:rPr>
        <w:t xml:space="preserve">Bureau of Indian Standards. (2012). </w:t>
      </w:r>
      <w:r w:rsidRPr="009B0EA4">
        <w:rPr>
          <w:i/>
          <w:iCs/>
          <w:sz w:val="24"/>
          <w:szCs w:val="24"/>
          <w:lang w:bidi="hi-IN"/>
        </w:rPr>
        <w:t>Indian standard drinking water—Specification (IS 10500:2012)</w:t>
      </w:r>
      <w:r w:rsidRPr="009B0EA4">
        <w:rPr>
          <w:sz w:val="24"/>
          <w:szCs w:val="24"/>
          <w:lang w:bidi="hi-IN"/>
        </w:rPr>
        <w:t>. BIS, Government of India.</w:t>
      </w:r>
      <w:r w:rsidR="006E38DD">
        <w:rPr>
          <w:sz w:val="24"/>
          <w:szCs w:val="24"/>
          <w:lang w:bidi="hi-IN"/>
        </w:rPr>
        <w:t xml:space="preserve">  </w:t>
      </w:r>
      <w:hyperlink r:id="rId10" w:history="1">
        <w:r w:rsidR="00EC2B68" w:rsidRPr="003761BB">
          <w:rPr>
            <w:rStyle w:val="Hyperlink"/>
            <w:sz w:val="24"/>
            <w:szCs w:val="24"/>
            <w:lang w:bidi="hi-IN"/>
          </w:rPr>
          <w:t>https://cpcb.nic.in/wqm/BIS_Drinking_Water_Specification.pdf</w:t>
        </w:r>
      </w:hyperlink>
    </w:p>
    <w:p w14:paraId="3C6A4F18" w14:textId="7E61F174" w:rsidR="00EC2B68" w:rsidRPr="006E38DD" w:rsidRDefault="00EC2B68" w:rsidP="006E38DD">
      <w:pPr>
        <w:pStyle w:val="NoSpacing"/>
        <w:numPr>
          <w:ilvl w:val="0"/>
          <w:numId w:val="7"/>
        </w:numPr>
        <w:jc w:val="both"/>
        <w:rPr>
          <w:sz w:val="24"/>
          <w:szCs w:val="24"/>
          <w:lang w:bidi="hi-IN"/>
        </w:rPr>
      </w:pPr>
      <w:r w:rsidRPr="00EC2B68">
        <w:rPr>
          <w:sz w:val="24"/>
          <w:szCs w:val="24"/>
          <w:lang w:bidi="hi-IN"/>
        </w:rPr>
        <w:t>Chaudhari, M.P., Ali, G., Nair, R. </w:t>
      </w:r>
      <w:r w:rsidRPr="00EC2B68">
        <w:rPr>
          <w:i/>
          <w:iCs/>
          <w:sz w:val="24"/>
          <w:szCs w:val="24"/>
          <w:lang w:bidi="hi-IN"/>
        </w:rPr>
        <w:t>et al.</w:t>
      </w:r>
      <w:r w:rsidRPr="00EC2B68">
        <w:rPr>
          <w:sz w:val="24"/>
          <w:szCs w:val="24"/>
          <w:lang w:bidi="hi-IN"/>
        </w:rPr>
        <w:t xml:space="preserve"> Assessment of groundwater quality and geochemical characteristics in the desertic zone of </w:t>
      </w:r>
      <w:proofErr w:type="spellStart"/>
      <w:r w:rsidRPr="00EC2B68">
        <w:rPr>
          <w:sz w:val="24"/>
          <w:szCs w:val="24"/>
          <w:lang w:bidi="hi-IN"/>
        </w:rPr>
        <w:t>Banaskantha</w:t>
      </w:r>
      <w:proofErr w:type="spellEnd"/>
      <w:r w:rsidRPr="00EC2B68">
        <w:rPr>
          <w:sz w:val="24"/>
          <w:szCs w:val="24"/>
          <w:lang w:bidi="hi-IN"/>
        </w:rPr>
        <w:t xml:space="preserve"> region of western India. </w:t>
      </w:r>
      <w:proofErr w:type="spellStart"/>
      <w:r w:rsidRPr="00EC2B68">
        <w:rPr>
          <w:i/>
          <w:iCs/>
          <w:sz w:val="24"/>
          <w:szCs w:val="24"/>
          <w:lang w:bidi="hi-IN"/>
        </w:rPr>
        <w:t>Discov</w:t>
      </w:r>
      <w:proofErr w:type="spellEnd"/>
      <w:r w:rsidRPr="00EC2B68">
        <w:rPr>
          <w:i/>
          <w:iCs/>
          <w:sz w:val="24"/>
          <w:szCs w:val="24"/>
          <w:lang w:bidi="hi-IN"/>
        </w:rPr>
        <w:t xml:space="preserve"> </w:t>
      </w:r>
      <w:proofErr w:type="spellStart"/>
      <w:r w:rsidRPr="00EC2B68">
        <w:rPr>
          <w:i/>
          <w:iCs/>
          <w:sz w:val="24"/>
          <w:szCs w:val="24"/>
          <w:lang w:bidi="hi-IN"/>
        </w:rPr>
        <w:t>Geosci</w:t>
      </w:r>
      <w:proofErr w:type="spellEnd"/>
      <w:r w:rsidRPr="00EC2B68">
        <w:rPr>
          <w:sz w:val="24"/>
          <w:szCs w:val="24"/>
          <w:lang w:bidi="hi-IN"/>
        </w:rPr>
        <w:t> </w:t>
      </w:r>
      <w:r w:rsidRPr="00EC2B68">
        <w:rPr>
          <w:b/>
          <w:bCs/>
          <w:sz w:val="24"/>
          <w:szCs w:val="24"/>
          <w:lang w:bidi="hi-IN"/>
        </w:rPr>
        <w:t>3</w:t>
      </w:r>
      <w:r w:rsidRPr="00EC2B68">
        <w:rPr>
          <w:sz w:val="24"/>
          <w:szCs w:val="24"/>
          <w:lang w:bidi="hi-IN"/>
        </w:rPr>
        <w:t>, 248 (2025). https://doi.org/10.1007/s44288-025-00364-7</w:t>
      </w:r>
    </w:p>
    <w:p w14:paraId="18921BDE" w14:textId="77777777" w:rsidR="00CF0BDF" w:rsidRDefault="00CF0BDF" w:rsidP="00F81C9E">
      <w:pPr>
        <w:pStyle w:val="NoSpacing"/>
        <w:numPr>
          <w:ilvl w:val="0"/>
          <w:numId w:val="7"/>
        </w:numPr>
        <w:jc w:val="both"/>
        <w:rPr>
          <w:sz w:val="24"/>
          <w:szCs w:val="24"/>
          <w:lang w:bidi="hi-IN"/>
        </w:rPr>
      </w:pPr>
      <w:r w:rsidRPr="00CF0BDF">
        <w:rPr>
          <w:sz w:val="24"/>
          <w:szCs w:val="24"/>
          <w:lang w:bidi="hi-IN"/>
        </w:rPr>
        <w:t xml:space="preserve">Government of India, Ministry of Jal Shakti, Department of Water Resources, River Development &amp; Ganga Rejuvenation, Central Ground Water Board. (2021). </w:t>
      </w:r>
      <w:r w:rsidRPr="00CF0BDF">
        <w:rPr>
          <w:i/>
          <w:iCs/>
          <w:sz w:val="24"/>
          <w:szCs w:val="24"/>
          <w:lang w:bidi="hi-IN"/>
        </w:rPr>
        <w:t>Annual report 2020–21</w:t>
      </w:r>
      <w:r w:rsidRPr="00CF0BDF">
        <w:rPr>
          <w:sz w:val="24"/>
          <w:szCs w:val="24"/>
          <w:lang w:bidi="hi-IN"/>
        </w:rPr>
        <w:t>. Central Ground Water Board.https://cgwb.gov.in/cgwbpnm/public/uploads/documents/1685515066210234335file.pdf</w:t>
      </w:r>
    </w:p>
    <w:p w14:paraId="61D236A3" w14:textId="4667E935" w:rsidR="00C02103" w:rsidRDefault="00C02103" w:rsidP="00F81C9E">
      <w:pPr>
        <w:pStyle w:val="NoSpacing"/>
        <w:numPr>
          <w:ilvl w:val="0"/>
          <w:numId w:val="7"/>
        </w:numPr>
        <w:jc w:val="both"/>
        <w:rPr>
          <w:sz w:val="24"/>
          <w:szCs w:val="24"/>
          <w:lang w:bidi="hi-IN"/>
        </w:rPr>
      </w:pPr>
      <w:r w:rsidRPr="00C02103">
        <w:rPr>
          <w:sz w:val="24"/>
          <w:szCs w:val="24"/>
          <w:lang w:bidi="hi-IN"/>
        </w:rPr>
        <w:t xml:space="preserve">Gupta, S., &amp; Deshpande, R. D. (2004). Water isotopes in groundwater in semi-arid regions: A case study of the Aravalli Range, western India. </w:t>
      </w:r>
      <w:r w:rsidRPr="00C02103">
        <w:rPr>
          <w:i/>
          <w:iCs/>
          <w:sz w:val="24"/>
          <w:szCs w:val="24"/>
          <w:lang w:bidi="hi-IN"/>
        </w:rPr>
        <w:t>Journal of Hydrology, 286</w:t>
      </w:r>
      <w:r w:rsidRPr="00C02103">
        <w:rPr>
          <w:sz w:val="24"/>
          <w:szCs w:val="24"/>
          <w:lang w:bidi="hi-IN"/>
        </w:rPr>
        <w:t>(1–4), 227–246. https://doi.org/10.1016/j.jhydrol.2003.09.030</w:t>
      </w:r>
    </w:p>
    <w:p w14:paraId="4F80E656" w14:textId="6466CF22" w:rsidR="00CF0BDF" w:rsidRDefault="00CF0BDF" w:rsidP="00F81C9E">
      <w:pPr>
        <w:pStyle w:val="NoSpacing"/>
        <w:numPr>
          <w:ilvl w:val="0"/>
          <w:numId w:val="7"/>
        </w:numPr>
        <w:jc w:val="both"/>
        <w:rPr>
          <w:sz w:val="24"/>
          <w:szCs w:val="24"/>
          <w:lang w:bidi="hi-IN"/>
        </w:rPr>
      </w:pPr>
      <w:r w:rsidRPr="00CF0BDF">
        <w:rPr>
          <w:sz w:val="24"/>
          <w:szCs w:val="24"/>
          <w:lang w:bidi="hi-IN"/>
        </w:rPr>
        <w:t xml:space="preserve">Freeze, R.A. and Cherry, J.A. (1979) Groundwater. Prentice-Hall Inc., Englewood Cliffs, Vol. 7632, 604. </w:t>
      </w:r>
      <w:hyperlink r:id="rId11" w:history="1">
        <w:r w:rsidRPr="003761BB">
          <w:rPr>
            <w:rStyle w:val="Hyperlink"/>
            <w:sz w:val="24"/>
            <w:szCs w:val="24"/>
            <w:lang w:bidi="hi-IN"/>
          </w:rPr>
          <w:t>https://fc79.gw-project.org/english/</w:t>
        </w:r>
      </w:hyperlink>
    </w:p>
    <w:p w14:paraId="5F152775" w14:textId="0BA4E20E" w:rsidR="009B0EA4" w:rsidRPr="009B0EA4" w:rsidRDefault="009B0EA4" w:rsidP="00F81C9E">
      <w:pPr>
        <w:pStyle w:val="NoSpacing"/>
        <w:numPr>
          <w:ilvl w:val="0"/>
          <w:numId w:val="7"/>
        </w:numPr>
        <w:jc w:val="both"/>
        <w:rPr>
          <w:sz w:val="24"/>
          <w:szCs w:val="24"/>
          <w:lang w:bidi="hi-IN"/>
        </w:rPr>
      </w:pPr>
      <w:r w:rsidRPr="009B0EA4">
        <w:rPr>
          <w:sz w:val="24"/>
          <w:szCs w:val="24"/>
          <w:lang w:bidi="hi-IN"/>
        </w:rPr>
        <w:t xml:space="preserve">Gupta, N., Pandey, P., &amp; Hussain, J. (2017). Effect of industrial and agricultural activities on groundwater quality: A review of Indian case studies. </w:t>
      </w:r>
      <w:r w:rsidRPr="009B0EA4">
        <w:rPr>
          <w:i/>
          <w:iCs/>
          <w:sz w:val="24"/>
          <w:szCs w:val="24"/>
          <w:lang w:bidi="hi-IN"/>
        </w:rPr>
        <w:t>Environmental Science and Pollution Research</w:t>
      </w:r>
      <w:r w:rsidRPr="009B0EA4">
        <w:rPr>
          <w:sz w:val="24"/>
          <w:szCs w:val="24"/>
          <w:lang w:bidi="hi-IN"/>
        </w:rPr>
        <w:t xml:space="preserve">, </w:t>
      </w:r>
      <w:r w:rsidRPr="009B0EA4">
        <w:rPr>
          <w:i/>
          <w:iCs/>
          <w:sz w:val="24"/>
          <w:szCs w:val="24"/>
          <w:lang w:bidi="hi-IN"/>
        </w:rPr>
        <w:t>24</w:t>
      </w:r>
      <w:r w:rsidRPr="009B0EA4">
        <w:rPr>
          <w:sz w:val="24"/>
          <w:szCs w:val="24"/>
          <w:lang w:bidi="hi-IN"/>
        </w:rPr>
        <w:t>(1), 1–13. https://doi.org/10.1007/s11356-016-7786-1</w:t>
      </w:r>
    </w:p>
    <w:p w14:paraId="49979848" w14:textId="77777777" w:rsidR="009B0EA4" w:rsidRPr="009B0EA4" w:rsidRDefault="009B0EA4" w:rsidP="00F81C9E">
      <w:pPr>
        <w:pStyle w:val="NoSpacing"/>
        <w:numPr>
          <w:ilvl w:val="0"/>
          <w:numId w:val="7"/>
        </w:numPr>
        <w:jc w:val="both"/>
        <w:rPr>
          <w:sz w:val="24"/>
          <w:szCs w:val="24"/>
          <w:lang w:bidi="hi-IN"/>
        </w:rPr>
      </w:pPr>
      <w:r w:rsidRPr="009B0EA4">
        <w:rPr>
          <w:sz w:val="24"/>
          <w:szCs w:val="24"/>
          <w:lang w:bidi="hi-IN"/>
        </w:rPr>
        <w:t xml:space="preserve">Hem, J. D. (1985). </w:t>
      </w:r>
      <w:r w:rsidRPr="009B0EA4">
        <w:rPr>
          <w:i/>
          <w:iCs/>
          <w:sz w:val="24"/>
          <w:szCs w:val="24"/>
          <w:lang w:bidi="hi-IN"/>
        </w:rPr>
        <w:t>Study and interpretation of the chemical characteristics of natural water</w:t>
      </w:r>
      <w:r w:rsidRPr="009B0EA4">
        <w:rPr>
          <w:sz w:val="24"/>
          <w:szCs w:val="24"/>
          <w:lang w:bidi="hi-IN"/>
        </w:rPr>
        <w:t xml:space="preserve"> (Water-Supply Paper No. 2254). U.S. Geological Survey.</w:t>
      </w:r>
    </w:p>
    <w:p w14:paraId="2A0DD1D6" w14:textId="31F33483" w:rsidR="001E199A" w:rsidRDefault="001E199A" w:rsidP="00F81C9E">
      <w:pPr>
        <w:pStyle w:val="NoSpacing"/>
        <w:numPr>
          <w:ilvl w:val="0"/>
          <w:numId w:val="7"/>
        </w:numPr>
        <w:jc w:val="both"/>
        <w:rPr>
          <w:sz w:val="24"/>
          <w:szCs w:val="24"/>
          <w:lang w:bidi="hi-IN"/>
        </w:rPr>
      </w:pPr>
      <w:r w:rsidRPr="001E199A">
        <w:rPr>
          <w:sz w:val="24"/>
          <w:szCs w:val="24"/>
          <w:lang w:bidi="hi-IN"/>
        </w:rPr>
        <w:t>Kumar, M., &amp; Puri, A. (2012). A Review of Permissible Limits of Drinking Water. Indian Journal of Occupational and Environmental Medicine, 16, 40-44.</w:t>
      </w:r>
      <w:r w:rsidRPr="001E199A">
        <w:rPr>
          <w:sz w:val="24"/>
          <w:szCs w:val="24"/>
          <w:lang w:bidi="hi-IN"/>
        </w:rPr>
        <w:br/>
      </w:r>
      <w:hyperlink r:id="rId12" w:history="1">
        <w:r w:rsidRPr="003761BB">
          <w:rPr>
            <w:rStyle w:val="Hyperlink"/>
            <w:sz w:val="24"/>
            <w:szCs w:val="24"/>
            <w:lang w:bidi="hi-IN"/>
          </w:rPr>
          <w:t>https://doi.org/10.4103/0019-5278.99696</w:t>
        </w:r>
      </w:hyperlink>
    </w:p>
    <w:p w14:paraId="3F04EC64" w14:textId="77777777" w:rsidR="009B0EA4" w:rsidRPr="009B0EA4" w:rsidRDefault="009B0EA4" w:rsidP="00F81C9E">
      <w:pPr>
        <w:pStyle w:val="NoSpacing"/>
        <w:numPr>
          <w:ilvl w:val="0"/>
          <w:numId w:val="7"/>
        </w:numPr>
        <w:jc w:val="both"/>
        <w:rPr>
          <w:sz w:val="24"/>
          <w:szCs w:val="24"/>
          <w:lang w:bidi="hi-IN"/>
        </w:rPr>
      </w:pPr>
      <w:r w:rsidRPr="009B0EA4">
        <w:rPr>
          <w:sz w:val="24"/>
          <w:szCs w:val="24"/>
          <w:lang w:bidi="hi-IN"/>
        </w:rPr>
        <w:t xml:space="preserve">Todd, D. K., &amp; Mays, L. W. (2005). </w:t>
      </w:r>
      <w:r w:rsidRPr="009B0EA4">
        <w:rPr>
          <w:i/>
          <w:iCs/>
          <w:sz w:val="24"/>
          <w:szCs w:val="24"/>
          <w:lang w:bidi="hi-IN"/>
        </w:rPr>
        <w:t>Groundwater hydrology</w:t>
      </w:r>
      <w:r w:rsidRPr="009B0EA4">
        <w:rPr>
          <w:sz w:val="24"/>
          <w:szCs w:val="24"/>
          <w:lang w:bidi="hi-IN"/>
        </w:rPr>
        <w:t xml:space="preserve"> (3rd ed.). John Wiley &amp; Sons.</w:t>
      </w:r>
    </w:p>
    <w:p w14:paraId="3AED8C79" w14:textId="38B9A5F6" w:rsidR="009B0EA4" w:rsidRDefault="009B0EA4" w:rsidP="00F81C9E">
      <w:pPr>
        <w:pStyle w:val="NoSpacing"/>
        <w:numPr>
          <w:ilvl w:val="0"/>
          <w:numId w:val="7"/>
        </w:numPr>
        <w:jc w:val="both"/>
        <w:rPr>
          <w:sz w:val="24"/>
          <w:szCs w:val="24"/>
          <w:lang w:bidi="hi-IN"/>
        </w:rPr>
      </w:pPr>
      <w:r w:rsidRPr="009B0EA4">
        <w:rPr>
          <w:sz w:val="24"/>
          <w:szCs w:val="24"/>
          <w:lang w:bidi="hi-IN"/>
        </w:rPr>
        <w:t xml:space="preserve">World Health Organization. (2017). </w:t>
      </w:r>
      <w:r w:rsidRPr="009B0EA4">
        <w:rPr>
          <w:i/>
          <w:iCs/>
          <w:sz w:val="24"/>
          <w:szCs w:val="24"/>
          <w:lang w:bidi="hi-IN"/>
        </w:rPr>
        <w:t>Guidelines for drinking-water quality</w:t>
      </w:r>
      <w:r w:rsidRPr="009B0EA4">
        <w:rPr>
          <w:sz w:val="24"/>
          <w:szCs w:val="24"/>
          <w:lang w:bidi="hi-IN"/>
        </w:rPr>
        <w:t xml:space="preserve"> (4th ed.). World Health Organization.</w:t>
      </w:r>
    </w:p>
    <w:p w14:paraId="45209D0B" w14:textId="3A4F0C0E" w:rsidR="006B656A" w:rsidRDefault="006B656A" w:rsidP="00F81C9E">
      <w:pPr>
        <w:pStyle w:val="NoSpacing"/>
        <w:numPr>
          <w:ilvl w:val="0"/>
          <w:numId w:val="7"/>
        </w:numPr>
        <w:jc w:val="both"/>
        <w:rPr>
          <w:sz w:val="24"/>
          <w:szCs w:val="24"/>
          <w:lang w:bidi="hi-IN"/>
        </w:rPr>
      </w:pPr>
      <w:proofErr w:type="spellStart"/>
      <w:r w:rsidRPr="006B656A">
        <w:rPr>
          <w:sz w:val="24"/>
          <w:szCs w:val="24"/>
          <w:lang w:bidi="hi-IN"/>
        </w:rPr>
        <w:t>Adjovu</w:t>
      </w:r>
      <w:proofErr w:type="spellEnd"/>
      <w:r w:rsidRPr="006B656A">
        <w:rPr>
          <w:sz w:val="24"/>
          <w:szCs w:val="24"/>
          <w:lang w:bidi="hi-IN"/>
        </w:rPr>
        <w:t>, G. E., Stephen, H., James, D., &amp; Ahmad, S. (2023). Measurement of total dissolved solids and total suspended solids in water systems: A review of the issues, conventional, and remote sensing techniques. Remote Sensing, 15(14), 3534.</w:t>
      </w:r>
    </w:p>
    <w:p w14:paraId="058E4689" w14:textId="6EA4621B" w:rsidR="006B656A" w:rsidRDefault="006B656A" w:rsidP="00F81C9E">
      <w:pPr>
        <w:pStyle w:val="NoSpacing"/>
        <w:numPr>
          <w:ilvl w:val="0"/>
          <w:numId w:val="7"/>
        </w:numPr>
        <w:jc w:val="both"/>
        <w:rPr>
          <w:sz w:val="24"/>
          <w:szCs w:val="24"/>
          <w:lang w:bidi="hi-IN"/>
        </w:rPr>
      </w:pPr>
      <w:proofErr w:type="spellStart"/>
      <w:r w:rsidRPr="006B656A">
        <w:rPr>
          <w:sz w:val="24"/>
          <w:szCs w:val="24"/>
          <w:lang w:bidi="hi-IN"/>
        </w:rPr>
        <w:lastRenderedPageBreak/>
        <w:t>Sihombing</w:t>
      </w:r>
      <w:proofErr w:type="spellEnd"/>
      <w:r w:rsidRPr="006B656A">
        <w:rPr>
          <w:sz w:val="24"/>
          <w:szCs w:val="24"/>
          <w:lang w:bidi="hi-IN"/>
        </w:rPr>
        <w:t xml:space="preserve">, P. R. (2025). Mineral Water Versus Demineralized Water: A Comparative Review Based </w:t>
      </w:r>
      <w:proofErr w:type="gramStart"/>
      <w:r w:rsidRPr="006B656A">
        <w:rPr>
          <w:sz w:val="24"/>
          <w:szCs w:val="24"/>
          <w:lang w:bidi="hi-IN"/>
        </w:rPr>
        <w:t>On</w:t>
      </w:r>
      <w:proofErr w:type="gramEnd"/>
      <w:r w:rsidRPr="006B656A">
        <w:rPr>
          <w:sz w:val="24"/>
          <w:szCs w:val="24"/>
          <w:lang w:bidi="hi-IN"/>
        </w:rPr>
        <w:t xml:space="preserve"> Scientific Evidence Of Composition And Health Benefits. </w:t>
      </w:r>
      <w:proofErr w:type="spellStart"/>
      <w:r w:rsidRPr="006B656A">
        <w:rPr>
          <w:sz w:val="24"/>
          <w:szCs w:val="24"/>
          <w:lang w:bidi="hi-IN"/>
        </w:rPr>
        <w:t>Jurnal</w:t>
      </w:r>
      <w:proofErr w:type="spellEnd"/>
      <w:r w:rsidRPr="006B656A">
        <w:rPr>
          <w:sz w:val="24"/>
          <w:szCs w:val="24"/>
          <w:lang w:bidi="hi-IN"/>
        </w:rPr>
        <w:t xml:space="preserve"> </w:t>
      </w:r>
      <w:proofErr w:type="spellStart"/>
      <w:r w:rsidRPr="006B656A">
        <w:rPr>
          <w:sz w:val="24"/>
          <w:szCs w:val="24"/>
          <w:lang w:bidi="hi-IN"/>
        </w:rPr>
        <w:t>Ilmiah</w:t>
      </w:r>
      <w:proofErr w:type="spellEnd"/>
      <w:r w:rsidRPr="006B656A">
        <w:rPr>
          <w:sz w:val="24"/>
          <w:szCs w:val="24"/>
          <w:lang w:bidi="hi-IN"/>
        </w:rPr>
        <w:t xml:space="preserve"> </w:t>
      </w:r>
      <w:proofErr w:type="spellStart"/>
      <w:r w:rsidRPr="006B656A">
        <w:rPr>
          <w:sz w:val="24"/>
          <w:szCs w:val="24"/>
          <w:lang w:bidi="hi-IN"/>
        </w:rPr>
        <w:t>Kesehatan</w:t>
      </w:r>
      <w:proofErr w:type="spellEnd"/>
      <w:r w:rsidRPr="006B656A">
        <w:rPr>
          <w:sz w:val="24"/>
          <w:szCs w:val="24"/>
          <w:lang w:bidi="hi-IN"/>
        </w:rPr>
        <w:t xml:space="preserve"> </w:t>
      </w:r>
      <w:proofErr w:type="spellStart"/>
      <w:r w:rsidRPr="006B656A">
        <w:rPr>
          <w:sz w:val="24"/>
          <w:szCs w:val="24"/>
          <w:lang w:bidi="hi-IN"/>
        </w:rPr>
        <w:t>Pernus</w:t>
      </w:r>
      <w:proofErr w:type="spellEnd"/>
      <w:r w:rsidRPr="006B656A">
        <w:rPr>
          <w:sz w:val="24"/>
          <w:szCs w:val="24"/>
          <w:lang w:bidi="hi-IN"/>
        </w:rPr>
        <w:t>, 3(2).</w:t>
      </w:r>
    </w:p>
    <w:p w14:paraId="33549800" w14:textId="648F03C1" w:rsidR="006B656A" w:rsidRPr="009B0EA4" w:rsidRDefault="006B656A" w:rsidP="00F81C9E">
      <w:pPr>
        <w:pStyle w:val="NoSpacing"/>
        <w:numPr>
          <w:ilvl w:val="0"/>
          <w:numId w:val="7"/>
        </w:numPr>
        <w:jc w:val="both"/>
        <w:rPr>
          <w:sz w:val="24"/>
          <w:szCs w:val="24"/>
          <w:lang w:bidi="hi-IN"/>
        </w:rPr>
      </w:pPr>
      <w:r w:rsidRPr="006B656A">
        <w:rPr>
          <w:sz w:val="24"/>
          <w:szCs w:val="24"/>
          <w:lang w:bidi="hi-IN"/>
        </w:rPr>
        <w:t xml:space="preserve">Preethi, B., Subramani, T., Karunanidhi, D., &amp; </w:t>
      </w:r>
      <w:proofErr w:type="spellStart"/>
      <w:r w:rsidRPr="006B656A">
        <w:rPr>
          <w:sz w:val="24"/>
          <w:szCs w:val="24"/>
          <w:lang w:bidi="hi-IN"/>
        </w:rPr>
        <w:t>Berhe</w:t>
      </w:r>
      <w:proofErr w:type="spellEnd"/>
      <w:r w:rsidRPr="006B656A">
        <w:rPr>
          <w:sz w:val="24"/>
          <w:szCs w:val="24"/>
          <w:lang w:bidi="hi-IN"/>
        </w:rPr>
        <w:t>, B. A. (2025). Evaluation of sulphate contamination in surface and groundwater with health hazards in the largest opencast lignite mine region of Asia. Scientific Reports.</w:t>
      </w:r>
      <w:r w:rsidRPr="006B656A">
        <w:t xml:space="preserve"> </w:t>
      </w:r>
      <w:r w:rsidRPr="006B656A">
        <w:rPr>
          <w:sz w:val="24"/>
          <w:szCs w:val="24"/>
          <w:lang w:bidi="hi-IN"/>
        </w:rPr>
        <w:t>16, 2962 (2026). https://doi.org/10.1038/s41598-025-32763-8</w:t>
      </w:r>
      <w:bookmarkStart w:id="2" w:name="_GoBack"/>
      <w:bookmarkEnd w:id="2"/>
    </w:p>
    <w:p w14:paraId="5549BF02" w14:textId="77777777" w:rsidR="00A27DBD" w:rsidRPr="00BB4E32" w:rsidRDefault="00A27DBD" w:rsidP="00A27DBD">
      <w:pPr>
        <w:pStyle w:val="ListParagraph"/>
      </w:pPr>
    </w:p>
    <w:p w14:paraId="3FA3FA78" w14:textId="361F2A35" w:rsidR="00E6507F" w:rsidRPr="00E6507F" w:rsidRDefault="00E6507F" w:rsidP="0084287F">
      <w:pPr>
        <w:rPr>
          <w:sz w:val="24"/>
          <w:szCs w:val="24"/>
        </w:rPr>
      </w:pPr>
    </w:p>
    <w:p w14:paraId="6C65B0CF" w14:textId="77777777" w:rsidR="000317F7" w:rsidRPr="00B3736C" w:rsidRDefault="000317F7" w:rsidP="00B3736C">
      <w:pPr>
        <w:spacing w:after="0" w:line="360" w:lineRule="auto"/>
        <w:jc w:val="both"/>
        <w:rPr>
          <w:rFonts w:ascii="Arial" w:hAnsi="Arial" w:cs="Arial"/>
          <w:sz w:val="24"/>
          <w:szCs w:val="24"/>
        </w:rPr>
      </w:pPr>
    </w:p>
    <w:p w14:paraId="790A3689" w14:textId="77777777" w:rsidR="00FF5924" w:rsidRPr="006F45C1" w:rsidRDefault="00FF5924" w:rsidP="006F45C1">
      <w:pPr>
        <w:spacing w:after="0" w:line="360" w:lineRule="auto"/>
        <w:rPr>
          <w:rFonts w:ascii="Arial" w:hAnsi="Arial" w:cs="Arial"/>
          <w:b/>
          <w:bCs/>
          <w:sz w:val="24"/>
          <w:szCs w:val="24"/>
        </w:rPr>
      </w:pPr>
    </w:p>
    <w:sectPr w:rsidR="00FF5924" w:rsidRPr="006F45C1" w:rsidSect="006B403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0DBBD" w14:textId="77777777" w:rsidR="00440D6B" w:rsidRDefault="00440D6B" w:rsidP="00C64E89">
      <w:pPr>
        <w:spacing w:after="0" w:line="240" w:lineRule="auto"/>
      </w:pPr>
      <w:r>
        <w:separator/>
      </w:r>
    </w:p>
  </w:endnote>
  <w:endnote w:type="continuationSeparator" w:id="0">
    <w:p w14:paraId="3DFCABC1" w14:textId="77777777" w:rsidR="00440D6B" w:rsidRDefault="00440D6B" w:rsidP="00C64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FC3E7" w14:textId="77777777" w:rsidR="00C64E89" w:rsidRDefault="00C64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96BCF" w14:textId="77777777" w:rsidR="00C64E89" w:rsidRDefault="00C64E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1FA88" w14:textId="77777777" w:rsidR="00C64E89" w:rsidRDefault="00C64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2ED35" w14:textId="77777777" w:rsidR="00440D6B" w:rsidRDefault="00440D6B" w:rsidP="00C64E89">
      <w:pPr>
        <w:spacing w:after="0" w:line="240" w:lineRule="auto"/>
      </w:pPr>
      <w:r>
        <w:separator/>
      </w:r>
    </w:p>
  </w:footnote>
  <w:footnote w:type="continuationSeparator" w:id="0">
    <w:p w14:paraId="16EC89FA" w14:textId="77777777" w:rsidR="00440D6B" w:rsidRDefault="00440D6B" w:rsidP="00C64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18E6" w14:textId="3366E7B4" w:rsidR="00C64E89" w:rsidRDefault="006B656A">
    <w:pPr>
      <w:pStyle w:val="Header"/>
    </w:pPr>
    <w:r>
      <w:rPr>
        <w:noProof/>
      </w:rPr>
      <w:pict w14:anchorId="1D6B2B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5542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FEB8A" w14:textId="4CDC35AD" w:rsidR="00C64E89" w:rsidRDefault="006B656A">
    <w:pPr>
      <w:pStyle w:val="Header"/>
    </w:pPr>
    <w:r>
      <w:rPr>
        <w:noProof/>
      </w:rPr>
      <w:pict w14:anchorId="0FDA82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5542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B0787" w14:textId="68745D58" w:rsidR="00C64E89" w:rsidRDefault="006B656A">
    <w:pPr>
      <w:pStyle w:val="Header"/>
    </w:pPr>
    <w:r>
      <w:rPr>
        <w:noProof/>
      </w:rPr>
      <w:pict w14:anchorId="3B37D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5542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10C83"/>
    <w:multiLevelType w:val="hybridMultilevel"/>
    <w:tmpl w:val="54D02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B21465"/>
    <w:multiLevelType w:val="hybridMultilevel"/>
    <w:tmpl w:val="9C948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57244F"/>
    <w:multiLevelType w:val="multilevel"/>
    <w:tmpl w:val="4B66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E740D5"/>
    <w:multiLevelType w:val="multilevel"/>
    <w:tmpl w:val="DB94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9F32F1"/>
    <w:multiLevelType w:val="hybridMultilevel"/>
    <w:tmpl w:val="0B981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3D170B"/>
    <w:multiLevelType w:val="multilevel"/>
    <w:tmpl w:val="4DDEC0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6EF44F0F"/>
    <w:multiLevelType w:val="multilevel"/>
    <w:tmpl w:val="4DDEC0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5"/>
  </w:num>
  <w:num w:numId="3">
    <w:abstractNumId w:val="3"/>
  </w:num>
  <w:num w:numId="4">
    <w:abstractNumId w:val="2"/>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CA"/>
    <w:rsid w:val="000317F7"/>
    <w:rsid w:val="00047B98"/>
    <w:rsid w:val="00061827"/>
    <w:rsid w:val="00066524"/>
    <w:rsid w:val="000C490B"/>
    <w:rsid w:val="00105099"/>
    <w:rsid w:val="0011139C"/>
    <w:rsid w:val="001E199A"/>
    <w:rsid w:val="002832BF"/>
    <w:rsid w:val="002857B8"/>
    <w:rsid w:val="00294647"/>
    <w:rsid w:val="0029795B"/>
    <w:rsid w:val="002B19DC"/>
    <w:rsid w:val="00357364"/>
    <w:rsid w:val="00386C9D"/>
    <w:rsid w:val="003A5F22"/>
    <w:rsid w:val="003D552B"/>
    <w:rsid w:val="003D60EF"/>
    <w:rsid w:val="004361C8"/>
    <w:rsid w:val="00440D6B"/>
    <w:rsid w:val="004506C7"/>
    <w:rsid w:val="004C4EB3"/>
    <w:rsid w:val="004C6510"/>
    <w:rsid w:val="00555191"/>
    <w:rsid w:val="00563F91"/>
    <w:rsid w:val="00595AA3"/>
    <w:rsid w:val="006B4030"/>
    <w:rsid w:val="006B656A"/>
    <w:rsid w:val="006E38DD"/>
    <w:rsid w:val="006F25D3"/>
    <w:rsid w:val="006F45C1"/>
    <w:rsid w:val="007020F2"/>
    <w:rsid w:val="00751DCA"/>
    <w:rsid w:val="007653FD"/>
    <w:rsid w:val="00797F64"/>
    <w:rsid w:val="007C120F"/>
    <w:rsid w:val="007D6A80"/>
    <w:rsid w:val="007E7406"/>
    <w:rsid w:val="00800106"/>
    <w:rsid w:val="008014FB"/>
    <w:rsid w:val="0084287F"/>
    <w:rsid w:val="008770FC"/>
    <w:rsid w:val="00896768"/>
    <w:rsid w:val="008A67AC"/>
    <w:rsid w:val="008B5B0D"/>
    <w:rsid w:val="008C2EC1"/>
    <w:rsid w:val="008D169A"/>
    <w:rsid w:val="008D1A9F"/>
    <w:rsid w:val="008E400E"/>
    <w:rsid w:val="00914D35"/>
    <w:rsid w:val="009B0EA4"/>
    <w:rsid w:val="00A27DBD"/>
    <w:rsid w:val="00A315F3"/>
    <w:rsid w:val="00A31B07"/>
    <w:rsid w:val="00A5626D"/>
    <w:rsid w:val="00A572FD"/>
    <w:rsid w:val="00A82640"/>
    <w:rsid w:val="00B118B4"/>
    <w:rsid w:val="00B3736C"/>
    <w:rsid w:val="00B441D9"/>
    <w:rsid w:val="00B90BE6"/>
    <w:rsid w:val="00BB4E32"/>
    <w:rsid w:val="00BF03D8"/>
    <w:rsid w:val="00C02103"/>
    <w:rsid w:val="00C504AD"/>
    <w:rsid w:val="00C64E89"/>
    <w:rsid w:val="00CD1ED0"/>
    <w:rsid w:val="00CF0BDF"/>
    <w:rsid w:val="00D37D95"/>
    <w:rsid w:val="00D62659"/>
    <w:rsid w:val="00DE5152"/>
    <w:rsid w:val="00DF51E0"/>
    <w:rsid w:val="00E275AE"/>
    <w:rsid w:val="00E304D4"/>
    <w:rsid w:val="00E57FF5"/>
    <w:rsid w:val="00E6278E"/>
    <w:rsid w:val="00E6507F"/>
    <w:rsid w:val="00E737F6"/>
    <w:rsid w:val="00E84E5B"/>
    <w:rsid w:val="00EB2157"/>
    <w:rsid w:val="00EC2B68"/>
    <w:rsid w:val="00ED3BC7"/>
    <w:rsid w:val="00F27D82"/>
    <w:rsid w:val="00F422BF"/>
    <w:rsid w:val="00F67DA4"/>
    <w:rsid w:val="00F81C9E"/>
    <w:rsid w:val="00FA0ACF"/>
    <w:rsid w:val="00FB08A6"/>
    <w:rsid w:val="00FB3CAC"/>
    <w:rsid w:val="00FD407B"/>
    <w:rsid w:val="00FF592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EF87B3"/>
  <w15:chartTrackingRefBased/>
  <w15:docId w15:val="{C0898840-1926-4893-8AA2-8C367635E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4030"/>
  </w:style>
  <w:style w:type="paragraph" w:styleId="Heading1">
    <w:name w:val="heading 1"/>
    <w:basedOn w:val="Normal"/>
    <w:next w:val="Normal"/>
    <w:link w:val="Heading1Char"/>
    <w:uiPriority w:val="9"/>
    <w:qFormat/>
    <w:rsid w:val="00751D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1D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1D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1D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1D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1D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D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D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D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D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1D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1D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1D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1D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1D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D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D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DCA"/>
    <w:rPr>
      <w:rFonts w:eastAsiaTheme="majorEastAsia" w:cstheme="majorBidi"/>
      <w:color w:val="272727" w:themeColor="text1" w:themeTint="D8"/>
    </w:rPr>
  </w:style>
  <w:style w:type="paragraph" w:styleId="Title">
    <w:name w:val="Title"/>
    <w:basedOn w:val="Normal"/>
    <w:next w:val="Normal"/>
    <w:link w:val="TitleChar"/>
    <w:uiPriority w:val="10"/>
    <w:qFormat/>
    <w:rsid w:val="00751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D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D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D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DCA"/>
    <w:pPr>
      <w:spacing w:before="160"/>
      <w:jc w:val="center"/>
    </w:pPr>
    <w:rPr>
      <w:i/>
      <w:iCs/>
      <w:color w:val="404040" w:themeColor="text1" w:themeTint="BF"/>
    </w:rPr>
  </w:style>
  <w:style w:type="character" w:customStyle="1" w:styleId="QuoteChar">
    <w:name w:val="Quote Char"/>
    <w:basedOn w:val="DefaultParagraphFont"/>
    <w:link w:val="Quote"/>
    <w:uiPriority w:val="29"/>
    <w:rsid w:val="00751DCA"/>
    <w:rPr>
      <w:i/>
      <w:iCs/>
      <w:color w:val="404040" w:themeColor="text1" w:themeTint="BF"/>
    </w:rPr>
  </w:style>
  <w:style w:type="paragraph" w:styleId="ListParagraph">
    <w:name w:val="List Paragraph"/>
    <w:basedOn w:val="Normal"/>
    <w:uiPriority w:val="34"/>
    <w:qFormat/>
    <w:rsid w:val="00751DCA"/>
    <w:pPr>
      <w:ind w:left="720"/>
      <w:contextualSpacing/>
    </w:pPr>
  </w:style>
  <w:style w:type="character" w:styleId="IntenseEmphasis">
    <w:name w:val="Intense Emphasis"/>
    <w:basedOn w:val="DefaultParagraphFont"/>
    <w:uiPriority w:val="21"/>
    <w:qFormat/>
    <w:rsid w:val="00751DCA"/>
    <w:rPr>
      <w:i/>
      <w:iCs/>
      <w:color w:val="2F5496" w:themeColor="accent1" w:themeShade="BF"/>
    </w:rPr>
  </w:style>
  <w:style w:type="paragraph" w:styleId="IntenseQuote">
    <w:name w:val="Intense Quote"/>
    <w:basedOn w:val="Normal"/>
    <w:next w:val="Normal"/>
    <w:link w:val="IntenseQuoteChar"/>
    <w:uiPriority w:val="30"/>
    <w:qFormat/>
    <w:rsid w:val="00751D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1DCA"/>
    <w:rPr>
      <w:i/>
      <w:iCs/>
      <w:color w:val="2F5496" w:themeColor="accent1" w:themeShade="BF"/>
    </w:rPr>
  </w:style>
  <w:style w:type="character" w:styleId="IntenseReference">
    <w:name w:val="Intense Reference"/>
    <w:basedOn w:val="DefaultParagraphFont"/>
    <w:uiPriority w:val="32"/>
    <w:qFormat/>
    <w:rsid w:val="00751DCA"/>
    <w:rPr>
      <w:b/>
      <w:bCs/>
      <w:smallCaps/>
      <w:color w:val="2F5496" w:themeColor="accent1" w:themeShade="BF"/>
      <w:spacing w:val="5"/>
    </w:rPr>
  </w:style>
  <w:style w:type="paragraph" w:styleId="NoSpacing">
    <w:name w:val="No Spacing"/>
    <w:uiPriority w:val="1"/>
    <w:qFormat/>
    <w:rsid w:val="00047B98"/>
    <w:pPr>
      <w:spacing w:after="0" w:line="240" w:lineRule="auto"/>
    </w:pPr>
  </w:style>
  <w:style w:type="table" w:styleId="TableGrid">
    <w:name w:val="Table Grid"/>
    <w:basedOn w:val="TableNormal"/>
    <w:uiPriority w:val="39"/>
    <w:rsid w:val="00FF5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F592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7D6A80"/>
    <w:rPr>
      <w:rFonts w:ascii="Times New Roman" w:hAnsi="Times New Roman" w:cs="Times New Roman"/>
      <w:sz w:val="24"/>
      <w:szCs w:val="24"/>
    </w:rPr>
  </w:style>
  <w:style w:type="character" w:styleId="Strong">
    <w:name w:val="Strong"/>
    <w:basedOn w:val="DefaultParagraphFont"/>
    <w:uiPriority w:val="22"/>
    <w:qFormat/>
    <w:rsid w:val="00A27DBD"/>
    <w:rPr>
      <w:b/>
      <w:bCs/>
    </w:rPr>
  </w:style>
  <w:style w:type="character" w:styleId="Emphasis">
    <w:name w:val="Emphasis"/>
    <w:basedOn w:val="DefaultParagraphFont"/>
    <w:uiPriority w:val="20"/>
    <w:qFormat/>
    <w:rsid w:val="00A27DBD"/>
    <w:rPr>
      <w:i/>
      <w:iCs/>
    </w:rPr>
  </w:style>
  <w:style w:type="character" w:styleId="Hyperlink">
    <w:name w:val="Hyperlink"/>
    <w:basedOn w:val="DefaultParagraphFont"/>
    <w:uiPriority w:val="99"/>
    <w:unhideWhenUsed/>
    <w:rsid w:val="008C2EC1"/>
    <w:rPr>
      <w:color w:val="0563C1" w:themeColor="hyperlink"/>
      <w:u w:val="single"/>
    </w:rPr>
  </w:style>
  <w:style w:type="character" w:styleId="UnresolvedMention">
    <w:name w:val="Unresolved Mention"/>
    <w:basedOn w:val="DefaultParagraphFont"/>
    <w:uiPriority w:val="99"/>
    <w:semiHidden/>
    <w:unhideWhenUsed/>
    <w:rsid w:val="008C2EC1"/>
    <w:rPr>
      <w:color w:val="605E5C"/>
      <w:shd w:val="clear" w:color="auto" w:fill="E1DFDD"/>
    </w:rPr>
  </w:style>
  <w:style w:type="paragraph" w:styleId="Header">
    <w:name w:val="header"/>
    <w:basedOn w:val="Normal"/>
    <w:link w:val="HeaderChar"/>
    <w:uiPriority w:val="99"/>
    <w:unhideWhenUsed/>
    <w:rsid w:val="00C64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E89"/>
  </w:style>
  <w:style w:type="paragraph" w:styleId="Footer">
    <w:name w:val="footer"/>
    <w:basedOn w:val="Normal"/>
    <w:link w:val="FooterChar"/>
    <w:uiPriority w:val="99"/>
    <w:unhideWhenUsed/>
    <w:rsid w:val="00C64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32291">
      <w:bodyDiv w:val="1"/>
      <w:marLeft w:val="0"/>
      <w:marRight w:val="0"/>
      <w:marTop w:val="0"/>
      <w:marBottom w:val="0"/>
      <w:divBdr>
        <w:top w:val="none" w:sz="0" w:space="0" w:color="auto"/>
        <w:left w:val="none" w:sz="0" w:space="0" w:color="auto"/>
        <w:bottom w:val="none" w:sz="0" w:space="0" w:color="auto"/>
        <w:right w:val="none" w:sz="0" w:space="0" w:color="auto"/>
      </w:divBdr>
      <w:divsChild>
        <w:div w:id="1931230016">
          <w:marLeft w:val="0"/>
          <w:marRight w:val="0"/>
          <w:marTop w:val="0"/>
          <w:marBottom w:val="0"/>
          <w:divBdr>
            <w:top w:val="none" w:sz="0" w:space="0" w:color="auto"/>
            <w:left w:val="none" w:sz="0" w:space="0" w:color="auto"/>
            <w:bottom w:val="none" w:sz="0" w:space="0" w:color="auto"/>
            <w:right w:val="none" w:sz="0" w:space="0" w:color="auto"/>
          </w:divBdr>
          <w:divsChild>
            <w:div w:id="769813428">
              <w:marLeft w:val="0"/>
              <w:marRight w:val="0"/>
              <w:marTop w:val="0"/>
              <w:marBottom w:val="0"/>
              <w:divBdr>
                <w:top w:val="none" w:sz="0" w:space="0" w:color="auto"/>
                <w:left w:val="none" w:sz="0" w:space="0" w:color="auto"/>
                <w:bottom w:val="none" w:sz="0" w:space="0" w:color="auto"/>
                <w:right w:val="none" w:sz="0" w:space="0" w:color="auto"/>
              </w:divBdr>
              <w:divsChild>
                <w:div w:id="1968513461">
                  <w:marLeft w:val="0"/>
                  <w:marRight w:val="0"/>
                  <w:marTop w:val="0"/>
                  <w:marBottom w:val="0"/>
                  <w:divBdr>
                    <w:top w:val="none" w:sz="0" w:space="0" w:color="auto"/>
                    <w:left w:val="none" w:sz="0" w:space="0" w:color="auto"/>
                    <w:bottom w:val="none" w:sz="0" w:space="0" w:color="auto"/>
                    <w:right w:val="none" w:sz="0" w:space="0" w:color="auto"/>
                  </w:divBdr>
                  <w:divsChild>
                    <w:div w:id="205338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058219">
          <w:marLeft w:val="0"/>
          <w:marRight w:val="0"/>
          <w:marTop w:val="0"/>
          <w:marBottom w:val="0"/>
          <w:divBdr>
            <w:top w:val="none" w:sz="0" w:space="0" w:color="auto"/>
            <w:left w:val="none" w:sz="0" w:space="0" w:color="auto"/>
            <w:bottom w:val="none" w:sz="0" w:space="0" w:color="auto"/>
            <w:right w:val="none" w:sz="0" w:space="0" w:color="auto"/>
          </w:divBdr>
          <w:divsChild>
            <w:div w:id="62415587">
              <w:marLeft w:val="0"/>
              <w:marRight w:val="0"/>
              <w:marTop w:val="0"/>
              <w:marBottom w:val="0"/>
              <w:divBdr>
                <w:top w:val="none" w:sz="0" w:space="0" w:color="auto"/>
                <w:left w:val="none" w:sz="0" w:space="0" w:color="auto"/>
                <w:bottom w:val="none" w:sz="0" w:space="0" w:color="auto"/>
                <w:right w:val="none" w:sz="0" w:space="0" w:color="auto"/>
              </w:divBdr>
              <w:divsChild>
                <w:div w:id="1971785369">
                  <w:marLeft w:val="0"/>
                  <w:marRight w:val="0"/>
                  <w:marTop w:val="0"/>
                  <w:marBottom w:val="0"/>
                  <w:divBdr>
                    <w:top w:val="none" w:sz="0" w:space="0" w:color="auto"/>
                    <w:left w:val="none" w:sz="0" w:space="0" w:color="auto"/>
                    <w:bottom w:val="none" w:sz="0" w:space="0" w:color="auto"/>
                    <w:right w:val="none" w:sz="0" w:space="0" w:color="auto"/>
                  </w:divBdr>
                  <w:divsChild>
                    <w:div w:id="44087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557190">
      <w:bodyDiv w:val="1"/>
      <w:marLeft w:val="0"/>
      <w:marRight w:val="0"/>
      <w:marTop w:val="0"/>
      <w:marBottom w:val="0"/>
      <w:divBdr>
        <w:top w:val="none" w:sz="0" w:space="0" w:color="auto"/>
        <w:left w:val="none" w:sz="0" w:space="0" w:color="auto"/>
        <w:bottom w:val="none" w:sz="0" w:space="0" w:color="auto"/>
        <w:right w:val="none" w:sz="0" w:space="0" w:color="auto"/>
      </w:divBdr>
    </w:div>
    <w:div w:id="1387752389">
      <w:bodyDiv w:val="1"/>
      <w:marLeft w:val="0"/>
      <w:marRight w:val="0"/>
      <w:marTop w:val="0"/>
      <w:marBottom w:val="0"/>
      <w:divBdr>
        <w:top w:val="none" w:sz="0" w:space="0" w:color="auto"/>
        <w:left w:val="none" w:sz="0" w:space="0" w:color="auto"/>
        <w:bottom w:val="none" w:sz="0" w:space="0" w:color="auto"/>
        <w:right w:val="none" w:sz="0" w:space="0" w:color="auto"/>
      </w:divBdr>
    </w:div>
    <w:div w:id="1549536702">
      <w:bodyDiv w:val="1"/>
      <w:marLeft w:val="0"/>
      <w:marRight w:val="0"/>
      <w:marTop w:val="0"/>
      <w:marBottom w:val="0"/>
      <w:divBdr>
        <w:top w:val="none" w:sz="0" w:space="0" w:color="auto"/>
        <w:left w:val="none" w:sz="0" w:space="0" w:color="auto"/>
        <w:bottom w:val="none" w:sz="0" w:space="0" w:color="auto"/>
        <w:right w:val="none" w:sz="0" w:space="0" w:color="auto"/>
      </w:divBdr>
      <w:divsChild>
        <w:div w:id="316037094">
          <w:marLeft w:val="0"/>
          <w:marRight w:val="0"/>
          <w:marTop w:val="0"/>
          <w:marBottom w:val="0"/>
          <w:divBdr>
            <w:top w:val="none" w:sz="0" w:space="0" w:color="auto"/>
            <w:left w:val="none" w:sz="0" w:space="0" w:color="auto"/>
            <w:bottom w:val="none" w:sz="0" w:space="0" w:color="auto"/>
            <w:right w:val="none" w:sz="0" w:space="0" w:color="auto"/>
          </w:divBdr>
          <w:divsChild>
            <w:div w:id="2060545115">
              <w:marLeft w:val="0"/>
              <w:marRight w:val="0"/>
              <w:marTop w:val="0"/>
              <w:marBottom w:val="0"/>
              <w:divBdr>
                <w:top w:val="none" w:sz="0" w:space="0" w:color="auto"/>
                <w:left w:val="none" w:sz="0" w:space="0" w:color="auto"/>
                <w:bottom w:val="none" w:sz="0" w:space="0" w:color="auto"/>
                <w:right w:val="none" w:sz="0" w:space="0" w:color="auto"/>
              </w:divBdr>
              <w:divsChild>
                <w:div w:id="542518719">
                  <w:marLeft w:val="0"/>
                  <w:marRight w:val="0"/>
                  <w:marTop w:val="0"/>
                  <w:marBottom w:val="0"/>
                  <w:divBdr>
                    <w:top w:val="none" w:sz="0" w:space="0" w:color="auto"/>
                    <w:left w:val="none" w:sz="0" w:space="0" w:color="auto"/>
                    <w:bottom w:val="none" w:sz="0" w:space="0" w:color="auto"/>
                    <w:right w:val="none" w:sz="0" w:space="0" w:color="auto"/>
                  </w:divBdr>
                  <w:divsChild>
                    <w:div w:id="192364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98023">
          <w:marLeft w:val="0"/>
          <w:marRight w:val="0"/>
          <w:marTop w:val="0"/>
          <w:marBottom w:val="0"/>
          <w:divBdr>
            <w:top w:val="none" w:sz="0" w:space="0" w:color="auto"/>
            <w:left w:val="none" w:sz="0" w:space="0" w:color="auto"/>
            <w:bottom w:val="none" w:sz="0" w:space="0" w:color="auto"/>
            <w:right w:val="none" w:sz="0" w:space="0" w:color="auto"/>
          </w:divBdr>
          <w:divsChild>
            <w:div w:id="1813791396">
              <w:marLeft w:val="0"/>
              <w:marRight w:val="0"/>
              <w:marTop w:val="0"/>
              <w:marBottom w:val="0"/>
              <w:divBdr>
                <w:top w:val="none" w:sz="0" w:space="0" w:color="auto"/>
                <w:left w:val="none" w:sz="0" w:space="0" w:color="auto"/>
                <w:bottom w:val="none" w:sz="0" w:space="0" w:color="auto"/>
                <w:right w:val="none" w:sz="0" w:space="0" w:color="auto"/>
              </w:divBdr>
              <w:divsChild>
                <w:div w:id="762072889">
                  <w:marLeft w:val="0"/>
                  <w:marRight w:val="0"/>
                  <w:marTop w:val="0"/>
                  <w:marBottom w:val="0"/>
                  <w:divBdr>
                    <w:top w:val="none" w:sz="0" w:space="0" w:color="auto"/>
                    <w:left w:val="none" w:sz="0" w:space="0" w:color="auto"/>
                    <w:bottom w:val="none" w:sz="0" w:space="0" w:color="auto"/>
                    <w:right w:val="none" w:sz="0" w:space="0" w:color="auto"/>
                  </w:divBdr>
                  <w:divsChild>
                    <w:div w:id="97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680460">
      <w:bodyDiv w:val="1"/>
      <w:marLeft w:val="0"/>
      <w:marRight w:val="0"/>
      <w:marTop w:val="0"/>
      <w:marBottom w:val="0"/>
      <w:divBdr>
        <w:top w:val="none" w:sz="0" w:space="0" w:color="auto"/>
        <w:left w:val="none" w:sz="0" w:space="0" w:color="auto"/>
        <w:bottom w:val="none" w:sz="0" w:space="0" w:color="auto"/>
        <w:right w:val="none" w:sz="0" w:space="0" w:color="auto"/>
      </w:divBdr>
    </w:div>
    <w:div w:id="193798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4103/0019-5278.99696"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c79.gw-project.org/english/"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pcb.nic.in/wqm/BIS_Drinking_Water_Specification.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4766</TotalTime>
  <Pages>12</Pages>
  <Words>3539</Words>
  <Characters>20173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MANISH-PC</dc:creator>
  <cp:keywords/>
  <dc:description/>
  <cp:lastModifiedBy>Editor-1183</cp:lastModifiedBy>
  <cp:revision>68</cp:revision>
  <dcterms:created xsi:type="dcterms:W3CDTF">2025-01-27T06:44:00Z</dcterms:created>
  <dcterms:modified xsi:type="dcterms:W3CDTF">2026-02-07T05:07:00Z</dcterms:modified>
</cp:coreProperties>
</file>