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EF92A" w14:textId="3C1CB13C" w:rsidR="003F49EA" w:rsidRPr="00BF7E7B" w:rsidRDefault="003F49EA" w:rsidP="00615E1E">
      <w:pPr>
        <w:spacing w:after="0" w:line="240" w:lineRule="auto"/>
        <w:rPr>
          <w:rFonts w:ascii="Times New Roman" w:hAnsi="Times New Roman" w:cs="Times New Roman"/>
          <w:b/>
          <w:sz w:val="32"/>
          <w:lang w:val="en-GB"/>
        </w:rPr>
      </w:pPr>
      <w:r w:rsidRPr="00BF7E7B">
        <w:rPr>
          <w:rFonts w:ascii="Times New Roman" w:hAnsi="Times New Roman" w:cs="Times New Roman"/>
          <w:b/>
          <w:sz w:val="32"/>
          <w:highlight w:val="yellow"/>
          <w:lang w:val="en-GB"/>
        </w:rPr>
        <w:t xml:space="preserve">Spatial Pattern of Births and Deaths Using HMIS Data in </w:t>
      </w:r>
      <w:proofErr w:type="spellStart"/>
      <w:r w:rsidRPr="00BF7E7B">
        <w:rPr>
          <w:rFonts w:ascii="Times New Roman" w:hAnsi="Times New Roman" w:cs="Times New Roman"/>
          <w:b/>
          <w:sz w:val="32"/>
          <w:highlight w:val="yellow"/>
          <w:lang w:val="en-GB"/>
        </w:rPr>
        <w:t>Ahilyanagar</w:t>
      </w:r>
      <w:proofErr w:type="spellEnd"/>
      <w:r w:rsidRPr="00BF7E7B">
        <w:rPr>
          <w:rFonts w:ascii="Times New Roman" w:hAnsi="Times New Roman" w:cs="Times New Roman"/>
          <w:b/>
          <w:sz w:val="32"/>
          <w:highlight w:val="yellow"/>
          <w:lang w:val="en-GB"/>
        </w:rPr>
        <w:t xml:space="preserve"> District</w:t>
      </w:r>
      <w:r w:rsidR="00231690" w:rsidRPr="00BF7E7B">
        <w:rPr>
          <w:rFonts w:ascii="Times New Roman" w:hAnsi="Times New Roman" w:cs="Times New Roman"/>
          <w:b/>
          <w:sz w:val="32"/>
          <w:highlight w:val="yellow"/>
          <w:lang w:val="en-GB"/>
        </w:rPr>
        <w:t xml:space="preserve">, </w:t>
      </w:r>
      <w:r w:rsidR="00231690" w:rsidRPr="00BF7E7B">
        <w:rPr>
          <w:rFonts w:ascii="Times New Roman" w:hAnsi="Times New Roman" w:cs="Times New Roman"/>
          <w:b/>
          <w:sz w:val="32"/>
          <w:szCs w:val="24"/>
          <w:highlight w:val="yellow"/>
          <w:lang w:val="en"/>
        </w:rPr>
        <w:t>India</w:t>
      </w:r>
      <w:r w:rsidRPr="00BF7E7B">
        <w:rPr>
          <w:rFonts w:ascii="Times New Roman" w:hAnsi="Times New Roman" w:cs="Times New Roman"/>
          <w:b/>
          <w:sz w:val="32"/>
          <w:highlight w:val="yellow"/>
          <w:lang w:val="en-GB"/>
        </w:rPr>
        <w:t>: Tahsil-wise Geographical Analysis</w:t>
      </w:r>
    </w:p>
    <w:p w14:paraId="6890BB41" w14:textId="433A7455" w:rsidR="003B2C6A" w:rsidRDefault="003B2C6A" w:rsidP="009A5CE9">
      <w:pPr>
        <w:spacing w:after="0" w:line="360" w:lineRule="auto"/>
        <w:jc w:val="both"/>
        <w:rPr>
          <w:rFonts w:ascii="Arial" w:hAnsi="Arial" w:cs="Arial"/>
          <w:sz w:val="20"/>
        </w:rPr>
      </w:pPr>
    </w:p>
    <w:p w14:paraId="348DBAF2" w14:textId="77777777" w:rsidR="00D857DE" w:rsidRPr="009A5CE9" w:rsidRDefault="00D857DE" w:rsidP="009A5CE9">
      <w:pPr>
        <w:spacing w:after="0" w:line="360" w:lineRule="auto"/>
        <w:jc w:val="both"/>
        <w:rPr>
          <w:rFonts w:ascii="Arial" w:hAnsi="Arial" w:cs="Arial"/>
          <w:sz w:val="20"/>
        </w:rPr>
      </w:pPr>
    </w:p>
    <w:p w14:paraId="3C5CBC72" w14:textId="2EB69C6B"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 xml:space="preserve">ABSTRACT  </w:t>
      </w:r>
    </w:p>
    <w:p w14:paraId="30A9948C" w14:textId="7A8A787A" w:rsidR="00231690" w:rsidRDefault="00231690" w:rsidP="009A5CE9">
      <w:pPr>
        <w:spacing w:after="0" w:line="360" w:lineRule="auto"/>
        <w:jc w:val="both"/>
        <w:rPr>
          <w:rFonts w:ascii="Arial" w:hAnsi="Arial" w:cs="Arial"/>
          <w:b/>
          <w:bCs/>
          <w:sz w:val="20"/>
        </w:rPr>
      </w:pPr>
      <w:r w:rsidRPr="00615E1E">
        <w:rPr>
          <w:rFonts w:ascii="Arial" w:hAnsi="Arial" w:cs="Arial"/>
          <w:b/>
          <w:bCs/>
          <w:sz w:val="20"/>
          <w:highlight w:val="yellow"/>
        </w:rPr>
        <w:t xml:space="preserve">Background: </w:t>
      </w:r>
      <w:r w:rsidR="008D604C" w:rsidRPr="00615E1E">
        <w:rPr>
          <w:rFonts w:ascii="Arial" w:hAnsi="Arial" w:cs="Arial"/>
          <w:sz w:val="20"/>
          <w:highlight w:val="yellow"/>
        </w:rPr>
        <w:t>The Health Management Information System (HMIS) provides reliable micro-level data on births, deaths and maternal and child health services.</w:t>
      </w:r>
      <w:r w:rsidR="008D604C">
        <w:rPr>
          <w:rFonts w:ascii="Arial" w:hAnsi="Arial" w:cs="Arial"/>
          <w:sz w:val="20"/>
        </w:rPr>
        <w:t xml:space="preserve"> </w:t>
      </w:r>
      <w:r w:rsidR="000D5F0B" w:rsidRPr="00AE6245">
        <w:rPr>
          <w:rFonts w:ascii="Cambria" w:hAnsi="Cambria"/>
          <w:color w:val="1B1B1B"/>
          <w:szCs w:val="28"/>
          <w:highlight w:val="yellow"/>
          <w:shd w:val="clear" w:color="auto" w:fill="FFFFFF"/>
        </w:rPr>
        <w:t>HMIS is a facility-based report majorly collecting data from public facilities across the country with meagre reporting from private facilities. </w:t>
      </w:r>
    </w:p>
    <w:p w14:paraId="6426A45B" w14:textId="3EA73BB0"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Aims</w:t>
      </w:r>
    </w:p>
    <w:p w14:paraId="397C2308" w14:textId="76EDB069" w:rsidR="004C7491" w:rsidRPr="009A5CE9" w:rsidRDefault="004C7491" w:rsidP="009A5CE9">
      <w:pPr>
        <w:spacing w:after="0" w:line="360" w:lineRule="auto"/>
        <w:jc w:val="both"/>
        <w:rPr>
          <w:rFonts w:ascii="Arial" w:hAnsi="Arial" w:cs="Arial"/>
          <w:sz w:val="20"/>
        </w:rPr>
      </w:pPr>
      <w:r w:rsidRPr="009A5CE9">
        <w:rPr>
          <w:rFonts w:ascii="Arial" w:hAnsi="Arial" w:cs="Arial"/>
          <w:sz w:val="20"/>
        </w:rPr>
        <w:t xml:space="preserve">The present study aims to </w:t>
      </w:r>
      <w:proofErr w:type="spellStart"/>
      <w:r w:rsidR="00FD0642" w:rsidRPr="009A5CE9">
        <w:rPr>
          <w:rFonts w:ascii="Arial" w:hAnsi="Arial" w:cs="Arial"/>
          <w:sz w:val="20"/>
        </w:rPr>
        <w:t>analyse</w:t>
      </w:r>
      <w:proofErr w:type="spellEnd"/>
      <w:r w:rsidRPr="009A5CE9">
        <w:rPr>
          <w:rFonts w:ascii="Arial" w:hAnsi="Arial" w:cs="Arial"/>
          <w:sz w:val="20"/>
        </w:rPr>
        <w:t xml:space="preserve"> the tahsil-wise spatial pattern of live births, total deaths, child mortality (0–5 years), and infant mortality (0–1 year) under the Health Management Information System (HMIS) in the former Ahilyanagar District. The study seeks to identify inter-tahsil disparities and health-vulnerable regions to support micro-level health planning.</w:t>
      </w:r>
    </w:p>
    <w:p w14:paraId="6A58B9ED"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Study Design</w:t>
      </w:r>
    </w:p>
    <w:p w14:paraId="68E1B900"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study adopts a descriptive and analytical research design based on secondary data, integrating demographic and geographical perspectives to assess spatial variations in health indicators.</w:t>
      </w:r>
    </w:p>
    <w:p w14:paraId="3683112A"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Place and Duration of Study</w:t>
      </w:r>
    </w:p>
    <w:p w14:paraId="5D363BC4"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study covers 14 tahsils of the former Ahilyanagar District, Maharashtra, for the reference year 2025. The district represents a heterogeneous region comprising urban centres, rural hinterlands, drought-prone areas, and industrial zones.</w:t>
      </w:r>
    </w:p>
    <w:p w14:paraId="049FC14C"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Methodology</w:t>
      </w:r>
    </w:p>
    <w:p w14:paraId="7FC73415" w14:textId="70FD7484" w:rsidR="004C7491" w:rsidRPr="009A5CE9" w:rsidRDefault="004C7491" w:rsidP="009A5CE9">
      <w:pPr>
        <w:spacing w:after="0" w:line="360" w:lineRule="auto"/>
        <w:jc w:val="both"/>
        <w:rPr>
          <w:rFonts w:ascii="Arial" w:hAnsi="Arial" w:cs="Arial"/>
          <w:sz w:val="20"/>
        </w:rPr>
      </w:pPr>
      <w:r w:rsidRPr="009A5CE9">
        <w:rPr>
          <w:rFonts w:ascii="Arial" w:hAnsi="Arial" w:cs="Arial"/>
          <w:sz w:val="20"/>
        </w:rPr>
        <w:t xml:space="preserve">Secondary data were collected from HMIS records obtained from the District Health Officer, Zilla Parishad, and the Socio-Economic Abstract of Ahilyanagar District (2025). Key </w:t>
      </w:r>
      <w:r w:rsidRPr="00615E1E">
        <w:rPr>
          <w:rFonts w:ascii="Arial" w:hAnsi="Arial" w:cs="Arial"/>
          <w:sz w:val="20"/>
          <w:highlight w:val="yellow"/>
        </w:rPr>
        <w:t xml:space="preserve">variables </w:t>
      </w:r>
      <w:proofErr w:type="spellStart"/>
      <w:r w:rsidR="00D32F46" w:rsidRPr="00615E1E">
        <w:rPr>
          <w:rFonts w:ascii="Arial" w:hAnsi="Arial" w:cs="Arial"/>
          <w:sz w:val="20"/>
          <w:highlight w:val="yellow"/>
        </w:rPr>
        <w:t>analysed</w:t>
      </w:r>
      <w:proofErr w:type="spellEnd"/>
      <w:r w:rsidR="00D32F46" w:rsidRPr="00615E1E">
        <w:rPr>
          <w:rFonts w:ascii="Arial" w:hAnsi="Arial" w:cs="Arial"/>
          <w:sz w:val="20"/>
          <w:highlight w:val="yellow"/>
        </w:rPr>
        <w:t xml:space="preserve"> </w:t>
      </w:r>
      <w:r w:rsidRPr="00615E1E">
        <w:rPr>
          <w:rFonts w:ascii="Arial" w:hAnsi="Arial" w:cs="Arial"/>
          <w:sz w:val="20"/>
          <w:highlight w:val="yellow"/>
        </w:rPr>
        <w:t xml:space="preserve">include </w:t>
      </w:r>
      <w:r w:rsidRPr="009A5CE9">
        <w:rPr>
          <w:rFonts w:ascii="Arial" w:hAnsi="Arial" w:cs="Arial"/>
          <w:sz w:val="20"/>
        </w:rPr>
        <w:t xml:space="preserve">male and female live </w:t>
      </w:r>
      <w:r w:rsidRPr="00615E1E">
        <w:rPr>
          <w:rFonts w:ascii="Arial" w:hAnsi="Arial" w:cs="Arial"/>
          <w:sz w:val="20"/>
          <w:highlight w:val="yellow"/>
        </w:rPr>
        <w:t xml:space="preserve">births, total live births, total deaths, child deaths (0–5 years), and infant deaths (0–1 year). The data were </w:t>
      </w:r>
      <w:proofErr w:type="spellStart"/>
      <w:r w:rsidR="00D32F46" w:rsidRPr="00615E1E">
        <w:rPr>
          <w:rFonts w:ascii="Arial" w:hAnsi="Arial" w:cs="Arial"/>
          <w:sz w:val="20"/>
          <w:highlight w:val="yellow"/>
        </w:rPr>
        <w:t>analysed</w:t>
      </w:r>
      <w:proofErr w:type="spellEnd"/>
      <w:r w:rsidR="00D32F46" w:rsidRPr="00615E1E">
        <w:rPr>
          <w:rFonts w:ascii="Arial" w:hAnsi="Arial" w:cs="Arial"/>
          <w:sz w:val="20"/>
          <w:highlight w:val="yellow"/>
        </w:rPr>
        <w:t xml:space="preserve"> </w:t>
      </w:r>
      <w:r w:rsidRPr="009A5CE9">
        <w:rPr>
          <w:rFonts w:ascii="Arial" w:hAnsi="Arial" w:cs="Arial"/>
          <w:sz w:val="20"/>
        </w:rPr>
        <w:t>using tahsil-wise tabulation, percentage analysis, ratio interpretation, and comparative spatial analysis to examine inter-regional disparities.</w:t>
      </w:r>
    </w:p>
    <w:p w14:paraId="182601AB"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Results</w:t>
      </w:r>
    </w:p>
    <w:p w14:paraId="051AB04D"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district recorded 63,985 live births and 13,957 total deaths, revealing pronounced spatial variation. Nagar, Sangamner, Rahata, and Newasa emerged as high-birth and high-mortality tahsils due to large populations and urban influence. Elevated child and infant mortality in Sangamner, Newasa, Parner, and Nagar indicates persistent gaps in maternal and child healthcare services. In contrast, Karjat and Jamkhed reported low mortality levels, reflecting smaller populations and rural settlement patterns, though possible under-reporting cannot be ruled out.</w:t>
      </w:r>
    </w:p>
    <w:p w14:paraId="6BEA2FC5"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Conclusion</w:t>
      </w:r>
    </w:p>
    <w:p w14:paraId="12378271"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study highlights significant tahsil-wise health inequalities within Ahilyanagar District. High-risk tahsils require targeted interventions, including strengthened primary healthcare, improved neonatal and maternal services, and enhanced nutrition programmes. The findings underscore the importance of micro-level spatial health planning to reduce preventable mortality and promote equitable health development.</w:t>
      </w:r>
    </w:p>
    <w:p w14:paraId="7693F5D9"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b/>
          <w:bCs/>
          <w:sz w:val="20"/>
        </w:rPr>
        <w:lastRenderedPageBreak/>
        <w:t>Keywords:</w:t>
      </w:r>
      <w:r w:rsidRPr="009A5CE9">
        <w:rPr>
          <w:rFonts w:ascii="Arial" w:hAnsi="Arial" w:cs="Arial"/>
          <w:sz w:val="20"/>
        </w:rPr>
        <w:t xml:space="preserve"> HMIS, live births, mortality, infant mortality, child mortality, spatial analysis</w:t>
      </w:r>
    </w:p>
    <w:p w14:paraId="57319303" w14:textId="39E17055" w:rsidR="00BA4E7F" w:rsidRPr="009A5CE9" w:rsidRDefault="00BA4E7F" w:rsidP="009A5CE9">
      <w:pPr>
        <w:spacing w:after="0" w:line="360" w:lineRule="auto"/>
        <w:jc w:val="both"/>
        <w:rPr>
          <w:rFonts w:ascii="Arial" w:hAnsi="Arial" w:cs="Arial"/>
          <w:b/>
          <w:bCs/>
          <w:sz w:val="20"/>
        </w:rPr>
      </w:pPr>
    </w:p>
    <w:p w14:paraId="1B135196" w14:textId="2073F127"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1. INTRODUCTION</w:t>
      </w:r>
    </w:p>
    <w:p w14:paraId="68A495F0" w14:textId="6529CA72"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r>
      <w:r w:rsidR="00F45A55" w:rsidRPr="00615E1E">
        <w:rPr>
          <w:rFonts w:ascii="Georgia" w:hAnsi="Georgia"/>
          <w:color w:val="1F1F1F"/>
          <w:highlight w:val="yellow"/>
        </w:rPr>
        <w:t>Healthcare inequality is a major issue in developing countries, as it puts increasing pressure on the local population, particularly rural and </w:t>
      </w:r>
      <w:hyperlink r:id="rId7" w:tooltip="Learn more about disadvantaged groups from ScienceDirect's AI-generated Topic Pages" w:history="1">
        <w:r w:rsidR="00F45A55" w:rsidRPr="00615E1E">
          <w:rPr>
            <w:rStyle w:val="Hyperlink"/>
            <w:rFonts w:ascii="Georgia" w:hAnsi="Georgia"/>
            <w:color w:val="1F1F1F"/>
            <w:highlight w:val="yellow"/>
          </w:rPr>
          <w:t>disadvantaged groups</w:t>
        </w:r>
      </w:hyperlink>
      <w:r w:rsidR="00F45A55" w:rsidRPr="00615E1E">
        <w:rPr>
          <w:rFonts w:ascii="Georgia" w:hAnsi="Georgia"/>
          <w:color w:val="1F1F1F"/>
          <w:highlight w:val="yellow"/>
        </w:rPr>
        <w:t>, to maintain a decent </w:t>
      </w:r>
      <w:hyperlink r:id="rId8" w:tooltip="Learn more about standard of living from ScienceDirect's AI-generated Topic Pages" w:history="1">
        <w:r w:rsidR="00F45A55" w:rsidRPr="00615E1E">
          <w:rPr>
            <w:rStyle w:val="Hyperlink"/>
            <w:rFonts w:ascii="Georgia" w:hAnsi="Georgia"/>
            <w:color w:val="1F1F1F"/>
            <w:highlight w:val="yellow"/>
          </w:rPr>
          <w:t>standard of living</w:t>
        </w:r>
      </w:hyperlink>
      <w:r w:rsidR="00F45A55" w:rsidRPr="00615E1E">
        <w:rPr>
          <w:rFonts w:ascii="Georgia" w:hAnsi="Georgia"/>
          <w:color w:val="1F1F1F"/>
          <w:highlight w:val="yellow"/>
        </w:rPr>
        <w:t> and have equitable access to healthcare (</w:t>
      </w:r>
      <w:r w:rsidR="00F45A55" w:rsidRPr="00F45A55">
        <w:rPr>
          <w:rFonts w:ascii="Arial" w:hAnsi="Arial" w:cs="Arial"/>
          <w:color w:val="222222"/>
          <w:sz w:val="20"/>
          <w:highlight w:val="yellow"/>
          <w:shd w:val="clear" w:color="auto" w:fill="FFFFFF"/>
        </w:rPr>
        <w:t>Majumder</w:t>
      </w:r>
      <w:r w:rsidR="00F45A55" w:rsidRPr="000D5F0B">
        <w:rPr>
          <w:rFonts w:ascii="Arial" w:hAnsi="Arial" w:cs="Arial"/>
          <w:color w:val="222222"/>
          <w:sz w:val="20"/>
          <w:highlight w:val="yellow"/>
          <w:shd w:val="clear" w:color="auto" w:fill="FFFFFF"/>
        </w:rPr>
        <w:t xml:space="preserve"> et al., 2023</w:t>
      </w:r>
      <w:r w:rsidR="003A7E07">
        <w:rPr>
          <w:rFonts w:ascii="Arial" w:hAnsi="Arial" w:cs="Arial"/>
          <w:color w:val="222222"/>
          <w:sz w:val="20"/>
          <w:highlight w:val="yellow"/>
          <w:shd w:val="clear" w:color="auto" w:fill="FFFFFF"/>
        </w:rPr>
        <w:t xml:space="preserve">; </w:t>
      </w:r>
      <w:r w:rsidR="003A7E07" w:rsidRPr="003A7E07">
        <w:rPr>
          <w:rFonts w:ascii="Arial" w:hAnsi="Arial" w:cs="Arial"/>
          <w:color w:val="222222"/>
          <w:sz w:val="20"/>
          <w:shd w:val="clear" w:color="auto" w:fill="FFFFFF"/>
        </w:rPr>
        <w:t>Bin Islam et al., 2023</w:t>
      </w:r>
      <w:r w:rsidR="00F45A55" w:rsidRPr="00615E1E">
        <w:rPr>
          <w:rFonts w:ascii="Georgia" w:hAnsi="Georgia"/>
          <w:color w:val="1F1F1F"/>
          <w:highlight w:val="yellow"/>
        </w:rPr>
        <w:t>).</w:t>
      </w:r>
      <w:r w:rsidR="00F45A55" w:rsidRPr="009A5CE9">
        <w:rPr>
          <w:rFonts w:ascii="Arial" w:hAnsi="Arial" w:cs="Arial"/>
          <w:sz w:val="20"/>
        </w:rPr>
        <w:t xml:space="preserve"> </w:t>
      </w:r>
      <w:r w:rsidRPr="009A5CE9">
        <w:rPr>
          <w:rFonts w:ascii="Arial" w:hAnsi="Arial" w:cs="Arial"/>
          <w:sz w:val="20"/>
        </w:rPr>
        <w:t>Birth and death patterns are central indicators of health status, social development, and demographic change (Chandna, 2018; Park, 2021). Spatial disparities in these indicators emerge from differences in healthcare access, economic conditions, nutrition, sanitation and maternal health (Ghosh, 2016; Mohanty &amp; Ram, 2020). Although national indicators have improved, intra-district variations remain substantial (Registrar General of India, 2023; NITI Aayog, 2022).</w:t>
      </w:r>
      <w:r w:rsidR="00923355">
        <w:rPr>
          <w:rFonts w:ascii="Arial" w:hAnsi="Arial" w:cs="Arial"/>
          <w:sz w:val="20"/>
        </w:rPr>
        <w:t xml:space="preserve"> </w:t>
      </w:r>
      <w:proofErr w:type="spellStart"/>
      <w:r w:rsidR="00923355" w:rsidRPr="00615E1E">
        <w:rPr>
          <w:rFonts w:ascii="Arial" w:hAnsi="Arial" w:cs="Arial"/>
          <w:sz w:val="16"/>
          <w:highlight w:val="yellow"/>
        </w:rPr>
        <w:t>U</w:t>
      </w:r>
      <w:r w:rsidR="00923355" w:rsidRPr="00615E1E">
        <w:rPr>
          <w:color w:val="222222"/>
          <w:szCs w:val="27"/>
          <w:highlight w:val="yellow"/>
          <w:shd w:val="clear" w:color="auto" w:fill="FFFFFF"/>
        </w:rPr>
        <w:t>tili</w:t>
      </w:r>
      <w:r w:rsidR="00D32F46">
        <w:rPr>
          <w:color w:val="222222"/>
          <w:szCs w:val="27"/>
          <w:highlight w:val="yellow"/>
          <w:shd w:val="clear" w:color="auto" w:fill="FFFFFF"/>
        </w:rPr>
        <w:t>s</w:t>
      </w:r>
      <w:r w:rsidR="00923355" w:rsidRPr="00615E1E">
        <w:rPr>
          <w:color w:val="222222"/>
          <w:szCs w:val="27"/>
          <w:highlight w:val="yellow"/>
          <w:shd w:val="clear" w:color="auto" w:fill="FFFFFF"/>
        </w:rPr>
        <w:t>ation</w:t>
      </w:r>
      <w:proofErr w:type="spellEnd"/>
      <w:r w:rsidR="00923355" w:rsidRPr="00615E1E">
        <w:rPr>
          <w:color w:val="222222"/>
          <w:szCs w:val="27"/>
          <w:highlight w:val="yellow"/>
          <w:shd w:val="clear" w:color="auto" w:fill="FFFFFF"/>
        </w:rPr>
        <w:t xml:space="preserve"> of maternal healthcare services such as antenatal care, delivery assisted by a skilled birth attendant, and postnatal care plays a crucial role in reducing maternal and child mortality</w:t>
      </w:r>
      <w:r w:rsidR="003A7E07">
        <w:rPr>
          <w:color w:val="222222"/>
          <w:szCs w:val="27"/>
          <w:highlight w:val="yellow"/>
          <w:shd w:val="clear" w:color="auto" w:fill="FFFFFF"/>
        </w:rPr>
        <w:t xml:space="preserve"> (</w:t>
      </w:r>
      <w:r w:rsidR="003A7E07" w:rsidRPr="003A7E07">
        <w:rPr>
          <w:color w:val="222222"/>
          <w:szCs w:val="27"/>
          <w:highlight w:val="yellow"/>
          <w:shd w:val="clear" w:color="auto" w:fill="FFFFFF"/>
        </w:rPr>
        <w:t>Chatterjee et al., 2022)</w:t>
      </w:r>
      <w:r w:rsidR="00923355" w:rsidRPr="003A7E07">
        <w:rPr>
          <w:color w:val="222222"/>
          <w:szCs w:val="27"/>
          <w:highlight w:val="yellow"/>
          <w:shd w:val="clear" w:color="auto" w:fill="FFFFFF"/>
        </w:rPr>
        <w:t xml:space="preserve">. </w:t>
      </w:r>
      <w:r w:rsidR="00923355" w:rsidRPr="00615E1E">
        <w:rPr>
          <w:color w:val="222222"/>
          <w:szCs w:val="27"/>
          <w:highlight w:val="yellow"/>
          <w:shd w:val="clear" w:color="auto" w:fill="FFFFFF"/>
        </w:rPr>
        <w:t xml:space="preserve">At the regional level, India has initiated several efforts to reduce MMR due to avoidable causes related to pregnancy and childbirth. In 2005, the Government of India launched the National Rural Health Mission (NRHM) to achieve the Millennium Development Goals (MDG 5). Further, they focused on maternal and child health through the ‘Reproductive-Maternal-Neonatal-Child and Adolescent Health (RMNCH+A)’ </w:t>
      </w:r>
      <w:proofErr w:type="spellStart"/>
      <w:r w:rsidR="00923355" w:rsidRPr="00615E1E">
        <w:rPr>
          <w:color w:val="222222"/>
          <w:szCs w:val="27"/>
          <w:highlight w:val="yellow"/>
          <w:shd w:val="clear" w:color="auto" w:fill="FFFFFF"/>
        </w:rPr>
        <w:t>programme</w:t>
      </w:r>
      <w:proofErr w:type="spellEnd"/>
      <w:r w:rsidR="00923355">
        <w:rPr>
          <w:color w:val="222222"/>
          <w:szCs w:val="27"/>
          <w:highlight w:val="yellow"/>
          <w:shd w:val="clear" w:color="auto" w:fill="FFFFFF"/>
        </w:rPr>
        <w:t xml:space="preserve"> (</w:t>
      </w:r>
      <w:proofErr w:type="spellStart"/>
      <w:r w:rsidR="003A7E07" w:rsidRPr="003A7E07">
        <w:rPr>
          <w:color w:val="222222"/>
          <w:szCs w:val="27"/>
          <w:highlight w:val="yellow"/>
          <w:shd w:val="clear" w:color="auto" w:fill="FFFFFF"/>
        </w:rPr>
        <w:t>Kigozi</w:t>
      </w:r>
      <w:proofErr w:type="spellEnd"/>
      <w:r w:rsidR="003A7E07" w:rsidRPr="003A7E07">
        <w:rPr>
          <w:color w:val="222222"/>
          <w:szCs w:val="27"/>
          <w:highlight w:val="yellow"/>
          <w:shd w:val="clear" w:color="auto" w:fill="FFFFFF"/>
        </w:rPr>
        <w:t xml:space="preserve"> et al., 2020</w:t>
      </w:r>
      <w:r w:rsidR="003A7E07">
        <w:rPr>
          <w:color w:val="222222"/>
          <w:szCs w:val="27"/>
          <w:shd w:val="clear" w:color="auto" w:fill="FFFFFF"/>
        </w:rPr>
        <w:t xml:space="preserve">; </w:t>
      </w:r>
      <w:r w:rsidR="00923355" w:rsidRPr="00AE6245">
        <w:rPr>
          <w:rFonts w:ascii="Helvetica" w:hAnsi="Helvetica" w:cs="Helvetica"/>
          <w:color w:val="222222"/>
          <w:highlight w:val="yellow"/>
        </w:rPr>
        <w:t>Gupta</w:t>
      </w:r>
      <w:r w:rsidR="00923355">
        <w:rPr>
          <w:rFonts w:ascii="Helvetica" w:hAnsi="Helvetica" w:cs="Helvetica"/>
          <w:color w:val="222222"/>
          <w:highlight w:val="yellow"/>
        </w:rPr>
        <w:t xml:space="preserve"> et al., 2025</w:t>
      </w:r>
      <w:r w:rsidR="00923355">
        <w:rPr>
          <w:color w:val="222222"/>
          <w:szCs w:val="27"/>
          <w:highlight w:val="yellow"/>
          <w:shd w:val="clear" w:color="auto" w:fill="FFFFFF"/>
        </w:rPr>
        <w:t>)</w:t>
      </w:r>
      <w:r w:rsidR="00923355" w:rsidRPr="00615E1E">
        <w:rPr>
          <w:color w:val="222222"/>
          <w:szCs w:val="27"/>
          <w:highlight w:val="yellow"/>
          <w:shd w:val="clear" w:color="auto" w:fill="FFFFFF"/>
        </w:rPr>
        <w:t>.</w:t>
      </w:r>
    </w:p>
    <w:p w14:paraId="0D18F853" w14:textId="7331640E"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 xml:space="preserve">The Health Management Information System (HMIS) provides reliable micro-level data on births, deaths and maternal and child health services (Ministry of Health &amp; Family Welfare, 2024). </w:t>
      </w:r>
      <w:r w:rsidR="008D604C" w:rsidRPr="00615E1E">
        <w:rPr>
          <w:rFonts w:ascii="Cambria" w:hAnsi="Cambria"/>
          <w:color w:val="1B1B1B"/>
          <w:szCs w:val="28"/>
          <w:highlight w:val="yellow"/>
          <w:shd w:val="clear" w:color="auto" w:fill="FFFFFF"/>
        </w:rPr>
        <w:t>HMIS is a facility-based report majorly collecting data from public facilities across the country with meagre reporting from private facilities. To ensure reliability and validity of data, HMIS uses various steps in terms of tracking missing values, double-checking of outliers, and inter-data validation. Pre-set criteria are used by HMIS to maintain internal logical consistency in reporting of various indicators</w:t>
      </w:r>
      <w:r w:rsidR="00057E52">
        <w:rPr>
          <w:rFonts w:ascii="Cambria" w:hAnsi="Cambria"/>
          <w:color w:val="1B1B1B"/>
          <w:szCs w:val="28"/>
          <w:highlight w:val="yellow"/>
          <w:shd w:val="clear" w:color="auto" w:fill="FFFFFF"/>
        </w:rPr>
        <w:t xml:space="preserve"> (</w:t>
      </w:r>
      <w:proofErr w:type="spellStart"/>
      <w:r w:rsidR="00057E52" w:rsidRPr="009C22BD">
        <w:rPr>
          <w:rFonts w:ascii="Consolas" w:eastAsia="Times New Roman" w:hAnsi="Consolas" w:cs="Times New Roman"/>
          <w:sz w:val="24"/>
          <w:szCs w:val="24"/>
          <w:highlight w:val="yellow"/>
          <w:lang w:bidi="ar-SA"/>
        </w:rPr>
        <w:t>Purbey</w:t>
      </w:r>
      <w:proofErr w:type="spellEnd"/>
      <w:r w:rsidR="00057E52" w:rsidRPr="009C22BD">
        <w:rPr>
          <w:rFonts w:ascii="Consolas" w:eastAsia="Times New Roman" w:hAnsi="Consolas" w:cs="Times New Roman"/>
          <w:sz w:val="24"/>
          <w:szCs w:val="24"/>
          <w:highlight w:val="yellow"/>
          <w:lang w:bidi="ar-SA"/>
        </w:rPr>
        <w:t xml:space="preserve"> et al., 2022</w:t>
      </w:r>
      <w:r w:rsidR="003A7E07">
        <w:rPr>
          <w:rFonts w:ascii="Consolas" w:eastAsia="Times New Roman" w:hAnsi="Consolas" w:cs="Times New Roman"/>
          <w:sz w:val="24"/>
          <w:szCs w:val="24"/>
          <w:highlight w:val="yellow"/>
          <w:lang w:bidi="ar-SA"/>
        </w:rPr>
        <w:t xml:space="preserve">; </w:t>
      </w:r>
      <w:r w:rsidR="003A7E07" w:rsidRPr="003A7E07">
        <w:rPr>
          <w:rFonts w:ascii="Consolas" w:eastAsia="Times New Roman" w:hAnsi="Consolas" w:cs="Times New Roman"/>
          <w:sz w:val="24"/>
          <w:szCs w:val="24"/>
          <w:highlight w:val="yellow"/>
          <w:lang w:bidi="ar-SA"/>
        </w:rPr>
        <w:t>Arslan et al., 2013</w:t>
      </w:r>
      <w:r w:rsidR="00057E52">
        <w:rPr>
          <w:rFonts w:ascii="Cambria" w:hAnsi="Cambria"/>
          <w:color w:val="1B1B1B"/>
          <w:szCs w:val="28"/>
          <w:highlight w:val="yellow"/>
          <w:shd w:val="clear" w:color="auto" w:fill="FFFFFF"/>
        </w:rPr>
        <w:t>)</w:t>
      </w:r>
      <w:r w:rsidR="008D604C" w:rsidRPr="00615E1E">
        <w:rPr>
          <w:rFonts w:ascii="Cambria" w:hAnsi="Cambria"/>
          <w:color w:val="1B1B1B"/>
          <w:szCs w:val="28"/>
          <w:highlight w:val="yellow"/>
          <w:shd w:val="clear" w:color="auto" w:fill="FFFFFF"/>
        </w:rPr>
        <w:t>.</w:t>
      </w:r>
      <w:r w:rsidR="008D604C" w:rsidRPr="00615E1E">
        <w:rPr>
          <w:rFonts w:ascii="Arial" w:hAnsi="Arial" w:cs="Arial"/>
          <w:sz w:val="16"/>
        </w:rPr>
        <w:t xml:space="preserve"> </w:t>
      </w:r>
      <w:r w:rsidRPr="009A5CE9">
        <w:rPr>
          <w:rFonts w:ascii="Arial" w:hAnsi="Arial" w:cs="Arial"/>
          <w:sz w:val="20"/>
        </w:rPr>
        <w:t xml:space="preserve">Former </w:t>
      </w:r>
      <w:proofErr w:type="spellStart"/>
      <w:r w:rsidR="004C7491" w:rsidRPr="009A5CE9">
        <w:rPr>
          <w:rFonts w:ascii="Arial" w:hAnsi="Arial" w:cs="Arial"/>
          <w:sz w:val="20"/>
        </w:rPr>
        <w:t>Ahilyanagar</w:t>
      </w:r>
      <w:proofErr w:type="spellEnd"/>
      <w:r w:rsidRPr="009A5CE9">
        <w:rPr>
          <w:rFonts w:ascii="Arial" w:hAnsi="Arial" w:cs="Arial"/>
          <w:sz w:val="20"/>
        </w:rPr>
        <w:t xml:space="preserve"> District, now </w:t>
      </w:r>
      <w:proofErr w:type="spellStart"/>
      <w:r w:rsidRPr="009A5CE9">
        <w:rPr>
          <w:rFonts w:ascii="Arial" w:hAnsi="Arial" w:cs="Arial"/>
          <w:sz w:val="20"/>
        </w:rPr>
        <w:t>Ahilyanagar</w:t>
      </w:r>
      <w:proofErr w:type="spellEnd"/>
      <w:r w:rsidRPr="009A5CE9">
        <w:rPr>
          <w:rFonts w:ascii="Arial" w:hAnsi="Arial" w:cs="Arial"/>
          <w:sz w:val="20"/>
        </w:rPr>
        <w:t>, is geographically diverse, with a mix of urban centres, drought-prone regions, tribal belts and industrial zones, all of which influence health outcomes. Despite this complexity, systematic tahsil-wise analysis of HMIS data has been limited.</w:t>
      </w:r>
    </w:p>
    <w:p w14:paraId="24AC640A" w14:textId="4C517595" w:rsidR="00BA4E7F" w:rsidRPr="009A5CE9" w:rsidRDefault="00BA4E7F" w:rsidP="009A5CE9">
      <w:pPr>
        <w:spacing w:after="0" w:line="360" w:lineRule="auto"/>
        <w:jc w:val="both"/>
        <w:rPr>
          <w:rFonts w:ascii="Arial" w:hAnsi="Arial" w:cs="Arial"/>
          <w:sz w:val="20"/>
        </w:rPr>
      </w:pPr>
    </w:p>
    <w:p w14:paraId="6C18A0CE" w14:textId="77777777" w:rsidR="00CE71AE" w:rsidRPr="009A5CE9" w:rsidRDefault="00CE71AE" w:rsidP="009A5CE9">
      <w:pPr>
        <w:spacing w:after="0" w:line="360" w:lineRule="auto"/>
        <w:jc w:val="both"/>
        <w:rPr>
          <w:rFonts w:ascii="Arial" w:hAnsi="Arial" w:cs="Arial"/>
          <w:sz w:val="20"/>
        </w:rPr>
      </w:pPr>
    </w:p>
    <w:p w14:paraId="56828874" w14:textId="7DC08B52"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2. REVIEW OF LITERATURE</w:t>
      </w:r>
    </w:p>
    <w:p w14:paraId="5245A830" w14:textId="466BE94F"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 xml:space="preserve">Fertility and mortality patterns are strongly linked to socio-economic development (Chandna, 2018). Studies highlight the relationship between infant mortality and rural backwardness, weak sanitation and limited maternal care (Ghosh, 2016; Mohanty &amp; Ram, 2020). Kundu (2018) shows how </w:t>
      </w:r>
      <w:proofErr w:type="spellStart"/>
      <w:r w:rsidR="00D32F46" w:rsidRPr="00615E1E">
        <w:rPr>
          <w:rFonts w:ascii="Arial" w:hAnsi="Arial" w:cs="Arial"/>
          <w:sz w:val="20"/>
          <w:highlight w:val="yellow"/>
        </w:rPr>
        <w:t>urbanisation</w:t>
      </w:r>
      <w:proofErr w:type="spellEnd"/>
      <w:r w:rsidR="00D32F46" w:rsidRPr="009A5CE9">
        <w:rPr>
          <w:rFonts w:ascii="Arial" w:hAnsi="Arial" w:cs="Arial"/>
          <w:sz w:val="20"/>
        </w:rPr>
        <w:t xml:space="preserve"> </w:t>
      </w:r>
      <w:r w:rsidRPr="009A5CE9">
        <w:rPr>
          <w:rFonts w:ascii="Arial" w:hAnsi="Arial" w:cs="Arial"/>
          <w:sz w:val="20"/>
        </w:rPr>
        <w:t>improves mortality reporting systems and access to healthcare. The expansion of HMIS has enhanced data accuracy, though under-reporting persists in rural regions (National Health Mission, 2023; Ministry of Health &amp; Family Welfare, 2024).</w:t>
      </w:r>
    </w:p>
    <w:p w14:paraId="555208B6" w14:textId="7031F991" w:rsidR="00CE71AE" w:rsidRPr="009A5CE9" w:rsidRDefault="00CE71AE" w:rsidP="009A5CE9">
      <w:pPr>
        <w:spacing w:after="0" w:line="360" w:lineRule="auto"/>
        <w:jc w:val="both"/>
        <w:rPr>
          <w:rFonts w:ascii="Arial" w:hAnsi="Arial" w:cs="Arial"/>
          <w:sz w:val="20"/>
        </w:rPr>
      </w:pPr>
      <w:r w:rsidRPr="009A5CE9">
        <w:rPr>
          <w:rFonts w:ascii="Arial" w:hAnsi="Arial" w:cs="Arial"/>
          <w:sz w:val="20"/>
        </w:rPr>
        <w:lastRenderedPageBreak/>
        <w:tab/>
        <w:t xml:space="preserve">While national studies are available, micro-level geographical analyses focusing on district-level HMIS data remain scarce, especially for the former </w:t>
      </w:r>
      <w:r w:rsidR="004C7491" w:rsidRPr="009A5CE9">
        <w:rPr>
          <w:rFonts w:ascii="Arial" w:hAnsi="Arial" w:cs="Arial"/>
          <w:sz w:val="20"/>
        </w:rPr>
        <w:t>Ahilyanagar</w:t>
      </w:r>
      <w:r w:rsidRPr="009A5CE9">
        <w:rPr>
          <w:rFonts w:ascii="Arial" w:hAnsi="Arial" w:cs="Arial"/>
          <w:sz w:val="20"/>
        </w:rPr>
        <w:t xml:space="preserve"> District. The present study addresses this gap.</w:t>
      </w:r>
    </w:p>
    <w:p w14:paraId="6C5D47D9" w14:textId="0B325AE7" w:rsidR="00CE71AE" w:rsidRPr="009A5CE9" w:rsidRDefault="00CE71AE" w:rsidP="009A5CE9">
      <w:pPr>
        <w:spacing w:after="0" w:line="360" w:lineRule="auto"/>
        <w:jc w:val="both"/>
        <w:rPr>
          <w:rFonts w:ascii="Arial" w:hAnsi="Arial" w:cs="Arial"/>
          <w:sz w:val="20"/>
        </w:rPr>
      </w:pPr>
    </w:p>
    <w:p w14:paraId="25D60EC9" w14:textId="1DEADBC6" w:rsidR="0080753A"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3. METHODOLOGY</w:t>
      </w:r>
    </w:p>
    <w:p w14:paraId="3A15B8CC" w14:textId="6FE1234B"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3.1 Research Objective</w:t>
      </w:r>
    </w:p>
    <w:p w14:paraId="6E5F4D50" w14:textId="34E25132"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The present study aims to </w:t>
      </w:r>
      <w:proofErr w:type="spellStart"/>
      <w:r w:rsidR="00FD0642" w:rsidRPr="00615E1E">
        <w:rPr>
          <w:rFonts w:ascii="Arial" w:hAnsi="Arial" w:cs="Arial"/>
          <w:sz w:val="20"/>
          <w:highlight w:val="yellow"/>
        </w:rPr>
        <w:t>analyse</w:t>
      </w:r>
      <w:proofErr w:type="spellEnd"/>
      <w:r w:rsidRPr="00615E1E">
        <w:rPr>
          <w:rFonts w:ascii="Arial" w:hAnsi="Arial" w:cs="Arial"/>
          <w:sz w:val="20"/>
          <w:highlight w:val="yellow"/>
        </w:rPr>
        <w:t xml:space="preserve"> the</w:t>
      </w:r>
      <w:r w:rsidRPr="009A5CE9">
        <w:rPr>
          <w:rFonts w:ascii="Arial" w:hAnsi="Arial" w:cs="Arial"/>
          <w:sz w:val="20"/>
        </w:rPr>
        <w:t xml:space="preserve"> spatial pattern of births and deaths under the Health Management Information System (HMIS) across the tahsils of the former Ahilyanagar District. The focus is on identifying tahsil-wise disparities in live births, total deaths, child mortality (0–5 years), and infant mortality (0–1 year) through a geographical perspective.</w:t>
      </w:r>
    </w:p>
    <w:p w14:paraId="1D7A0214" w14:textId="4EBFF8A6"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3.2 Nature of the Study</w:t>
      </w:r>
    </w:p>
    <w:p w14:paraId="6CAE708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This study is descriptive and analytical in nature, based entirely on secondary data. It integrates demographic analysis with spatial interpretation, a method commonly adopted in population and health geography studies (Chandna, 2018; Kundu, 2018).</w:t>
      </w:r>
    </w:p>
    <w:p w14:paraId="40D94C8D" w14:textId="2AAD0AAA"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3.3 Data Sources</w:t>
      </w:r>
    </w:p>
    <w:p w14:paraId="6B5AA598"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analysis relies on officially published and administratively maintained datasets, ensuring data reliability and reproducibility. The sources include:</w:t>
      </w:r>
    </w:p>
    <w:p w14:paraId="0F8FB966" w14:textId="77777777" w:rsidR="0080753A" w:rsidRPr="009A5CE9" w:rsidRDefault="0080753A" w:rsidP="009A5CE9">
      <w:pPr>
        <w:numPr>
          <w:ilvl w:val="0"/>
          <w:numId w:val="18"/>
        </w:numPr>
        <w:spacing w:after="0" w:line="360" w:lineRule="auto"/>
        <w:jc w:val="both"/>
        <w:rPr>
          <w:rFonts w:ascii="Arial" w:hAnsi="Arial" w:cs="Arial"/>
          <w:sz w:val="20"/>
        </w:rPr>
      </w:pPr>
      <w:r w:rsidRPr="009A5CE9">
        <w:rPr>
          <w:rFonts w:ascii="Arial" w:hAnsi="Arial" w:cs="Arial"/>
          <w:sz w:val="20"/>
        </w:rPr>
        <w:t>Socio-Economic Abstract of Ahilyanagar District (December 2025)</w:t>
      </w:r>
    </w:p>
    <w:p w14:paraId="17C8373A" w14:textId="77777777" w:rsidR="0080753A" w:rsidRPr="009A5CE9" w:rsidRDefault="0080753A" w:rsidP="009A5CE9">
      <w:pPr>
        <w:numPr>
          <w:ilvl w:val="0"/>
          <w:numId w:val="18"/>
        </w:numPr>
        <w:spacing w:after="0" w:line="360" w:lineRule="auto"/>
        <w:jc w:val="both"/>
        <w:rPr>
          <w:rFonts w:ascii="Arial" w:hAnsi="Arial" w:cs="Arial"/>
          <w:sz w:val="20"/>
        </w:rPr>
      </w:pPr>
      <w:r w:rsidRPr="009A5CE9">
        <w:rPr>
          <w:rFonts w:ascii="Arial" w:hAnsi="Arial" w:cs="Arial"/>
          <w:sz w:val="20"/>
        </w:rPr>
        <w:t>Health Management Information System (HMIS) Records, District Health Officer, Zilla Parishad, Ahilyanagar</w:t>
      </w:r>
    </w:p>
    <w:p w14:paraId="76FB763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These sources provide tahsil-level annual data on births, deaths, and age-specific mortality indicators for the year 2025.</w:t>
      </w:r>
    </w:p>
    <w:p w14:paraId="618842BD" w14:textId="5CEC2AEE"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3.4 Variables Selected</w:t>
      </w:r>
    </w:p>
    <w:p w14:paraId="437546A5"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following demographic and health indicators were selected for analysis:</w:t>
      </w:r>
    </w:p>
    <w:p w14:paraId="0523F6B2"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Male live births</w:t>
      </w:r>
    </w:p>
    <w:p w14:paraId="4FBBBA78"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Female live births</w:t>
      </w:r>
    </w:p>
    <w:p w14:paraId="6FED6316"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Total live births</w:t>
      </w:r>
    </w:p>
    <w:p w14:paraId="00FF2680"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Total deaths</w:t>
      </w:r>
    </w:p>
    <w:p w14:paraId="5774B85E"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Child deaths (0–5 years)</w:t>
      </w:r>
    </w:p>
    <w:p w14:paraId="33D1CD03"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Infant deaths (0–1 year)</w:t>
      </w:r>
    </w:p>
    <w:p w14:paraId="12B2A962"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These variables are widely used indicators of population dynamics, maternal and child health, and overall health status (Park, 2021; Mohanty &amp; Ram, 2020).</w:t>
      </w:r>
    </w:p>
    <w:p w14:paraId="34191266" w14:textId="58432CAD"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 Analytical Techniques</w:t>
      </w:r>
    </w:p>
    <w:p w14:paraId="40E3ABF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methodological framework follows the demographic spatial analysis approach adopted by Kundu (2018), Mishra (2020), and NITI Aayog (2022), with minor modifications to suit tahsil-level HMIS data.</w:t>
      </w:r>
    </w:p>
    <w:p w14:paraId="794A2069"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analysis was carried out using the following steps:</w:t>
      </w:r>
    </w:p>
    <w:p w14:paraId="2BCA66FD" w14:textId="71733043"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3.5.1 Tahsil-wise Tabulation</w:t>
      </w:r>
    </w:p>
    <w:p w14:paraId="0EDDC1B8" w14:textId="572408F8"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Raw HMIS data were </w:t>
      </w:r>
      <w:r w:rsidR="00FD0642" w:rsidRPr="009A5CE9">
        <w:rPr>
          <w:rFonts w:ascii="Arial" w:hAnsi="Arial" w:cs="Arial"/>
          <w:sz w:val="20"/>
        </w:rPr>
        <w:t>organized</w:t>
      </w:r>
      <w:r w:rsidRPr="009A5CE9">
        <w:rPr>
          <w:rFonts w:ascii="Arial" w:hAnsi="Arial" w:cs="Arial"/>
          <w:sz w:val="20"/>
        </w:rPr>
        <w:t xml:space="preserve"> into tahsil-wise tables to examine the absolute distribution of births, deaths, child deaths, and infant deaths. This step forms the foundation for spatial and comparative analysis.</w:t>
      </w:r>
    </w:p>
    <w:p w14:paraId="6C5D6018" w14:textId="4B0841D0"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lastRenderedPageBreak/>
        <w:t>3.5.2 Percentage and Ratio Analysis</w:t>
      </w:r>
    </w:p>
    <w:p w14:paraId="553C7805"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Percentage shares of each tahsil in total district births and deaths were calculated to identify relative concentration. Sex-wise birth ratios and proportions of child and infant deaths were computed to assess demographic imbalance and mortality intensity.</w:t>
      </w:r>
    </w:p>
    <w:p w14:paraId="0BD54909" w14:textId="04025313"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3.5.3 Comparative Spatial Analysis</w:t>
      </w:r>
    </w:p>
    <w:p w14:paraId="105FA35B"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Tahsil-wise comparisons were made to identify high, moderate, and low birth and mortality regions. The observed patterns were interpreted in relation to population size, urban–rural characteristics, and healthcare accessibility, following the spatial approach suggested by Kundu (2018).</w:t>
      </w:r>
    </w:p>
    <w:p w14:paraId="400A9FAB" w14:textId="0A864C30"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3.5.4 Descriptive Demographic Interpretation</w:t>
      </w:r>
    </w:p>
    <w:p w14:paraId="729C3324" w14:textId="6951A84E"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Descriptive demographic techniques were applied to explain variations in health outcomes. The discussion of results precedes the </w:t>
      </w:r>
      <w:r w:rsidRPr="00615E1E">
        <w:rPr>
          <w:rFonts w:ascii="Arial" w:hAnsi="Arial" w:cs="Arial"/>
          <w:sz w:val="20"/>
          <w:highlight w:val="yellow"/>
        </w:rPr>
        <w:t xml:space="preserve">presentation of each table and figure, ensuring that all visual representations are analytically </w:t>
      </w:r>
      <w:proofErr w:type="spellStart"/>
      <w:r w:rsidR="00D32F46" w:rsidRPr="00615E1E">
        <w:rPr>
          <w:rFonts w:ascii="Arial" w:hAnsi="Arial" w:cs="Arial"/>
          <w:sz w:val="20"/>
          <w:highlight w:val="yellow"/>
        </w:rPr>
        <w:t>contextualised</w:t>
      </w:r>
      <w:proofErr w:type="spellEnd"/>
      <w:r w:rsidRPr="00615E1E">
        <w:rPr>
          <w:rFonts w:ascii="Arial" w:hAnsi="Arial" w:cs="Arial"/>
          <w:sz w:val="20"/>
          <w:highlight w:val="yellow"/>
        </w:rPr>
        <w:t>.</w:t>
      </w:r>
    </w:p>
    <w:p w14:paraId="59401A00" w14:textId="77777777" w:rsidR="0080753A" w:rsidRPr="009A5CE9" w:rsidRDefault="0080753A" w:rsidP="009A5CE9">
      <w:pPr>
        <w:spacing w:after="0" w:line="360" w:lineRule="auto"/>
        <w:jc w:val="both"/>
        <w:rPr>
          <w:rFonts w:ascii="Arial" w:hAnsi="Arial" w:cs="Arial"/>
          <w:sz w:val="20"/>
        </w:rPr>
      </w:pPr>
    </w:p>
    <w:p w14:paraId="7B2A2AD8" w14:textId="262EC3E6"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 Results and Discussion</w:t>
      </w:r>
    </w:p>
    <w:p w14:paraId="61C2B582" w14:textId="4EC5B06D" w:rsidR="007F12BF" w:rsidRPr="009A5CE9" w:rsidRDefault="007F12BF" w:rsidP="009A5CE9">
      <w:pPr>
        <w:spacing w:after="0" w:line="360" w:lineRule="auto"/>
        <w:jc w:val="both"/>
        <w:rPr>
          <w:rFonts w:ascii="Arial" w:hAnsi="Arial" w:cs="Arial"/>
          <w:sz w:val="20"/>
        </w:rPr>
      </w:pPr>
      <w:r w:rsidRPr="009A5CE9">
        <w:rPr>
          <w:rFonts w:ascii="Arial" w:hAnsi="Arial" w:cs="Arial"/>
          <w:sz w:val="20"/>
        </w:rPr>
        <w:tab/>
        <w:t xml:space="preserve">The HMIS data show that the former </w:t>
      </w:r>
      <w:r w:rsidR="004C7491" w:rsidRPr="009A5CE9">
        <w:rPr>
          <w:rFonts w:ascii="Arial" w:hAnsi="Arial" w:cs="Arial"/>
          <w:sz w:val="20"/>
        </w:rPr>
        <w:t>Ahilyanagar</w:t>
      </w:r>
      <w:r w:rsidRPr="009A5CE9">
        <w:rPr>
          <w:rFonts w:ascii="Arial" w:hAnsi="Arial" w:cs="Arial"/>
          <w:sz w:val="20"/>
        </w:rPr>
        <w:t xml:space="preserve"> district recorded 63,985 live births and 13,957 total deaths, indicating wide inter-tahsil variation in health outcomes. Nagar, Sangamner, and Rahata emerge as high-birth and high-death tahsils due to their large population and urban influence. Child deaths (607) and infant deaths (508) are relatively higher in Sangamner, Newasa, Parner, and Nagar, reflecting persistent challenges in maternal and child healthcare. In contrast, Karjat and Jamkhed report the lowest births and deaths due to low population density and rural conditions.</w:t>
      </w:r>
    </w:p>
    <w:p w14:paraId="29DBE15D"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1: Tahsil-wise Distribution of Live Births by Sex (Male, Female and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1"/>
        <w:gridCol w:w="1702"/>
        <w:gridCol w:w="1971"/>
        <w:gridCol w:w="1706"/>
      </w:tblGrid>
      <w:tr w:rsidR="009A5CE9" w:rsidRPr="009A5CE9" w14:paraId="11612272" w14:textId="77777777" w:rsidTr="006F0C87">
        <w:trPr>
          <w:trHeight w:val="315"/>
        </w:trPr>
        <w:tc>
          <w:tcPr>
            <w:tcW w:w="575" w:type="pct"/>
            <w:vMerge w:val="restart"/>
            <w:shd w:val="clear" w:color="auto" w:fill="auto"/>
            <w:vAlign w:val="center"/>
            <w:hideMark/>
          </w:tcPr>
          <w:p w14:paraId="73617CE1"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1442" w:type="pct"/>
            <w:vMerge w:val="restart"/>
            <w:shd w:val="clear" w:color="auto" w:fill="auto"/>
            <w:vAlign w:val="center"/>
            <w:hideMark/>
          </w:tcPr>
          <w:p w14:paraId="7E00CA9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983" w:type="pct"/>
            <w:gridSpan w:val="3"/>
            <w:shd w:val="clear" w:color="auto" w:fill="auto"/>
            <w:vAlign w:val="center"/>
            <w:hideMark/>
          </w:tcPr>
          <w:p w14:paraId="7F699AB6"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No. of Live Births</w:t>
            </w:r>
          </w:p>
        </w:tc>
      </w:tr>
      <w:tr w:rsidR="009A5CE9" w:rsidRPr="009A5CE9" w14:paraId="5B693E0F" w14:textId="77777777" w:rsidTr="006F0C87">
        <w:trPr>
          <w:trHeight w:val="585"/>
        </w:trPr>
        <w:tc>
          <w:tcPr>
            <w:tcW w:w="575" w:type="pct"/>
            <w:vMerge/>
            <w:vAlign w:val="center"/>
            <w:hideMark/>
          </w:tcPr>
          <w:p w14:paraId="5673194C" w14:textId="77777777" w:rsidR="00663B4C" w:rsidRPr="009A5CE9" w:rsidRDefault="00663B4C" w:rsidP="009A5CE9">
            <w:pPr>
              <w:spacing w:after="0" w:line="360" w:lineRule="auto"/>
              <w:rPr>
                <w:rFonts w:ascii="Arial" w:eastAsia="Times New Roman" w:hAnsi="Arial" w:cs="Arial"/>
                <w:b/>
                <w:bCs/>
                <w:sz w:val="20"/>
              </w:rPr>
            </w:pPr>
          </w:p>
        </w:tc>
        <w:tc>
          <w:tcPr>
            <w:tcW w:w="1442" w:type="pct"/>
            <w:vMerge/>
            <w:vAlign w:val="center"/>
            <w:hideMark/>
          </w:tcPr>
          <w:p w14:paraId="189E670E" w14:textId="77777777" w:rsidR="00663B4C" w:rsidRPr="009A5CE9" w:rsidRDefault="00663B4C" w:rsidP="009A5CE9">
            <w:pPr>
              <w:spacing w:after="0" w:line="360" w:lineRule="auto"/>
              <w:rPr>
                <w:rFonts w:ascii="Arial" w:eastAsia="Times New Roman" w:hAnsi="Arial" w:cs="Arial"/>
                <w:b/>
                <w:bCs/>
                <w:sz w:val="20"/>
              </w:rPr>
            </w:pPr>
          </w:p>
        </w:tc>
        <w:tc>
          <w:tcPr>
            <w:tcW w:w="944" w:type="pct"/>
            <w:shd w:val="clear" w:color="auto" w:fill="auto"/>
            <w:vAlign w:val="center"/>
            <w:hideMark/>
          </w:tcPr>
          <w:p w14:paraId="0FE453E3"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Male</w:t>
            </w:r>
          </w:p>
        </w:tc>
        <w:tc>
          <w:tcPr>
            <w:tcW w:w="1093" w:type="pct"/>
            <w:shd w:val="clear" w:color="auto" w:fill="auto"/>
            <w:vAlign w:val="center"/>
            <w:hideMark/>
          </w:tcPr>
          <w:p w14:paraId="4572F019"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Female</w:t>
            </w:r>
          </w:p>
        </w:tc>
        <w:tc>
          <w:tcPr>
            <w:tcW w:w="946" w:type="pct"/>
            <w:shd w:val="clear" w:color="auto" w:fill="auto"/>
            <w:vAlign w:val="center"/>
            <w:hideMark/>
          </w:tcPr>
          <w:p w14:paraId="6571D79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r>
      <w:tr w:rsidR="009A5CE9" w:rsidRPr="009A5CE9" w14:paraId="0346ED29" w14:textId="77777777" w:rsidTr="006F0C87">
        <w:trPr>
          <w:trHeight w:val="315"/>
        </w:trPr>
        <w:tc>
          <w:tcPr>
            <w:tcW w:w="575" w:type="pct"/>
            <w:shd w:val="clear" w:color="auto" w:fill="auto"/>
            <w:vAlign w:val="center"/>
            <w:hideMark/>
          </w:tcPr>
          <w:p w14:paraId="6F7E9C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1442" w:type="pct"/>
            <w:shd w:val="clear" w:color="auto" w:fill="auto"/>
            <w:vAlign w:val="center"/>
            <w:hideMark/>
          </w:tcPr>
          <w:p w14:paraId="674FEFF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944" w:type="pct"/>
            <w:shd w:val="clear" w:color="auto" w:fill="auto"/>
            <w:vAlign w:val="center"/>
            <w:hideMark/>
          </w:tcPr>
          <w:p w14:paraId="00B52FB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1593</w:t>
            </w:r>
          </w:p>
        </w:tc>
        <w:tc>
          <w:tcPr>
            <w:tcW w:w="1093" w:type="pct"/>
            <w:shd w:val="clear" w:color="auto" w:fill="auto"/>
            <w:vAlign w:val="center"/>
            <w:hideMark/>
          </w:tcPr>
          <w:p w14:paraId="41F3812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1442</w:t>
            </w:r>
          </w:p>
        </w:tc>
        <w:tc>
          <w:tcPr>
            <w:tcW w:w="946" w:type="pct"/>
            <w:shd w:val="clear" w:color="auto" w:fill="auto"/>
            <w:vAlign w:val="bottom"/>
            <w:hideMark/>
          </w:tcPr>
          <w:p w14:paraId="35AE859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3035</w:t>
            </w:r>
          </w:p>
        </w:tc>
      </w:tr>
      <w:tr w:rsidR="009A5CE9" w:rsidRPr="009A5CE9" w14:paraId="06521C3A" w14:textId="77777777" w:rsidTr="006F0C87">
        <w:trPr>
          <w:trHeight w:val="315"/>
        </w:trPr>
        <w:tc>
          <w:tcPr>
            <w:tcW w:w="575" w:type="pct"/>
            <w:shd w:val="clear" w:color="auto" w:fill="auto"/>
            <w:vAlign w:val="center"/>
            <w:hideMark/>
          </w:tcPr>
          <w:p w14:paraId="5304FD6F"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1442" w:type="pct"/>
            <w:shd w:val="clear" w:color="auto" w:fill="auto"/>
            <w:vAlign w:val="center"/>
            <w:hideMark/>
          </w:tcPr>
          <w:p w14:paraId="017B665E"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944" w:type="pct"/>
            <w:shd w:val="clear" w:color="auto" w:fill="auto"/>
            <w:vAlign w:val="center"/>
            <w:hideMark/>
          </w:tcPr>
          <w:p w14:paraId="7612E2D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3938</w:t>
            </w:r>
          </w:p>
        </w:tc>
        <w:tc>
          <w:tcPr>
            <w:tcW w:w="1093" w:type="pct"/>
            <w:shd w:val="clear" w:color="auto" w:fill="auto"/>
            <w:vAlign w:val="center"/>
            <w:hideMark/>
          </w:tcPr>
          <w:p w14:paraId="4D96136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3590</w:t>
            </w:r>
          </w:p>
        </w:tc>
        <w:tc>
          <w:tcPr>
            <w:tcW w:w="946" w:type="pct"/>
            <w:shd w:val="clear" w:color="auto" w:fill="auto"/>
            <w:vAlign w:val="bottom"/>
            <w:hideMark/>
          </w:tcPr>
          <w:p w14:paraId="117310A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7528</w:t>
            </w:r>
          </w:p>
        </w:tc>
      </w:tr>
      <w:tr w:rsidR="009A5CE9" w:rsidRPr="009A5CE9" w14:paraId="4B707345" w14:textId="77777777" w:rsidTr="006F0C87">
        <w:trPr>
          <w:trHeight w:val="315"/>
        </w:trPr>
        <w:tc>
          <w:tcPr>
            <w:tcW w:w="575" w:type="pct"/>
            <w:shd w:val="clear" w:color="auto" w:fill="auto"/>
            <w:vAlign w:val="center"/>
            <w:hideMark/>
          </w:tcPr>
          <w:p w14:paraId="17119CD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1442" w:type="pct"/>
            <w:shd w:val="clear" w:color="auto" w:fill="auto"/>
            <w:vAlign w:val="center"/>
            <w:hideMark/>
          </w:tcPr>
          <w:p w14:paraId="19BA875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944" w:type="pct"/>
            <w:shd w:val="clear" w:color="auto" w:fill="auto"/>
            <w:vAlign w:val="center"/>
            <w:hideMark/>
          </w:tcPr>
          <w:p w14:paraId="23E63CD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1777</w:t>
            </w:r>
          </w:p>
        </w:tc>
        <w:tc>
          <w:tcPr>
            <w:tcW w:w="1093" w:type="pct"/>
            <w:shd w:val="clear" w:color="auto" w:fill="auto"/>
            <w:vAlign w:val="center"/>
            <w:hideMark/>
          </w:tcPr>
          <w:p w14:paraId="52B9CF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1634</w:t>
            </w:r>
          </w:p>
        </w:tc>
        <w:tc>
          <w:tcPr>
            <w:tcW w:w="946" w:type="pct"/>
            <w:shd w:val="clear" w:color="auto" w:fill="auto"/>
            <w:vAlign w:val="bottom"/>
            <w:hideMark/>
          </w:tcPr>
          <w:p w14:paraId="3D5D9D8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3411</w:t>
            </w:r>
          </w:p>
        </w:tc>
      </w:tr>
      <w:tr w:rsidR="009A5CE9" w:rsidRPr="009A5CE9" w14:paraId="3F45DD82" w14:textId="77777777" w:rsidTr="006F0C87">
        <w:trPr>
          <w:trHeight w:val="315"/>
        </w:trPr>
        <w:tc>
          <w:tcPr>
            <w:tcW w:w="575" w:type="pct"/>
            <w:shd w:val="clear" w:color="auto" w:fill="auto"/>
            <w:vAlign w:val="center"/>
            <w:hideMark/>
          </w:tcPr>
          <w:p w14:paraId="3402FF40"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1442" w:type="pct"/>
            <w:shd w:val="clear" w:color="auto" w:fill="auto"/>
            <w:vAlign w:val="center"/>
            <w:hideMark/>
          </w:tcPr>
          <w:p w14:paraId="7207044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944" w:type="pct"/>
            <w:shd w:val="clear" w:color="auto" w:fill="auto"/>
            <w:vAlign w:val="center"/>
            <w:hideMark/>
          </w:tcPr>
          <w:p w14:paraId="123C035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3561</w:t>
            </w:r>
          </w:p>
        </w:tc>
        <w:tc>
          <w:tcPr>
            <w:tcW w:w="1093" w:type="pct"/>
            <w:shd w:val="clear" w:color="auto" w:fill="auto"/>
            <w:vAlign w:val="center"/>
            <w:hideMark/>
          </w:tcPr>
          <w:p w14:paraId="235807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3320</w:t>
            </w:r>
          </w:p>
        </w:tc>
        <w:tc>
          <w:tcPr>
            <w:tcW w:w="946" w:type="pct"/>
            <w:shd w:val="clear" w:color="auto" w:fill="auto"/>
            <w:vAlign w:val="bottom"/>
            <w:hideMark/>
          </w:tcPr>
          <w:p w14:paraId="03145D2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6881</w:t>
            </w:r>
          </w:p>
        </w:tc>
      </w:tr>
      <w:tr w:rsidR="009A5CE9" w:rsidRPr="009A5CE9" w14:paraId="7AC9CD75" w14:textId="77777777" w:rsidTr="006F0C87">
        <w:trPr>
          <w:trHeight w:val="315"/>
        </w:trPr>
        <w:tc>
          <w:tcPr>
            <w:tcW w:w="575" w:type="pct"/>
            <w:shd w:val="clear" w:color="auto" w:fill="auto"/>
            <w:vAlign w:val="center"/>
            <w:hideMark/>
          </w:tcPr>
          <w:p w14:paraId="764F9D3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1442" w:type="pct"/>
            <w:shd w:val="clear" w:color="auto" w:fill="auto"/>
            <w:vAlign w:val="center"/>
            <w:hideMark/>
          </w:tcPr>
          <w:p w14:paraId="67503C4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944" w:type="pct"/>
            <w:shd w:val="clear" w:color="auto" w:fill="auto"/>
            <w:vAlign w:val="center"/>
            <w:hideMark/>
          </w:tcPr>
          <w:p w14:paraId="0C2520E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1384</w:t>
            </w:r>
          </w:p>
        </w:tc>
        <w:tc>
          <w:tcPr>
            <w:tcW w:w="1093" w:type="pct"/>
            <w:shd w:val="clear" w:color="auto" w:fill="auto"/>
            <w:vAlign w:val="center"/>
            <w:hideMark/>
          </w:tcPr>
          <w:p w14:paraId="076AE3E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1212</w:t>
            </w:r>
          </w:p>
        </w:tc>
        <w:tc>
          <w:tcPr>
            <w:tcW w:w="946" w:type="pct"/>
            <w:shd w:val="clear" w:color="auto" w:fill="auto"/>
            <w:vAlign w:val="bottom"/>
            <w:hideMark/>
          </w:tcPr>
          <w:p w14:paraId="2AB4F28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2596</w:t>
            </w:r>
          </w:p>
        </w:tc>
      </w:tr>
      <w:tr w:rsidR="009A5CE9" w:rsidRPr="009A5CE9" w14:paraId="0912AD66" w14:textId="77777777" w:rsidTr="006F0C87">
        <w:trPr>
          <w:trHeight w:val="315"/>
        </w:trPr>
        <w:tc>
          <w:tcPr>
            <w:tcW w:w="575" w:type="pct"/>
            <w:shd w:val="clear" w:color="auto" w:fill="auto"/>
            <w:vAlign w:val="center"/>
            <w:hideMark/>
          </w:tcPr>
          <w:p w14:paraId="2ADBF13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1442" w:type="pct"/>
            <w:shd w:val="clear" w:color="auto" w:fill="auto"/>
            <w:vAlign w:val="center"/>
            <w:hideMark/>
          </w:tcPr>
          <w:p w14:paraId="52C1EAF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944" w:type="pct"/>
            <w:shd w:val="clear" w:color="auto" w:fill="auto"/>
            <w:vAlign w:val="center"/>
            <w:hideMark/>
          </w:tcPr>
          <w:p w14:paraId="745F64E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3212</w:t>
            </w:r>
          </w:p>
        </w:tc>
        <w:tc>
          <w:tcPr>
            <w:tcW w:w="1093" w:type="pct"/>
            <w:shd w:val="clear" w:color="auto" w:fill="auto"/>
            <w:vAlign w:val="center"/>
            <w:hideMark/>
          </w:tcPr>
          <w:p w14:paraId="0AAF296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3043</w:t>
            </w:r>
          </w:p>
        </w:tc>
        <w:tc>
          <w:tcPr>
            <w:tcW w:w="946" w:type="pct"/>
            <w:shd w:val="clear" w:color="auto" w:fill="auto"/>
            <w:vAlign w:val="bottom"/>
            <w:hideMark/>
          </w:tcPr>
          <w:p w14:paraId="7CD4C19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6255</w:t>
            </w:r>
          </w:p>
        </w:tc>
      </w:tr>
      <w:tr w:rsidR="009A5CE9" w:rsidRPr="009A5CE9" w14:paraId="370055B8" w14:textId="77777777" w:rsidTr="006F0C87">
        <w:trPr>
          <w:trHeight w:val="315"/>
        </w:trPr>
        <w:tc>
          <w:tcPr>
            <w:tcW w:w="575" w:type="pct"/>
            <w:shd w:val="clear" w:color="auto" w:fill="auto"/>
            <w:vAlign w:val="center"/>
            <w:hideMark/>
          </w:tcPr>
          <w:p w14:paraId="2C92CD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1442" w:type="pct"/>
            <w:shd w:val="clear" w:color="auto" w:fill="auto"/>
            <w:vAlign w:val="center"/>
            <w:hideMark/>
          </w:tcPr>
          <w:p w14:paraId="16EBA18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944" w:type="pct"/>
            <w:shd w:val="clear" w:color="auto" w:fill="auto"/>
            <w:vAlign w:val="center"/>
            <w:hideMark/>
          </w:tcPr>
          <w:p w14:paraId="68A0980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1547</w:t>
            </w:r>
          </w:p>
        </w:tc>
        <w:tc>
          <w:tcPr>
            <w:tcW w:w="1093" w:type="pct"/>
            <w:shd w:val="clear" w:color="auto" w:fill="auto"/>
            <w:vAlign w:val="center"/>
            <w:hideMark/>
          </w:tcPr>
          <w:p w14:paraId="73F5122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1465</w:t>
            </w:r>
          </w:p>
        </w:tc>
        <w:tc>
          <w:tcPr>
            <w:tcW w:w="946" w:type="pct"/>
            <w:shd w:val="clear" w:color="auto" w:fill="auto"/>
            <w:vAlign w:val="bottom"/>
            <w:hideMark/>
          </w:tcPr>
          <w:p w14:paraId="1BC6DC5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3012</w:t>
            </w:r>
          </w:p>
        </w:tc>
      </w:tr>
      <w:tr w:rsidR="009A5CE9" w:rsidRPr="009A5CE9" w14:paraId="12D5FF2B" w14:textId="77777777" w:rsidTr="006F0C87">
        <w:trPr>
          <w:trHeight w:val="315"/>
        </w:trPr>
        <w:tc>
          <w:tcPr>
            <w:tcW w:w="575" w:type="pct"/>
            <w:shd w:val="clear" w:color="auto" w:fill="auto"/>
            <w:vAlign w:val="center"/>
            <w:hideMark/>
          </w:tcPr>
          <w:p w14:paraId="22E5325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1442" w:type="pct"/>
            <w:shd w:val="clear" w:color="auto" w:fill="auto"/>
            <w:vAlign w:val="center"/>
            <w:hideMark/>
          </w:tcPr>
          <w:p w14:paraId="4DC8D37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944" w:type="pct"/>
            <w:shd w:val="clear" w:color="auto" w:fill="auto"/>
            <w:vAlign w:val="center"/>
            <w:hideMark/>
          </w:tcPr>
          <w:p w14:paraId="2C64C43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1086</w:t>
            </w:r>
          </w:p>
        </w:tc>
        <w:tc>
          <w:tcPr>
            <w:tcW w:w="1093" w:type="pct"/>
            <w:shd w:val="clear" w:color="auto" w:fill="auto"/>
            <w:vAlign w:val="center"/>
            <w:hideMark/>
          </w:tcPr>
          <w:p w14:paraId="30C71E0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953</w:t>
            </w:r>
          </w:p>
        </w:tc>
        <w:tc>
          <w:tcPr>
            <w:tcW w:w="946" w:type="pct"/>
            <w:shd w:val="clear" w:color="auto" w:fill="auto"/>
            <w:vAlign w:val="bottom"/>
            <w:hideMark/>
          </w:tcPr>
          <w:p w14:paraId="61D711E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2039</w:t>
            </w:r>
          </w:p>
        </w:tc>
      </w:tr>
      <w:tr w:rsidR="009A5CE9" w:rsidRPr="009A5CE9" w14:paraId="104DE9D8" w14:textId="77777777" w:rsidTr="006F0C87">
        <w:trPr>
          <w:trHeight w:val="315"/>
        </w:trPr>
        <w:tc>
          <w:tcPr>
            <w:tcW w:w="575" w:type="pct"/>
            <w:shd w:val="clear" w:color="auto" w:fill="auto"/>
            <w:vAlign w:val="center"/>
            <w:hideMark/>
          </w:tcPr>
          <w:p w14:paraId="36AAD5F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1442" w:type="pct"/>
            <w:shd w:val="clear" w:color="auto" w:fill="auto"/>
            <w:vAlign w:val="center"/>
            <w:hideMark/>
          </w:tcPr>
          <w:p w14:paraId="52DF00D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944" w:type="pct"/>
            <w:shd w:val="clear" w:color="auto" w:fill="auto"/>
            <w:vAlign w:val="center"/>
            <w:hideMark/>
          </w:tcPr>
          <w:p w14:paraId="502FA34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10229</w:t>
            </w:r>
          </w:p>
        </w:tc>
        <w:tc>
          <w:tcPr>
            <w:tcW w:w="1093" w:type="pct"/>
            <w:shd w:val="clear" w:color="auto" w:fill="auto"/>
            <w:vAlign w:val="center"/>
            <w:hideMark/>
          </w:tcPr>
          <w:p w14:paraId="4E97A19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9179</w:t>
            </w:r>
          </w:p>
        </w:tc>
        <w:tc>
          <w:tcPr>
            <w:tcW w:w="946" w:type="pct"/>
            <w:shd w:val="clear" w:color="auto" w:fill="auto"/>
            <w:vAlign w:val="bottom"/>
            <w:hideMark/>
          </w:tcPr>
          <w:p w14:paraId="2A1F5D6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19408</w:t>
            </w:r>
          </w:p>
        </w:tc>
      </w:tr>
      <w:tr w:rsidR="009A5CE9" w:rsidRPr="009A5CE9" w14:paraId="1A020DD0" w14:textId="77777777" w:rsidTr="006F0C87">
        <w:trPr>
          <w:trHeight w:val="315"/>
        </w:trPr>
        <w:tc>
          <w:tcPr>
            <w:tcW w:w="575" w:type="pct"/>
            <w:shd w:val="clear" w:color="auto" w:fill="auto"/>
            <w:vAlign w:val="center"/>
            <w:hideMark/>
          </w:tcPr>
          <w:p w14:paraId="1810BF4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1442" w:type="pct"/>
            <w:shd w:val="clear" w:color="auto" w:fill="auto"/>
            <w:vAlign w:val="center"/>
            <w:hideMark/>
          </w:tcPr>
          <w:p w14:paraId="5586453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944" w:type="pct"/>
            <w:shd w:val="clear" w:color="auto" w:fill="auto"/>
            <w:vAlign w:val="center"/>
            <w:hideMark/>
          </w:tcPr>
          <w:p w14:paraId="1B1AC4B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1257</w:t>
            </w:r>
          </w:p>
        </w:tc>
        <w:tc>
          <w:tcPr>
            <w:tcW w:w="1093" w:type="pct"/>
            <w:shd w:val="clear" w:color="auto" w:fill="auto"/>
            <w:vAlign w:val="center"/>
            <w:hideMark/>
          </w:tcPr>
          <w:p w14:paraId="6CFAA4D5"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1142</w:t>
            </w:r>
          </w:p>
        </w:tc>
        <w:tc>
          <w:tcPr>
            <w:tcW w:w="946" w:type="pct"/>
            <w:shd w:val="clear" w:color="auto" w:fill="auto"/>
            <w:vAlign w:val="bottom"/>
            <w:hideMark/>
          </w:tcPr>
          <w:p w14:paraId="66926A3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2399</w:t>
            </w:r>
          </w:p>
        </w:tc>
      </w:tr>
      <w:tr w:rsidR="009A5CE9" w:rsidRPr="009A5CE9" w14:paraId="06899CDB" w14:textId="77777777" w:rsidTr="006F0C87">
        <w:trPr>
          <w:trHeight w:val="315"/>
        </w:trPr>
        <w:tc>
          <w:tcPr>
            <w:tcW w:w="575" w:type="pct"/>
            <w:shd w:val="clear" w:color="auto" w:fill="auto"/>
            <w:vAlign w:val="center"/>
            <w:hideMark/>
          </w:tcPr>
          <w:p w14:paraId="5BD896C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1442" w:type="pct"/>
            <w:shd w:val="clear" w:color="auto" w:fill="auto"/>
            <w:vAlign w:val="center"/>
            <w:hideMark/>
          </w:tcPr>
          <w:p w14:paraId="1F1CAB8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944" w:type="pct"/>
            <w:shd w:val="clear" w:color="auto" w:fill="auto"/>
            <w:vAlign w:val="center"/>
            <w:hideMark/>
          </w:tcPr>
          <w:p w14:paraId="29EC46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1431</w:t>
            </w:r>
          </w:p>
        </w:tc>
        <w:tc>
          <w:tcPr>
            <w:tcW w:w="1093" w:type="pct"/>
            <w:shd w:val="clear" w:color="auto" w:fill="auto"/>
            <w:vAlign w:val="center"/>
            <w:hideMark/>
          </w:tcPr>
          <w:p w14:paraId="685CB05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1346</w:t>
            </w:r>
          </w:p>
        </w:tc>
        <w:tc>
          <w:tcPr>
            <w:tcW w:w="946" w:type="pct"/>
            <w:shd w:val="clear" w:color="auto" w:fill="auto"/>
            <w:vAlign w:val="bottom"/>
            <w:hideMark/>
          </w:tcPr>
          <w:p w14:paraId="46E6279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2777</w:t>
            </w:r>
          </w:p>
        </w:tc>
      </w:tr>
      <w:tr w:rsidR="009A5CE9" w:rsidRPr="009A5CE9" w14:paraId="57CE4467" w14:textId="77777777" w:rsidTr="006F0C87">
        <w:trPr>
          <w:trHeight w:val="315"/>
        </w:trPr>
        <w:tc>
          <w:tcPr>
            <w:tcW w:w="575" w:type="pct"/>
            <w:shd w:val="clear" w:color="auto" w:fill="auto"/>
            <w:vAlign w:val="center"/>
            <w:hideMark/>
          </w:tcPr>
          <w:p w14:paraId="68533E9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1442" w:type="pct"/>
            <w:shd w:val="clear" w:color="auto" w:fill="auto"/>
            <w:vAlign w:val="center"/>
            <w:hideMark/>
          </w:tcPr>
          <w:p w14:paraId="5C95408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944" w:type="pct"/>
            <w:shd w:val="clear" w:color="auto" w:fill="auto"/>
            <w:vAlign w:val="center"/>
            <w:hideMark/>
          </w:tcPr>
          <w:p w14:paraId="64D9902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933</w:t>
            </w:r>
          </w:p>
        </w:tc>
        <w:tc>
          <w:tcPr>
            <w:tcW w:w="1093" w:type="pct"/>
            <w:shd w:val="clear" w:color="auto" w:fill="auto"/>
            <w:vAlign w:val="center"/>
            <w:hideMark/>
          </w:tcPr>
          <w:p w14:paraId="097BED7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863</w:t>
            </w:r>
          </w:p>
        </w:tc>
        <w:tc>
          <w:tcPr>
            <w:tcW w:w="946" w:type="pct"/>
            <w:shd w:val="clear" w:color="auto" w:fill="auto"/>
            <w:vAlign w:val="bottom"/>
            <w:hideMark/>
          </w:tcPr>
          <w:p w14:paraId="72523BD5"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1796</w:t>
            </w:r>
          </w:p>
        </w:tc>
      </w:tr>
      <w:tr w:rsidR="009A5CE9" w:rsidRPr="009A5CE9" w14:paraId="2C6405FC" w14:textId="77777777" w:rsidTr="006F0C87">
        <w:trPr>
          <w:trHeight w:val="315"/>
        </w:trPr>
        <w:tc>
          <w:tcPr>
            <w:tcW w:w="575" w:type="pct"/>
            <w:shd w:val="clear" w:color="auto" w:fill="auto"/>
            <w:vAlign w:val="center"/>
            <w:hideMark/>
          </w:tcPr>
          <w:p w14:paraId="1F22FE2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1442" w:type="pct"/>
            <w:shd w:val="clear" w:color="auto" w:fill="auto"/>
            <w:vAlign w:val="center"/>
            <w:hideMark/>
          </w:tcPr>
          <w:p w14:paraId="1C7D1D19"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944" w:type="pct"/>
            <w:shd w:val="clear" w:color="auto" w:fill="auto"/>
            <w:vAlign w:val="center"/>
            <w:hideMark/>
          </w:tcPr>
          <w:p w14:paraId="06D2166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596</w:t>
            </w:r>
          </w:p>
        </w:tc>
        <w:tc>
          <w:tcPr>
            <w:tcW w:w="1093" w:type="pct"/>
            <w:shd w:val="clear" w:color="auto" w:fill="auto"/>
            <w:vAlign w:val="center"/>
            <w:hideMark/>
          </w:tcPr>
          <w:p w14:paraId="44B1805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548</w:t>
            </w:r>
          </w:p>
        </w:tc>
        <w:tc>
          <w:tcPr>
            <w:tcW w:w="946" w:type="pct"/>
            <w:shd w:val="clear" w:color="auto" w:fill="auto"/>
            <w:vAlign w:val="bottom"/>
            <w:hideMark/>
          </w:tcPr>
          <w:p w14:paraId="6894B80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1144</w:t>
            </w:r>
          </w:p>
        </w:tc>
      </w:tr>
      <w:tr w:rsidR="009A5CE9" w:rsidRPr="009A5CE9" w14:paraId="150E6D97" w14:textId="77777777" w:rsidTr="006F0C87">
        <w:trPr>
          <w:trHeight w:val="315"/>
        </w:trPr>
        <w:tc>
          <w:tcPr>
            <w:tcW w:w="575" w:type="pct"/>
            <w:shd w:val="clear" w:color="auto" w:fill="auto"/>
            <w:vAlign w:val="center"/>
            <w:hideMark/>
          </w:tcPr>
          <w:p w14:paraId="1446658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1442" w:type="pct"/>
            <w:shd w:val="clear" w:color="auto" w:fill="auto"/>
            <w:vAlign w:val="center"/>
            <w:hideMark/>
          </w:tcPr>
          <w:p w14:paraId="6BB26CE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944" w:type="pct"/>
            <w:shd w:val="clear" w:color="auto" w:fill="auto"/>
            <w:vAlign w:val="center"/>
            <w:hideMark/>
          </w:tcPr>
          <w:p w14:paraId="3708808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906</w:t>
            </w:r>
          </w:p>
        </w:tc>
        <w:tc>
          <w:tcPr>
            <w:tcW w:w="1093" w:type="pct"/>
            <w:shd w:val="clear" w:color="auto" w:fill="auto"/>
            <w:vAlign w:val="center"/>
            <w:hideMark/>
          </w:tcPr>
          <w:p w14:paraId="5C36C3A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798</w:t>
            </w:r>
          </w:p>
        </w:tc>
        <w:tc>
          <w:tcPr>
            <w:tcW w:w="946" w:type="pct"/>
            <w:shd w:val="clear" w:color="auto" w:fill="auto"/>
            <w:vAlign w:val="bottom"/>
            <w:hideMark/>
          </w:tcPr>
          <w:p w14:paraId="3BFDDCD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1704</w:t>
            </w:r>
          </w:p>
        </w:tc>
      </w:tr>
      <w:tr w:rsidR="009A5CE9" w:rsidRPr="009A5CE9" w14:paraId="117B30A5" w14:textId="77777777" w:rsidTr="006F0C87">
        <w:trPr>
          <w:trHeight w:val="315"/>
        </w:trPr>
        <w:tc>
          <w:tcPr>
            <w:tcW w:w="2017" w:type="pct"/>
            <w:gridSpan w:val="2"/>
            <w:shd w:val="clear" w:color="auto" w:fill="auto"/>
            <w:vAlign w:val="bottom"/>
            <w:hideMark/>
          </w:tcPr>
          <w:p w14:paraId="658EFDE3"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944" w:type="pct"/>
            <w:shd w:val="clear" w:color="auto" w:fill="auto"/>
            <w:vAlign w:val="bottom"/>
            <w:hideMark/>
          </w:tcPr>
          <w:p w14:paraId="39AEEAF8"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33450</w:t>
            </w:r>
          </w:p>
        </w:tc>
        <w:tc>
          <w:tcPr>
            <w:tcW w:w="1093" w:type="pct"/>
            <w:shd w:val="clear" w:color="auto" w:fill="auto"/>
            <w:vAlign w:val="bottom"/>
            <w:hideMark/>
          </w:tcPr>
          <w:p w14:paraId="06790F74"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30535</w:t>
            </w:r>
          </w:p>
        </w:tc>
        <w:tc>
          <w:tcPr>
            <w:tcW w:w="946" w:type="pct"/>
            <w:shd w:val="clear" w:color="auto" w:fill="auto"/>
            <w:vAlign w:val="bottom"/>
            <w:hideMark/>
          </w:tcPr>
          <w:p w14:paraId="6D528312"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63985</w:t>
            </w:r>
          </w:p>
        </w:tc>
      </w:tr>
      <w:tr w:rsidR="009A5CE9" w:rsidRPr="009A5CE9" w14:paraId="5DEF2862" w14:textId="77777777" w:rsidTr="006F0C87">
        <w:trPr>
          <w:trHeight w:val="315"/>
        </w:trPr>
        <w:tc>
          <w:tcPr>
            <w:tcW w:w="5000" w:type="pct"/>
            <w:gridSpan w:val="5"/>
            <w:shd w:val="clear" w:color="auto" w:fill="auto"/>
            <w:vAlign w:val="bottom"/>
          </w:tcPr>
          <w:p w14:paraId="3E05DB05"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01B027AF"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lastRenderedPageBreak/>
              <w:t>(2) District Health Officer, Zilla Parishad – Health Management Information System (HMIS)</w:t>
            </w:r>
          </w:p>
        </w:tc>
      </w:tr>
    </w:tbl>
    <w:p w14:paraId="38F0D6E0" w14:textId="75642180" w:rsidR="00663B4C" w:rsidRPr="009A5CE9" w:rsidRDefault="00663B4C" w:rsidP="009A5CE9">
      <w:pPr>
        <w:spacing w:after="0" w:line="360" w:lineRule="auto"/>
        <w:jc w:val="both"/>
        <w:rPr>
          <w:rFonts w:ascii="Arial" w:hAnsi="Arial" w:cs="Arial"/>
          <w:sz w:val="20"/>
        </w:rPr>
      </w:pPr>
      <w:r w:rsidRPr="009A5CE9">
        <w:rPr>
          <w:rFonts w:ascii="Arial" w:hAnsi="Arial" w:cs="Arial"/>
          <w:sz w:val="20"/>
        </w:rPr>
        <w:lastRenderedPageBreak/>
        <w:tab/>
        <w:t>The analysis of tahsil-wise live births in Ahilyanagar district for 2025 reveals significant spatial and demographic variation across the region. A total of 63,985 live births were recorded, comprising 33,450 male and 30,535 female births. The data indicate a persistent gender imbalance, with male births exceeding female births in every tahsil.</w:t>
      </w:r>
    </w:p>
    <w:p w14:paraId="0A701656" w14:textId="7CB29A90" w:rsidR="00663B4C" w:rsidRPr="009A5CE9" w:rsidRDefault="00663B4C" w:rsidP="009A5CE9">
      <w:pPr>
        <w:spacing w:after="0" w:line="360" w:lineRule="auto"/>
        <w:jc w:val="both"/>
        <w:rPr>
          <w:rFonts w:ascii="Arial" w:hAnsi="Arial" w:cs="Arial"/>
          <w:sz w:val="20"/>
        </w:rPr>
      </w:pPr>
      <w:r w:rsidRPr="009A5CE9">
        <w:rPr>
          <w:rFonts w:ascii="Arial" w:hAnsi="Arial" w:cs="Arial"/>
          <w:sz w:val="20"/>
        </w:rPr>
        <w:tab/>
        <w:t xml:space="preserve">Nagar tahsil shows the highest share of live births (19,408), accounting for nearly 30% of the district total. This reflects its larger population size, better healthcare networks, and higher institutional delivery rates. Sangamner (7,528), Rahata (6,881), and Newasa (6,255) follow as major contributors, suggesting concentrated population clusters and stronger health service </w:t>
      </w:r>
      <w:proofErr w:type="spellStart"/>
      <w:r w:rsidR="00D32F46" w:rsidRPr="00615E1E">
        <w:rPr>
          <w:rFonts w:ascii="Arial" w:hAnsi="Arial" w:cs="Arial"/>
          <w:sz w:val="20"/>
          <w:highlight w:val="yellow"/>
        </w:rPr>
        <w:t>utilisation</w:t>
      </w:r>
      <w:proofErr w:type="spellEnd"/>
      <w:r w:rsidR="00D32F46" w:rsidRPr="00615E1E">
        <w:rPr>
          <w:rFonts w:ascii="Arial" w:hAnsi="Arial" w:cs="Arial"/>
          <w:sz w:val="20"/>
          <w:highlight w:val="yellow"/>
        </w:rPr>
        <w:t xml:space="preserve"> </w:t>
      </w:r>
      <w:r w:rsidRPr="00615E1E">
        <w:rPr>
          <w:rFonts w:ascii="Arial" w:hAnsi="Arial" w:cs="Arial"/>
          <w:sz w:val="20"/>
          <w:highlight w:val="yellow"/>
        </w:rPr>
        <w:t xml:space="preserve">in these </w:t>
      </w:r>
      <w:r w:rsidRPr="009A5CE9">
        <w:rPr>
          <w:rFonts w:ascii="Arial" w:hAnsi="Arial" w:cs="Arial"/>
          <w:sz w:val="20"/>
        </w:rPr>
        <w:t>semi-urban and agriculturally developed regions.</w:t>
      </w:r>
    </w:p>
    <w:p w14:paraId="0915953F" w14:textId="33E0586D" w:rsidR="00663B4C" w:rsidRPr="009A5CE9" w:rsidRDefault="00A70958" w:rsidP="009A5CE9">
      <w:pPr>
        <w:spacing w:after="0" w:line="360" w:lineRule="auto"/>
        <w:jc w:val="both"/>
        <w:rPr>
          <w:rFonts w:ascii="Arial" w:hAnsi="Arial" w:cs="Arial"/>
          <w:sz w:val="20"/>
        </w:rPr>
      </w:pPr>
      <w:r w:rsidRPr="009A5CE9">
        <w:rPr>
          <w:rFonts w:ascii="Arial" w:hAnsi="Arial" w:cs="Arial"/>
          <w:sz w:val="20"/>
        </w:rPr>
        <w:tab/>
      </w:r>
      <w:r w:rsidR="00663B4C" w:rsidRPr="009A5CE9">
        <w:rPr>
          <w:rFonts w:ascii="Arial" w:hAnsi="Arial" w:cs="Arial"/>
          <w:sz w:val="20"/>
        </w:rPr>
        <w:t>Conversely, tahsils such as Karjat (1,144), Shrigonda (1,796), and Jamkhed (1,704) reported relatively low birth numbers, indicating either smaller populations, limited healthcare accessibility, or socio-economic constraints affecting maternal and child health outcomes.</w:t>
      </w:r>
    </w:p>
    <w:p w14:paraId="1C0B479D" w14:textId="04ACA717" w:rsidR="00663B4C" w:rsidRPr="009A5CE9" w:rsidRDefault="00663B4C" w:rsidP="009A5CE9">
      <w:pPr>
        <w:spacing w:after="0" w:line="360" w:lineRule="auto"/>
        <w:jc w:val="both"/>
        <w:rPr>
          <w:rFonts w:ascii="Arial" w:hAnsi="Arial" w:cs="Arial"/>
          <w:sz w:val="20"/>
        </w:rPr>
      </w:pPr>
      <w:r w:rsidRPr="009A5CE9">
        <w:rPr>
          <w:rFonts w:ascii="Arial" w:hAnsi="Arial" w:cs="Arial"/>
          <w:sz w:val="20"/>
        </w:rPr>
        <w:t xml:space="preserve">The consistent pattern of male-biased births across all tahsils highlights a demographic concern that may stem from cultural preferences, differential healthcare-seeking </w:t>
      </w:r>
      <w:proofErr w:type="spellStart"/>
      <w:r w:rsidRPr="00615E1E">
        <w:rPr>
          <w:rFonts w:ascii="Arial" w:hAnsi="Arial" w:cs="Arial"/>
          <w:sz w:val="20"/>
          <w:highlight w:val="yellow"/>
        </w:rPr>
        <w:t>behavio</w:t>
      </w:r>
      <w:r w:rsidR="00D32F46" w:rsidRPr="00615E1E">
        <w:rPr>
          <w:rFonts w:ascii="Arial" w:hAnsi="Arial" w:cs="Arial"/>
          <w:sz w:val="20"/>
          <w:highlight w:val="yellow"/>
        </w:rPr>
        <w:t>u</w:t>
      </w:r>
      <w:r w:rsidRPr="00615E1E">
        <w:rPr>
          <w:rFonts w:ascii="Arial" w:hAnsi="Arial" w:cs="Arial"/>
          <w:sz w:val="20"/>
          <w:highlight w:val="yellow"/>
        </w:rPr>
        <w:t>r</w:t>
      </w:r>
      <w:proofErr w:type="spellEnd"/>
      <w:r w:rsidRPr="00615E1E">
        <w:rPr>
          <w:rFonts w:ascii="Arial" w:hAnsi="Arial" w:cs="Arial"/>
          <w:sz w:val="20"/>
          <w:highlight w:val="yellow"/>
        </w:rPr>
        <w:t>, or v</w:t>
      </w:r>
      <w:r w:rsidRPr="009A5CE9">
        <w:rPr>
          <w:rFonts w:ascii="Arial" w:hAnsi="Arial" w:cs="Arial"/>
          <w:sz w:val="20"/>
        </w:rPr>
        <w:t>ariations in reporting accuracy. If sustained, such a gender imbalance may lead to long-term social and demographic challenges.</w:t>
      </w:r>
    </w:p>
    <w:p w14:paraId="77C70E93" w14:textId="40AD1B13" w:rsidR="00663B4C" w:rsidRPr="009A5CE9" w:rsidRDefault="00A70958" w:rsidP="009A5CE9">
      <w:pPr>
        <w:spacing w:after="0" w:line="360" w:lineRule="auto"/>
        <w:jc w:val="both"/>
        <w:rPr>
          <w:rFonts w:ascii="Arial" w:hAnsi="Arial" w:cs="Arial"/>
          <w:sz w:val="20"/>
        </w:rPr>
      </w:pPr>
      <w:r w:rsidRPr="009A5CE9">
        <w:rPr>
          <w:rFonts w:ascii="Arial" w:hAnsi="Arial" w:cs="Arial"/>
          <w:sz w:val="20"/>
        </w:rPr>
        <w:tab/>
      </w:r>
      <w:r w:rsidR="00663B4C" w:rsidRPr="009A5CE9">
        <w:rPr>
          <w:rFonts w:ascii="Arial" w:hAnsi="Arial" w:cs="Arial"/>
          <w:sz w:val="20"/>
        </w:rPr>
        <w:t>Overall, the distribution of live births provides valuable insights into population dynamics, regional disparities, and healthcare performance in Ahilyanagar district. These findings underscore the need for targeted maternal and child health interventions in low-performing tahsils and continued monitoring of sex-ratio trends to ensure equitable and inclusive demographic development.</w:t>
      </w:r>
    </w:p>
    <w:p w14:paraId="17460CC2" w14:textId="77777777" w:rsidR="00663B4C" w:rsidRPr="009A5CE9" w:rsidRDefault="00663B4C" w:rsidP="009A5CE9">
      <w:pPr>
        <w:spacing w:after="0" w:line="360" w:lineRule="auto"/>
        <w:jc w:val="center"/>
        <w:rPr>
          <w:rFonts w:ascii="Arial" w:hAnsi="Arial" w:cs="Arial"/>
          <w:sz w:val="20"/>
        </w:rPr>
      </w:pPr>
    </w:p>
    <w:p w14:paraId="35F94B40" w14:textId="073BAC1A" w:rsidR="00663B4C" w:rsidRPr="009A5CE9" w:rsidRDefault="00663B4C" w:rsidP="009A5CE9">
      <w:pPr>
        <w:spacing w:after="0" w:line="360" w:lineRule="auto"/>
        <w:jc w:val="center"/>
        <w:rPr>
          <w:rFonts w:ascii="Arial" w:hAnsi="Arial" w:cs="Arial"/>
          <w:sz w:val="20"/>
        </w:rPr>
      </w:pPr>
      <w:r w:rsidRPr="009A5CE9">
        <w:rPr>
          <w:rFonts w:ascii="Arial" w:hAnsi="Arial" w:cs="Arial"/>
          <w:b/>
          <w:bCs/>
          <w:sz w:val="20"/>
        </w:rPr>
        <w:t>Table 2: Tahsil-wise Distribution of Total Deaths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409"/>
        <w:gridCol w:w="2851"/>
      </w:tblGrid>
      <w:tr w:rsidR="009A5CE9" w:rsidRPr="009A5CE9" w14:paraId="3905D978" w14:textId="77777777" w:rsidTr="006F0C87">
        <w:trPr>
          <w:trHeight w:val="458"/>
        </w:trPr>
        <w:tc>
          <w:tcPr>
            <w:tcW w:w="974" w:type="pct"/>
            <w:vMerge w:val="restart"/>
            <w:shd w:val="clear" w:color="auto" w:fill="auto"/>
            <w:vAlign w:val="center"/>
            <w:hideMark/>
          </w:tcPr>
          <w:p w14:paraId="37C8A05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445" w:type="pct"/>
            <w:vMerge w:val="restart"/>
            <w:shd w:val="clear" w:color="auto" w:fill="auto"/>
            <w:vAlign w:val="center"/>
            <w:hideMark/>
          </w:tcPr>
          <w:p w14:paraId="26BC8F30"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1581" w:type="pct"/>
            <w:vMerge w:val="restart"/>
            <w:shd w:val="clear" w:color="auto" w:fill="auto"/>
            <w:vAlign w:val="center"/>
            <w:hideMark/>
          </w:tcPr>
          <w:p w14:paraId="2ACDECE5"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 No. of Deaths</w:t>
            </w:r>
          </w:p>
        </w:tc>
      </w:tr>
      <w:tr w:rsidR="009A5CE9" w:rsidRPr="009A5CE9" w14:paraId="0361DE72" w14:textId="77777777" w:rsidTr="009A5CE9">
        <w:trPr>
          <w:trHeight w:val="450"/>
        </w:trPr>
        <w:tc>
          <w:tcPr>
            <w:tcW w:w="974" w:type="pct"/>
            <w:vMerge/>
            <w:vAlign w:val="center"/>
            <w:hideMark/>
          </w:tcPr>
          <w:p w14:paraId="3074A6FD" w14:textId="77777777" w:rsidR="00663B4C" w:rsidRPr="009A5CE9" w:rsidRDefault="00663B4C" w:rsidP="009A5CE9">
            <w:pPr>
              <w:spacing w:after="0" w:line="360" w:lineRule="auto"/>
              <w:rPr>
                <w:rFonts w:ascii="Arial" w:eastAsia="Times New Roman" w:hAnsi="Arial" w:cs="Arial"/>
                <w:b/>
                <w:bCs/>
                <w:sz w:val="20"/>
              </w:rPr>
            </w:pPr>
          </w:p>
        </w:tc>
        <w:tc>
          <w:tcPr>
            <w:tcW w:w="2445" w:type="pct"/>
            <w:vMerge/>
            <w:vAlign w:val="center"/>
            <w:hideMark/>
          </w:tcPr>
          <w:p w14:paraId="0636FBF3" w14:textId="77777777" w:rsidR="00663B4C" w:rsidRPr="009A5CE9" w:rsidRDefault="00663B4C" w:rsidP="009A5CE9">
            <w:pPr>
              <w:spacing w:after="0" w:line="360" w:lineRule="auto"/>
              <w:rPr>
                <w:rFonts w:ascii="Arial" w:eastAsia="Times New Roman" w:hAnsi="Arial" w:cs="Arial"/>
                <w:b/>
                <w:bCs/>
                <w:sz w:val="20"/>
              </w:rPr>
            </w:pPr>
          </w:p>
        </w:tc>
        <w:tc>
          <w:tcPr>
            <w:tcW w:w="1581" w:type="pct"/>
            <w:vMerge/>
            <w:vAlign w:val="center"/>
            <w:hideMark/>
          </w:tcPr>
          <w:p w14:paraId="066C4A0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55C9570C" w14:textId="77777777" w:rsidTr="006F0C87">
        <w:trPr>
          <w:trHeight w:val="315"/>
        </w:trPr>
        <w:tc>
          <w:tcPr>
            <w:tcW w:w="974" w:type="pct"/>
            <w:shd w:val="clear" w:color="auto" w:fill="auto"/>
            <w:vAlign w:val="center"/>
            <w:hideMark/>
          </w:tcPr>
          <w:p w14:paraId="5C9F695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445" w:type="pct"/>
            <w:shd w:val="clear" w:color="auto" w:fill="auto"/>
            <w:vAlign w:val="center"/>
            <w:hideMark/>
          </w:tcPr>
          <w:p w14:paraId="6A993C1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1581" w:type="pct"/>
            <w:shd w:val="clear" w:color="auto" w:fill="auto"/>
            <w:vAlign w:val="bottom"/>
            <w:hideMark/>
          </w:tcPr>
          <w:p w14:paraId="13A255F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902</w:t>
            </w:r>
          </w:p>
        </w:tc>
      </w:tr>
      <w:tr w:rsidR="009A5CE9" w:rsidRPr="009A5CE9" w14:paraId="69B4A5CC" w14:textId="77777777" w:rsidTr="006F0C87">
        <w:trPr>
          <w:trHeight w:val="315"/>
        </w:trPr>
        <w:tc>
          <w:tcPr>
            <w:tcW w:w="974" w:type="pct"/>
            <w:shd w:val="clear" w:color="auto" w:fill="auto"/>
            <w:vAlign w:val="center"/>
            <w:hideMark/>
          </w:tcPr>
          <w:p w14:paraId="281D518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445" w:type="pct"/>
            <w:shd w:val="clear" w:color="auto" w:fill="auto"/>
            <w:vAlign w:val="center"/>
            <w:hideMark/>
          </w:tcPr>
          <w:p w14:paraId="07CDB70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1581" w:type="pct"/>
            <w:shd w:val="clear" w:color="auto" w:fill="auto"/>
            <w:vAlign w:val="bottom"/>
            <w:hideMark/>
          </w:tcPr>
          <w:p w14:paraId="79F291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2476</w:t>
            </w:r>
          </w:p>
        </w:tc>
      </w:tr>
      <w:tr w:rsidR="009A5CE9" w:rsidRPr="009A5CE9" w14:paraId="61E7253B" w14:textId="77777777" w:rsidTr="006F0C87">
        <w:trPr>
          <w:trHeight w:val="315"/>
        </w:trPr>
        <w:tc>
          <w:tcPr>
            <w:tcW w:w="974" w:type="pct"/>
            <w:shd w:val="clear" w:color="auto" w:fill="auto"/>
            <w:vAlign w:val="center"/>
            <w:hideMark/>
          </w:tcPr>
          <w:p w14:paraId="524974E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445" w:type="pct"/>
            <w:shd w:val="clear" w:color="auto" w:fill="auto"/>
            <w:vAlign w:val="center"/>
            <w:hideMark/>
          </w:tcPr>
          <w:p w14:paraId="67177E9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1581" w:type="pct"/>
            <w:shd w:val="clear" w:color="auto" w:fill="auto"/>
            <w:vAlign w:val="bottom"/>
            <w:hideMark/>
          </w:tcPr>
          <w:p w14:paraId="0B5F4BA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584</w:t>
            </w:r>
          </w:p>
        </w:tc>
      </w:tr>
      <w:tr w:rsidR="009A5CE9" w:rsidRPr="009A5CE9" w14:paraId="75C1B179" w14:textId="77777777" w:rsidTr="006F0C87">
        <w:trPr>
          <w:trHeight w:val="315"/>
        </w:trPr>
        <w:tc>
          <w:tcPr>
            <w:tcW w:w="974" w:type="pct"/>
            <w:shd w:val="clear" w:color="auto" w:fill="auto"/>
            <w:vAlign w:val="center"/>
            <w:hideMark/>
          </w:tcPr>
          <w:p w14:paraId="7B8C2C2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445" w:type="pct"/>
            <w:shd w:val="clear" w:color="auto" w:fill="auto"/>
            <w:vAlign w:val="center"/>
            <w:hideMark/>
          </w:tcPr>
          <w:p w14:paraId="4B87180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1581" w:type="pct"/>
            <w:shd w:val="clear" w:color="auto" w:fill="auto"/>
            <w:vAlign w:val="bottom"/>
            <w:hideMark/>
          </w:tcPr>
          <w:p w14:paraId="18B1BD8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101</w:t>
            </w:r>
          </w:p>
        </w:tc>
      </w:tr>
      <w:tr w:rsidR="009A5CE9" w:rsidRPr="009A5CE9" w14:paraId="472AB0B3" w14:textId="77777777" w:rsidTr="006F0C87">
        <w:trPr>
          <w:trHeight w:val="315"/>
        </w:trPr>
        <w:tc>
          <w:tcPr>
            <w:tcW w:w="974" w:type="pct"/>
            <w:shd w:val="clear" w:color="auto" w:fill="auto"/>
            <w:vAlign w:val="center"/>
            <w:hideMark/>
          </w:tcPr>
          <w:p w14:paraId="22C2545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445" w:type="pct"/>
            <w:shd w:val="clear" w:color="auto" w:fill="auto"/>
            <w:vAlign w:val="center"/>
            <w:hideMark/>
          </w:tcPr>
          <w:p w14:paraId="142A37F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1581" w:type="pct"/>
            <w:shd w:val="clear" w:color="auto" w:fill="auto"/>
            <w:vAlign w:val="bottom"/>
            <w:hideMark/>
          </w:tcPr>
          <w:p w14:paraId="32B0E4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525</w:t>
            </w:r>
          </w:p>
        </w:tc>
      </w:tr>
      <w:tr w:rsidR="009A5CE9" w:rsidRPr="009A5CE9" w14:paraId="5CD9E073" w14:textId="77777777" w:rsidTr="006F0C87">
        <w:trPr>
          <w:trHeight w:val="315"/>
        </w:trPr>
        <w:tc>
          <w:tcPr>
            <w:tcW w:w="974" w:type="pct"/>
            <w:shd w:val="clear" w:color="auto" w:fill="auto"/>
            <w:vAlign w:val="center"/>
            <w:hideMark/>
          </w:tcPr>
          <w:p w14:paraId="4BC9B04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445" w:type="pct"/>
            <w:shd w:val="clear" w:color="auto" w:fill="auto"/>
            <w:vAlign w:val="center"/>
            <w:hideMark/>
          </w:tcPr>
          <w:p w14:paraId="137C40D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1581" w:type="pct"/>
            <w:shd w:val="clear" w:color="auto" w:fill="auto"/>
            <w:vAlign w:val="bottom"/>
            <w:hideMark/>
          </w:tcPr>
          <w:p w14:paraId="20CFBED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730</w:t>
            </w:r>
          </w:p>
        </w:tc>
      </w:tr>
      <w:tr w:rsidR="009A5CE9" w:rsidRPr="009A5CE9" w14:paraId="36BE80B4" w14:textId="77777777" w:rsidTr="006F0C87">
        <w:trPr>
          <w:trHeight w:val="315"/>
        </w:trPr>
        <w:tc>
          <w:tcPr>
            <w:tcW w:w="974" w:type="pct"/>
            <w:shd w:val="clear" w:color="auto" w:fill="auto"/>
            <w:vAlign w:val="center"/>
            <w:hideMark/>
          </w:tcPr>
          <w:p w14:paraId="2D84968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445" w:type="pct"/>
            <w:shd w:val="clear" w:color="auto" w:fill="auto"/>
            <w:vAlign w:val="center"/>
            <w:hideMark/>
          </w:tcPr>
          <w:p w14:paraId="528EE74C"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1581" w:type="pct"/>
            <w:shd w:val="clear" w:color="auto" w:fill="auto"/>
            <w:vAlign w:val="bottom"/>
            <w:hideMark/>
          </w:tcPr>
          <w:p w14:paraId="4F4C21E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616</w:t>
            </w:r>
          </w:p>
        </w:tc>
      </w:tr>
      <w:tr w:rsidR="009A5CE9" w:rsidRPr="009A5CE9" w14:paraId="4AFB1E9C" w14:textId="77777777" w:rsidTr="006F0C87">
        <w:trPr>
          <w:trHeight w:val="315"/>
        </w:trPr>
        <w:tc>
          <w:tcPr>
            <w:tcW w:w="974" w:type="pct"/>
            <w:shd w:val="clear" w:color="auto" w:fill="auto"/>
            <w:vAlign w:val="center"/>
            <w:hideMark/>
          </w:tcPr>
          <w:p w14:paraId="455C39A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445" w:type="pct"/>
            <w:shd w:val="clear" w:color="auto" w:fill="auto"/>
            <w:vAlign w:val="center"/>
            <w:hideMark/>
          </w:tcPr>
          <w:p w14:paraId="7E1D9C3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1581" w:type="pct"/>
            <w:shd w:val="clear" w:color="auto" w:fill="auto"/>
            <w:vAlign w:val="bottom"/>
            <w:hideMark/>
          </w:tcPr>
          <w:p w14:paraId="50FE687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1090</w:t>
            </w:r>
          </w:p>
        </w:tc>
      </w:tr>
      <w:tr w:rsidR="009A5CE9" w:rsidRPr="009A5CE9" w14:paraId="1CD0DF78" w14:textId="77777777" w:rsidTr="006F0C87">
        <w:trPr>
          <w:trHeight w:val="315"/>
        </w:trPr>
        <w:tc>
          <w:tcPr>
            <w:tcW w:w="974" w:type="pct"/>
            <w:shd w:val="clear" w:color="auto" w:fill="auto"/>
            <w:vAlign w:val="center"/>
            <w:hideMark/>
          </w:tcPr>
          <w:p w14:paraId="1ED21E0A"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445" w:type="pct"/>
            <w:shd w:val="clear" w:color="auto" w:fill="auto"/>
            <w:vAlign w:val="center"/>
            <w:hideMark/>
          </w:tcPr>
          <w:p w14:paraId="7DD7378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1581" w:type="pct"/>
            <w:shd w:val="clear" w:color="auto" w:fill="auto"/>
            <w:vAlign w:val="bottom"/>
            <w:hideMark/>
          </w:tcPr>
          <w:p w14:paraId="447A245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2320</w:t>
            </w:r>
          </w:p>
        </w:tc>
      </w:tr>
      <w:tr w:rsidR="009A5CE9" w:rsidRPr="009A5CE9" w14:paraId="48AFFAB0" w14:textId="77777777" w:rsidTr="006F0C87">
        <w:trPr>
          <w:trHeight w:val="315"/>
        </w:trPr>
        <w:tc>
          <w:tcPr>
            <w:tcW w:w="974" w:type="pct"/>
            <w:shd w:val="clear" w:color="auto" w:fill="auto"/>
            <w:vAlign w:val="center"/>
            <w:hideMark/>
          </w:tcPr>
          <w:p w14:paraId="1419CB7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445" w:type="pct"/>
            <w:shd w:val="clear" w:color="auto" w:fill="auto"/>
            <w:vAlign w:val="center"/>
            <w:hideMark/>
          </w:tcPr>
          <w:p w14:paraId="3C9FA25F"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1581" w:type="pct"/>
            <w:shd w:val="clear" w:color="auto" w:fill="auto"/>
            <w:vAlign w:val="bottom"/>
            <w:hideMark/>
          </w:tcPr>
          <w:p w14:paraId="5324DFF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1698</w:t>
            </w:r>
          </w:p>
        </w:tc>
      </w:tr>
      <w:tr w:rsidR="009A5CE9" w:rsidRPr="009A5CE9" w14:paraId="3EC153D1" w14:textId="77777777" w:rsidTr="006F0C87">
        <w:trPr>
          <w:trHeight w:val="315"/>
        </w:trPr>
        <w:tc>
          <w:tcPr>
            <w:tcW w:w="974" w:type="pct"/>
            <w:shd w:val="clear" w:color="auto" w:fill="auto"/>
            <w:vAlign w:val="center"/>
            <w:hideMark/>
          </w:tcPr>
          <w:p w14:paraId="22311F7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2445" w:type="pct"/>
            <w:shd w:val="clear" w:color="auto" w:fill="auto"/>
            <w:vAlign w:val="center"/>
            <w:hideMark/>
          </w:tcPr>
          <w:p w14:paraId="5191A0F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1581" w:type="pct"/>
            <w:shd w:val="clear" w:color="auto" w:fill="auto"/>
            <w:vAlign w:val="bottom"/>
            <w:hideMark/>
          </w:tcPr>
          <w:p w14:paraId="5AD8805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571</w:t>
            </w:r>
          </w:p>
        </w:tc>
      </w:tr>
      <w:tr w:rsidR="009A5CE9" w:rsidRPr="009A5CE9" w14:paraId="2A333482" w14:textId="77777777" w:rsidTr="006F0C87">
        <w:trPr>
          <w:trHeight w:val="315"/>
        </w:trPr>
        <w:tc>
          <w:tcPr>
            <w:tcW w:w="974" w:type="pct"/>
            <w:shd w:val="clear" w:color="auto" w:fill="auto"/>
            <w:vAlign w:val="center"/>
            <w:hideMark/>
          </w:tcPr>
          <w:p w14:paraId="19B93F3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445" w:type="pct"/>
            <w:shd w:val="clear" w:color="auto" w:fill="auto"/>
            <w:vAlign w:val="center"/>
            <w:hideMark/>
          </w:tcPr>
          <w:p w14:paraId="72BABCA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1581" w:type="pct"/>
            <w:shd w:val="clear" w:color="auto" w:fill="auto"/>
            <w:vAlign w:val="bottom"/>
            <w:hideMark/>
          </w:tcPr>
          <w:p w14:paraId="00E3474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922</w:t>
            </w:r>
          </w:p>
        </w:tc>
      </w:tr>
      <w:tr w:rsidR="009A5CE9" w:rsidRPr="009A5CE9" w14:paraId="04EBA4D0" w14:textId="77777777" w:rsidTr="006F0C87">
        <w:trPr>
          <w:trHeight w:val="315"/>
        </w:trPr>
        <w:tc>
          <w:tcPr>
            <w:tcW w:w="974" w:type="pct"/>
            <w:shd w:val="clear" w:color="auto" w:fill="auto"/>
            <w:vAlign w:val="center"/>
            <w:hideMark/>
          </w:tcPr>
          <w:p w14:paraId="0972296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2445" w:type="pct"/>
            <w:shd w:val="clear" w:color="auto" w:fill="auto"/>
            <w:vAlign w:val="center"/>
            <w:hideMark/>
          </w:tcPr>
          <w:p w14:paraId="7BAB596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1581" w:type="pct"/>
            <w:shd w:val="clear" w:color="auto" w:fill="auto"/>
            <w:vAlign w:val="bottom"/>
            <w:hideMark/>
          </w:tcPr>
          <w:p w14:paraId="7790B13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888</w:t>
            </w:r>
          </w:p>
        </w:tc>
      </w:tr>
      <w:tr w:rsidR="009A5CE9" w:rsidRPr="009A5CE9" w14:paraId="2D2CE178" w14:textId="77777777" w:rsidTr="006F0C87">
        <w:trPr>
          <w:trHeight w:val="315"/>
        </w:trPr>
        <w:tc>
          <w:tcPr>
            <w:tcW w:w="974" w:type="pct"/>
            <w:shd w:val="clear" w:color="auto" w:fill="auto"/>
            <w:vAlign w:val="center"/>
            <w:hideMark/>
          </w:tcPr>
          <w:p w14:paraId="5F1E6F97"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445" w:type="pct"/>
            <w:shd w:val="clear" w:color="auto" w:fill="auto"/>
            <w:vAlign w:val="center"/>
            <w:hideMark/>
          </w:tcPr>
          <w:p w14:paraId="2DABDE4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1581" w:type="pct"/>
            <w:shd w:val="clear" w:color="auto" w:fill="auto"/>
            <w:vAlign w:val="bottom"/>
            <w:hideMark/>
          </w:tcPr>
          <w:p w14:paraId="357A3AC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534</w:t>
            </w:r>
          </w:p>
        </w:tc>
      </w:tr>
      <w:tr w:rsidR="009A5CE9" w:rsidRPr="009A5CE9" w14:paraId="51BBDD1E" w14:textId="77777777" w:rsidTr="006F0C87">
        <w:trPr>
          <w:trHeight w:val="315"/>
        </w:trPr>
        <w:tc>
          <w:tcPr>
            <w:tcW w:w="3419" w:type="pct"/>
            <w:gridSpan w:val="2"/>
            <w:shd w:val="clear" w:color="auto" w:fill="auto"/>
            <w:vAlign w:val="bottom"/>
            <w:hideMark/>
          </w:tcPr>
          <w:p w14:paraId="2DD28CE4"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lastRenderedPageBreak/>
              <w:t>Total</w:t>
            </w:r>
          </w:p>
        </w:tc>
        <w:tc>
          <w:tcPr>
            <w:tcW w:w="1581" w:type="pct"/>
            <w:shd w:val="clear" w:color="auto" w:fill="auto"/>
            <w:vAlign w:val="bottom"/>
            <w:hideMark/>
          </w:tcPr>
          <w:p w14:paraId="0173C792"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13957</w:t>
            </w:r>
          </w:p>
        </w:tc>
      </w:tr>
      <w:tr w:rsidR="009A5CE9" w:rsidRPr="009A5CE9" w14:paraId="37717EE7" w14:textId="77777777" w:rsidTr="006F0C87">
        <w:trPr>
          <w:trHeight w:val="315"/>
        </w:trPr>
        <w:tc>
          <w:tcPr>
            <w:tcW w:w="5000" w:type="pct"/>
            <w:gridSpan w:val="3"/>
            <w:shd w:val="clear" w:color="auto" w:fill="auto"/>
            <w:vAlign w:val="bottom"/>
          </w:tcPr>
          <w:p w14:paraId="2F1EA0C4"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450A4E7A"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02AA7173" w14:textId="63250758"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The total number of recorded deaths in Ahilyanagar district for 2025 is 13,957, with noticeable variation across tahsils. Sangamner (2,476 deaths) and Nagar (2,320 deaths) account for the highest mortality figures, together contributing over 34% of the district’s total deaths. Their larger populations, higher density, and greater inflow of patients from surrounding rural areas likely influence these numbers. Rahuri (1,698 deaths) and Pathardi (1,090 deaths) also exhibit elevated mortality, suggesting possible gaps in healthcare access, disease burden, or socio-economic vulnerabilities.</w:t>
      </w:r>
    </w:p>
    <w:p w14:paraId="5FCEFE46" w14:textId="6E92D852"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 xml:space="preserve">On the other hand, tahsils such as Rahata (101 deaths) and Kopargaon (584 deaths) report relatively low mortality. This may reflect better healthcare infrastructure, improved emergency response systems, </w:t>
      </w:r>
      <w:r w:rsidRPr="00615E1E">
        <w:rPr>
          <w:rFonts w:ascii="Arial" w:hAnsi="Arial" w:cs="Arial"/>
          <w:sz w:val="20"/>
          <w:highlight w:val="yellow"/>
        </w:rPr>
        <w:t xml:space="preserve">or </w:t>
      </w:r>
      <w:r w:rsidR="00D32F46" w:rsidRPr="00615E1E">
        <w:rPr>
          <w:rFonts w:ascii="Arial" w:hAnsi="Arial" w:cs="Arial"/>
          <w:sz w:val="20"/>
          <w:highlight w:val="yellow"/>
        </w:rPr>
        <w:t xml:space="preserve">a </w:t>
      </w:r>
      <w:r w:rsidRPr="00615E1E">
        <w:rPr>
          <w:rFonts w:ascii="Arial" w:hAnsi="Arial" w:cs="Arial"/>
          <w:sz w:val="20"/>
          <w:highlight w:val="yellow"/>
        </w:rPr>
        <w:t xml:space="preserve">smaller </w:t>
      </w:r>
      <w:r w:rsidRPr="009A5CE9">
        <w:rPr>
          <w:rFonts w:ascii="Arial" w:hAnsi="Arial" w:cs="Arial"/>
          <w:sz w:val="20"/>
        </w:rPr>
        <w:t>population size. Shrirampur (525 deaths) and Jamkhed (534 deaths) also fall on the lower end but may require further investigation to determine whether these low numbers represent genuine demographic outcomes or underreporting.</w:t>
      </w:r>
    </w:p>
    <w:p w14:paraId="22FDB7CC" w14:textId="6AE08B88"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 xml:space="preserve">The data reveal a broad pattern of spatial inequality in health outcomes across the district. Tahsils with higher death counts often correspond to regions with large populations, dispersed rural settlements, or limited access to </w:t>
      </w:r>
      <w:proofErr w:type="spellStart"/>
      <w:r w:rsidR="00D32F46" w:rsidRPr="00615E1E">
        <w:rPr>
          <w:rFonts w:ascii="Arial" w:hAnsi="Arial" w:cs="Arial"/>
          <w:sz w:val="20"/>
          <w:highlight w:val="yellow"/>
        </w:rPr>
        <w:t>specialised</w:t>
      </w:r>
      <w:proofErr w:type="spellEnd"/>
      <w:r w:rsidR="00D32F46" w:rsidRPr="00615E1E">
        <w:rPr>
          <w:rFonts w:ascii="Arial" w:hAnsi="Arial" w:cs="Arial"/>
          <w:sz w:val="20"/>
          <w:highlight w:val="yellow"/>
        </w:rPr>
        <w:t xml:space="preserve"> </w:t>
      </w:r>
      <w:r w:rsidRPr="00615E1E">
        <w:rPr>
          <w:rFonts w:ascii="Arial" w:hAnsi="Arial" w:cs="Arial"/>
          <w:sz w:val="20"/>
          <w:highlight w:val="yellow"/>
        </w:rPr>
        <w:t xml:space="preserve">medical </w:t>
      </w:r>
      <w:r w:rsidRPr="009A5CE9">
        <w:rPr>
          <w:rFonts w:ascii="Arial" w:hAnsi="Arial" w:cs="Arial"/>
          <w:sz w:val="20"/>
        </w:rPr>
        <w:t>services. These findings underline the need for targeted health interventions, such as strengthening primary healthcare centres, improving referral systems, and enhancing disease surveillance in high-mortality regions.</w:t>
      </w:r>
    </w:p>
    <w:p w14:paraId="7A80DAF5" w14:textId="2F8DEBE8"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Overall, the analysis of death distribution provides important insights into local health conditions and highlights priority areas where health policies and resources must be strategically directed to reduce preventable mortality and promote equitable health outcomes across Ahilyanagar district.</w:t>
      </w:r>
    </w:p>
    <w:p w14:paraId="181E42EE" w14:textId="77777777" w:rsidR="00663B4C" w:rsidRPr="009A5CE9" w:rsidRDefault="00663B4C" w:rsidP="009A5CE9">
      <w:pPr>
        <w:spacing w:after="0" w:line="360" w:lineRule="auto"/>
        <w:rPr>
          <w:rFonts w:ascii="Arial" w:hAnsi="Arial" w:cs="Arial"/>
          <w:sz w:val="20"/>
        </w:rPr>
      </w:pPr>
    </w:p>
    <w:p w14:paraId="5BFA6439"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3: Tahsil-wise Distribution of Child Deaths (Age 0–5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854"/>
        <w:gridCol w:w="3630"/>
      </w:tblGrid>
      <w:tr w:rsidR="009A5CE9" w:rsidRPr="009A5CE9" w14:paraId="2621A227" w14:textId="77777777" w:rsidTr="00A70958">
        <w:trPr>
          <w:trHeight w:val="458"/>
        </w:trPr>
        <w:tc>
          <w:tcPr>
            <w:tcW w:w="850" w:type="pct"/>
            <w:vMerge w:val="restart"/>
            <w:shd w:val="clear" w:color="auto" w:fill="auto"/>
            <w:vAlign w:val="center"/>
            <w:hideMark/>
          </w:tcPr>
          <w:p w14:paraId="2FE3CEA7"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137" w:type="pct"/>
            <w:vMerge w:val="restart"/>
            <w:shd w:val="clear" w:color="auto" w:fill="auto"/>
            <w:vAlign w:val="center"/>
            <w:hideMark/>
          </w:tcPr>
          <w:p w14:paraId="517B9E61"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013" w:type="pct"/>
            <w:vMerge w:val="restart"/>
            <w:shd w:val="clear" w:color="auto" w:fill="auto"/>
            <w:vAlign w:val="center"/>
            <w:hideMark/>
          </w:tcPr>
          <w:p w14:paraId="0E77D48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 No. of Child Deaths (Age 0 to 5 Years)</w:t>
            </w:r>
          </w:p>
        </w:tc>
      </w:tr>
      <w:tr w:rsidR="009A5CE9" w:rsidRPr="009A5CE9" w14:paraId="3EA4A914" w14:textId="77777777" w:rsidTr="00A70958">
        <w:trPr>
          <w:trHeight w:val="585"/>
        </w:trPr>
        <w:tc>
          <w:tcPr>
            <w:tcW w:w="850" w:type="pct"/>
            <w:vMerge/>
            <w:vAlign w:val="center"/>
            <w:hideMark/>
          </w:tcPr>
          <w:p w14:paraId="73567AD8" w14:textId="77777777" w:rsidR="00663B4C" w:rsidRPr="009A5CE9" w:rsidRDefault="00663B4C" w:rsidP="009A5CE9">
            <w:pPr>
              <w:spacing w:after="0" w:line="360" w:lineRule="auto"/>
              <w:rPr>
                <w:rFonts w:ascii="Arial" w:eastAsia="Times New Roman" w:hAnsi="Arial" w:cs="Arial"/>
                <w:b/>
                <w:bCs/>
                <w:sz w:val="20"/>
              </w:rPr>
            </w:pPr>
          </w:p>
        </w:tc>
        <w:tc>
          <w:tcPr>
            <w:tcW w:w="2137" w:type="pct"/>
            <w:vMerge/>
            <w:vAlign w:val="center"/>
            <w:hideMark/>
          </w:tcPr>
          <w:p w14:paraId="57B3B803" w14:textId="77777777" w:rsidR="00663B4C" w:rsidRPr="009A5CE9" w:rsidRDefault="00663B4C" w:rsidP="009A5CE9">
            <w:pPr>
              <w:spacing w:after="0" w:line="360" w:lineRule="auto"/>
              <w:rPr>
                <w:rFonts w:ascii="Arial" w:eastAsia="Times New Roman" w:hAnsi="Arial" w:cs="Arial"/>
                <w:b/>
                <w:bCs/>
                <w:sz w:val="20"/>
              </w:rPr>
            </w:pPr>
          </w:p>
        </w:tc>
        <w:tc>
          <w:tcPr>
            <w:tcW w:w="2013" w:type="pct"/>
            <w:vMerge/>
            <w:vAlign w:val="center"/>
            <w:hideMark/>
          </w:tcPr>
          <w:p w14:paraId="24A73B8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7B9EDB15" w14:textId="77777777" w:rsidTr="00A70958">
        <w:trPr>
          <w:trHeight w:val="315"/>
        </w:trPr>
        <w:tc>
          <w:tcPr>
            <w:tcW w:w="850" w:type="pct"/>
            <w:shd w:val="clear" w:color="auto" w:fill="auto"/>
            <w:vAlign w:val="center"/>
            <w:hideMark/>
          </w:tcPr>
          <w:p w14:paraId="4DF72CB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137" w:type="pct"/>
            <w:shd w:val="clear" w:color="auto" w:fill="auto"/>
            <w:vAlign w:val="center"/>
            <w:hideMark/>
          </w:tcPr>
          <w:p w14:paraId="1E7B817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2013" w:type="pct"/>
            <w:shd w:val="clear" w:color="auto" w:fill="auto"/>
            <w:vAlign w:val="bottom"/>
            <w:hideMark/>
          </w:tcPr>
          <w:p w14:paraId="0323487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241EE0E5" w14:textId="77777777" w:rsidTr="00A70958">
        <w:trPr>
          <w:trHeight w:val="315"/>
        </w:trPr>
        <w:tc>
          <w:tcPr>
            <w:tcW w:w="850" w:type="pct"/>
            <w:shd w:val="clear" w:color="auto" w:fill="auto"/>
            <w:vAlign w:val="center"/>
            <w:hideMark/>
          </w:tcPr>
          <w:p w14:paraId="1847B22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137" w:type="pct"/>
            <w:shd w:val="clear" w:color="auto" w:fill="auto"/>
            <w:vAlign w:val="center"/>
            <w:hideMark/>
          </w:tcPr>
          <w:p w14:paraId="1189BCB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2013" w:type="pct"/>
            <w:shd w:val="clear" w:color="auto" w:fill="auto"/>
            <w:vAlign w:val="bottom"/>
            <w:hideMark/>
          </w:tcPr>
          <w:p w14:paraId="6C195D5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77</w:t>
            </w:r>
          </w:p>
        </w:tc>
      </w:tr>
      <w:tr w:rsidR="009A5CE9" w:rsidRPr="009A5CE9" w14:paraId="0F1A2C45" w14:textId="77777777" w:rsidTr="00A70958">
        <w:trPr>
          <w:trHeight w:val="315"/>
        </w:trPr>
        <w:tc>
          <w:tcPr>
            <w:tcW w:w="850" w:type="pct"/>
            <w:shd w:val="clear" w:color="auto" w:fill="auto"/>
            <w:vAlign w:val="center"/>
            <w:hideMark/>
          </w:tcPr>
          <w:p w14:paraId="4FA688A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137" w:type="pct"/>
            <w:shd w:val="clear" w:color="auto" w:fill="auto"/>
            <w:vAlign w:val="center"/>
            <w:hideMark/>
          </w:tcPr>
          <w:p w14:paraId="42D487B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2013" w:type="pct"/>
            <w:shd w:val="clear" w:color="auto" w:fill="auto"/>
            <w:vAlign w:val="bottom"/>
            <w:hideMark/>
          </w:tcPr>
          <w:p w14:paraId="6E6761A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37</w:t>
            </w:r>
          </w:p>
        </w:tc>
      </w:tr>
      <w:tr w:rsidR="009A5CE9" w:rsidRPr="009A5CE9" w14:paraId="31912F44" w14:textId="77777777" w:rsidTr="00A70958">
        <w:trPr>
          <w:trHeight w:val="315"/>
        </w:trPr>
        <w:tc>
          <w:tcPr>
            <w:tcW w:w="850" w:type="pct"/>
            <w:shd w:val="clear" w:color="auto" w:fill="auto"/>
            <w:vAlign w:val="center"/>
            <w:hideMark/>
          </w:tcPr>
          <w:p w14:paraId="7A211C6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137" w:type="pct"/>
            <w:shd w:val="clear" w:color="auto" w:fill="auto"/>
            <w:vAlign w:val="center"/>
            <w:hideMark/>
          </w:tcPr>
          <w:p w14:paraId="634C2E6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2013" w:type="pct"/>
            <w:shd w:val="clear" w:color="auto" w:fill="auto"/>
            <w:vAlign w:val="bottom"/>
            <w:hideMark/>
          </w:tcPr>
          <w:p w14:paraId="7C9D173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50</w:t>
            </w:r>
          </w:p>
        </w:tc>
      </w:tr>
      <w:tr w:rsidR="009A5CE9" w:rsidRPr="009A5CE9" w14:paraId="4D70FF93" w14:textId="77777777" w:rsidTr="00A70958">
        <w:trPr>
          <w:trHeight w:val="315"/>
        </w:trPr>
        <w:tc>
          <w:tcPr>
            <w:tcW w:w="850" w:type="pct"/>
            <w:shd w:val="clear" w:color="auto" w:fill="auto"/>
            <w:vAlign w:val="center"/>
            <w:hideMark/>
          </w:tcPr>
          <w:p w14:paraId="29CF0ED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137" w:type="pct"/>
            <w:shd w:val="clear" w:color="auto" w:fill="auto"/>
            <w:vAlign w:val="center"/>
            <w:hideMark/>
          </w:tcPr>
          <w:p w14:paraId="0779C88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2013" w:type="pct"/>
            <w:shd w:val="clear" w:color="auto" w:fill="auto"/>
            <w:vAlign w:val="bottom"/>
            <w:hideMark/>
          </w:tcPr>
          <w:p w14:paraId="660E4B7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w:t>
            </w:r>
          </w:p>
        </w:tc>
      </w:tr>
      <w:tr w:rsidR="009A5CE9" w:rsidRPr="009A5CE9" w14:paraId="428B30E2" w14:textId="77777777" w:rsidTr="00A70958">
        <w:trPr>
          <w:trHeight w:val="315"/>
        </w:trPr>
        <w:tc>
          <w:tcPr>
            <w:tcW w:w="850" w:type="pct"/>
            <w:shd w:val="clear" w:color="auto" w:fill="auto"/>
            <w:vAlign w:val="center"/>
            <w:hideMark/>
          </w:tcPr>
          <w:p w14:paraId="030975D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137" w:type="pct"/>
            <w:shd w:val="clear" w:color="auto" w:fill="auto"/>
            <w:vAlign w:val="center"/>
            <w:hideMark/>
          </w:tcPr>
          <w:p w14:paraId="1CFB290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2013" w:type="pct"/>
            <w:shd w:val="clear" w:color="auto" w:fill="auto"/>
            <w:vAlign w:val="bottom"/>
            <w:hideMark/>
          </w:tcPr>
          <w:p w14:paraId="6A61BC8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64</w:t>
            </w:r>
          </w:p>
        </w:tc>
      </w:tr>
      <w:tr w:rsidR="009A5CE9" w:rsidRPr="009A5CE9" w14:paraId="3DAA9D69" w14:textId="77777777" w:rsidTr="00A70958">
        <w:trPr>
          <w:trHeight w:val="315"/>
        </w:trPr>
        <w:tc>
          <w:tcPr>
            <w:tcW w:w="850" w:type="pct"/>
            <w:shd w:val="clear" w:color="auto" w:fill="auto"/>
            <w:vAlign w:val="center"/>
            <w:hideMark/>
          </w:tcPr>
          <w:p w14:paraId="70DF28C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137" w:type="pct"/>
            <w:shd w:val="clear" w:color="auto" w:fill="auto"/>
            <w:vAlign w:val="center"/>
            <w:hideMark/>
          </w:tcPr>
          <w:p w14:paraId="3C2BB8C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2013" w:type="pct"/>
            <w:shd w:val="clear" w:color="auto" w:fill="auto"/>
            <w:vAlign w:val="bottom"/>
            <w:hideMark/>
          </w:tcPr>
          <w:p w14:paraId="745D62F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0D24843D" w14:textId="77777777" w:rsidTr="00A70958">
        <w:trPr>
          <w:trHeight w:val="315"/>
        </w:trPr>
        <w:tc>
          <w:tcPr>
            <w:tcW w:w="850" w:type="pct"/>
            <w:shd w:val="clear" w:color="auto" w:fill="auto"/>
            <w:vAlign w:val="center"/>
            <w:hideMark/>
          </w:tcPr>
          <w:p w14:paraId="55658C6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137" w:type="pct"/>
            <w:shd w:val="clear" w:color="auto" w:fill="auto"/>
            <w:vAlign w:val="center"/>
            <w:hideMark/>
          </w:tcPr>
          <w:p w14:paraId="33C81B4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2013" w:type="pct"/>
            <w:shd w:val="clear" w:color="auto" w:fill="auto"/>
            <w:vAlign w:val="bottom"/>
            <w:hideMark/>
          </w:tcPr>
          <w:p w14:paraId="1ECBD7D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29</w:t>
            </w:r>
          </w:p>
        </w:tc>
      </w:tr>
      <w:tr w:rsidR="009A5CE9" w:rsidRPr="009A5CE9" w14:paraId="5A267739" w14:textId="77777777" w:rsidTr="00A70958">
        <w:trPr>
          <w:trHeight w:val="315"/>
        </w:trPr>
        <w:tc>
          <w:tcPr>
            <w:tcW w:w="850" w:type="pct"/>
            <w:shd w:val="clear" w:color="auto" w:fill="auto"/>
            <w:vAlign w:val="center"/>
            <w:hideMark/>
          </w:tcPr>
          <w:p w14:paraId="4CF1DAE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137" w:type="pct"/>
            <w:shd w:val="clear" w:color="auto" w:fill="auto"/>
            <w:vAlign w:val="center"/>
            <w:hideMark/>
          </w:tcPr>
          <w:p w14:paraId="7568638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2013" w:type="pct"/>
            <w:shd w:val="clear" w:color="auto" w:fill="auto"/>
            <w:vAlign w:val="bottom"/>
            <w:hideMark/>
          </w:tcPr>
          <w:p w14:paraId="40BE288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55</w:t>
            </w:r>
          </w:p>
        </w:tc>
      </w:tr>
      <w:tr w:rsidR="009A5CE9" w:rsidRPr="009A5CE9" w14:paraId="0B3BD276" w14:textId="77777777" w:rsidTr="00A70958">
        <w:trPr>
          <w:trHeight w:val="315"/>
        </w:trPr>
        <w:tc>
          <w:tcPr>
            <w:tcW w:w="850" w:type="pct"/>
            <w:shd w:val="clear" w:color="auto" w:fill="auto"/>
            <w:vAlign w:val="center"/>
            <w:hideMark/>
          </w:tcPr>
          <w:p w14:paraId="10B8A2E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137" w:type="pct"/>
            <w:shd w:val="clear" w:color="auto" w:fill="auto"/>
            <w:vAlign w:val="center"/>
            <w:hideMark/>
          </w:tcPr>
          <w:p w14:paraId="164EE9B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2013" w:type="pct"/>
            <w:shd w:val="clear" w:color="auto" w:fill="auto"/>
            <w:vAlign w:val="bottom"/>
            <w:hideMark/>
          </w:tcPr>
          <w:p w14:paraId="6C68CAE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43</w:t>
            </w:r>
          </w:p>
        </w:tc>
      </w:tr>
      <w:tr w:rsidR="009A5CE9" w:rsidRPr="009A5CE9" w14:paraId="195F2DA3" w14:textId="77777777" w:rsidTr="00A70958">
        <w:trPr>
          <w:trHeight w:val="315"/>
        </w:trPr>
        <w:tc>
          <w:tcPr>
            <w:tcW w:w="850" w:type="pct"/>
            <w:shd w:val="clear" w:color="auto" w:fill="auto"/>
            <w:vAlign w:val="center"/>
            <w:hideMark/>
          </w:tcPr>
          <w:p w14:paraId="1105BFA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2137" w:type="pct"/>
            <w:shd w:val="clear" w:color="auto" w:fill="auto"/>
            <w:vAlign w:val="center"/>
            <w:hideMark/>
          </w:tcPr>
          <w:p w14:paraId="24971C4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2013" w:type="pct"/>
            <w:shd w:val="clear" w:color="auto" w:fill="auto"/>
            <w:vAlign w:val="bottom"/>
            <w:hideMark/>
          </w:tcPr>
          <w:p w14:paraId="54248DC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58</w:t>
            </w:r>
          </w:p>
        </w:tc>
      </w:tr>
      <w:tr w:rsidR="009A5CE9" w:rsidRPr="009A5CE9" w14:paraId="6962BEC8" w14:textId="77777777" w:rsidTr="00A70958">
        <w:trPr>
          <w:trHeight w:val="315"/>
        </w:trPr>
        <w:tc>
          <w:tcPr>
            <w:tcW w:w="850" w:type="pct"/>
            <w:shd w:val="clear" w:color="auto" w:fill="auto"/>
            <w:vAlign w:val="center"/>
            <w:hideMark/>
          </w:tcPr>
          <w:p w14:paraId="736677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137" w:type="pct"/>
            <w:shd w:val="clear" w:color="auto" w:fill="auto"/>
            <w:vAlign w:val="center"/>
            <w:hideMark/>
          </w:tcPr>
          <w:p w14:paraId="3D0C905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2013" w:type="pct"/>
            <w:shd w:val="clear" w:color="auto" w:fill="auto"/>
            <w:vAlign w:val="bottom"/>
            <w:hideMark/>
          </w:tcPr>
          <w:p w14:paraId="260A04B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02CE37EE" w14:textId="77777777" w:rsidTr="00A70958">
        <w:trPr>
          <w:trHeight w:val="315"/>
        </w:trPr>
        <w:tc>
          <w:tcPr>
            <w:tcW w:w="850" w:type="pct"/>
            <w:shd w:val="clear" w:color="auto" w:fill="auto"/>
            <w:vAlign w:val="center"/>
            <w:hideMark/>
          </w:tcPr>
          <w:p w14:paraId="0C3DFF9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lastRenderedPageBreak/>
              <w:t>13</w:t>
            </w:r>
          </w:p>
        </w:tc>
        <w:tc>
          <w:tcPr>
            <w:tcW w:w="2137" w:type="pct"/>
            <w:shd w:val="clear" w:color="auto" w:fill="auto"/>
            <w:vAlign w:val="center"/>
            <w:hideMark/>
          </w:tcPr>
          <w:p w14:paraId="4183CE4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2013" w:type="pct"/>
            <w:shd w:val="clear" w:color="auto" w:fill="auto"/>
            <w:vAlign w:val="bottom"/>
            <w:hideMark/>
          </w:tcPr>
          <w:p w14:paraId="788E368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1F53D363" w14:textId="77777777" w:rsidTr="00A70958">
        <w:trPr>
          <w:trHeight w:val="315"/>
        </w:trPr>
        <w:tc>
          <w:tcPr>
            <w:tcW w:w="850" w:type="pct"/>
            <w:shd w:val="clear" w:color="auto" w:fill="auto"/>
            <w:vAlign w:val="center"/>
            <w:hideMark/>
          </w:tcPr>
          <w:p w14:paraId="3C444E2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137" w:type="pct"/>
            <w:shd w:val="clear" w:color="auto" w:fill="auto"/>
            <w:vAlign w:val="center"/>
            <w:hideMark/>
          </w:tcPr>
          <w:p w14:paraId="2376D37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2013" w:type="pct"/>
            <w:shd w:val="clear" w:color="auto" w:fill="auto"/>
            <w:vAlign w:val="bottom"/>
            <w:hideMark/>
          </w:tcPr>
          <w:p w14:paraId="209C181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w:t>
            </w:r>
          </w:p>
        </w:tc>
      </w:tr>
      <w:tr w:rsidR="009A5CE9" w:rsidRPr="009A5CE9" w14:paraId="42A8E7CC" w14:textId="77777777" w:rsidTr="00A70958">
        <w:trPr>
          <w:trHeight w:val="315"/>
        </w:trPr>
        <w:tc>
          <w:tcPr>
            <w:tcW w:w="2987" w:type="pct"/>
            <w:gridSpan w:val="2"/>
            <w:shd w:val="clear" w:color="auto" w:fill="auto"/>
            <w:vAlign w:val="bottom"/>
            <w:hideMark/>
          </w:tcPr>
          <w:p w14:paraId="6DE151EE"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2013" w:type="pct"/>
            <w:shd w:val="clear" w:color="auto" w:fill="auto"/>
            <w:vAlign w:val="bottom"/>
            <w:hideMark/>
          </w:tcPr>
          <w:p w14:paraId="781116E9"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607</w:t>
            </w:r>
          </w:p>
        </w:tc>
      </w:tr>
      <w:tr w:rsidR="009A5CE9" w:rsidRPr="009A5CE9" w14:paraId="705856E3" w14:textId="77777777" w:rsidTr="006F0C87">
        <w:trPr>
          <w:trHeight w:val="315"/>
        </w:trPr>
        <w:tc>
          <w:tcPr>
            <w:tcW w:w="5000" w:type="pct"/>
            <w:gridSpan w:val="3"/>
            <w:shd w:val="clear" w:color="auto" w:fill="auto"/>
            <w:vAlign w:val="bottom"/>
          </w:tcPr>
          <w:p w14:paraId="64D16063"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4F6BA9A7"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0A6DD761" w14:textId="747DC846"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The district recorded a total of </w:t>
      </w:r>
      <w:r w:rsidR="00A70958" w:rsidRPr="009A5CE9">
        <w:rPr>
          <w:rStyle w:val="Strong"/>
          <w:rFonts w:ascii="Arial" w:hAnsi="Arial" w:cs="Arial"/>
          <w:b w:val="0"/>
          <w:bCs w:val="0"/>
          <w:sz w:val="20"/>
          <w:szCs w:val="20"/>
        </w:rPr>
        <w:t>607 child deaths (0–5 years)</w:t>
      </w:r>
      <w:r w:rsidR="00A70958" w:rsidRPr="009A5CE9">
        <w:rPr>
          <w:rFonts w:ascii="Arial" w:hAnsi="Arial" w:cs="Arial"/>
          <w:b/>
          <w:bCs/>
          <w:sz w:val="20"/>
          <w:szCs w:val="20"/>
        </w:rPr>
        <w:t>,</w:t>
      </w:r>
      <w:r w:rsidR="00A70958" w:rsidRPr="009A5CE9">
        <w:rPr>
          <w:rFonts w:ascii="Arial" w:hAnsi="Arial" w:cs="Arial"/>
          <w:sz w:val="20"/>
          <w:szCs w:val="20"/>
        </w:rPr>
        <w:t xml:space="preserve"> with significant variation across tahsils. </w:t>
      </w:r>
      <w:r w:rsidR="00A70958" w:rsidRPr="009A5CE9">
        <w:rPr>
          <w:rStyle w:val="Strong"/>
          <w:rFonts w:ascii="Arial" w:hAnsi="Arial" w:cs="Arial"/>
          <w:b w:val="0"/>
          <w:bCs w:val="0"/>
          <w:sz w:val="20"/>
          <w:szCs w:val="20"/>
        </w:rPr>
        <w:t>Sangamner (77 deaths)</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Newasa (64 deaths)</w:t>
      </w:r>
      <w:r w:rsidR="00A70958" w:rsidRPr="009A5CE9">
        <w:rPr>
          <w:rFonts w:ascii="Arial" w:hAnsi="Arial" w:cs="Arial"/>
          <w:sz w:val="20"/>
          <w:szCs w:val="20"/>
        </w:rPr>
        <w:t xml:space="preserve"> report the highest child mortality, indicating potential challenges related to maternal health, neonatal care, nutrition, or healthcare accessibility. </w:t>
      </w:r>
      <w:r w:rsidR="00A70958" w:rsidRPr="009A5CE9">
        <w:rPr>
          <w:rStyle w:val="Strong"/>
          <w:rFonts w:ascii="Arial" w:hAnsi="Arial" w:cs="Arial"/>
          <w:b w:val="0"/>
          <w:bCs w:val="0"/>
          <w:sz w:val="20"/>
          <w:szCs w:val="20"/>
        </w:rPr>
        <w:t>Parner (58 deaths)</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Nagar (55 deaths)</w:t>
      </w:r>
      <w:r w:rsidR="00A70958" w:rsidRPr="009A5CE9">
        <w:rPr>
          <w:rFonts w:ascii="Arial" w:hAnsi="Arial" w:cs="Arial"/>
          <w:sz w:val="20"/>
          <w:szCs w:val="20"/>
        </w:rPr>
        <w:t xml:space="preserve"> also show elevated numbers, suggesting that larger populations and wider rural coverage may contribute to higher risk among young children.</w:t>
      </w:r>
    </w:p>
    <w:p w14:paraId="32EC6BF2" w14:textId="18792243"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Moderate levels of child mortality are seen in </w:t>
      </w:r>
      <w:r w:rsidR="00A70958" w:rsidRPr="009A5CE9">
        <w:rPr>
          <w:rStyle w:val="Strong"/>
          <w:rFonts w:ascii="Arial" w:hAnsi="Arial" w:cs="Arial"/>
          <w:b w:val="0"/>
          <w:bCs w:val="0"/>
          <w:sz w:val="20"/>
          <w:szCs w:val="20"/>
        </w:rPr>
        <w:t>Akole (44 deaths)</w:t>
      </w:r>
      <w:r w:rsidR="00A70958" w:rsidRPr="009A5CE9">
        <w:rPr>
          <w:rFonts w:ascii="Arial" w:hAnsi="Arial" w:cs="Arial"/>
          <w:b/>
          <w:bCs/>
          <w:sz w:val="20"/>
          <w:szCs w:val="20"/>
        </w:rPr>
        <w:t xml:space="preserve">, </w:t>
      </w:r>
      <w:r w:rsidR="00A70958" w:rsidRPr="009A5CE9">
        <w:rPr>
          <w:rStyle w:val="Strong"/>
          <w:rFonts w:ascii="Arial" w:hAnsi="Arial" w:cs="Arial"/>
          <w:b w:val="0"/>
          <w:bCs w:val="0"/>
          <w:sz w:val="20"/>
          <w:szCs w:val="20"/>
        </w:rPr>
        <w:t>Shevgaon (44 deaths)</w:t>
      </w:r>
      <w:r w:rsidR="00A70958" w:rsidRPr="009A5CE9">
        <w:rPr>
          <w:rFonts w:ascii="Arial" w:hAnsi="Arial" w:cs="Arial"/>
          <w:b/>
          <w:bCs/>
          <w:sz w:val="20"/>
          <w:szCs w:val="20"/>
        </w:rPr>
        <w:t>,</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Shrigonda (44 deaths)</w:t>
      </w:r>
      <w:r w:rsidR="00A70958" w:rsidRPr="009A5CE9">
        <w:rPr>
          <w:rFonts w:ascii="Arial" w:hAnsi="Arial" w:cs="Arial"/>
          <w:b/>
          <w:bCs/>
          <w:sz w:val="20"/>
          <w:szCs w:val="20"/>
        </w:rPr>
        <w:t>,</w:t>
      </w:r>
      <w:r w:rsidR="00A70958" w:rsidRPr="009A5CE9">
        <w:rPr>
          <w:rFonts w:ascii="Arial" w:hAnsi="Arial" w:cs="Arial"/>
          <w:sz w:val="20"/>
          <w:szCs w:val="20"/>
        </w:rPr>
        <w:t xml:space="preserve"> pointing toward persistent gaps in early childhood health services across multiple regions. Tahsils such as </w:t>
      </w:r>
      <w:r w:rsidR="00A70958" w:rsidRPr="009A5CE9">
        <w:rPr>
          <w:rStyle w:val="Strong"/>
          <w:rFonts w:ascii="Arial" w:hAnsi="Arial" w:cs="Arial"/>
          <w:b w:val="0"/>
          <w:bCs w:val="0"/>
          <w:sz w:val="20"/>
          <w:szCs w:val="20"/>
        </w:rPr>
        <w:t>Kopargaon (37 deaths)</w:t>
      </w:r>
      <w:r w:rsidR="00A70958" w:rsidRPr="009A5CE9">
        <w:rPr>
          <w:rFonts w:ascii="Arial" w:hAnsi="Arial" w:cs="Arial"/>
          <w:b/>
          <w:bCs/>
          <w:sz w:val="20"/>
          <w:szCs w:val="20"/>
        </w:rPr>
        <w:t xml:space="preserve">, </w:t>
      </w:r>
      <w:r w:rsidR="00A70958" w:rsidRPr="009A5CE9">
        <w:rPr>
          <w:rStyle w:val="Strong"/>
          <w:rFonts w:ascii="Arial" w:hAnsi="Arial" w:cs="Arial"/>
          <w:b w:val="0"/>
          <w:bCs w:val="0"/>
          <w:sz w:val="20"/>
          <w:szCs w:val="20"/>
        </w:rPr>
        <w:t>Rahuri (43 deaths)</w:t>
      </w:r>
      <w:r w:rsidR="00A70958" w:rsidRPr="009A5CE9">
        <w:rPr>
          <w:rFonts w:ascii="Arial" w:hAnsi="Arial" w:cs="Arial"/>
          <w:b/>
          <w:bCs/>
          <w:sz w:val="20"/>
          <w:szCs w:val="20"/>
        </w:rPr>
        <w:t xml:space="preserve">, </w:t>
      </w:r>
      <w:r w:rsidR="00A70958" w:rsidRPr="009A5CE9">
        <w:rPr>
          <w:rFonts w:ascii="Arial" w:hAnsi="Arial" w:cs="Arial"/>
          <w:sz w:val="20"/>
          <w:szCs w:val="20"/>
        </w:rPr>
        <w:t xml:space="preserve">and </w:t>
      </w:r>
      <w:r w:rsidR="00A70958" w:rsidRPr="009A5CE9">
        <w:rPr>
          <w:rStyle w:val="Strong"/>
          <w:rFonts w:ascii="Arial" w:hAnsi="Arial" w:cs="Arial"/>
          <w:b w:val="0"/>
          <w:bCs w:val="0"/>
          <w:sz w:val="20"/>
          <w:szCs w:val="20"/>
        </w:rPr>
        <w:t>Rahata (50 deaths)</w:t>
      </w:r>
      <w:r w:rsidR="00A70958" w:rsidRPr="009A5CE9">
        <w:rPr>
          <w:rFonts w:ascii="Arial" w:hAnsi="Arial" w:cs="Arial"/>
          <w:sz w:val="20"/>
          <w:szCs w:val="20"/>
        </w:rPr>
        <w:t xml:space="preserve"> fall within a mid-range but still require focused interventions to reduce preventable causes such as infections, malnutrition, and preterm complications.</w:t>
      </w:r>
    </w:p>
    <w:p w14:paraId="32F5F63C" w14:textId="7A242F7D"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Notably, </w:t>
      </w:r>
      <w:r w:rsidR="00A70958" w:rsidRPr="009A5CE9">
        <w:rPr>
          <w:rStyle w:val="Strong"/>
          <w:rFonts w:ascii="Arial" w:hAnsi="Arial" w:cs="Arial"/>
          <w:b w:val="0"/>
          <w:bCs w:val="0"/>
          <w:sz w:val="20"/>
          <w:szCs w:val="20"/>
        </w:rPr>
        <w:t>Jamkhed reports only 5 child deaths</w:t>
      </w:r>
      <w:r w:rsidR="00A70958" w:rsidRPr="009A5CE9">
        <w:rPr>
          <w:rFonts w:ascii="Arial" w:hAnsi="Arial" w:cs="Arial"/>
          <w:b/>
          <w:bCs/>
          <w:sz w:val="20"/>
          <w:szCs w:val="20"/>
        </w:rPr>
        <w:t>,</w:t>
      </w:r>
      <w:r w:rsidR="00A70958" w:rsidRPr="009A5CE9">
        <w:rPr>
          <w:rFonts w:ascii="Arial" w:hAnsi="Arial" w:cs="Arial"/>
          <w:sz w:val="20"/>
          <w:szCs w:val="20"/>
        </w:rPr>
        <w:t xml:space="preserve"> the lowest in the district. This exceptionally low figure may reflect effective maternal and child health practices, smaller population size, targeted community-based programs, or the presence of NGOs and healthcare initiatives like CRHP Jamkhed. However, it may also warrant careful verification to rule out underreporting.</w:t>
      </w:r>
    </w:p>
    <w:p w14:paraId="20F4350A" w14:textId="4355DF1C"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Overall, the spatial pattern of child mortality highlights disparities in early childhood survival across Ahilyanagar district. High-mortality tahsils would benefit from strengthened antenatal and postnatal care, improved neonatal facilities, enhanced nutrition programs, and increased community health outreach. The findings underscore the importance of </w:t>
      </w:r>
      <w:proofErr w:type="spellStart"/>
      <w:r w:rsidR="00D32F46" w:rsidRPr="00615E1E">
        <w:rPr>
          <w:rFonts w:ascii="Arial" w:hAnsi="Arial" w:cs="Arial"/>
          <w:sz w:val="20"/>
          <w:szCs w:val="20"/>
          <w:highlight w:val="yellow"/>
        </w:rPr>
        <w:t>localised</w:t>
      </w:r>
      <w:proofErr w:type="spellEnd"/>
      <w:r w:rsidR="00D32F46" w:rsidRPr="00615E1E">
        <w:rPr>
          <w:rFonts w:ascii="Arial" w:hAnsi="Arial" w:cs="Arial"/>
          <w:sz w:val="20"/>
          <w:szCs w:val="20"/>
          <w:highlight w:val="yellow"/>
        </w:rPr>
        <w:t xml:space="preserve"> </w:t>
      </w:r>
      <w:r w:rsidR="00A70958" w:rsidRPr="00615E1E">
        <w:rPr>
          <w:rFonts w:ascii="Arial" w:hAnsi="Arial" w:cs="Arial"/>
          <w:sz w:val="20"/>
          <w:szCs w:val="20"/>
          <w:highlight w:val="yellow"/>
        </w:rPr>
        <w:t>health</w:t>
      </w:r>
      <w:r w:rsidR="00A70958" w:rsidRPr="009A5CE9">
        <w:rPr>
          <w:rFonts w:ascii="Arial" w:hAnsi="Arial" w:cs="Arial"/>
          <w:sz w:val="20"/>
          <w:szCs w:val="20"/>
        </w:rPr>
        <w:t xml:space="preserve"> planning to ensure equitable child health outcomes across all tahsils.</w:t>
      </w:r>
    </w:p>
    <w:p w14:paraId="080A3FE6" w14:textId="77777777" w:rsidR="00663B4C" w:rsidRPr="009A5CE9" w:rsidRDefault="00663B4C" w:rsidP="009A5CE9">
      <w:pPr>
        <w:spacing w:after="0" w:line="360" w:lineRule="auto"/>
        <w:rPr>
          <w:rFonts w:ascii="Arial" w:hAnsi="Arial" w:cs="Arial"/>
          <w:sz w:val="20"/>
        </w:rPr>
      </w:pPr>
    </w:p>
    <w:p w14:paraId="0C4210BB"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4: Tahsil-wise Distribution of Infant Deaths (Age 0–1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3773"/>
        <w:gridCol w:w="3740"/>
      </w:tblGrid>
      <w:tr w:rsidR="009A5CE9" w:rsidRPr="009A5CE9" w14:paraId="29854484" w14:textId="77777777" w:rsidTr="006F0C87">
        <w:trPr>
          <w:trHeight w:val="458"/>
        </w:trPr>
        <w:tc>
          <w:tcPr>
            <w:tcW w:w="834" w:type="pct"/>
            <w:vMerge w:val="restart"/>
            <w:shd w:val="clear" w:color="auto" w:fill="auto"/>
            <w:vAlign w:val="center"/>
            <w:hideMark/>
          </w:tcPr>
          <w:p w14:paraId="5D8895EC"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092" w:type="pct"/>
            <w:vMerge w:val="restart"/>
            <w:shd w:val="clear" w:color="auto" w:fill="auto"/>
            <w:vAlign w:val="center"/>
            <w:hideMark/>
          </w:tcPr>
          <w:p w14:paraId="5BEC5D38"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074" w:type="pct"/>
            <w:vMerge w:val="restart"/>
            <w:shd w:val="clear" w:color="auto" w:fill="auto"/>
            <w:vAlign w:val="center"/>
            <w:hideMark/>
          </w:tcPr>
          <w:p w14:paraId="15C1090F"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No. of Infant Deaths (Age 0 to 1 Year)</w:t>
            </w:r>
          </w:p>
        </w:tc>
      </w:tr>
      <w:tr w:rsidR="009A5CE9" w:rsidRPr="009A5CE9" w14:paraId="2547880D" w14:textId="77777777" w:rsidTr="006F0C87">
        <w:trPr>
          <w:trHeight w:val="585"/>
        </w:trPr>
        <w:tc>
          <w:tcPr>
            <w:tcW w:w="834" w:type="pct"/>
            <w:vMerge/>
            <w:vAlign w:val="center"/>
            <w:hideMark/>
          </w:tcPr>
          <w:p w14:paraId="78A23B0A" w14:textId="77777777" w:rsidR="00663B4C" w:rsidRPr="009A5CE9" w:rsidRDefault="00663B4C" w:rsidP="009A5CE9">
            <w:pPr>
              <w:spacing w:after="0" w:line="360" w:lineRule="auto"/>
              <w:rPr>
                <w:rFonts w:ascii="Arial" w:eastAsia="Times New Roman" w:hAnsi="Arial" w:cs="Arial"/>
                <w:b/>
                <w:bCs/>
                <w:sz w:val="20"/>
              </w:rPr>
            </w:pPr>
          </w:p>
        </w:tc>
        <w:tc>
          <w:tcPr>
            <w:tcW w:w="2092" w:type="pct"/>
            <w:vMerge/>
            <w:vAlign w:val="center"/>
            <w:hideMark/>
          </w:tcPr>
          <w:p w14:paraId="02BFEC97" w14:textId="77777777" w:rsidR="00663B4C" w:rsidRPr="009A5CE9" w:rsidRDefault="00663B4C" w:rsidP="009A5CE9">
            <w:pPr>
              <w:spacing w:after="0" w:line="360" w:lineRule="auto"/>
              <w:rPr>
                <w:rFonts w:ascii="Arial" w:eastAsia="Times New Roman" w:hAnsi="Arial" w:cs="Arial"/>
                <w:b/>
                <w:bCs/>
                <w:sz w:val="20"/>
              </w:rPr>
            </w:pPr>
          </w:p>
        </w:tc>
        <w:tc>
          <w:tcPr>
            <w:tcW w:w="2074" w:type="pct"/>
            <w:vMerge/>
            <w:vAlign w:val="center"/>
            <w:hideMark/>
          </w:tcPr>
          <w:p w14:paraId="17E41D5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504927AA" w14:textId="77777777" w:rsidTr="006F0C87">
        <w:trPr>
          <w:trHeight w:val="315"/>
        </w:trPr>
        <w:tc>
          <w:tcPr>
            <w:tcW w:w="834" w:type="pct"/>
            <w:shd w:val="clear" w:color="auto" w:fill="auto"/>
            <w:vAlign w:val="center"/>
            <w:hideMark/>
          </w:tcPr>
          <w:p w14:paraId="443B3097"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092" w:type="pct"/>
            <w:shd w:val="clear" w:color="auto" w:fill="auto"/>
            <w:vAlign w:val="center"/>
            <w:hideMark/>
          </w:tcPr>
          <w:p w14:paraId="2DC3F0D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2074" w:type="pct"/>
            <w:shd w:val="clear" w:color="auto" w:fill="auto"/>
            <w:vAlign w:val="bottom"/>
            <w:hideMark/>
          </w:tcPr>
          <w:p w14:paraId="50FB35B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36</w:t>
            </w:r>
          </w:p>
        </w:tc>
      </w:tr>
      <w:tr w:rsidR="009A5CE9" w:rsidRPr="009A5CE9" w14:paraId="05C5204C" w14:textId="77777777" w:rsidTr="006F0C87">
        <w:trPr>
          <w:trHeight w:val="315"/>
        </w:trPr>
        <w:tc>
          <w:tcPr>
            <w:tcW w:w="834" w:type="pct"/>
            <w:shd w:val="clear" w:color="auto" w:fill="auto"/>
            <w:vAlign w:val="center"/>
            <w:hideMark/>
          </w:tcPr>
          <w:p w14:paraId="218391B5"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092" w:type="pct"/>
            <w:shd w:val="clear" w:color="auto" w:fill="auto"/>
            <w:vAlign w:val="center"/>
            <w:hideMark/>
          </w:tcPr>
          <w:p w14:paraId="4F79844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2074" w:type="pct"/>
            <w:shd w:val="clear" w:color="auto" w:fill="auto"/>
            <w:vAlign w:val="bottom"/>
            <w:hideMark/>
          </w:tcPr>
          <w:p w14:paraId="03D4622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63</w:t>
            </w:r>
          </w:p>
        </w:tc>
      </w:tr>
      <w:tr w:rsidR="009A5CE9" w:rsidRPr="009A5CE9" w14:paraId="3FEAE64B" w14:textId="77777777" w:rsidTr="006F0C87">
        <w:trPr>
          <w:trHeight w:val="315"/>
        </w:trPr>
        <w:tc>
          <w:tcPr>
            <w:tcW w:w="834" w:type="pct"/>
            <w:shd w:val="clear" w:color="auto" w:fill="auto"/>
            <w:vAlign w:val="center"/>
            <w:hideMark/>
          </w:tcPr>
          <w:p w14:paraId="7674BFB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092" w:type="pct"/>
            <w:shd w:val="clear" w:color="auto" w:fill="auto"/>
            <w:vAlign w:val="center"/>
            <w:hideMark/>
          </w:tcPr>
          <w:p w14:paraId="77EB29CA"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2074" w:type="pct"/>
            <w:shd w:val="clear" w:color="auto" w:fill="auto"/>
            <w:vAlign w:val="bottom"/>
            <w:hideMark/>
          </w:tcPr>
          <w:p w14:paraId="13AF1CA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w:t>
            </w:r>
          </w:p>
        </w:tc>
      </w:tr>
      <w:tr w:rsidR="009A5CE9" w:rsidRPr="009A5CE9" w14:paraId="2E14C4A5" w14:textId="77777777" w:rsidTr="006F0C87">
        <w:trPr>
          <w:trHeight w:val="315"/>
        </w:trPr>
        <w:tc>
          <w:tcPr>
            <w:tcW w:w="834" w:type="pct"/>
            <w:shd w:val="clear" w:color="auto" w:fill="auto"/>
            <w:vAlign w:val="center"/>
            <w:hideMark/>
          </w:tcPr>
          <w:p w14:paraId="3191AAD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092" w:type="pct"/>
            <w:shd w:val="clear" w:color="auto" w:fill="auto"/>
            <w:vAlign w:val="center"/>
            <w:hideMark/>
          </w:tcPr>
          <w:p w14:paraId="3C5464B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2074" w:type="pct"/>
            <w:shd w:val="clear" w:color="auto" w:fill="auto"/>
            <w:vAlign w:val="bottom"/>
            <w:hideMark/>
          </w:tcPr>
          <w:p w14:paraId="0CA842B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40</w:t>
            </w:r>
          </w:p>
        </w:tc>
      </w:tr>
      <w:tr w:rsidR="009A5CE9" w:rsidRPr="009A5CE9" w14:paraId="018E652A" w14:textId="77777777" w:rsidTr="006F0C87">
        <w:trPr>
          <w:trHeight w:val="315"/>
        </w:trPr>
        <w:tc>
          <w:tcPr>
            <w:tcW w:w="834" w:type="pct"/>
            <w:shd w:val="clear" w:color="auto" w:fill="auto"/>
            <w:vAlign w:val="center"/>
            <w:hideMark/>
          </w:tcPr>
          <w:p w14:paraId="6DC8B71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092" w:type="pct"/>
            <w:shd w:val="clear" w:color="auto" w:fill="auto"/>
            <w:vAlign w:val="center"/>
            <w:hideMark/>
          </w:tcPr>
          <w:p w14:paraId="4824122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2074" w:type="pct"/>
            <w:shd w:val="clear" w:color="auto" w:fill="auto"/>
            <w:vAlign w:val="bottom"/>
            <w:hideMark/>
          </w:tcPr>
          <w:p w14:paraId="2AD9D35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2485B615" w14:textId="77777777" w:rsidTr="006F0C87">
        <w:trPr>
          <w:trHeight w:val="315"/>
        </w:trPr>
        <w:tc>
          <w:tcPr>
            <w:tcW w:w="834" w:type="pct"/>
            <w:shd w:val="clear" w:color="auto" w:fill="auto"/>
            <w:vAlign w:val="center"/>
            <w:hideMark/>
          </w:tcPr>
          <w:p w14:paraId="4ECBAF95"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092" w:type="pct"/>
            <w:shd w:val="clear" w:color="auto" w:fill="auto"/>
            <w:vAlign w:val="center"/>
            <w:hideMark/>
          </w:tcPr>
          <w:p w14:paraId="771BD13A"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2074" w:type="pct"/>
            <w:shd w:val="clear" w:color="auto" w:fill="auto"/>
            <w:vAlign w:val="bottom"/>
            <w:hideMark/>
          </w:tcPr>
          <w:p w14:paraId="01368B2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57</w:t>
            </w:r>
          </w:p>
        </w:tc>
      </w:tr>
      <w:tr w:rsidR="009A5CE9" w:rsidRPr="009A5CE9" w14:paraId="74192CD1" w14:textId="77777777" w:rsidTr="006F0C87">
        <w:trPr>
          <w:trHeight w:val="315"/>
        </w:trPr>
        <w:tc>
          <w:tcPr>
            <w:tcW w:w="834" w:type="pct"/>
            <w:shd w:val="clear" w:color="auto" w:fill="auto"/>
            <w:vAlign w:val="center"/>
            <w:hideMark/>
          </w:tcPr>
          <w:p w14:paraId="38A705B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092" w:type="pct"/>
            <w:shd w:val="clear" w:color="auto" w:fill="auto"/>
            <w:vAlign w:val="center"/>
            <w:hideMark/>
          </w:tcPr>
          <w:p w14:paraId="7A932AC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2074" w:type="pct"/>
            <w:shd w:val="clear" w:color="auto" w:fill="auto"/>
            <w:vAlign w:val="bottom"/>
            <w:hideMark/>
          </w:tcPr>
          <w:p w14:paraId="7ADC64E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34</w:t>
            </w:r>
          </w:p>
        </w:tc>
      </w:tr>
      <w:tr w:rsidR="009A5CE9" w:rsidRPr="009A5CE9" w14:paraId="760B92E1" w14:textId="77777777" w:rsidTr="006F0C87">
        <w:trPr>
          <w:trHeight w:val="315"/>
        </w:trPr>
        <w:tc>
          <w:tcPr>
            <w:tcW w:w="834" w:type="pct"/>
            <w:shd w:val="clear" w:color="auto" w:fill="auto"/>
            <w:vAlign w:val="center"/>
            <w:hideMark/>
          </w:tcPr>
          <w:p w14:paraId="04D941D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092" w:type="pct"/>
            <w:shd w:val="clear" w:color="auto" w:fill="auto"/>
            <w:vAlign w:val="center"/>
            <w:hideMark/>
          </w:tcPr>
          <w:p w14:paraId="1DBFAEF2"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2074" w:type="pct"/>
            <w:shd w:val="clear" w:color="auto" w:fill="auto"/>
            <w:vAlign w:val="bottom"/>
            <w:hideMark/>
          </w:tcPr>
          <w:p w14:paraId="5DA74B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0D69BDE2" w14:textId="77777777" w:rsidTr="006F0C87">
        <w:trPr>
          <w:trHeight w:val="315"/>
        </w:trPr>
        <w:tc>
          <w:tcPr>
            <w:tcW w:w="834" w:type="pct"/>
            <w:shd w:val="clear" w:color="auto" w:fill="auto"/>
            <w:vAlign w:val="center"/>
            <w:hideMark/>
          </w:tcPr>
          <w:p w14:paraId="350EB65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092" w:type="pct"/>
            <w:shd w:val="clear" w:color="auto" w:fill="auto"/>
            <w:vAlign w:val="center"/>
            <w:hideMark/>
          </w:tcPr>
          <w:p w14:paraId="1075804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2074" w:type="pct"/>
            <w:shd w:val="clear" w:color="auto" w:fill="auto"/>
            <w:vAlign w:val="bottom"/>
            <w:hideMark/>
          </w:tcPr>
          <w:p w14:paraId="06C6A30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6101C23E" w14:textId="77777777" w:rsidTr="006F0C87">
        <w:trPr>
          <w:trHeight w:val="315"/>
        </w:trPr>
        <w:tc>
          <w:tcPr>
            <w:tcW w:w="834" w:type="pct"/>
            <w:shd w:val="clear" w:color="auto" w:fill="auto"/>
            <w:vAlign w:val="center"/>
            <w:hideMark/>
          </w:tcPr>
          <w:p w14:paraId="2CA6354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092" w:type="pct"/>
            <w:shd w:val="clear" w:color="auto" w:fill="auto"/>
            <w:vAlign w:val="center"/>
            <w:hideMark/>
          </w:tcPr>
          <w:p w14:paraId="7F55FA9E"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2074" w:type="pct"/>
            <w:shd w:val="clear" w:color="auto" w:fill="auto"/>
            <w:vAlign w:val="bottom"/>
            <w:hideMark/>
          </w:tcPr>
          <w:p w14:paraId="207C70D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36</w:t>
            </w:r>
          </w:p>
        </w:tc>
      </w:tr>
      <w:tr w:rsidR="009A5CE9" w:rsidRPr="009A5CE9" w14:paraId="098F60BF" w14:textId="77777777" w:rsidTr="006F0C87">
        <w:trPr>
          <w:trHeight w:val="315"/>
        </w:trPr>
        <w:tc>
          <w:tcPr>
            <w:tcW w:w="834" w:type="pct"/>
            <w:shd w:val="clear" w:color="auto" w:fill="auto"/>
            <w:vAlign w:val="center"/>
            <w:hideMark/>
          </w:tcPr>
          <w:p w14:paraId="1B85B21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lastRenderedPageBreak/>
              <w:t>11</w:t>
            </w:r>
          </w:p>
        </w:tc>
        <w:tc>
          <w:tcPr>
            <w:tcW w:w="2092" w:type="pct"/>
            <w:shd w:val="clear" w:color="auto" w:fill="auto"/>
            <w:vAlign w:val="center"/>
            <w:hideMark/>
          </w:tcPr>
          <w:p w14:paraId="730D257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2074" w:type="pct"/>
            <w:shd w:val="clear" w:color="auto" w:fill="auto"/>
            <w:vAlign w:val="bottom"/>
            <w:hideMark/>
          </w:tcPr>
          <w:p w14:paraId="5A62562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56</w:t>
            </w:r>
          </w:p>
        </w:tc>
      </w:tr>
      <w:tr w:rsidR="009A5CE9" w:rsidRPr="009A5CE9" w14:paraId="085F84D1" w14:textId="77777777" w:rsidTr="006F0C87">
        <w:trPr>
          <w:trHeight w:val="315"/>
        </w:trPr>
        <w:tc>
          <w:tcPr>
            <w:tcW w:w="834" w:type="pct"/>
            <w:shd w:val="clear" w:color="auto" w:fill="auto"/>
            <w:vAlign w:val="center"/>
            <w:hideMark/>
          </w:tcPr>
          <w:p w14:paraId="5C7F45A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092" w:type="pct"/>
            <w:shd w:val="clear" w:color="auto" w:fill="auto"/>
            <w:vAlign w:val="center"/>
            <w:hideMark/>
          </w:tcPr>
          <w:p w14:paraId="19A0998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2074" w:type="pct"/>
            <w:shd w:val="clear" w:color="auto" w:fill="auto"/>
            <w:vAlign w:val="bottom"/>
            <w:hideMark/>
          </w:tcPr>
          <w:p w14:paraId="412D77F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w:t>
            </w:r>
          </w:p>
        </w:tc>
      </w:tr>
      <w:tr w:rsidR="009A5CE9" w:rsidRPr="009A5CE9" w14:paraId="1CF0183C" w14:textId="77777777" w:rsidTr="006F0C87">
        <w:trPr>
          <w:trHeight w:val="315"/>
        </w:trPr>
        <w:tc>
          <w:tcPr>
            <w:tcW w:w="834" w:type="pct"/>
            <w:shd w:val="clear" w:color="auto" w:fill="auto"/>
            <w:vAlign w:val="center"/>
            <w:hideMark/>
          </w:tcPr>
          <w:p w14:paraId="5376E9B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2092" w:type="pct"/>
            <w:shd w:val="clear" w:color="auto" w:fill="auto"/>
            <w:vAlign w:val="center"/>
            <w:hideMark/>
          </w:tcPr>
          <w:p w14:paraId="13F1F11F"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2074" w:type="pct"/>
            <w:shd w:val="clear" w:color="auto" w:fill="auto"/>
            <w:vAlign w:val="bottom"/>
            <w:hideMark/>
          </w:tcPr>
          <w:p w14:paraId="43BBF69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21</w:t>
            </w:r>
          </w:p>
        </w:tc>
      </w:tr>
      <w:tr w:rsidR="009A5CE9" w:rsidRPr="009A5CE9" w14:paraId="545D3EED" w14:textId="77777777" w:rsidTr="006F0C87">
        <w:trPr>
          <w:trHeight w:val="315"/>
        </w:trPr>
        <w:tc>
          <w:tcPr>
            <w:tcW w:w="834" w:type="pct"/>
            <w:shd w:val="clear" w:color="auto" w:fill="auto"/>
            <w:vAlign w:val="center"/>
            <w:hideMark/>
          </w:tcPr>
          <w:p w14:paraId="41DE88A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092" w:type="pct"/>
            <w:shd w:val="clear" w:color="auto" w:fill="auto"/>
            <w:vAlign w:val="center"/>
            <w:hideMark/>
          </w:tcPr>
          <w:p w14:paraId="112DDDE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2074" w:type="pct"/>
            <w:shd w:val="clear" w:color="auto" w:fill="auto"/>
            <w:vAlign w:val="bottom"/>
            <w:hideMark/>
          </w:tcPr>
          <w:p w14:paraId="27A7330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w:t>
            </w:r>
          </w:p>
        </w:tc>
      </w:tr>
      <w:tr w:rsidR="009A5CE9" w:rsidRPr="009A5CE9" w14:paraId="3C68B0CD" w14:textId="77777777" w:rsidTr="006F0C87">
        <w:trPr>
          <w:trHeight w:val="315"/>
        </w:trPr>
        <w:tc>
          <w:tcPr>
            <w:tcW w:w="2926" w:type="pct"/>
            <w:gridSpan w:val="2"/>
            <w:shd w:val="clear" w:color="auto" w:fill="auto"/>
            <w:vAlign w:val="bottom"/>
            <w:hideMark/>
          </w:tcPr>
          <w:p w14:paraId="1843EA75"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2074" w:type="pct"/>
            <w:shd w:val="clear" w:color="auto" w:fill="auto"/>
            <w:vAlign w:val="bottom"/>
            <w:hideMark/>
          </w:tcPr>
          <w:p w14:paraId="0086549D"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508</w:t>
            </w:r>
          </w:p>
        </w:tc>
      </w:tr>
      <w:tr w:rsidR="009A5CE9" w:rsidRPr="009A5CE9" w14:paraId="2932C344" w14:textId="77777777" w:rsidTr="006F0C87">
        <w:trPr>
          <w:trHeight w:val="315"/>
        </w:trPr>
        <w:tc>
          <w:tcPr>
            <w:tcW w:w="5000" w:type="pct"/>
            <w:gridSpan w:val="3"/>
            <w:shd w:val="clear" w:color="auto" w:fill="auto"/>
            <w:vAlign w:val="bottom"/>
          </w:tcPr>
          <w:p w14:paraId="175370EF"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77203233"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5D660E8D" w14:textId="2FC4E27D"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The district recorded 508 infant deaths (0–1 year), revealing considerable variation across tahsils. Sangamner (63 deaths) and Newasa (57 deaths) show the highest infant mortality, indicating persistent gaps in neonatal care, institutional deliveries, early diagnosis of complications, and access to emergency services. Parner (56 deaths) also ranks high, suggesting that population size, rural dispersion, and healthcare accessibility may be influencing infant survival in these regions.</w:t>
      </w:r>
    </w:p>
    <w:p w14:paraId="2F491436" w14:textId="2F31B326"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Mid-level mortality is observed in Nagar (44 deaths), Rahata (40 deaths), Rahuri (36 deaths), Shevgaon (34 deaths), and Kopargaon (32 deaths). These numbers highlight continuing challenges such as low birth weight, infections in the neonatal period, and limited follow-up care for high-risk infants.</w:t>
      </w:r>
    </w:p>
    <w:p w14:paraId="21991F0E" w14:textId="505D1501"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 xml:space="preserve">Lower infant mortality is recorded in Shrirampur (25 deaths), Pathardi (25 deaths), and Karjat (21 deaths), which may reflect better </w:t>
      </w:r>
      <w:proofErr w:type="spellStart"/>
      <w:r w:rsidR="00D32F46" w:rsidRPr="00615E1E">
        <w:rPr>
          <w:rFonts w:ascii="Arial" w:eastAsia="Times New Roman" w:hAnsi="Arial" w:cs="Arial"/>
          <w:sz w:val="20"/>
          <w:highlight w:val="yellow"/>
        </w:rPr>
        <w:t>utilisation</w:t>
      </w:r>
      <w:proofErr w:type="spellEnd"/>
      <w:r w:rsidR="00D32F46" w:rsidRPr="00615E1E">
        <w:rPr>
          <w:rFonts w:ascii="Arial" w:eastAsia="Times New Roman" w:hAnsi="Arial" w:cs="Arial"/>
          <w:sz w:val="20"/>
          <w:highlight w:val="yellow"/>
        </w:rPr>
        <w:t xml:space="preserve"> </w:t>
      </w:r>
      <w:r w:rsidRPr="00615E1E">
        <w:rPr>
          <w:rFonts w:ascii="Arial" w:eastAsia="Times New Roman" w:hAnsi="Arial" w:cs="Arial"/>
          <w:sz w:val="20"/>
          <w:highlight w:val="yellow"/>
        </w:rPr>
        <w:t xml:space="preserve">of maternal </w:t>
      </w:r>
      <w:r w:rsidRPr="009A5CE9">
        <w:rPr>
          <w:rFonts w:ascii="Arial" w:eastAsia="Times New Roman" w:hAnsi="Arial" w:cs="Arial"/>
          <w:sz w:val="20"/>
        </w:rPr>
        <w:t>and child health services or smaller population coverage. Jamkhed reports just 4 infant deaths, the lowest in the district. This may indicate strong community health initiatives, such as long-standing primary health programs, but it also requires cautious interpretation to rule out possible underreporting.</w:t>
      </w:r>
    </w:p>
    <w:p w14:paraId="0A4921D9" w14:textId="5B38A47B"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 xml:space="preserve">Overall, the distribution of infant deaths highlights uneven access to quality maternal and newborn care across the district. High-burden tahsils require targeted interventions, including improved antenatal monitoring, strengthened neonatal intensive care, timely referral systems, and early breastfeeding and nutrition support. The findings </w:t>
      </w:r>
      <w:proofErr w:type="spellStart"/>
      <w:r w:rsidR="00D32F46" w:rsidRPr="00615E1E">
        <w:rPr>
          <w:rFonts w:ascii="Arial" w:eastAsia="Times New Roman" w:hAnsi="Arial" w:cs="Arial"/>
          <w:sz w:val="20"/>
          <w:highlight w:val="yellow"/>
        </w:rPr>
        <w:t>emphasise</w:t>
      </w:r>
      <w:proofErr w:type="spellEnd"/>
      <w:r w:rsidR="00D32F46" w:rsidRPr="00615E1E">
        <w:rPr>
          <w:rFonts w:ascii="Arial" w:eastAsia="Times New Roman" w:hAnsi="Arial" w:cs="Arial"/>
          <w:sz w:val="20"/>
          <w:highlight w:val="yellow"/>
        </w:rPr>
        <w:t xml:space="preserve"> </w:t>
      </w:r>
      <w:r w:rsidRPr="00615E1E">
        <w:rPr>
          <w:rFonts w:ascii="Arial" w:eastAsia="Times New Roman" w:hAnsi="Arial" w:cs="Arial"/>
          <w:sz w:val="20"/>
          <w:highlight w:val="yellow"/>
        </w:rPr>
        <w:t xml:space="preserve">the need for </w:t>
      </w:r>
      <w:proofErr w:type="spellStart"/>
      <w:r w:rsidR="00D32F46" w:rsidRPr="00615E1E">
        <w:rPr>
          <w:rFonts w:ascii="Arial" w:eastAsia="Times New Roman" w:hAnsi="Arial" w:cs="Arial"/>
          <w:sz w:val="20"/>
          <w:highlight w:val="yellow"/>
        </w:rPr>
        <w:t>localised</w:t>
      </w:r>
      <w:proofErr w:type="spellEnd"/>
      <w:r w:rsidR="00D32F46" w:rsidRPr="00615E1E">
        <w:rPr>
          <w:rFonts w:ascii="Arial" w:eastAsia="Times New Roman" w:hAnsi="Arial" w:cs="Arial"/>
          <w:sz w:val="20"/>
          <w:highlight w:val="yellow"/>
        </w:rPr>
        <w:t xml:space="preserve"> </w:t>
      </w:r>
      <w:r w:rsidRPr="009A5CE9">
        <w:rPr>
          <w:rFonts w:ascii="Arial" w:eastAsia="Times New Roman" w:hAnsi="Arial" w:cs="Arial"/>
          <w:sz w:val="20"/>
        </w:rPr>
        <w:t>health planning to reduce preventable infant deaths and ensure equitable child health outcomes.</w:t>
      </w:r>
    </w:p>
    <w:p w14:paraId="584752BB" w14:textId="77777777" w:rsidR="00663B4C" w:rsidRPr="009A5CE9" w:rsidRDefault="00663B4C" w:rsidP="009A5CE9">
      <w:pPr>
        <w:spacing w:after="0" w:line="360" w:lineRule="auto"/>
        <w:jc w:val="both"/>
        <w:rPr>
          <w:rFonts w:ascii="Arial" w:hAnsi="Arial" w:cs="Arial"/>
          <w:b/>
          <w:bCs/>
          <w:sz w:val="20"/>
        </w:rPr>
      </w:pPr>
    </w:p>
    <w:p w14:paraId="1BBAA77E" w14:textId="636E0708"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.1 Spatial Pattern of Live Births</w:t>
      </w:r>
    </w:p>
    <w:p w14:paraId="6BE1DC61" w14:textId="412ECD97"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 xml:space="preserve">A total of 63,985 live births were recorded, including 33,450 male and 30,535 female births. Male births exceeded female births in all tahsils, </w:t>
      </w:r>
      <w:r w:rsidRPr="00615E1E">
        <w:rPr>
          <w:rFonts w:ascii="Arial" w:hAnsi="Arial" w:cs="Arial"/>
          <w:sz w:val="20"/>
          <w:highlight w:val="yellow"/>
        </w:rPr>
        <w:t xml:space="preserve">reflecting </w:t>
      </w:r>
      <w:r w:rsidR="00D32F46" w:rsidRPr="00615E1E">
        <w:rPr>
          <w:rFonts w:ascii="Arial" w:hAnsi="Arial" w:cs="Arial"/>
          <w:sz w:val="20"/>
          <w:highlight w:val="yellow"/>
        </w:rPr>
        <w:t xml:space="preserve">a </w:t>
      </w:r>
      <w:r w:rsidRPr="00615E1E">
        <w:rPr>
          <w:rFonts w:ascii="Arial" w:hAnsi="Arial" w:cs="Arial"/>
          <w:sz w:val="20"/>
          <w:highlight w:val="yellow"/>
        </w:rPr>
        <w:t>persistent</w:t>
      </w:r>
      <w:r w:rsidRPr="009A5CE9">
        <w:rPr>
          <w:rFonts w:ascii="Arial" w:hAnsi="Arial" w:cs="Arial"/>
          <w:sz w:val="20"/>
        </w:rPr>
        <w:t xml:space="preserve"> gender imbalance consistent with earlier demographic findings (Bhat &amp; Zavier, 2017).</w:t>
      </w:r>
    </w:p>
    <w:p w14:paraId="52D05EBD" w14:textId="4205BE25"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Nagar recorded the highest births (19,408), followed by Sangamner (7,528), Rahata (6,881) and Newasa (6,255). These regions have high population density and strong institutional delivery systems. Karjat (1,144), Jamkhed (1,704) and Shrigonda (1,796) recorded the lowest births, indicating smaller populations or weaker reporting mechanisms.</w:t>
      </w:r>
    </w:p>
    <w:p w14:paraId="3047D6DD" w14:textId="4A73E6F7" w:rsidR="00D51C2C" w:rsidRPr="009A5CE9" w:rsidRDefault="00D51C2C" w:rsidP="009A5CE9">
      <w:pPr>
        <w:spacing w:after="0" w:line="360" w:lineRule="auto"/>
        <w:jc w:val="center"/>
        <w:rPr>
          <w:rFonts w:ascii="Arial" w:hAnsi="Arial" w:cs="Arial"/>
          <w:sz w:val="20"/>
        </w:rPr>
      </w:pPr>
      <w:r w:rsidRPr="009A5CE9">
        <w:rPr>
          <w:rFonts w:ascii="Arial" w:hAnsi="Arial" w:cs="Arial"/>
          <w:noProof/>
          <w:sz w:val="20"/>
        </w:rPr>
        <w:lastRenderedPageBreak/>
        <w:drawing>
          <wp:inline distT="0" distB="0" distL="0" distR="0" wp14:anchorId="7BFEF610" wp14:editId="7DAC472A">
            <wp:extent cx="5182235"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2235" cy="2755900"/>
                    </a:xfrm>
                    <a:prstGeom prst="rect">
                      <a:avLst/>
                    </a:prstGeom>
                    <a:noFill/>
                  </pic:spPr>
                </pic:pic>
              </a:graphicData>
            </a:graphic>
          </wp:inline>
        </w:drawing>
      </w:r>
    </w:p>
    <w:p w14:paraId="04256543" w14:textId="6745ECEF"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1: </w:t>
      </w:r>
      <w:r w:rsidR="00E71393" w:rsidRPr="009A5CE9">
        <w:rPr>
          <w:rFonts w:ascii="Arial" w:hAnsi="Arial" w:cs="Arial"/>
          <w:sz w:val="20"/>
        </w:rPr>
        <w:t xml:space="preserve">Tahsil-wise Distribution of Male, Female and Total Live Births in Former </w:t>
      </w:r>
      <w:r w:rsidR="004C7491" w:rsidRPr="009A5CE9">
        <w:rPr>
          <w:rFonts w:ascii="Arial" w:hAnsi="Arial" w:cs="Arial"/>
          <w:sz w:val="20"/>
        </w:rPr>
        <w:t>Ahilyanagar</w:t>
      </w:r>
      <w:r w:rsidR="00E71393" w:rsidRPr="009A5CE9">
        <w:rPr>
          <w:rFonts w:ascii="Arial" w:hAnsi="Arial" w:cs="Arial"/>
          <w:sz w:val="20"/>
        </w:rPr>
        <w:t xml:space="preserve"> District (2025)</w:t>
      </w:r>
    </w:p>
    <w:p w14:paraId="2BA963BD" w14:textId="2E69392A" w:rsidR="005A0466" w:rsidRPr="009A5CE9" w:rsidRDefault="005A0466" w:rsidP="009A5CE9">
      <w:pPr>
        <w:spacing w:after="0" w:line="360" w:lineRule="auto"/>
        <w:jc w:val="both"/>
        <w:rPr>
          <w:rFonts w:ascii="Arial" w:hAnsi="Arial" w:cs="Arial"/>
          <w:sz w:val="20"/>
        </w:rPr>
      </w:pPr>
      <w:r w:rsidRPr="009A5CE9">
        <w:rPr>
          <w:rFonts w:ascii="Arial" w:hAnsi="Arial" w:cs="Arial"/>
          <w:sz w:val="20"/>
        </w:rPr>
        <w:tab/>
        <w:t>The diagram shows that Nagar tahsil records the highest male and female live births, followed by Sangamner, Rahata, and Newasa, reflecting their large population and urban influence. Karjat, Jamkhed, and Shrigonda register the lowest births due to their rural character. In almost all tahsils, male births slightly exceed female births.</w:t>
      </w:r>
    </w:p>
    <w:p w14:paraId="563B3DA6" w14:textId="77777777" w:rsidR="00D51C2C" w:rsidRPr="009A5CE9" w:rsidRDefault="00D51C2C" w:rsidP="009A5CE9">
      <w:pPr>
        <w:spacing w:after="0" w:line="360" w:lineRule="auto"/>
        <w:jc w:val="center"/>
        <w:rPr>
          <w:rFonts w:ascii="Arial" w:hAnsi="Arial" w:cs="Arial"/>
          <w:sz w:val="20"/>
        </w:rPr>
      </w:pPr>
    </w:p>
    <w:p w14:paraId="174DF4B6" w14:textId="0F7F93AD"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.2 Total Deaths</w:t>
      </w:r>
    </w:p>
    <w:p w14:paraId="453159E6" w14:textId="59FA5EBE"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district recorded 13,957 deaths. Sangamner (2,476) and Nagar (2,320) reported the highest mortality, reflecting their large populations and urban-health complexities (Kundu, 2018). Rahuri (1,698) and Pathardi (1,090) also showed elevated mortality.</w:t>
      </w:r>
    </w:p>
    <w:p w14:paraId="1152B070" w14:textId="75118599"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lowest mortality was observed in Rahata (101), Jamkhed (534) and Kopargaon (584). These spatial contrasts highlight uneven health service availability and suggest that rural under-reporting may influence low mortality figures.</w:t>
      </w:r>
    </w:p>
    <w:p w14:paraId="03BFECF3" w14:textId="77777777" w:rsidR="00A577D4" w:rsidRPr="009A5CE9" w:rsidRDefault="00A577D4" w:rsidP="009A5CE9">
      <w:pPr>
        <w:spacing w:after="0" w:line="360" w:lineRule="auto"/>
        <w:jc w:val="both"/>
        <w:rPr>
          <w:rFonts w:ascii="Arial" w:hAnsi="Arial" w:cs="Arial"/>
          <w:sz w:val="20"/>
        </w:rPr>
      </w:pPr>
    </w:p>
    <w:p w14:paraId="0E8B2A38" w14:textId="715C79F7" w:rsidR="0030751F" w:rsidRPr="009A5CE9" w:rsidRDefault="0030751F" w:rsidP="009A5CE9">
      <w:pPr>
        <w:spacing w:after="0" w:line="360" w:lineRule="auto"/>
        <w:jc w:val="center"/>
        <w:rPr>
          <w:rFonts w:ascii="Arial" w:hAnsi="Arial" w:cs="Arial"/>
          <w:sz w:val="20"/>
        </w:rPr>
      </w:pPr>
      <w:r w:rsidRPr="009A5CE9">
        <w:rPr>
          <w:rFonts w:ascii="Arial" w:hAnsi="Arial" w:cs="Arial"/>
          <w:noProof/>
          <w:sz w:val="20"/>
        </w:rPr>
        <w:lastRenderedPageBreak/>
        <w:drawing>
          <wp:inline distT="0" distB="0" distL="0" distR="0" wp14:anchorId="107E34AB" wp14:editId="20596713">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B0BDD2" w14:textId="002F228B"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2: </w:t>
      </w:r>
      <w:r w:rsidR="00E71393" w:rsidRPr="009A5CE9">
        <w:rPr>
          <w:rFonts w:ascii="Arial" w:hAnsi="Arial" w:cs="Arial"/>
          <w:sz w:val="20"/>
        </w:rPr>
        <w:t xml:space="preserve">Tahsil-wise Distribution of Total Deaths in Former </w:t>
      </w:r>
      <w:r w:rsidR="004C7491" w:rsidRPr="009A5CE9">
        <w:rPr>
          <w:rFonts w:ascii="Arial" w:hAnsi="Arial" w:cs="Arial"/>
          <w:sz w:val="20"/>
        </w:rPr>
        <w:t>Ahilyanagar</w:t>
      </w:r>
      <w:r w:rsidR="00E71393" w:rsidRPr="009A5CE9">
        <w:rPr>
          <w:rFonts w:ascii="Arial" w:hAnsi="Arial" w:cs="Arial"/>
          <w:sz w:val="20"/>
        </w:rPr>
        <w:t xml:space="preserve"> District (2025)</w:t>
      </w:r>
    </w:p>
    <w:p w14:paraId="50E31264" w14:textId="77777777" w:rsidR="00E71393" w:rsidRPr="009A5CE9" w:rsidRDefault="00E71393" w:rsidP="009A5CE9">
      <w:pPr>
        <w:spacing w:after="0" w:line="360" w:lineRule="auto"/>
        <w:jc w:val="center"/>
        <w:rPr>
          <w:rFonts w:ascii="Arial" w:hAnsi="Arial" w:cs="Arial"/>
          <w:sz w:val="20"/>
        </w:rPr>
      </w:pPr>
    </w:p>
    <w:p w14:paraId="5CA02F73" w14:textId="391AC98B" w:rsidR="0030751F" w:rsidRPr="009A5CE9" w:rsidRDefault="00D97E1A" w:rsidP="009A5CE9">
      <w:pPr>
        <w:spacing w:after="0" w:line="360" w:lineRule="auto"/>
        <w:jc w:val="both"/>
        <w:rPr>
          <w:rFonts w:ascii="Arial" w:hAnsi="Arial" w:cs="Arial"/>
          <w:sz w:val="20"/>
        </w:rPr>
      </w:pPr>
      <w:r w:rsidRPr="009A5CE9">
        <w:rPr>
          <w:rFonts w:ascii="Arial" w:hAnsi="Arial" w:cs="Arial"/>
          <w:sz w:val="20"/>
        </w:rPr>
        <w:tab/>
        <w:t>The bar diagram shows that Sangamner, Nagar, and Rahuri record the highest number of deaths, indicating their large population size and urban–industrial influence. Rahata, Jamkhed, and Kopargaon show the lowest death counts due to their rural nature and low population density. Overall, the pattern reflects a clear urban–rural contrast in mortality levels across the district.</w:t>
      </w:r>
    </w:p>
    <w:p w14:paraId="53B2BD99" w14:textId="77777777" w:rsidR="00D97E1A" w:rsidRPr="009A5CE9" w:rsidRDefault="00D97E1A" w:rsidP="009A5CE9">
      <w:pPr>
        <w:spacing w:after="0" w:line="360" w:lineRule="auto"/>
        <w:jc w:val="both"/>
        <w:rPr>
          <w:rFonts w:ascii="Arial" w:hAnsi="Arial" w:cs="Arial"/>
          <w:sz w:val="20"/>
        </w:rPr>
      </w:pPr>
    </w:p>
    <w:p w14:paraId="3F63C4BF" w14:textId="3C7302BD"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.3 Child Deaths (0–5 Years)</w:t>
      </w:r>
    </w:p>
    <w:p w14:paraId="06C6ED62" w14:textId="11A89832"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A total of 607 child deaths were recorded. Sangamner (77), Newasa (64), Parner (58), and Nagar (55) reported the highest numbers. These regions require further strengthening of neonatal care, nutrition programmes and sanitation (Ghosh, 2016; NFHS-5, 2021).</w:t>
      </w:r>
    </w:p>
    <w:p w14:paraId="188D7C28" w14:textId="3B91FFE9"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 xml:space="preserve">Jamkhed (5) recorded the lowest child deaths, likely </w:t>
      </w:r>
      <w:r w:rsidRPr="00615E1E">
        <w:rPr>
          <w:rFonts w:ascii="Arial" w:hAnsi="Arial" w:cs="Arial"/>
          <w:sz w:val="20"/>
          <w:highlight w:val="yellow"/>
        </w:rPr>
        <w:t xml:space="preserve">due to </w:t>
      </w:r>
      <w:r w:rsidR="00D32F46" w:rsidRPr="00615E1E">
        <w:rPr>
          <w:rFonts w:ascii="Arial" w:hAnsi="Arial" w:cs="Arial"/>
          <w:sz w:val="20"/>
          <w:highlight w:val="yellow"/>
        </w:rPr>
        <w:t xml:space="preserve">a </w:t>
      </w:r>
      <w:r w:rsidRPr="00615E1E">
        <w:rPr>
          <w:rFonts w:ascii="Arial" w:hAnsi="Arial" w:cs="Arial"/>
          <w:sz w:val="20"/>
          <w:highlight w:val="yellow"/>
        </w:rPr>
        <w:t>smaller</w:t>
      </w:r>
      <w:r w:rsidRPr="009A5CE9">
        <w:rPr>
          <w:rFonts w:ascii="Arial" w:hAnsi="Arial" w:cs="Arial"/>
          <w:sz w:val="20"/>
        </w:rPr>
        <w:t xml:space="preserve"> population size and strong community-based health interventions.</w:t>
      </w:r>
    </w:p>
    <w:p w14:paraId="3D8EAFFA" w14:textId="3C3F31F9" w:rsidR="00D97E1A" w:rsidRPr="009A5CE9" w:rsidRDefault="00D97E1A" w:rsidP="009A5CE9">
      <w:pPr>
        <w:spacing w:after="0" w:line="360" w:lineRule="auto"/>
        <w:jc w:val="both"/>
        <w:rPr>
          <w:rFonts w:ascii="Arial" w:hAnsi="Arial" w:cs="Arial"/>
          <w:sz w:val="20"/>
        </w:rPr>
      </w:pPr>
    </w:p>
    <w:p w14:paraId="5F6CECCE" w14:textId="77777777" w:rsidR="00A577D4" w:rsidRPr="009A5CE9" w:rsidRDefault="00A577D4" w:rsidP="009A5CE9">
      <w:pPr>
        <w:spacing w:after="0" w:line="360" w:lineRule="auto"/>
        <w:jc w:val="both"/>
        <w:rPr>
          <w:rFonts w:ascii="Arial" w:hAnsi="Arial" w:cs="Arial"/>
          <w:sz w:val="20"/>
        </w:rPr>
      </w:pPr>
    </w:p>
    <w:p w14:paraId="764E89DA" w14:textId="7024A809"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.4 Infant Deaths (0–1 Year)</w:t>
      </w:r>
    </w:p>
    <w:p w14:paraId="3D86974D" w14:textId="0910BBD2"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district recorded 508 infant deaths. Sangamner (63), Newasa (57) and Parner (56) reported the highest infant mortality. These patterns indicate gaps in maternal health, neonatal care and emergency services (Park, 2021; Mohanty &amp; Ram, 2020).</w:t>
      </w:r>
    </w:p>
    <w:p w14:paraId="6F672988" w14:textId="62022D7F"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lowest infant deaths were recorded in Jamkhed (4) and Karjat (21). These disparities show the urgent need for targeted policy interventions.</w:t>
      </w:r>
    </w:p>
    <w:p w14:paraId="20693134" w14:textId="297D8D56" w:rsidR="00D97E1A" w:rsidRPr="009A5CE9" w:rsidRDefault="00D97E1A" w:rsidP="009A5CE9">
      <w:pPr>
        <w:spacing w:after="0" w:line="360" w:lineRule="auto"/>
        <w:jc w:val="center"/>
        <w:rPr>
          <w:rFonts w:ascii="Arial" w:hAnsi="Arial" w:cs="Arial"/>
          <w:sz w:val="20"/>
        </w:rPr>
      </w:pPr>
      <w:r w:rsidRPr="009A5CE9">
        <w:rPr>
          <w:rFonts w:ascii="Arial" w:hAnsi="Arial" w:cs="Arial"/>
          <w:noProof/>
          <w:sz w:val="20"/>
        </w:rPr>
        <w:lastRenderedPageBreak/>
        <w:drawing>
          <wp:inline distT="0" distB="0" distL="0" distR="0" wp14:anchorId="11DA4664" wp14:editId="1EB65967">
            <wp:extent cx="5925820" cy="381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820" cy="3816350"/>
                    </a:xfrm>
                    <a:prstGeom prst="rect">
                      <a:avLst/>
                    </a:prstGeom>
                    <a:noFill/>
                  </pic:spPr>
                </pic:pic>
              </a:graphicData>
            </a:graphic>
          </wp:inline>
        </w:drawing>
      </w:r>
    </w:p>
    <w:p w14:paraId="38B20884" w14:textId="3F608C4F"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3: Tahsil-wise Distribution of Child Deaths (0–5 Years and O-1 Years) in Former </w:t>
      </w:r>
      <w:r w:rsidR="004C7491" w:rsidRPr="009A5CE9">
        <w:rPr>
          <w:rFonts w:ascii="Arial" w:hAnsi="Arial" w:cs="Arial"/>
          <w:sz w:val="20"/>
        </w:rPr>
        <w:t>Ahilyanagar</w:t>
      </w:r>
      <w:r w:rsidRPr="009A5CE9">
        <w:rPr>
          <w:rFonts w:ascii="Arial" w:hAnsi="Arial" w:cs="Arial"/>
          <w:sz w:val="20"/>
        </w:rPr>
        <w:t xml:space="preserve"> District (2025)</w:t>
      </w:r>
    </w:p>
    <w:p w14:paraId="50A3D869" w14:textId="77777777" w:rsidR="00A0092B" w:rsidRPr="009A5CE9" w:rsidRDefault="00A0092B" w:rsidP="009A5CE9">
      <w:pPr>
        <w:spacing w:after="0" w:line="360" w:lineRule="auto"/>
        <w:jc w:val="center"/>
        <w:rPr>
          <w:rFonts w:ascii="Arial" w:hAnsi="Arial" w:cs="Arial"/>
          <w:sz w:val="20"/>
        </w:rPr>
      </w:pPr>
    </w:p>
    <w:p w14:paraId="449294DC" w14:textId="1CC7CBC5" w:rsidR="00D97E1A" w:rsidRPr="009A5CE9" w:rsidRDefault="00D97E1A" w:rsidP="009A5CE9">
      <w:pPr>
        <w:spacing w:after="0" w:line="360" w:lineRule="auto"/>
        <w:jc w:val="both"/>
        <w:rPr>
          <w:rFonts w:ascii="Arial" w:hAnsi="Arial" w:cs="Arial"/>
          <w:sz w:val="20"/>
        </w:rPr>
      </w:pPr>
      <w:r w:rsidRPr="009A5CE9">
        <w:rPr>
          <w:rFonts w:ascii="Arial" w:hAnsi="Arial" w:cs="Arial"/>
          <w:sz w:val="20"/>
        </w:rPr>
        <w:tab/>
        <w:t xml:space="preserve">The diagram clearly depicts pronounced tahsil-wise variation in child (0–5 years) and infant (0–1 year) mortality in the former </w:t>
      </w:r>
      <w:r w:rsidR="004C7491" w:rsidRPr="009A5CE9">
        <w:rPr>
          <w:rFonts w:ascii="Arial" w:hAnsi="Arial" w:cs="Arial"/>
          <w:sz w:val="20"/>
        </w:rPr>
        <w:t>Ahilyanagar</w:t>
      </w:r>
      <w:r w:rsidRPr="009A5CE9">
        <w:rPr>
          <w:rFonts w:ascii="Arial" w:hAnsi="Arial" w:cs="Arial"/>
          <w:sz w:val="20"/>
        </w:rPr>
        <w:t xml:space="preserve"> District. Sangamner records the highest child (77) and infant (63) deaths, followed by Newasa (64 child and 57 infant deaths) and Parner (58 child and 56 infant deaths), indicating persistent challenges in maternal and child healthcare in these tahsils. Nagar and Rahata also show relatively high mortality, reflecting their large population base. In contrast, Jamkhed and Karjat register the lowest child and infant deaths, due to their smaller population size and rural character. The overall pattern highlights significant spatial inequality in child and infant survival, closely linked with differences in nutrition, healthcare accessibility, sanitation, and socio-economic conditions across the district.</w:t>
      </w:r>
    </w:p>
    <w:p w14:paraId="61E3E05C" w14:textId="77777777" w:rsidR="00D97E1A" w:rsidRPr="009A5CE9" w:rsidRDefault="00D97E1A" w:rsidP="009A5CE9">
      <w:pPr>
        <w:spacing w:after="0" w:line="360" w:lineRule="auto"/>
        <w:jc w:val="both"/>
        <w:rPr>
          <w:rFonts w:ascii="Arial" w:hAnsi="Arial" w:cs="Arial"/>
          <w:sz w:val="20"/>
        </w:rPr>
      </w:pPr>
    </w:p>
    <w:p w14:paraId="1ABB0C86" w14:textId="33A3D310"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4.5</w:t>
      </w:r>
      <w:r w:rsidR="00BB3F57" w:rsidRPr="009A5CE9">
        <w:rPr>
          <w:rFonts w:ascii="Arial" w:hAnsi="Arial" w:cs="Arial"/>
          <w:b/>
          <w:bCs/>
          <w:szCs w:val="22"/>
        </w:rPr>
        <w:t xml:space="preserve"> Spatial Health Regions</w:t>
      </w:r>
    </w:p>
    <w:p w14:paraId="725022BC" w14:textId="697B12AA" w:rsidR="00D97E1A" w:rsidRPr="009A5CE9" w:rsidRDefault="00D97E1A" w:rsidP="009A5CE9">
      <w:pPr>
        <w:spacing w:after="0" w:line="360" w:lineRule="auto"/>
        <w:jc w:val="both"/>
        <w:rPr>
          <w:rFonts w:ascii="Arial" w:hAnsi="Arial" w:cs="Arial"/>
          <w:sz w:val="20"/>
        </w:rPr>
      </w:pPr>
      <w:r w:rsidRPr="009A5CE9">
        <w:rPr>
          <w:rFonts w:ascii="Arial" w:hAnsi="Arial" w:cs="Arial"/>
          <w:sz w:val="20"/>
        </w:rPr>
        <w:tab/>
        <w:t xml:space="preserve">On the basis of intensity of births, deaths, child mortality and infant mortality, the district can be divided into distinct spatial health regions. Nagar, Sangamner, Newasa, and Parner form the high mortality zone, </w:t>
      </w:r>
      <w:proofErr w:type="spellStart"/>
      <w:r w:rsidR="00D32F46" w:rsidRPr="00615E1E">
        <w:rPr>
          <w:rFonts w:ascii="Arial" w:hAnsi="Arial" w:cs="Arial"/>
          <w:sz w:val="20"/>
          <w:highlight w:val="yellow"/>
        </w:rPr>
        <w:t>characterised</w:t>
      </w:r>
      <w:proofErr w:type="spellEnd"/>
      <w:r w:rsidR="00D32F46" w:rsidRPr="00615E1E">
        <w:rPr>
          <w:rFonts w:ascii="Arial" w:hAnsi="Arial" w:cs="Arial"/>
          <w:sz w:val="20"/>
          <w:highlight w:val="yellow"/>
        </w:rPr>
        <w:t xml:space="preserve"> </w:t>
      </w:r>
      <w:r w:rsidRPr="00615E1E">
        <w:rPr>
          <w:rFonts w:ascii="Arial" w:hAnsi="Arial" w:cs="Arial"/>
          <w:sz w:val="20"/>
          <w:highlight w:val="yellow"/>
        </w:rPr>
        <w:t>by h</w:t>
      </w:r>
      <w:r w:rsidRPr="009A5CE9">
        <w:rPr>
          <w:rFonts w:ascii="Arial" w:hAnsi="Arial" w:cs="Arial"/>
          <w:sz w:val="20"/>
        </w:rPr>
        <w:t xml:space="preserve">igh population concentration, urban influence, and greater exposure to health risks. Rahata, Rahuri, Shrigonda, and Shevgaon constitute the moderate mortality zone, showing intermediate levels of health stress and relatively better living conditions. In contrast, Karjat, Jamkhed, and Pathardi fall under the low mortality zone, reflecting low population density and rural settlement patterns. This </w:t>
      </w:r>
      <w:proofErr w:type="spellStart"/>
      <w:r w:rsidR="00D32F46" w:rsidRPr="00615E1E">
        <w:rPr>
          <w:rFonts w:ascii="Arial" w:hAnsi="Arial" w:cs="Arial"/>
          <w:sz w:val="20"/>
          <w:highlight w:val="yellow"/>
        </w:rPr>
        <w:t>regionalisation</w:t>
      </w:r>
      <w:proofErr w:type="spellEnd"/>
      <w:r w:rsidR="00D32F46" w:rsidRPr="00615E1E">
        <w:rPr>
          <w:rFonts w:ascii="Arial" w:hAnsi="Arial" w:cs="Arial"/>
          <w:sz w:val="20"/>
          <w:highlight w:val="yellow"/>
        </w:rPr>
        <w:t xml:space="preserve"> </w:t>
      </w:r>
      <w:r w:rsidRPr="00615E1E">
        <w:rPr>
          <w:rFonts w:ascii="Arial" w:hAnsi="Arial" w:cs="Arial"/>
          <w:sz w:val="20"/>
          <w:highlight w:val="yellow"/>
        </w:rPr>
        <w:t xml:space="preserve">highlights </w:t>
      </w:r>
      <w:r w:rsidRPr="009A5CE9">
        <w:rPr>
          <w:rFonts w:ascii="Arial" w:hAnsi="Arial" w:cs="Arial"/>
          <w:sz w:val="20"/>
        </w:rPr>
        <w:t xml:space="preserve">the uneven spatial distribution of health conditions </w:t>
      </w:r>
      <w:r w:rsidRPr="009A5CE9">
        <w:rPr>
          <w:rFonts w:ascii="Arial" w:hAnsi="Arial" w:cs="Arial"/>
          <w:sz w:val="20"/>
        </w:rPr>
        <w:lastRenderedPageBreak/>
        <w:t>within the district.</w:t>
      </w:r>
      <w:r w:rsidR="00A577D4" w:rsidRPr="009A5CE9">
        <w:rPr>
          <w:rFonts w:ascii="Arial" w:hAnsi="Arial" w:cs="Arial"/>
          <w:sz w:val="20"/>
        </w:rPr>
        <w:t xml:space="preserve"> These patterns reflect varying population densities, healthcare accessibility and socio-economic conditions.</w:t>
      </w:r>
    </w:p>
    <w:p w14:paraId="5C1ABFD5" w14:textId="77777777" w:rsidR="00D97E1A" w:rsidRPr="009A5CE9" w:rsidRDefault="00D97E1A" w:rsidP="009A5CE9">
      <w:pPr>
        <w:spacing w:after="0" w:line="360" w:lineRule="auto"/>
        <w:jc w:val="both"/>
        <w:rPr>
          <w:rFonts w:ascii="Arial" w:hAnsi="Arial" w:cs="Arial"/>
          <w:sz w:val="20"/>
        </w:rPr>
      </w:pPr>
    </w:p>
    <w:p w14:paraId="75D81CB3" w14:textId="1BCD3884"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4.6</w:t>
      </w:r>
      <w:r w:rsidR="00BB3F57" w:rsidRPr="009A5CE9">
        <w:rPr>
          <w:rFonts w:ascii="Arial" w:hAnsi="Arial" w:cs="Arial"/>
          <w:b/>
          <w:bCs/>
          <w:szCs w:val="22"/>
        </w:rPr>
        <w:t xml:space="preserve"> Health Geography Interpretation</w:t>
      </w:r>
    </w:p>
    <w:p w14:paraId="1EAE84EB" w14:textId="3187F74C" w:rsidR="00D97E1A" w:rsidRPr="009A5CE9" w:rsidRDefault="00A577D4" w:rsidP="009A5CE9">
      <w:pPr>
        <w:spacing w:after="0" w:line="360" w:lineRule="auto"/>
        <w:jc w:val="both"/>
        <w:rPr>
          <w:rFonts w:ascii="Arial" w:hAnsi="Arial" w:cs="Arial"/>
          <w:sz w:val="20"/>
        </w:rPr>
      </w:pPr>
      <w:r w:rsidRPr="009A5CE9">
        <w:rPr>
          <w:rFonts w:ascii="Arial" w:hAnsi="Arial" w:cs="Arial"/>
          <w:sz w:val="20"/>
        </w:rPr>
        <w:tab/>
        <w:t xml:space="preserve">Urban tahsils report higher births and deaths due to stronger institutional reporting, larger populations and greater health service </w:t>
      </w:r>
      <w:proofErr w:type="spellStart"/>
      <w:r w:rsidR="009D7647" w:rsidRPr="00615E1E">
        <w:rPr>
          <w:rFonts w:ascii="Arial" w:hAnsi="Arial" w:cs="Arial"/>
          <w:sz w:val="20"/>
          <w:highlight w:val="yellow"/>
        </w:rPr>
        <w:t>utilisation</w:t>
      </w:r>
      <w:proofErr w:type="spellEnd"/>
      <w:r w:rsidRPr="00615E1E">
        <w:rPr>
          <w:rFonts w:ascii="Arial" w:hAnsi="Arial" w:cs="Arial"/>
          <w:sz w:val="20"/>
          <w:highlight w:val="yellow"/>
        </w:rPr>
        <w:t>. Rur</w:t>
      </w:r>
      <w:r w:rsidRPr="009A5CE9">
        <w:rPr>
          <w:rFonts w:ascii="Arial" w:hAnsi="Arial" w:cs="Arial"/>
          <w:sz w:val="20"/>
        </w:rPr>
        <w:t>al tahsils show lower recorded deaths but higher infant risk. The findings are consistent with national demographic patterns where disparities in healthcare infrastructure lead to uneven health outcomes (NITI Aayog, 2022; Registrar General of India, 2023).</w:t>
      </w:r>
    </w:p>
    <w:p w14:paraId="30E2338C" w14:textId="77777777" w:rsidR="00A577D4" w:rsidRPr="009A5CE9" w:rsidRDefault="00A577D4" w:rsidP="009A5CE9">
      <w:pPr>
        <w:spacing w:after="0" w:line="360" w:lineRule="auto"/>
        <w:jc w:val="both"/>
        <w:rPr>
          <w:rFonts w:ascii="Arial" w:hAnsi="Arial" w:cs="Arial"/>
          <w:sz w:val="20"/>
        </w:rPr>
      </w:pPr>
    </w:p>
    <w:p w14:paraId="6C684E2E" w14:textId="59166DBF"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5. CONCLUSION</w:t>
      </w:r>
    </w:p>
    <w:p w14:paraId="5985BCD0" w14:textId="68854A05"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present tahsil-wise geographical analysis of births and deaths under the Health Management Information System (HMIS) reveals pronounced spatial disparities in demographic and health outcomes across the former Ahilyanagar District. By examining live births, total deaths, child mortality (0–5 years), and infant mortality (0–1 year), the study provides a micro-level understanding of population dynamics and health inequalities within the district.</w:t>
      </w:r>
    </w:p>
    <w:p w14:paraId="7889A633" w14:textId="76E21C8E" w:rsidR="0080753A" w:rsidRDefault="0080753A" w:rsidP="009A5CE9">
      <w:pPr>
        <w:spacing w:after="0" w:line="360" w:lineRule="auto"/>
        <w:jc w:val="both"/>
        <w:rPr>
          <w:rFonts w:ascii="Arial" w:hAnsi="Arial" w:cs="Arial"/>
          <w:sz w:val="20"/>
        </w:rPr>
      </w:pPr>
      <w:r w:rsidRPr="009A5CE9">
        <w:rPr>
          <w:rFonts w:ascii="Arial" w:hAnsi="Arial" w:cs="Arial"/>
          <w:sz w:val="20"/>
        </w:rPr>
        <w:t xml:space="preserve">The findings clearly demonstrate that population size, degree of </w:t>
      </w:r>
      <w:proofErr w:type="spellStart"/>
      <w:r w:rsidR="009D7647" w:rsidRPr="00615E1E">
        <w:rPr>
          <w:rFonts w:ascii="Arial" w:hAnsi="Arial" w:cs="Arial"/>
          <w:sz w:val="20"/>
          <w:highlight w:val="yellow"/>
        </w:rPr>
        <w:t>urbanisation</w:t>
      </w:r>
      <w:proofErr w:type="spellEnd"/>
      <w:r w:rsidRPr="00615E1E">
        <w:rPr>
          <w:rFonts w:ascii="Arial" w:hAnsi="Arial" w:cs="Arial"/>
          <w:sz w:val="20"/>
          <w:highlight w:val="yellow"/>
        </w:rPr>
        <w:t>, healthcare</w:t>
      </w:r>
      <w:r w:rsidRPr="009A5CE9">
        <w:rPr>
          <w:rFonts w:ascii="Arial" w:hAnsi="Arial" w:cs="Arial"/>
          <w:sz w:val="20"/>
        </w:rPr>
        <w:t xml:space="preserve"> accessibility, and socio-economic conditions play a decisive role in shaping birth and mortality patterns. Tahsils such as Nagar, Sangamner, Newasa</w:t>
      </w:r>
      <w:r w:rsidRPr="00615E1E">
        <w:rPr>
          <w:rFonts w:ascii="Arial" w:hAnsi="Arial" w:cs="Arial"/>
          <w:sz w:val="20"/>
          <w:highlight w:val="yellow"/>
        </w:rPr>
        <w:t xml:space="preserve">, and Parner emerge as high-birth and high-mortality regions. These tahsils are </w:t>
      </w:r>
      <w:proofErr w:type="spellStart"/>
      <w:r w:rsidR="009D7647" w:rsidRPr="00615E1E">
        <w:rPr>
          <w:rFonts w:ascii="Arial" w:hAnsi="Arial" w:cs="Arial"/>
          <w:sz w:val="20"/>
          <w:highlight w:val="yellow"/>
        </w:rPr>
        <w:t>characterised</w:t>
      </w:r>
      <w:proofErr w:type="spellEnd"/>
      <w:r w:rsidR="009D7647" w:rsidRPr="00615E1E">
        <w:rPr>
          <w:rFonts w:ascii="Arial" w:hAnsi="Arial" w:cs="Arial"/>
          <w:sz w:val="20"/>
          <w:highlight w:val="yellow"/>
        </w:rPr>
        <w:t xml:space="preserve"> </w:t>
      </w:r>
      <w:r w:rsidRPr="00615E1E">
        <w:rPr>
          <w:rFonts w:ascii="Arial" w:hAnsi="Arial" w:cs="Arial"/>
          <w:sz w:val="20"/>
          <w:highlight w:val="yellow"/>
        </w:rPr>
        <w:t xml:space="preserve">by large population concentrations, semi-urban or urban influence, and high </w:t>
      </w:r>
      <w:proofErr w:type="spellStart"/>
      <w:r w:rsidR="009D7647" w:rsidRPr="00615E1E">
        <w:rPr>
          <w:rFonts w:ascii="Arial" w:hAnsi="Arial" w:cs="Arial"/>
          <w:sz w:val="20"/>
          <w:highlight w:val="yellow"/>
        </w:rPr>
        <w:t>utilisation</w:t>
      </w:r>
      <w:proofErr w:type="spellEnd"/>
      <w:r w:rsidR="009D7647" w:rsidRPr="00615E1E">
        <w:rPr>
          <w:rFonts w:ascii="Arial" w:hAnsi="Arial" w:cs="Arial"/>
          <w:sz w:val="20"/>
          <w:highlight w:val="yellow"/>
        </w:rPr>
        <w:t xml:space="preserve"> </w:t>
      </w:r>
      <w:r w:rsidRPr="00615E1E">
        <w:rPr>
          <w:rFonts w:ascii="Arial" w:hAnsi="Arial" w:cs="Arial"/>
          <w:sz w:val="20"/>
          <w:highlight w:val="yellow"/>
        </w:rPr>
        <w:t>o</w:t>
      </w:r>
      <w:r w:rsidRPr="009A5CE9">
        <w:rPr>
          <w:rFonts w:ascii="Arial" w:hAnsi="Arial" w:cs="Arial"/>
          <w:sz w:val="20"/>
        </w:rPr>
        <w:t xml:space="preserve">f institutional health services. However, the persistence of elevated child and infant mortality in these areas indicates </w:t>
      </w:r>
      <w:r w:rsidRPr="00615E1E">
        <w:rPr>
          <w:rFonts w:ascii="Arial" w:hAnsi="Arial" w:cs="Arial"/>
          <w:sz w:val="20"/>
          <w:highlight w:val="yellow"/>
        </w:rPr>
        <w:t xml:space="preserve">that </w:t>
      </w:r>
      <w:r w:rsidR="009D7647" w:rsidRPr="00615E1E">
        <w:rPr>
          <w:rFonts w:ascii="Arial" w:hAnsi="Arial" w:cs="Arial"/>
          <w:sz w:val="20"/>
          <w:highlight w:val="yellow"/>
        </w:rPr>
        <w:t xml:space="preserve">the </w:t>
      </w:r>
      <w:r w:rsidRPr="00615E1E">
        <w:rPr>
          <w:rFonts w:ascii="Arial" w:hAnsi="Arial" w:cs="Arial"/>
          <w:sz w:val="20"/>
          <w:highlight w:val="yellow"/>
        </w:rPr>
        <w:t>avail</w:t>
      </w:r>
      <w:r w:rsidRPr="009A5CE9">
        <w:rPr>
          <w:rFonts w:ascii="Arial" w:hAnsi="Arial" w:cs="Arial"/>
          <w:sz w:val="20"/>
        </w:rPr>
        <w:t>ability of healthcare facilities alone does not ensure improved health outcomes, pointing to gaps in quality of maternal and neonatal care, timely referral mechanisms, and postnatal follow-up.</w:t>
      </w:r>
    </w:p>
    <w:p w14:paraId="7F3214FD" w14:textId="3F5C3382" w:rsidR="00610D7C" w:rsidRDefault="00610D7C" w:rsidP="009A5CE9">
      <w:pPr>
        <w:spacing w:after="0" w:line="360" w:lineRule="auto"/>
        <w:jc w:val="both"/>
        <w:rPr>
          <w:rFonts w:ascii="Arial" w:hAnsi="Arial" w:cs="Arial"/>
          <w:sz w:val="20"/>
        </w:rPr>
      </w:pPr>
    </w:p>
    <w:p w14:paraId="1FB3D2A5" w14:textId="77777777" w:rsidR="00610D7C" w:rsidRPr="009C5487" w:rsidRDefault="00610D7C" w:rsidP="00610D7C">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rPr>
        <w:t>Disclaimer (Artificial intelligence)</w:t>
      </w:r>
    </w:p>
    <w:p w14:paraId="5BCC8225" w14:textId="77777777" w:rsidR="00610D7C" w:rsidRPr="009C5487" w:rsidRDefault="00610D7C" w:rsidP="00610D7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bookmarkEnd w:id="3"/>
    <w:bookmarkEnd w:id="4"/>
    <w:p w14:paraId="4F30D6F8" w14:textId="77777777" w:rsidR="00610D7C" w:rsidRPr="009A5CE9" w:rsidRDefault="00610D7C" w:rsidP="009A5CE9">
      <w:pPr>
        <w:spacing w:after="0" w:line="360" w:lineRule="auto"/>
        <w:jc w:val="both"/>
        <w:rPr>
          <w:rFonts w:ascii="Arial" w:hAnsi="Arial" w:cs="Arial"/>
          <w:sz w:val="20"/>
        </w:rPr>
      </w:pPr>
    </w:p>
    <w:p w14:paraId="7FEC4B20" w14:textId="77777777" w:rsidR="00A577D4" w:rsidRPr="009A5CE9" w:rsidRDefault="00A577D4" w:rsidP="009A5CE9">
      <w:pPr>
        <w:spacing w:after="0" w:line="360" w:lineRule="auto"/>
        <w:jc w:val="both"/>
        <w:rPr>
          <w:rFonts w:ascii="Arial" w:hAnsi="Arial" w:cs="Arial"/>
          <w:sz w:val="20"/>
        </w:rPr>
      </w:pPr>
    </w:p>
    <w:p w14:paraId="0180D01B" w14:textId="77777777" w:rsidR="009A5CE9" w:rsidRPr="009A5CE9" w:rsidRDefault="009A5CE9" w:rsidP="009A5CE9">
      <w:pPr>
        <w:spacing w:after="0" w:line="360" w:lineRule="auto"/>
        <w:jc w:val="both"/>
        <w:rPr>
          <w:rFonts w:ascii="Arial" w:hAnsi="Arial" w:cs="Arial"/>
          <w:sz w:val="20"/>
        </w:rPr>
      </w:pPr>
    </w:p>
    <w:p w14:paraId="747C4E08" w14:textId="7C57C647"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 xml:space="preserve">REFERENCES  </w:t>
      </w:r>
    </w:p>
    <w:p w14:paraId="6560D7E1" w14:textId="31368700" w:rsidR="009A5CE9" w:rsidRDefault="007A364A" w:rsidP="00291D67">
      <w:pPr>
        <w:pStyle w:val="ListParagraph"/>
        <w:numPr>
          <w:ilvl w:val="0"/>
          <w:numId w:val="21"/>
        </w:numPr>
        <w:spacing w:after="0" w:line="360" w:lineRule="auto"/>
        <w:jc w:val="both"/>
        <w:rPr>
          <w:rFonts w:ascii="Arial" w:hAnsi="Arial" w:cs="Arial"/>
          <w:sz w:val="20"/>
        </w:rPr>
      </w:pPr>
      <w:r w:rsidRPr="007A364A">
        <w:rPr>
          <w:rFonts w:ascii="Arial" w:hAnsi="Arial" w:cs="Arial"/>
          <w:sz w:val="20"/>
        </w:rPr>
        <w:t xml:space="preserve">Anderson, B. (1983). Imagined communities: Reflections on the origin and spread of nationalism. Verso. </w:t>
      </w:r>
      <w:hyperlink r:id="rId12" w:history="1">
        <w:r w:rsidRPr="00E02D93">
          <w:rPr>
            <w:rStyle w:val="Hyperlink"/>
            <w:rFonts w:ascii="Arial" w:hAnsi="Arial" w:cs="Arial"/>
            <w:sz w:val="20"/>
          </w:rPr>
          <w:t>https://www.versobooks.com/books/1046-imagined-communities</w:t>
        </w:r>
      </w:hyperlink>
      <w:r>
        <w:rPr>
          <w:rFonts w:ascii="Arial" w:hAnsi="Arial" w:cs="Arial"/>
          <w:sz w:val="20"/>
        </w:rPr>
        <w:t xml:space="preserve"> </w:t>
      </w:r>
    </w:p>
    <w:p w14:paraId="7DB5320E" w14:textId="4F46BC3D"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Bhat, P. N. M., &amp; Zavier, A. J. F. (2017). Fertility transition in India: Regional dimensions. </w:t>
      </w:r>
      <w:r w:rsidRPr="009A5CE9">
        <w:rPr>
          <w:rFonts w:ascii="Arial" w:hAnsi="Arial" w:cs="Arial"/>
          <w:i/>
          <w:iCs/>
          <w:sz w:val="20"/>
        </w:rPr>
        <w:t>Demography India</w:t>
      </w:r>
      <w:r w:rsidRPr="009A5CE9">
        <w:rPr>
          <w:rFonts w:ascii="Arial" w:hAnsi="Arial" w:cs="Arial"/>
          <w:sz w:val="20"/>
        </w:rPr>
        <w:t>, 46(1), 1–15.</w:t>
      </w:r>
    </w:p>
    <w:p w14:paraId="7348A2A9" w14:textId="4B4474C7" w:rsidR="00A577D4" w:rsidRPr="009A5CE9" w:rsidRDefault="009A126E" w:rsidP="00291D67">
      <w:pPr>
        <w:pStyle w:val="ListParagraph"/>
        <w:numPr>
          <w:ilvl w:val="0"/>
          <w:numId w:val="21"/>
        </w:numPr>
        <w:spacing w:after="0" w:line="360" w:lineRule="auto"/>
        <w:jc w:val="both"/>
        <w:rPr>
          <w:rFonts w:ascii="Arial" w:hAnsi="Arial" w:cs="Arial"/>
          <w:sz w:val="20"/>
        </w:rPr>
      </w:pPr>
      <w:proofErr w:type="spellStart"/>
      <w:r w:rsidRPr="009A126E">
        <w:rPr>
          <w:rFonts w:ascii="Arial" w:hAnsi="Arial" w:cs="Arial"/>
          <w:sz w:val="20"/>
        </w:rPr>
        <w:t>Chandna</w:t>
      </w:r>
      <w:proofErr w:type="spellEnd"/>
      <w:r w:rsidRPr="009A126E">
        <w:rPr>
          <w:rFonts w:ascii="Arial" w:hAnsi="Arial" w:cs="Arial"/>
          <w:sz w:val="20"/>
        </w:rPr>
        <w:t>, R. C. (2017). Geography of Population. Kalyani Publishers.</w:t>
      </w:r>
    </w:p>
    <w:p w14:paraId="194517AD"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Ghosh, B. (2016). </w:t>
      </w:r>
      <w:r w:rsidRPr="009A5CE9">
        <w:rPr>
          <w:rFonts w:ascii="Arial" w:hAnsi="Arial" w:cs="Arial"/>
          <w:i/>
          <w:iCs/>
          <w:sz w:val="20"/>
        </w:rPr>
        <w:t>Health and Development in India</w:t>
      </w:r>
      <w:r w:rsidRPr="009A5CE9">
        <w:rPr>
          <w:rFonts w:ascii="Arial" w:hAnsi="Arial" w:cs="Arial"/>
          <w:sz w:val="20"/>
        </w:rPr>
        <w:t>. Deep &amp; Deep.</w:t>
      </w:r>
    </w:p>
    <w:p w14:paraId="6EBBF715" w14:textId="6CA73461" w:rsidR="00A577D4" w:rsidRPr="009A5CE9" w:rsidRDefault="009A126E" w:rsidP="00291D67">
      <w:pPr>
        <w:pStyle w:val="ListParagraph"/>
        <w:numPr>
          <w:ilvl w:val="0"/>
          <w:numId w:val="21"/>
        </w:numPr>
        <w:spacing w:after="0" w:line="360" w:lineRule="auto"/>
        <w:jc w:val="both"/>
        <w:rPr>
          <w:rFonts w:ascii="Arial" w:hAnsi="Arial" w:cs="Arial"/>
          <w:sz w:val="20"/>
        </w:rPr>
      </w:pPr>
      <w:r w:rsidRPr="009A126E">
        <w:rPr>
          <w:rFonts w:ascii="Arial" w:hAnsi="Arial" w:cs="Arial"/>
          <w:sz w:val="20"/>
        </w:rPr>
        <w:lastRenderedPageBreak/>
        <w:t xml:space="preserve">Government of India, &amp; International Institute for Population Sciences. (2021). National Family Health Survey (NFHS-5). International Institute for Population Sciences. </w:t>
      </w:r>
      <w:hyperlink r:id="rId13" w:history="1">
        <w:r w:rsidRPr="00E02D93">
          <w:rPr>
            <w:rStyle w:val="Hyperlink"/>
            <w:rFonts w:ascii="Arial" w:hAnsi="Arial" w:cs="Arial"/>
            <w:sz w:val="20"/>
          </w:rPr>
          <w:t>http://rchiips.org/nfhs/NFHS-5Reports/NFHS-5_INDIA_REPORT.pdf</w:t>
        </w:r>
      </w:hyperlink>
      <w:r>
        <w:rPr>
          <w:rFonts w:ascii="Arial" w:hAnsi="Arial" w:cs="Arial"/>
          <w:sz w:val="20"/>
        </w:rPr>
        <w:t xml:space="preserve"> </w:t>
      </w:r>
    </w:p>
    <w:p w14:paraId="0DBEAAF7"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Kundu, A. (2018). Urbanization and mortality in India. </w:t>
      </w:r>
      <w:r w:rsidRPr="009A5CE9">
        <w:rPr>
          <w:rFonts w:ascii="Arial" w:hAnsi="Arial" w:cs="Arial"/>
          <w:i/>
          <w:iCs/>
          <w:sz w:val="20"/>
        </w:rPr>
        <w:t>Economic and Political Weekly</w:t>
      </w:r>
      <w:r w:rsidRPr="009A5CE9">
        <w:rPr>
          <w:rFonts w:ascii="Arial" w:hAnsi="Arial" w:cs="Arial"/>
          <w:sz w:val="20"/>
        </w:rPr>
        <w:t>, 53(12), 38–45.</w:t>
      </w:r>
    </w:p>
    <w:p w14:paraId="33C3F207" w14:textId="52EBCE03" w:rsidR="00A577D4" w:rsidRPr="009A5CE9" w:rsidRDefault="00FF386C" w:rsidP="00291D67">
      <w:pPr>
        <w:pStyle w:val="ListParagraph"/>
        <w:numPr>
          <w:ilvl w:val="0"/>
          <w:numId w:val="21"/>
        </w:numPr>
        <w:spacing w:after="0" w:line="360" w:lineRule="auto"/>
        <w:jc w:val="both"/>
        <w:rPr>
          <w:rFonts w:ascii="Arial" w:hAnsi="Arial" w:cs="Arial"/>
          <w:sz w:val="20"/>
        </w:rPr>
      </w:pPr>
      <w:r w:rsidRPr="00FF386C">
        <w:rPr>
          <w:rFonts w:ascii="Arial" w:hAnsi="Arial" w:cs="Arial"/>
          <w:sz w:val="20"/>
        </w:rPr>
        <w:t>Ministry of Health &amp; Family Welfare. (2024). Annual Report 2023-24.</w:t>
      </w:r>
      <w:r>
        <w:rPr>
          <w:rFonts w:ascii="Arial" w:hAnsi="Arial" w:cs="Arial"/>
          <w:sz w:val="20"/>
        </w:rPr>
        <w:t xml:space="preserve"> </w:t>
      </w:r>
    </w:p>
    <w:p w14:paraId="0C5D5682"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Mohanty, S. K., &amp; Ram, F. (2020). Maternal and child health inequalities in India. </w:t>
      </w:r>
    </w:p>
    <w:p w14:paraId="057E5B0A"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i/>
          <w:iCs/>
          <w:sz w:val="20"/>
        </w:rPr>
        <w:t>Journal of Biosocial Science</w:t>
      </w:r>
      <w:r w:rsidRPr="009A5CE9">
        <w:rPr>
          <w:rFonts w:ascii="Arial" w:hAnsi="Arial" w:cs="Arial"/>
          <w:sz w:val="20"/>
        </w:rPr>
        <w:t>, 52(2), 241–258.</w:t>
      </w:r>
    </w:p>
    <w:p w14:paraId="112A20DD" w14:textId="23CE087E" w:rsidR="00A577D4" w:rsidRPr="009A5CE9" w:rsidRDefault="00FF386C" w:rsidP="00291D67">
      <w:pPr>
        <w:pStyle w:val="ListParagraph"/>
        <w:numPr>
          <w:ilvl w:val="0"/>
          <w:numId w:val="21"/>
        </w:numPr>
        <w:spacing w:after="0" w:line="360" w:lineRule="auto"/>
        <w:jc w:val="both"/>
        <w:rPr>
          <w:rFonts w:ascii="Arial" w:hAnsi="Arial" w:cs="Arial"/>
          <w:sz w:val="20"/>
        </w:rPr>
      </w:pPr>
      <w:r w:rsidRPr="00FF386C">
        <w:rPr>
          <w:rFonts w:ascii="Arial" w:hAnsi="Arial" w:cs="Arial"/>
          <w:sz w:val="20"/>
        </w:rPr>
        <w:t xml:space="preserve">Ministry of Health and Family Welfare, Government of India. (2023). Rural Health Statistics, 2021-22. </w:t>
      </w:r>
      <w:hyperlink r:id="rId14" w:history="1">
        <w:r w:rsidRPr="00E02D93">
          <w:rPr>
            <w:rStyle w:val="Hyperlink"/>
            <w:rFonts w:ascii="Arial" w:hAnsi="Arial" w:cs="Arial"/>
            <w:sz w:val="20"/>
          </w:rPr>
          <w:t>https://hmis.mohfw.gov.in/downloadfile?filepath=Rural%20Health%20Statistics%202021-22.pdf</w:t>
        </w:r>
      </w:hyperlink>
      <w:r>
        <w:rPr>
          <w:rFonts w:ascii="Arial" w:hAnsi="Arial" w:cs="Arial"/>
          <w:sz w:val="20"/>
        </w:rPr>
        <w:t xml:space="preserve"> </w:t>
      </w:r>
    </w:p>
    <w:p w14:paraId="2A58B8EE" w14:textId="283DF361" w:rsidR="00A577D4" w:rsidRPr="009A5CE9" w:rsidRDefault="00234F29" w:rsidP="00291D67">
      <w:pPr>
        <w:pStyle w:val="ListParagraph"/>
        <w:numPr>
          <w:ilvl w:val="0"/>
          <w:numId w:val="21"/>
        </w:numPr>
        <w:spacing w:after="0" w:line="360" w:lineRule="auto"/>
        <w:jc w:val="both"/>
        <w:rPr>
          <w:rFonts w:ascii="Arial" w:hAnsi="Arial" w:cs="Arial"/>
          <w:sz w:val="20"/>
        </w:rPr>
      </w:pPr>
      <w:r w:rsidRPr="00234F29">
        <w:rPr>
          <w:rFonts w:ascii="Arial" w:hAnsi="Arial" w:cs="Arial"/>
          <w:sz w:val="20"/>
        </w:rPr>
        <w:t>NITI Aayog. (2023). Healthy States, Progressive India: Report on the Ranks of States and Union Territories (State Health Index 2020-21).</w:t>
      </w:r>
      <w:r>
        <w:rPr>
          <w:rFonts w:ascii="Arial" w:hAnsi="Arial" w:cs="Arial"/>
          <w:sz w:val="20"/>
        </w:rPr>
        <w:t xml:space="preserve"> </w:t>
      </w:r>
    </w:p>
    <w:p w14:paraId="738EF808" w14:textId="2AE5EF09" w:rsidR="00A577D4" w:rsidRPr="009A5CE9" w:rsidRDefault="000B59D6" w:rsidP="00291D67">
      <w:pPr>
        <w:pStyle w:val="ListParagraph"/>
        <w:numPr>
          <w:ilvl w:val="0"/>
          <w:numId w:val="21"/>
        </w:numPr>
        <w:spacing w:after="0" w:line="360" w:lineRule="auto"/>
        <w:jc w:val="both"/>
        <w:rPr>
          <w:rFonts w:ascii="Arial" w:hAnsi="Arial" w:cs="Arial"/>
          <w:sz w:val="20"/>
        </w:rPr>
      </w:pPr>
      <w:r w:rsidRPr="000B59D6">
        <w:rPr>
          <w:rFonts w:ascii="Arial" w:hAnsi="Arial" w:cs="Arial"/>
          <w:sz w:val="20"/>
        </w:rPr>
        <w:t xml:space="preserve">Park, K. (2021). *Park's Textbook of Preventive and Social Medicine* (26th ed.). </w:t>
      </w:r>
      <w:proofErr w:type="spellStart"/>
      <w:r w:rsidRPr="000B59D6">
        <w:rPr>
          <w:rFonts w:ascii="Arial" w:hAnsi="Arial" w:cs="Arial"/>
          <w:sz w:val="20"/>
        </w:rPr>
        <w:t>Banarsidas</w:t>
      </w:r>
      <w:proofErr w:type="spellEnd"/>
      <w:r w:rsidRPr="000B59D6">
        <w:rPr>
          <w:rFonts w:ascii="Arial" w:hAnsi="Arial" w:cs="Arial"/>
          <w:sz w:val="20"/>
        </w:rPr>
        <w:t xml:space="preserve"> </w:t>
      </w:r>
      <w:proofErr w:type="spellStart"/>
      <w:r w:rsidRPr="000B59D6">
        <w:rPr>
          <w:rFonts w:ascii="Arial" w:hAnsi="Arial" w:cs="Arial"/>
          <w:sz w:val="20"/>
        </w:rPr>
        <w:t>Bhanot</w:t>
      </w:r>
      <w:proofErr w:type="spellEnd"/>
      <w:r w:rsidRPr="000B59D6">
        <w:rPr>
          <w:rFonts w:ascii="Arial" w:hAnsi="Arial" w:cs="Arial"/>
          <w:sz w:val="20"/>
        </w:rPr>
        <w:t xml:space="preserve"> Publishers.</w:t>
      </w:r>
      <w:r>
        <w:rPr>
          <w:rFonts w:ascii="Arial" w:hAnsi="Arial" w:cs="Arial"/>
          <w:sz w:val="20"/>
        </w:rPr>
        <w:t xml:space="preserve"> </w:t>
      </w:r>
    </w:p>
    <w:p w14:paraId="3CFB7524" w14:textId="253630BF" w:rsidR="00A577D4" w:rsidRPr="009A5CE9" w:rsidRDefault="00E40BFC" w:rsidP="00291D67">
      <w:pPr>
        <w:pStyle w:val="ListParagraph"/>
        <w:numPr>
          <w:ilvl w:val="0"/>
          <w:numId w:val="21"/>
        </w:numPr>
        <w:spacing w:after="0" w:line="360" w:lineRule="auto"/>
        <w:jc w:val="both"/>
        <w:rPr>
          <w:rFonts w:ascii="Arial" w:hAnsi="Arial" w:cs="Arial"/>
          <w:sz w:val="20"/>
        </w:rPr>
      </w:pPr>
      <w:r w:rsidRPr="00E40BFC">
        <w:rPr>
          <w:rFonts w:ascii="Arial" w:hAnsi="Arial" w:cs="Arial"/>
          <w:sz w:val="20"/>
        </w:rPr>
        <w:t xml:space="preserve">Office of the Registrar General &amp; Census Commissioner, India. (2025). Sample Registration System (SRS) Statistical Report 2023. </w:t>
      </w:r>
      <w:hyperlink r:id="rId15" w:history="1">
        <w:r w:rsidRPr="00E02D93">
          <w:rPr>
            <w:rStyle w:val="Hyperlink"/>
            <w:rFonts w:ascii="Arial" w:hAnsi="Arial" w:cs="Arial"/>
            <w:sz w:val="20"/>
          </w:rPr>
          <w:t>https://censusindia.gov.in/census_and_srs/srs_reports_2023.html</w:t>
        </w:r>
      </w:hyperlink>
      <w:r>
        <w:rPr>
          <w:rFonts w:ascii="Arial" w:hAnsi="Arial" w:cs="Arial"/>
          <w:sz w:val="20"/>
        </w:rPr>
        <w:t xml:space="preserve"> </w:t>
      </w:r>
    </w:p>
    <w:p w14:paraId="5FCA7B9F" w14:textId="2A0E7747" w:rsidR="00BB3F57" w:rsidRDefault="00E40BFC" w:rsidP="00291D67">
      <w:pPr>
        <w:pStyle w:val="ListParagraph"/>
        <w:numPr>
          <w:ilvl w:val="0"/>
          <w:numId w:val="21"/>
        </w:numPr>
        <w:spacing w:after="0" w:line="360" w:lineRule="auto"/>
        <w:jc w:val="both"/>
        <w:rPr>
          <w:rFonts w:ascii="Arial" w:hAnsi="Arial" w:cs="Arial"/>
          <w:sz w:val="20"/>
        </w:rPr>
      </w:pPr>
      <w:r w:rsidRPr="00E40BFC">
        <w:rPr>
          <w:rFonts w:ascii="Arial" w:hAnsi="Arial" w:cs="Arial"/>
          <w:sz w:val="20"/>
        </w:rPr>
        <w:t xml:space="preserve">World Health Organization. (2022). World health statistics 2022: monitoring health for the SDGs, sustainable development goals. </w:t>
      </w:r>
      <w:hyperlink r:id="rId16" w:history="1">
        <w:r w:rsidRPr="00E02D93">
          <w:rPr>
            <w:rStyle w:val="Hyperlink"/>
            <w:rFonts w:ascii="Arial" w:hAnsi="Arial" w:cs="Arial"/>
            <w:sz w:val="20"/>
          </w:rPr>
          <w:t>https://www.who.int/publications/m/item/world-health-statistics-2022</w:t>
        </w:r>
      </w:hyperlink>
      <w:r>
        <w:rPr>
          <w:rFonts w:ascii="Arial" w:hAnsi="Arial" w:cs="Arial"/>
          <w:sz w:val="20"/>
        </w:rPr>
        <w:t xml:space="preserve"> </w:t>
      </w:r>
    </w:p>
    <w:p w14:paraId="73D74FDC" w14:textId="77777777" w:rsidR="008D604C" w:rsidRPr="00615E1E" w:rsidRDefault="008D604C" w:rsidP="008D604C">
      <w:pPr>
        <w:pStyle w:val="ListParagraph"/>
        <w:numPr>
          <w:ilvl w:val="0"/>
          <w:numId w:val="21"/>
        </w:numPr>
        <w:spacing w:after="0" w:line="240" w:lineRule="auto"/>
        <w:rPr>
          <w:rFonts w:ascii="Consolas" w:eastAsia="Times New Roman" w:hAnsi="Consolas" w:cs="Times New Roman"/>
          <w:sz w:val="24"/>
          <w:szCs w:val="24"/>
          <w:highlight w:val="yellow"/>
          <w:lang w:bidi="ar-SA"/>
        </w:rPr>
      </w:pPr>
      <w:proofErr w:type="spellStart"/>
      <w:r w:rsidRPr="00615E1E">
        <w:rPr>
          <w:rFonts w:ascii="Consolas" w:eastAsia="Times New Roman" w:hAnsi="Consolas" w:cs="Times New Roman"/>
          <w:sz w:val="24"/>
          <w:szCs w:val="24"/>
          <w:highlight w:val="yellow"/>
          <w:lang w:bidi="ar-SA"/>
        </w:rPr>
        <w:t>Purbey</w:t>
      </w:r>
      <w:proofErr w:type="spellEnd"/>
      <w:r w:rsidRPr="00615E1E">
        <w:rPr>
          <w:rFonts w:ascii="Consolas" w:eastAsia="Times New Roman" w:hAnsi="Consolas" w:cs="Times New Roman"/>
          <w:sz w:val="24"/>
          <w:szCs w:val="24"/>
          <w:highlight w:val="yellow"/>
          <w:lang w:bidi="ar-SA"/>
        </w:rPr>
        <w:t xml:space="preserve"> A, Nambiar A, Roy Choudhury D, </w:t>
      </w:r>
      <w:proofErr w:type="spellStart"/>
      <w:r w:rsidRPr="00615E1E">
        <w:rPr>
          <w:rFonts w:ascii="Consolas" w:eastAsia="Times New Roman" w:hAnsi="Consolas" w:cs="Times New Roman"/>
          <w:sz w:val="24"/>
          <w:szCs w:val="24"/>
          <w:highlight w:val="yellow"/>
          <w:lang w:bidi="ar-SA"/>
        </w:rPr>
        <w:t>Vennam</w:t>
      </w:r>
      <w:proofErr w:type="spellEnd"/>
      <w:r w:rsidRPr="00615E1E">
        <w:rPr>
          <w:rFonts w:ascii="Consolas" w:eastAsia="Times New Roman" w:hAnsi="Consolas" w:cs="Times New Roman"/>
          <w:sz w:val="24"/>
          <w:szCs w:val="24"/>
          <w:highlight w:val="yellow"/>
          <w:lang w:bidi="ar-SA"/>
        </w:rPr>
        <w:t xml:space="preserve"> T, </w:t>
      </w:r>
      <w:proofErr w:type="spellStart"/>
      <w:r w:rsidRPr="00615E1E">
        <w:rPr>
          <w:rFonts w:ascii="Consolas" w:eastAsia="Times New Roman" w:hAnsi="Consolas" w:cs="Times New Roman"/>
          <w:sz w:val="24"/>
          <w:szCs w:val="24"/>
          <w:highlight w:val="yellow"/>
          <w:lang w:bidi="ar-SA"/>
        </w:rPr>
        <w:t>Balani</w:t>
      </w:r>
      <w:proofErr w:type="spellEnd"/>
      <w:r w:rsidRPr="00615E1E">
        <w:rPr>
          <w:rFonts w:ascii="Consolas" w:eastAsia="Times New Roman" w:hAnsi="Consolas" w:cs="Times New Roman"/>
          <w:sz w:val="24"/>
          <w:szCs w:val="24"/>
          <w:highlight w:val="yellow"/>
          <w:lang w:bidi="ar-SA"/>
        </w:rPr>
        <w:t xml:space="preserve"> K, Agnihotri SB. Stillbirth rates and its spatial patterns in India: an exploration of HMIS data. Lancet Reg Health Southeast Asia. 2022 Dec </w:t>
      </w:r>
      <w:proofErr w:type="gramStart"/>
      <w:r w:rsidRPr="00615E1E">
        <w:rPr>
          <w:rFonts w:ascii="Consolas" w:eastAsia="Times New Roman" w:hAnsi="Consolas" w:cs="Times New Roman"/>
          <w:sz w:val="24"/>
          <w:szCs w:val="24"/>
          <w:highlight w:val="yellow"/>
          <w:lang w:bidi="ar-SA"/>
        </w:rPr>
        <w:t>6;9:100116</w:t>
      </w:r>
      <w:proofErr w:type="gramEnd"/>
      <w:r w:rsidRPr="00615E1E">
        <w:rPr>
          <w:rFonts w:ascii="Consolas" w:eastAsia="Times New Roman" w:hAnsi="Consolas" w:cs="Times New Roman"/>
          <w:sz w:val="24"/>
          <w:szCs w:val="24"/>
          <w:highlight w:val="yellow"/>
          <w:lang w:bidi="ar-SA"/>
        </w:rPr>
        <w:t xml:space="preserve">. </w:t>
      </w:r>
      <w:proofErr w:type="spellStart"/>
      <w:r w:rsidRPr="00615E1E">
        <w:rPr>
          <w:rFonts w:ascii="Consolas" w:eastAsia="Times New Roman" w:hAnsi="Consolas" w:cs="Times New Roman"/>
          <w:sz w:val="24"/>
          <w:szCs w:val="24"/>
          <w:highlight w:val="yellow"/>
          <w:lang w:bidi="ar-SA"/>
        </w:rPr>
        <w:t>doi</w:t>
      </w:r>
      <w:proofErr w:type="spellEnd"/>
      <w:r w:rsidRPr="00615E1E">
        <w:rPr>
          <w:rFonts w:ascii="Consolas" w:eastAsia="Times New Roman" w:hAnsi="Consolas" w:cs="Times New Roman"/>
          <w:sz w:val="24"/>
          <w:szCs w:val="24"/>
          <w:highlight w:val="yellow"/>
          <w:lang w:bidi="ar-SA"/>
        </w:rPr>
        <w:t>: 10.1016/j.lansea.2022.100116. PMID: 37383033; PMCID: PMC10306056.</w:t>
      </w:r>
    </w:p>
    <w:p w14:paraId="06D2F90B" w14:textId="77777777" w:rsidR="00923355" w:rsidRPr="00615E1E" w:rsidRDefault="00923355" w:rsidP="00923355">
      <w:pPr>
        <w:pStyle w:val="c-bibliographic-informationcitation"/>
        <w:numPr>
          <w:ilvl w:val="0"/>
          <w:numId w:val="21"/>
        </w:numPr>
        <w:shd w:val="clear" w:color="auto" w:fill="FFFFFF"/>
        <w:spacing w:before="0" w:beforeAutospacing="0" w:after="240" w:afterAutospacing="0"/>
        <w:rPr>
          <w:rFonts w:ascii="Helvetica" w:hAnsi="Helvetica" w:cs="Helvetica"/>
          <w:color w:val="222222"/>
          <w:highlight w:val="yellow"/>
        </w:rPr>
      </w:pPr>
      <w:r w:rsidRPr="00615E1E">
        <w:rPr>
          <w:rFonts w:ascii="Helvetica" w:hAnsi="Helvetica" w:cs="Helvetica"/>
          <w:color w:val="222222"/>
          <w:highlight w:val="yellow"/>
        </w:rPr>
        <w:t>Gupta, G., Rana, T.S., Karun, S. </w:t>
      </w:r>
      <w:r w:rsidRPr="00615E1E">
        <w:rPr>
          <w:rFonts w:ascii="Helvetica" w:hAnsi="Helvetica" w:cs="Helvetica"/>
          <w:i/>
          <w:iCs/>
          <w:color w:val="222222"/>
          <w:highlight w:val="yellow"/>
        </w:rPr>
        <w:t>et al.</w:t>
      </w:r>
      <w:r w:rsidRPr="00615E1E">
        <w:rPr>
          <w:rFonts w:ascii="Helvetica" w:hAnsi="Helvetica" w:cs="Helvetica"/>
          <w:color w:val="222222"/>
          <w:highlight w:val="yellow"/>
        </w:rPr>
        <w:t> Spatial pattern and correlates of maternal healthcare utilization in the North Eastern Region of India: evidence from the National Family Health Survey, 2019–2021. </w:t>
      </w:r>
      <w:proofErr w:type="spellStart"/>
      <w:r w:rsidRPr="00615E1E">
        <w:rPr>
          <w:rFonts w:ascii="Helvetica" w:hAnsi="Helvetica" w:cs="Helvetica"/>
          <w:i/>
          <w:iCs/>
          <w:color w:val="222222"/>
          <w:highlight w:val="yellow"/>
        </w:rPr>
        <w:t>Discov</w:t>
      </w:r>
      <w:proofErr w:type="spellEnd"/>
      <w:r w:rsidRPr="00615E1E">
        <w:rPr>
          <w:rFonts w:ascii="Helvetica" w:hAnsi="Helvetica" w:cs="Helvetica"/>
          <w:i/>
          <w:iCs/>
          <w:color w:val="222222"/>
          <w:highlight w:val="yellow"/>
        </w:rPr>
        <w:t xml:space="preserve"> Public Health</w:t>
      </w:r>
      <w:r w:rsidRPr="00615E1E">
        <w:rPr>
          <w:rFonts w:ascii="Helvetica" w:hAnsi="Helvetica" w:cs="Helvetica"/>
          <w:color w:val="222222"/>
          <w:highlight w:val="yellow"/>
        </w:rPr>
        <w:t> </w:t>
      </w:r>
      <w:r w:rsidRPr="00615E1E">
        <w:rPr>
          <w:rFonts w:ascii="Helvetica" w:hAnsi="Helvetica" w:cs="Helvetica"/>
          <w:b/>
          <w:bCs/>
          <w:color w:val="222222"/>
          <w:highlight w:val="yellow"/>
        </w:rPr>
        <w:t>22</w:t>
      </w:r>
      <w:r w:rsidRPr="00615E1E">
        <w:rPr>
          <w:rFonts w:ascii="Helvetica" w:hAnsi="Helvetica" w:cs="Helvetica"/>
          <w:color w:val="222222"/>
          <w:highlight w:val="yellow"/>
        </w:rPr>
        <w:t>, 365 (2025). https://doi.org/10.1186/s12982-025-00660-0</w:t>
      </w:r>
    </w:p>
    <w:p w14:paraId="0802974B" w14:textId="46D391FD" w:rsidR="008D604C" w:rsidRPr="003A7E07" w:rsidRDefault="00A53983" w:rsidP="00291D67">
      <w:pPr>
        <w:pStyle w:val="ListParagraph"/>
        <w:numPr>
          <w:ilvl w:val="0"/>
          <w:numId w:val="21"/>
        </w:numPr>
        <w:spacing w:after="0" w:line="360" w:lineRule="auto"/>
        <w:jc w:val="both"/>
        <w:rPr>
          <w:rFonts w:ascii="Arial" w:hAnsi="Arial" w:cs="Arial"/>
          <w:sz w:val="20"/>
          <w:highlight w:val="yellow"/>
        </w:rPr>
      </w:pPr>
      <w:r w:rsidRPr="00615E1E">
        <w:rPr>
          <w:rFonts w:ascii="Arial" w:hAnsi="Arial" w:cs="Arial"/>
          <w:color w:val="222222"/>
          <w:sz w:val="20"/>
          <w:highlight w:val="yellow"/>
          <w:shd w:val="clear" w:color="auto" w:fill="FFFFFF"/>
        </w:rPr>
        <w:t>Majumder, S., Roy, S., Bose, A., &amp; Chowdhury, I. R. (2023). Understanding regional disparities in healthcare quality and accessibility in West Bengal, India: A multivariate analysis. </w:t>
      </w:r>
      <w:r w:rsidRPr="00615E1E">
        <w:rPr>
          <w:rFonts w:ascii="Arial" w:hAnsi="Arial" w:cs="Arial"/>
          <w:i/>
          <w:iCs/>
          <w:color w:val="222222"/>
          <w:sz w:val="20"/>
          <w:highlight w:val="yellow"/>
          <w:shd w:val="clear" w:color="auto" w:fill="FFFFFF"/>
        </w:rPr>
        <w:t xml:space="preserve">Regional </w:t>
      </w:r>
      <w:r w:rsidRPr="003A7E07">
        <w:rPr>
          <w:rFonts w:ascii="Arial" w:hAnsi="Arial" w:cs="Arial"/>
          <w:i/>
          <w:iCs/>
          <w:color w:val="222222"/>
          <w:sz w:val="20"/>
          <w:highlight w:val="yellow"/>
          <w:shd w:val="clear" w:color="auto" w:fill="FFFFFF"/>
        </w:rPr>
        <w:t>Science Policy &amp; Practice</w:t>
      </w:r>
      <w:r w:rsidRPr="003A7E07">
        <w:rPr>
          <w:rFonts w:ascii="Arial" w:hAnsi="Arial" w:cs="Arial"/>
          <w:color w:val="222222"/>
          <w:sz w:val="20"/>
          <w:highlight w:val="yellow"/>
          <w:shd w:val="clear" w:color="auto" w:fill="FFFFFF"/>
        </w:rPr>
        <w:t>, </w:t>
      </w:r>
      <w:r w:rsidRPr="003A7E07">
        <w:rPr>
          <w:rFonts w:ascii="Arial" w:hAnsi="Arial" w:cs="Arial"/>
          <w:i/>
          <w:iCs/>
          <w:color w:val="222222"/>
          <w:sz w:val="20"/>
          <w:highlight w:val="yellow"/>
          <w:shd w:val="clear" w:color="auto" w:fill="FFFFFF"/>
        </w:rPr>
        <w:t>15</w:t>
      </w:r>
      <w:r w:rsidRPr="003A7E07">
        <w:rPr>
          <w:rFonts w:ascii="Arial" w:hAnsi="Arial" w:cs="Arial"/>
          <w:color w:val="222222"/>
          <w:sz w:val="20"/>
          <w:highlight w:val="yellow"/>
          <w:shd w:val="clear" w:color="auto" w:fill="FFFFFF"/>
        </w:rPr>
        <w:t>(5), 1086-1114.</w:t>
      </w:r>
    </w:p>
    <w:p w14:paraId="3D9482CF" w14:textId="02F6C7E8" w:rsidR="003A7E07" w:rsidRPr="003A7E07" w:rsidRDefault="003A7E07" w:rsidP="00291D67">
      <w:pPr>
        <w:pStyle w:val="ListParagraph"/>
        <w:numPr>
          <w:ilvl w:val="0"/>
          <w:numId w:val="21"/>
        </w:numPr>
        <w:spacing w:after="0" w:line="360" w:lineRule="auto"/>
        <w:jc w:val="both"/>
        <w:rPr>
          <w:rFonts w:ascii="Arial" w:hAnsi="Arial" w:cs="Arial"/>
          <w:sz w:val="20"/>
          <w:highlight w:val="yellow"/>
        </w:rPr>
      </w:pPr>
      <w:r w:rsidRPr="003A7E07">
        <w:rPr>
          <w:rFonts w:ascii="Arial" w:hAnsi="Arial" w:cs="Arial"/>
          <w:color w:val="222222"/>
          <w:sz w:val="20"/>
          <w:highlight w:val="yellow"/>
          <w:shd w:val="clear" w:color="auto" w:fill="FFFFFF"/>
        </w:rPr>
        <w:t xml:space="preserve">Bin Islam, D., </w:t>
      </w:r>
      <w:proofErr w:type="spellStart"/>
      <w:r w:rsidRPr="003A7E07">
        <w:rPr>
          <w:rFonts w:ascii="Arial" w:hAnsi="Arial" w:cs="Arial"/>
          <w:color w:val="222222"/>
          <w:sz w:val="20"/>
          <w:highlight w:val="yellow"/>
          <w:shd w:val="clear" w:color="auto" w:fill="FFFFFF"/>
        </w:rPr>
        <w:t>Purbey</w:t>
      </w:r>
      <w:proofErr w:type="spellEnd"/>
      <w:r w:rsidRPr="003A7E07">
        <w:rPr>
          <w:rFonts w:ascii="Arial" w:hAnsi="Arial" w:cs="Arial"/>
          <w:color w:val="222222"/>
          <w:sz w:val="20"/>
          <w:highlight w:val="yellow"/>
          <w:shd w:val="clear" w:color="auto" w:fill="FFFFFF"/>
        </w:rPr>
        <w:t xml:space="preserve">, A., Roy Choudhury, D., </w:t>
      </w:r>
      <w:proofErr w:type="spellStart"/>
      <w:r w:rsidRPr="003A7E07">
        <w:rPr>
          <w:rFonts w:ascii="Arial" w:hAnsi="Arial" w:cs="Arial"/>
          <w:color w:val="222222"/>
          <w:sz w:val="20"/>
          <w:highlight w:val="yellow"/>
          <w:shd w:val="clear" w:color="auto" w:fill="FFFFFF"/>
        </w:rPr>
        <w:t>Lahariya</w:t>
      </w:r>
      <w:proofErr w:type="spellEnd"/>
      <w:r w:rsidRPr="003A7E07">
        <w:rPr>
          <w:rFonts w:ascii="Arial" w:hAnsi="Arial" w:cs="Arial"/>
          <w:color w:val="222222"/>
          <w:sz w:val="20"/>
          <w:highlight w:val="yellow"/>
          <w:shd w:val="clear" w:color="auto" w:fill="FFFFFF"/>
        </w:rPr>
        <w:t>, C., &amp; Agnihotri, S. B. (2023). Seasonal and district level geo-spatia</w:t>
      </w:r>
      <w:bookmarkStart w:id="5" w:name="_GoBack"/>
      <w:bookmarkEnd w:id="5"/>
      <w:r w:rsidRPr="003A7E07">
        <w:rPr>
          <w:rFonts w:ascii="Arial" w:hAnsi="Arial" w:cs="Arial"/>
          <w:color w:val="222222"/>
          <w:sz w:val="20"/>
          <w:highlight w:val="yellow"/>
          <w:shd w:val="clear" w:color="auto" w:fill="FFFFFF"/>
        </w:rPr>
        <w:t>l variations in stillbirth rates in India: an analysis of secondary data. </w:t>
      </w:r>
      <w:r w:rsidRPr="003A7E07">
        <w:rPr>
          <w:rFonts w:ascii="Arial" w:hAnsi="Arial" w:cs="Arial"/>
          <w:i/>
          <w:iCs/>
          <w:color w:val="222222"/>
          <w:sz w:val="20"/>
          <w:highlight w:val="yellow"/>
          <w:shd w:val="clear" w:color="auto" w:fill="FFFFFF"/>
        </w:rPr>
        <w:t>Indian Journal of Pediatrics</w:t>
      </w:r>
      <w:r w:rsidRPr="003A7E07">
        <w:rPr>
          <w:rFonts w:ascii="Arial" w:hAnsi="Arial" w:cs="Arial"/>
          <w:color w:val="222222"/>
          <w:sz w:val="20"/>
          <w:highlight w:val="yellow"/>
          <w:shd w:val="clear" w:color="auto" w:fill="FFFFFF"/>
        </w:rPr>
        <w:t>, </w:t>
      </w:r>
      <w:r w:rsidRPr="003A7E07">
        <w:rPr>
          <w:rFonts w:ascii="Arial" w:hAnsi="Arial" w:cs="Arial"/>
          <w:i/>
          <w:iCs/>
          <w:color w:val="222222"/>
          <w:sz w:val="20"/>
          <w:highlight w:val="yellow"/>
          <w:shd w:val="clear" w:color="auto" w:fill="FFFFFF"/>
        </w:rPr>
        <w:t>90</w:t>
      </w:r>
      <w:r w:rsidRPr="003A7E07">
        <w:rPr>
          <w:rFonts w:ascii="Arial" w:hAnsi="Arial" w:cs="Arial"/>
          <w:color w:val="222222"/>
          <w:sz w:val="20"/>
          <w:highlight w:val="yellow"/>
          <w:shd w:val="clear" w:color="auto" w:fill="FFFFFF"/>
        </w:rPr>
        <w:t>(Suppl 1), 47-53.</w:t>
      </w:r>
    </w:p>
    <w:p w14:paraId="505FB9B1" w14:textId="1006A230" w:rsidR="003A7E07" w:rsidRPr="003A7E07" w:rsidRDefault="003A7E07" w:rsidP="00291D67">
      <w:pPr>
        <w:pStyle w:val="ListParagraph"/>
        <w:numPr>
          <w:ilvl w:val="0"/>
          <w:numId w:val="21"/>
        </w:numPr>
        <w:spacing w:after="0" w:line="360" w:lineRule="auto"/>
        <w:jc w:val="both"/>
        <w:rPr>
          <w:rFonts w:ascii="Arial" w:hAnsi="Arial" w:cs="Arial"/>
          <w:sz w:val="20"/>
          <w:highlight w:val="yellow"/>
        </w:rPr>
      </w:pPr>
      <w:proofErr w:type="spellStart"/>
      <w:r w:rsidRPr="003A7E07">
        <w:rPr>
          <w:rFonts w:ascii="Arial" w:hAnsi="Arial" w:cs="Arial"/>
          <w:color w:val="222222"/>
          <w:sz w:val="20"/>
          <w:highlight w:val="yellow"/>
          <w:shd w:val="clear" w:color="auto" w:fill="FFFFFF"/>
        </w:rPr>
        <w:t>Kigozi</w:t>
      </w:r>
      <w:proofErr w:type="spellEnd"/>
      <w:r w:rsidRPr="003A7E07">
        <w:rPr>
          <w:rFonts w:ascii="Arial" w:hAnsi="Arial" w:cs="Arial"/>
          <w:color w:val="222222"/>
          <w:sz w:val="20"/>
          <w:highlight w:val="yellow"/>
          <w:shd w:val="clear" w:color="auto" w:fill="FFFFFF"/>
        </w:rPr>
        <w:t xml:space="preserve">, S. P., </w:t>
      </w:r>
      <w:proofErr w:type="spellStart"/>
      <w:r w:rsidRPr="003A7E07">
        <w:rPr>
          <w:rFonts w:ascii="Arial" w:hAnsi="Arial" w:cs="Arial"/>
          <w:color w:val="222222"/>
          <w:sz w:val="20"/>
          <w:highlight w:val="yellow"/>
          <w:shd w:val="clear" w:color="auto" w:fill="FFFFFF"/>
        </w:rPr>
        <w:t>Kigozi</w:t>
      </w:r>
      <w:proofErr w:type="spellEnd"/>
      <w:r w:rsidRPr="003A7E07">
        <w:rPr>
          <w:rFonts w:ascii="Arial" w:hAnsi="Arial" w:cs="Arial"/>
          <w:color w:val="222222"/>
          <w:sz w:val="20"/>
          <w:highlight w:val="yellow"/>
          <w:shd w:val="clear" w:color="auto" w:fill="FFFFFF"/>
        </w:rPr>
        <w:t xml:space="preserve">, R. N., </w:t>
      </w:r>
      <w:proofErr w:type="spellStart"/>
      <w:r w:rsidRPr="003A7E07">
        <w:rPr>
          <w:rFonts w:ascii="Arial" w:hAnsi="Arial" w:cs="Arial"/>
          <w:color w:val="222222"/>
          <w:sz w:val="20"/>
          <w:highlight w:val="yellow"/>
          <w:shd w:val="clear" w:color="auto" w:fill="FFFFFF"/>
        </w:rPr>
        <w:t>Sebuguzi</w:t>
      </w:r>
      <w:proofErr w:type="spellEnd"/>
      <w:r w:rsidRPr="003A7E07">
        <w:rPr>
          <w:rFonts w:ascii="Arial" w:hAnsi="Arial" w:cs="Arial"/>
          <w:color w:val="222222"/>
          <w:sz w:val="20"/>
          <w:highlight w:val="yellow"/>
          <w:shd w:val="clear" w:color="auto" w:fill="FFFFFF"/>
        </w:rPr>
        <w:t xml:space="preserve">, C. M., Cano, J., </w:t>
      </w:r>
      <w:proofErr w:type="spellStart"/>
      <w:r w:rsidRPr="003A7E07">
        <w:rPr>
          <w:rFonts w:ascii="Arial" w:hAnsi="Arial" w:cs="Arial"/>
          <w:color w:val="222222"/>
          <w:sz w:val="20"/>
          <w:highlight w:val="yellow"/>
          <w:shd w:val="clear" w:color="auto" w:fill="FFFFFF"/>
        </w:rPr>
        <w:t>Rutazaana</w:t>
      </w:r>
      <w:proofErr w:type="spellEnd"/>
      <w:r w:rsidRPr="003A7E07">
        <w:rPr>
          <w:rFonts w:ascii="Arial" w:hAnsi="Arial" w:cs="Arial"/>
          <w:color w:val="222222"/>
          <w:sz w:val="20"/>
          <w:highlight w:val="yellow"/>
          <w:shd w:val="clear" w:color="auto" w:fill="FFFFFF"/>
        </w:rPr>
        <w:t xml:space="preserve">, D., </w:t>
      </w:r>
      <w:proofErr w:type="spellStart"/>
      <w:r w:rsidRPr="003A7E07">
        <w:rPr>
          <w:rFonts w:ascii="Arial" w:hAnsi="Arial" w:cs="Arial"/>
          <w:color w:val="222222"/>
          <w:sz w:val="20"/>
          <w:highlight w:val="yellow"/>
          <w:shd w:val="clear" w:color="auto" w:fill="FFFFFF"/>
        </w:rPr>
        <w:t>Opigo</w:t>
      </w:r>
      <w:proofErr w:type="spellEnd"/>
      <w:r w:rsidRPr="003A7E07">
        <w:rPr>
          <w:rFonts w:ascii="Arial" w:hAnsi="Arial" w:cs="Arial"/>
          <w:color w:val="222222"/>
          <w:sz w:val="20"/>
          <w:highlight w:val="yellow"/>
          <w:shd w:val="clear" w:color="auto" w:fill="FFFFFF"/>
        </w:rPr>
        <w:t xml:space="preserve">, J., ... &amp; </w:t>
      </w:r>
      <w:proofErr w:type="spellStart"/>
      <w:r w:rsidRPr="003A7E07">
        <w:rPr>
          <w:rFonts w:ascii="Arial" w:hAnsi="Arial" w:cs="Arial"/>
          <w:color w:val="222222"/>
          <w:sz w:val="20"/>
          <w:highlight w:val="yellow"/>
          <w:shd w:val="clear" w:color="auto" w:fill="FFFFFF"/>
        </w:rPr>
        <w:t>Pullan</w:t>
      </w:r>
      <w:proofErr w:type="spellEnd"/>
      <w:r w:rsidRPr="003A7E07">
        <w:rPr>
          <w:rFonts w:ascii="Arial" w:hAnsi="Arial" w:cs="Arial"/>
          <w:color w:val="222222"/>
          <w:sz w:val="20"/>
          <w:highlight w:val="yellow"/>
          <w:shd w:val="clear" w:color="auto" w:fill="FFFFFF"/>
        </w:rPr>
        <w:t>, R. L. (2020). Spatial-temporal patterns of malaria incidence in Uganda using HMIS data from 2015 to 2019. </w:t>
      </w:r>
      <w:r w:rsidRPr="003A7E07">
        <w:rPr>
          <w:rFonts w:ascii="Arial" w:hAnsi="Arial" w:cs="Arial"/>
          <w:i/>
          <w:iCs/>
          <w:color w:val="222222"/>
          <w:sz w:val="20"/>
          <w:highlight w:val="yellow"/>
          <w:shd w:val="clear" w:color="auto" w:fill="FFFFFF"/>
        </w:rPr>
        <w:t>BMC public health</w:t>
      </w:r>
      <w:r w:rsidRPr="003A7E07">
        <w:rPr>
          <w:rFonts w:ascii="Arial" w:hAnsi="Arial" w:cs="Arial"/>
          <w:color w:val="222222"/>
          <w:sz w:val="20"/>
          <w:highlight w:val="yellow"/>
          <w:shd w:val="clear" w:color="auto" w:fill="FFFFFF"/>
        </w:rPr>
        <w:t>, </w:t>
      </w:r>
      <w:r w:rsidRPr="003A7E07">
        <w:rPr>
          <w:rFonts w:ascii="Arial" w:hAnsi="Arial" w:cs="Arial"/>
          <w:i/>
          <w:iCs/>
          <w:color w:val="222222"/>
          <w:sz w:val="20"/>
          <w:highlight w:val="yellow"/>
          <w:shd w:val="clear" w:color="auto" w:fill="FFFFFF"/>
        </w:rPr>
        <w:t>20</w:t>
      </w:r>
      <w:r w:rsidRPr="003A7E07">
        <w:rPr>
          <w:rFonts w:ascii="Arial" w:hAnsi="Arial" w:cs="Arial"/>
          <w:color w:val="222222"/>
          <w:sz w:val="20"/>
          <w:highlight w:val="yellow"/>
          <w:shd w:val="clear" w:color="auto" w:fill="FFFFFF"/>
        </w:rPr>
        <w:t>(1), 1913.</w:t>
      </w:r>
    </w:p>
    <w:p w14:paraId="6988C129" w14:textId="41A983BA" w:rsidR="003A7E07" w:rsidRPr="003A7E07" w:rsidRDefault="003A7E07" w:rsidP="00291D67">
      <w:pPr>
        <w:pStyle w:val="ListParagraph"/>
        <w:numPr>
          <w:ilvl w:val="0"/>
          <w:numId w:val="21"/>
        </w:numPr>
        <w:spacing w:after="0" w:line="360" w:lineRule="auto"/>
        <w:jc w:val="both"/>
        <w:rPr>
          <w:rFonts w:ascii="Arial" w:hAnsi="Arial" w:cs="Arial"/>
          <w:sz w:val="20"/>
          <w:highlight w:val="yellow"/>
        </w:rPr>
      </w:pPr>
      <w:r w:rsidRPr="003A7E07">
        <w:rPr>
          <w:rFonts w:ascii="Arial" w:hAnsi="Arial" w:cs="Arial"/>
          <w:color w:val="222222"/>
          <w:sz w:val="20"/>
          <w:highlight w:val="yellow"/>
          <w:shd w:val="clear" w:color="auto" w:fill="FFFFFF"/>
        </w:rPr>
        <w:lastRenderedPageBreak/>
        <w:t xml:space="preserve">Arslan, O. Z. A. N., </w:t>
      </w:r>
      <w:proofErr w:type="spellStart"/>
      <w:r w:rsidRPr="003A7E07">
        <w:rPr>
          <w:rFonts w:ascii="Arial" w:hAnsi="Arial" w:cs="Arial"/>
          <w:color w:val="222222"/>
          <w:sz w:val="20"/>
          <w:highlight w:val="yellow"/>
          <w:shd w:val="clear" w:color="auto" w:fill="FFFFFF"/>
        </w:rPr>
        <w:t>Cepni</w:t>
      </w:r>
      <w:proofErr w:type="spellEnd"/>
      <w:r w:rsidRPr="003A7E07">
        <w:rPr>
          <w:rFonts w:ascii="Arial" w:hAnsi="Arial" w:cs="Arial"/>
          <w:color w:val="222222"/>
          <w:sz w:val="20"/>
          <w:highlight w:val="yellow"/>
          <w:shd w:val="clear" w:color="auto" w:fill="FFFFFF"/>
        </w:rPr>
        <w:t xml:space="preserve">, M. S., &amp; </w:t>
      </w:r>
      <w:proofErr w:type="spellStart"/>
      <w:r w:rsidRPr="003A7E07">
        <w:rPr>
          <w:rFonts w:ascii="Arial" w:hAnsi="Arial" w:cs="Arial"/>
          <w:color w:val="222222"/>
          <w:sz w:val="20"/>
          <w:highlight w:val="yellow"/>
          <w:shd w:val="clear" w:color="auto" w:fill="FFFFFF"/>
        </w:rPr>
        <w:t>Etiler</w:t>
      </w:r>
      <w:proofErr w:type="spellEnd"/>
      <w:r w:rsidRPr="003A7E07">
        <w:rPr>
          <w:rFonts w:ascii="Arial" w:hAnsi="Arial" w:cs="Arial"/>
          <w:color w:val="222222"/>
          <w:sz w:val="20"/>
          <w:highlight w:val="yellow"/>
          <w:shd w:val="clear" w:color="auto" w:fill="FFFFFF"/>
        </w:rPr>
        <w:t xml:space="preserve">, N. (2013). Spatial analysis of perinatal mortality rates with geographic information systems in </w:t>
      </w:r>
      <w:proofErr w:type="spellStart"/>
      <w:r w:rsidRPr="003A7E07">
        <w:rPr>
          <w:rFonts w:ascii="Arial" w:hAnsi="Arial" w:cs="Arial"/>
          <w:color w:val="222222"/>
          <w:sz w:val="20"/>
          <w:highlight w:val="yellow"/>
          <w:shd w:val="clear" w:color="auto" w:fill="FFFFFF"/>
        </w:rPr>
        <w:t>Kocaeli</w:t>
      </w:r>
      <w:proofErr w:type="spellEnd"/>
      <w:r w:rsidRPr="003A7E07">
        <w:rPr>
          <w:rFonts w:ascii="Arial" w:hAnsi="Arial" w:cs="Arial"/>
          <w:color w:val="222222"/>
          <w:sz w:val="20"/>
          <w:highlight w:val="yellow"/>
          <w:shd w:val="clear" w:color="auto" w:fill="FFFFFF"/>
        </w:rPr>
        <w:t>, Turkey. </w:t>
      </w:r>
      <w:r w:rsidRPr="003A7E07">
        <w:rPr>
          <w:rFonts w:ascii="Arial" w:hAnsi="Arial" w:cs="Arial"/>
          <w:i/>
          <w:iCs/>
          <w:color w:val="222222"/>
          <w:sz w:val="20"/>
          <w:highlight w:val="yellow"/>
          <w:shd w:val="clear" w:color="auto" w:fill="FFFFFF"/>
        </w:rPr>
        <w:t>Public health</w:t>
      </w:r>
      <w:r w:rsidRPr="003A7E07">
        <w:rPr>
          <w:rFonts w:ascii="Arial" w:hAnsi="Arial" w:cs="Arial"/>
          <w:color w:val="222222"/>
          <w:sz w:val="20"/>
          <w:highlight w:val="yellow"/>
          <w:shd w:val="clear" w:color="auto" w:fill="FFFFFF"/>
        </w:rPr>
        <w:t>, </w:t>
      </w:r>
      <w:r w:rsidRPr="003A7E07">
        <w:rPr>
          <w:rFonts w:ascii="Arial" w:hAnsi="Arial" w:cs="Arial"/>
          <w:i/>
          <w:iCs/>
          <w:color w:val="222222"/>
          <w:sz w:val="20"/>
          <w:highlight w:val="yellow"/>
          <w:shd w:val="clear" w:color="auto" w:fill="FFFFFF"/>
        </w:rPr>
        <w:t>127</w:t>
      </w:r>
      <w:r w:rsidRPr="003A7E07">
        <w:rPr>
          <w:rFonts w:ascii="Arial" w:hAnsi="Arial" w:cs="Arial"/>
          <w:color w:val="222222"/>
          <w:sz w:val="20"/>
          <w:highlight w:val="yellow"/>
          <w:shd w:val="clear" w:color="auto" w:fill="FFFFFF"/>
        </w:rPr>
        <w:t>(4), 369-379.</w:t>
      </w:r>
    </w:p>
    <w:p w14:paraId="1F2F4A91" w14:textId="2FFC5463" w:rsidR="003A7E07" w:rsidRPr="003A7E07" w:rsidRDefault="003A7E07" w:rsidP="00291D67">
      <w:pPr>
        <w:pStyle w:val="ListParagraph"/>
        <w:numPr>
          <w:ilvl w:val="0"/>
          <w:numId w:val="21"/>
        </w:numPr>
        <w:spacing w:after="0" w:line="360" w:lineRule="auto"/>
        <w:jc w:val="both"/>
        <w:rPr>
          <w:rFonts w:ascii="Arial" w:hAnsi="Arial" w:cs="Arial"/>
          <w:sz w:val="20"/>
          <w:highlight w:val="yellow"/>
        </w:rPr>
      </w:pPr>
      <w:r w:rsidRPr="003A7E07">
        <w:rPr>
          <w:rFonts w:ascii="Arial" w:hAnsi="Arial" w:cs="Arial"/>
          <w:color w:val="222222"/>
          <w:sz w:val="20"/>
          <w:highlight w:val="yellow"/>
          <w:shd w:val="clear" w:color="auto" w:fill="FFFFFF"/>
        </w:rPr>
        <w:t>Chatterjee, P., Gupta, A., &amp; Subramanian, S. V. (2022). Can administrative health data be used to estimate population level birth and child mortality estimates? A comparison of India's Health Information Management System data with nationally representative survey data. </w:t>
      </w:r>
      <w:r w:rsidRPr="003A7E07">
        <w:rPr>
          <w:rFonts w:ascii="Arial" w:hAnsi="Arial" w:cs="Arial"/>
          <w:i/>
          <w:iCs/>
          <w:color w:val="222222"/>
          <w:sz w:val="20"/>
          <w:highlight w:val="yellow"/>
          <w:shd w:val="clear" w:color="auto" w:fill="FFFFFF"/>
        </w:rPr>
        <w:t>SSM-Population Health</w:t>
      </w:r>
      <w:r w:rsidRPr="003A7E07">
        <w:rPr>
          <w:rFonts w:ascii="Arial" w:hAnsi="Arial" w:cs="Arial"/>
          <w:color w:val="222222"/>
          <w:sz w:val="20"/>
          <w:highlight w:val="yellow"/>
          <w:shd w:val="clear" w:color="auto" w:fill="FFFFFF"/>
        </w:rPr>
        <w:t>, </w:t>
      </w:r>
      <w:r w:rsidRPr="003A7E07">
        <w:rPr>
          <w:rFonts w:ascii="Arial" w:hAnsi="Arial" w:cs="Arial"/>
          <w:i/>
          <w:iCs/>
          <w:color w:val="222222"/>
          <w:sz w:val="20"/>
          <w:highlight w:val="yellow"/>
          <w:shd w:val="clear" w:color="auto" w:fill="FFFFFF"/>
        </w:rPr>
        <w:t>19</w:t>
      </w:r>
      <w:r w:rsidRPr="003A7E07">
        <w:rPr>
          <w:rFonts w:ascii="Arial" w:hAnsi="Arial" w:cs="Arial"/>
          <w:color w:val="222222"/>
          <w:sz w:val="20"/>
          <w:highlight w:val="yellow"/>
          <w:shd w:val="clear" w:color="auto" w:fill="FFFFFF"/>
        </w:rPr>
        <w:t>, 101148.</w:t>
      </w:r>
    </w:p>
    <w:sectPr w:rsidR="003A7E07" w:rsidRPr="003A7E07" w:rsidSect="00F32FBE">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220B" w14:textId="77777777" w:rsidR="00D95F47" w:rsidRDefault="00D95F47" w:rsidP="00F32FBE">
      <w:pPr>
        <w:spacing w:after="0" w:line="240" w:lineRule="auto"/>
      </w:pPr>
      <w:r>
        <w:separator/>
      </w:r>
    </w:p>
  </w:endnote>
  <w:endnote w:type="continuationSeparator" w:id="0">
    <w:p w14:paraId="12692430" w14:textId="77777777" w:rsidR="00D95F47" w:rsidRDefault="00D95F47" w:rsidP="00F3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6E91" w14:textId="77777777" w:rsidR="00D857DE" w:rsidRDefault="00D85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370221"/>
      <w:docPartObj>
        <w:docPartGallery w:val="Page Numbers (Bottom of Page)"/>
        <w:docPartUnique/>
      </w:docPartObj>
    </w:sdtPr>
    <w:sdtEndPr>
      <w:rPr>
        <w:noProof/>
      </w:rPr>
    </w:sdtEndPr>
    <w:sdtContent>
      <w:p w14:paraId="78F95AE2" w14:textId="29F94A53" w:rsidR="00F32FBE" w:rsidRDefault="00F32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C7E1A" w14:textId="77777777" w:rsidR="00F32FBE" w:rsidRDefault="00F3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37A" w14:textId="77777777" w:rsidR="00D857DE" w:rsidRDefault="00D8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0E7BF" w14:textId="77777777" w:rsidR="00D95F47" w:rsidRDefault="00D95F47" w:rsidP="00F32FBE">
      <w:pPr>
        <w:spacing w:after="0" w:line="240" w:lineRule="auto"/>
      </w:pPr>
      <w:r>
        <w:separator/>
      </w:r>
    </w:p>
  </w:footnote>
  <w:footnote w:type="continuationSeparator" w:id="0">
    <w:p w14:paraId="0A1D82E3" w14:textId="77777777" w:rsidR="00D95F47" w:rsidRDefault="00D95F47" w:rsidP="00F3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3D03" w14:textId="5566A746" w:rsidR="00D857DE" w:rsidRDefault="00D95F47">
    <w:pPr>
      <w:pStyle w:val="Header"/>
    </w:pPr>
    <w:r>
      <w:rPr>
        <w:noProof/>
      </w:rPr>
      <w:pict w14:anchorId="15541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4D1A" w14:textId="08BA76EA" w:rsidR="00D857DE" w:rsidRDefault="00D95F47">
    <w:pPr>
      <w:pStyle w:val="Header"/>
    </w:pPr>
    <w:r>
      <w:rPr>
        <w:noProof/>
      </w:rPr>
      <w:pict w14:anchorId="7B1C5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FAE9" w14:textId="1C8101B3" w:rsidR="00D857DE" w:rsidRDefault="00D95F47">
    <w:pPr>
      <w:pStyle w:val="Header"/>
    </w:pPr>
    <w:r>
      <w:rPr>
        <w:noProof/>
      </w:rPr>
      <w:pict w14:anchorId="2A305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F4DCC"/>
    <w:multiLevelType w:val="multilevel"/>
    <w:tmpl w:val="8BC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640AD"/>
    <w:multiLevelType w:val="multilevel"/>
    <w:tmpl w:val="F61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75BD8"/>
    <w:multiLevelType w:val="hybridMultilevel"/>
    <w:tmpl w:val="95E600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F21D9A"/>
    <w:multiLevelType w:val="multilevel"/>
    <w:tmpl w:val="B42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7346"/>
    <w:multiLevelType w:val="hybridMultilevel"/>
    <w:tmpl w:val="38E8713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1B6B"/>
    <w:multiLevelType w:val="multilevel"/>
    <w:tmpl w:val="1188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323F3"/>
    <w:multiLevelType w:val="hybridMultilevel"/>
    <w:tmpl w:val="7D54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64D8E"/>
    <w:multiLevelType w:val="multilevel"/>
    <w:tmpl w:val="1A6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E73AD"/>
    <w:multiLevelType w:val="multilevel"/>
    <w:tmpl w:val="023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A6508"/>
    <w:multiLevelType w:val="multilevel"/>
    <w:tmpl w:val="6C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65AC5"/>
    <w:multiLevelType w:val="multilevel"/>
    <w:tmpl w:val="F56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7062"/>
    <w:multiLevelType w:val="multilevel"/>
    <w:tmpl w:val="4864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36450"/>
    <w:multiLevelType w:val="multilevel"/>
    <w:tmpl w:val="219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42418"/>
    <w:multiLevelType w:val="multilevel"/>
    <w:tmpl w:val="E31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F36E9"/>
    <w:multiLevelType w:val="hybridMultilevel"/>
    <w:tmpl w:val="123E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C63EB"/>
    <w:multiLevelType w:val="multilevel"/>
    <w:tmpl w:val="199C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10A5E"/>
    <w:multiLevelType w:val="hybridMultilevel"/>
    <w:tmpl w:val="D622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23E35"/>
    <w:multiLevelType w:val="hybridMultilevel"/>
    <w:tmpl w:val="7A36F3CE"/>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9415E"/>
    <w:multiLevelType w:val="multilevel"/>
    <w:tmpl w:val="E5A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E4E4B"/>
    <w:multiLevelType w:val="multilevel"/>
    <w:tmpl w:val="C32A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E45DD"/>
    <w:multiLevelType w:val="multilevel"/>
    <w:tmpl w:val="017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C0A7A"/>
    <w:multiLevelType w:val="multilevel"/>
    <w:tmpl w:val="580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9"/>
  </w:num>
  <w:num w:numId="4">
    <w:abstractNumId w:val="7"/>
  </w:num>
  <w:num w:numId="5">
    <w:abstractNumId w:val="5"/>
  </w:num>
  <w:num w:numId="6">
    <w:abstractNumId w:val="19"/>
  </w:num>
  <w:num w:numId="7">
    <w:abstractNumId w:val="3"/>
  </w:num>
  <w:num w:numId="8">
    <w:abstractNumId w:val="18"/>
  </w:num>
  <w:num w:numId="9">
    <w:abstractNumId w:val="21"/>
  </w:num>
  <w:num w:numId="10">
    <w:abstractNumId w:val="20"/>
  </w:num>
  <w:num w:numId="11">
    <w:abstractNumId w:val="13"/>
  </w:num>
  <w:num w:numId="12">
    <w:abstractNumId w:val="0"/>
  </w:num>
  <w:num w:numId="13">
    <w:abstractNumId w:val="10"/>
  </w:num>
  <w:num w:numId="14">
    <w:abstractNumId w:val="8"/>
  </w:num>
  <w:num w:numId="15">
    <w:abstractNumId w:val="14"/>
  </w:num>
  <w:num w:numId="16">
    <w:abstractNumId w:val="16"/>
  </w:num>
  <w:num w:numId="17">
    <w:abstractNumId w:val="6"/>
  </w:num>
  <w:num w:numId="18">
    <w:abstractNumId w:val="11"/>
  </w:num>
  <w:num w:numId="19">
    <w:abstractNumId w:val="1"/>
  </w:num>
  <w:num w:numId="20">
    <w:abstractNumId w:val="17"/>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t7AwMzM1NjUzMLFQ0lEKTi0uzszPAykwrAUAwVvnCCwAAAA="/>
  </w:docVars>
  <w:rsids>
    <w:rsidRoot w:val="004C4A20"/>
    <w:rsid w:val="000203C1"/>
    <w:rsid w:val="000269DA"/>
    <w:rsid w:val="00057E52"/>
    <w:rsid w:val="000933F5"/>
    <w:rsid w:val="000A71DD"/>
    <w:rsid w:val="000B59D6"/>
    <w:rsid w:val="000C26BC"/>
    <w:rsid w:val="000D5F0B"/>
    <w:rsid w:val="000F5F0D"/>
    <w:rsid w:val="001612CF"/>
    <w:rsid w:val="001913DD"/>
    <w:rsid w:val="00231690"/>
    <w:rsid w:val="00234F29"/>
    <w:rsid w:val="00291D67"/>
    <w:rsid w:val="0030751F"/>
    <w:rsid w:val="003A7E07"/>
    <w:rsid w:val="003B2C6A"/>
    <w:rsid w:val="003F49EA"/>
    <w:rsid w:val="004304D9"/>
    <w:rsid w:val="0046661C"/>
    <w:rsid w:val="004C4A20"/>
    <w:rsid w:val="004C7491"/>
    <w:rsid w:val="00503887"/>
    <w:rsid w:val="005A0466"/>
    <w:rsid w:val="00610D7C"/>
    <w:rsid w:val="00615E1E"/>
    <w:rsid w:val="00663B4C"/>
    <w:rsid w:val="006C196B"/>
    <w:rsid w:val="007154AA"/>
    <w:rsid w:val="0074415F"/>
    <w:rsid w:val="00776FCD"/>
    <w:rsid w:val="007A364A"/>
    <w:rsid w:val="007F12BF"/>
    <w:rsid w:val="0080753A"/>
    <w:rsid w:val="00831BC9"/>
    <w:rsid w:val="00886024"/>
    <w:rsid w:val="008D604C"/>
    <w:rsid w:val="008E2FD8"/>
    <w:rsid w:val="00905307"/>
    <w:rsid w:val="00923355"/>
    <w:rsid w:val="00961E7C"/>
    <w:rsid w:val="0096353B"/>
    <w:rsid w:val="0098746A"/>
    <w:rsid w:val="009A126E"/>
    <w:rsid w:val="009A5CE9"/>
    <w:rsid w:val="009C22BD"/>
    <w:rsid w:val="009D5ABD"/>
    <w:rsid w:val="009D7647"/>
    <w:rsid w:val="00A0092B"/>
    <w:rsid w:val="00A53983"/>
    <w:rsid w:val="00A577D4"/>
    <w:rsid w:val="00A70958"/>
    <w:rsid w:val="00A81347"/>
    <w:rsid w:val="00A91B45"/>
    <w:rsid w:val="00AD2ABE"/>
    <w:rsid w:val="00AE2B95"/>
    <w:rsid w:val="00B24EE6"/>
    <w:rsid w:val="00B64405"/>
    <w:rsid w:val="00B91CD1"/>
    <w:rsid w:val="00BA4E7F"/>
    <w:rsid w:val="00BA7D7F"/>
    <w:rsid w:val="00BB3F57"/>
    <w:rsid w:val="00BF7E7B"/>
    <w:rsid w:val="00C45F48"/>
    <w:rsid w:val="00C52CBA"/>
    <w:rsid w:val="00C67F93"/>
    <w:rsid w:val="00CB0C87"/>
    <w:rsid w:val="00CE71AE"/>
    <w:rsid w:val="00D32F46"/>
    <w:rsid w:val="00D51C2C"/>
    <w:rsid w:val="00D857DE"/>
    <w:rsid w:val="00D95F47"/>
    <w:rsid w:val="00D97E1A"/>
    <w:rsid w:val="00E40BFC"/>
    <w:rsid w:val="00E71393"/>
    <w:rsid w:val="00F32FBE"/>
    <w:rsid w:val="00F45A55"/>
    <w:rsid w:val="00FA1B27"/>
    <w:rsid w:val="00FC41D6"/>
    <w:rsid w:val="00FD0642"/>
    <w:rsid w:val="00FF386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AD383"/>
  <w15:chartTrackingRefBased/>
  <w15:docId w15:val="{6CD06870-DFB7-448C-A0B1-2BBFE48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FBE"/>
    <w:rPr>
      <w:rFonts w:cs="Mangal"/>
    </w:rPr>
  </w:style>
  <w:style w:type="paragraph" w:styleId="Footer">
    <w:name w:val="footer"/>
    <w:basedOn w:val="Normal"/>
    <w:link w:val="FooterChar"/>
    <w:uiPriority w:val="99"/>
    <w:unhideWhenUsed/>
    <w:rsid w:val="00F3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BE"/>
    <w:rPr>
      <w:rFonts w:cs="Mangal"/>
    </w:rPr>
  </w:style>
  <w:style w:type="character" w:styleId="Hyperlink">
    <w:name w:val="Hyperlink"/>
    <w:basedOn w:val="DefaultParagraphFont"/>
    <w:uiPriority w:val="99"/>
    <w:unhideWhenUsed/>
    <w:rsid w:val="003B2C6A"/>
    <w:rPr>
      <w:color w:val="0563C1" w:themeColor="hyperlink"/>
      <w:u w:val="single"/>
    </w:rPr>
  </w:style>
  <w:style w:type="character" w:styleId="UnresolvedMention">
    <w:name w:val="Unresolved Mention"/>
    <w:basedOn w:val="DefaultParagraphFont"/>
    <w:uiPriority w:val="99"/>
    <w:semiHidden/>
    <w:unhideWhenUsed/>
    <w:rsid w:val="003B2C6A"/>
    <w:rPr>
      <w:color w:val="605E5C"/>
      <w:shd w:val="clear" w:color="auto" w:fill="E1DFDD"/>
    </w:rPr>
  </w:style>
  <w:style w:type="paragraph" w:styleId="ListParagraph">
    <w:name w:val="List Paragraph"/>
    <w:basedOn w:val="Normal"/>
    <w:uiPriority w:val="34"/>
    <w:qFormat/>
    <w:rsid w:val="00BA4E7F"/>
    <w:pPr>
      <w:ind w:left="720"/>
      <w:contextualSpacing/>
    </w:pPr>
  </w:style>
  <w:style w:type="paragraph" w:styleId="NormalWeb">
    <w:name w:val="Normal (Web)"/>
    <w:basedOn w:val="Normal"/>
    <w:uiPriority w:val="99"/>
    <w:semiHidden/>
    <w:unhideWhenUsed/>
    <w:rsid w:val="00A70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958"/>
    <w:rPr>
      <w:b/>
      <w:bCs/>
    </w:rPr>
  </w:style>
  <w:style w:type="paragraph" w:customStyle="1" w:styleId="FirstParagraph">
    <w:name w:val="First Paragraph"/>
    <w:basedOn w:val="BodyText"/>
    <w:next w:val="BodyText"/>
    <w:qFormat/>
    <w:rsid w:val="0096353B"/>
    <w:pPr>
      <w:spacing w:before="180" w:after="180" w:line="240" w:lineRule="auto"/>
    </w:pPr>
    <w:rPr>
      <w:rFonts w:cstheme="minorBidi"/>
      <w:sz w:val="24"/>
      <w:szCs w:val="24"/>
      <w:lang w:val="en" w:bidi="ar-SA"/>
    </w:rPr>
  </w:style>
  <w:style w:type="paragraph" w:styleId="BodyText">
    <w:name w:val="Body Text"/>
    <w:basedOn w:val="Normal"/>
    <w:link w:val="BodyTextChar"/>
    <w:uiPriority w:val="99"/>
    <w:semiHidden/>
    <w:unhideWhenUsed/>
    <w:rsid w:val="0096353B"/>
    <w:pPr>
      <w:spacing w:after="120"/>
    </w:pPr>
  </w:style>
  <w:style w:type="character" w:customStyle="1" w:styleId="BodyTextChar">
    <w:name w:val="Body Text Char"/>
    <w:basedOn w:val="DefaultParagraphFont"/>
    <w:link w:val="BodyText"/>
    <w:uiPriority w:val="99"/>
    <w:semiHidden/>
    <w:rsid w:val="0096353B"/>
    <w:rPr>
      <w:rFonts w:cs="Mangal"/>
    </w:rPr>
  </w:style>
  <w:style w:type="paragraph" w:styleId="BalloonText">
    <w:name w:val="Balloon Text"/>
    <w:basedOn w:val="Normal"/>
    <w:link w:val="BalloonTextChar"/>
    <w:uiPriority w:val="99"/>
    <w:semiHidden/>
    <w:unhideWhenUsed/>
    <w:rsid w:val="003F49EA"/>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F49EA"/>
    <w:rPr>
      <w:rFonts w:ascii="Segoe UI" w:hAnsi="Segoe UI" w:cs="Segoe UI"/>
      <w:sz w:val="18"/>
      <w:szCs w:val="16"/>
    </w:rPr>
  </w:style>
  <w:style w:type="paragraph" w:customStyle="1" w:styleId="c-bibliographic-informationcitation">
    <w:name w:val="c-bibliographic-information__citation"/>
    <w:basedOn w:val="Normal"/>
    <w:rsid w:val="00923355"/>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37">
      <w:bodyDiv w:val="1"/>
      <w:marLeft w:val="0"/>
      <w:marRight w:val="0"/>
      <w:marTop w:val="0"/>
      <w:marBottom w:val="0"/>
      <w:divBdr>
        <w:top w:val="none" w:sz="0" w:space="0" w:color="auto"/>
        <w:left w:val="none" w:sz="0" w:space="0" w:color="auto"/>
        <w:bottom w:val="none" w:sz="0" w:space="0" w:color="auto"/>
        <w:right w:val="none" w:sz="0" w:space="0" w:color="auto"/>
      </w:divBdr>
    </w:div>
    <w:div w:id="20859260">
      <w:bodyDiv w:val="1"/>
      <w:marLeft w:val="0"/>
      <w:marRight w:val="0"/>
      <w:marTop w:val="0"/>
      <w:marBottom w:val="0"/>
      <w:divBdr>
        <w:top w:val="none" w:sz="0" w:space="0" w:color="auto"/>
        <w:left w:val="none" w:sz="0" w:space="0" w:color="auto"/>
        <w:bottom w:val="none" w:sz="0" w:space="0" w:color="auto"/>
        <w:right w:val="none" w:sz="0" w:space="0" w:color="auto"/>
      </w:divBdr>
    </w:div>
    <w:div w:id="22288245">
      <w:bodyDiv w:val="1"/>
      <w:marLeft w:val="0"/>
      <w:marRight w:val="0"/>
      <w:marTop w:val="0"/>
      <w:marBottom w:val="0"/>
      <w:divBdr>
        <w:top w:val="none" w:sz="0" w:space="0" w:color="auto"/>
        <w:left w:val="none" w:sz="0" w:space="0" w:color="auto"/>
        <w:bottom w:val="none" w:sz="0" w:space="0" w:color="auto"/>
        <w:right w:val="none" w:sz="0" w:space="0" w:color="auto"/>
      </w:divBdr>
    </w:div>
    <w:div w:id="151065542">
      <w:bodyDiv w:val="1"/>
      <w:marLeft w:val="0"/>
      <w:marRight w:val="0"/>
      <w:marTop w:val="0"/>
      <w:marBottom w:val="0"/>
      <w:divBdr>
        <w:top w:val="none" w:sz="0" w:space="0" w:color="auto"/>
        <w:left w:val="none" w:sz="0" w:space="0" w:color="auto"/>
        <w:bottom w:val="none" w:sz="0" w:space="0" w:color="auto"/>
        <w:right w:val="none" w:sz="0" w:space="0" w:color="auto"/>
      </w:divBdr>
    </w:div>
    <w:div w:id="180583365">
      <w:bodyDiv w:val="1"/>
      <w:marLeft w:val="0"/>
      <w:marRight w:val="0"/>
      <w:marTop w:val="0"/>
      <w:marBottom w:val="0"/>
      <w:divBdr>
        <w:top w:val="none" w:sz="0" w:space="0" w:color="auto"/>
        <w:left w:val="none" w:sz="0" w:space="0" w:color="auto"/>
        <w:bottom w:val="none" w:sz="0" w:space="0" w:color="auto"/>
        <w:right w:val="none" w:sz="0" w:space="0" w:color="auto"/>
      </w:divBdr>
    </w:div>
    <w:div w:id="265890369">
      <w:bodyDiv w:val="1"/>
      <w:marLeft w:val="0"/>
      <w:marRight w:val="0"/>
      <w:marTop w:val="0"/>
      <w:marBottom w:val="0"/>
      <w:divBdr>
        <w:top w:val="none" w:sz="0" w:space="0" w:color="auto"/>
        <w:left w:val="none" w:sz="0" w:space="0" w:color="auto"/>
        <w:bottom w:val="none" w:sz="0" w:space="0" w:color="auto"/>
        <w:right w:val="none" w:sz="0" w:space="0" w:color="auto"/>
      </w:divBdr>
      <w:divsChild>
        <w:div w:id="925458159">
          <w:marLeft w:val="0"/>
          <w:marRight w:val="0"/>
          <w:marTop w:val="0"/>
          <w:marBottom w:val="0"/>
          <w:divBdr>
            <w:top w:val="none" w:sz="0" w:space="0" w:color="auto"/>
            <w:left w:val="none" w:sz="0" w:space="0" w:color="auto"/>
            <w:bottom w:val="none" w:sz="0" w:space="0" w:color="auto"/>
            <w:right w:val="none" w:sz="0" w:space="0" w:color="auto"/>
          </w:divBdr>
          <w:divsChild>
            <w:div w:id="136608508">
              <w:marLeft w:val="0"/>
              <w:marRight w:val="0"/>
              <w:marTop w:val="0"/>
              <w:marBottom w:val="0"/>
              <w:divBdr>
                <w:top w:val="none" w:sz="0" w:space="0" w:color="auto"/>
                <w:left w:val="none" w:sz="0" w:space="0" w:color="auto"/>
                <w:bottom w:val="none" w:sz="0" w:space="0" w:color="auto"/>
                <w:right w:val="none" w:sz="0" w:space="0" w:color="auto"/>
              </w:divBdr>
              <w:divsChild>
                <w:div w:id="497115149">
                  <w:marLeft w:val="0"/>
                  <w:marRight w:val="0"/>
                  <w:marTop w:val="0"/>
                  <w:marBottom w:val="0"/>
                  <w:divBdr>
                    <w:top w:val="none" w:sz="0" w:space="0" w:color="auto"/>
                    <w:left w:val="none" w:sz="0" w:space="0" w:color="auto"/>
                    <w:bottom w:val="none" w:sz="0" w:space="0" w:color="auto"/>
                    <w:right w:val="none" w:sz="0" w:space="0" w:color="auto"/>
                  </w:divBdr>
                  <w:divsChild>
                    <w:div w:id="1173689293">
                      <w:marLeft w:val="0"/>
                      <w:marRight w:val="0"/>
                      <w:marTop w:val="0"/>
                      <w:marBottom w:val="0"/>
                      <w:divBdr>
                        <w:top w:val="none" w:sz="0" w:space="0" w:color="auto"/>
                        <w:left w:val="none" w:sz="0" w:space="0" w:color="auto"/>
                        <w:bottom w:val="none" w:sz="0" w:space="0" w:color="auto"/>
                        <w:right w:val="none" w:sz="0" w:space="0" w:color="auto"/>
                      </w:divBdr>
                      <w:divsChild>
                        <w:div w:id="695545798">
                          <w:marLeft w:val="0"/>
                          <w:marRight w:val="0"/>
                          <w:marTop w:val="0"/>
                          <w:marBottom w:val="0"/>
                          <w:divBdr>
                            <w:top w:val="none" w:sz="0" w:space="0" w:color="auto"/>
                            <w:left w:val="none" w:sz="0" w:space="0" w:color="auto"/>
                            <w:bottom w:val="none" w:sz="0" w:space="0" w:color="auto"/>
                            <w:right w:val="none" w:sz="0" w:space="0" w:color="auto"/>
                          </w:divBdr>
                          <w:divsChild>
                            <w:div w:id="2603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50068">
      <w:bodyDiv w:val="1"/>
      <w:marLeft w:val="0"/>
      <w:marRight w:val="0"/>
      <w:marTop w:val="0"/>
      <w:marBottom w:val="0"/>
      <w:divBdr>
        <w:top w:val="none" w:sz="0" w:space="0" w:color="auto"/>
        <w:left w:val="none" w:sz="0" w:space="0" w:color="auto"/>
        <w:bottom w:val="none" w:sz="0" w:space="0" w:color="auto"/>
        <w:right w:val="none" w:sz="0" w:space="0" w:color="auto"/>
      </w:divBdr>
    </w:div>
    <w:div w:id="374546355">
      <w:bodyDiv w:val="1"/>
      <w:marLeft w:val="0"/>
      <w:marRight w:val="0"/>
      <w:marTop w:val="0"/>
      <w:marBottom w:val="0"/>
      <w:divBdr>
        <w:top w:val="none" w:sz="0" w:space="0" w:color="auto"/>
        <w:left w:val="none" w:sz="0" w:space="0" w:color="auto"/>
        <w:bottom w:val="none" w:sz="0" w:space="0" w:color="auto"/>
        <w:right w:val="none" w:sz="0" w:space="0" w:color="auto"/>
      </w:divBdr>
    </w:div>
    <w:div w:id="379323588">
      <w:bodyDiv w:val="1"/>
      <w:marLeft w:val="0"/>
      <w:marRight w:val="0"/>
      <w:marTop w:val="0"/>
      <w:marBottom w:val="0"/>
      <w:divBdr>
        <w:top w:val="none" w:sz="0" w:space="0" w:color="auto"/>
        <w:left w:val="none" w:sz="0" w:space="0" w:color="auto"/>
        <w:bottom w:val="none" w:sz="0" w:space="0" w:color="auto"/>
        <w:right w:val="none" w:sz="0" w:space="0" w:color="auto"/>
      </w:divBdr>
      <w:divsChild>
        <w:div w:id="1976518778">
          <w:marLeft w:val="0"/>
          <w:marRight w:val="0"/>
          <w:marTop w:val="0"/>
          <w:marBottom w:val="0"/>
          <w:divBdr>
            <w:top w:val="none" w:sz="0" w:space="0" w:color="auto"/>
            <w:left w:val="none" w:sz="0" w:space="0" w:color="auto"/>
            <w:bottom w:val="none" w:sz="0" w:space="0" w:color="auto"/>
            <w:right w:val="none" w:sz="0" w:space="0" w:color="auto"/>
          </w:divBdr>
          <w:divsChild>
            <w:div w:id="1373920232">
              <w:marLeft w:val="0"/>
              <w:marRight w:val="0"/>
              <w:marTop w:val="0"/>
              <w:marBottom w:val="0"/>
              <w:divBdr>
                <w:top w:val="none" w:sz="0" w:space="0" w:color="auto"/>
                <w:left w:val="none" w:sz="0" w:space="0" w:color="auto"/>
                <w:bottom w:val="none" w:sz="0" w:space="0" w:color="auto"/>
                <w:right w:val="none" w:sz="0" w:space="0" w:color="auto"/>
              </w:divBdr>
              <w:divsChild>
                <w:div w:id="400710951">
                  <w:marLeft w:val="0"/>
                  <w:marRight w:val="0"/>
                  <w:marTop w:val="0"/>
                  <w:marBottom w:val="0"/>
                  <w:divBdr>
                    <w:top w:val="none" w:sz="0" w:space="0" w:color="auto"/>
                    <w:left w:val="none" w:sz="0" w:space="0" w:color="auto"/>
                    <w:bottom w:val="none" w:sz="0" w:space="0" w:color="auto"/>
                    <w:right w:val="none" w:sz="0" w:space="0" w:color="auto"/>
                  </w:divBdr>
                  <w:divsChild>
                    <w:div w:id="1331643844">
                      <w:marLeft w:val="0"/>
                      <w:marRight w:val="0"/>
                      <w:marTop w:val="0"/>
                      <w:marBottom w:val="0"/>
                      <w:divBdr>
                        <w:top w:val="none" w:sz="0" w:space="0" w:color="auto"/>
                        <w:left w:val="none" w:sz="0" w:space="0" w:color="auto"/>
                        <w:bottom w:val="none" w:sz="0" w:space="0" w:color="auto"/>
                        <w:right w:val="none" w:sz="0" w:space="0" w:color="auto"/>
                      </w:divBdr>
                      <w:divsChild>
                        <w:div w:id="658266424">
                          <w:marLeft w:val="0"/>
                          <w:marRight w:val="0"/>
                          <w:marTop w:val="0"/>
                          <w:marBottom w:val="0"/>
                          <w:divBdr>
                            <w:top w:val="none" w:sz="0" w:space="0" w:color="auto"/>
                            <w:left w:val="none" w:sz="0" w:space="0" w:color="auto"/>
                            <w:bottom w:val="none" w:sz="0" w:space="0" w:color="auto"/>
                            <w:right w:val="none" w:sz="0" w:space="0" w:color="auto"/>
                          </w:divBdr>
                          <w:divsChild>
                            <w:div w:id="11046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19300">
      <w:bodyDiv w:val="1"/>
      <w:marLeft w:val="0"/>
      <w:marRight w:val="0"/>
      <w:marTop w:val="0"/>
      <w:marBottom w:val="0"/>
      <w:divBdr>
        <w:top w:val="none" w:sz="0" w:space="0" w:color="auto"/>
        <w:left w:val="none" w:sz="0" w:space="0" w:color="auto"/>
        <w:bottom w:val="none" w:sz="0" w:space="0" w:color="auto"/>
        <w:right w:val="none" w:sz="0" w:space="0" w:color="auto"/>
      </w:divBdr>
    </w:div>
    <w:div w:id="388774443">
      <w:bodyDiv w:val="1"/>
      <w:marLeft w:val="0"/>
      <w:marRight w:val="0"/>
      <w:marTop w:val="0"/>
      <w:marBottom w:val="0"/>
      <w:divBdr>
        <w:top w:val="none" w:sz="0" w:space="0" w:color="auto"/>
        <w:left w:val="none" w:sz="0" w:space="0" w:color="auto"/>
        <w:bottom w:val="none" w:sz="0" w:space="0" w:color="auto"/>
        <w:right w:val="none" w:sz="0" w:space="0" w:color="auto"/>
      </w:divBdr>
    </w:div>
    <w:div w:id="40279640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68">
          <w:marLeft w:val="0"/>
          <w:marRight w:val="0"/>
          <w:marTop w:val="0"/>
          <w:marBottom w:val="0"/>
          <w:divBdr>
            <w:top w:val="none" w:sz="0" w:space="0" w:color="auto"/>
            <w:left w:val="none" w:sz="0" w:space="0" w:color="auto"/>
            <w:bottom w:val="none" w:sz="0" w:space="0" w:color="auto"/>
            <w:right w:val="none" w:sz="0" w:space="0" w:color="auto"/>
          </w:divBdr>
          <w:divsChild>
            <w:div w:id="431822805">
              <w:marLeft w:val="0"/>
              <w:marRight w:val="0"/>
              <w:marTop w:val="0"/>
              <w:marBottom w:val="0"/>
              <w:divBdr>
                <w:top w:val="none" w:sz="0" w:space="0" w:color="auto"/>
                <w:left w:val="none" w:sz="0" w:space="0" w:color="auto"/>
                <w:bottom w:val="none" w:sz="0" w:space="0" w:color="auto"/>
                <w:right w:val="none" w:sz="0" w:space="0" w:color="auto"/>
              </w:divBdr>
              <w:divsChild>
                <w:div w:id="25034883">
                  <w:marLeft w:val="0"/>
                  <w:marRight w:val="0"/>
                  <w:marTop w:val="0"/>
                  <w:marBottom w:val="0"/>
                  <w:divBdr>
                    <w:top w:val="none" w:sz="0" w:space="0" w:color="auto"/>
                    <w:left w:val="none" w:sz="0" w:space="0" w:color="auto"/>
                    <w:bottom w:val="none" w:sz="0" w:space="0" w:color="auto"/>
                    <w:right w:val="none" w:sz="0" w:space="0" w:color="auto"/>
                  </w:divBdr>
                  <w:divsChild>
                    <w:div w:id="898780826">
                      <w:marLeft w:val="0"/>
                      <w:marRight w:val="0"/>
                      <w:marTop w:val="0"/>
                      <w:marBottom w:val="0"/>
                      <w:divBdr>
                        <w:top w:val="none" w:sz="0" w:space="0" w:color="auto"/>
                        <w:left w:val="none" w:sz="0" w:space="0" w:color="auto"/>
                        <w:bottom w:val="none" w:sz="0" w:space="0" w:color="auto"/>
                        <w:right w:val="none" w:sz="0" w:space="0" w:color="auto"/>
                      </w:divBdr>
                      <w:divsChild>
                        <w:div w:id="1584334406">
                          <w:marLeft w:val="0"/>
                          <w:marRight w:val="0"/>
                          <w:marTop w:val="0"/>
                          <w:marBottom w:val="0"/>
                          <w:divBdr>
                            <w:top w:val="none" w:sz="0" w:space="0" w:color="auto"/>
                            <w:left w:val="none" w:sz="0" w:space="0" w:color="auto"/>
                            <w:bottom w:val="none" w:sz="0" w:space="0" w:color="auto"/>
                            <w:right w:val="none" w:sz="0" w:space="0" w:color="auto"/>
                          </w:divBdr>
                          <w:divsChild>
                            <w:div w:id="326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07192">
      <w:bodyDiv w:val="1"/>
      <w:marLeft w:val="0"/>
      <w:marRight w:val="0"/>
      <w:marTop w:val="0"/>
      <w:marBottom w:val="0"/>
      <w:divBdr>
        <w:top w:val="none" w:sz="0" w:space="0" w:color="auto"/>
        <w:left w:val="none" w:sz="0" w:space="0" w:color="auto"/>
        <w:bottom w:val="none" w:sz="0" w:space="0" w:color="auto"/>
        <w:right w:val="none" w:sz="0" w:space="0" w:color="auto"/>
      </w:divBdr>
    </w:div>
    <w:div w:id="488988158">
      <w:bodyDiv w:val="1"/>
      <w:marLeft w:val="0"/>
      <w:marRight w:val="0"/>
      <w:marTop w:val="0"/>
      <w:marBottom w:val="0"/>
      <w:divBdr>
        <w:top w:val="none" w:sz="0" w:space="0" w:color="auto"/>
        <w:left w:val="none" w:sz="0" w:space="0" w:color="auto"/>
        <w:bottom w:val="none" w:sz="0" w:space="0" w:color="auto"/>
        <w:right w:val="none" w:sz="0" w:space="0" w:color="auto"/>
      </w:divBdr>
    </w:div>
    <w:div w:id="577598312">
      <w:bodyDiv w:val="1"/>
      <w:marLeft w:val="0"/>
      <w:marRight w:val="0"/>
      <w:marTop w:val="0"/>
      <w:marBottom w:val="0"/>
      <w:divBdr>
        <w:top w:val="none" w:sz="0" w:space="0" w:color="auto"/>
        <w:left w:val="none" w:sz="0" w:space="0" w:color="auto"/>
        <w:bottom w:val="none" w:sz="0" w:space="0" w:color="auto"/>
        <w:right w:val="none" w:sz="0" w:space="0" w:color="auto"/>
      </w:divBdr>
    </w:div>
    <w:div w:id="586697058">
      <w:bodyDiv w:val="1"/>
      <w:marLeft w:val="0"/>
      <w:marRight w:val="0"/>
      <w:marTop w:val="0"/>
      <w:marBottom w:val="0"/>
      <w:divBdr>
        <w:top w:val="none" w:sz="0" w:space="0" w:color="auto"/>
        <w:left w:val="none" w:sz="0" w:space="0" w:color="auto"/>
        <w:bottom w:val="none" w:sz="0" w:space="0" w:color="auto"/>
        <w:right w:val="none" w:sz="0" w:space="0" w:color="auto"/>
      </w:divBdr>
    </w:div>
    <w:div w:id="614337755">
      <w:bodyDiv w:val="1"/>
      <w:marLeft w:val="0"/>
      <w:marRight w:val="0"/>
      <w:marTop w:val="0"/>
      <w:marBottom w:val="0"/>
      <w:divBdr>
        <w:top w:val="none" w:sz="0" w:space="0" w:color="auto"/>
        <w:left w:val="none" w:sz="0" w:space="0" w:color="auto"/>
        <w:bottom w:val="none" w:sz="0" w:space="0" w:color="auto"/>
        <w:right w:val="none" w:sz="0" w:space="0" w:color="auto"/>
      </w:divBdr>
    </w:div>
    <w:div w:id="671955206">
      <w:bodyDiv w:val="1"/>
      <w:marLeft w:val="0"/>
      <w:marRight w:val="0"/>
      <w:marTop w:val="0"/>
      <w:marBottom w:val="0"/>
      <w:divBdr>
        <w:top w:val="none" w:sz="0" w:space="0" w:color="auto"/>
        <w:left w:val="none" w:sz="0" w:space="0" w:color="auto"/>
        <w:bottom w:val="none" w:sz="0" w:space="0" w:color="auto"/>
        <w:right w:val="none" w:sz="0" w:space="0" w:color="auto"/>
      </w:divBdr>
    </w:div>
    <w:div w:id="673536903">
      <w:bodyDiv w:val="1"/>
      <w:marLeft w:val="0"/>
      <w:marRight w:val="0"/>
      <w:marTop w:val="0"/>
      <w:marBottom w:val="0"/>
      <w:divBdr>
        <w:top w:val="none" w:sz="0" w:space="0" w:color="auto"/>
        <w:left w:val="none" w:sz="0" w:space="0" w:color="auto"/>
        <w:bottom w:val="none" w:sz="0" w:space="0" w:color="auto"/>
        <w:right w:val="none" w:sz="0" w:space="0" w:color="auto"/>
      </w:divBdr>
    </w:div>
    <w:div w:id="700983840">
      <w:bodyDiv w:val="1"/>
      <w:marLeft w:val="0"/>
      <w:marRight w:val="0"/>
      <w:marTop w:val="0"/>
      <w:marBottom w:val="0"/>
      <w:divBdr>
        <w:top w:val="none" w:sz="0" w:space="0" w:color="auto"/>
        <w:left w:val="none" w:sz="0" w:space="0" w:color="auto"/>
        <w:bottom w:val="none" w:sz="0" w:space="0" w:color="auto"/>
        <w:right w:val="none" w:sz="0" w:space="0" w:color="auto"/>
      </w:divBdr>
    </w:div>
    <w:div w:id="731850545">
      <w:bodyDiv w:val="1"/>
      <w:marLeft w:val="0"/>
      <w:marRight w:val="0"/>
      <w:marTop w:val="0"/>
      <w:marBottom w:val="0"/>
      <w:divBdr>
        <w:top w:val="none" w:sz="0" w:space="0" w:color="auto"/>
        <w:left w:val="none" w:sz="0" w:space="0" w:color="auto"/>
        <w:bottom w:val="none" w:sz="0" w:space="0" w:color="auto"/>
        <w:right w:val="none" w:sz="0" w:space="0" w:color="auto"/>
      </w:divBdr>
    </w:div>
    <w:div w:id="915044375">
      <w:bodyDiv w:val="1"/>
      <w:marLeft w:val="0"/>
      <w:marRight w:val="0"/>
      <w:marTop w:val="0"/>
      <w:marBottom w:val="0"/>
      <w:divBdr>
        <w:top w:val="none" w:sz="0" w:space="0" w:color="auto"/>
        <w:left w:val="none" w:sz="0" w:space="0" w:color="auto"/>
        <w:bottom w:val="none" w:sz="0" w:space="0" w:color="auto"/>
        <w:right w:val="none" w:sz="0" w:space="0" w:color="auto"/>
      </w:divBdr>
    </w:div>
    <w:div w:id="948707028">
      <w:bodyDiv w:val="1"/>
      <w:marLeft w:val="0"/>
      <w:marRight w:val="0"/>
      <w:marTop w:val="0"/>
      <w:marBottom w:val="0"/>
      <w:divBdr>
        <w:top w:val="none" w:sz="0" w:space="0" w:color="auto"/>
        <w:left w:val="none" w:sz="0" w:space="0" w:color="auto"/>
        <w:bottom w:val="none" w:sz="0" w:space="0" w:color="auto"/>
        <w:right w:val="none" w:sz="0" w:space="0" w:color="auto"/>
      </w:divBdr>
    </w:div>
    <w:div w:id="983196029">
      <w:bodyDiv w:val="1"/>
      <w:marLeft w:val="0"/>
      <w:marRight w:val="0"/>
      <w:marTop w:val="0"/>
      <w:marBottom w:val="0"/>
      <w:divBdr>
        <w:top w:val="none" w:sz="0" w:space="0" w:color="auto"/>
        <w:left w:val="none" w:sz="0" w:space="0" w:color="auto"/>
        <w:bottom w:val="none" w:sz="0" w:space="0" w:color="auto"/>
        <w:right w:val="none" w:sz="0" w:space="0" w:color="auto"/>
      </w:divBdr>
    </w:div>
    <w:div w:id="1066219397">
      <w:bodyDiv w:val="1"/>
      <w:marLeft w:val="0"/>
      <w:marRight w:val="0"/>
      <w:marTop w:val="0"/>
      <w:marBottom w:val="0"/>
      <w:divBdr>
        <w:top w:val="none" w:sz="0" w:space="0" w:color="auto"/>
        <w:left w:val="none" w:sz="0" w:space="0" w:color="auto"/>
        <w:bottom w:val="none" w:sz="0" w:space="0" w:color="auto"/>
        <w:right w:val="none" w:sz="0" w:space="0" w:color="auto"/>
      </w:divBdr>
    </w:div>
    <w:div w:id="123562733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6571774">
      <w:bodyDiv w:val="1"/>
      <w:marLeft w:val="0"/>
      <w:marRight w:val="0"/>
      <w:marTop w:val="0"/>
      <w:marBottom w:val="0"/>
      <w:divBdr>
        <w:top w:val="none" w:sz="0" w:space="0" w:color="auto"/>
        <w:left w:val="none" w:sz="0" w:space="0" w:color="auto"/>
        <w:bottom w:val="none" w:sz="0" w:space="0" w:color="auto"/>
        <w:right w:val="none" w:sz="0" w:space="0" w:color="auto"/>
      </w:divBdr>
    </w:div>
    <w:div w:id="1403408278">
      <w:bodyDiv w:val="1"/>
      <w:marLeft w:val="0"/>
      <w:marRight w:val="0"/>
      <w:marTop w:val="0"/>
      <w:marBottom w:val="0"/>
      <w:divBdr>
        <w:top w:val="none" w:sz="0" w:space="0" w:color="auto"/>
        <w:left w:val="none" w:sz="0" w:space="0" w:color="auto"/>
        <w:bottom w:val="none" w:sz="0" w:space="0" w:color="auto"/>
        <w:right w:val="none" w:sz="0" w:space="0" w:color="auto"/>
      </w:divBdr>
    </w:div>
    <w:div w:id="1509784142">
      <w:bodyDiv w:val="1"/>
      <w:marLeft w:val="0"/>
      <w:marRight w:val="0"/>
      <w:marTop w:val="0"/>
      <w:marBottom w:val="0"/>
      <w:divBdr>
        <w:top w:val="none" w:sz="0" w:space="0" w:color="auto"/>
        <w:left w:val="none" w:sz="0" w:space="0" w:color="auto"/>
        <w:bottom w:val="none" w:sz="0" w:space="0" w:color="auto"/>
        <w:right w:val="none" w:sz="0" w:space="0" w:color="auto"/>
      </w:divBdr>
    </w:div>
    <w:div w:id="1517573946">
      <w:bodyDiv w:val="1"/>
      <w:marLeft w:val="0"/>
      <w:marRight w:val="0"/>
      <w:marTop w:val="0"/>
      <w:marBottom w:val="0"/>
      <w:divBdr>
        <w:top w:val="none" w:sz="0" w:space="0" w:color="auto"/>
        <w:left w:val="none" w:sz="0" w:space="0" w:color="auto"/>
        <w:bottom w:val="none" w:sz="0" w:space="0" w:color="auto"/>
        <w:right w:val="none" w:sz="0" w:space="0" w:color="auto"/>
      </w:divBdr>
    </w:div>
    <w:div w:id="1517618418">
      <w:bodyDiv w:val="1"/>
      <w:marLeft w:val="0"/>
      <w:marRight w:val="0"/>
      <w:marTop w:val="0"/>
      <w:marBottom w:val="0"/>
      <w:divBdr>
        <w:top w:val="none" w:sz="0" w:space="0" w:color="auto"/>
        <w:left w:val="none" w:sz="0" w:space="0" w:color="auto"/>
        <w:bottom w:val="none" w:sz="0" w:space="0" w:color="auto"/>
        <w:right w:val="none" w:sz="0" w:space="0" w:color="auto"/>
      </w:divBdr>
      <w:divsChild>
        <w:div w:id="67681139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25962667">
      <w:bodyDiv w:val="1"/>
      <w:marLeft w:val="0"/>
      <w:marRight w:val="0"/>
      <w:marTop w:val="0"/>
      <w:marBottom w:val="0"/>
      <w:divBdr>
        <w:top w:val="none" w:sz="0" w:space="0" w:color="auto"/>
        <w:left w:val="none" w:sz="0" w:space="0" w:color="auto"/>
        <w:bottom w:val="none" w:sz="0" w:space="0" w:color="auto"/>
        <w:right w:val="none" w:sz="0" w:space="0" w:color="auto"/>
      </w:divBdr>
    </w:div>
    <w:div w:id="1699769536">
      <w:bodyDiv w:val="1"/>
      <w:marLeft w:val="0"/>
      <w:marRight w:val="0"/>
      <w:marTop w:val="0"/>
      <w:marBottom w:val="0"/>
      <w:divBdr>
        <w:top w:val="none" w:sz="0" w:space="0" w:color="auto"/>
        <w:left w:val="none" w:sz="0" w:space="0" w:color="auto"/>
        <w:bottom w:val="none" w:sz="0" w:space="0" w:color="auto"/>
        <w:right w:val="none" w:sz="0" w:space="0" w:color="auto"/>
      </w:divBdr>
    </w:div>
    <w:div w:id="1784035878">
      <w:bodyDiv w:val="1"/>
      <w:marLeft w:val="0"/>
      <w:marRight w:val="0"/>
      <w:marTop w:val="0"/>
      <w:marBottom w:val="0"/>
      <w:divBdr>
        <w:top w:val="none" w:sz="0" w:space="0" w:color="auto"/>
        <w:left w:val="none" w:sz="0" w:space="0" w:color="auto"/>
        <w:bottom w:val="none" w:sz="0" w:space="0" w:color="auto"/>
        <w:right w:val="none" w:sz="0" w:space="0" w:color="auto"/>
      </w:divBdr>
    </w:div>
    <w:div w:id="1785229143">
      <w:bodyDiv w:val="1"/>
      <w:marLeft w:val="0"/>
      <w:marRight w:val="0"/>
      <w:marTop w:val="0"/>
      <w:marBottom w:val="0"/>
      <w:divBdr>
        <w:top w:val="none" w:sz="0" w:space="0" w:color="auto"/>
        <w:left w:val="none" w:sz="0" w:space="0" w:color="auto"/>
        <w:bottom w:val="none" w:sz="0" w:space="0" w:color="auto"/>
        <w:right w:val="none" w:sz="0" w:space="0" w:color="auto"/>
      </w:divBdr>
    </w:div>
    <w:div w:id="1798377247">
      <w:bodyDiv w:val="1"/>
      <w:marLeft w:val="0"/>
      <w:marRight w:val="0"/>
      <w:marTop w:val="0"/>
      <w:marBottom w:val="0"/>
      <w:divBdr>
        <w:top w:val="none" w:sz="0" w:space="0" w:color="auto"/>
        <w:left w:val="none" w:sz="0" w:space="0" w:color="auto"/>
        <w:bottom w:val="none" w:sz="0" w:space="0" w:color="auto"/>
        <w:right w:val="none" w:sz="0" w:space="0" w:color="auto"/>
      </w:divBdr>
    </w:div>
    <w:div w:id="1813593162">
      <w:bodyDiv w:val="1"/>
      <w:marLeft w:val="0"/>
      <w:marRight w:val="0"/>
      <w:marTop w:val="0"/>
      <w:marBottom w:val="0"/>
      <w:divBdr>
        <w:top w:val="none" w:sz="0" w:space="0" w:color="auto"/>
        <w:left w:val="none" w:sz="0" w:space="0" w:color="auto"/>
        <w:bottom w:val="none" w:sz="0" w:space="0" w:color="auto"/>
        <w:right w:val="none" w:sz="0" w:space="0" w:color="auto"/>
      </w:divBdr>
    </w:div>
    <w:div w:id="1863128923">
      <w:bodyDiv w:val="1"/>
      <w:marLeft w:val="0"/>
      <w:marRight w:val="0"/>
      <w:marTop w:val="0"/>
      <w:marBottom w:val="0"/>
      <w:divBdr>
        <w:top w:val="none" w:sz="0" w:space="0" w:color="auto"/>
        <w:left w:val="none" w:sz="0" w:space="0" w:color="auto"/>
        <w:bottom w:val="none" w:sz="0" w:space="0" w:color="auto"/>
        <w:right w:val="none" w:sz="0" w:space="0" w:color="auto"/>
      </w:divBdr>
    </w:div>
    <w:div w:id="1883396421">
      <w:bodyDiv w:val="1"/>
      <w:marLeft w:val="0"/>
      <w:marRight w:val="0"/>
      <w:marTop w:val="0"/>
      <w:marBottom w:val="0"/>
      <w:divBdr>
        <w:top w:val="none" w:sz="0" w:space="0" w:color="auto"/>
        <w:left w:val="none" w:sz="0" w:space="0" w:color="auto"/>
        <w:bottom w:val="none" w:sz="0" w:space="0" w:color="auto"/>
        <w:right w:val="none" w:sz="0" w:space="0" w:color="auto"/>
      </w:divBdr>
    </w:div>
    <w:div w:id="1897163627">
      <w:bodyDiv w:val="1"/>
      <w:marLeft w:val="0"/>
      <w:marRight w:val="0"/>
      <w:marTop w:val="0"/>
      <w:marBottom w:val="0"/>
      <w:divBdr>
        <w:top w:val="none" w:sz="0" w:space="0" w:color="auto"/>
        <w:left w:val="none" w:sz="0" w:space="0" w:color="auto"/>
        <w:bottom w:val="none" w:sz="0" w:space="0" w:color="auto"/>
        <w:right w:val="none" w:sz="0" w:space="0" w:color="auto"/>
      </w:divBdr>
    </w:div>
    <w:div w:id="1944142736">
      <w:bodyDiv w:val="1"/>
      <w:marLeft w:val="0"/>
      <w:marRight w:val="0"/>
      <w:marTop w:val="0"/>
      <w:marBottom w:val="0"/>
      <w:divBdr>
        <w:top w:val="none" w:sz="0" w:space="0" w:color="auto"/>
        <w:left w:val="none" w:sz="0" w:space="0" w:color="auto"/>
        <w:bottom w:val="none" w:sz="0" w:space="0" w:color="auto"/>
        <w:right w:val="none" w:sz="0" w:space="0" w:color="auto"/>
      </w:divBdr>
    </w:div>
    <w:div w:id="1963072810">
      <w:bodyDiv w:val="1"/>
      <w:marLeft w:val="0"/>
      <w:marRight w:val="0"/>
      <w:marTop w:val="0"/>
      <w:marBottom w:val="0"/>
      <w:divBdr>
        <w:top w:val="none" w:sz="0" w:space="0" w:color="auto"/>
        <w:left w:val="none" w:sz="0" w:space="0" w:color="auto"/>
        <w:bottom w:val="none" w:sz="0" w:space="0" w:color="auto"/>
        <w:right w:val="none" w:sz="0" w:space="0" w:color="auto"/>
      </w:divBdr>
      <w:divsChild>
        <w:div w:id="472406169">
          <w:marLeft w:val="0"/>
          <w:marRight w:val="0"/>
          <w:marTop w:val="0"/>
          <w:marBottom w:val="0"/>
          <w:divBdr>
            <w:top w:val="none" w:sz="0" w:space="0" w:color="auto"/>
            <w:left w:val="none" w:sz="0" w:space="0" w:color="auto"/>
            <w:bottom w:val="none" w:sz="0" w:space="0" w:color="auto"/>
            <w:right w:val="none" w:sz="0" w:space="0" w:color="auto"/>
          </w:divBdr>
          <w:divsChild>
            <w:div w:id="1339772751">
              <w:marLeft w:val="0"/>
              <w:marRight w:val="0"/>
              <w:marTop w:val="0"/>
              <w:marBottom w:val="0"/>
              <w:divBdr>
                <w:top w:val="none" w:sz="0" w:space="0" w:color="auto"/>
                <w:left w:val="none" w:sz="0" w:space="0" w:color="auto"/>
                <w:bottom w:val="none" w:sz="0" w:space="0" w:color="auto"/>
                <w:right w:val="none" w:sz="0" w:space="0" w:color="auto"/>
              </w:divBdr>
              <w:divsChild>
                <w:div w:id="455683824">
                  <w:marLeft w:val="0"/>
                  <w:marRight w:val="0"/>
                  <w:marTop w:val="0"/>
                  <w:marBottom w:val="0"/>
                  <w:divBdr>
                    <w:top w:val="none" w:sz="0" w:space="0" w:color="auto"/>
                    <w:left w:val="none" w:sz="0" w:space="0" w:color="auto"/>
                    <w:bottom w:val="none" w:sz="0" w:space="0" w:color="auto"/>
                    <w:right w:val="none" w:sz="0" w:space="0" w:color="auto"/>
                  </w:divBdr>
                  <w:divsChild>
                    <w:div w:id="638728263">
                      <w:marLeft w:val="0"/>
                      <w:marRight w:val="0"/>
                      <w:marTop w:val="0"/>
                      <w:marBottom w:val="0"/>
                      <w:divBdr>
                        <w:top w:val="none" w:sz="0" w:space="0" w:color="auto"/>
                        <w:left w:val="none" w:sz="0" w:space="0" w:color="auto"/>
                        <w:bottom w:val="none" w:sz="0" w:space="0" w:color="auto"/>
                        <w:right w:val="none" w:sz="0" w:space="0" w:color="auto"/>
                      </w:divBdr>
                      <w:divsChild>
                        <w:div w:id="1004092194">
                          <w:marLeft w:val="0"/>
                          <w:marRight w:val="0"/>
                          <w:marTop w:val="0"/>
                          <w:marBottom w:val="0"/>
                          <w:divBdr>
                            <w:top w:val="none" w:sz="0" w:space="0" w:color="auto"/>
                            <w:left w:val="none" w:sz="0" w:space="0" w:color="auto"/>
                            <w:bottom w:val="none" w:sz="0" w:space="0" w:color="auto"/>
                            <w:right w:val="none" w:sz="0" w:space="0" w:color="auto"/>
                          </w:divBdr>
                          <w:divsChild>
                            <w:div w:id="5925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50066">
      <w:bodyDiv w:val="1"/>
      <w:marLeft w:val="0"/>
      <w:marRight w:val="0"/>
      <w:marTop w:val="0"/>
      <w:marBottom w:val="0"/>
      <w:divBdr>
        <w:top w:val="none" w:sz="0" w:space="0" w:color="auto"/>
        <w:left w:val="none" w:sz="0" w:space="0" w:color="auto"/>
        <w:bottom w:val="none" w:sz="0" w:space="0" w:color="auto"/>
        <w:right w:val="none" w:sz="0" w:space="0" w:color="auto"/>
      </w:divBdr>
    </w:div>
    <w:div w:id="2000422785">
      <w:bodyDiv w:val="1"/>
      <w:marLeft w:val="0"/>
      <w:marRight w:val="0"/>
      <w:marTop w:val="0"/>
      <w:marBottom w:val="0"/>
      <w:divBdr>
        <w:top w:val="none" w:sz="0" w:space="0" w:color="auto"/>
        <w:left w:val="none" w:sz="0" w:space="0" w:color="auto"/>
        <w:bottom w:val="none" w:sz="0" w:space="0" w:color="auto"/>
        <w:right w:val="none" w:sz="0" w:space="0" w:color="auto"/>
      </w:divBdr>
      <w:divsChild>
        <w:div w:id="416824157">
          <w:marLeft w:val="0"/>
          <w:marRight w:val="0"/>
          <w:marTop w:val="0"/>
          <w:marBottom w:val="0"/>
          <w:divBdr>
            <w:top w:val="none" w:sz="0" w:space="0" w:color="auto"/>
            <w:left w:val="none" w:sz="0" w:space="0" w:color="auto"/>
            <w:bottom w:val="none" w:sz="0" w:space="0" w:color="auto"/>
            <w:right w:val="none" w:sz="0" w:space="0" w:color="auto"/>
          </w:divBdr>
          <w:divsChild>
            <w:div w:id="1289971496">
              <w:marLeft w:val="0"/>
              <w:marRight w:val="0"/>
              <w:marTop w:val="0"/>
              <w:marBottom w:val="0"/>
              <w:divBdr>
                <w:top w:val="none" w:sz="0" w:space="0" w:color="auto"/>
                <w:left w:val="none" w:sz="0" w:space="0" w:color="auto"/>
                <w:bottom w:val="none" w:sz="0" w:space="0" w:color="auto"/>
                <w:right w:val="none" w:sz="0" w:space="0" w:color="auto"/>
              </w:divBdr>
              <w:divsChild>
                <w:div w:id="1142500814">
                  <w:marLeft w:val="0"/>
                  <w:marRight w:val="0"/>
                  <w:marTop w:val="0"/>
                  <w:marBottom w:val="0"/>
                  <w:divBdr>
                    <w:top w:val="none" w:sz="0" w:space="0" w:color="auto"/>
                    <w:left w:val="none" w:sz="0" w:space="0" w:color="auto"/>
                    <w:bottom w:val="none" w:sz="0" w:space="0" w:color="auto"/>
                    <w:right w:val="none" w:sz="0" w:space="0" w:color="auto"/>
                  </w:divBdr>
                  <w:divsChild>
                    <w:div w:id="59599291">
                      <w:marLeft w:val="0"/>
                      <w:marRight w:val="0"/>
                      <w:marTop w:val="0"/>
                      <w:marBottom w:val="0"/>
                      <w:divBdr>
                        <w:top w:val="none" w:sz="0" w:space="0" w:color="auto"/>
                        <w:left w:val="none" w:sz="0" w:space="0" w:color="auto"/>
                        <w:bottom w:val="none" w:sz="0" w:space="0" w:color="auto"/>
                        <w:right w:val="none" w:sz="0" w:space="0" w:color="auto"/>
                      </w:divBdr>
                      <w:divsChild>
                        <w:div w:id="2062629438">
                          <w:marLeft w:val="0"/>
                          <w:marRight w:val="0"/>
                          <w:marTop w:val="0"/>
                          <w:marBottom w:val="0"/>
                          <w:divBdr>
                            <w:top w:val="none" w:sz="0" w:space="0" w:color="auto"/>
                            <w:left w:val="none" w:sz="0" w:space="0" w:color="auto"/>
                            <w:bottom w:val="none" w:sz="0" w:space="0" w:color="auto"/>
                            <w:right w:val="none" w:sz="0" w:space="0" w:color="auto"/>
                          </w:divBdr>
                          <w:divsChild>
                            <w:div w:id="14665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84774">
      <w:bodyDiv w:val="1"/>
      <w:marLeft w:val="0"/>
      <w:marRight w:val="0"/>
      <w:marTop w:val="0"/>
      <w:marBottom w:val="0"/>
      <w:divBdr>
        <w:top w:val="none" w:sz="0" w:space="0" w:color="auto"/>
        <w:left w:val="none" w:sz="0" w:space="0" w:color="auto"/>
        <w:bottom w:val="none" w:sz="0" w:space="0" w:color="auto"/>
        <w:right w:val="none" w:sz="0" w:space="0" w:color="auto"/>
      </w:divBdr>
    </w:div>
    <w:div w:id="2028284800">
      <w:bodyDiv w:val="1"/>
      <w:marLeft w:val="0"/>
      <w:marRight w:val="0"/>
      <w:marTop w:val="0"/>
      <w:marBottom w:val="0"/>
      <w:divBdr>
        <w:top w:val="none" w:sz="0" w:space="0" w:color="auto"/>
        <w:left w:val="none" w:sz="0" w:space="0" w:color="auto"/>
        <w:bottom w:val="none" w:sz="0" w:space="0" w:color="auto"/>
        <w:right w:val="none" w:sz="0" w:space="0" w:color="auto"/>
      </w:divBdr>
    </w:div>
    <w:div w:id="2035500655">
      <w:bodyDiv w:val="1"/>
      <w:marLeft w:val="0"/>
      <w:marRight w:val="0"/>
      <w:marTop w:val="0"/>
      <w:marBottom w:val="0"/>
      <w:divBdr>
        <w:top w:val="none" w:sz="0" w:space="0" w:color="auto"/>
        <w:left w:val="none" w:sz="0" w:space="0" w:color="auto"/>
        <w:bottom w:val="none" w:sz="0" w:space="0" w:color="auto"/>
        <w:right w:val="none" w:sz="0" w:space="0" w:color="auto"/>
      </w:divBdr>
      <w:divsChild>
        <w:div w:id="668095046">
          <w:marLeft w:val="0"/>
          <w:marRight w:val="0"/>
          <w:marTop w:val="0"/>
          <w:marBottom w:val="0"/>
          <w:divBdr>
            <w:top w:val="none" w:sz="0" w:space="0" w:color="auto"/>
            <w:left w:val="none" w:sz="0" w:space="0" w:color="auto"/>
            <w:bottom w:val="none" w:sz="0" w:space="0" w:color="auto"/>
            <w:right w:val="none" w:sz="0" w:space="0" w:color="auto"/>
          </w:divBdr>
          <w:divsChild>
            <w:div w:id="587620436">
              <w:marLeft w:val="0"/>
              <w:marRight w:val="0"/>
              <w:marTop w:val="0"/>
              <w:marBottom w:val="0"/>
              <w:divBdr>
                <w:top w:val="none" w:sz="0" w:space="0" w:color="auto"/>
                <w:left w:val="none" w:sz="0" w:space="0" w:color="auto"/>
                <w:bottom w:val="none" w:sz="0" w:space="0" w:color="auto"/>
                <w:right w:val="none" w:sz="0" w:space="0" w:color="auto"/>
              </w:divBdr>
              <w:divsChild>
                <w:div w:id="147013287">
                  <w:marLeft w:val="0"/>
                  <w:marRight w:val="0"/>
                  <w:marTop w:val="0"/>
                  <w:marBottom w:val="0"/>
                  <w:divBdr>
                    <w:top w:val="none" w:sz="0" w:space="0" w:color="auto"/>
                    <w:left w:val="none" w:sz="0" w:space="0" w:color="auto"/>
                    <w:bottom w:val="none" w:sz="0" w:space="0" w:color="auto"/>
                    <w:right w:val="none" w:sz="0" w:space="0" w:color="auto"/>
                  </w:divBdr>
                  <w:divsChild>
                    <w:div w:id="1362632393">
                      <w:marLeft w:val="0"/>
                      <w:marRight w:val="0"/>
                      <w:marTop w:val="0"/>
                      <w:marBottom w:val="0"/>
                      <w:divBdr>
                        <w:top w:val="none" w:sz="0" w:space="0" w:color="auto"/>
                        <w:left w:val="none" w:sz="0" w:space="0" w:color="auto"/>
                        <w:bottom w:val="none" w:sz="0" w:space="0" w:color="auto"/>
                        <w:right w:val="none" w:sz="0" w:space="0" w:color="auto"/>
                      </w:divBdr>
                      <w:divsChild>
                        <w:div w:id="238442581">
                          <w:marLeft w:val="0"/>
                          <w:marRight w:val="0"/>
                          <w:marTop w:val="0"/>
                          <w:marBottom w:val="0"/>
                          <w:divBdr>
                            <w:top w:val="none" w:sz="0" w:space="0" w:color="auto"/>
                            <w:left w:val="none" w:sz="0" w:space="0" w:color="auto"/>
                            <w:bottom w:val="none" w:sz="0" w:space="0" w:color="auto"/>
                            <w:right w:val="none" w:sz="0" w:space="0" w:color="auto"/>
                          </w:divBdr>
                          <w:divsChild>
                            <w:div w:id="8607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living-standard" TargetMode="External"/><Relationship Id="rId13" Type="http://schemas.openxmlformats.org/officeDocument/2006/relationships/hyperlink" Target="http://rchiips.org/nfhs/NFHS-5Reports/NFHS-5_INDIA_REPORT.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ciencedirect.com/topics/social-sciences/disadvantaged-group" TargetMode="External"/><Relationship Id="rId12" Type="http://schemas.openxmlformats.org/officeDocument/2006/relationships/hyperlink" Target="https://www.versobooks.com/books/1046-imagined-communit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o.int/publications/m/item/world-health-statistics-20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ensusindia.gov.in/census_and_srs/srs_reports_2023.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hmis.mohfw.gov.in/downloadfile?filepath=Rural%20Health%20Statistics%202021-22.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14</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1019</cp:lastModifiedBy>
  <cp:revision>53</cp:revision>
  <dcterms:created xsi:type="dcterms:W3CDTF">2025-12-09T05:10:00Z</dcterms:created>
  <dcterms:modified xsi:type="dcterms:W3CDTF">2026-01-23T05:39:00Z</dcterms:modified>
</cp:coreProperties>
</file>