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CBC34" w14:textId="35D70D15" w:rsidR="006C796E" w:rsidRDefault="008274FE" w:rsidP="006C796E">
      <w:pPr>
        <w:spacing w:before="240"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THE INFLUENCE OF HOME ENVIRONMENT ON PROBLEM-SOLVING ABILITY AMONG ADOLESCENT STUDENTS</w:t>
      </w:r>
    </w:p>
    <w:p w14:paraId="76690D27" w14:textId="55619E0B" w:rsidR="00DD0909" w:rsidRDefault="00DD0909" w:rsidP="00DD0909">
      <w:pPr>
        <w:spacing w:line="240" w:lineRule="auto"/>
        <w:ind w:left="360" w:hanging="360"/>
        <w:jc w:val="center"/>
        <w:rPr>
          <w:rFonts w:ascii="Times New Roman" w:hAnsi="Times New Roman" w:cs="Times New Roman"/>
          <w:bCs/>
          <w:szCs w:val="24"/>
        </w:rPr>
      </w:pPr>
    </w:p>
    <w:p w14:paraId="1CF8FD5D" w14:textId="77777777" w:rsidR="004D0EF1" w:rsidRDefault="004D0EF1" w:rsidP="00DD0909">
      <w:pPr>
        <w:spacing w:line="240" w:lineRule="auto"/>
        <w:ind w:left="360" w:hanging="360"/>
        <w:jc w:val="center"/>
        <w:rPr>
          <w:rFonts w:ascii="Times New Roman" w:hAnsi="Times New Roman" w:cs="Times New Roman"/>
          <w:bCs/>
          <w:szCs w:val="24"/>
        </w:rPr>
      </w:pPr>
      <w:bookmarkStart w:id="0" w:name="_GoBack"/>
      <w:bookmarkEnd w:id="0"/>
    </w:p>
    <w:p w14:paraId="372A75F3" w14:textId="77777777" w:rsidR="00DD0909" w:rsidRDefault="00DD0909" w:rsidP="00DD0909">
      <w:pPr>
        <w:spacing w:before="24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AA7C8B1" w14:textId="77777777" w:rsidR="002566E2" w:rsidRPr="00617977" w:rsidRDefault="00DD0909" w:rsidP="002566E2">
      <w:pPr>
        <w:spacing w:after="0" w:line="360" w:lineRule="auto"/>
        <w:jc w:val="both"/>
        <w:rPr>
          <w:rFonts w:ascii="Times New Roman" w:hAnsi="Times New Roman" w:cs="Times New Roman"/>
          <w:color w:val="FF0000"/>
          <w:sz w:val="24"/>
          <w:szCs w:val="24"/>
        </w:rPr>
      </w:pPr>
      <w:r>
        <w:rPr>
          <w:rFonts w:ascii="Times New Roman" w:hAnsi="Times New Roman" w:cs="Times New Roman"/>
          <w:bCs/>
          <w:sz w:val="24"/>
          <w:szCs w:val="24"/>
        </w:rPr>
        <w:t xml:space="preserve">This research aims to examine, the </w:t>
      </w:r>
      <w:r w:rsidR="003B5B9C">
        <w:rPr>
          <w:rFonts w:ascii="Times New Roman" w:hAnsi="Times New Roman" w:cs="Times New Roman"/>
          <w:bCs/>
          <w:sz w:val="24"/>
          <w:szCs w:val="24"/>
        </w:rPr>
        <w:t>influence</w:t>
      </w:r>
      <w:r>
        <w:rPr>
          <w:rFonts w:ascii="Times New Roman" w:hAnsi="Times New Roman" w:cs="Times New Roman"/>
          <w:bCs/>
          <w:sz w:val="24"/>
          <w:szCs w:val="24"/>
        </w:rPr>
        <w:t xml:space="preserve"> of home environment on problem-solving abilit</w:t>
      </w:r>
      <w:r w:rsidR="00ED7C21">
        <w:rPr>
          <w:rFonts w:ascii="Times New Roman" w:hAnsi="Times New Roman" w:cs="Times New Roman"/>
          <w:bCs/>
          <w:sz w:val="24"/>
          <w:szCs w:val="24"/>
        </w:rPr>
        <w:t>y</w:t>
      </w:r>
      <w:r>
        <w:rPr>
          <w:rFonts w:ascii="Times New Roman" w:hAnsi="Times New Roman" w:cs="Times New Roman"/>
          <w:bCs/>
          <w:sz w:val="24"/>
          <w:szCs w:val="24"/>
        </w:rPr>
        <w:t xml:space="preserve"> among adolescent students. The sample of the research consisted of 576 adolescent students from class IX to XII (aged between </w:t>
      </w:r>
      <w:r w:rsidR="008462C7">
        <w:rPr>
          <w:rFonts w:ascii="Times New Roman" w:hAnsi="Times New Roman" w:cs="Times New Roman"/>
          <w:bCs/>
          <w:sz w:val="24"/>
          <w:szCs w:val="24"/>
        </w:rPr>
        <w:t>14</w:t>
      </w:r>
      <w:r>
        <w:rPr>
          <w:rFonts w:ascii="Times New Roman" w:hAnsi="Times New Roman" w:cs="Times New Roman"/>
          <w:bCs/>
          <w:sz w:val="24"/>
          <w:szCs w:val="24"/>
        </w:rPr>
        <w:t xml:space="preserve"> to </w:t>
      </w:r>
      <w:r w:rsidR="008462C7">
        <w:rPr>
          <w:rFonts w:ascii="Times New Roman" w:hAnsi="Times New Roman" w:cs="Times New Roman"/>
          <w:bCs/>
          <w:sz w:val="24"/>
          <w:szCs w:val="24"/>
        </w:rPr>
        <w:t>18</w:t>
      </w:r>
      <w:r>
        <w:rPr>
          <w:rFonts w:ascii="Times New Roman" w:hAnsi="Times New Roman" w:cs="Times New Roman"/>
          <w:bCs/>
          <w:sz w:val="24"/>
          <w:szCs w:val="24"/>
        </w:rPr>
        <w:t xml:space="preserve">) randomly selected from government, government-aided and private secondary schools from different blocks of </w:t>
      </w:r>
      <w:proofErr w:type="spellStart"/>
      <w:r>
        <w:rPr>
          <w:rFonts w:ascii="Times New Roman" w:hAnsi="Times New Roman" w:cs="Times New Roman"/>
          <w:bCs/>
          <w:sz w:val="24"/>
          <w:szCs w:val="24"/>
        </w:rPr>
        <w:t>Almora</w:t>
      </w:r>
      <w:proofErr w:type="spellEnd"/>
      <w:r>
        <w:rPr>
          <w:rFonts w:ascii="Times New Roman" w:hAnsi="Times New Roman" w:cs="Times New Roman"/>
          <w:bCs/>
          <w:sz w:val="24"/>
          <w:szCs w:val="24"/>
        </w:rPr>
        <w:t xml:space="preserve"> district, </w:t>
      </w:r>
      <w:proofErr w:type="spellStart"/>
      <w:r>
        <w:rPr>
          <w:rFonts w:ascii="Times New Roman" w:hAnsi="Times New Roman" w:cs="Times New Roman"/>
          <w:bCs/>
          <w:sz w:val="24"/>
          <w:szCs w:val="24"/>
        </w:rPr>
        <w:t>Kumaun</w:t>
      </w:r>
      <w:proofErr w:type="spellEnd"/>
      <w:r>
        <w:rPr>
          <w:rFonts w:ascii="Times New Roman" w:hAnsi="Times New Roman" w:cs="Times New Roman"/>
          <w:bCs/>
          <w:sz w:val="24"/>
          <w:szCs w:val="24"/>
        </w:rPr>
        <w:t xml:space="preserve"> region, Uttarakhand. In order to evaluate the problem-solving ability and home environment of the participants, the 'Problem-Solving Ability Test (PSAT-D)' constructed</w:t>
      </w:r>
      <w:r w:rsidRPr="004430E6">
        <w:rPr>
          <w:rFonts w:ascii="Times New Roman" w:hAnsi="Times New Roman" w:cs="Times New Roman"/>
          <w:sz w:val="24"/>
        </w:rPr>
        <w:t xml:space="preserve"> </w:t>
      </w:r>
      <w:r>
        <w:rPr>
          <w:rFonts w:ascii="Times New Roman" w:hAnsi="Times New Roman" w:cs="Times New Roman"/>
          <w:sz w:val="24"/>
        </w:rPr>
        <w:t xml:space="preserve">and </w:t>
      </w:r>
      <w:r w:rsidR="00C6741F">
        <w:rPr>
          <w:rFonts w:ascii="Times New Roman" w:hAnsi="Times New Roman" w:cs="Times New Roman"/>
          <w:sz w:val="24"/>
        </w:rPr>
        <w:t>standardized</w:t>
      </w:r>
      <w:r>
        <w:rPr>
          <w:rFonts w:ascii="Times New Roman" w:hAnsi="Times New Roman" w:cs="Times New Roman"/>
          <w:bCs/>
          <w:sz w:val="24"/>
          <w:szCs w:val="24"/>
        </w:rPr>
        <w:t xml:space="preserve"> by Dubey &amp; Mathur (2006) and the 'Home Environment Scale' constructed</w:t>
      </w:r>
      <w:r w:rsidRPr="004430E6">
        <w:rPr>
          <w:rFonts w:ascii="Times New Roman" w:hAnsi="Times New Roman" w:cs="Times New Roman"/>
          <w:sz w:val="24"/>
        </w:rPr>
        <w:t xml:space="preserve"> </w:t>
      </w:r>
      <w:r>
        <w:rPr>
          <w:rFonts w:ascii="Times New Roman" w:hAnsi="Times New Roman" w:cs="Times New Roman"/>
          <w:sz w:val="24"/>
        </w:rPr>
        <w:t xml:space="preserve">and </w:t>
      </w:r>
      <w:r w:rsidR="00C6741F">
        <w:rPr>
          <w:rFonts w:ascii="Times New Roman" w:hAnsi="Times New Roman" w:cs="Times New Roman"/>
          <w:sz w:val="24"/>
        </w:rPr>
        <w:t>standardized</w:t>
      </w:r>
      <w:r>
        <w:rPr>
          <w:rFonts w:ascii="Times New Roman" w:hAnsi="Times New Roman" w:cs="Times New Roman"/>
          <w:bCs/>
          <w:sz w:val="24"/>
          <w:szCs w:val="24"/>
        </w:rPr>
        <w:t xml:space="preserve"> by Akhtar &amp; Saxena (2013) were administered. </w:t>
      </w:r>
      <w:r>
        <w:rPr>
          <w:rFonts w:ascii="Times New Roman" w:hAnsi="Times New Roman" w:cs="Times New Roman"/>
          <w:sz w:val="24"/>
        </w:rPr>
        <w:t>Data w</w:t>
      </w:r>
      <w:r w:rsidR="00927FB8">
        <w:rPr>
          <w:rFonts w:ascii="Times New Roman" w:hAnsi="Times New Roman" w:cs="Times New Roman"/>
          <w:sz w:val="24"/>
        </w:rPr>
        <w:t>as</w:t>
      </w:r>
      <w:r>
        <w:rPr>
          <w:rFonts w:ascii="Times New Roman" w:hAnsi="Times New Roman" w:cs="Times New Roman"/>
          <w:sz w:val="24"/>
        </w:rPr>
        <w:t xml:space="preserve"> analyzed by calculating mean, standard deviation, </w:t>
      </w:r>
      <w:r w:rsidR="008462C7">
        <w:rPr>
          <w:rFonts w:ascii="Times New Roman" w:hAnsi="Times New Roman" w:cs="Times New Roman"/>
          <w:color w:val="000000" w:themeColor="text1"/>
          <w:sz w:val="24"/>
          <w:szCs w:val="24"/>
        </w:rPr>
        <w:t>one-way</w:t>
      </w:r>
      <w:r w:rsidR="008462C7" w:rsidRPr="00587D45">
        <w:rPr>
          <w:rFonts w:ascii="Times New Roman" w:hAnsi="Times New Roman" w:cs="Times New Roman"/>
          <w:color w:val="000000" w:themeColor="text1"/>
          <w:sz w:val="24"/>
          <w:szCs w:val="24"/>
        </w:rPr>
        <w:t xml:space="preserve"> ANOVA, and post-hoc comparisons </w:t>
      </w:r>
      <w:r w:rsidR="008462C7" w:rsidRPr="008462C7">
        <w:rPr>
          <w:rFonts w:ascii="Times New Roman" w:hAnsi="Times New Roman" w:cs="Times New Roman"/>
          <w:sz w:val="24"/>
          <w:szCs w:val="24"/>
        </w:rPr>
        <w:t>using Bonferroni-correction</w:t>
      </w:r>
      <w:r w:rsidR="008462C7" w:rsidRPr="00587D45">
        <w:rPr>
          <w:rFonts w:ascii="Times New Roman" w:hAnsi="Times New Roman" w:cs="Times New Roman"/>
          <w:color w:val="000000" w:themeColor="text1"/>
          <w:sz w:val="24"/>
          <w:szCs w:val="24"/>
        </w:rPr>
        <w:t xml:space="preserve"> </w:t>
      </w:r>
      <w:r>
        <w:rPr>
          <w:rFonts w:ascii="Times New Roman" w:hAnsi="Times New Roman" w:cs="Times New Roman"/>
          <w:sz w:val="24"/>
        </w:rPr>
        <w:t>in SPSS.</w:t>
      </w:r>
      <w:r w:rsidR="00C6741F">
        <w:rPr>
          <w:rFonts w:ascii="Times New Roman" w:hAnsi="Times New Roman" w:cs="Times New Roman"/>
          <w:sz w:val="24"/>
        </w:rPr>
        <w:t xml:space="preserve"> </w:t>
      </w:r>
      <w:r w:rsidR="00C6741F">
        <w:rPr>
          <w:rFonts w:ascii="Times New Roman" w:hAnsi="Times New Roman" w:cs="Times New Roman"/>
          <w:sz w:val="24"/>
          <w:szCs w:val="24"/>
        </w:rPr>
        <w:t xml:space="preserve">The one-way ANOVA results, showed a statistically significant </w:t>
      </w:r>
      <w:r w:rsidR="00C6741F" w:rsidRPr="002B6E85">
        <w:rPr>
          <w:rFonts w:ascii="Times New Roman" w:hAnsi="Times New Roman" w:cs="Times New Roman"/>
          <w:sz w:val="24"/>
          <w:szCs w:val="24"/>
        </w:rPr>
        <w:t>difference in problem-solving abilit</w:t>
      </w:r>
      <w:r w:rsidR="00C25CA4">
        <w:rPr>
          <w:rFonts w:ascii="Times New Roman" w:hAnsi="Times New Roman" w:cs="Times New Roman"/>
          <w:sz w:val="24"/>
          <w:szCs w:val="24"/>
        </w:rPr>
        <w:t>y</w:t>
      </w:r>
      <w:r w:rsidR="00C6741F" w:rsidRPr="002B6E85">
        <w:rPr>
          <w:rFonts w:ascii="Times New Roman" w:hAnsi="Times New Roman" w:cs="Times New Roman"/>
          <w:sz w:val="24"/>
          <w:szCs w:val="24"/>
        </w:rPr>
        <w:t xml:space="preserve"> among adolescent students from different home environments at the significance level of 0.05, </w:t>
      </w:r>
      <w:proofErr w:type="gramStart"/>
      <w:r w:rsidR="00C6741F" w:rsidRPr="00F3538B">
        <w:rPr>
          <w:rFonts w:ascii="Times New Roman" w:eastAsia="Times New Roman" w:hAnsi="Times New Roman" w:cs="Times New Roman"/>
          <w:bCs/>
          <w:sz w:val="24"/>
          <w:szCs w:val="24"/>
          <w:lang w:eastAsia="en-IN"/>
        </w:rPr>
        <w:t>F</w:t>
      </w:r>
      <w:r w:rsidR="00C6741F" w:rsidRPr="00F3538B">
        <w:rPr>
          <w:rFonts w:ascii="Times New Roman" w:eastAsia="Times New Roman" w:hAnsi="Times New Roman" w:cs="Times New Roman"/>
          <w:sz w:val="24"/>
          <w:szCs w:val="24"/>
          <w:lang w:eastAsia="en-IN"/>
        </w:rPr>
        <w:t>(</w:t>
      </w:r>
      <w:proofErr w:type="gramEnd"/>
      <w:r w:rsidR="00C6741F" w:rsidRPr="00F3538B">
        <w:rPr>
          <w:rFonts w:ascii="Times New Roman" w:eastAsia="Times New Roman" w:hAnsi="Times New Roman" w:cs="Times New Roman"/>
          <w:sz w:val="24"/>
          <w:szCs w:val="24"/>
          <w:lang w:eastAsia="en-IN"/>
        </w:rPr>
        <w:t xml:space="preserve">2, 573) = 8.68, </w:t>
      </w:r>
      <w:r w:rsidR="00C6741F" w:rsidRPr="00F3538B">
        <w:rPr>
          <w:rFonts w:ascii="Times New Roman" w:eastAsia="Times New Roman" w:hAnsi="Times New Roman" w:cs="Times New Roman"/>
          <w:bCs/>
          <w:sz w:val="24"/>
          <w:szCs w:val="24"/>
          <w:lang w:eastAsia="en-IN"/>
        </w:rPr>
        <w:t>p</w:t>
      </w:r>
      <w:r w:rsidR="00C6741F" w:rsidRPr="00F3538B">
        <w:rPr>
          <w:rFonts w:ascii="Times New Roman" w:eastAsia="Times New Roman" w:hAnsi="Times New Roman" w:cs="Times New Roman"/>
          <w:sz w:val="24"/>
          <w:szCs w:val="24"/>
          <w:lang w:eastAsia="en-IN"/>
        </w:rPr>
        <w:t xml:space="preserve"> = 0.00019</w:t>
      </w:r>
      <w:r w:rsidR="00C6741F">
        <w:rPr>
          <w:rFonts w:ascii="Times New Roman" w:hAnsi="Times New Roman" w:cs="Times New Roman"/>
        </w:rPr>
        <w:t>, with a small ef</w:t>
      </w:r>
      <w:r w:rsidR="006A5D40">
        <w:rPr>
          <w:rFonts w:ascii="Times New Roman" w:hAnsi="Times New Roman" w:cs="Times New Roman"/>
        </w:rPr>
        <w:t>f</w:t>
      </w:r>
      <w:r w:rsidR="00C6741F">
        <w:rPr>
          <w:rFonts w:ascii="Times New Roman" w:hAnsi="Times New Roman" w:cs="Times New Roman"/>
        </w:rPr>
        <w:t>ect size</w:t>
      </w:r>
      <w:r w:rsidR="00C6741F" w:rsidRPr="00F3538B">
        <w:rPr>
          <w:rFonts w:ascii="Times New Roman" w:eastAsia="Times New Roman" w:hAnsi="Times New Roman" w:cs="Times New Roman"/>
          <w:sz w:val="24"/>
          <w:szCs w:val="24"/>
          <w:lang w:eastAsia="en-IN"/>
        </w:rPr>
        <w:t xml:space="preserve"> (η² = 0.029</w:t>
      </w:r>
      <w:r w:rsidR="00DC0023">
        <w:rPr>
          <w:rFonts w:ascii="Times New Roman" w:eastAsia="Times New Roman" w:hAnsi="Times New Roman" w:cs="Times New Roman"/>
          <w:sz w:val="24"/>
          <w:szCs w:val="24"/>
          <w:lang w:eastAsia="en-IN"/>
        </w:rPr>
        <w:t>)</w:t>
      </w:r>
      <w:r w:rsidR="00C6741F" w:rsidRPr="00F3538B">
        <w:rPr>
          <w:rFonts w:ascii="Times New Roman" w:eastAsia="Times New Roman" w:hAnsi="Times New Roman" w:cs="Times New Roman"/>
          <w:sz w:val="24"/>
          <w:szCs w:val="24"/>
          <w:lang w:eastAsia="en-IN"/>
        </w:rPr>
        <w:t>.</w:t>
      </w:r>
      <w:r w:rsidR="00C6741F" w:rsidRPr="002B6E85">
        <w:rPr>
          <w:rFonts w:ascii="Times New Roman" w:eastAsia="Times New Roman" w:hAnsi="Times New Roman" w:cs="Times New Roman"/>
          <w:sz w:val="24"/>
          <w:szCs w:val="24"/>
          <w:lang w:eastAsia="en-IN"/>
        </w:rPr>
        <w:t xml:space="preserve"> </w:t>
      </w:r>
      <w:r w:rsidR="00C6741F">
        <w:rPr>
          <w:rFonts w:ascii="Times New Roman" w:hAnsi="Times New Roman" w:cs="Times New Roman"/>
          <w:sz w:val="24"/>
        </w:rPr>
        <w:t>The post-hoc comparisons revealed s</w:t>
      </w:r>
      <w:r>
        <w:rPr>
          <w:rFonts w:ascii="Times New Roman" w:hAnsi="Times New Roman" w:cs="Times New Roman"/>
          <w:sz w:val="24"/>
        </w:rPr>
        <w:t xml:space="preserve">ignificant differences in problem-solving ability </w:t>
      </w:r>
      <w:r w:rsidR="00C6741F">
        <w:rPr>
          <w:rFonts w:ascii="Times New Roman" w:hAnsi="Times New Roman" w:cs="Times New Roman"/>
          <w:sz w:val="24"/>
        </w:rPr>
        <w:t>among</w:t>
      </w:r>
      <w:r>
        <w:rPr>
          <w:rFonts w:ascii="Times New Roman" w:hAnsi="Times New Roman" w:cs="Times New Roman"/>
          <w:sz w:val="24"/>
        </w:rPr>
        <w:t xml:space="preserve"> adolescent students </w:t>
      </w:r>
      <w:r w:rsidR="00C6741F">
        <w:rPr>
          <w:rFonts w:ascii="Times New Roman" w:hAnsi="Times New Roman" w:cs="Times New Roman"/>
          <w:sz w:val="24"/>
        </w:rPr>
        <w:t>belonging to</w:t>
      </w:r>
      <w:r>
        <w:rPr>
          <w:rFonts w:ascii="Times New Roman" w:hAnsi="Times New Roman" w:cs="Times New Roman"/>
          <w:sz w:val="24"/>
        </w:rPr>
        <w:t xml:space="preserve"> </w:t>
      </w:r>
      <w:r w:rsidRPr="00B35E6B">
        <w:rPr>
          <w:rFonts w:ascii="Times New Roman" w:eastAsia="Times New Roman" w:hAnsi="Times New Roman" w:cs="Times New Roman"/>
          <w:sz w:val="24"/>
          <w:szCs w:val="24"/>
          <w:lang w:eastAsia="en-IN"/>
        </w:rPr>
        <w:t>'</w:t>
      </w:r>
      <w:proofErr w:type="spellStart"/>
      <w:r w:rsidRPr="00B35E6B">
        <w:rPr>
          <w:rFonts w:ascii="Times New Roman" w:eastAsia="Times New Roman" w:hAnsi="Times New Roman" w:cs="Times New Roman"/>
          <w:sz w:val="24"/>
          <w:szCs w:val="24"/>
          <w:lang w:eastAsia="en-IN"/>
        </w:rPr>
        <w:t>favourable</w:t>
      </w:r>
      <w:proofErr w:type="spellEnd"/>
      <w:r w:rsidRPr="00B35E6B">
        <w:rPr>
          <w:rFonts w:ascii="Times New Roman" w:eastAsia="Times New Roman" w:hAnsi="Times New Roman" w:cs="Times New Roman"/>
          <w:sz w:val="24"/>
          <w:szCs w:val="24"/>
          <w:lang w:eastAsia="en-IN"/>
        </w:rPr>
        <w:t xml:space="preserve">' 'moderately </w:t>
      </w:r>
      <w:proofErr w:type="spellStart"/>
      <w:r w:rsidRPr="00B35E6B">
        <w:rPr>
          <w:rFonts w:ascii="Times New Roman" w:eastAsia="Times New Roman" w:hAnsi="Times New Roman" w:cs="Times New Roman"/>
          <w:sz w:val="24"/>
          <w:szCs w:val="24"/>
          <w:lang w:eastAsia="en-IN"/>
        </w:rPr>
        <w:t>favourable</w:t>
      </w:r>
      <w:proofErr w:type="spellEnd"/>
      <w:r w:rsidRPr="00B35E6B">
        <w:rPr>
          <w:rFonts w:ascii="Times New Roman" w:eastAsia="Times New Roman" w:hAnsi="Times New Roman" w:cs="Times New Roman"/>
          <w:sz w:val="24"/>
          <w:szCs w:val="24"/>
          <w:lang w:eastAsia="en-IN"/>
        </w:rPr>
        <w:t>' and '</w:t>
      </w:r>
      <w:proofErr w:type="spellStart"/>
      <w:r w:rsidRPr="00B35E6B">
        <w:rPr>
          <w:rFonts w:ascii="Times New Roman" w:eastAsia="Times New Roman" w:hAnsi="Times New Roman" w:cs="Times New Roman"/>
          <w:sz w:val="24"/>
          <w:szCs w:val="24"/>
          <w:lang w:eastAsia="en-IN"/>
        </w:rPr>
        <w:t>unfavourable</w:t>
      </w:r>
      <w:proofErr w:type="spellEnd"/>
      <w:r>
        <w:rPr>
          <w:rFonts w:ascii="Times New Roman" w:eastAsia="Times New Roman" w:hAnsi="Times New Roman" w:cs="Times New Roman"/>
          <w:sz w:val="24"/>
          <w:szCs w:val="24"/>
          <w:lang w:eastAsia="en-IN"/>
        </w:rPr>
        <w:t>'</w:t>
      </w:r>
      <w:r w:rsidRPr="00B35E6B">
        <w:rPr>
          <w:rFonts w:ascii="Times New Roman" w:eastAsia="Times New Roman" w:hAnsi="Times New Roman" w:cs="Times New Roman"/>
          <w:sz w:val="24"/>
          <w:szCs w:val="24"/>
          <w:lang w:eastAsia="en-IN"/>
        </w:rPr>
        <w:t xml:space="preserve"> home environments</w:t>
      </w:r>
      <w:r>
        <w:rPr>
          <w:rFonts w:ascii="Times New Roman" w:hAnsi="Times New Roman" w:cs="Times New Roman"/>
          <w:sz w:val="24"/>
        </w:rPr>
        <w:t xml:space="preserve">. In conclusion, this study highlights the role that home environment plays in shaping the cognitive abilities of students, particularly their problem-solving skills. </w:t>
      </w:r>
      <w:r w:rsidR="002566E2">
        <w:rPr>
          <w:rFonts w:ascii="Times New Roman" w:hAnsi="Times New Roman" w:cs="Times New Roman"/>
          <w:sz w:val="24"/>
        </w:rPr>
        <w:t>The findings emphasized the need for creating supportive and positive home environments in cognitive development</w:t>
      </w:r>
      <w:r w:rsidR="002566E2" w:rsidRPr="00617977">
        <w:rPr>
          <w:rFonts w:ascii="Times New Roman" w:hAnsi="Times New Roman" w:cs="Times New Roman"/>
          <w:sz w:val="24"/>
          <w:szCs w:val="24"/>
        </w:rPr>
        <w:t>. It is recommended that parents foster supportive, communicative, and structured home settings, and that schools and policymakers implement parent education and guidance programs to strengthen adolescents’ problem-solving skills and overall development.</w:t>
      </w:r>
    </w:p>
    <w:p w14:paraId="3BCC4F5A" w14:textId="3A7020D1" w:rsidR="00DD0909" w:rsidRDefault="00DD0909" w:rsidP="002566E2">
      <w:pPr>
        <w:spacing w:after="0" w:line="360" w:lineRule="auto"/>
        <w:jc w:val="both"/>
        <w:rPr>
          <w:rFonts w:ascii="Times New Roman" w:hAnsi="Times New Roman" w:cs="Times New Roman"/>
          <w:b/>
          <w:sz w:val="24"/>
        </w:rPr>
      </w:pPr>
      <w:r>
        <w:rPr>
          <w:rFonts w:ascii="Times New Roman" w:hAnsi="Times New Roman" w:cs="Times New Roman"/>
          <w:b/>
          <w:sz w:val="24"/>
        </w:rPr>
        <w:t>Keywords: Home Environment, Problem-Solving Ability, Adolescent Students</w:t>
      </w:r>
    </w:p>
    <w:p w14:paraId="280D0A23" w14:textId="77777777" w:rsidR="00DD0909" w:rsidRDefault="00DD0909" w:rsidP="00DD0909">
      <w:pPr>
        <w:spacing w:before="24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74A9D69" w14:textId="00F0C75A" w:rsidR="00DD0909" w:rsidRDefault="00DD0909" w:rsidP="00DD0909">
      <w:pPr>
        <w:spacing w:after="0" w:line="360" w:lineRule="auto"/>
        <w:jc w:val="both"/>
        <w:rPr>
          <w:rFonts w:ascii="Times New Roman" w:eastAsia="Times New Roman" w:hAnsi="Times New Roman" w:cs="Times New Roman"/>
          <w:sz w:val="24"/>
          <w:szCs w:val="24"/>
          <w:lang w:val="en-IN" w:eastAsia="en-IN"/>
        </w:rPr>
      </w:pPr>
      <w:r>
        <w:rPr>
          <w:rFonts w:ascii="Times New Roman" w:hAnsi="Times New Roman" w:cs="Times New Roman"/>
          <w:sz w:val="24"/>
        </w:rPr>
        <w:t>From infancy to adulthood, there are many phases of human development. Each phase is directly or indirectly influenced by the home environment, which plays an important role in shaping an individual’s vision, approach, and outlook on life. During infancy and childhood</w:t>
      </w:r>
      <w:r w:rsidR="00303446">
        <w:t>—</w:t>
      </w:r>
      <w:r>
        <w:rPr>
          <w:rFonts w:ascii="Times New Roman" w:hAnsi="Times New Roman" w:cs="Times New Roman"/>
          <w:sz w:val="24"/>
        </w:rPr>
        <w:t>critical early learning stages</w:t>
      </w:r>
      <w:r w:rsidR="00303446">
        <w:t>—</w:t>
      </w:r>
      <w:r>
        <w:rPr>
          <w:rFonts w:ascii="Times New Roman" w:hAnsi="Times New Roman" w:cs="Times New Roman"/>
          <w:sz w:val="24"/>
        </w:rPr>
        <w:t xml:space="preserve">the baby follows and imitates the activities of their elders in a </w:t>
      </w:r>
      <w:r>
        <w:rPr>
          <w:rFonts w:ascii="Times New Roman" w:hAnsi="Times New Roman" w:cs="Times New Roman"/>
          <w:sz w:val="24"/>
        </w:rPr>
        <w:lastRenderedPageBreak/>
        <w:t>secure and safe environment. However, during the transition to adolescence, often referred to as the "storm and stress" stage, the child begins searching for their identity</w:t>
      </w:r>
      <w:r>
        <w:t xml:space="preserve"> (</w:t>
      </w:r>
      <w:r>
        <w:rPr>
          <w:rFonts w:ascii="Times New Roman" w:hAnsi="Times New Roman" w:cs="Times New Roman"/>
          <w:sz w:val="24"/>
        </w:rPr>
        <w:t xml:space="preserve">Basu, &amp; Banerjee, 2020). The adolescent stage, which lies between childhood and adulthood, is a time when the individual is neither considered a child nor an adult. </w:t>
      </w:r>
      <w:r>
        <w:rPr>
          <w:rFonts w:ascii="Times New Roman" w:eastAsia="Times New Roman" w:hAnsi="Times New Roman" w:cs="Times New Roman"/>
          <w:sz w:val="24"/>
          <w:szCs w:val="24"/>
          <w:lang w:val="en-IN" w:eastAsia="en-IN"/>
        </w:rPr>
        <w:t>During this transition period, the child experiences physical and hormonal changes that impact their overall well-being. In this context, a positive home environment that includes emotional support, understanding, regular guidance, love, affection, and easy access to resources can help the child cope with the challenges and problems they experience at school and in society</w:t>
      </w:r>
      <w:r w:rsidRPr="0042361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proofErr w:type="spellStart"/>
      <w:r w:rsidRPr="00423618">
        <w:rPr>
          <w:rFonts w:ascii="Times New Roman" w:hAnsi="Times New Roman" w:cs="Times New Roman"/>
          <w:color w:val="000000" w:themeColor="text1"/>
          <w:sz w:val="24"/>
          <w:szCs w:val="24"/>
          <w:shd w:val="clear" w:color="auto" w:fill="FFFFFF"/>
        </w:rPr>
        <w:t>Ayık</w:t>
      </w:r>
      <w:proofErr w:type="spellEnd"/>
      <w:r>
        <w:rPr>
          <w:rFonts w:ascii="Times New Roman" w:hAnsi="Times New Roman" w:cs="Times New Roman"/>
          <w:color w:val="000000" w:themeColor="text1"/>
          <w:sz w:val="24"/>
          <w:szCs w:val="24"/>
          <w:shd w:val="clear" w:color="auto" w:fill="FFFFFF"/>
        </w:rPr>
        <w:t xml:space="preserve">, </w:t>
      </w:r>
      <w:proofErr w:type="spellStart"/>
      <w:r w:rsidRPr="00423618">
        <w:rPr>
          <w:rFonts w:ascii="Times New Roman" w:hAnsi="Times New Roman" w:cs="Times New Roman"/>
          <w:color w:val="000000" w:themeColor="text1"/>
          <w:sz w:val="24"/>
          <w:szCs w:val="24"/>
          <w:shd w:val="clear" w:color="auto" w:fill="FFFFFF"/>
        </w:rPr>
        <w:t>Sezer</w:t>
      </w:r>
      <w:proofErr w:type="spellEnd"/>
      <w:r w:rsidRPr="00423618">
        <w:rPr>
          <w:rFonts w:ascii="Times New Roman" w:hAnsi="Times New Roman" w:cs="Times New Roman"/>
          <w:color w:val="000000" w:themeColor="text1"/>
          <w:sz w:val="24"/>
          <w:szCs w:val="24"/>
          <w:shd w:val="clear" w:color="auto" w:fill="FFFFFF"/>
        </w:rPr>
        <w:t xml:space="preserve">, &amp; </w:t>
      </w:r>
      <w:proofErr w:type="spellStart"/>
      <w:r w:rsidRPr="00423618">
        <w:rPr>
          <w:rFonts w:ascii="Times New Roman" w:hAnsi="Times New Roman" w:cs="Times New Roman"/>
          <w:color w:val="000000" w:themeColor="text1"/>
          <w:sz w:val="24"/>
          <w:szCs w:val="24"/>
          <w:shd w:val="clear" w:color="auto" w:fill="FFFFFF"/>
        </w:rPr>
        <w:t>Koçyiğit</w:t>
      </w:r>
      <w:proofErr w:type="spellEnd"/>
      <w:r w:rsidRPr="00423618">
        <w:rPr>
          <w:rFonts w:ascii="Times New Roman" w:hAnsi="Times New Roman" w:cs="Times New Roman"/>
          <w:color w:val="000000" w:themeColor="text1"/>
          <w:sz w:val="24"/>
          <w:szCs w:val="24"/>
          <w:shd w:val="clear" w:color="auto" w:fill="FFFFFF"/>
        </w:rPr>
        <w:t>, 2025)</w:t>
      </w:r>
      <w:r>
        <w:rPr>
          <w:rFonts w:ascii="Times New Roman" w:eastAsia="Times New Roman" w:hAnsi="Times New Roman" w:cs="Times New Roman"/>
          <w:sz w:val="24"/>
          <w:szCs w:val="24"/>
          <w:lang w:val="en-IN" w:eastAsia="en-IN"/>
        </w:rPr>
        <w:t xml:space="preserve">. </w:t>
      </w:r>
    </w:p>
    <w:p w14:paraId="24857D91" w14:textId="77777777" w:rsidR="00DD0909" w:rsidRDefault="00DD0909" w:rsidP="00DD0909">
      <w:pPr>
        <w:spacing w:after="0" w:line="360" w:lineRule="auto"/>
        <w:jc w:val="both"/>
        <w:rPr>
          <w:rFonts w:ascii="Times New Roman" w:hAnsi="Times New Roman" w:cs="Times New Roman"/>
          <w:sz w:val="24"/>
        </w:rPr>
      </w:pPr>
      <w:r>
        <w:rPr>
          <w:rFonts w:ascii="Times New Roman" w:eastAsia="Times New Roman" w:hAnsi="Times New Roman" w:cs="Times New Roman"/>
          <w:sz w:val="24"/>
          <w:szCs w:val="24"/>
          <w:lang w:val="en-IN" w:eastAsia="en-IN"/>
        </w:rPr>
        <w:t>On the other hand, negative home conditions, such as regular conflicts between parents and other family members, a non-supportive environment, and poor socio-economic status, can hinder their ability to effectively solve life's challenges</w:t>
      </w:r>
      <w:r>
        <w:t xml:space="preserve"> (</w:t>
      </w:r>
      <w:r>
        <w:rPr>
          <w:rFonts w:ascii="Times New Roman" w:eastAsia="Times New Roman" w:hAnsi="Times New Roman" w:cs="Times New Roman"/>
          <w:sz w:val="24"/>
          <w:szCs w:val="24"/>
          <w:lang w:val="en-IN" w:eastAsia="en-IN"/>
        </w:rPr>
        <w:t xml:space="preserve">Abdelaziz, et al., 2024). </w:t>
      </w:r>
      <w:r>
        <w:rPr>
          <w:rFonts w:ascii="Times New Roman" w:hAnsi="Times New Roman" w:cs="Times New Roman"/>
          <w:sz w:val="24"/>
        </w:rPr>
        <w:t>For adolescent students the home environment is integral to the development and well-being in many ways. As a foundational support system, it offers emotional encouragement and stability crucial for their overall development during the formative adolescent years. This nurturing environment fosters a sense of security and belonging, essential for navigating academic pressures and social interactions at school (</w:t>
      </w:r>
      <w:proofErr w:type="spellStart"/>
      <w:r>
        <w:rPr>
          <w:rFonts w:ascii="Times New Roman" w:hAnsi="Times New Roman" w:cs="Times New Roman"/>
          <w:sz w:val="24"/>
        </w:rPr>
        <w:t>Allroggen</w:t>
      </w:r>
      <w:proofErr w:type="spellEnd"/>
      <w:r>
        <w:rPr>
          <w:rFonts w:ascii="Times New Roman" w:hAnsi="Times New Roman" w:cs="Times New Roman"/>
          <w:sz w:val="24"/>
        </w:rPr>
        <w:t xml:space="preserve"> et al., 2016; Singh, 2021). </w:t>
      </w:r>
    </w:p>
    <w:p w14:paraId="302EF4E6" w14:textId="77777777" w:rsidR="00DD0909" w:rsidRDefault="00DD0909" w:rsidP="00DD0909">
      <w:pPr>
        <w:spacing w:after="0" w:line="360" w:lineRule="auto"/>
        <w:jc w:val="both"/>
        <w:rPr>
          <w:rFonts w:ascii="Times New Roman" w:hAnsi="Times New Roman" w:cs="Times New Roman"/>
          <w:sz w:val="24"/>
        </w:rPr>
      </w:pPr>
      <w:r>
        <w:rPr>
          <w:rFonts w:ascii="Times New Roman" w:hAnsi="Times New Roman" w:cs="Times New Roman"/>
          <w:sz w:val="24"/>
        </w:rPr>
        <w:t xml:space="preserve">Problem-solving ability is a fundamental skill that empowers individuals to tackle challenges and overcome obstacles in various aspects of life. For academic and personal development of adolescent students, improving problem-solving ability is one of the greatest challenges of educational psychology and expected to be improved by educational institutions (Mayer &amp; Wittrock, 2006; </w:t>
      </w:r>
      <w:proofErr w:type="spellStart"/>
      <w:r>
        <w:rPr>
          <w:rFonts w:ascii="Times New Roman" w:hAnsi="Times New Roman" w:cs="Times New Roman"/>
          <w:sz w:val="24"/>
        </w:rPr>
        <w:t>Alberida</w:t>
      </w:r>
      <w:proofErr w:type="spellEnd"/>
      <w:r>
        <w:rPr>
          <w:rFonts w:ascii="Times New Roman" w:hAnsi="Times New Roman" w:cs="Times New Roman"/>
          <w:sz w:val="24"/>
        </w:rPr>
        <w:t xml:space="preserve"> et al., 2022). Oldershaw et al. (2009), defined problem solving as the process of managing and </w:t>
      </w:r>
      <w:proofErr w:type="spellStart"/>
      <w:r>
        <w:rPr>
          <w:rFonts w:ascii="Times New Roman" w:hAnsi="Times New Roman" w:cs="Times New Roman"/>
          <w:sz w:val="24"/>
        </w:rPr>
        <w:t>assessing</w:t>
      </w:r>
      <w:proofErr w:type="spellEnd"/>
      <w:r>
        <w:rPr>
          <w:rFonts w:ascii="Times New Roman" w:hAnsi="Times New Roman" w:cs="Times New Roman"/>
          <w:sz w:val="24"/>
        </w:rPr>
        <w:t xml:space="preserve"> challenges, and reaching a resolution. According to </w:t>
      </w:r>
      <w:proofErr w:type="spellStart"/>
      <w:r>
        <w:rPr>
          <w:rFonts w:ascii="Times New Roman" w:hAnsi="Times New Roman" w:cs="Times New Roman"/>
          <w:sz w:val="24"/>
        </w:rPr>
        <w:t>Zincir</w:t>
      </w:r>
      <w:proofErr w:type="spellEnd"/>
      <w:r>
        <w:rPr>
          <w:rFonts w:ascii="Times New Roman" w:hAnsi="Times New Roman" w:cs="Times New Roman"/>
          <w:sz w:val="24"/>
        </w:rPr>
        <w:t xml:space="preserve"> (2014), problem solving can be categorized into four stages: "understanding the problem, choosing the optimal solution, executing the solution, and evaluating the outcome".</w:t>
      </w:r>
      <w:r>
        <w:rPr>
          <w:rFonts w:ascii="Times New Roman" w:hAnsi="Times New Roman" w:cs="Times New Roman"/>
          <w:sz w:val="28"/>
        </w:rPr>
        <w:t xml:space="preserve"> </w:t>
      </w:r>
      <w:r>
        <w:rPr>
          <w:rFonts w:ascii="Times New Roman" w:hAnsi="Times New Roman" w:cs="Times New Roman"/>
          <w:sz w:val="24"/>
        </w:rPr>
        <w:t>Hence, problem solving ability empowers students to think about themselves and others to develop an understanding of self in the bigger picture of society (</w:t>
      </w:r>
      <w:proofErr w:type="spellStart"/>
      <w:r>
        <w:rPr>
          <w:rFonts w:ascii="Times New Roman" w:hAnsi="Times New Roman" w:cs="Times New Roman"/>
          <w:sz w:val="24"/>
        </w:rPr>
        <w:t>İncebacak</w:t>
      </w:r>
      <w:proofErr w:type="spellEnd"/>
      <w:r>
        <w:rPr>
          <w:rFonts w:ascii="Times New Roman" w:hAnsi="Times New Roman" w:cs="Times New Roman"/>
          <w:sz w:val="24"/>
        </w:rPr>
        <w:t xml:space="preserve"> &amp; </w:t>
      </w:r>
      <w:proofErr w:type="spellStart"/>
      <w:r>
        <w:rPr>
          <w:rFonts w:ascii="Times New Roman" w:hAnsi="Times New Roman" w:cs="Times New Roman"/>
          <w:sz w:val="24"/>
        </w:rPr>
        <w:t>Esen</w:t>
      </w:r>
      <w:proofErr w:type="spellEnd"/>
      <w:r>
        <w:rPr>
          <w:rFonts w:ascii="Times New Roman" w:hAnsi="Times New Roman" w:cs="Times New Roman"/>
          <w:sz w:val="24"/>
        </w:rPr>
        <w:t xml:space="preserve">, 2016). </w:t>
      </w:r>
    </w:p>
    <w:p w14:paraId="1475F180" w14:textId="77777777" w:rsidR="00DD0909" w:rsidRDefault="00DD0909" w:rsidP="00DD0909">
      <w:pPr>
        <w:spacing w:after="0" w:line="360" w:lineRule="auto"/>
        <w:jc w:val="both"/>
        <w:rPr>
          <w:rFonts w:ascii="Times New Roman" w:hAnsi="Times New Roman" w:cs="Times New Roman"/>
          <w:sz w:val="24"/>
        </w:rPr>
      </w:pPr>
    </w:p>
    <w:p w14:paraId="0BBE7C17" w14:textId="77777777" w:rsidR="00DD0909" w:rsidRPr="007D0DD4" w:rsidRDefault="00DD0909" w:rsidP="00DD0909">
      <w:pPr>
        <w:spacing w:after="100" w:afterAutospacing="1" w:line="360" w:lineRule="auto"/>
        <w:jc w:val="both"/>
        <w:rPr>
          <w:rFonts w:ascii="Times New Roman" w:hAnsi="Times New Roman" w:cs="Times New Roman"/>
          <w:b/>
          <w:sz w:val="24"/>
        </w:rPr>
      </w:pPr>
      <w:r w:rsidRPr="007D0DD4">
        <w:rPr>
          <w:rFonts w:ascii="Times New Roman" w:hAnsi="Times New Roman" w:cs="Times New Roman"/>
          <w:b/>
          <w:sz w:val="24"/>
        </w:rPr>
        <w:t>REVIEW OF RELATED LITERATURE</w:t>
      </w:r>
    </w:p>
    <w:p w14:paraId="25AB47DD" w14:textId="77777777" w:rsidR="00DD0909" w:rsidRPr="009623DC" w:rsidRDefault="00DD0909" w:rsidP="00DD0909">
      <w:pPr>
        <w:spacing w:after="100" w:afterAutospacing="1" w:line="360" w:lineRule="auto"/>
        <w:jc w:val="both"/>
        <w:rPr>
          <w:rFonts w:ascii="Times New Roman" w:hAnsi="Times New Roman" w:cs="Times New Roman"/>
          <w:sz w:val="24"/>
        </w:rPr>
      </w:pPr>
      <w:r w:rsidRPr="009623DC">
        <w:rPr>
          <w:rFonts w:ascii="Times New Roman" w:hAnsi="Times New Roman" w:cs="Times New Roman"/>
          <w:sz w:val="24"/>
        </w:rPr>
        <w:t xml:space="preserve">Several studies discovered the complex interplay between family dynamics and adolescent problem-solving abilities, offering both converging and diverging insights. Cassidy (2009) study revealed that secondary students exhibited elevated psychological distress, lower self-esteem, unhealthier </w:t>
      </w:r>
      <w:proofErr w:type="spellStart"/>
      <w:r w:rsidRPr="009623DC">
        <w:rPr>
          <w:rFonts w:ascii="Times New Roman" w:hAnsi="Times New Roman" w:cs="Times New Roman"/>
          <w:sz w:val="24"/>
        </w:rPr>
        <w:t>behaviours</w:t>
      </w:r>
      <w:proofErr w:type="spellEnd"/>
      <w:r w:rsidRPr="009623DC">
        <w:rPr>
          <w:rFonts w:ascii="Times New Roman" w:hAnsi="Times New Roman" w:cs="Times New Roman"/>
          <w:sz w:val="24"/>
        </w:rPr>
        <w:t xml:space="preserve">, less support from parents and teachers, poorer problem-solving </w:t>
      </w:r>
      <w:r w:rsidRPr="009623DC">
        <w:rPr>
          <w:rFonts w:ascii="Times New Roman" w:hAnsi="Times New Roman" w:cs="Times New Roman"/>
          <w:sz w:val="24"/>
        </w:rPr>
        <w:lastRenderedPageBreak/>
        <w:t xml:space="preserve">styles, and lower perceived social identity. In Erzincan province, Yıldırım et al. (2011) identified moderate problem-solving skills among high school students, with significant differences based on gender, grade level, fathers' occupation and education, feelings of loneliness, self-confidence, and substance use. The findings suggested that problem-solving skills, as cognitive abilities, can be enhanced through problem-based learning with a student-centered approach, spanning educational and home environment domains. Sharma (2012) focused on the relationship between home environment and reasoning ability among secondary school students in Jammu city. Results indicated that students with a high-quality home environment exhibited higher levels of reasoning ability compared to those with a lower-quality home environment. In their study, Hooda &amp; Devi (2014) suggested that parents support, co-curricular activities promoting cooperation, tolerance, open-mindedness, and shared responsibilities can significantly enhance problem-solving skills among adolescents. Similarly, Kwok et al. (2015) conducted a survey involving adolescents aged twelve to seventeen in Shanghai. The study proposed interventions aimed at shifting parental attitudes regarding physical abuse, providing effective parenting guidance, and enhancing adolescents' rational problem-solving skills. The problem-solving abilities of adolescents, focusing on gender, family type, and school type in rural areas of Kanyakumari District, Tamil Nadu was conducted by Sumitha and Jose (2016). Findings suggested that female students outperform male students, and nuclear family students excel over those from joint families in problem solving skills. The study conducted by </w:t>
      </w:r>
      <w:proofErr w:type="spellStart"/>
      <w:r w:rsidRPr="009623DC">
        <w:rPr>
          <w:rFonts w:ascii="Times New Roman" w:hAnsi="Times New Roman" w:cs="Times New Roman"/>
          <w:sz w:val="24"/>
        </w:rPr>
        <w:t>Tösten</w:t>
      </w:r>
      <w:proofErr w:type="spellEnd"/>
      <w:r w:rsidRPr="009623DC">
        <w:rPr>
          <w:rFonts w:ascii="Times New Roman" w:hAnsi="Times New Roman" w:cs="Times New Roman"/>
          <w:sz w:val="24"/>
        </w:rPr>
        <w:t xml:space="preserve"> et al. (2017) revealed no significant correlation between authoritarian maternal attitudes and students' problem-solving skills; there exists a significant positive relationship between democratic parental attitudes and students' problem-solving abilities. Moreover, parental attitudes are shown to predict 20% of the variance in students' problem-solving skills among high school students. To investigate the factors shaping students' curiosity and problem-solving ability in junior high school students, </w:t>
      </w:r>
      <w:proofErr w:type="spellStart"/>
      <w:r w:rsidRPr="009623DC">
        <w:rPr>
          <w:rFonts w:ascii="Times New Roman" w:hAnsi="Times New Roman" w:cs="Times New Roman"/>
          <w:sz w:val="24"/>
        </w:rPr>
        <w:t>Artinta</w:t>
      </w:r>
      <w:proofErr w:type="spellEnd"/>
      <w:r w:rsidRPr="009623DC">
        <w:rPr>
          <w:rFonts w:ascii="Times New Roman" w:hAnsi="Times New Roman" w:cs="Times New Roman"/>
          <w:sz w:val="24"/>
        </w:rPr>
        <w:t xml:space="preserve"> &amp; </w:t>
      </w:r>
      <w:proofErr w:type="spellStart"/>
      <w:r w:rsidRPr="009623DC">
        <w:rPr>
          <w:rFonts w:ascii="Times New Roman" w:hAnsi="Times New Roman" w:cs="Times New Roman"/>
          <w:sz w:val="24"/>
        </w:rPr>
        <w:t>Fauziah</w:t>
      </w:r>
      <w:proofErr w:type="spellEnd"/>
      <w:r w:rsidRPr="009623DC">
        <w:rPr>
          <w:rFonts w:ascii="Times New Roman" w:hAnsi="Times New Roman" w:cs="Times New Roman"/>
          <w:sz w:val="24"/>
        </w:rPr>
        <w:t xml:space="preserve"> (2021) conducted a study. The findings highlighted that problem-solving skills are impacted by several factors including family environment. Study conducted by </w:t>
      </w:r>
      <w:proofErr w:type="spellStart"/>
      <w:r w:rsidRPr="009623DC">
        <w:rPr>
          <w:rFonts w:ascii="Times New Roman" w:hAnsi="Times New Roman" w:cs="Times New Roman"/>
          <w:sz w:val="24"/>
        </w:rPr>
        <w:t>Amelirad</w:t>
      </w:r>
      <w:proofErr w:type="spellEnd"/>
      <w:r w:rsidRPr="009623DC">
        <w:rPr>
          <w:rFonts w:ascii="Times New Roman" w:hAnsi="Times New Roman" w:cs="Times New Roman"/>
          <w:sz w:val="24"/>
        </w:rPr>
        <w:t xml:space="preserve"> et al. (2022) revealed significant positive relationship between emotional family atmosphere, problem-solving skills, and enhanced social well-being among adolescent students. Abdelaziz et al. (2024) investigated the relationship between problem-solving skills and parental authority among technical secondary school students aged between fifteen to nineteen. Utilizing a cross-sectional research design the results indicated that 62.5% of students identified the authoritative parenting style as commonly used. There was a statistically significant negative relationship between problem-solving skills (such as problem concept, defining the problem, generating alternatives, making </w:t>
      </w:r>
      <w:r w:rsidRPr="009623DC">
        <w:rPr>
          <w:rFonts w:ascii="Times New Roman" w:hAnsi="Times New Roman" w:cs="Times New Roman"/>
          <w:sz w:val="24"/>
        </w:rPr>
        <w:lastRenderedPageBreak/>
        <w:t>decisions, and evaluation) and the authoritarian parenting style. Conversely, a positive correlation was found between these skills and the authoritative parenting style. The study concluded that psycho-educational programs are needed to help parents shift from an authoritarian to an authoritative approach, promoting better problem-solving abilities in their children.</w:t>
      </w:r>
    </w:p>
    <w:p w14:paraId="36F0A408" w14:textId="77777777" w:rsidR="00DD0909" w:rsidRDefault="00DD0909" w:rsidP="00DD0909">
      <w:pPr>
        <w:spacing w:after="100" w:afterAutospacing="1" w:line="360" w:lineRule="auto"/>
        <w:jc w:val="both"/>
        <w:rPr>
          <w:rFonts w:ascii="Times New Roman" w:hAnsi="Times New Roman" w:cs="Times New Roman"/>
          <w:b/>
          <w:sz w:val="24"/>
        </w:rPr>
      </w:pPr>
      <w:bookmarkStart w:id="1" w:name="_Hlk196550603"/>
      <w:r w:rsidRPr="003D3F35">
        <w:rPr>
          <w:rFonts w:ascii="Times New Roman" w:hAnsi="Times New Roman" w:cs="Times New Roman"/>
          <w:b/>
          <w:sz w:val="24"/>
        </w:rPr>
        <w:t>RESEARCH GAP</w:t>
      </w:r>
    </w:p>
    <w:p w14:paraId="48D189F8" w14:textId="06CF3F3B" w:rsidR="00DD0909" w:rsidRPr="00DD03BF" w:rsidRDefault="00DD0909" w:rsidP="00DD0909">
      <w:pPr>
        <w:spacing w:after="100" w:afterAutospacing="1" w:line="360" w:lineRule="auto"/>
        <w:jc w:val="both"/>
        <w:rPr>
          <w:rFonts w:ascii="Times New Roman" w:hAnsi="Times New Roman" w:cs="Times New Roman"/>
          <w:sz w:val="24"/>
        </w:rPr>
      </w:pPr>
      <w:r w:rsidRPr="00DD03BF">
        <w:rPr>
          <w:rFonts w:ascii="Times New Roman" w:hAnsi="Times New Roman" w:cs="Times New Roman"/>
          <w:sz w:val="24"/>
        </w:rPr>
        <w:t>A comprehensive review of the related literature reveals that, while there are studies on some factors of the home environment</w:t>
      </w:r>
      <w:r w:rsidR="00EA1C45">
        <w:rPr>
          <w:rFonts w:ascii="Times New Roman" w:hAnsi="Times New Roman" w:cs="Times New Roman"/>
          <w:sz w:val="24"/>
        </w:rPr>
        <w:t xml:space="preserve"> </w:t>
      </w:r>
      <w:r w:rsidRPr="00DD03BF">
        <w:rPr>
          <w:rFonts w:ascii="Times New Roman" w:hAnsi="Times New Roman" w:cs="Times New Roman"/>
          <w:sz w:val="24"/>
        </w:rPr>
        <w:t>such as</w:t>
      </w:r>
      <w:r w:rsidR="00E76CE4">
        <w:t>—</w:t>
      </w:r>
      <w:r w:rsidRPr="00DD03BF">
        <w:rPr>
          <w:rFonts w:ascii="Times New Roman" w:hAnsi="Times New Roman" w:cs="Times New Roman"/>
          <w:sz w:val="24"/>
        </w:rPr>
        <w:t>socio-economic status (SES), parents' education, family size, residential area, and parenting style</w:t>
      </w:r>
      <w:r w:rsidR="00E76CE4">
        <w:t>—</w:t>
      </w:r>
      <w:r w:rsidRPr="00DD03BF">
        <w:rPr>
          <w:rFonts w:ascii="Times New Roman" w:hAnsi="Times New Roman" w:cs="Times New Roman"/>
          <w:sz w:val="24"/>
        </w:rPr>
        <w:t xml:space="preserve">very few studies comprehensively examine these factors together in the context of their influence on </w:t>
      </w:r>
      <w:r>
        <w:rPr>
          <w:rFonts w:ascii="Times New Roman" w:hAnsi="Times New Roman" w:cs="Times New Roman"/>
          <w:sz w:val="24"/>
        </w:rPr>
        <w:t>adolescent</w:t>
      </w:r>
      <w:r w:rsidRPr="00DD03BF">
        <w:rPr>
          <w:rFonts w:ascii="Times New Roman" w:hAnsi="Times New Roman" w:cs="Times New Roman"/>
          <w:sz w:val="24"/>
        </w:rPr>
        <w:t xml:space="preserve"> students' problem-solving abilities. This dearth of research highlighted the need for more focused study to address these gaps and to better understand and support the development of nurturing home environment for better problem-solving abilities in </w:t>
      </w:r>
      <w:r>
        <w:rPr>
          <w:rFonts w:ascii="Times New Roman" w:hAnsi="Times New Roman" w:cs="Times New Roman"/>
          <w:sz w:val="24"/>
        </w:rPr>
        <w:t>adolescent</w:t>
      </w:r>
      <w:r w:rsidRPr="00DD03BF">
        <w:rPr>
          <w:rFonts w:ascii="Times New Roman" w:hAnsi="Times New Roman" w:cs="Times New Roman"/>
          <w:sz w:val="24"/>
        </w:rPr>
        <w:t xml:space="preserve"> students within the context of Uttarakhand.</w:t>
      </w:r>
      <w:r>
        <w:rPr>
          <w:rFonts w:ascii="Times New Roman" w:hAnsi="Times New Roman" w:cs="Times New Roman"/>
          <w:sz w:val="24"/>
        </w:rPr>
        <w:t xml:space="preserve"> </w:t>
      </w:r>
    </w:p>
    <w:bookmarkEnd w:id="1"/>
    <w:p w14:paraId="29A6B860" w14:textId="77777777" w:rsidR="00DD0909" w:rsidRPr="00724209" w:rsidRDefault="00DD0909" w:rsidP="00DD0909">
      <w:pPr>
        <w:spacing w:line="360" w:lineRule="auto"/>
        <w:jc w:val="both"/>
        <w:rPr>
          <w:rFonts w:ascii="Times New Roman" w:hAnsi="Times New Roman" w:cs="Times New Roman"/>
          <w:b/>
          <w:sz w:val="24"/>
        </w:rPr>
      </w:pPr>
      <w:r w:rsidRPr="00724209">
        <w:rPr>
          <w:rFonts w:ascii="Times New Roman" w:hAnsi="Times New Roman" w:cs="Times New Roman"/>
          <w:b/>
          <w:sz w:val="24"/>
        </w:rPr>
        <w:t>NEED AND SIGNIFICANCE OF THE STUDY</w:t>
      </w:r>
    </w:p>
    <w:p w14:paraId="7BFC0713" w14:textId="43E80857" w:rsidR="00DD0909" w:rsidRDefault="00DD0909" w:rsidP="00DD0909">
      <w:pPr>
        <w:spacing w:after="100" w:afterAutospacing="1" w:line="360" w:lineRule="auto"/>
        <w:jc w:val="both"/>
        <w:rPr>
          <w:rFonts w:ascii="Times New Roman" w:hAnsi="Times New Roman" w:cs="Times New Roman"/>
          <w:sz w:val="24"/>
        </w:rPr>
      </w:pPr>
      <w:r>
        <w:rPr>
          <w:rFonts w:ascii="Times New Roman" w:hAnsi="Times New Roman" w:cs="Times New Roman"/>
          <w:sz w:val="24"/>
        </w:rPr>
        <w:t>A student with effective problem-solving ability can be identified through their use of a wide range of strategies in tackling their problems, has high self-confidence, checks answers for reasonableness and is able to understand the problem and find its solution with critical and analytical skills (</w:t>
      </w:r>
      <w:proofErr w:type="spellStart"/>
      <w:r>
        <w:rPr>
          <w:rFonts w:ascii="Times New Roman" w:hAnsi="Times New Roman" w:cs="Times New Roman"/>
          <w:sz w:val="24"/>
        </w:rPr>
        <w:t>D’Zurilla</w:t>
      </w:r>
      <w:proofErr w:type="spellEnd"/>
      <w:r>
        <w:rPr>
          <w:rFonts w:ascii="Times New Roman" w:hAnsi="Times New Roman" w:cs="Times New Roman"/>
          <w:sz w:val="24"/>
        </w:rPr>
        <w:t xml:space="preserve"> &amp; </w:t>
      </w:r>
      <w:proofErr w:type="spellStart"/>
      <w:r>
        <w:rPr>
          <w:rFonts w:ascii="Times New Roman" w:hAnsi="Times New Roman" w:cs="Times New Roman"/>
          <w:sz w:val="24"/>
        </w:rPr>
        <w:t>Goldfried</w:t>
      </w:r>
      <w:proofErr w:type="spellEnd"/>
      <w:r>
        <w:rPr>
          <w:rFonts w:ascii="Times New Roman" w:hAnsi="Times New Roman" w:cs="Times New Roman"/>
          <w:sz w:val="24"/>
        </w:rPr>
        <w:t xml:space="preserve">, 1971; Devi, 2018; Dewi, 2023; Abdelaziz et al., 2024). For the above reasons, the ability to solve problems is of great importance to adolescent students. In this context, the home environment plays a vital role in fostering students' problem-solving abilities and skills, as it shapes their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and decision-making processes. These </w:t>
      </w:r>
      <w:proofErr w:type="spellStart"/>
      <w:r>
        <w:rPr>
          <w:rFonts w:ascii="Times New Roman" w:hAnsi="Times New Roman" w:cs="Times New Roman"/>
          <w:sz w:val="24"/>
        </w:rPr>
        <w:t>behaviours</w:t>
      </w:r>
      <w:proofErr w:type="spellEnd"/>
      <w:r>
        <w:rPr>
          <w:rFonts w:ascii="Times New Roman" w:hAnsi="Times New Roman" w:cs="Times New Roman"/>
          <w:sz w:val="24"/>
        </w:rPr>
        <w:t xml:space="preserve">, whether positive or negative, profoundly impact how individuals handle everyday challenges they encounter (Abdelaziz et al., 2024). Assuming the profound interdependency of the above-mentioned variables i.e. home environment and problem-solving ability, and due to the lack of dedicated researches in this area, </w:t>
      </w:r>
      <w:r w:rsidRPr="00697B3F">
        <w:rPr>
          <w:rFonts w:ascii="Times New Roman" w:hAnsi="Times New Roman" w:cs="Times New Roman"/>
          <w:sz w:val="24"/>
          <w:szCs w:val="24"/>
        </w:rPr>
        <w:t>the researcher</w:t>
      </w:r>
      <w:r w:rsidR="000D5547">
        <w:rPr>
          <w:rFonts w:ascii="Times New Roman" w:hAnsi="Times New Roman" w:cs="Times New Roman"/>
          <w:sz w:val="24"/>
          <w:szCs w:val="24"/>
        </w:rPr>
        <w:t>s</w:t>
      </w:r>
      <w:r w:rsidRPr="00697B3F">
        <w:rPr>
          <w:rFonts w:ascii="Times New Roman" w:hAnsi="Times New Roman" w:cs="Times New Roman"/>
          <w:sz w:val="24"/>
          <w:szCs w:val="24"/>
        </w:rPr>
        <w:t xml:space="preserve"> has decided to conduct a study among adolescent students from government, government-aided and private schools in the </w:t>
      </w:r>
      <w:proofErr w:type="spellStart"/>
      <w:r w:rsidRPr="00697B3F">
        <w:rPr>
          <w:rFonts w:ascii="Times New Roman" w:hAnsi="Times New Roman" w:cs="Times New Roman"/>
          <w:sz w:val="24"/>
          <w:szCs w:val="24"/>
        </w:rPr>
        <w:t>Almora</w:t>
      </w:r>
      <w:proofErr w:type="spellEnd"/>
      <w:r w:rsidRPr="00697B3F">
        <w:rPr>
          <w:rFonts w:ascii="Times New Roman" w:hAnsi="Times New Roman" w:cs="Times New Roman"/>
          <w:sz w:val="24"/>
          <w:szCs w:val="24"/>
        </w:rPr>
        <w:t xml:space="preserve"> District of </w:t>
      </w:r>
      <w:proofErr w:type="spellStart"/>
      <w:r w:rsidRPr="00697B3F">
        <w:rPr>
          <w:rFonts w:ascii="Times New Roman" w:hAnsi="Times New Roman" w:cs="Times New Roman"/>
          <w:sz w:val="24"/>
          <w:szCs w:val="24"/>
        </w:rPr>
        <w:t>Kumaun</w:t>
      </w:r>
      <w:proofErr w:type="spellEnd"/>
      <w:r w:rsidRPr="00697B3F">
        <w:rPr>
          <w:rFonts w:ascii="Times New Roman" w:hAnsi="Times New Roman" w:cs="Times New Roman"/>
          <w:sz w:val="24"/>
          <w:szCs w:val="24"/>
        </w:rPr>
        <w:t xml:space="preserve"> region, Uttarakhand.</w:t>
      </w:r>
    </w:p>
    <w:p w14:paraId="0EA859B1" w14:textId="5F3E224D" w:rsidR="00DD0909" w:rsidRDefault="00DD0909" w:rsidP="00DD0909">
      <w:pPr>
        <w:spacing w:before="240" w:after="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OBJECTIVE</w:t>
      </w:r>
      <w:r w:rsidR="008D1495">
        <w:rPr>
          <w:rFonts w:ascii="Times New Roman" w:hAnsi="Times New Roman" w:cs="Times New Roman"/>
          <w:b/>
          <w:bCs/>
          <w:sz w:val="24"/>
          <w:szCs w:val="24"/>
        </w:rPr>
        <w:t>S</w:t>
      </w:r>
    </w:p>
    <w:p w14:paraId="6B85A374" w14:textId="77777777" w:rsidR="00DD0909" w:rsidRDefault="00DD0909" w:rsidP="00DD0909">
      <w:pPr>
        <w:spacing w:before="240" w:line="360" w:lineRule="auto"/>
        <w:ind w:left="360" w:hanging="360"/>
        <w:jc w:val="both"/>
        <w:rPr>
          <w:rFonts w:ascii="Times New Roman" w:hAnsi="Times New Roman" w:cs="Times New Roman"/>
          <w:sz w:val="24"/>
        </w:rPr>
      </w:pPr>
      <w:r>
        <w:rPr>
          <w:rFonts w:ascii="Times New Roman" w:hAnsi="Times New Roman" w:cs="Times New Roman"/>
          <w:sz w:val="24"/>
        </w:rPr>
        <w:t>The present study was guided by the following objective –</w:t>
      </w:r>
    </w:p>
    <w:p w14:paraId="00DC9646" w14:textId="77777777" w:rsidR="00DD0909" w:rsidRDefault="00DD0909" w:rsidP="00DD0909">
      <w:pPr>
        <w:spacing w:line="36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To analyze and compare the problem-solving ability among subgroups of adolescent students identified on the basis of their home environment.</w:t>
      </w:r>
    </w:p>
    <w:p w14:paraId="57A5B531" w14:textId="318A622C" w:rsidR="00DD0909" w:rsidRDefault="00DD0909" w:rsidP="00DD0909">
      <w:pPr>
        <w:spacing w:before="240" w:after="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HYPOTHESES</w:t>
      </w:r>
    </w:p>
    <w:p w14:paraId="0B25014B" w14:textId="447F6CCC" w:rsidR="00DD0909" w:rsidRDefault="006931AA" w:rsidP="00DD0909">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DD0909">
        <w:rPr>
          <w:rFonts w:ascii="Times New Roman" w:hAnsi="Times New Roman" w:cs="Times New Roman"/>
          <w:color w:val="000000" w:themeColor="text1"/>
          <w:sz w:val="24"/>
          <w:szCs w:val="24"/>
        </w:rPr>
        <w:t>he following null hypothesis w</w:t>
      </w:r>
      <w:r>
        <w:rPr>
          <w:rFonts w:ascii="Times New Roman" w:hAnsi="Times New Roman" w:cs="Times New Roman"/>
          <w:color w:val="000000" w:themeColor="text1"/>
          <w:sz w:val="24"/>
          <w:szCs w:val="24"/>
        </w:rPr>
        <w:t>as</w:t>
      </w:r>
      <w:r w:rsidR="00DD0909">
        <w:rPr>
          <w:rFonts w:ascii="Times New Roman" w:hAnsi="Times New Roman" w:cs="Times New Roman"/>
          <w:color w:val="000000" w:themeColor="text1"/>
          <w:sz w:val="24"/>
          <w:szCs w:val="24"/>
        </w:rPr>
        <w:t xml:space="preserve"> formulated for investigation:</w:t>
      </w:r>
    </w:p>
    <w:p w14:paraId="677DB8E1" w14:textId="3C554DE9" w:rsidR="006931AA" w:rsidRDefault="006931AA" w:rsidP="006931AA">
      <w:pPr>
        <w:pBdr>
          <w:between w:val="nil"/>
        </w:pBdr>
        <w:spacing w:line="360" w:lineRule="auto"/>
        <w:ind w:left="450"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8D42BA">
        <w:rPr>
          <w:rFonts w:ascii="Times New Roman" w:hAnsi="Times New Roman" w:cs="Times New Roman"/>
          <w:color w:val="000000" w:themeColor="text1"/>
          <w:sz w:val="24"/>
          <w:szCs w:val="24"/>
        </w:rPr>
        <w:t xml:space="preserve">There is no significant difference in the problem-solving ability among subgroups of </w:t>
      </w:r>
      <w:r>
        <w:rPr>
          <w:rFonts w:ascii="Times New Roman" w:hAnsi="Times New Roman" w:cs="Times New Roman"/>
          <w:color w:val="000000" w:themeColor="text1"/>
          <w:sz w:val="24"/>
          <w:szCs w:val="24"/>
        </w:rPr>
        <w:t>adolescent</w:t>
      </w:r>
      <w:r w:rsidRPr="008D42BA">
        <w:rPr>
          <w:rFonts w:ascii="Times New Roman" w:hAnsi="Times New Roman" w:cs="Times New Roman"/>
          <w:color w:val="000000" w:themeColor="text1"/>
          <w:sz w:val="24"/>
          <w:szCs w:val="24"/>
        </w:rPr>
        <w:t xml:space="preserve"> students identified on the basis of </w:t>
      </w:r>
      <w:r>
        <w:rPr>
          <w:rFonts w:ascii="Times New Roman" w:hAnsi="Times New Roman" w:cs="Times New Roman"/>
          <w:color w:val="000000" w:themeColor="text1"/>
          <w:sz w:val="24"/>
          <w:szCs w:val="24"/>
        </w:rPr>
        <w:t>their home environment</w:t>
      </w:r>
      <w:r w:rsidRPr="00DC504F">
        <w:rPr>
          <w:rFonts w:ascii="Times New Roman" w:hAnsi="Times New Roman" w:cs="Times New Roman"/>
          <w:color w:val="000000" w:themeColor="text1"/>
          <w:sz w:val="24"/>
          <w:szCs w:val="24"/>
        </w:rPr>
        <w:t>.</w:t>
      </w:r>
    </w:p>
    <w:p w14:paraId="6F190353" w14:textId="77777777" w:rsidR="00DD0909" w:rsidRDefault="00DD0909" w:rsidP="00DD0909">
      <w:pPr>
        <w:spacing w:before="24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RESEARCH METHODOLOGY</w:t>
      </w:r>
    </w:p>
    <w:p w14:paraId="2DA18ABA" w14:textId="7E012E97" w:rsidR="00DD0909" w:rsidRDefault="006717E0" w:rsidP="008226E1">
      <w:pPr>
        <w:pStyle w:val="NormalWeb"/>
        <w:spacing w:after="0" w:afterAutospacing="0" w:line="360" w:lineRule="auto"/>
        <w:jc w:val="both"/>
      </w:pPr>
      <w:r w:rsidRPr="00657B30">
        <w:t xml:space="preserve">The present study employed a descriptive survey design to examine the </w:t>
      </w:r>
      <w:r w:rsidR="00CE5173" w:rsidRPr="00657B30">
        <w:t>inf</w:t>
      </w:r>
      <w:r w:rsidR="00AD474B" w:rsidRPr="00657B30">
        <w:t>l</w:t>
      </w:r>
      <w:r w:rsidR="00CE5173" w:rsidRPr="00657B30">
        <w:t>uence</w:t>
      </w:r>
      <w:r w:rsidR="00AD474B" w:rsidRPr="00657B30">
        <w:t xml:space="preserve"> of </w:t>
      </w:r>
      <w:r w:rsidRPr="00657B30">
        <w:t xml:space="preserve">home environment </w:t>
      </w:r>
      <w:r w:rsidR="00AD474B" w:rsidRPr="00657B30">
        <w:t xml:space="preserve">on </w:t>
      </w:r>
      <w:r w:rsidRPr="00657B30">
        <w:t xml:space="preserve">problem-solving ability among adolescent students. The population comprised students studying in Grades 9 to 12 in government, government-aided, and private secondary schools across the eleven blocks of Almora district in the </w:t>
      </w:r>
      <w:proofErr w:type="spellStart"/>
      <w:r w:rsidRPr="00657B30">
        <w:t>Kumaun</w:t>
      </w:r>
      <w:proofErr w:type="spellEnd"/>
      <w:r w:rsidRPr="00657B30">
        <w:t xml:space="preserve"> region of Uttarakhand. A sample of 576 students aged between 14 and 18 years were selected using a multistage random sampling technique. In the first stage, schools were randomly selected from the blocks of the district</w:t>
      </w:r>
      <w:r w:rsidR="00112786" w:rsidRPr="00657B30">
        <w:t>,</w:t>
      </w:r>
      <w:r w:rsidRPr="00657B30">
        <w:t xml:space="preserve"> categorized based on type (government, government-aided, and private) to ensure representation of different management types. In the </w:t>
      </w:r>
      <w:r w:rsidR="00112786" w:rsidRPr="00657B30">
        <w:t>next</w:t>
      </w:r>
      <w:r w:rsidRPr="00657B30">
        <w:t xml:space="preserve"> stage, students were randomly selected from Grades 9 to 12 within the selected schools. The number of students drawn from each school w</w:t>
      </w:r>
      <w:r w:rsidR="00657B30" w:rsidRPr="00657B30">
        <w:t>ere</w:t>
      </w:r>
      <w:r w:rsidRPr="00657B30">
        <w:t xml:space="preserve"> determined proportionately to maintain adequate representation.</w:t>
      </w:r>
      <w:r>
        <w:t xml:space="preserve"> </w:t>
      </w:r>
      <w:r w:rsidR="00DD0909">
        <w:t xml:space="preserve">The study utilized the 'Home Environment Scale' developed and validated by Akhtar &amp; Saxena (2011) and the 'Problem-Solving Ability Test (PSAT-D)' constructed and validated by Dubey &amp; Mathur (2006). In this study, the home environment served as the independent variable, while problem-solving ability was examined as the dependent variable. Statistical analysis including mean, standard deviation, </w:t>
      </w:r>
      <w:r w:rsidR="006931AA">
        <w:rPr>
          <w:color w:val="000000" w:themeColor="text1"/>
        </w:rPr>
        <w:t>one-way</w:t>
      </w:r>
      <w:r w:rsidR="006931AA" w:rsidRPr="00587D45">
        <w:rPr>
          <w:color w:val="000000" w:themeColor="text1"/>
        </w:rPr>
        <w:t xml:space="preserve"> ANOVA, and post-hoc comparisons </w:t>
      </w:r>
      <w:r w:rsidR="006931AA" w:rsidRPr="000D5547">
        <w:t>using Bonferroni-correction</w:t>
      </w:r>
      <w:r w:rsidR="006931AA" w:rsidRPr="00587D45">
        <w:rPr>
          <w:color w:val="000000" w:themeColor="text1"/>
        </w:rPr>
        <w:t xml:space="preserve"> </w:t>
      </w:r>
      <w:r w:rsidR="00DD0909">
        <w:t>were employed to analyze the data comprehensively. Percentile was employed by the researcher to categorize home environment in three categories, namely, '</w:t>
      </w:r>
      <w:proofErr w:type="spellStart"/>
      <w:r w:rsidR="00DD0909">
        <w:t>favourable</w:t>
      </w:r>
      <w:proofErr w:type="spellEnd"/>
      <w:r w:rsidR="00DD0909">
        <w:t xml:space="preserve">', 'moderately </w:t>
      </w:r>
      <w:proofErr w:type="spellStart"/>
      <w:r w:rsidR="00DD0909">
        <w:t>favourable</w:t>
      </w:r>
      <w:proofErr w:type="spellEnd"/>
      <w:r w:rsidR="00DD0909">
        <w:t>', and '</w:t>
      </w:r>
      <w:proofErr w:type="spellStart"/>
      <w:r w:rsidR="00DD0909">
        <w:t>unfavourable</w:t>
      </w:r>
      <w:proofErr w:type="spellEnd"/>
      <w:r w:rsidR="00DD0909">
        <w:t>' home environment in following manner</w:t>
      </w:r>
      <w:r w:rsidR="00332FCD">
        <w:t xml:space="preserve"> (Table 1)</w:t>
      </w:r>
      <w:r w:rsidR="00DD0909">
        <w:t>:</w:t>
      </w:r>
    </w:p>
    <w:p w14:paraId="1646E18A" w14:textId="0CF644A7" w:rsidR="00DD0909" w:rsidRDefault="00332FCD" w:rsidP="00DD0909">
      <w:pPr>
        <w:spacing w:after="0" w:line="360" w:lineRule="auto"/>
        <w:jc w:val="center"/>
        <w:rPr>
          <w:rFonts w:ascii="Times New Roman" w:hAnsi="Times New Roman" w:cs="Times New Roman"/>
          <w:sz w:val="24"/>
        </w:rPr>
      </w:pPr>
      <w:r>
        <w:rPr>
          <w:rFonts w:ascii="Times New Roman" w:hAnsi="Times New Roman" w:cs="Times New Roman"/>
          <w:b/>
          <w:color w:val="000000" w:themeColor="text1"/>
          <w:sz w:val="24"/>
          <w:szCs w:val="24"/>
        </w:rPr>
        <w:t>Table 1:</w:t>
      </w:r>
      <w:r w:rsidR="00DD0909">
        <w:rPr>
          <w:rFonts w:ascii="Times New Roman" w:hAnsi="Times New Roman" w:cs="Times New Roman"/>
          <w:b/>
          <w:color w:val="000000" w:themeColor="text1"/>
          <w:sz w:val="24"/>
          <w:szCs w:val="24"/>
        </w:rPr>
        <w:t xml:space="preserve"> Interpretation of Home Environment Categories</w:t>
      </w:r>
    </w:p>
    <w:tbl>
      <w:tblPr>
        <w:tblStyle w:val="TableGrid"/>
        <w:tblpPr w:leftFromText="180" w:rightFromText="180" w:vertAnchor="text" w:horzAnchor="margin" w:tblpXSpec="right" w:tblpY="-21"/>
        <w:tblW w:w="8905" w:type="dxa"/>
        <w:tblInd w:w="0" w:type="dxa"/>
        <w:tblLook w:val="04A0" w:firstRow="1" w:lastRow="0" w:firstColumn="1" w:lastColumn="0" w:noHBand="0" w:noVBand="1"/>
      </w:tblPr>
      <w:tblGrid>
        <w:gridCol w:w="1972"/>
        <w:gridCol w:w="2861"/>
        <w:gridCol w:w="576"/>
        <w:gridCol w:w="3496"/>
      </w:tblGrid>
      <w:tr w:rsidR="008146C1" w14:paraId="6F9DE04C" w14:textId="77777777" w:rsidTr="008146C1">
        <w:trPr>
          <w:trHeight w:val="349"/>
        </w:trPr>
        <w:tc>
          <w:tcPr>
            <w:tcW w:w="1972" w:type="dxa"/>
            <w:tcBorders>
              <w:top w:val="single" w:sz="4" w:space="0" w:color="auto"/>
              <w:left w:val="single" w:sz="4" w:space="0" w:color="auto"/>
              <w:bottom w:val="single" w:sz="4" w:space="0" w:color="auto"/>
              <w:right w:val="single" w:sz="4" w:space="0" w:color="auto"/>
            </w:tcBorders>
            <w:hideMark/>
          </w:tcPr>
          <w:p w14:paraId="070BC127" w14:textId="77777777" w:rsidR="008146C1" w:rsidRDefault="008146C1" w:rsidP="008146C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Percentile Range</w:t>
            </w:r>
          </w:p>
        </w:tc>
        <w:tc>
          <w:tcPr>
            <w:tcW w:w="2861" w:type="dxa"/>
            <w:tcBorders>
              <w:top w:val="single" w:sz="4" w:space="0" w:color="auto"/>
              <w:left w:val="single" w:sz="4" w:space="0" w:color="auto"/>
              <w:bottom w:val="single" w:sz="4" w:space="0" w:color="auto"/>
              <w:right w:val="single" w:sz="4" w:space="0" w:color="auto"/>
            </w:tcBorders>
            <w:hideMark/>
          </w:tcPr>
          <w:p w14:paraId="68FDBAED" w14:textId="77777777" w:rsidR="008146C1" w:rsidRDefault="008146C1" w:rsidP="008146C1">
            <w:pPr>
              <w:spacing w:after="0" w:line="240" w:lineRule="auto"/>
              <w:ind w:left="-144" w:right="-14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Range of Obtained Scores</w:t>
            </w:r>
          </w:p>
        </w:tc>
        <w:tc>
          <w:tcPr>
            <w:tcW w:w="576" w:type="dxa"/>
            <w:tcBorders>
              <w:top w:val="single" w:sz="4" w:space="0" w:color="auto"/>
              <w:left w:val="single" w:sz="4" w:space="0" w:color="auto"/>
              <w:bottom w:val="single" w:sz="4" w:space="0" w:color="auto"/>
              <w:right w:val="single" w:sz="4" w:space="0" w:color="auto"/>
            </w:tcBorders>
            <w:hideMark/>
          </w:tcPr>
          <w:p w14:paraId="68F8F40E" w14:textId="77777777" w:rsidR="008146C1" w:rsidRDefault="008146C1" w:rsidP="008146C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p>
        </w:tc>
        <w:tc>
          <w:tcPr>
            <w:tcW w:w="3496" w:type="dxa"/>
            <w:tcBorders>
              <w:top w:val="single" w:sz="4" w:space="0" w:color="auto"/>
              <w:left w:val="single" w:sz="4" w:space="0" w:color="auto"/>
              <w:bottom w:val="single" w:sz="4" w:space="0" w:color="auto"/>
              <w:right w:val="single" w:sz="4" w:space="0" w:color="auto"/>
            </w:tcBorders>
            <w:hideMark/>
          </w:tcPr>
          <w:p w14:paraId="31B7B4BF" w14:textId="77777777" w:rsidR="008146C1" w:rsidRDefault="008146C1" w:rsidP="008146C1">
            <w:pPr>
              <w:spacing w:after="0" w:line="240" w:lineRule="auto"/>
              <w:ind w:left="-288" w:right="-288"/>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Home Environment Categories</w:t>
            </w:r>
          </w:p>
        </w:tc>
      </w:tr>
      <w:tr w:rsidR="008146C1" w14:paraId="54116324" w14:textId="77777777" w:rsidTr="008146C1">
        <w:trPr>
          <w:trHeight w:val="268"/>
        </w:trPr>
        <w:tc>
          <w:tcPr>
            <w:tcW w:w="1972" w:type="dxa"/>
            <w:tcBorders>
              <w:top w:val="single" w:sz="4" w:space="0" w:color="auto"/>
              <w:left w:val="single" w:sz="4" w:space="0" w:color="auto"/>
              <w:bottom w:val="single" w:sz="4" w:space="0" w:color="auto"/>
              <w:right w:val="single" w:sz="4" w:space="0" w:color="auto"/>
            </w:tcBorders>
            <w:hideMark/>
          </w:tcPr>
          <w:p w14:paraId="16B2A671"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Above 75</w:t>
            </w:r>
            <w:r>
              <w:rPr>
                <w:rFonts w:ascii="Times New Roman" w:hAnsi="Times New Roman" w:cs="Times New Roman"/>
                <w:color w:val="000000" w:themeColor="text1"/>
                <w:sz w:val="24"/>
                <w:szCs w:val="24"/>
                <w:vertAlign w:val="superscript"/>
              </w:rPr>
              <w:t xml:space="preserve">th  </w:t>
            </w:r>
          </w:p>
        </w:tc>
        <w:tc>
          <w:tcPr>
            <w:tcW w:w="2861" w:type="dxa"/>
            <w:tcBorders>
              <w:top w:val="single" w:sz="4" w:space="0" w:color="auto"/>
              <w:left w:val="single" w:sz="4" w:space="0" w:color="auto"/>
              <w:bottom w:val="single" w:sz="4" w:space="0" w:color="auto"/>
              <w:right w:val="single" w:sz="4" w:space="0" w:color="auto"/>
            </w:tcBorders>
            <w:hideMark/>
          </w:tcPr>
          <w:p w14:paraId="5EA80701"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151-179</w:t>
            </w:r>
          </w:p>
        </w:tc>
        <w:tc>
          <w:tcPr>
            <w:tcW w:w="576" w:type="dxa"/>
            <w:tcBorders>
              <w:top w:val="single" w:sz="4" w:space="0" w:color="auto"/>
              <w:left w:val="single" w:sz="4" w:space="0" w:color="auto"/>
              <w:bottom w:val="single" w:sz="4" w:space="0" w:color="auto"/>
              <w:right w:val="single" w:sz="4" w:space="0" w:color="auto"/>
            </w:tcBorders>
            <w:hideMark/>
          </w:tcPr>
          <w:p w14:paraId="6F2195EA"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3496" w:type="dxa"/>
            <w:tcBorders>
              <w:top w:val="single" w:sz="4" w:space="0" w:color="auto"/>
              <w:left w:val="single" w:sz="4" w:space="0" w:color="auto"/>
              <w:bottom w:val="single" w:sz="4" w:space="0" w:color="auto"/>
              <w:right w:val="single" w:sz="4" w:space="0" w:color="auto"/>
            </w:tcBorders>
            <w:hideMark/>
          </w:tcPr>
          <w:p w14:paraId="76812911" w14:textId="77777777" w:rsidR="008146C1" w:rsidRDefault="008146C1" w:rsidP="008146C1">
            <w:pPr>
              <w:spacing w:after="0"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Favourable</w:t>
            </w:r>
            <w:proofErr w:type="spellEnd"/>
          </w:p>
        </w:tc>
      </w:tr>
      <w:tr w:rsidR="008146C1" w14:paraId="7C6E56F3" w14:textId="77777777" w:rsidTr="008146C1">
        <w:trPr>
          <w:trHeight w:val="340"/>
        </w:trPr>
        <w:tc>
          <w:tcPr>
            <w:tcW w:w="1972" w:type="dxa"/>
            <w:tcBorders>
              <w:top w:val="single" w:sz="4" w:space="0" w:color="auto"/>
              <w:left w:val="single" w:sz="4" w:space="0" w:color="auto"/>
              <w:bottom w:val="single" w:sz="4" w:space="0" w:color="auto"/>
              <w:right w:val="single" w:sz="4" w:space="0" w:color="auto"/>
            </w:tcBorders>
            <w:hideMark/>
          </w:tcPr>
          <w:p w14:paraId="3A15408F" w14:textId="77777777" w:rsidR="008146C1" w:rsidRDefault="008146C1" w:rsidP="008146C1">
            <w:pPr>
              <w:spacing w:after="0" w:line="240" w:lineRule="auto"/>
              <w:ind w:left="-144" w:right="-14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Between 25</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 75</w:t>
            </w:r>
            <w:r>
              <w:rPr>
                <w:rFonts w:ascii="Times New Roman" w:hAnsi="Times New Roman" w:cs="Times New Roman"/>
                <w:color w:val="000000" w:themeColor="text1"/>
                <w:sz w:val="24"/>
                <w:szCs w:val="24"/>
                <w:vertAlign w:val="superscript"/>
              </w:rPr>
              <w:t>th</w:t>
            </w:r>
          </w:p>
        </w:tc>
        <w:tc>
          <w:tcPr>
            <w:tcW w:w="2861" w:type="dxa"/>
            <w:tcBorders>
              <w:top w:val="single" w:sz="4" w:space="0" w:color="auto"/>
              <w:left w:val="single" w:sz="4" w:space="0" w:color="auto"/>
              <w:bottom w:val="single" w:sz="4" w:space="0" w:color="auto"/>
              <w:right w:val="single" w:sz="4" w:space="0" w:color="auto"/>
            </w:tcBorders>
            <w:hideMark/>
          </w:tcPr>
          <w:p w14:paraId="5C5A77AD"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131-150</w:t>
            </w:r>
          </w:p>
        </w:tc>
        <w:tc>
          <w:tcPr>
            <w:tcW w:w="576" w:type="dxa"/>
            <w:tcBorders>
              <w:top w:val="single" w:sz="4" w:space="0" w:color="auto"/>
              <w:left w:val="single" w:sz="4" w:space="0" w:color="auto"/>
              <w:bottom w:val="single" w:sz="4" w:space="0" w:color="auto"/>
              <w:right w:val="single" w:sz="4" w:space="0" w:color="auto"/>
            </w:tcBorders>
            <w:hideMark/>
          </w:tcPr>
          <w:p w14:paraId="15AE1DDD"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289</w:t>
            </w:r>
          </w:p>
        </w:tc>
        <w:tc>
          <w:tcPr>
            <w:tcW w:w="3496" w:type="dxa"/>
            <w:tcBorders>
              <w:top w:val="single" w:sz="4" w:space="0" w:color="auto"/>
              <w:left w:val="single" w:sz="4" w:space="0" w:color="auto"/>
              <w:bottom w:val="single" w:sz="4" w:space="0" w:color="auto"/>
              <w:right w:val="single" w:sz="4" w:space="0" w:color="auto"/>
            </w:tcBorders>
            <w:hideMark/>
          </w:tcPr>
          <w:p w14:paraId="53BC5DFB"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Moderately </w:t>
            </w:r>
            <w:proofErr w:type="spellStart"/>
            <w:r>
              <w:rPr>
                <w:rFonts w:ascii="Times New Roman" w:hAnsi="Times New Roman" w:cs="Times New Roman"/>
                <w:color w:val="000000" w:themeColor="text1"/>
                <w:sz w:val="24"/>
                <w:szCs w:val="24"/>
              </w:rPr>
              <w:t>Favourable</w:t>
            </w:r>
            <w:proofErr w:type="spellEnd"/>
          </w:p>
        </w:tc>
      </w:tr>
      <w:tr w:rsidR="008146C1" w14:paraId="1AC19BEF" w14:textId="77777777" w:rsidTr="008146C1">
        <w:trPr>
          <w:trHeight w:val="250"/>
        </w:trPr>
        <w:tc>
          <w:tcPr>
            <w:tcW w:w="1972" w:type="dxa"/>
            <w:tcBorders>
              <w:top w:val="single" w:sz="4" w:space="0" w:color="auto"/>
              <w:left w:val="single" w:sz="4" w:space="0" w:color="auto"/>
              <w:bottom w:val="single" w:sz="4" w:space="0" w:color="auto"/>
              <w:right w:val="single" w:sz="4" w:space="0" w:color="auto"/>
            </w:tcBorders>
            <w:hideMark/>
          </w:tcPr>
          <w:p w14:paraId="300A9047"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Below 25</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w:t>
            </w:r>
          </w:p>
        </w:tc>
        <w:tc>
          <w:tcPr>
            <w:tcW w:w="2861" w:type="dxa"/>
            <w:tcBorders>
              <w:top w:val="single" w:sz="4" w:space="0" w:color="auto"/>
              <w:left w:val="single" w:sz="4" w:space="0" w:color="auto"/>
              <w:bottom w:val="single" w:sz="4" w:space="0" w:color="auto"/>
              <w:right w:val="single" w:sz="4" w:space="0" w:color="auto"/>
            </w:tcBorders>
            <w:hideMark/>
          </w:tcPr>
          <w:p w14:paraId="204DD221"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70-130</w:t>
            </w:r>
          </w:p>
        </w:tc>
        <w:tc>
          <w:tcPr>
            <w:tcW w:w="576" w:type="dxa"/>
            <w:tcBorders>
              <w:top w:val="single" w:sz="4" w:space="0" w:color="auto"/>
              <w:left w:val="single" w:sz="4" w:space="0" w:color="auto"/>
              <w:bottom w:val="single" w:sz="4" w:space="0" w:color="auto"/>
              <w:right w:val="single" w:sz="4" w:space="0" w:color="auto"/>
            </w:tcBorders>
            <w:hideMark/>
          </w:tcPr>
          <w:p w14:paraId="648309C3"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w:t>
            </w:r>
          </w:p>
        </w:tc>
        <w:tc>
          <w:tcPr>
            <w:tcW w:w="3496" w:type="dxa"/>
            <w:tcBorders>
              <w:top w:val="single" w:sz="4" w:space="0" w:color="auto"/>
              <w:left w:val="single" w:sz="4" w:space="0" w:color="auto"/>
              <w:bottom w:val="single" w:sz="4" w:space="0" w:color="auto"/>
              <w:right w:val="single" w:sz="4" w:space="0" w:color="auto"/>
            </w:tcBorders>
            <w:hideMark/>
          </w:tcPr>
          <w:p w14:paraId="121A6C83" w14:textId="77777777" w:rsidR="008146C1" w:rsidRDefault="008146C1" w:rsidP="008146C1">
            <w:pPr>
              <w:spacing w:after="0"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Unfavourable</w:t>
            </w:r>
            <w:proofErr w:type="spellEnd"/>
          </w:p>
        </w:tc>
      </w:tr>
      <w:tr w:rsidR="008146C1" w14:paraId="5D739114" w14:textId="77777777" w:rsidTr="008146C1">
        <w:trPr>
          <w:trHeight w:val="331"/>
        </w:trPr>
        <w:tc>
          <w:tcPr>
            <w:tcW w:w="4833" w:type="dxa"/>
            <w:gridSpan w:val="2"/>
            <w:tcBorders>
              <w:top w:val="single" w:sz="4" w:space="0" w:color="auto"/>
              <w:left w:val="single" w:sz="4" w:space="0" w:color="auto"/>
              <w:bottom w:val="single" w:sz="4" w:space="0" w:color="auto"/>
              <w:right w:val="single" w:sz="4" w:space="0" w:color="auto"/>
            </w:tcBorders>
            <w:hideMark/>
          </w:tcPr>
          <w:p w14:paraId="1087D819" w14:textId="77777777" w:rsidR="008146C1" w:rsidRDefault="008146C1" w:rsidP="008146C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Total Students</w:t>
            </w:r>
          </w:p>
        </w:tc>
        <w:tc>
          <w:tcPr>
            <w:tcW w:w="576" w:type="dxa"/>
            <w:tcBorders>
              <w:top w:val="single" w:sz="4" w:space="0" w:color="auto"/>
              <w:left w:val="single" w:sz="4" w:space="0" w:color="auto"/>
              <w:bottom w:val="single" w:sz="4" w:space="0" w:color="auto"/>
              <w:right w:val="single" w:sz="4" w:space="0" w:color="auto"/>
            </w:tcBorders>
            <w:hideMark/>
          </w:tcPr>
          <w:p w14:paraId="4679FA5E" w14:textId="77777777" w:rsidR="008146C1" w:rsidRDefault="008146C1" w:rsidP="008146C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576</w:t>
            </w:r>
          </w:p>
        </w:tc>
        <w:tc>
          <w:tcPr>
            <w:tcW w:w="3496" w:type="dxa"/>
            <w:tcBorders>
              <w:top w:val="single" w:sz="4" w:space="0" w:color="auto"/>
              <w:left w:val="single" w:sz="4" w:space="0" w:color="auto"/>
              <w:bottom w:val="single" w:sz="4" w:space="0" w:color="auto"/>
              <w:right w:val="single" w:sz="4" w:space="0" w:color="auto"/>
            </w:tcBorders>
          </w:tcPr>
          <w:p w14:paraId="5086C655" w14:textId="77777777" w:rsidR="008146C1" w:rsidRDefault="008146C1" w:rsidP="008146C1">
            <w:pPr>
              <w:spacing w:after="0" w:line="240" w:lineRule="auto"/>
              <w:jc w:val="center"/>
              <w:rPr>
                <w:rFonts w:ascii="Times New Roman" w:hAnsi="Times New Roman" w:cs="Times New Roman"/>
                <w:color w:val="000000" w:themeColor="text1"/>
                <w:sz w:val="24"/>
                <w:szCs w:val="24"/>
              </w:rPr>
            </w:pPr>
          </w:p>
        </w:tc>
      </w:tr>
    </w:tbl>
    <w:p w14:paraId="38472A00" w14:textId="5C1B3B0E" w:rsidR="00DD0909" w:rsidRDefault="00DD0909" w:rsidP="008226E1">
      <w:pPr>
        <w:spacing w:line="360" w:lineRule="auto"/>
        <w:ind w:left="90"/>
        <w:jc w:val="both"/>
        <w:rPr>
          <w:rFonts w:ascii="Times New Roman" w:hAnsi="Times New Roman" w:cs="Times New Roman"/>
          <w:bCs/>
          <w:sz w:val="20"/>
          <w:szCs w:val="20"/>
        </w:rPr>
      </w:pPr>
      <w:r w:rsidRPr="00F53C5B">
        <w:rPr>
          <w:rFonts w:ascii="Times New Roman" w:hAnsi="Times New Roman" w:cs="Times New Roman"/>
          <w:bCs/>
          <w:sz w:val="20"/>
          <w:szCs w:val="20"/>
        </w:rPr>
        <w:t>N- Number of Students</w:t>
      </w:r>
    </w:p>
    <w:p w14:paraId="19100C0C" w14:textId="7761D5E6" w:rsidR="00F53C5B" w:rsidRPr="005B0B55" w:rsidRDefault="00F53C5B" w:rsidP="00F53C5B">
      <w:pPr>
        <w:spacing w:after="0" w:line="360" w:lineRule="auto"/>
        <w:jc w:val="both"/>
        <w:rPr>
          <w:rFonts w:ascii="Times New Roman" w:hAnsi="Times New Roman" w:cs="Times New Roman"/>
          <w:color w:val="000000" w:themeColor="text1"/>
          <w:szCs w:val="24"/>
        </w:rPr>
      </w:pPr>
      <w:r>
        <w:rPr>
          <w:rFonts w:ascii="Times New Roman" w:eastAsia="Times New Roman" w:hAnsi="Times New Roman" w:cs="Times New Roman"/>
          <w:sz w:val="24"/>
          <w:szCs w:val="24"/>
          <w:lang w:val="en-IN" w:eastAsia="en-IN"/>
        </w:rPr>
        <w:lastRenderedPageBreak/>
        <w:t>Percentile analysis</w:t>
      </w:r>
      <w:r w:rsidR="008146C1">
        <w:rPr>
          <w:rFonts w:ascii="Times New Roman" w:eastAsia="Times New Roman" w:hAnsi="Times New Roman" w:cs="Times New Roman"/>
          <w:sz w:val="24"/>
          <w:szCs w:val="24"/>
          <w:lang w:val="en-IN" w:eastAsia="en-IN"/>
        </w:rPr>
        <w:t xml:space="preserve"> in Table 1</w:t>
      </w:r>
      <w:r>
        <w:rPr>
          <w:rFonts w:ascii="Times New Roman" w:eastAsia="Times New Roman" w:hAnsi="Times New Roman" w:cs="Times New Roman"/>
          <w:sz w:val="24"/>
          <w:szCs w:val="24"/>
          <w:lang w:val="en-IN" w:eastAsia="en-IN"/>
        </w:rPr>
        <w:t xml:space="preserve"> indicated that,</w:t>
      </w:r>
      <w:r w:rsidRPr="00410D46">
        <w:rPr>
          <w:rFonts w:ascii="Times New Roman" w:eastAsia="Times New Roman" w:hAnsi="Times New Roman" w:cs="Times New Roman"/>
          <w:sz w:val="24"/>
          <w:szCs w:val="24"/>
          <w:lang w:val="en-IN" w:eastAsia="en-IN"/>
        </w:rPr>
        <w:t xml:space="preserve"> out of </w:t>
      </w:r>
      <w:r>
        <w:rPr>
          <w:rFonts w:ascii="Times New Roman" w:eastAsia="Times New Roman" w:hAnsi="Times New Roman" w:cs="Times New Roman"/>
          <w:sz w:val="24"/>
          <w:szCs w:val="24"/>
          <w:lang w:val="en-IN" w:eastAsia="en-IN"/>
        </w:rPr>
        <w:t>576 adolescent</w:t>
      </w:r>
      <w:r w:rsidRPr="00410D46">
        <w:rPr>
          <w:rFonts w:ascii="Times New Roman" w:eastAsia="Times New Roman" w:hAnsi="Times New Roman" w:cs="Times New Roman"/>
          <w:sz w:val="24"/>
          <w:szCs w:val="24"/>
          <w:lang w:val="en-IN" w:eastAsia="en-IN"/>
        </w:rPr>
        <w:t xml:space="preserve"> students, </w:t>
      </w:r>
      <w:r>
        <w:rPr>
          <w:rFonts w:ascii="Times New Roman" w:eastAsia="Times New Roman" w:hAnsi="Times New Roman" w:cs="Times New Roman"/>
          <w:bCs/>
          <w:sz w:val="24"/>
          <w:szCs w:val="24"/>
          <w:lang w:val="en-IN" w:eastAsia="en-IN"/>
        </w:rPr>
        <w:t>145</w:t>
      </w:r>
      <w:r w:rsidRPr="00410D46">
        <w:rPr>
          <w:rFonts w:ascii="Times New Roman" w:eastAsia="Times New Roman" w:hAnsi="Times New Roman" w:cs="Times New Roman"/>
          <w:bCs/>
          <w:sz w:val="24"/>
          <w:szCs w:val="24"/>
          <w:lang w:val="en-IN" w:eastAsia="en-IN"/>
        </w:rPr>
        <w:t xml:space="preserve"> students</w:t>
      </w:r>
      <w:r w:rsidRPr="00410D46">
        <w:rPr>
          <w:rFonts w:ascii="Times New Roman" w:eastAsia="Times New Roman" w:hAnsi="Times New Roman" w:cs="Times New Roman"/>
          <w:sz w:val="24"/>
          <w:szCs w:val="24"/>
          <w:lang w:val="en-IN" w:eastAsia="en-IN"/>
        </w:rPr>
        <w:t xml:space="preserve"> scored above the 75th percentile and were categorized as </w:t>
      </w:r>
      <w:r>
        <w:rPr>
          <w:rFonts w:ascii="Times New Roman" w:eastAsia="Times New Roman" w:hAnsi="Times New Roman" w:cs="Times New Roman"/>
          <w:sz w:val="24"/>
          <w:szCs w:val="24"/>
          <w:lang w:val="en-IN" w:eastAsia="en-IN"/>
        </w:rPr>
        <w:t>belonging to 'favourable' home environment</w:t>
      </w:r>
      <w:r w:rsidRPr="00410D46">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bCs/>
          <w:sz w:val="24"/>
          <w:szCs w:val="24"/>
          <w:lang w:val="en-IN" w:eastAsia="en-IN"/>
        </w:rPr>
        <w:t>289</w:t>
      </w:r>
      <w:r w:rsidRPr="00410D46">
        <w:rPr>
          <w:rFonts w:ascii="Times New Roman" w:eastAsia="Times New Roman" w:hAnsi="Times New Roman" w:cs="Times New Roman"/>
          <w:bCs/>
          <w:sz w:val="24"/>
          <w:szCs w:val="24"/>
          <w:lang w:val="en-IN" w:eastAsia="en-IN"/>
        </w:rPr>
        <w:t xml:space="preserve"> students</w:t>
      </w:r>
      <w:r w:rsidRPr="00410D46">
        <w:rPr>
          <w:rFonts w:ascii="Times New Roman" w:eastAsia="Times New Roman" w:hAnsi="Times New Roman" w:cs="Times New Roman"/>
          <w:sz w:val="24"/>
          <w:szCs w:val="24"/>
          <w:lang w:val="en-IN" w:eastAsia="en-IN"/>
        </w:rPr>
        <w:t xml:space="preserve"> fall within the </w:t>
      </w:r>
      <w:r>
        <w:rPr>
          <w:rFonts w:ascii="Times New Roman" w:eastAsia="Times New Roman" w:hAnsi="Times New Roman" w:cs="Times New Roman"/>
          <w:sz w:val="24"/>
          <w:szCs w:val="24"/>
          <w:lang w:val="en-IN" w:eastAsia="en-IN"/>
        </w:rPr>
        <w:t>'moderately favourable' home environment</w:t>
      </w:r>
      <w:r w:rsidRPr="00410D46">
        <w:rPr>
          <w:rFonts w:ascii="Times New Roman" w:eastAsia="Times New Roman" w:hAnsi="Times New Roman" w:cs="Times New Roman"/>
          <w:sz w:val="24"/>
          <w:szCs w:val="24"/>
          <w:lang w:val="en-IN" w:eastAsia="en-IN"/>
        </w:rPr>
        <w:t xml:space="preserve">, corresponding to scores between the 25th and 75th percentiles. Further, </w:t>
      </w:r>
      <w:r>
        <w:rPr>
          <w:rFonts w:ascii="Times New Roman" w:eastAsia="Times New Roman" w:hAnsi="Times New Roman" w:cs="Times New Roman"/>
          <w:sz w:val="24"/>
          <w:szCs w:val="24"/>
          <w:lang w:val="en-IN" w:eastAsia="en-IN"/>
        </w:rPr>
        <w:t xml:space="preserve">142 </w:t>
      </w:r>
      <w:r w:rsidRPr="00410D46">
        <w:rPr>
          <w:rFonts w:ascii="Times New Roman" w:eastAsia="Times New Roman" w:hAnsi="Times New Roman" w:cs="Times New Roman"/>
          <w:bCs/>
          <w:sz w:val="24"/>
          <w:szCs w:val="24"/>
          <w:lang w:val="en-IN" w:eastAsia="en-IN"/>
        </w:rPr>
        <w:t>students</w:t>
      </w:r>
      <w:r w:rsidRPr="00410D46">
        <w:rPr>
          <w:rFonts w:ascii="Times New Roman" w:eastAsia="Times New Roman" w:hAnsi="Times New Roman" w:cs="Times New Roman"/>
          <w:sz w:val="24"/>
          <w:szCs w:val="24"/>
          <w:lang w:val="en-IN" w:eastAsia="en-IN"/>
        </w:rPr>
        <w:t xml:space="preserve"> scored below the 25th percentile and were classified </w:t>
      </w:r>
      <w:r>
        <w:rPr>
          <w:rFonts w:ascii="Times New Roman" w:eastAsia="Times New Roman" w:hAnsi="Times New Roman" w:cs="Times New Roman"/>
          <w:sz w:val="24"/>
          <w:szCs w:val="24"/>
          <w:lang w:val="en-IN" w:eastAsia="en-IN"/>
        </w:rPr>
        <w:t>as belonging to 'unfavourable' home environment</w:t>
      </w:r>
      <w:r w:rsidRPr="00410D46">
        <w:rPr>
          <w:rFonts w:ascii="Times New Roman" w:eastAsia="Times New Roman" w:hAnsi="Times New Roman" w:cs="Times New Roman"/>
          <w:sz w:val="24"/>
          <w:szCs w:val="24"/>
          <w:lang w:val="en-IN" w:eastAsia="en-IN"/>
        </w:rPr>
        <w:t>.</w:t>
      </w:r>
    </w:p>
    <w:p w14:paraId="1D2304B0" w14:textId="77777777" w:rsidR="00DD0909" w:rsidRDefault="00DD0909" w:rsidP="00DD0909">
      <w:pPr>
        <w:spacing w:after="0" w:line="360" w:lineRule="auto"/>
        <w:ind w:left="360" w:hanging="360"/>
        <w:jc w:val="both"/>
        <w:rPr>
          <w:rFonts w:ascii="Times New Roman" w:hAnsi="Times New Roman" w:cs="Times New Roman"/>
          <w:b/>
          <w:bCs/>
          <w:sz w:val="24"/>
          <w:szCs w:val="24"/>
        </w:rPr>
      </w:pPr>
    </w:p>
    <w:p w14:paraId="6377A0BD" w14:textId="5F871A40" w:rsidR="00DD0909" w:rsidRDefault="002F5129" w:rsidP="00DD0909">
      <w:pPr>
        <w:spacing w:after="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7F5E5377" w14:textId="528C9DF9" w:rsidR="00DD0909" w:rsidRDefault="00DD0909" w:rsidP="00DD0909">
      <w:pPr>
        <w:spacing w:before="240" w:after="0" w:line="360" w:lineRule="auto"/>
        <w:jc w:val="both"/>
        <w:rPr>
          <w:rFonts w:ascii="Times New Roman" w:hAnsi="Times New Roman" w:cs="Times New Roman"/>
          <w:sz w:val="24"/>
        </w:rPr>
      </w:pPr>
      <w:r>
        <w:rPr>
          <w:rFonts w:ascii="Times New Roman" w:hAnsi="Times New Roman" w:cs="Times New Roman"/>
          <w:sz w:val="24"/>
        </w:rPr>
        <w:t xml:space="preserve">In order to explore how various home environment </w:t>
      </w:r>
      <w:proofErr w:type="gramStart"/>
      <w:r>
        <w:rPr>
          <w:rFonts w:ascii="Times New Roman" w:hAnsi="Times New Roman" w:cs="Times New Roman"/>
          <w:sz w:val="24"/>
        </w:rPr>
        <w:t>condition</w:t>
      </w:r>
      <w:r w:rsidR="00543992">
        <w:rPr>
          <w:rFonts w:ascii="Times New Roman" w:hAnsi="Times New Roman" w:cs="Times New Roman"/>
          <w:sz w:val="24"/>
        </w:rPr>
        <w:t>s</w:t>
      </w:r>
      <w:proofErr w:type="gramEnd"/>
      <w:r>
        <w:rPr>
          <w:rFonts w:ascii="Times New Roman" w:hAnsi="Times New Roman" w:cs="Times New Roman"/>
          <w:sz w:val="24"/>
        </w:rPr>
        <w:t xml:space="preserve"> influence the problem-solving ability of adolescent students, Table </w:t>
      </w:r>
      <w:r w:rsidR="00332FCD">
        <w:rPr>
          <w:rFonts w:ascii="Times New Roman" w:hAnsi="Times New Roman" w:cs="Times New Roman"/>
          <w:sz w:val="24"/>
        </w:rPr>
        <w:t>2</w:t>
      </w:r>
      <w:r>
        <w:rPr>
          <w:rFonts w:ascii="Times New Roman" w:hAnsi="Times New Roman" w:cs="Times New Roman"/>
          <w:sz w:val="24"/>
        </w:rPr>
        <w:t xml:space="preserve"> represents the mean and standard deviation scores on problem-solving ability across different respondent groups, along with the graphical representation of mean scores in Figure 1 while, Table </w:t>
      </w:r>
      <w:r w:rsidR="00332FCD">
        <w:rPr>
          <w:rFonts w:ascii="Times New Roman" w:hAnsi="Times New Roman" w:cs="Times New Roman"/>
          <w:sz w:val="24"/>
        </w:rPr>
        <w:t>3</w:t>
      </w:r>
      <w:r>
        <w:rPr>
          <w:rFonts w:ascii="Times New Roman" w:hAnsi="Times New Roman" w:cs="Times New Roman"/>
          <w:sz w:val="24"/>
        </w:rPr>
        <w:t xml:space="preserve"> presents results obtained through analysis of variance. Whereas, Table </w:t>
      </w:r>
      <w:r w:rsidR="00332FCD">
        <w:rPr>
          <w:rFonts w:ascii="Times New Roman" w:hAnsi="Times New Roman" w:cs="Times New Roman"/>
          <w:sz w:val="24"/>
        </w:rPr>
        <w:t>4</w:t>
      </w:r>
      <w:r>
        <w:rPr>
          <w:rFonts w:ascii="Times New Roman" w:hAnsi="Times New Roman" w:cs="Times New Roman"/>
          <w:sz w:val="24"/>
        </w:rPr>
        <w:t xml:space="preserve"> illustrates two-group comparison</w:t>
      </w:r>
      <w:r w:rsidR="00332FCD">
        <w:rPr>
          <w:rFonts w:ascii="Times New Roman" w:hAnsi="Times New Roman" w:cs="Times New Roman"/>
          <w:sz w:val="24"/>
        </w:rPr>
        <w:t>s</w:t>
      </w:r>
      <w:r>
        <w:rPr>
          <w:rFonts w:ascii="Times New Roman" w:hAnsi="Times New Roman" w:cs="Times New Roman"/>
          <w:sz w:val="24"/>
        </w:rPr>
        <w:t xml:space="preserve"> concerning the problem-solving ability of adolescent students, categorized by their home environment types</w:t>
      </w:r>
      <w:bookmarkStart w:id="2" w:name="_Hlk160954647"/>
      <w:r>
        <w:rPr>
          <w:rFonts w:ascii="Times New Roman" w:hAnsi="Times New Roman" w:cs="Times New Roman"/>
          <w:sz w:val="24"/>
        </w:rPr>
        <w:t>.</w:t>
      </w:r>
    </w:p>
    <w:tbl>
      <w:tblPr>
        <w:tblStyle w:val="TableGrid"/>
        <w:tblpPr w:leftFromText="180" w:rightFromText="180" w:vertAnchor="text" w:horzAnchor="margin" w:tblpY="875"/>
        <w:tblW w:w="8995" w:type="dxa"/>
        <w:tblInd w:w="0" w:type="dxa"/>
        <w:tblLook w:val="04A0" w:firstRow="1" w:lastRow="0" w:firstColumn="1" w:lastColumn="0" w:noHBand="0" w:noVBand="1"/>
      </w:tblPr>
      <w:tblGrid>
        <w:gridCol w:w="3454"/>
        <w:gridCol w:w="636"/>
        <w:gridCol w:w="3545"/>
        <w:gridCol w:w="1360"/>
      </w:tblGrid>
      <w:tr w:rsidR="00DD0909" w14:paraId="57496601" w14:textId="77777777" w:rsidTr="00DC4BBD">
        <w:trPr>
          <w:trHeight w:val="350"/>
        </w:trPr>
        <w:tc>
          <w:tcPr>
            <w:tcW w:w="3454" w:type="dxa"/>
            <w:tcBorders>
              <w:top w:val="single" w:sz="4" w:space="0" w:color="auto"/>
              <w:left w:val="single" w:sz="4" w:space="0" w:color="auto"/>
              <w:bottom w:val="single" w:sz="4" w:space="0" w:color="auto"/>
              <w:right w:val="single" w:sz="4" w:space="0" w:color="auto"/>
            </w:tcBorders>
            <w:hideMark/>
          </w:tcPr>
          <w:p w14:paraId="60B4F025" w14:textId="77777777" w:rsidR="00DD0909" w:rsidRDefault="00DD0909" w:rsidP="00B05DBE">
            <w:pPr>
              <w:spacing w:after="0"/>
              <w:jc w:val="center"/>
              <w:rPr>
                <w:rFonts w:ascii="Times New Roman" w:hAnsi="Times New Roman" w:cs="Times New Roman"/>
                <w:b/>
                <w:sz w:val="24"/>
                <w:szCs w:val="24"/>
              </w:rPr>
            </w:pPr>
            <w:r>
              <w:rPr>
                <w:rFonts w:ascii="Times New Roman" w:hAnsi="Times New Roman" w:cs="Times New Roman"/>
                <w:b/>
                <w:sz w:val="24"/>
                <w:szCs w:val="24"/>
              </w:rPr>
              <w:t>Home Environment Categories</w:t>
            </w:r>
          </w:p>
        </w:tc>
        <w:tc>
          <w:tcPr>
            <w:tcW w:w="636" w:type="dxa"/>
            <w:tcBorders>
              <w:top w:val="single" w:sz="4" w:space="0" w:color="auto"/>
              <w:left w:val="single" w:sz="4" w:space="0" w:color="auto"/>
              <w:bottom w:val="single" w:sz="4" w:space="0" w:color="auto"/>
              <w:right w:val="single" w:sz="4" w:space="0" w:color="auto"/>
            </w:tcBorders>
            <w:hideMark/>
          </w:tcPr>
          <w:p w14:paraId="186D9548" w14:textId="77777777" w:rsidR="00DD0909" w:rsidRDefault="00DD0909" w:rsidP="00B05DBE">
            <w:pPr>
              <w:spacing w:after="0"/>
              <w:jc w:val="center"/>
              <w:rPr>
                <w:rFonts w:ascii="Times New Roman" w:hAnsi="Times New Roman" w:cs="Times New Roman"/>
                <w:b/>
                <w:sz w:val="24"/>
                <w:szCs w:val="24"/>
              </w:rPr>
            </w:pPr>
            <w:r>
              <w:rPr>
                <w:rFonts w:ascii="Times New Roman" w:hAnsi="Times New Roman" w:cs="Times New Roman"/>
                <w:b/>
                <w:sz w:val="24"/>
                <w:szCs w:val="24"/>
              </w:rPr>
              <w:t>N</w:t>
            </w:r>
          </w:p>
        </w:tc>
        <w:tc>
          <w:tcPr>
            <w:tcW w:w="3545" w:type="dxa"/>
            <w:tcBorders>
              <w:top w:val="single" w:sz="4" w:space="0" w:color="auto"/>
              <w:left w:val="single" w:sz="4" w:space="0" w:color="auto"/>
              <w:bottom w:val="single" w:sz="4" w:space="0" w:color="auto"/>
              <w:right w:val="single" w:sz="4" w:space="0" w:color="auto"/>
            </w:tcBorders>
            <w:hideMark/>
          </w:tcPr>
          <w:p w14:paraId="3F04BCD4" w14:textId="77777777" w:rsidR="00DD0909" w:rsidRDefault="00DD0909" w:rsidP="00B05DBE">
            <w:pPr>
              <w:spacing w:after="0"/>
              <w:jc w:val="center"/>
              <w:rPr>
                <w:rFonts w:ascii="Times New Roman" w:hAnsi="Times New Roman" w:cs="Times New Roman"/>
                <w:b/>
                <w:sz w:val="24"/>
                <w:szCs w:val="24"/>
              </w:rPr>
            </w:pPr>
            <w:r>
              <w:rPr>
                <w:rFonts w:ascii="Times New Roman" w:hAnsi="Times New Roman" w:cs="Times New Roman"/>
                <w:b/>
                <w:sz w:val="24"/>
                <w:szCs w:val="24"/>
              </w:rPr>
              <w:t>Mean (Problem-Solving Ability)</w:t>
            </w:r>
          </w:p>
        </w:tc>
        <w:tc>
          <w:tcPr>
            <w:tcW w:w="1360" w:type="dxa"/>
            <w:tcBorders>
              <w:top w:val="single" w:sz="4" w:space="0" w:color="auto"/>
              <w:left w:val="single" w:sz="4" w:space="0" w:color="auto"/>
              <w:bottom w:val="single" w:sz="4" w:space="0" w:color="auto"/>
              <w:right w:val="single" w:sz="4" w:space="0" w:color="auto"/>
            </w:tcBorders>
            <w:hideMark/>
          </w:tcPr>
          <w:p w14:paraId="33CCEA68" w14:textId="77777777" w:rsidR="00DD0909" w:rsidRDefault="00DD0909" w:rsidP="00B05DBE">
            <w:pPr>
              <w:spacing w:after="0"/>
              <w:jc w:val="center"/>
              <w:rPr>
                <w:rFonts w:ascii="Times New Roman" w:hAnsi="Times New Roman" w:cs="Times New Roman"/>
                <w:b/>
                <w:sz w:val="24"/>
                <w:szCs w:val="24"/>
              </w:rPr>
            </w:pPr>
            <w:r>
              <w:rPr>
                <w:rFonts w:ascii="Times New Roman" w:hAnsi="Times New Roman" w:cs="Times New Roman"/>
                <w:b/>
                <w:sz w:val="24"/>
                <w:szCs w:val="24"/>
              </w:rPr>
              <w:t>SD</w:t>
            </w:r>
          </w:p>
        </w:tc>
      </w:tr>
      <w:tr w:rsidR="00DD0909" w14:paraId="5EF266B4" w14:textId="77777777" w:rsidTr="00DC4BBD">
        <w:trPr>
          <w:trHeight w:val="260"/>
        </w:trPr>
        <w:tc>
          <w:tcPr>
            <w:tcW w:w="3454" w:type="dxa"/>
            <w:tcBorders>
              <w:top w:val="single" w:sz="4" w:space="0" w:color="auto"/>
              <w:left w:val="single" w:sz="4" w:space="0" w:color="auto"/>
              <w:bottom w:val="single" w:sz="4" w:space="0" w:color="auto"/>
              <w:right w:val="single" w:sz="4" w:space="0" w:color="auto"/>
            </w:tcBorders>
            <w:hideMark/>
          </w:tcPr>
          <w:p w14:paraId="35DB267B" w14:textId="77777777" w:rsidR="00DD0909" w:rsidRDefault="00DD0909" w:rsidP="00B05DBE">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Favourable</w:t>
            </w:r>
            <w:proofErr w:type="spellEnd"/>
            <w:r>
              <w:rPr>
                <w:rFonts w:ascii="Times New Roman" w:hAnsi="Times New Roman" w:cs="Times New Roman"/>
              </w:rPr>
              <w:t xml:space="preserve"> </w:t>
            </w:r>
          </w:p>
        </w:tc>
        <w:tc>
          <w:tcPr>
            <w:tcW w:w="636" w:type="dxa"/>
            <w:tcBorders>
              <w:top w:val="single" w:sz="4" w:space="0" w:color="auto"/>
              <w:left w:val="single" w:sz="4" w:space="0" w:color="auto"/>
              <w:bottom w:val="single" w:sz="4" w:space="0" w:color="auto"/>
              <w:right w:val="single" w:sz="4" w:space="0" w:color="auto"/>
            </w:tcBorders>
            <w:hideMark/>
          </w:tcPr>
          <w:p w14:paraId="336008A9"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145</w:t>
            </w:r>
          </w:p>
        </w:tc>
        <w:tc>
          <w:tcPr>
            <w:tcW w:w="3545" w:type="dxa"/>
            <w:tcBorders>
              <w:top w:val="single" w:sz="4" w:space="0" w:color="auto"/>
              <w:left w:val="single" w:sz="4" w:space="0" w:color="auto"/>
              <w:bottom w:val="single" w:sz="4" w:space="0" w:color="auto"/>
              <w:right w:val="single" w:sz="4" w:space="0" w:color="auto"/>
            </w:tcBorders>
            <w:hideMark/>
          </w:tcPr>
          <w:p w14:paraId="06391C48"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8.34</w:t>
            </w:r>
          </w:p>
        </w:tc>
        <w:tc>
          <w:tcPr>
            <w:tcW w:w="1360" w:type="dxa"/>
            <w:tcBorders>
              <w:top w:val="single" w:sz="4" w:space="0" w:color="auto"/>
              <w:left w:val="single" w:sz="4" w:space="0" w:color="auto"/>
              <w:bottom w:val="single" w:sz="4" w:space="0" w:color="auto"/>
              <w:right w:val="single" w:sz="4" w:space="0" w:color="auto"/>
            </w:tcBorders>
            <w:hideMark/>
          </w:tcPr>
          <w:p w14:paraId="57FEA450"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3.60</w:t>
            </w:r>
          </w:p>
        </w:tc>
      </w:tr>
      <w:tr w:rsidR="00DD0909" w14:paraId="43EDF990" w14:textId="77777777" w:rsidTr="00DC4BBD">
        <w:trPr>
          <w:trHeight w:val="287"/>
        </w:trPr>
        <w:tc>
          <w:tcPr>
            <w:tcW w:w="3454" w:type="dxa"/>
            <w:tcBorders>
              <w:top w:val="single" w:sz="4" w:space="0" w:color="auto"/>
              <w:left w:val="single" w:sz="4" w:space="0" w:color="auto"/>
              <w:bottom w:val="single" w:sz="4" w:space="0" w:color="auto"/>
              <w:right w:val="single" w:sz="4" w:space="0" w:color="auto"/>
            </w:tcBorders>
            <w:hideMark/>
          </w:tcPr>
          <w:p w14:paraId="145AF8D6"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 xml:space="preserve">Moderately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t>
            </w:r>
          </w:p>
        </w:tc>
        <w:tc>
          <w:tcPr>
            <w:tcW w:w="636" w:type="dxa"/>
            <w:tcBorders>
              <w:top w:val="single" w:sz="4" w:space="0" w:color="auto"/>
              <w:left w:val="single" w:sz="4" w:space="0" w:color="auto"/>
              <w:bottom w:val="single" w:sz="4" w:space="0" w:color="auto"/>
              <w:right w:val="single" w:sz="4" w:space="0" w:color="auto"/>
            </w:tcBorders>
            <w:hideMark/>
          </w:tcPr>
          <w:p w14:paraId="0108DD5F" w14:textId="67BB40F0"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2</w:t>
            </w:r>
            <w:r w:rsidR="00927FB8">
              <w:rPr>
                <w:rFonts w:ascii="Times New Roman" w:hAnsi="Times New Roman" w:cs="Times New Roman"/>
                <w:sz w:val="24"/>
                <w:szCs w:val="24"/>
              </w:rPr>
              <w:t>89</w:t>
            </w:r>
          </w:p>
        </w:tc>
        <w:tc>
          <w:tcPr>
            <w:tcW w:w="3545" w:type="dxa"/>
            <w:tcBorders>
              <w:top w:val="single" w:sz="4" w:space="0" w:color="auto"/>
              <w:left w:val="single" w:sz="4" w:space="0" w:color="auto"/>
              <w:bottom w:val="single" w:sz="4" w:space="0" w:color="auto"/>
              <w:right w:val="single" w:sz="4" w:space="0" w:color="auto"/>
            </w:tcBorders>
            <w:hideMark/>
          </w:tcPr>
          <w:p w14:paraId="4C213EC2"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7.08</w:t>
            </w:r>
          </w:p>
        </w:tc>
        <w:tc>
          <w:tcPr>
            <w:tcW w:w="1360" w:type="dxa"/>
            <w:tcBorders>
              <w:top w:val="single" w:sz="4" w:space="0" w:color="auto"/>
              <w:left w:val="single" w:sz="4" w:space="0" w:color="auto"/>
              <w:bottom w:val="single" w:sz="4" w:space="0" w:color="auto"/>
              <w:right w:val="single" w:sz="4" w:space="0" w:color="auto"/>
            </w:tcBorders>
            <w:hideMark/>
          </w:tcPr>
          <w:p w14:paraId="327169A0"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3.19</w:t>
            </w:r>
          </w:p>
        </w:tc>
      </w:tr>
      <w:tr w:rsidR="00DD0909" w14:paraId="3594ED00" w14:textId="77777777" w:rsidTr="00DC4BBD">
        <w:trPr>
          <w:trHeight w:val="242"/>
        </w:trPr>
        <w:tc>
          <w:tcPr>
            <w:tcW w:w="3454" w:type="dxa"/>
            <w:tcBorders>
              <w:top w:val="single" w:sz="4" w:space="0" w:color="auto"/>
              <w:left w:val="single" w:sz="4" w:space="0" w:color="auto"/>
              <w:bottom w:val="single" w:sz="4" w:space="0" w:color="auto"/>
              <w:right w:val="single" w:sz="4" w:space="0" w:color="auto"/>
            </w:tcBorders>
            <w:hideMark/>
          </w:tcPr>
          <w:p w14:paraId="1B8BEC5F" w14:textId="77777777" w:rsidR="00DD0909" w:rsidRDefault="00DD0909" w:rsidP="00B05DBE">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xml:space="preserve"> </w:t>
            </w:r>
          </w:p>
        </w:tc>
        <w:tc>
          <w:tcPr>
            <w:tcW w:w="636" w:type="dxa"/>
            <w:tcBorders>
              <w:top w:val="single" w:sz="4" w:space="0" w:color="auto"/>
              <w:left w:val="single" w:sz="4" w:space="0" w:color="auto"/>
              <w:bottom w:val="single" w:sz="4" w:space="0" w:color="auto"/>
              <w:right w:val="single" w:sz="4" w:space="0" w:color="auto"/>
            </w:tcBorders>
            <w:hideMark/>
          </w:tcPr>
          <w:p w14:paraId="61F7B0EE" w14:textId="2F33FBC1"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14</w:t>
            </w:r>
            <w:r w:rsidR="00927FB8">
              <w:rPr>
                <w:rFonts w:ascii="Times New Roman" w:hAnsi="Times New Roman" w:cs="Times New Roman"/>
                <w:sz w:val="24"/>
                <w:szCs w:val="24"/>
              </w:rPr>
              <w:t>2</w:t>
            </w:r>
          </w:p>
        </w:tc>
        <w:tc>
          <w:tcPr>
            <w:tcW w:w="3545" w:type="dxa"/>
            <w:tcBorders>
              <w:top w:val="single" w:sz="4" w:space="0" w:color="auto"/>
              <w:left w:val="single" w:sz="4" w:space="0" w:color="auto"/>
              <w:bottom w:val="single" w:sz="4" w:space="0" w:color="auto"/>
              <w:right w:val="single" w:sz="4" w:space="0" w:color="auto"/>
            </w:tcBorders>
            <w:hideMark/>
          </w:tcPr>
          <w:p w14:paraId="764B920B"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8.27</w:t>
            </w:r>
          </w:p>
        </w:tc>
        <w:tc>
          <w:tcPr>
            <w:tcW w:w="1360" w:type="dxa"/>
            <w:tcBorders>
              <w:top w:val="single" w:sz="4" w:space="0" w:color="auto"/>
              <w:left w:val="single" w:sz="4" w:space="0" w:color="auto"/>
              <w:bottom w:val="single" w:sz="4" w:space="0" w:color="auto"/>
              <w:right w:val="single" w:sz="4" w:space="0" w:color="auto"/>
            </w:tcBorders>
            <w:hideMark/>
          </w:tcPr>
          <w:p w14:paraId="4C2EAC4D"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4.08</w:t>
            </w:r>
          </w:p>
        </w:tc>
      </w:tr>
    </w:tbl>
    <w:p w14:paraId="2D54E979" w14:textId="7F417E8F" w:rsidR="00DD0909" w:rsidRDefault="00DD0909" w:rsidP="00DD0909">
      <w:pPr>
        <w:spacing w:after="0" w:line="360" w:lineRule="auto"/>
        <w:jc w:val="center"/>
        <w:rPr>
          <w:rFonts w:ascii="Times New Roman" w:hAnsi="Times New Roman" w:cs="Times New Roman"/>
          <w:b/>
          <w:bCs/>
          <w:sz w:val="32"/>
          <w:szCs w:val="24"/>
        </w:rPr>
      </w:pPr>
      <w:r>
        <w:rPr>
          <w:rFonts w:ascii="Times New Roman" w:hAnsi="Times New Roman" w:cs="Times New Roman"/>
          <w:b/>
          <w:sz w:val="24"/>
          <w:szCs w:val="24"/>
        </w:rPr>
        <w:t xml:space="preserve"> Table </w:t>
      </w:r>
      <w:r w:rsidR="009325F3">
        <w:rPr>
          <w:rFonts w:ascii="Times New Roman" w:hAnsi="Times New Roman" w:cs="Times New Roman"/>
          <w:b/>
          <w:sz w:val="24"/>
          <w:szCs w:val="24"/>
        </w:rPr>
        <w:t>2</w:t>
      </w:r>
      <w:r>
        <w:rPr>
          <w:rFonts w:ascii="Times New Roman" w:hAnsi="Times New Roman" w:cs="Times New Roman"/>
          <w:b/>
          <w:sz w:val="24"/>
          <w:szCs w:val="24"/>
        </w:rPr>
        <w:t>: Comparison of Problem-Solving Ability Scores among Subgroups of Adolescent Students across different Home Environments</w:t>
      </w:r>
    </w:p>
    <w:p w14:paraId="2D8DA3F2" w14:textId="77777777" w:rsidR="00DD0909" w:rsidRPr="00C6741F" w:rsidRDefault="00DD0909" w:rsidP="00DD0909">
      <w:pPr>
        <w:spacing w:line="360" w:lineRule="auto"/>
        <w:ind w:left="1276" w:hanging="1276"/>
        <w:jc w:val="both"/>
        <w:rPr>
          <w:rFonts w:ascii="Times New Roman" w:hAnsi="Times New Roman" w:cs="Times New Roman"/>
          <w:sz w:val="20"/>
        </w:rPr>
      </w:pPr>
      <w:r w:rsidRPr="00C6741F">
        <w:rPr>
          <w:rFonts w:ascii="Times New Roman" w:hAnsi="Times New Roman" w:cs="Times New Roman"/>
          <w:sz w:val="20"/>
        </w:rPr>
        <w:t xml:space="preserve"> </w:t>
      </w:r>
      <w:bookmarkEnd w:id="2"/>
      <w:r w:rsidRPr="00C6741F">
        <w:rPr>
          <w:rFonts w:ascii="Times New Roman" w:hAnsi="Times New Roman" w:cs="Times New Roman"/>
          <w:sz w:val="20"/>
        </w:rPr>
        <w:t>N- Number of Students</w:t>
      </w:r>
    </w:p>
    <w:p w14:paraId="2DD73E5A" w14:textId="77777777" w:rsidR="00DD0909" w:rsidRDefault="00DD0909" w:rsidP="00DD0909">
      <w:pPr>
        <w:spacing w:after="120" w:line="360" w:lineRule="auto"/>
        <w:jc w:val="center"/>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58E5DB8B" wp14:editId="052435D9">
            <wp:simplePos x="0" y="0"/>
            <wp:positionH relativeFrom="margin">
              <wp:posOffset>501650</wp:posOffset>
            </wp:positionH>
            <wp:positionV relativeFrom="paragraph">
              <wp:posOffset>41910</wp:posOffset>
            </wp:positionV>
            <wp:extent cx="4925695" cy="1816735"/>
            <wp:effectExtent l="0" t="0" r="8255" b="12065"/>
            <wp:wrapTight wrapText="bothSides">
              <wp:wrapPolygon edited="0">
                <wp:start x="0" y="0"/>
                <wp:lineTo x="0" y="21517"/>
                <wp:lineTo x="21553" y="21517"/>
                <wp:lineTo x="21553" y="0"/>
                <wp:lineTo x="0" y="0"/>
              </wp:wrapPolygon>
            </wp:wrapTight>
            <wp:docPr id="1" name="Chart 1">
              <a:extLst xmlns:a="http://schemas.openxmlformats.org/drawingml/2006/main">
                <a:ext uri="{FF2B5EF4-FFF2-40B4-BE49-F238E27FC236}">
                  <a16:creationId xmlns:a16="http://schemas.microsoft.com/office/drawing/2014/main" id="{26091614-A29C-490C-BF88-42D0CF2C3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bookmarkStart w:id="3" w:name="_Hlk171365510"/>
    </w:p>
    <w:p w14:paraId="357FC874" w14:textId="77777777" w:rsidR="00DD0909" w:rsidRDefault="00DD0909" w:rsidP="00DD0909">
      <w:pPr>
        <w:spacing w:after="120" w:line="360" w:lineRule="auto"/>
        <w:jc w:val="center"/>
        <w:rPr>
          <w:rFonts w:ascii="Times New Roman" w:hAnsi="Times New Roman" w:cs="Times New Roman"/>
          <w:b/>
          <w:sz w:val="24"/>
          <w:szCs w:val="24"/>
        </w:rPr>
      </w:pPr>
    </w:p>
    <w:p w14:paraId="0239E81B" w14:textId="77777777" w:rsidR="00DD0909" w:rsidRDefault="00DD0909" w:rsidP="00DD0909">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Figure 1: Mean Scores on Problem-Solving Ability obtained by Respondents across different Home Environments</w:t>
      </w:r>
      <w:bookmarkEnd w:id="3"/>
    </w:p>
    <w:p w14:paraId="097C7A3F" w14:textId="5811FB7A" w:rsidR="00B83FE0" w:rsidRDefault="00DD0909" w:rsidP="00543992">
      <w:pPr>
        <w:spacing w:line="360" w:lineRule="auto"/>
        <w:jc w:val="both"/>
        <w:rPr>
          <w:rFonts w:ascii="Times New Roman" w:hAnsi="Times New Roman" w:cs="Times New Roman"/>
          <w:b/>
          <w:sz w:val="24"/>
          <w:szCs w:val="24"/>
        </w:rPr>
      </w:pPr>
      <w:bookmarkStart w:id="4" w:name="_Hlk171533275"/>
      <w:r>
        <w:rPr>
          <w:rFonts w:ascii="Times New Roman" w:hAnsi="Times New Roman" w:cs="Times New Roman"/>
          <w:sz w:val="24"/>
          <w:szCs w:val="24"/>
        </w:rPr>
        <w:t xml:space="preserve">Examining Table </w:t>
      </w:r>
      <w:r w:rsidR="009325F3">
        <w:rPr>
          <w:rFonts w:ascii="Times New Roman" w:hAnsi="Times New Roman" w:cs="Times New Roman"/>
          <w:sz w:val="24"/>
          <w:szCs w:val="24"/>
        </w:rPr>
        <w:t>2</w:t>
      </w:r>
      <w:r>
        <w:rPr>
          <w:rFonts w:ascii="Times New Roman" w:hAnsi="Times New Roman" w:cs="Times New Roman"/>
          <w:sz w:val="24"/>
          <w:szCs w:val="24"/>
        </w:rPr>
        <w:t xml:space="preserve"> and Figure 1 revealed that</w:t>
      </w:r>
      <w:bookmarkEnd w:id="4"/>
      <w:r>
        <w:rPr>
          <w:rFonts w:ascii="Times New Roman" w:hAnsi="Times New Roman" w:cs="Times New Roman"/>
          <w:sz w:val="24"/>
          <w:szCs w:val="24"/>
        </w:rPr>
        <w:t xml:space="preserve"> students with a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home environment displayed the highest mean on problem-solving ability, which is more or less similar to the mean of students belonging to the '</w:t>
      </w:r>
      <w:proofErr w:type="spellStart"/>
      <w:r>
        <w:rPr>
          <w:rFonts w:ascii="Times New Roman" w:hAnsi="Times New Roman" w:cs="Times New Roman"/>
          <w:sz w:val="24"/>
          <w:szCs w:val="24"/>
        </w:rPr>
        <w:t>unfaourable</w:t>
      </w:r>
      <w:proofErr w:type="spellEnd"/>
      <w:r>
        <w:rPr>
          <w:rFonts w:ascii="Times New Roman" w:hAnsi="Times New Roman" w:cs="Times New Roman"/>
          <w:sz w:val="24"/>
          <w:szCs w:val="24"/>
        </w:rPr>
        <w:t xml:space="preserve">' home environment. Conversely, students from 'moderately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home environment exhibited lowest mean on problem-solving ability </w:t>
      </w:r>
      <w:bookmarkStart w:id="5" w:name="_Hlk171362808"/>
      <w:r>
        <w:rPr>
          <w:rFonts w:ascii="Times New Roman" w:hAnsi="Times New Roman" w:cs="Times New Roman"/>
          <w:sz w:val="24"/>
          <w:szCs w:val="24"/>
        </w:rPr>
        <w:lastRenderedPageBreak/>
        <w:t>compared to their counterparts in different home environment categories.</w:t>
      </w:r>
      <w:bookmarkEnd w:id="5"/>
      <w:r>
        <w:rPr>
          <w:rFonts w:ascii="Times New Roman" w:hAnsi="Times New Roman" w:cs="Times New Roman"/>
          <w:sz w:val="24"/>
          <w:szCs w:val="24"/>
        </w:rPr>
        <w:t xml:space="preserve"> Students from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home environments</w:t>
      </w:r>
      <w:r w:rsidR="00774217">
        <w:rPr>
          <w:rFonts w:ascii="Times New Roman" w:hAnsi="Times New Roman" w:cs="Times New Roman"/>
          <w:sz w:val="24"/>
          <w:szCs w:val="24"/>
        </w:rPr>
        <w:t xml:space="preserve"> may</w:t>
      </w:r>
      <w:r>
        <w:rPr>
          <w:rFonts w:ascii="Times New Roman" w:hAnsi="Times New Roman" w:cs="Times New Roman"/>
          <w:sz w:val="24"/>
          <w:szCs w:val="24"/>
        </w:rPr>
        <w:t xml:space="preserve"> benefit from a nurturing atmosphere, access to educational resources, and parental support, all of which enhance their problem-solving skills. While, students from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backgrounds often develop resilience and adaptability as they navigate economic difficulties, limited resources, and less educational support from their families. These challenges</w:t>
      </w:r>
      <w:r w:rsidR="00774217">
        <w:rPr>
          <w:rFonts w:ascii="Times New Roman" w:hAnsi="Times New Roman" w:cs="Times New Roman"/>
          <w:sz w:val="24"/>
          <w:szCs w:val="24"/>
        </w:rPr>
        <w:t xml:space="preserve"> may</w:t>
      </w:r>
      <w:r>
        <w:rPr>
          <w:rFonts w:ascii="Times New Roman" w:hAnsi="Times New Roman" w:cs="Times New Roman"/>
          <w:sz w:val="24"/>
          <w:szCs w:val="24"/>
        </w:rPr>
        <w:t xml:space="preserve"> contribute to their improvement in problem-solving abilities. </w:t>
      </w:r>
      <w:r>
        <w:rPr>
          <w:rFonts w:ascii="Times New Roman" w:hAnsi="Times New Roman" w:cs="Times New Roman"/>
          <w:color w:val="000000" w:themeColor="text1"/>
          <w:sz w:val="24"/>
          <w:szCs w:val="24"/>
        </w:rPr>
        <w:t xml:space="preserve">However, students from 'moderately </w:t>
      </w:r>
      <w:proofErr w:type="spellStart"/>
      <w:r>
        <w:rPr>
          <w:rFonts w:ascii="Times New Roman" w:hAnsi="Times New Roman" w:cs="Times New Roman"/>
          <w:color w:val="000000" w:themeColor="text1"/>
          <w:sz w:val="24"/>
          <w:szCs w:val="24"/>
        </w:rPr>
        <w:t>favourable</w:t>
      </w:r>
      <w:proofErr w:type="spellEnd"/>
      <w:r>
        <w:rPr>
          <w:rFonts w:ascii="Times New Roman" w:hAnsi="Times New Roman" w:cs="Times New Roman"/>
          <w:color w:val="000000" w:themeColor="text1"/>
          <w:sz w:val="24"/>
          <w:szCs w:val="24"/>
        </w:rPr>
        <w:t xml:space="preserve">' home environments, while receiving some support and resources, may experience a middle ground where the level of support is inconsistent or not as enriching as in more </w:t>
      </w:r>
      <w:proofErr w:type="spellStart"/>
      <w:r>
        <w:rPr>
          <w:rFonts w:ascii="Times New Roman" w:hAnsi="Times New Roman" w:cs="Times New Roman"/>
          <w:color w:val="000000" w:themeColor="text1"/>
          <w:sz w:val="24"/>
          <w:szCs w:val="24"/>
        </w:rPr>
        <w:t>favourable</w:t>
      </w:r>
      <w:proofErr w:type="spellEnd"/>
      <w:r>
        <w:rPr>
          <w:rFonts w:ascii="Times New Roman" w:hAnsi="Times New Roman" w:cs="Times New Roman"/>
          <w:color w:val="000000" w:themeColor="text1"/>
          <w:sz w:val="24"/>
          <w:szCs w:val="24"/>
        </w:rPr>
        <w:t xml:space="preserve"> environments</w:t>
      </w:r>
      <w:r>
        <w:rPr>
          <w:rStyle w:val="BodyTextChar"/>
          <w:rFonts w:eastAsiaTheme="minorHAnsi"/>
          <w:sz w:val="24"/>
        </w:rPr>
        <w:t xml:space="preserve">, </w:t>
      </w:r>
      <w:r w:rsidRPr="009325F3">
        <w:rPr>
          <w:rStyle w:val="BodyTextChar"/>
          <w:rFonts w:ascii="Times New Roman" w:eastAsiaTheme="minorHAnsi" w:hAnsi="Times New Roman" w:cs="Times New Roman"/>
          <w:sz w:val="24"/>
        </w:rPr>
        <w:t xml:space="preserve">potentially hindering their overall development of problem-solving skills. The difference in mean scores suggests that individual characteristics and external influences may play roles in mitigating the </w:t>
      </w:r>
      <w:r w:rsidRPr="009325F3">
        <w:rPr>
          <w:rFonts w:ascii="Times New Roman" w:hAnsi="Times New Roman" w:cs="Times New Roman"/>
          <w:sz w:val="24"/>
          <w:szCs w:val="24"/>
        </w:rPr>
        <w:t xml:space="preserve">unexpected disparities between these groups. </w:t>
      </w:r>
    </w:p>
    <w:p w14:paraId="02FE9BF1" w14:textId="202D6B5C" w:rsidR="00DD0909" w:rsidRDefault="00DD0909" w:rsidP="00DD0909">
      <w:pPr>
        <w:spacing w:after="0" w:line="360" w:lineRule="auto"/>
        <w:ind w:left="-144" w:right="144" w:firstLine="284"/>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332FCD">
        <w:rPr>
          <w:rFonts w:ascii="Times New Roman" w:hAnsi="Times New Roman" w:cs="Times New Roman"/>
          <w:b/>
          <w:sz w:val="24"/>
          <w:szCs w:val="24"/>
        </w:rPr>
        <w:t>3</w:t>
      </w:r>
      <w:r>
        <w:rPr>
          <w:rFonts w:ascii="Times New Roman" w:hAnsi="Times New Roman" w:cs="Times New Roman"/>
          <w:b/>
          <w:sz w:val="24"/>
          <w:szCs w:val="24"/>
        </w:rPr>
        <w:t>: ANOVA Results of Problem-Solving Ability Scores among Subgroups of Adolescent Students across different Home Environments</w:t>
      </w:r>
    </w:p>
    <w:tbl>
      <w:tblPr>
        <w:tblStyle w:val="TableGrid"/>
        <w:tblpPr w:leftFromText="180" w:rightFromText="180" w:vertAnchor="text" w:horzAnchor="margin" w:tblpXSpec="center" w:tblpY="6"/>
        <w:tblW w:w="8545" w:type="dxa"/>
        <w:tblInd w:w="0" w:type="dxa"/>
        <w:tblLook w:val="04A0" w:firstRow="1" w:lastRow="0" w:firstColumn="1" w:lastColumn="0" w:noHBand="0" w:noVBand="1"/>
      </w:tblPr>
      <w:tblGrid>
        <w:gridCol w:w="1241"/>
        <w:gridCol w:w="1055"/>
        <w:gridCol w:w="1148"/>
        <w:gridCol w:w="962"/>
        <w:gridCol w:w="763"/>
        <w:gridCol w:w="996"/>
        <w:gridCol w:w="924"/>
        <w:gridCol w:w="1456"/>
      </w:tblGrid>
      <w:tr w:rsidR="000B06D9" w:rsidRPr="008C0AC0" w14:paraId="3FFFBA68" w14:textId="77777777" w:rsidTr="00DC4BBD">
        <w:trPr>
          <w:trHeight w:val="800"/>
        </w:trPr>
        <w:tc>
          <w:tcPr>
            <w:tcW w:w="1295" w:type="dxa"/>
            <w:vAlign w:val="center"/>
          </w:tcPr>
          <w:p w14:paraId="343BEA1F"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bookmarkStart w:id="6" w:name="_Hlk221022221"/>
            <w:r w:rsidRPr="008C0AC0">
              <w:rPr>
                <w:rFonts w:ascii="Times New Roman" w:hAnsi="Times New Roman" w:cs="Times New Roman"/>
                <w:b/>
                <w:sz w:val="24"/>
                <w:szCs w:val="24"/>
              </w:rPr>
              <w:t>Source of Variation</w:t>
            </w:r>
          </w:p>
        </w:tc>
        <w:tc>
          <w:tcPr>
            <w:tcW w:w="1071" w:type="dxa"/>
            <w:vAlign w:val="center"/>
          </w:tcPr>
          <w:p w14:paraId="79916F7D"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Sum of Squares</w:t>
            </w:r>
          </w:p>
        </w:tc>
        <w:tc>
          <w:tcPr>
            <w:tcW w:w="1164" w:type="dxa"/>
            <w:vAlign w:val="center"/>
          </w:tcPr>
          <w:p w14:paraId="5B6F1282"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Degree of Freedom</w:t>
            </w:r>
          </w:p>
        </w:tc>
        <w:tc>
          <w:tcPr>
            <w:tcW w:w="978" w:type="dxa"/>
            <w:vAlign w:val="center"/>
          </w:tcPr>
          <w:p w14:paraId="4F25E80E"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Mean Square</w:t>
            </w:r>
          </w:p>
        </w:tc>
        <w:tc>
          <w:tcPr>
            <w:tcW w:w="763" w:type="dxa"/>
            <w:vAlign w:val="center"/>
          </w:tcPr>
          <w:p w14:paraId="7C445153"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F-value</w:t>
            </w:r>
          </w:p>
        </w:tc>
        <w:tc>
          <w:tcPr>
            <w:tcW w:w="763" w:type="dxa"/>
            <w:vAlign w:val="center"/>
          </w:tcPr>
          <w:p w14:paraId="63F0E119"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p-value</w:t>
            </w:r>
          </w:p>
        </w:tc>
        <w:tc>
          <w:tcPr>
            <w:tcW w:w="1055" w:type="dxa"/>
            <w:vAlign w:val="center"/>
          </w:tcPr>
          <w:p w14:paraId="2AF87757"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Effect Size (</w:t>
            </w:r>
            <w:r w:rsidRPr="0007543F">
              <w:rPr>
                <w:rFonts w:ascii="Times New Roman" w:hAnsi="Times New Roman" w:cs="Times New Roman"/>
              </w:rPr>
              <w:t>η²</w:t>
            </w:r>
            <w:r>
              <w:rPr>
                <w:rFonts w:ascii="Times New Roman" w:hAnsi="Times New Roman" w:cs="Times New Roman"/>
                <w:b/>
                <w:sz w:val="24"/>
                <w:szCs w:val="24"/>
              </w:rPr>
              <w:t>)</w:t>
            </w:r>
          </w:p>
        </w:tc>
        <w:tc>
          <w:tcPr>
            <w:tcW w:w="1456" w:type="dxa"/>
            <w:vAlign w:val="center"/>
          </w:tcPr>
          <w:p w14:paraId="190716BB"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Significance at 0.05 Level</w:t>
            </w:r>
          </w:p>
        </w:tc>
      </w:tr>
      <w:tr w:rsidR="000B06D9" w:rsidRPr="008C0AC0" w14:paraId="351D0555" w14:textId="77777777" w:rsidTr="00DC4BBD">
        <w:trPr>
          <w:trHeight w:val="576"/>
        </w:trPr>
        <w:tc>
          <w:tcPr>
            <w:tcW w:w="1295" w:type="dxa"/>
          </w:tcPr>
          <w:p w14:paraId="509F03A5"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Between Groups (SS</w:t>
            </w:r>
            <w:r w:rsidRPr="008C0AC0">
              <w:rPr>
                <w:rFonts w:ascii="Times New Roman" w:hAnsi="Times New Roman" w:cs="Times New Roman"/>
                <w:sz w:val="24"/>
                <w:szCs w:val="24"/>
                <w:vertAlign w:val="subscript"/>
              </w:rPr>
              <w:t>B</w:t>
            </w:r>
            <w:r w:rsidRPr="008C0AC0">
              <w:rPr>
                <w:rFonts w:ascii="Times New Roman" w:hAnsi="Times New Roman" w:cs="Times New Roman"/>
                <w:sz w:val="24"/>
                <w:szCs w:val="24"/>
              </w:rPr>
              <w:t>)</w:t>
            </w:r>
          </w:p>
        </w:tc>
        <w:tc>
          <w:tcPr>
            <w:tcW w:w="1071" w:type="dxa"/>
            <w:vAlign w:val="center"/>
          </w:tcPr>
          <w:p w14:paraId="7F5B9EF0"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216.71</w:t>
            </w:r>
          </w:p>
        </w:tc>
        <w:tc>
          <w:tcPr>
            <w:tcW w:w="1164" w:type="dxa"/>
            <w:vAlign w:val="center"/>
          </w:tcPr>
          <w:p w14:paraId="78ED60C2"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2</w:t>
            </w:r>
          </w:p>
        </w:tc>
        <w:tc>
          <w:tcPr>
            <w:tcW w:w="978" w:type="dxa"/>
            <w:vAlign w:val="center"/>
          </w:tcPr>
          <w:p w14:paraId="45A5F12E" w14:textId="77777777" w:rsidR="000B06D9" w:rsidRPr="008C0AC0" w:rsidRDefault="000B06D9" w:rsidP="00B05DB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108.35</w:t>
            </w:r>
          </w:p>
        </w:tc>
        <w:tc>
          <w:tcPr>
            <w:tcW w:w="763" w:type="dxa"/>
            <w:vMerge w:val="restart"/>
            <w:vAlign w:val="center"/>
          </w:tcPr>
          <w:p w14:paraId="0A22518C" w14:textId="77777777" w:rsidR="000B06D9" w:rsidRPr="008C0AC0" w:rsidRDefault="000B06D9" w:rsidP="00DC4BBD">
            <w:pPr>
              <w:spacing w:before="720" w:after="0" w:line="600" w:lineRule="auto"/>
              <w:contextualSpacing/>
              <w:jc w:val="center"/>
              <w:rPr>
                <w:rFonts w:ascii="Times New Roman" w:hAnsi="Times New Roman" w:cs="Times New Roman"/>
                <w:sz w:val="24"/>
                <w:szCs w:val="24"/>
              </w:rPr>
            </w:pPr>
            <w:r>
              <w:rPr>
                <w:rFonts w:ascii="Times New Roman" w:hAnsi="Times New Roman" w:cs="Times New Roman"/>
                <w:sz w:val="24"/>
                <w:szCs w:val="24"/>
              </w:rPr>
              <w:t>8.68</w:t>
            </w:r>
          </w:p>
        </w:tc>
        <w:tc>
          <w:tcPr>
            <w:tcW w:w="763" w:type="dxa"/>
            <w:vMerge w:val="restart"/>
            <w:vAlign w:val="center"/>
          </w:tcPr>
          <w:p w14:paraId="619F278C" w14:textId="77777777" w:rsidR="000B06D9" w:rsidRPr="008C0AC0" w:rsidRDefault="000B06D9" w:rsidP="00DC4BBD">
            <w:pPr>
              <w:spacing w:before="720" w:after="0" w:line="600" w:lineRule="auto"/>
              <w:contextualSpacing/>
              <w:jc w:val="center"/>
              <w:rPr>
                <w:rFonts w:ascii="Times New Roman" w:hAnsi="Times New Roman" w:cs="Times New Roman"/>
                <w:sz w:val="24"/>
                <w:szCs w:val="24"/>
              </w:rPr>
            </w:pPr>
            <w:r>
              <w:rPr>
                <w:rFonts w:ascii="Times New Roman" w:hAnsi="Times New Roman" w:cs="Times New Roman"/>
                <w:sz w:val="24"/>
                <w:szCs w:val="24"/>
              </w:rPr>
              <w:t>0.00019</w:t>
            </w:r>
          </w:p>
        </w:tc>
        <w:tc>
          <w:tcPr>
            <w:tcW w:w="1055" w:type="dxa"/>
            <w:vMerge w:val="restart"/>
            <w:vAlign w:val="center"/>
          </w:tcPr>
          <w:p w14:paraId="31BD0ED6" w14:textId="77777777" w:rsidR="000B06D9" w:rsidRPr="008C0AC0" w:rsidRDefault="000B06D9" w:rsidP="00DC4BBD">
            <w:pPr>
              <w:spacing w:before="720" w:after="0" w:line="600" w:lineRule="auto"/>
              <w:contextualSpacing/>
              <w:jc w:val="center"/>
              <w:rPr>
                <w:rFonts w:ascii="Times New Roman" w:hAnsi="Times New Roman" w:cs="Times New Roman"/>
                <w:sz w:val="24"/>
                <w:szCs w:val="24"/>
              </w:rPr>
            </w:pPr>
            <w:r>
              <w:rPr>
                <w:rFonts w:ascii="Times New Roman" w:hAnsi="Times New Roman" w:cs="Times New Roman"/>
                <w:sz w:val="24"/>
                <w:szCs w:val="24"/>
              </w:rPr>
              <w:t>0.029</w:t>
            </w:r>
          </w:p>
        </w:tc>
        <w:tc>
          <w:tcPr>
            <w:tcW w:w="1456" w:type="dxa"/>
            <w:vMerge w:val="restart"/>
            <w:vAlign w:val="center"/>
          </w:tcPr>
          <w:p w14:paraId="3CEEED93" w14:textId="77777777" w:rsidR="000B06D9" w:rsidRPr="008C0AC0" w:rsidRDefault="000B06D9" w:rsidP="00DC4BBD">
            <w:pPr>
              <w:spacing w:before="720" w:after="0" w:line="600" w:lineRule="auto"/>
              <w:contextualSpacing/>
              <w:jc w:val="center"/>
              <w:rPr>
                <w:rFonts w:ascii="Times New Roman" w:hAnsi="Times New Roman" w:cs="Times New Roman"/>
                <w:sz w:val="24"/>
                <w:szCs w:val="24"/>
              </w:rPr>
            </w:pPr>
            <w:r w:rsidRPr="008C0AC0">
              <w:rPr>
                <w:rFonts w:ascii="Times New Roman" w:hAnsi="Times New Roman" w:cs="Times New Roman"/>
                <w:sz w:val="24"/>
                <w:szCs w:val="24"/>
              </w:rPr>
              <w:t>Significant</w:t>
            </w:r>
          </w:p>
        </w:tc>
      </w:tr>
      <w:tr w:rsidR="000B06D9" w:rsidRPr="008C0AC0" w14:paraId="4C3D727B" w14:textId="77777777" w:rsidTr="00DC4BBD">
        <w:trPr>
          <w:trHeight w:val="654"/>
        </w:trPr>
        <w:tc>
          <w:tcPr>
            <w:tcW w:w="1295" w:type="dxa"/>
          </w:tcPr>
          <w:p w14:paraId="35625B0E"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Within Groups (SS</w:t>
            </w:r>
            <w:r w:rsidRPr="008C0AC0">
              <w:rPr>
                <w:rFonts w:ascii="Times New Roman" w:hAnsi="Times New Roman" w:cs="Times New Roman"/>
                <w:sz w:val="24"/>
                <w:szCs w:val="24"/>
                <w:vertAlign w:val="subscript"/>
              </w:rPr>
              <w:t>W</w:t>
            </w:r>
            <w:r w:rsidRPr="008C0AC0">
              <w:rPr>
                <w:rFonts w:ascii="Times New Roman" w:hAnsi="Times New Roman" w:cs="Times New Roman"/>
                <w:sz w:val="24"/>
                <w:szCs w:val="24"/>
              </w:rPr>
              <w:t>)</w:t>
            </w:r>
          </w:p>
        </w:tc>
        <w:tc>
          <w:tcPr>
            <w:tcW w:w="1071" w:type="dxa"/>
            <w:vAlign w:val="center"/>
          </w:tcPr>
          <w:p w14:paraId="194C0560"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7156.66</w:t>
            </w:r>
          </w:p>
        </w:tc>
        <w:tc>
          <w:tcPr>
            <w:tcW w:w="1164" w:type="dxa"/>
            <w:vAlign w:val="center"/>
          </w:tcPr>
          <w:p w14:paraId="1476ECD3"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573</w:t>
            </w:r>
          </w:p>
        </w:tc>
        <w:tc>
          <w:tcPr>
            <w:tcW w:w="978" w:type="dxa"/>
            <w:vAlign w:val="center"/>
          </w:tcPr>
          <w:p w14:paraId="31680FED" w14:textId="77777777" w:rsidR="000B06D9" w:rsidRPr="008C0AC0" w:rsidRDefault="000B06D9" w:rsidP="00B05DB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12.49</w:t>
            </w:r>
          </w:p>
        </w:tc>
        <w:tc>
          <w:tcPr>
            <w:tcW w:w="763" w:type="dxa"/>
            <w:vMerge/>
            <w:vAlign w:val="center"/>
          </w:tcPr>
          <w:p w14:paraId="0037D68F"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763" w:type="dxa"/>
            <w:vMerge/>
            <w:vAlign w:val="center"/>
          </w:tcPr>
          <w:p w14:paraId="792EEF28"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1055" w:type="dxa"/>
            <w:vMerge/>
            <w:vAlign w:val="center"/>
          </w:tcPr>
          <w:p w14:paraId="1899CF1E"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1456" w:type="dxa"/>
            <w:vMerge/>
            <w:vAlign w:val="center"/>
          </w:tcPr>
          <w:p w14:paraId="5FAB5DE1"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r>
      <w:tr w:rsidR="000B06D9" w:rsidRPr="008C0AC0" w14:paraId="595CE956" w14:textId="77777777" w:rsidTr="00DC4BBD">
        <w:trPr>
          <w:trHeight w:val="511"/>
        </w:trPr>
        <w:tc>
          <w:tcPr>
            <w:tcW w:w="1295" w:type="dxa"/>
            <w:vAlign w:val="center"/>
          </w:tcPr>
          <w:p w14:paraId="6C5DA82E"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Total</w:t>
            </w:r>
          </w:p>
        </w:tc>
        <w:tc>
          <w:tcPr>
            <w:tcW w:w="1071" w:type="dxa"/>
            <w:vAlign w:val="center"/>
          </w:tcPr>
          <w:p w14:paraId="6009E232"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7373.37</w:t>
            </w:r>
          </w:p>
        </w:tc>
        <w:tc>
          <w:tcPr>
            <w:tcW w:w="1164" w:type="dxa"/>
            <w:vAlign w:val="center"/>
          </w:tcPr>
          <w:p w14:paraId="7637912C"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575</w:t>
            </w:r>
          </w:p>
        </w:tc>
        <w:tc>
          <w:tcPr>
            <w:tcW w:w="978" w:type="dxa"/>
            <w:vAlign w:val="center"/>
          </w:tcPr>
          <w:p w14:paraId="4CC92C3C"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763" w:type="dxa"/>
            <w:vMerge/>
            <w:vAlign w:val="center"/>
          </w:tcPr>
          <w:p w14:paraId="5CB2DF53"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763" w:type="dxa"/>
            <w:vMerge/>
            <w:vAlign w:val="center"/>
          </w:tcPr>
          <w:p w14:paraId="552E51B6"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1055" w:type="dxa"/>
            <w:vMerge/>
            <w:vAlign w:val="center"/>
          </w:tcPr>
          <w:p w14:paraId="6D0195CC"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1456" w:type="dxa"/>
            <w:vMerge/>
            <w:vAlign w:val="center"/>
          </w:tcPr>
          <w:p w14:paraId="70DC956A"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r>
      <w:bookmarkEnd w:id="6"/>
    </w:tbl>
    <w:p w14:paraId="61E5298E" w14:textId="77777777" w:rsidR="00DD0909" w:rsidRDefault="00DD0909" w:rsidP="00DD0909">
      <w:pPr>
        <w:spacing w:after="0" w:line="360" w:lineRule="auto"/>
        <w:jc w:val="center"/>
        <w:rPr>
          <w:rFonts w:ascii="Times New Roman" w:hAnsi="Times New Roman" w:cs="Times New Roman"/>
          <w:b/>
          <w:sz w:val="24"/>
          <w:szCs w:val="24"/>
        </w:rPr>
      </w:pPr>
    </w:p>
    <w:p w14:paraId="2F780886" w14:textId="5C0F9666" w:rsidR="00DD0909" w:rsidRDefault="00DD0909" w:rsidP="00DD09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332FCD">
        <w:rPr>
          <w:rFonts w:ascii="Times New Roman" w:hAnsi="Times New Roman" w:cs="Times New Roman"/>
          <w:b/>
          <w:sz w:val="24"/>
          <w:szCs w:val="24"/>
        </w:rPr>
        <w:t>4</w:t>
      </w:r>
      <w:r>
        <w:rPr>
          <w:rFonts w:ascii="Times New Roman" w:hAnsi="Times New Roman" w:cs="Times New Roman"/>
          <w:b/>
          <w:sz w:val="24"/>
          <w:szCs w:val="24"/>
        </w:rPr>
        <w:t>: Two-group Comparison on Problem-Solving Ability Scores among Subgroups of Adolescent Students across different Home Environments</w:t>
      </w:r>
    </w:p>
    <w:tbl>
      <w:tblPr>
        <w:tblStyle w:val="TableGrid"/>
        <w:tblW w:w="8820" w:type="dxa"/>
        <w:tblInd w:w="-5" w:type="dxa"/>
        <w:tblLook w:val="04A0" w:firstRow="1" w:lastRow="0" w:firstColumn="1" w:lastColumn="0" w:noHBand="0" w:noVBand="1"/>
      </w:tblPr>
      <w:tblGrid>
        <w:gridCol w:w="1483"/>
        <w:gridCol w:w="1282"/>
        <w:gridCol w:w="1195"/>
        <w:gridCol w:w="1980"/>
        <w:gridCol w:w="1170"/>
        <w:gridCol w:w="1710"/>
      </w:tblGrid>
      <w:tr w:rsidR="00BC419E" w:rsidRPr="00C50B12" w14:paraId="7D0FA2AE" w14:textId="77777777" w:rsidTr="00BC419E">
        <w:trPr>
          <w:trHeight w:val="701"/>
        </w:trPr>
        <w:tc>
          <w:tcPr>
            <w:tcW w:w="1483" w:type="dxa"/>
          </w:tcPr>
          <w:p w14:paraId="1B385FD1" w14:textId="77777777" w:rsidR="00BC419E" w:rsidRPr="00C50B12" w:rsidRDefault="00BC419E" w:rsidP="00B05DBE">
            <w:pPr>
              <w:spacing w:after="0"/>
              <w:jc w:val="center"/>
              <w:rPr>
                <w:rFonts w:ascii="Times New Roman" w:hAnsi="Times New Roman" w:cs="Times New Roman"/>
                <w:b/>
                <w:sz w:val="24"/>
                <w:szCs w:val="24"/>
              </w:rPr>
            </w:pPr>
            <w:bookmarkStart w:id="7" w:name="_Hlk221022480"/>
            <w:r w:rsidRPr="00C50B12">
              <w:rPr>
                <w:rFonts w:ascii="Times New Roman" w:hAnsi="Times New Roman" w:cs="Times New Roman"/>
                <w:b/>
                <w:sz w:val="24"/>
                <w:szCs w:val="24"/>
              </w:rPr>
              <w:t xml:space="preserve">Comparison </w:t>
            </w:r>
          </w:p>
        </w:tc>
        <w:tc>
          <w:tcPr>
            <w:tcW w:w="1282" w:type="dxa"/>
          </w:tcPr>
          <w:p w14:paraId="5CC098F6" w14:textId="77777777" w:rsidR="00BC419E" w:rsidRPr="00C50B12" w:rsidRDefault="00BC419E" w:rsidP="00B05DBE">
            <w:pPr>
              <w:spacing w:after="0"/>
              <w:jc w:val="center"/>
              <w:rPr>
                <w:rFonts w:ascii="Times New Roman" w:hAnsi="Times New Roman" w:cs="Times New Roman"/>
                <w:b/>
                <w:sz w:val="24"/>
                <w:szCs w:val="24"/>
              </w:rPr>
            </w:pPr>
            <w:r>
              <w:rPr>
                <w:rFonts w:ascii="Times New Roman" w:hAnsi="Times New Roman" w:cs="Times New Roman"/>
                <w:b/>
                <w:sz w:val="24"/>
                <w:szCs w:val="24"/>
              </w:rPr>
              <w:t>Mean Difference</w:t>
            </w:r>
          </w:p>
        </w:tc>
        <w:tc>
          <w:tcPr>
            <w:tcW w:w="1195" w:type="dxa"/>
          </w:tcPr>
          <w:p w14:paraId="63B8EC82" w14:textId="77777777" w:rsidR="00BC419E" w:rsidRPr="00C50B12" w:rsidRDefault="00BC419E" w:rsidP="00B05DBE">
            <w:pPr>
              <w:spacing w:after="0"/>
              <w:jc w:val="center"/>
              <w:rPr>
                <w:rFonts w:ascii="Times New Roman" w:hAnsi="Times New Roman" w:cs="Times New Roman"/>
                <w:b/>
                <w:sz w:val="24"/>
                <w:szCs w:val="24"/>
              </w:rPr>
            </w:pPr>
            <w:r>
              <w:rPr>
                <w:rFonts w:ascii="Times New Roman" w:hAnsi="Times New Roman" w:cs="Times New Roman"/>
                <w:b/>
                <w:sz w:val="24"/>
                <w:szCs w:val="24"/>
              </w:rPr>
              <w:t>Standard Error</w:t>
            </w:r>
          </w:p>
        </w:tc>
        <w:tc>
          <w:tcPr>
            <w:tcW w:w="1980" w:type="dxa"/>
          </w:tcPr>
          <w:p w14:paraId="48561A95" w14:textId="77777777" w:rsidR="00BC419E" w:rsidRPr="00C50B12" w:rsidRDefault="00BC419E" w:rsidP="00B05DBE">
            <w:pPr>
              <w:spacing w:after="0"/>
              <w:jc w:val="center"/>
              <w:rPr>
                <w:rFonts w:ascii="Times New Roman" w:hAnsi="Times New Roman" w:cs="Times New Roman"/>
                <w:b/>
                <w:sz w:val="24"/>
                <w:szCs w:val="24"/>
              </w:rPr>
            </w:pPr>
            <w:r>
              <w:rPr>
                <w:rFonts w:ascii="Times New Roman" w:hAnsi="Times New Roman" w:cs="Times New Roman"/>
                <w:b/>
                <w:sz w:val="24"/>
                <w:szCs w:val="24"/>
              </w:rPr>
              <w:t>95% Confidence Interval</w:t>
            </w:r>
          </w:p>
        </w:tc>
        <w:tc>
          <w:tcPr>
            <w:tcW w:w="1170" w:type="dxa"/>
          </w:tcPr>
          <w:p w14:paraId="2A469A6D" w14:textId="77777777" w:rsidR="00BC419E" w:rsidRPr="00C50B12" w:rsidRDefault="00BC419E" w:rsidP="00B05DBE">
            <w:pPr>
              <w:spacing w:after="0"/>
              <w:jc w:val="center"/>
              <w:rPr>
                <w:rFonts w:ascii="Times New Roman" w:hAnsi="Times New Roman" w:cs="Times New Roman"/>
                <w:b/>
                <w:sz w:val="24"/>
                <w:szCs w:val="24"/>
              </w:rPr>
            </w:pPr>
            <w:r>
              <w:rPr>
                <w:rFonts w:ascii="Times New Roman" w:hAnsi="Times New Roman" w:cs="Times New Roman"/>
                <w:b/>
                <w:sz w:val="24"/>
                <w:szCs w:val="24"/>
              </w:rPr>
              <w:t>Adjusted p-value</w:t>
            </w:r>
          </w:p>
        </w:tc>
        <w:tc>
          <w:tcPr>
            <w:tcW w:w="1710" w:type="dxa"/>
          </w:tcPr>
          <w:p w14:paraId="719F0855" w14:textId="38F5C763" w:rsidR="00BC419E" w:rsidRDefault="00896D04" w:rsidP="00B05DBE">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BC419E">
              <w:rPr>
                <w:rFonts w:ascii="Times New Roman" w:hAnsi="Times New Roman" w:cs="Times New Roman"/>
                <w:b/>
                <w:sz w:val="24"/>
                <w:szCs w:val="24"/>
              </w:rPr>
              <w:t>Significance</w:t>
            </w:r>
          </w:p>
        </w:tc>
      </w:tr>
      <w:tr w:rsidR="00BC419E" w:rsidRPr="00C50B12" w14:paraId="392F98A7" w14:textId="77777777" w:rsidTr="00BC419E">
        <w:trPr>
          <w:trHeight w:val="340"/>
        </w:trPr>
        <w:tc>
          <w:tcPr>
            <w:tcW w:w="1483" w:type="dxa"/>
          </w:tcPr>
          <w:p w14:paraId="5BE0EC83"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p>
        </w:tc>
        <w:tc>
          <w:tcPr>
            <w:tcW w:w="1282" w:type="dxa"/>
          </w:tcPr>
          <w:p w14:paraId="5EDE4ECE"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1.26</w:t>
            </w:r>
          </w:p>
        </w:tc>
        <w:tc>
          <w:tcPr>
            <w:tcW w:w="1195" w:type="dxa"/>
          </w:tcPr>
          <w:p w14:paraId="11822049"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0.36</w:t>
            </w:r>
          </w:p>
        </w:tc>
        <w:tc>
          <w:tcPr>
            <w:tcW w:w="1980" w:type="dxa"/>
          </w:tcPr>
          <w:p w14:paraId="481D5621"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0.55 to 1.97</w:t>
            </w:r>
          </w:p>
        </w:tc>
        <w:tc>
          <w:tcPr>
            <w:tcW w:w="1170" w:type="dxa"/>
          </w:tcPr>
          <w:p w14:paraId="287E0003" w14:textId="77777777" w:rsidR="00BC419E" w:rsidRPr="00D64272" w:rsidRDefault="00BC419E" w:rsidP="00B05DBE">
            <w:pPr>
              <w:spacing w:after="0"/>
              <w:jc w:val="center"/>
              <w:rPr>
                <w:rFonts w:ascii="Times New Roman" w:hAnsi="Times New Roman" w:cs="Times New Roman"/>
                <w:sz w:val="24"/>
                <w:szCs w:val="24"/>
              </w:rPr>
            </w:pPr>
            <w:r w:rsidRPr="00D64272">
              <w:rPr>
                <w:rFonts w:ascii="Times New Roman" w:hAnsi="Times New Roman" w:cs="Times New Roman"/>
                <w:sz w:val="24"/>
                <w:szCs w:val="24"/>
              </w:rPr>
              <w:t>0.00023</w:t>
            </w:r>
          </w:p>
        </w:tc>
        <w:tc>
          <w:tcPr>
            <w:tcW w:w="1710" w:type="dxa"/>
          </w:tcPr>
          <w:p w14:paraId="04D34CA2"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Significant</w:t>
            </w:r>
          </w:p>
        </w:tc>
      </w:tr>
      <w:tr w:rsidR="00BC419E" w:rsidRPr="00C50B12" w14:paraId="6F215EE9" w14:textId="77777777" w:rsidTr="00BC419E">
        <w:trPr>
          <w:trHeight w:val="340"/>
        </w:trPr>
        <w:tc>
          <w:tcPr>
            <w:tcW w:w="1483" w:type="dxa"/>
          </w:tcPr>
          <w:p w14:paraId="7200022D"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p>
        </w:tc>
        <w:tc>
          <w:tcPr>
            <w:tcW w:w="1282" w:type="dxa"/>
          </w:tcPr>
          <w:p w14:paraId="05606B71"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-1.19</w:t>
            </w:r>
          </w:p>
        </w:tc>
        <w:tc>
          <w:tcPr>
            <w:tcW w:w="1195" w:type="dxa"/>
          </w:tcPr>
          <w:p w14:paraId="5F068186"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0.36</w:t>
            </w:r>
          </w:p>
        </w:tc>
        <w:tc>
          <w:tcPr>
            <w:tcW w:w="1980" w:type="dxa"/>
          </w:tcPr>
          <w:p w14:paraId="17A3E9B8"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-1.90 to -0.48</w:t>
            </w:r>
          </w:p>
        </w:tc>
        <w:tc>
          <w:tcPr>
            <w:tcW w:w="1170" w:type="dxa"/>
          </w:tcPr>
          <w:p w14:paraId="0649EAE0" w14:textId="77777777" w:rsidR="00BC419E" w:rsidRPr="00D64272" w:rsidRDefault="00BC419E" w:rsidP="00B05DBE">
            <w:pPr>
              <w:spacing w:after="0"/>
              <w:jc w:val="center"/>
              <w:rPr>
                <w:rFonts w:ascii="Times New Roman" w:hAnsi="Times New Roman" w:cs="Times New Roman"/>
                <w:sz w:val="24"/>
                <w:szCs w:val="24"/>
              </w:rPr>
            </w:pPr>
            <w:r w:rsidRPr="00D64272">
              <w:rPr>
                <w:rFonts w:ascii="Times New Roman" w:hAnsi="Times New Roman" w:cs="Times New Roman"/>
                <w:sz w:val="24"/>
                <w:szCs w:val="24"/>
              </w:rPr>
              <w:t>0.00101</w:t>
            </w:r>
          </w:p>
        </w:tc>
        <w:tc>
          <w:tcPr>
            <w:tcW w:w="1710" w:type="dxa"/>
          </w:tcPr>
          <w:p w14:paraId="5CC43B3C"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Significant</w:t>
            </w:r>
          </w:p>
        </w:tc>
      </w:tr>
      <w:tr w:rsidR="00BC419E" w:rsidRPr="00C50B12" w14:paraId="403E5DEA" w14:textId="77777777" w:rsidTr="00BC419E">
        <w:trPr>
          <w:trHeight w:val="340"/>
        </w:trPr>
        <w:tc>
          <w:tcPr>
            <w:tcW w:w="1483" w:type="dxa"/>
          </w:tcPr>
          <w:p w14:paraId="6E4302FC"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p>
        </w:tc>
        <w:tc>
          <w:tcPr>
            <w:tcW w:w="1282" w:type="dxa"/>
          </w:tcPr>
          <w:p w14:paraId="1BD65E95"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-0.07</w:t>
            </w:r>
          </w:p>
        </w:tc>
        <w:tc>
          <w:tcPr>
            <w:tcW w:w="1195" w:type="dxa"/>
          </w:tcPr>
          <w:p w14:paraId="09F7364D"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0.42</w:t>
            </w:r>
          </w:p>
        </w:tc>
        <w:tc>
          <w:tcPr>
            <w:tcW w:w="1980" w:type="dxa"/>
          </w:tcPr>
          <w:p w14:paraId="6BEAD5FA"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-0.89 to 0.75</w:t>
            </w:r>
          </w:p>
        </w:tc>
        <w:tc>
          <w:tcPr>
            <w:tcW w:w="1170" w:type="dxa"/>
          </w:tcPr>
          <w:p w14:paraId="2B1FC5E4" w14:textId="77777777" w:rsidR="00BC419E" w:rsidRPr="00900467" w:rsidRDefault="00BC419E" w:rsidP="00B05DBE">
            <w:pPr>
              <w:spacing w:after="0"/>
              <w:jc w:val="center"/>
              <w:rPr>
                <w:rFonts w:ascii="Times New Roman" w:hAnsi="Times New Roman" w:cs="Times New Roman"/>
                <w:sz w:val="24"/>
                <w:szCs w:val="24"/>
              </w:rPr>
            </w:pPr>
            <w:r w:rsidRPr="00900467">
              <w:rPr>
                <w:rFonts w:ascii="Times New Roman" w:hAnsi="Times New Roman" w:cs="Times New Roman"/>
                <w:sz w:val="24"/>
                <w:szCs w:val="24"/>
              </w:rPr>
              <w:t>0.8736</w:t>
            </w:r>
          </w:p>
        </w:tc>
        <w:tc>
          <w:tcPr>
            <w:tcW w:w="1710" w:type="dxa"/>
          </w:tcPr>
          <w:p w14:paraId="7CF78F38"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Not-Significant</w:t>
            </w:r>
          </w:p>
        </w:tc>
      </w:tr>
    </w:tbl>
    <w:bookmarkEnd w:id="7"/>
    <w:p w14:paraId="71E8F3FF" w14:textId="77777777" w:rsidR="00DD0909" w:rsidRPr="00C6741F" w:rsidRDefault="00DD0909" w:rsidP="00DD0909">
      <w:pPr>
        <w:spacing w:after="120" w:line="240" w:lineRule="auto"/>
        <w:ind w:firstLine="90"/>
        <w:jc w:val="both"/>
        <w:rPr>
          <w:rFonts w:ascii="Times New Roman" w:hAnsi="Times New Roman" w:cs="Times New Roman"/>
          <w:sz w:val="20"/>
          <w:szCs w:val="20"/>
        </w:rPr>
      </w:pPr>
      <w:r w:rsidRPr="00C6741F">
        <w:rPr>
          <w:rFonts w:ascii="Times New Roman" w:hAnsi="Times New Roman" w:cs="Times New Roman"/>
          <w:sz w:val="20"/>
          <w:szCs w:val="20"/>
        </w:rPr>
        <w:t>m</w:t>
      </w:r>
      <w:r w:rsidRPr="00C6741F">
        <w:rPr>
          <w:rFonts w:ascii="Times New Roman" w:hAnsi="Times New Roman" w:cs="Times New Roman"/>
          <w:sz w:val="20"/>
          <w:szCs w:val="20"/>
          <w:vertAlign w:val="subscript"/>
        </w:rPr>
        <w:t>1</w:t>
      </w:r>
      <w:r w:rsidRPr="00C6741F">
        <w:rPr>
          <w:rFonts w:ascii="Times New Roman" w:hAnsi="Times New Roman" w:cs="Times New Roman"/>
          <w:sz w:val="20"/>
          <w:szCs w:val="20"/>
        </w:rPr>
        <w:t xml:space="preserve">- mean of students belonging to </w:t>
      </w:r>
      <w:proofErr w:type="spellStart"/>
      <w:r w:rsidRPr="00C6741F">
        <w:rPr>
          <w:rFonts w:ascii="Times New Roman" w:hAnsi="Times New Roman" w:cs="Times New Roman"/>
          <w:sz w:val="20"/>
          <w:szCs w:val="20"/>
        </w:rPr>
        <w:t>favourable</w:t>
      </w:r>
      <w:proofErr w:type="spellEnd"/>
      <w:r w:rsidRPr="00C6741F">
        <w:rPr>
          <w:rFonts w:ascii="Times New Roman" w:hAnsi="Times New Roman" w:cs="Times New Roman"/>
          <w:sz w:val="20"/>
          <w:szCs w:val="20"/>
        </w:rPr>
        <w:t xml:space="preserve"> home environment</w:t>
      </w:r>
    </w:p>
    <w:p w14:paraId="10E57E4B" w14:textId="77777777" w:rsidR="00DD0909" w:rsidRPr="00C6741F" w:rsidRDefault="00DD0909" w:rsidP="00DD0909">
      <w:pPr>
        <w:spacing w:after="120" w:line="240" w:lineRule="auto"/>
        <w:ind w:firstLine="90"/>
        <w:jc w:val="both"/>
        <w:rPr>
          <w:rFonts w:ascii="Times New Roman" w:hAnsi="Times New Roman" w:cs="Times New Roman"/>
          <w:sz w:val="20"/>
          <w:szCs w:val="20"/>
        </w:rPr>
      </w:pPr>
      <w:r w:rsidRPr="00C6741F">
        <w:rPr>
          <w:rFonts w:ascii="Times New Roman" w:hAnsi="Times New Roman" w:cs="Times New Roman"/>
          <w:sz w:val="20"/>
          <w:szCs w:val="20"/>
        </w:rPr>
        <w:t>m</w:t>
      </w:r>
      <w:r w:rsidRPr="00C6741F">
        <w:rPr>
          <w:rFonts w:ascii="Times New Roman" w:hAnsi="Times New Roman" w:cs="Times New Roman"/>
          <w:sz w:val="20"/>
          <w:szCs w:val="20"/>
          <w:vertAlign w:val="subscript"/>
        </w:rPr>
        <w:t>2</w:t>
      </w:r>
      <w:r w:rsidRPr="00C6741F">
        <w:rPr>
          <w:rFonts w:ascii="Times New Roman" w:hAnsi="Times New Roman" w:cs="Times New Roman"/>
          <w:sz w:val="20"/>
          <w:szCs w:val="20"/>
        </w:rPr>
        <w:t xml:space="preserve">- mean of students belonging to moderately </w:t>
      </w:r>
      <w:proofErr w:type="spellStart"/>
      <w:r w:rsidRPr="00C6741F">
        <w:rPr>
          <w:rFonts w:ascii="Times New Roman" w:hAnsi="Times New Roman" w:cs="Times New Roman"/>
          <w:sz w:val="20"/>
          <w:szCs w:val="20"/>
        </w:rPr>
        <w:t>favourable</w:t>
      </w:r>
      <w:proofErr w:type="spellEnd"/>
      <w:r w:rsidRPr="00C6741F">
        <w:rPr>
          <w:rFonts w:ascii="Times New Roman" w:hAnsi="Times New Roman" w:cs="Times New Roman"/>
          <w:sz w:val="20"/>
          <w:szCs w:val="20"/>
        </w:rPr>
        <w:t xml:space="preserve"> home environment</w:t>
      </w:r>
    </w:p>
    <w:p w14:paraId="4F2AB213" w14:textId="4B27D59A" w:rsidR="00DD0909" w:rsidRPr="00C6741F" w:rsidRDefault="00DD0909" w:rsidP="00DD0909">
      <w:pPr>
        <w:spacing w:after="120" w:line="240" w:lineRule="auto"/>
        <w:ind w:firstLine="90"/>
        <w:jc w:val="both"/>
        <w:rPr>
          <w:rFonts w:ascii="Times New Roman" w:hAnsi="Times New Roman" w:cs="Times New Roman"/>
          <w:sz w:val="20"/>
          <w:szCs w:val="20"/>
        </w:rPr>
      </w:pPr>
      <w:r w:rsidRPr="00C6741F">
        <w:rPr>
          <w:rFonts w:ascii="Times New Roman" w:hAnsi="Times New Roman" w:cs="Times New Roman"/>
          <w:sz w:val="20"/>
          <w:szCs w:val="20"/>
        </w:rPr>
        <w:t>m</w:t>
      </w:r>
      <w:r w:rsidRPr="00C6741F">
        <w:rPr>
          <w:rFonts w:ascii="Times New Roman" w:hAnsi="Times New Roman" w:cs="Times New Roman"/>
          <w:sz w:val="20"/>
          <w:szCs w:val="20"/>
          <w:vertAlign w:val="subscript"/>
        </w:rPr>
        <w:t>3</w:t>
      </w:r>
      <w:proofErr w:type="gramStart"/>
      <w:r w:rsidRPr="00C6741F">
        <w:rPr>
          <w:rFonts w:ascii="Times New Roman" w:hAnsi="Times New Roman" w:cs="Times New Roman"/>
          <w:sz w:val="20"/>
          <w:szCs w:val="20"/>
        </w:rPr>
        <w:t>-</w:t>
      </w:r>
      <w:r w:rsidRPr="00C6741F">
        <w:rPr>
          <w:rFonts w:ascii="Times New Roman" w:hAnsi="Times New Roman" w:cs="Times New Roman"/>
          <w:sz w:val="20"/>
          <w:szCs w:val="20"/>
          <w:vertAlign w:val="subscript"/>
        </w:rPr>
        <w:t xml:space="preserve">  </w:t>
      </w:r>
      <w:r w:rsidRPr="00C6741F">
        <w:rPr>
          <w:rFonts w:ascii="Times New Roman" w:hAnsi="Times New Roman" w:cs="Times New Roman"/>
          <w:sz w:val="20"/>
          <w:szCs w:val="20"/>
        </w:rPr>
        <w:t>mean</w:t>
      </w:r>
      <w:proofErr w:type="gramEnd"/>
      <w:r w:rsidRPr="00C6741F">
        <w:rPr>
          <w:rFonts w:ascii="Times New Roman" w:hAnsi="Times New Roman" w:cs="Times New Roman"/>
          <w:sz w:val="20"/>
          <w:szCs w:val="20"/>
        </w:rPr>
        <w:t xml:space="preserve"> of students belonging to </w:t>
      </w:r>
      <w:proofErr w:type="spellStart"/>
      <w:r w:rsidRPr="00C6741F">
        <w:rPr>
          <w:rFonts w:ascii="Times New Roman" w:hAnsi="Times New Roman" w:cs="Times New Roman"/>
          <w:sz w:val="20"/>
          <w:szCs w:val="20"/>
        </w:rPr>
        <w:t>unfavourable</w:t>
      </w:r>
      <w:proofErr w:type="spellEnd"/>
      <w:r w:rsidRPr="00C6741F">
        <w:rPr>
          <w:rFonts w:ascii="Times New Roman" w:hAnsi="Times New Roman" w:cs="Times New Roman"/>
          <w:sz w:val="20"/>
          <w:szCs w:val="20"/>
        </w:rPr>
        <w:t xml:space="preserve"> home environment</w:t>
      </w:r>
    </w:p>
    <w:p w14:paraId="523A4844" w14:textId="39A15A4C" w:rsidR="00872EBE" w:rsidRPr="00C6741F" w:rsidRDefault="00896D04" w:rsidP="00DD0909">
      <w:pPr>
        <w:spacing w:after="120" w:line="240" w:lineRule="auto"/>
        <w:ind w:firstLine="90"/>
        <w:jc w:val="both"/>
        <w:rPr>
          <w:rFonts w:ascii="Times New Roman" w:hAnsi="Times New Roman" w:cs="Times New Roman"/>
          <w:b/>
          <w:sz w:val="20"/>
          <w:szCs w:val="20"/>
        </w:rPr>
      </w:pPr>
      <w:r w:rsidRPr="00C6741F">
        <w:rPr>
          <w:sz w:val="20"/>
          <w:szCs w:val="20"/>
        </w:rPr>
        <w:t>*</w:t>
      </w:r>
      <w:r w:rsidRPr="00C6741F">
        <w:rPr>
          <w:rFonts w:ascii="Times New Roman" w:hAnsi="Times New Roman" w:cs="Times New Roman"/>
          <w:sz w:val="20"/>
          <w:szCs w:val="20"/>
        </w:rPr>
        <w:t xml:space="preserve">Significance was evaluated using </w:t>
      </w:r>
      <w:r w:rsidRPr="00C6741F">
        <w:rPr>
          <w:rStyle w:val="Strong"/>
          <w:rFonts w:ascii="Times New Roman" w:hAnsi="Times New Roman" w:cs="Times New Roman"/>
          <w:b w:val="0"/>
          <w:sz w:val="20"/>
          <w:szCs w:val="20"/>
        </w:rPr>
        <w:t>Bonferroni-adjusted alpha, α = 0.0167</w:t>
      </w:r>
    </w:p>
    <w:p w14:paraId="33FE70E6" w14:textId="44E94DB6" w:rsidR="00DD0909" w:rsidRDefault="00DD0909" w:rsidP="002B6E85">
      <w:pPr>
        <w:spacing w:before="240" w:after="120" w:line="360" w:lineRule="auto"/>
        <w:jc w:val="both"/>
        <w:rPr>
          <w:rFonts w:ascii="Times New Roman" w:eastAsia="Times New Roman" w:hAnsi="Times New Roman" w:cs="Times New Roman"/>
          <w:color w:val="000000" w:themeColor="text1"/>
          <w:sz w:val="24"/>
          <w:szCs w:val="21"/>
          <w:lang w:eastAsia="en-IN"/>
        </w:rPr>
      </w:pPr>
      <w:r>
        <w:rPr>
          <w:rFonts w:ascii="Times New Roman" w:hAnsi="Times New Roman" w:cs="Times New Roman"/>
          <w:sz w:val="24"/>
          <w:szCs w:val="24"/>
        </w:rPr>
        <w:lastRenderedPageBreak/>
        <w:t xml:space="preserve">The </w:t>
      </w:r>
      <w:r w:rsidR="009325F3">
        <w:rPr>
          <w:rFonts w:ascii="Times New Roman" w:hAnsi="Times New Roman" w:cs="Times New Roman"/>
          <w:sz w:val="24"/>
          <w:szCs w:val="24"/>
        </w:rPr>
        <w:t xml:space="preserve">one-way ANOVA </w:t>
      </w:r>
      <w:r>
        <w:rPr>
          <w:rFonts w:ascii="Times New Roman" w:hAnsi="Times New Roman" w:cs="Times New Roman"/>
          <w:sz w:val="24"/>
          <w:szCs w:val="24"/>
        </w:rPr>
        <w:t xml:space="preserve">results, as depicted in Table </w:t>
      </w:r>
      <w:r w:rsidR="00332FCD">
        <w:rPr>
          <w:rFonts w:ascii="Times New Roman" w:hAnsi="Times New Roman" w:cs="Times New Roman"/>
          <w:sz w:val="24"/>
          <w:szCs w:val="24"/>
        </w:rPr>
        <w:t>3</w:t>
      </w:r>
      <w:r>
        <w:rPr>
          <w:rFonts w:ascii="Times New Roman" w:hAnsi="Times New Roman" w:cs="Times New Roman"/>
          <w:sz w:val="24"/>
          <w:szCs w:val="24"/>
        </w:rPr>
        <w:t xml:space="preserve">, showed a statistically significant </w:t>
      </w:r>
      <w:r w:rsidRPr="002B6E85">
        <w:rPr>
          <w:rFonts w:ascii="Times New Roman" w:hAnsi="Times New Roman" w:cs="Times New Roman"/>
          <w:sz w:val="24"/>
          <w:szCs w:val="24"/>
        </w:rPr>
        <w:t>difference in problem-solving abilities among adolescent students from different home environments at the significance level of 0.05</w:t>
      </w:r>
      <w:r w:rsidR="00103141" w:rsidRPr="002B6E85">
        <w:rPr>
          <w:rFonts w:ascii="Times New Roman" w:hAnsi="Times New Roman" w:cs="Times New Roman"/>
          <w:sz w:val="24"/>
          <w:szCs w:val="24"/>
        </w:rPr>
        <w:t>,</w:t>
      </w:r>
      <w:r w:rsidR="009325F3" w:rsidRPr="002B6E85">
        <w:rPr>
          <w:rFonts w:ascii="Times New Roman" w:hAnsi="Times New Roman" w:cs="Times New Roman"/>
          <w:sz w:val="24"/>
          <w:szCs w:val="24"/>
        </w:rPr>
        <w:t xml:space="preserve"> </w:t>
      </w:r>
      <w:proofErr w:type="gramStart"/>
      <w:r w:rsidR="009325F3" w:rsidRPr="00F3538B">
        <w:rPr>
          <w:rFonts w:ascii="Times New Roman" w:eastAsia="Times New Roman" w:hAnsi="Times New Roman" w:cs="Times New Roman"/>
          <w:bCs/>
          <w:sz w:val="24"/>
          <w:szCs w:val="24"/>
          <w:lang w:eastAsia="en-IN"/>
        </w:rPr>
        <w:t>F</w:t>
      </w:r>
      <w:r w:rsidR="009325F3" w:rsidRPr="00F3538B">
        <w:rPr>
          <w:rFonts w:ascii="Times New Roman" w:eastAsia="Times New Roman" w:hAnsi="Times New Roman" w:cs="Times New Roman"/>
          <w:sz w:val="24"/>
          <w:szCs w:val="24"/>
          <w:lang w:eastAsia="en-IN"/>
        </w:rPr>
        <w:t>(</w:t>
      </w:r>
      <w:proofErr w:type="gramEnd"/>
      <w:r w:rsidR="009325F3" w:rsidRPr="00F3538B">
        <w:rPr>
          <w:rFonts w:ascii="Times New Roman" w:eastAsia="Times New Roman" w:hAnsi="Times New Roman" w:cs="Times New Roman"/>
          <w:sz w:val="24"/>
          <w:szCs w:val="24"/>
          <w:lang w:eastAsia="en-IN"/>
        </w:rPr>
        <w:t xml:space="preserve">2, 573) = 8.68, </w:t>
      </w:r>
      <w:r w:rsidR="00896D04" w:rsidRPr="00F3538B">
        <w:rPr>
          <w:rFonts w:ascii="Times New Roman" w:eastAsia="Times New Roman" w:hAnsi="Times New Roman" w:cs="Times New Roman"/>
          <w:bCs/>
          <w:sz w:val="24"/>
          <w:szCs w:val="24"/>
          <w:lang w:eastAsia="en-IN"/>
        </w:rPr>
        <w:t>p</w:t>
      </w:r>
      <w:r w:rsidR="00896D04" w:rsidRPr="00F3538B">
        <w:rPr>
          <w:rFonts w:ascii="Times New Roman" w:eastAsia="Times New Roman" w:hAnsi="Times New Roman" w:cs="Times New Roman"/>
          <w:sz w:val="24"/>
          <w:szCs w:val="24"/>
          <w:lang w:eastAsia="en-IN"/>
        </w:rPr>
        <w:t xml:space="preserve"> = 0.00019</w:t>
      </w:r>
      <w:r w:rsidR="00896D04" w:rsidRPr="002B6E85">
        <w:rPr>
          <w:rFonts w:ascii="Times New Roman" w:hAnsi="Times New Roman" w:cs="Times New Roman"/>
        </w:rPr>
        <w:t>.</w:t>
      </w:r>
      <w:r w:rsidR="009325F3" w:rsidRPr="00F3538B">
        <w:rPr>
          <w:rFonts w:ascii="Times New Roman" w:eastAsia="Times New Roman" w:hAnsi="Times New Roman" w:cs="Times New Roman"/>
          <w:sz w:val="24"/>
          <w:szCs w:val="24"/>
          <w:lang w:eastAsia="en-IN"/>
        </w:rPr>
        <w:t xml:space="preserve"> The effect size was small (η² = 0.029), suggesting that home environment accounted for about 2.9% of the variance in problem-solving scores.</w:t>
      </w:r>
      <w:r w:rsidR="009325F3" w:rsidRPr="002B6E85">
        <w:rPr>
          <w:rFonts w:ascii="Times New Roman" w:eastAsia="Times New Roman" w:hAnsi="Times New Roman" w:cs="Times New Roman"/>
          <w:sz w:val="24"/>
          <w:szCs w:val="24"/>
          <w:lang w:eastAsia="en-IN"/>
        </w:rPr>
        <w:t xml:space="preserve"> </w:t>
      </w:r>
      <w:r w:rsidR="00103141" w:rsidRPr="00F3538B">
        <w:rPr>
          <w:rFonts w:ascii="Times New Roman" w:eastAsia="Times New Roman" w:hAnsi="Times New Roman" w:cs="Times New Roman"/>
          <w:sz w:val="24"/>
          <w:szCs w:val="24"/>
          <w:lang w:eastAsia="en-IN"/>
        </w:rPr>
        <w:t xml:space="preserve">Since the overall F-test was significant, Bonferroni-adjusted post-hoc comparisons were carried out </w:t>
      </w:r>
      <w:r w:rsidR="00103141" w:rsidRPr="002B6E85">
        <w:rPr>
          <w:rFonts w:ascii="Times New Roman" w:eastAsia="Times New Roman" w:hAnsi="Times New Roman" w:cs="Times New Roman"/>
          <w:sz w:val="24"/>
          <w:szCs w:val="24"/>
          <w:lang w:eastAsia="en-IN"/>
        </w:rPr>
        <w:t xml:space="preserve">in Table 4, </w:t>
      </w:r>
      <w:r w:rsidR="00103141" w:rsidRPr="00F3538B">
        <w:rPr>
          <w:rFonts w:ascii="Times New Roman" w:eastAsia="Times New Roman" w:hAnsi="Times New Roman" w:cs="Times New Roman"/>
          <w:sz w:val="24"/>
          <w:szCs w:val="24"/>
          <w:lang w:eastAsia="en-IN"/>
        </w:rPr>
        <w:t>using an adjusted alpha level of 0.0167. The results indicated a significant difference between</w:t>
      </w:r>
      <w:r w:rsidR="00103141" w:rsidRPr="002B6E85">
        <w:rPr>
          <w:rFonts w:ascii="Times New Roman" w:eastAsia="Times New Roman" w:hAnsi="Times New Roman" w:cs="Times New Roman"/>
          <w:sz w:val="24"/>
          <w:szCs w:val="24"/>
          <w:lang w:eastAsia="en-IN"/>
        </w:rPr>
        <w:t xml:space="preserve"> </w:t>
      </w:r>
      <w:r w:rsidR="00896D04" w:rsidRPr="002B6E85">
        <w:rPr>
          <w:rFonts w:ascii="Times New Roman" w:eastAsia="Times New Roman" w:hAnsi="Times New Roman" w:cs="Times New Roman"/>
          <w:sz w:val="24"/>
          <w:szCs w:val="24"/>
          <w:lang w:eastAsia="en-IN"/>
        </w:rPr>
        <w:t>adolescent students belonging to '</w:t>
      </w:r>
      <w:proofErr w:type="spellStart"/>
      <w:r w:rsidR="00896D04" w:rsidRPr="002B6E85">
        <w:rPr>
          <w:rFonts w:ascii="Times New Roman" w:eastAsia="Times New Roman" w:hAnsi="Times New Roman" w:cs="Times New Roman"/>
          <w:sz w:val="24"/>
          <w:szCs w:val="24"/>
          <w:lang w:eastAsia="en-IN"/>
        </w:rPr>
        <w:t>favourable</w:t>
      </w:r>
      <w:proofErr w:type="spellEnd"/>
      <w:r w:rsidR="00896D04" w:rsidRPr="002B6E85">
        <w:rPr>
          <w:rFonts w:ascii="Times New Roman" w:eastAsia="Times New Roman" w:hAnsi="Times New Roman" w:cs="Times New Roman"/>
          <w:sz w:val="24"/>
          <w:szCs w:val="24"/>
          <w:lang w:eastAsia="en-IN"/>
        </w:rPr>
        <w:t xml:space="preserve">' and 'moderately </w:t>
      </w:r>
      <w:proofErr w:type="spellStart"/>
      <w:r w:rsidR="00896D04" w:rsidRPr="002B6E85">
        <w:rPr>
          <w:rFonts w:ascii="Times New Roman" w:eastAsia="Times New Roman" w:hAnsi="Times New Roman" w:cs="Times New Roman"/>
          <w:sz w:val="24"/>
          <w:szCs w:val="24"/>
          <w:lang w:eastAsia="en-IN"/>
        </w:rPr>
        <w:t>favourable</w:t>
      </w:r>
      <w:proofErr w:type="spellEnd"/>
      <w:r w:rsidR="00896D04" w:rsidRPr="002B6E85">
        <w:rPr>
          <w:rFonts w:ascii="Times New Roman" w:eastAsia="Times New Roman" w:hAnsi="Times New Roman" w:cs="Times New Roman"/>
          <w:sz w:val="24"/>
          <w:szCs w:val="24"/>
          <w:lang w:eastAsia="en-IN"/>
        </w:rPr>
        <w:t>' home environment</w:t>
      </w:r>
      <w:r w:rsidR="00103141" w:rsidRPr="00F3538B">
        <w:rPr>
          <w:rFonts w:ascii="Times New Roman" w:eastAsia="Times New Roman" w:hAnsi="Times New Roman" w:cs="Times New Roman"/>
          <w:sz w:val="24"/>
          <w:szCs w:val="24"/>
          <w:lang w:eastAsia="en-IN"/>
        </w:rPr>
        <w:t xml:space="preserve"> (adjusted p = 0.00023; 95% CI = 0.55 to 1.97). A significant difference was also found between</w:t>
      </w:r>
      <w:r w:rsidR="002B6E85" w:rsidRPr="002B6E85">
        <w:rPr>
          <w:rFonts w:ascii="Times New Roman" w:eastAsia="Times New Roman" w:hAnsi="Times New Roman" w:cs="Times New Roman"/>
          <w:sz w:val="24"/>
          <w:szCs w:val="24"/>
          <w:lang w:eastAsia="en-IN"/>
        </w:rPr>
        <w:t xml:space="preserve"> students from</w:t>
      </w:r>
      <w:r w:rsidR="00103141" w:rsidRPr="00F3538B">
        <w:rPr>
          <w:rFonts w:ascii="Times New Roman" w:eastAsia="Times New Roman" w:hAnsi="Times New Roman" w:cs="Times New Roman"/>
          <w:sz w:val="24"/>
          <w:szCs w:val="24"/>
          <w:lang w:eastAsia="en-IN"/>
        </w:rPr>
        <w:t xml:space="preserve"> </w:t>
      </w:r>
      <w:r w:rsidR="00896D04" w:rsidRPr="002B6E85">
        <w:rPr>
          <w:rFonts w:ascii="Times New Roman" w:eastAsia="Times New Roman" w:hAnsi="Times New Roman" w:cs="Times New Roman"/>
          <w:sz w:val="24"/>
          <w:szCs w:val="24"/>
          <w:lang w:eastAsia="en-IN"/>
        </w:rPr>
        <w:t xml:space="preserve">'moderately </w:t>
      </w:r>
      <w:proofErr w:type="spellStart"/>
      <w:r w:rsidR="00896D04" w:rsidRPr="002B6E85">
        <w:rPr>
          <w:rFonts w:ascii="Times New Roman" w:eastAsia="Times New Roman" w:hAnsi="Times New Roman" w:cs="Times New Roman"/>
          <w:sz w:val="24"/>
          <w:szCs w:val="24"/>
          <w:lang w:eastAsia="en-IN"/>
        </w:rPr>
        <w:t>favourable</w:t>
      </w:r>
      <w:proofErr w:type="spellEnd"/>
      <w:r w:rsidR="00896D04" w:rsidRPr="002B6E85">
        <w:rPr>
          <w:rFonts w:ascii="Times New Roman" w:eastAsia="Times New Roman" w:hAnsi="Times New Roman" w:cs="Times New Roman"/>
          <w:sz w:val="24"/>
          <w:szCs w:val="24"/>
          <w:lang w:eastAsia="en-IN"/>
        </w:rPr>
        <w:t xml:space="preserve">' and </w:t>
      </w:r>
      <w:r w:rsidR="002B6E85" w:rsidRPr="002B6E85">
        <w:rPr>
          <w:rFonts w:ascii="Times New Roman" w:eastAsia="Times New Roman" w:hAnsi="Times New Roman" w:cs="Times New Roman"/>
          <w:sz w:val="24"/>
          <w:szCs w:val="24"/>
          <w:lang w:eastAsia="en-IN"/>
        </w:rPr>
        <w:t>'</w:t>
      </w:r>
      <w:proofErr w:type="spellStart"/>
      <w:r w:rsidR="002B6E85" w:rsidRPr="002B6E85">
        <w:rPr>
          <w:rFonts w:ascii="Times New Roman" w:eastAsia="Times New Roman" w:hAnsi="Times New Roman" w:cs="Times New Roman"/>
          <w:sz w:val="24"/>
          <w:szCs w:val="24"/>
          <w:lang w:eastAsia="en-IN"/>
        </w:rPr>
        <w:t>unfavourable</w:t>
      </w:r>
      <w:proofErr w:type="spellEnd"/>
      <w:r w:rsidR="002B6E85" w:rsidRPr="002B6E85">
        <w:rPr>
          <w:rFonts w:ascii="Times New Roman" w:eastAsia="Times New Roman" w:hAnsi="Times New Roman" w:cs="Times New Roman"/>
          <w:sz w:val="24"/>
          <w:szCs w:val="24"/>
          <w:lang w:eastAsia="en-IN"/>
        </w:rPr>
        <w:t>' home environment</w:t>
      </w:r>
      <w:r w:rsidR="00103141" w:rsidRPr="00F3538B">
        <w:rPr>
          <w:rFonts w:ascii="Times New Roman" w:eastAsia="Times New Roman" w:hAnsi="Times New Roman" w:cs="Times New Roman"/>
          <w:sz w:val="24"/>
          <w:szCs w:val="24"/>
          <w:lang w:eastAsia="en-IN"/>
        </w:rPr>
        <w:t xml:space="preserve"> (adjusted p = 0.00101; 95% CI = −1.90 to −0.48).</w:t>
      </w:r>
      <w:r w:rsidR="00896D04" w:rsidRPr="002B6E85">
        <w:rPr>
          <w:rFonts w:ascii="Times New Roman" w:eastAsia="Times New Roman" w:hAnsi="Times New Roman" w:cs="Times New Roman"/>
          <w:sz w:val="24"/>
          <w:szCs w:val="24"/>
          <w:lang w:eastAsia="en-IN"/>
        </w:rPr>
        <w:t xml:space="preserve"> </w:t>
      </w:r>
      <w:bookmarkStart w:id="8" w:name="_Hlk165190982"/>
      <w:bookmarkStart w:id="9" w:name="_Hlk164951137"/>
      <w:r w:rsidR="00B83FE0" w:rsidRPr="002B6E85">
        <w:rPr>
          <w:rFonts w:ascii="Times New Roman" w:hAnsi="Times New Roman" w:cs="Times New Roman"/>
          <w:sz w:val="24"/>
          <w:szCs w:val="24"/>
        </w:rPr>
        <w:t>This underscores the important role of the home environment in students' problem-solving abilities.</w:t>
      </w:r>
      <w:bookmarkEnd w:id="8"/>
      <w:r w:rsidR="00B83FE0" w:rsidRPr="002B6E85">
        <w:rPr>
          <w:rFonts w:ascii="Times New Roman" w:hAnsi="Times New Roman" w:cs="Times New Roman"/>
          <w:sz w:val="24"/>
          <w:szCs w:val="24"/>
        </w:rPr>
        <w:t xml:space="preserve"> </w:t>
      </w:r>
      <w:bookmarkEnd w:id="9"/>
      <w:r w:rsidR="00103141" w:rsidRPr="00F3538B">
        <w:rPr>
          <w:rFonts w:ascii="Times New Roman" w:eastAsia="Times New Roman" w:hAnsi="Times New Roman" w:cs="Times New Roman"/>
          <w:sz w:val="24"/>
          <w:szCs w:val="24"/>
          <w:lang w:eastAsia="en-IN"/>
        </w:rPr>
        <w:t>However, there was no significant difference</w:t>
      </w:r>
      <w:r w:rsidR="00B83FE0">
        <w:rPr>
          <w:rFonts w:ascii="Times New Roman" w:eastAsia="Times New Roman" w:hAnsi="Times New Roman" w:cs="Times New Roman"/>
          <w:sz w:val="24"/>
          <w:szCs w:val="24"/>
          <w:lang w:eastAsia="en-IN"/>
        </w:rPr>
        <w:t xml:space="preserve"> found</w:t>
      </w:r>
      <w:r w:rsidR="00103141" w:rsidRPr="00F3538B">
        <w:rPr>
          <w:rFonts w:ascii="Times New Roman" w:eastAsia="Times New Roman" w:hAnsi="Times New Roman" w:cs="Times New Roman"/>
          <w:sz w:val="24"/>
          <w:szCs w:val="24"/>
          <w:lang w:eastAsia="en-IN"/>
        </w:rPr>
        <w:t xml:space="preserve"> between </w:t>
      </w:r>
      <w:r w:rsidR="002B6E85" w:rsidRPr="002B6E85">
        <w:rPr>
          <w:rFonts w:ascii="Times New Roman" w:eastAsia="Times New Roman" w:hAnsi="Times New Roman" w:cs="Times New Roman"/>
          <w:sz w:val="24"/>
          <w:szCs w:val="24"/>
          <w:lang w:eastAsia="en-IN"/>
        </w:rPr>
        <w:t>adolescent students belonging to '</w:t>
      </w:r>
      <w:proofErr w:type="spellStart"/>
      <w:r w:rsidR="002B6E85" w:rsidRPr="002B6E85">
        <w:rPr>
          <w:rFonts w:ascii="Times New Roman" w:eastAsia="Times New Roman" w:hAnsi="Times New Roman" w:cs="Times New Roman"/>
          <w:sz w:val="24"/>
          <w:szCs w:val="24"/>
          <w:lang w:eastAsia="en-IN"/>
        </w:rPr>
        <w:t>favourable</w:t>
      </w:r>
      <w:proofErr w:type="spellEnd"/>
      <w:r w:rsidR="002B6E85" w:rsidRPr="002B6E85">
        <w:rPr>
          <w:rFonts w:ascii="Times New Roman" w:eastAsia="Times New Roman" w:hAnsi="Times New Roman" w:cs="Times New Roman"/>
          <w:sz w:val="24"/>
          <w:szCs w:val="24"/>
          <w:lang w:eastAsia="en-IN"/>
        </w:rPr>
        <w:t>' and '</w:t>
      </w:r>
      <w:proofErr w:type="spellStart"/>
      <w:r w:rsidR="002B6E85" w:rsidRPr="002B6E85">
        <w:rPr>
          <w:rFonts w:ascii="Times New Roman" w:eastAsia="Times New Roman" w:hAnsi="Times New Roman" w:cs="Times New Roman"/>
          <w:sz w:val="24"/>
          <w:szCs w:val="24"/>
          <w:lang w:eastAsia="en-IN"/>
        </w:rPr>
        <w:t>unfavourable</w:t>
      </w:r>
      <w:proofErr w:type="spellEnd"/>
      <w:r w:rsidR="002B6E85" w:rsidRPr="002B6E85">
        <w:rPr>
          <w:rFonts w:ascii="Times New Roman" w:eastAsia="Times New Roman" w:hAnsi="Times New Roman" w:cs="Times New Roman"/>
          <w:sz w:val="24"/>
          <w:szCs w:val="24"/>
          <w:lang w:eastAsia="en-IN"/>
        </w:rPr>
        <w:t xml:space="preserve">' </w:t>
      </w:r>
      <w:r w:rsidR="00103141" w:rsidRPr="00F3538B">
        <w:rPr>
          <w:rFonts w:ascii="Times New Roman" w:eastAsia="Times New Roman" w:hAnsi="Times New Roman" w:cs="Times New Roman"/>
          <w:sz w:val="24"/>
          <w:szCs w:val="24"/>
          <w:lang w:eastAsia="en-IN"/>
        </w:rPr>
        <w:t>(adjusted p = 0.8736; 95% CI = −0.89 to 0.75</w:t>
      </w:r>
      <w:r w:rsidR="00B83FE0">
        <w:rPr>
          <w:rFonts w:ascii="Times New Roman" w:eastAsia="Times New Roman" w:hAnsi="Times New Roman" w:cs="Times New Roman"/>
          <w:sz w:val="24"/>
          <w:szCs w:val="24"/>
          <w:lang w:eastAsia="en-IN"/>
        </w:rPr>
        <w:t>)</w:t>
      </w:r>
      <w:r w:rsidR="00103141" w:rsidRPr="00F3538B">
        <w:rPr>
          <w:rFonts w:ascii="Times New Roman" w:eastAsia="Times New Roman" w:hAnsi="Times New Roman" w:cs="Times New Roman"/>
          <w:sz w:val="24"/>
          <w:szCs w:val="24"/>
          <w:lang w:eastAsia="en-IN"/>
        </w:rPr>
        <w:t>.</w:t>
      </w:r>
      <w:r w:rsidR="002B6E85" w:rsidRPr="002B6E85">
        <w:rPr>
          <w:rFonts w:ascii="Times New Roman" w:eastAsia="Times New Roman" w:hAnsi="Times New Roman" w:cs="Times New Roman"/>
          <w:sz w:val="24"/>
          <w:szCs w:val="24"/>
          <w:lang w:eastAsia="en-IN"/>
        </w:rPr>
        <w:t xml:space="preserve"> </w:t>
      </w:r>
      <w:r w:rsidRPr="002B6E85">
        <w:rPr>
          <w:rFonts w:ascii="Times New Roman" w:hAnsi="Times New Roman" w:cs="Times New Roman"/>
          <w:sz w:val="24"/>
          <w:szCs w:val="24"/>
        </w:rPr>
        <w:t xml:space="preserve">Several studies have explored various aspects of adolescent problem-solving skills and their interaction with family dynamics. </w:t>
      </w:r>
      <w:proofErr w:type="spellStart"/>
      <w:r w:rsidRPr="002B6E85">
        <w:rPr>
          <w:rFonts w:ascii="Times New Roman" w:hAnsi="Times New Roman" w:cs="Times New Roman"/>
          <w:sz w:val="24"/>
          <w:szCs w:val="24"/>
        </w:rPr>
        <w:t>Gucray</w:t>
      </w:r>
      <w:proofErr w:type="spellEnd"/>
      <w:r w:rsidRPr="002B6E85">
        <w:rPr>
          <w:rFonts w:ascii="Times New Roman" w:hAnsi="Times New Roman" w:cs="Times New Roman"/>
          <w:sz w:val="24"/>
          <w:szCs w:val="24"/>
        </w:rPr>
        <w:t xml:space="preserve"> (2003) studied decisional self-esteem, stress, and perceived problem-solving skills among adolescent students, highlighting differences influenced by school type and mothers' education level. Cassidy (2009) surveyed secondary students, revealing a high prevalence of victimization and its association with psychological distress, lower self-esteem, and poorer problem-solving styles, especially among girls. Yıldırım et al. (2011) assessed problem-solving skills among high school students, identifying moderate skills with variations based on gender, family factors, and substance use. Sharma (2012) explored the interaction between home environment and reasoning ability, observing higher reasoning ability among secondary school students from high-quality home environments and private schools. Sumitha &amp; Jose (2016) examined problem-solving abilities among early adolescent students, findings revealed gender and family type differences. </w:t>
      </w:r>
      <w:proofErr w:type="spellStart"/>
      <w:r w:rsidRPr="002B6E85">
        <w:rPr>
          <w:rFonts w:ascii="Times New Roman" w:hAnsi="Times New Roman" w:cs="Times New Roman"/>
          <w:sz w:val="24"/>
          <w:szCs w:val="24"/>
        </w:rPr>
        <w:t>Artinta</w:t>
      </w:r>
      <w:proofErr w:type="spellEnd"/>
      <w:r w:rsidRPr="002B6E85">
        <w:rPr>
          <w:rFonts w:ascii="Times New Roman" w:hAnsi="Times New Roman" w:cs="Times New Roman"/>
          <w:sz w:val="24"/>
          <w:szCs w:val="24"/>
        </w:rPr>
        <w:t xml:space="preserve"> &amp; </w:t>
      </w:r>
      <w:proofErr w:type="spellStart"/>
      <w:r w:rsidRPr="002B6E85">
        <w:rPr>
          <w:rFonts w:ascii="Times New Roman" w:hAnsi="Times New Roman" w:cs="Times New Roman"/>
          <w:sz w:val="24"/>
          <w:szCs w:val="24"/>
        </w:rPr>
        <w:t>Fauziah</w:t>
      </w:r>
      <w:proofErr w:type="spellEnd"/>
      <w:r w:rsidRPr="002B6E85">
        <w:rPr>
          <w:rFonts w:ascii="Times New Roman" w:hAnsi="Times New Roman" w:cs="Times New Roman"/>
          <w:sz w:val="24"/>
          <w:szCs w:val="24"/>
        </w:rPr>
        <w:t xml:space="preserve"> (2021) highlighted that problem-solving ability in adolescent students </w:t>
      </w:r>
      <w:r w:rsidRPr="002B6E85">
        <w:rPr>
          <w:rFonts w:ascii="Times New Roman" w:hAnsi="Times New Roman" w:cs="Times New Roman"/>
          <w:color w:val="000000" w:themeColor="text1"/>
          <w:sz w:val="24"/>
          <w:szCs w:val="24"/>
        </w:rPr>
        <w:t>were</w:t>
      </w:r>
      <w:r w:rsidRPr="002B6E85">
        <w:rPr>
          <w:rFonts w:ascii="Times New Roman" w:eastAsia="Times New Roman" w:hAnsi="Times New Roman" w:cs="Times New Roman"/>
          <w:color w:val="000000" w:themeColor="text1"/>
          <w:sz w:val="24"/>
          <w:szCs w:val="21"/>
          <w:lang w:eastAsia="en-IN"/>
        </w:rPr>
        <w:t xml:space="preserve"> impacted by several factors including family environment.</w:t>
      </w:r>
    </w:p>
    <w:p w14:paraId="3AC2E8A4" w14:textId="33D6412E" w:rsidR="00DD0909" w:rsidRDefault="00DD0909" w:rsidP="00DD0909">
      <w:pPr>
        <w:spacing w:after="0" w:line="360" w:lineRule="auto"/>
        <w:jc w:val="both"/>
        <w:rPr>
          <w:rFonts w:ascii="Times New Roman" w:hAnsi="Times New Roman" w:cs="Times New Roman"/>
          <w:sz w:val="24"/>
        </w:rPr>
      </w:pPr>
      <w:r>
        <w:rPr>
          <w:rFonts w:ascii="Times New Roman" w:hAnsi="Times New Roman" w:cs="Times New Roman"/>
          <w:sz w:val="24"/>
        </w:rPr>
        <w:t xml:space="preserve">The </w:t>
      </w:r>
      <w:r w:rsidR="005636BD">
        <w:rPr>
          <w:rFonts w:ascii="Times New Roman" w:hAnsi="Times New Roman" w:cs="Times New Roman"/>
          <w:sz w:val="24"/>
        </w:rPr>
        <w:t>findings</w:t>
      </w:r>
      <w:r>
        <w:rPr>
          <w:rFonts w:ascii="Times New Roman" w:hAnsi="Times New Roman" w:cs="Times New Roman"/>
          <w:sz w:val="24"/>
        </w:rPr>
        <w:t xml:space="preserve"> </w:t>
      </w:r>
      <w:r w:rsidR="00F760D4">
        <w:rPr>
          <w:rFonts w:ascii="Times New Roman" w:hAnsi="Times New Roman" w:cs="Times New Roman"/>
          <w:sz w:val="24"/>
        </w:rPr>
        <w:t xml:space="preserve">can be </w:t>
      </w:r>
      <w:r w:rsidR="008A3F3F">
        <w:rPr>
          <w:rFonts w:ascii="Times New Roman" w:hAnsi="Times New Roman" w:cs="Times New Roman"/>
          <w:sz w:val="24"/>
        </w:rPr>
        <w:t xml:space="preserve">summarized </w:t>
      </w:r>
      <w:r w:rsidR="00F760D4">
        <w:rPr>
          <w:rFonts w:ascii="Times New Roman" w:hAnsi="Times New Roman" w:cs="Times New Roman"/>
          <w:sz w:val="24"/>
        </w:rPr>
        <w:t>as follow</w:t>
      </w:r>
      <w:r w:rsidR="00FB40F0">
        <w:rPr>
          <w:rFonts w:ascii="Times New Roman" w:hAnsi="Times New Roman" w:cs="Times New Roman"/>
          <w:sz w:val="24"/>
        </w:rPr>
        <w:t>s</w:t>
      </w:r>
      <w:r>
        <w:rPr>
          <w:rFonts w:ascii="Times New Roman" w:hAnsi="Times New Roman" w:cs="Times New Roman"/>
          <w:sz w:val="24"/>
        </w:rPr>
        <w:t xml:space="preserve">: </w:t>
      </w:r>
    </w:p>
    <w:p w14:paraId="6263C1DA" w14:textId="31C64260" w:rsidR="00DD0909" w:rsidRDefault="00DD0909" w:rsidP="00DD0909">
      <w:pPr>
        <w:spacing w:after="0" w:line="360" w:lineRule="auto"/>
        <w:ind w:left="540" w:hanging="540"/>
        <w:jc w:val="both"/>
        <w:rPr>
          <w:rFonts w:ascii="Times New Roman" w:hAnsi="Times New Roman" w:cs="Times New Roman"/>
          <w:sz w:val="24"/>
        </w:rPr>
      </w:pPr>
      <w:r>
        <w:rPr>
          <w:rFonts w:ascii="Times New Roman" w:hAnsi="Times New Roman" w:cs="Times New Roman"/>
          <w:sz w:val="24"/>
        </w:rPr>
        <w:t>1.1- Adolescent students belonging to '</w:t>
      </w:r>
      <w:proofErr w:type="spellStart"/>
      <w:r>
        <w:rPr>
          <w:rFonts w:ascii="Times New Roman" w:hAnsi="Times New Roman" w:cs="Times New Roman"/>
          <w:sz w:val="24"/>
        </w:rPr>
        <w:t>favourable</w:t>
      </w:r>
      <w:proofErr w:type="spellEnd"/>
      <w:r>
        <w:rPr>
          <w:rFonts w:ascii="Times New Roman" w:hAnsi="Times New Roman" w:cs="Times New Roman"/>
          <w:sz w:val="24"/>
        </w:rPr>
        <w:t>'</w:t>
      </w:r>
      <w:r w:rsidR="008C6DF6">
        <w:rPr>
          <w:rFonts w:ascii="Times New Roman" w:hAnsi="Times New Roman" w:cs="Times New Roman"/>
          <w:sz w:val="24"/>
        </w:rPr>
        <w:t xml:space="preserve"> and '</w:t>
      </w:r>
      <w:proofErr w:type="spellStart"/>
      <w:r w:rsidR="008C6DF6">
        <w:rPr>
          <w:rFonts w:ascii="Times New Roman" w:hAnsi="Times New Roman" w:cs="Times New Roman"/>
          <w:sz w:val="24"/>
        </w:rPr>
        <w:t>unfavourable</w:t>
      </w:r>
      <w:proofErr w:type="spellEnd"/>
      <w:r w:rsidR="008C6DF6">
        <w:rPr>
          <w:rFonts w:ascii="Times New Roman" w:hAnsi="Times New Roman" w:cs="Times New Roman"/>
          <w:sz w:val="24"/>
        </w:rPr>
        <w:t>'</w:t>
      </w:r>
      <w:r>
        <w:rPr>
          <w:rFonts w:ascii="Times New Roman" w:hAnsi="Times New Roman" w:cs="Times New Roman"/>
          <w:sz w:val="24"/>
        </w:rPr>
        <w:t xml:space="preserve"> home environment scored significantly higher on the problem-solving ability as compared to adolescent students from 'moderately </w:t>
      </w:r>
      <w:proofErr w:type="spellStart"/>
      <w:r>
        <w:rPr>
          <w:rFonts w:ascii="Times New Roman" w:hAnsi="Times New Roman" w:cs="Times New Roman"/>
          <w:sz w:val="24"/>
        </w:rPr>
        <w:t>favourable</w:t>
      </w:r>
      <w:proofErr w:type="spellEnd"/>
      <w:r>
        <w:rPr>
          <w:rFonts w:ascii="Times New Roman" w:hAnsi="Times New Roman" w:cs="Times New Roman"/>
          <w:sz w:val="24"/>
        </w:rPr>
        <w:t xml:space="preserve">' home environment. </w:t>
      </w:r>
      <w:r w:rsidR="008C6DF6">
        <w:rPr>
          <w:rFonts w:ascii="Times New Roman" w:hAnsi="Times New Roman" w:cs="Times New Roman"/>
          <w:sz w:val="24"/>
        </w:rPr>
        <w:t xml:space="preserve">However, adolescent students </w:t>
      </w:r>
      <w:r w:rsidR="00FF78C7">
        <w:rPr>
          <w:rFonts w:ascii="Times New Roman" w:hAnsi="Times New Roman" w:cs="Times New Roman"/>
          <w:sz w:val="24"/>
        </w:rPr>
        <w:t>from</w:t>
      </w:r>
      <w:r w:rsidR="008C6DF6">
        <w:rPr>
          <w:rFonts w:ascii="Times New Roman" w:hAnsi="Times New Roman" w:cs="Times New Roman"/>
          <w:sz w:val="24"/>
        </w:rPr>
        <w:t xml:space="preserve"> </w:t>
      </w:r>
      <w:r w:rsidR="00FF78C7">
        <w:rPr>
          <w:rFonts w:ascii="Times New Roman" w:hAnsi="Times New Roman" w:cs="Times New Roman"/>
          <w:sz w:val="24"/>
        </w:rPr>
        <w:t>'</w:t>
      </w:r>
      <w:proofErr w:type="spellStart"/>
      <w:r w:rsidR="008C6DF6">
        <w:rPr>
          <w:rFonts w:ascii="Times New Roman" w:hAnsi="Times New Roman" w:cs="Times New Roman"/>
          <w:sz w:val="24"/>
        </w:rPr>
        <w:t>favourable</w:t>
      </w:r>
      <w:proofErr w:type="spellEnd"/>
      <w:r w:rsidR="00FF78C7">
        <w:rPr>
          <w:rFonts w:ascii="Times New Roman" w:hAnsi="Times New Roman" w:cs="Times New Roman"/>
          <w:sz w:val="24"/>
        </w:rPr>
        <w:t>'</w:t>
      </w:r>
      <w:r w:rsidR="008C6DF6">
        <w:rPr>
          <w:rFonts w:ascii="Times New Roman" w:hAnsi="Times New Roman" w:cs="Times New Roman"/>
          <w:sz w:val="24"/>
        </w:rPr>
        <w:t xml:space="preserve"> and </w:t>
      </w:r>
      <w:r w:rsidR="00FF78C7">
        <w:rPr>
          <w:rFonts w:ascii="Times New Roman" w:hAnsi="Times New Roman" w:cs="Times New Roman"/>
          <w:sz w:val="24"/>
        </w:rPr>
        <w:t>'</w:t>
      </w:r>
      <w:proofErr w:type="spellStart"/>
      <w:r w:rsidR="008C6DF6">
        <w:rPr>
          <w:rFonts w:ascii="Times New Roman" w:hAnsi="Times New Roman" w:cs="Times New Roman"/>
          <w:sz w:val="24"/>
        </w:rPr>
        <w:t>unfavourable</w:t>
      </w:r>
      <w:proofErr w:type="spellEnd"/>
      <w:r w:rsidR="00FF78C7">
        <w:rPr>
          <w:rFonts w:ascii="Times New Roman" w:hAnsi="Times New Roman" w:cs="Times New Roman"/>
          <w:sz w:val="24"/>
        </w:rPr>
        <w:t>'</w:t>
      </w:r>
      <w:r w:rsidR="008C6DF6">
        <w:rPr>
          <w:rFonts w:ascii="Times New Roman" w:hAnsi="Times New Roman" w:cs="Times New Roman"/>
          <w:sz w:val="24"/>
        </w:rPr>
        <w:t xml:space="preserve"> home environment were found more or less similar in their problem-solving ability.  </w:t>
      </w:r>
    </w:p>
    <w:p w14:paraId="56886059" w14:textId="09923833" w:rsidR="00DD0909" w:rsidRDefault="00DD0909" w:rsidP="00DD0909">
      <w:pPr>
        <w:spacing w:before="24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r w:rsidR="00CB70D2">
        <w:rPr>
          <w:rFonts w:ascii="Times New Roman" w:hAnsi="Times New Roman" w:cs="Times New Roman"/>
          <w:b/>
          <w:bCs/>
          <w:sz w:val="24"/>
          <w:szCs w:val="24"/>
        </w:rPr>
        <w:t xml:space="preserve"> AND </w:t>
      </w:r>
      <w:r w:rsidR="00CB70D2" w:rsidRPr="00CB70D2">
        <w:rPr>
          <w:rFonts w:ascii="Times New Roman" w:hAnsi="Times New Roman" w:cs="Times New Roman"/>
          <w:b/>
          <w:bCs/>
          <w:sz w:val="24"/>
          <w:szCs w:val="24"/>
        </w:rPr>
        <w:t>RECOMMENDATIONS</w:t>
      </w:r>
    </w:p>
    <w:p w14:paraId="68C2DB29" w14:textId="2ED8BCD9" w:rsidR="008C6DF6" w:rsidRPr="001E7C00" w:rsidRDefault="00DD0909" w:rsidP="008C6DF6">
      <w:pPr>
        <w:spacing w:line="360" w:lineRule="auto"/>
        <w:jc w:val="both"/>
        <w:rPr>
          <w:rFonts w:ascii="Times New Roman" w:hAnsi="Times New Roman" w:cs="Times New Roman"/>
          <w:color w:val="000000" w:themeColor="text1"/>
          <w:sz w:val="32"/>
        </w:rPr>
      </w:pPr>
      <w:r>
        <w:rPr>
          <w:rFonts w:ascii="Times New Roman" w:hAnsi="Times New Roman" w:cs="Times New Roman"/>
          <w:sz w:val="24"/>
        </w:rPr>
        <w:t xml:space="preserve">The null hypotheses </w:t>
      </w:r>
      <w:proofErr w:type="gramStart"/>
      <w:r>
        <w:rPr>
          <w:rFonts w:ascii="Times New Roman" w:hAnsi="Times New Roman" w:cs="Times New Roman"/>
          <w:sz w:val="24"/>
        </w:rPr>
        <w:t>w</w:t>
      </w:r>
      <w:r w:rsidR="002B6E85">
        <w:rPr>
          <w:rFonts w:ascii="Times New Roman" w:hAnsi="Times New Roman" w:cs="Times New Roman"/>
          <w:sz w:val="24"/>
        </w:rPr>
        <w:t>as</w:t>
      </w:r>
      <w:proofErr w:type="gramEnd"/>
      <w:r>
        <w:rPr>
          <w:rFonts w:ascii="Times New Roman" w:hAnsi="Times New Roman" w:cs="Times New Roman"/>
          <w:sz w:val="24"/>
        </w:rPr>
        <w:t xml:space="preserve"> designed to test the problem-solving abilities of adolescent students from </w:t>
      </w:r>
      <w:r w:rsidR="002B6E85">
        <w:rPr>
          <w:rFonts w:ascii="Times New Roman" w:hAnsi="Times New Roman" w:cs="Times New Roman"/>
          <w:sz w:val="24"/>
        </w:rPr>
        <w:t>'</w:t>
      </w:r>
      <w:proofErr w:type="spellStart"/>
      <w:r>
        <w:rPr>
          <w:rFonts w:ascii="Times New Roman" w:hAnsi="Times New Roman" w:cs="Times New Roman"/>
          <w:sz w:val="24"/>
        </w:rPr>
        <w:t>favourable</w:t>
      </w:r>
      <w:proofErr w:type="spellEnd"/>
      <w:r w:rsidR="002B6E85">
        <w:rPr>
          <w:rFonts w:ascii="Times New Roman" w:hAnsi="Times New Roman" w:cs="Times New Roman"/>
          <w:sz w:val="24"/>
        </w:rPr>
        <w:t>'</w:t>
      </w:r>
      <w:r>
        <w:rPr>
          <w:rFonts w:ascii="Times New Roman" w:hAnsi="Times New Roman" w:cs="Times New Roman"/>
          <w:sz w:val="24"/>
        </w:rPr>
        <w:t xml:space="preserve">, </w:t>
      </w:r>
      <w:r w:rsidR="002B6E85">
        <w:rPr>
          <w:rFonts w:ascii="Times New Roman" w:hAnsi="Times New Roman" w:cs="Times New Roman"/>
          <w:sz w:val="24"/>
        </w:rPr>
        <w:t>'</w:t>
      </w:r>
      <w:r>
        <w:rPr>
          <w:rFonts w:ascii="Times New Roman" w:hAnsi="Times New Roman" w:cs="Times New Roman"/>
          <w:sz w:val="24"/>
        </w:rPr>
        <w:t xml:space="preserve">moderately </w:t>
      </w:r>
      <w:proofErr w:type="spellStart"/>
      <w:r>
        <w:rPr>
          <w:rFonts w:ascii="Times New Roman" w:hAnsi="Times New Roman" w:cs="Times New Roman"/>
          <w:sz w:val="24"/>
        </w:rPr>
        <w:t>favourable</w:t>
      </w:r>
      <w:proofErr w:type="spellEnd"/>
      <w:r w:rsidR="002B6E85">
        <w:rPr>
          <w:rFonts w:ascii="Times New Roman" w:hAnsi="Times New Roman" w:cs="Times New Roman"/>
          <w:sz w:val="24"/>
        </w:rPr>
        <w:t>'</w:t>
      </w:r>
      <w:r>
        <w:rPr>
          <w:rFonts w:ascii="Times New Roman" w:hAnsi="Times New Roman" w:cs="Times New Roman"/>
          <w:sz w:val="24"/>
        </w:rPr>
        <w:t xml:space="preserve">, and </w:t>
      </w:r>
      <w:r w:rsidR="002B6E85">
        <w:rPr>
          <w:rFonts w:ascii="Times New Roman" w:hAnsi="Times New Roman" w:cs="Times New Roman"/>
          <w:sz w:val="24"/>
        </w:rPr>
        <w:t>'</w:t>
      </w:r>
      <w:proofErr w:type="spellStart"/>
      <w:r>
        <w:rPr>
          <w:rFonts w:ascii="Times New Roman" w:hAnsi="Times New Roman" w:cs="Times New Roman"/>
          <w:sz w:val="24"/>
        </w:rPr>
        <w:t>unfavourable</w:t>
      </w:r>
      <w:proofErr w:type="spellEnd"/>
      <w:r w:rsidR="002B6E85">
        <w:rPr>
          <w:rFonts w:ascii="Times New Roman" w:hAnsi="Times New Roman" w:cs="Times New Roman"/>
          <w:sz w:val="24"/>
        </w:rPr>
        <w:t>'</w:t>
      </w:r>
      <w:r>
        <w:rPr>
          <w:rFonts w:ascii="Times New Roman" w:hAnsi="Times New Roman" w:cs="Times New Roman"/>
          <w:sz w:val="24"/>
        </w:rPr>
        <w:t xml:space="preserve"> home environments. </w:t>
      </w:r>
      <w:r w:rsidR="00921E41">
        <w:rPr>
          <w:rFonts w:ascii="Times New Roman" w:hAnsi="Times New Roman" w:cs="Times New Roman"/>
          <w:sz w:val="24"/>
        </w:rPr>
        <w:t>T</w:t>
      </w:r>
      <w:r>
        <w:rPr>
          <w:rFonts w:ascii="Times New Roman" w:hAnsi="Times New Roman" w:cs="Times New Roman"/>
          <w:sz w:val="24"/>
        </w:rPr>
        <w:t>he results showed that adolescent students from both '</w:t>
      </w:r>
      <w:proofErr w:type="spellStart"/>
      <w:r>
        <w:rPr>
          <w:rFonts w:ascii="Times New Roman" w:hAnsi="Times New Roman" w:cs="Times New Roman"/>
          <w:sz w:val="24"/>
        </w:rPr>
        <w:t>favourable</w:t>
      </w:r>
      <w:proofErr w:type="spellEnd"/>
      <w:r>
        <w:rPr>
          <w:rFonts w:ascii="Times New Roman" w:hAnsi="Times New Roman" w:cs="Times New Roman"/>
          <w:sz w:val="24"/>
        </w:rPr>
        <w:t>' and '</w:t>
      </w:r>
      <w:proofErr w:type="spellStart"/>
      <w:r>
        <w:rPr>
          <w:rFonts w:ascii="Times New Roman" w:hAnsi="Times New Roman" w:cs="Times New Roman"/>
          <w:sz w:val="24"/>
        </w:rPr>
        <w:t>unfavourable</w:t>
      </w:r>
      <w:proofErr w:type="spellEnd"/>
      <w:r>
        <w:rPr>
          <w:rFonts w:ascii="Times New Roman" w:hAnsi="Times New Roman" w:cs="Times New Roman"/>
          <w:sz w:val="24"/>
        </w:rPr>
        <w:t xml:space="preserve">' home environments scored significantly higher on problem-solving abilities compared to students from 'moderately </w:t>
      </w:r>
      <w:proofErr w:type="spellStart"/>
      <w:r>
        <w:rPr>
          <w:rFonts w:ascii="Times New Roman" w:hAnsi="Times New Roman" w:cs="Times New Roman"/>
          <w:sz w:val="24"/>
        </w:rPr>
        <w:t>favourable</w:t>
      </w:r>
      <w:proofErr w:type="spellEnd"/>
      <w:r>
        <w:rPr>
          <w:rFonts w:ascii="Times New Roman" w:hAnsi="Times New Roman" w:cs="Times New Roman"/>
          <w:sz w:val="24"/>
        </w:rPr>
        <w:t>' home environments.</w:t>
      </w:r>
      <w:r>
        <w:t xml:space="preserve"> </w:t>
      </w:r>
      <w:r>
        <w:rPr>
          <w:rFonts w:ascii="Times New Roman" w:hAnsi="Times New Roman" w:cs="Times New Roman"/>
          <w:sz w:val="24"/>
        </w:rPr>
        <w:t xml:space="preserve">The outcome suggested that enhancement in moderately </w:t>
      </w:r>
      <w:proofErr w:type="spellStart"/>
      <w:r>
        <w:rPr>
          <w:rFonts w:ascii="Times New Roman" w:hAnsi="Times New Roman" w:cs="Times New Roman"/>
          <w:sz w:val="24"/>
        </w:rPr>
        <w:t>favourable</w:t>
      </w:r>
      <w:proofErr w:type="spellEnd"/>
      <w:r>
        <w:rPr>
          <w:rFonts w:ascii="Times New Roman" w:hAnsi="Times New Roman" w:cs="Times New Roman"/>
          <w:sz w:val="24"/>
        </w:rPr>
        <w:t xml:space="preserve"> home environments could contribute to improved problem-solving ability among adolescent students. However, it was observed that students from '</w:t>
      </w:r>
      <w:proofErr w:type="spellStart"/>
      <w:r>
        <w:rPr>
          <w:rFonts w:ascii="Times New Roman" w:hAnsi="Times New Roman" w:cs="Times New Roman"/>
          <w:sz w:val="24"/>
        </w:rPr>
        <w:t>favourable</w:t>
      </w:r>
      <w:proofErr w:type="spellEnd"/>
      <w:r>
        <w:rPr>
          <w:rFonts w:ascii="Times New Roman" w:hAnsi="Times New Roman" w:cs="Times New Roman"/>
          <w:sz w:val="24"/>
        </w:rPr>
        <w:t>' and '</w:t>
      </w:r>
      <w:proofErr w:type="spellStart"/>
      <w:r>
        <w:rPr>
          <w:rFonts w:ascii="Times New Roman" w:hAnsi="Times New Roman" w:cs="Times New Roman"/>
          <w:sz w:val="24"/>
        </w:rPr>
        <w:t>unfavourable</w:t>
      </w:r>
      <w:proofErr w:type="spellEnd"/>
      <w:r>
        <w:rPr>
          <w:rFonts w:ascii="Times New Roman" w:hAnsi="Times New Roman" w:cs="Times New Roman"/>
          <w:sz w:val="24"/>
        </w:rPr>
        <w:t>' home environments displayed similar levels of problem-solving ability.</w:t>
      </w:r>
      <w:r w:rsidR="008C6DF6">
        <w:rPr>
          <w:rFonts w:ascii="Times New Roman" w:hAnsi="Times New Roman" w:cs="Times New Roman"/>
          <w:sz w:val="24"/>
        </w:rPr>
        <w:t xml:space="preserve"> </w:t>
      </w:r>
      <w:r w:rsidR="008C6DF6" w:rsidRPr="001E7C00">
        <w:rPr>
          <w:rFonts w:ascii="Times New Roman" w:hAnsi="Times New Roman" w:cs="Times New Roman"/>
          <w:sz w:val="24"/>
        </w:rPr>
        <w:t xml:space="preserve">Thus, it may be stated that the null hypothesis, specifying no significant difference in the problem-solving ability among sub-groups of </w:t>
      </w:r>
      <w:r w:rsidR="008C6DF6">
        <w:rPr>
          <w:rFonts w:ascii="Times New Roman" w:hAnsi="Times New Roman" w:cs="Times New Roman"/>
          <w:sz w:val="24"/>
        </w:rPr>
        <w:t>adolescent</w:t>
      </w:r>
      <w:r w:rsidR="008C6DF6" w:rsidRPr="001E7C00">
        <w:rPr>
          <w:rFonts w:ascii="Times New Roman" w:hAnsi="Times New Roman" w:cs="Times New Roman"/>
          <w:sz w:val="24"/>
        </w:rPr>
        <w:t xml:space="preserve"> students identified on the basis of their </w:t>
      </w:r>
      <w:r w:rsidR="008C6DF6">
        <w:rPr>
          <w:rFonts w:ascii="Times New Roman" w:hAnsi="Times New Roman" w:cs="Times New Roman"/>
          <w:sz w:val="24"/>
        </w:rPr>
        <w:t>home environment</w:t>
      </w:r>
      <w:r w:rsidR="008C6DF6" w:rsidRPr="001E7C00">
        <w:rPr>
          <w:rFonts w:ascii="Times New Roman" w:hAnsi="Times New Roman" w:cs="Times New Roman"/>
          <w:sz w:val="24"/>
        </w:rPr>
        <w:t>, is partially accepted.</w:t>
      </w:r>
    </w:p>
    <w:p w14:paraId="1F024956" w14:textId="439C5957" w:rsidR="00DD0909" w:rsidRDefault="00DD0909" w:rsidP="00DD0909">
      <w:pPr>
        <w:spacing w:before="24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en-IN"/>
        </w:rPr>
        <w:t xml:space="preserve">To help adolescent students develop strong problem-solving skills, parents and policymakers should create a healthy home environment by promoting open communication, emotional support, and a balanced routine. Parents should encourage peaceful environment, regular family discussions, where students feel comfortable sharing their thoughts and challenges, helping them develop critical thinking. Maintaining balance between study time and relaxation is also important to reduce stress and allow students to recharge. </w:t>
      </w:r>
      <w:r>
        <w:rPr>
          <w:rFonts w:ascii="Times New Roman" w:hAnsi="Times New Roman" w:cs="Times New Roman"/>
          <w:sz w:val="24"/>
          <w:szCs w:val="24"/>
        </w:rPr>
        <w:t xml:space="preserve">Offering parenting workshops and educational programs to empower parents with effective parenting strategies, communication skills, and techniques for fostering positive relationships with their children. When parents have the tools and knowledge to support their children's emotional well-being and academic development, students are more likely to experience improved problem-solving abilities. Additionally, engaging in extracurricular activities such as sports, arts, clubs, and community service projects </w:t>
      </w:r>
      <w:r w:rsidR="008C6DF6">
        <w:rPr>
          <w:rFonts w:ascii="Times New Roman" w:hAnsi="Times New Roman" w:cs="Times New Roman"/>
          <w:sz w:val="24"/>
          <w:szCs w:val="24"/>
        </w:rPr>
        <w:t xml:space="preserve">may </w:t>
      </w:r>
      <w:r>
        <w:rPr>
          <w:rFonts w:ascii="Times New Roman" w:hAnsi="Times New Roman" w:cs="Times New Roman"/>
          <w:sz w:val="24"/>
          <w:szCs w:val="24"/>
        </w:rPr>
        <w:t xml:space="preserve">provide students with opportunities to build social connections, develop leadership skills, and enhance problem-solving abilities, both in a supportive and challenging environment. In conclusion, the implications and recommendations presented in this study serve as a comprehensive roadmap for a diverse array of stakeholders invested in the holistic development of students. </w:t>
      </w:r>
      <w:r w:rsidRPr="00A21C69">
        <w:rPr>
          <w:rFonts w:ascii="Times New Roman" w:hAnsi="Times New Roman" w:cs="Times New Roman"/>
          <w:color w:val="000000" w:themeColor="text1"/>
          <w:sz w:val="24"/>
          <w:szCs w:val="24"/>
        </w:rPr>
        <w:t xml:space="preserve">Educators, policymakers, researchers, educational institutions, NGOs, healthcare professionals, and guardians </w:t>
      </w:r>
      <w:r w:rsidR="00324934">
        <w:rPr>
          <w:rFonts w:ascii="Times New Roman" w:hAnsi="Times New Roman" w:cs="Times New Roman"/>
          <w:color w:val="000000" w:themeColor="text1"/>
          <w:sz w:val="24"/>
          <w:szCs w:val="24"/>
        </w:rPr>
        <w:t>may</w:t>
      </w:r>
      <w:r w:rsidRPr="00A21C69">
        <w:rPr>
          <w:rFonts w:ascii="Times New Roman" w:hAnsi="Times New Roman" w:cs="Times New Roman"/>
          <w:color w:val="000000" w:themeColor="text1"/>
          <w:sz w:val="24"/>
          <w:szCs w:val="24"/>
        </w:rPr>
        <w:t xml:space="preserve"> utilize these insights to enact positive changes in the personal and educational landscape of </w:t>
      </w:r>
      <w:r>
        <w:rPr>
          <w:rFonts w:ascii="Times New Roman" w:hAnsi="Times New Roman" w:cs="Times New Roman"/>
          <w:color w:val="000000" w:themeColor="text1"/>
          <w:sz w:val="24"/>
          <w:szCs w:val="24"/>
        </w:rPr>
        <w:t xml:space="preserve">adolescent </w:t>
      </w:r>
      <w:r w:rsidRPr="00A21C69">
        <w:rPr>
          <w:rFonts w:ascii="Times New Roman" w:hAnsi="Times New Roman" w:cs="Times New Roman"/>
          <w:color w:val="000000" w:themeColor="text1"/>
          <w:sz w:val="24"/>
          <w:szCs w:val="24"/>
        </w:rPr>
        <w:t>students.</w:t>
      </w:r>
    </w:p>
    <w:p w14:paraId="1DD43BCD" w14:textId="77777777" w:rsidR="0093785E" w:rsidRDefault="0093785E" w:rsidP="00DD0909">
      <w:pPr>
        <w:spacing w:before="240" w:line="360" w:lineRule="auto"/>
        <w:jc w:val="both"/>
        <w:rPr>
          <w:rFonts w:ascii="Times New Roman" w:hAnsi="Times New Roman" w:cs="Times New Roman"/>
          <w:color w:val="000000" w:themeColor="text1"/>
          <w:sz w:val="24"/>
          <w:szCs w:val="24"/>
        </w:rPr>
      </w:pPr>
    </w:p>
    <w:p w14:paraId="54D11740" w14:textId="77777777" w:rsidR="0093785E" w:rsidRPr="0093785E" w:rsidRDefault="0093785E" w:rsidP="0093785E">
      <w:pPr>
        <w:spacing w:before="240" w:line="360" w:lineRule="auto"/>
        <w:jc w:val="both"/>
        <w:rPr>
          <w:rFonts w:ascii="Times New Roman" w:hAnsi="Times New Roman" w:cs="Times New Roman"/>
          <w:b/>
          <w:bCs/>
          <w:color w:val="000000" w:themeColor="text1"/>
          <w:sz w:val="24"/>
          <w:szCs w:val="24"/>
        </w:rPr>
      </w:pPr>
      <w:r w:rsidRPr="0093785E">
        <w:rPr>
          <w:rFonts w:ascii="Times New Roman" w:hAnsi="Times New Roman" w:cs="Times New Roman"/>
          <w:b/>
          <w:bCs/>
          <w:color w:val="000000" w:themeColor="text1"/>
          <w:sz w:val="24"/>
          <w:szCs w:val="24"/>
        </w:rPr>
        <w:lastRenderedPageBreak/>
        <w:t>COMPETING INTERESTS DISCLAIMER:</w:t>
      </w:r>
    </w:p>
    <w:p w14:paraId="0E073710" w14:textId="3BDE64AB" w:rsidR="0093785E" w:rsidRDefault="0093785E" w:rsidP="0093785E">
      <w:pPr>
        <w:spacing w:before="240" w:line="360" w:lineRule="auto"/>
        <w:jc w:val="both"/>
        <w:rPr>
          <w:rFonts w:ascii="Times New Roman" w:hAnsi="Times New Roman" w:cs="Times New Roman"/>
          <w:b/>
          <w:bCs/>
          <w:color w:val="000000" w:themeColor="text1"/>
          <w:sz w:val="24"/>
          <w:szCs w:val="24"/>
        </w:rPr>
      </w:pPr>
      <w:r w:rsidRPr="0093785E">
        <w:rPr>
          <w:rFonts w:ascii="Times New Roman" w:hAnsi="Times New Roman" w:cs="Times New Roman"/>
          <w:b/>
          <w:bCs/>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5DC8BB9A" w14:textId="78D1E7B9" w:rsidR="004D75D7" w:rsidRDefault="004D75D7" w:rsidP="0093785E">
      <w:pPr>
        <w:spacing w:before="240" w:line="360" w:lineRule="auto"/>
        <w:jc w:val="both"/>
        <w:rPr>
          <w:rFonts w:ascii="Times New Roman" w:hAnsi="Times New Roman" w:cs="Times New Roman"/>
          <w:b/>
          <w:bCs/>
          <w:color w:val="000000" w:themeColor="text1"/>
          <w:sz w:val="24"/>
          <w:szCs w:val="24"/>
        </w:rPr>
      </w:pPr>
    </w:p>
    <w:p w14:paraId="6D246CD8" w14:textId="77777777" w:rsidR="004D75D7" w:rsidRPr="004D75D7" w:rsidRDefault="004D75D7" w:rsidP="004D75D7">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0" w:name="_Hlk218867759"/>
      <w:r w:rsidRPr="004D75D7">
        <w:rPr>
          <w:rFonts w:ascii="Times New Roman" w:eastAsia="Times New Roman" w:hAnsi="Times New Roman" w:cs="Times New Roman"/>
          <w:bCs/>
          <w:sz w:val="24"/>
          <w:szCs w:val="24"/>
          <w:highlight w:val="yellow"/>
          <w:lang w:val="en-GB" w:eastAsia="en-IN"/>
        </w:rPr>
        <w:t>Disclaimer (Artificial intelligence)</w:t>
      </w:r>
    </w:p>
    <w:p w14:paraId="2970901C" w14:textId="77777777" w:rsidR="004D75D7" w:rsidRPr="004D75D7" w:rsidRDefault="004D75D7" w:rsidP="004D75D7">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4D75D7">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4D75D7">
        <w:rPr>
          <w:rFonts w:ascii="Times New Roman" w:eastAsia="Times New Roman" w:hAnsi="Times New Roman" w:cs="Times New Roman"/>
          <w:bCs/>
          <w:sz w:val="24"/>
          <w:szCs w:val="24"/>
          <w:highlight w:val="yellow"/>
          <w:lang w:val="en-GB" w:eastAsia="en-IN"/>
        </w:rPr>
        <w:t>ChatGPT</w:t>
      </w:r>
      <w:proofErr w:type="spellEnd"/>
      <w:r w:rsidRPr="004D75D7">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4D75D7">
        <w:rPr>
          <w:rFonts w:ascii="Times New Roman" w:eastAsia="Times New Roman" w:hAnsi="Times New Roman" w:cs="Times New Roman"/>
          <w:bCs/>
          <w:sz w:val="24"/>
          <w:szCs w:val="24"/>
          <w:lang w:val="en-GB" w:eastAsia="en-IN"/>
        </w:rPr>
        <w:t xml:space="preserve"> </w:t>
      </w:r>
    </w:p>
    <w:bookmarkEnd w:id="10"/>
    <w:p w14:paraId="27B389D0" w14:textId="77777777" w:rsidR="004D75D7" w:rsidRPr="00A21C69" w:rsidRDefault="004D75D7" w:rsidP="0093785E">
      <w:pPr>
        <w:spacing w:before="240" w:line="360" w:lineRule="auto"/>
        <w:jc w:val="both"/>
        <w:rPr>
          <w:rFonts w:ascii="Times New Roman" w:hAnsi="Times New Roman" w:cs="Times New Roman"/>
          <w:b/>
          <w:bCs/>
          <w:color w:val="000000" w:themeColor="text1"/>
          <w:sz w:val="24"/>
          <w:szCs w:val="24"/>
        </w:rPr>
      </w:pPr>
    </w:p>
    <w:p w14:paraId="35C4356B" w14:textId="77777777" w:rsidR="00DD0909" w:rsidRDefault="00DD0909" w:rsidP="00DD0909">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3422728" w14:textId="77777777" w:rsidR="00DD0909" w:rsidRDefault="00DD0909" w:rsidP="00DD0909">
      <w:pPr>
        <w:pStyle w:val="padding-3"/>
        <w:shd w:val="clear" w:color="auto" w:fill="FFFFFF"/>
        <w:spacing w:before="0" w:beforeAutospacing="0" w:after="0" w:afterAutospacing="0" w:line="360" w:lineRule="auto"/>
        <w:ind w:left="360" w:hanging="360"/>
        <w:jc w:val="both"/>
        <w:rPr>
          <w:color w:val="000000" w:themeColor="text1"/>
        </w:rPr>
      </w:pPr>
      <w:r>
        <w:rPr>
          <w:color w:val="000000" w:themeColor="text1"/>
        </w:rPr>
        <w:t xml:space="preserve">Abdelaziz, E. M., Mohammed, S., Elsharkawy, N. B., El-Monem, A., &amp; Mohamed, O. (2024). Problem Solving Skills and Its Relation to Parental Authority Among Technical Secondary Schools Students. </w:t>
      </w:r>
      <w:r>
        <w:rPr>
          <w:i/>
          <w:color w:val="000000" w:themeColor="text1"/>
        </w:rPr>
        <w:t>Menoufia Nursing Journal</w:t>
      </w:r>
      <w:r>
        <w:rPr>
          <w:color w:val="000000" w:themeColor="text1"/>
        </w:rPr>
        <w:t>, 9(1), 277-291.</w:t>
      </w:r>
    </w:p>
    <w:p w14:paraId="5BE508D7"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Akhtar, A., &amp; Saxena, S. B. (2011). </w:t>
      </w:r>
      <w:r>
        <w:rPr>
          <w:rStyle w:val="Emphasis"/>
          <w:color w:val="000000" w:themeColor="text1"/>
        </w:rPr>
        <w:t>Home Environment Scale (HES-AASS)</w:t>
      </w:r>
      <w:r>
        <w:rPr>
          <w:color w:val="000000" w:themeColor="text1"/>
        </w:rPr>
        <w:t>. National Psychological Corporation, Agra.</w:t>
      </w:r>
    </w:p>
    <w:p w14:paraId="7C90FBBD" w14:textId="77777777" w:rsidR="00DD0909" w:rsidRDefault="00DD0909" w:rsidP="00DD0909">
      <w:pPr>
        <w:pStyle w:val="NormalWeb"/>
        <w:spacing w:before="0" w:beforeAutospacing="0" w:after="0" w:afterAutospacing="0" w:line="360" w:lineRule="auto"/>
        <w:ind w:left="360" w:hanging="360"/>
        <w:jc w:val="both"/>
        <w:rPr>
          <w:color w:val="000000" w:themeColor="text1"/>
        </w:rPr>
      </w:pPr>
      <w:bookmarkStart w:id="11" w:name="_Hlk170979427"/>
      <w:proofErr w:type="spellStart"/>
      <w:r>
        <w:rPr>
          <w:color w:val="000000" w:themeColor="text1"/>
          <w:shd w:val="clear" w:color="auto" w:fill="FFFFFF"/>
        </w:rPr>
        <w:t>Alberida</w:t>
      </w:r>
      <w:bookmarkEnd w:id="11"/>
      <w:proofErr w:type="spellEnd"/>
      <w:r>
        <w:rPr>
          <w:color w:val="000000" w:themeColor="text1"/>
          <w:shd w:val="clear" w:color="auto" w:fill="FFFFFF"/>
        </w:rPr>
        <w:t xml:space="preserve">, H., Sari, M., Razak, A., </w:t>
      </w:r>
      <w:proofErr w:type="spellStart"/>
      <w:r>
        <w:rPr>
          <w:color w:val="000000" w:themeColor="text1"/>
          <w:shd w:val="clear" w:color="auto" w:fill="FFFFFF"/>
        </w:rPr>
        <w:t>Syamsuriza</w:t>
      </w:r>
      <w:proofErr w:type="spellEnd"/>
      <w:r>
        <w:rPr>
          <w:color w:val="000000" w:themeColor="text1"/>
          <w:shd w:val="clear" w:color="auto" w:fill="FFFFFF"/>
        </w:rPr>
        <w:t>, S., &amp; Rahmi, Y. L. (2022). Problem solving: a learning model to foster argumentation and critical thinking ability for students with different academic abilities. </w:t>
      </w:r>
      <w:proofErr w:type="spellStart"/>
      <w:r>
        <w:rPr>
          <w:i/>
          <w:iCs/>
          <w:color w:val="000000" w:themeColor="text1"/>
          <w:shd w:val="clear" w:color="auto" w:fill="FFFFFF"/>
        </w:rPr>
        <w:t>Jurnal</w:t>
      </w:r>
      <w:proofErr w:type="spellEnd"/>
      <w:r>
        <w:rPr>
          <w:i/>
          <w:iCs/>
          <w:color w:val="000000" w:themeColor="text1"/>
          <w:shd w:val="clear" w:color="auto" w:fill="FFFFFF"/>
        </w:rPr>
        <w:t xml:space="preserve"> </w:t>
      </w:r>
      <w:proofErr w:type="spellStart"/>
      <w:r>
        <w:rPr>
          <w:i/>
          <w:iCs/>
          <w:color w:val="000000" w:themeColor="text1"/>
          <w:shd w:val="clear" w:color="auto" w:fill="FFFFFF"/>
        </w:rPr>
        <w:t>Penelitian</w:t>
      </w:r>
      <w:proofErr w:type="spellEnd"/>
      <w:r>
        <w:rPr>
          <w:i/>
          <w:iCs/>
          <w:color w:val="000000" w:themeColor="text1"/>
          <w:shd w:val="clear" w:color="auto" w:fill="FFFFFF"/>
        </w:rPr>
        <w:t xml:space="preserve"> Pendidikan IPA</w:t>
      </w:r>
      <w:r>
        <w:rPr>
          <w:color w:val="000000" w:themeColor="text1"/>
          <w:shd w:val="clear" w:color="auto" w:fill="FFFFFF"/>
        </w:rPr>
        <w:t>, </w:t>
      </w:r>
      <w:r>
        <w:rPr>
          <w:i/>
          <w:iCs/>
          <w:color w:val="000000" w:themeColor="text1"/>
          <w:shd w:val="clear" w:color="auto" w:fill="FFFFFF"/>
        </w:rPr>
        <w:t>8</w:t>
      </w:r>
      <w:r>
        <w:rPr>
          <w:color w:val="000000" w:themeColor="text1"/>
          <w:shd w:val="clear" w:color="auto" w:fill="FFFFFF"/>
        </w:rPr>
        <w:t>(3), 1393-1400.</w:t>
      </w:r>
    </w:p>
    <w:p w14:paraId="6116877B" w14:textId="77777777" w:rsidR="00DD0909" w:rsidRDefault="00DD0909" w:rsidP="00DD0909">
      <w:pPr>
        <w:pStyle w:val="NormalWeb"/>
        <w:spacing w:before="0" w:beforeAutospacing="0" w:after="0" w:afterAutospacing="0" w:line="360" w:lineRule="auto"/>
        <w:ind w:left="360" w:hanging="360"/>
        <w:jc w:val="both"/>
        <w:rPr>
          <w:color w:val="000000" w:themeColor="text1"/>
        </w:rPr>
      </w:pPr>
      <w:proofErr w:type="spellStart"/>
      <w:r>
        <w:rPr>
          <w:color w:val="000000" w:themeColor="text1"/>
        </w:rPr>
        <w:t>Allroggen</w:t>
      </w:r>
      <w:proofErr w:type="spellEnd"/>
      <w:r>
        <w:rPr>
          <w:color w:val="000000" w:themeColor="text1"/>
        </w:rPr>
        <w:t xml:space="preserve">, M., Domann, S., Strahl, B., </w:t>
      </w:r>
      <w:proofErr w:type="spellStart"/>
      <w:r>
        <w:rPr>
          <w:color w:val="000000" w:themeColor="text1"/>
        </w:rPr>
        <w:t>Schloz</w:t>
      </w:r>
      <w:proofErr w:type="spellEnd"/>
      <w:r>
        <w:rPr>
          <w:color w:val="000000" w:themeColor="text1"/>
        </w:rPr>
        <w:t xml:space="preserve">, C., Fegert, J. M., &amp; Kampert, M. (2016). How much insecurity does security need? The discrepancy in assessing the sense of security of children, adolescents, and caregivers in institutions. </w:t>
      </w:r>
      <w:r>
        <w:rPr>
          <w:rStyle w:val="Emphasis"/>
          <w:color w:val="000000" w:themeColor="text1"/>
        </w:rPr>
        <w:t>Child &amp; Youth Services, 37</w:t>
      </w:r>
      <w:r>
        <w:rPr>
          <w:color w:val="000000" w:themeColor="text1"/>
        </w:rPr>
        <w:t xml:space="preserve">(4), 381–397. </w:t>
      </w:r>
    </w:p>
    <w:p w14:paraId="38586369" w14:textId="77777777" w:rsidR="00DD0909" w:rsidRPr="00DD357F" w:rsidRDefault="00DD0909" w:rsidP="00DD0909">
      <w:pPr>
        <w:pStyle w:val="NormalWeb"/>
        <w:spacing w:before="0" w:beforeAutospacing="0" w:after="0" w:afterAutospacing="0" w:line="360" w:lineRule="auto"/>
        <w:ind w:left="360" w:hanging="360"/>
        <w:jc w:val="both"/>
        <w:rPr>
          <w:color w:val="000000" w:themeColor="text1"/>
        </w:rPr>
      </w:pPr>
      <w:proofErr w:type="spellStart"/>
      <w:r w:rsidRPr="00DD357F">
        <w:rPr>
          <w:color w:val="000000" w:themeColor="text1"/>
        </w:rPr>
        <w:t>Amelirad</w:t>
      </w:r>
      <w:proofErr w:type="spellEnd"/>
      <w:r w:rsidRPr="00DD357F">
        <w:rPr>
          <w:color w:val="000000" w:themeColor="text1"/>
        </w:rPr>
        <w:t xml:space="preserve">, S., Ahmadian, H., Gharibi, H., &amp; Sahabi, J. (2022). The intermediary role of the social problem-solving ability in the relationship between the “Emotional Family Atmosphere” and “Social Well-Being”; a variance-based model. </w:t>
      </w:r>
      <w:r w:rsidRPr="00DD357F">
        <w:rPr>
          <w:rStyle w:val="Emphasis"/>
          <w:color w:val="000000" w:themeColor="text1"/>
        </w:rPr>
        <w:t>Scientific Journal of Social Psychology, 10</w:t>
      </w:r>
      <w:r w:rsidRPr="00DD357F">
        <w:rPr>
          <w:color w:val="000000" w:themeColor="text1"/>
        </w:rPr>
        <w:t>(63), 113-133.</w:t>
      </w:r>
    </w:p>
    <w:p w14:paraId="31EA71F0" w14:textId="77777777" w:rsidR="00DD0909" w:rsidRDefault="00DD0909" w:rsidP="00DD0909">
      <w:pPr>
        <w:pStyle w:val="NormalWeb"/>
        <w:spacing w:before="0" w:beforeAutospacing="0" w:after="0" w:afterAutospacing="0" w:line="360" w:lineRule="auto"/>
        <w:ind w:left="360" w:hanging="360"/>
        <w:jc w:val="both"/>
        <w:rPr>
          <w:rStyle w:val="Hyperlink"/>
          <w:color w:val="000000" w:themeColor="text1"/>
        </w:rPr>
      </w:pPr>
      <w:proofErr w:type="spellStart"/>
      <w:r>
        <w:rPr>
          <w:color w:val="000000" w:themeColor="text1"/>
        </w:rPr>
        <w:t>Artinta</w:t>
      </w:r>
      <w:proofErr w:type="spellEnd"/>
      <w:r>
        <w:rPr>
          <w:color w:val="000000" w:themeColor="text1"/>
        </w:rPr>
        <w:t xml:space="preserve">, S. V., &amp; Fauziah, H. N. (2021). </w:t>
      </w:r>
      <w:proofErr w:type="spellStart"/>
      <w:r>
        <w:rPr>
          <w:color w:val="000000" w:themeColor="text1"/>
        </w:rPr>
        <w:t>Faktor</w:t>
      </w:r>
      <w:proofErr w:type="spellEnd"/>
      <w:r>
        <w:rPr>
          <w:color w:val="000000" w:themeColor="text1"/>
        </w:rPr>
        <w:t xml:space="preserve"> yang </w:t>
      </w:r>
      <w:proofErr w:type="spellStart"/>
      <w:r>
        <w:rPr>
          <w:color w:val="000000" w:themeColor="text1"/>
        </w:rPr>
        <w:t>Mempengaruhi</w:t>
      </w:r>
      <w:proofErr w:type="spellEnd"/>
      <w:r>
        <w:rPr>
          <w:color w:val="000000" w:themeColor="text1"/>
        </w:rPr>
        <w:t xml:space="preserve"> Rasa </w:t>
      </w:r>
      <w:proofErr w:type="spellStart"/>
      <w:r>
        <w:rPr>
          <w:color w:val="000000" w:themeColor="text1"/>
        </w:rPr>
        <w:t>Ingin</w:t>
      </w:r>
      <w:proofErr w:type="spellEnd"/>
      <w:r>
        <w:rPr>
          <w:color w:val="000000" w:themeColor="text1"/>
        </w:rPr>
        <w:t xml:space="preserve"> </w:t>
      </w:r>
      <w:proofErr w:type="spellStart"/>
      <w:r>
        <w:rPr>
          <w:color w:val="000000" w:themeColor="text1"/>
        </w:rPr>
        <w:t>Tahu</w:t>
      </w:r>
      <w:proofErr w:type="spellEnd"/>
      <w:r>
        <w:rPr>
          <w:color w:val="000000" w:themeColor="text1"/>
        </w:rPr>
        <w:t xml:space="preserve"> dan </w:t>
      </w:r>
      <w:proofErr w:type="spellStart"/>
      <w:r>
        <w:rPr>
          <w:color w:val="000000" w:themeColor="text1"/>
        </w:rPr>
        <w:t>Kemampuan</w:t>
      </w:r>
      <w:proofErr w:type="spellEnd"/>
      <w:r>
        <w:rPr>
          <w:color w:val="000000" w:themeColor="text1"/>
        </w:rPr>
        <w:t xml:space="preserve"> </w:t>
      </w:r>
      <w:proofErr w:type="spellStart"/>
      <w:r>
        <w:rPr>
          <w:color w:val="000000" w:themeColor="text1"/>
        </w:rPr>
        <w:t>Memecahkan</w:t>
      </w:r>
      <w:proofErr w:type="spellEnd"/>
      <w:r>
        <w:rPr>
          <w:color w:val="000000" w:themeColor="text1"/>
        </w:rPr>
        <w:t xml:space="preserve"> </w:t>
      </w:r>
      <w:proofErr w:type="spellStart"/>
      <w:r>
        <w:rPr>
          <w:color w:val="000000" w:themeColor="text1"/>
        </w:rPr>
        <w:t>Masalah</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pada Mata Pelajaran IPA SMP. </w:t>
      </w:r>
      <w:proofErr w:type="spellStart"/>
      <w:r>
        <w:rPr>
          <w:rStyle w:val="Emphasis"/>
          <w:color w:val="000000" w:themeColor="text1"/>
        </w:rPr>
        <w:t>Jurnal</w:t>
      </w:r>
      <w:proofErr w:type="spellEnd"/>
      <w:r>
        <w:rPr>
          <w:rStyle w:val="Emphasis"/>
          <w:color w:val="000000" w:themeColor="text1"/>
        </w:rPr>
        <w:t xml:space="preserve"> </w:t>
      </w:r>
      <w:proofErr w:type="spellStart"/>
      <w:r>
        <w:rPr>
          <w:rStyle w:val="Emphasis"/>
          <w:color w:val="000000" w:themeColor="text1"/>
        </w:rPr>
        <w:t>Tadris</w:t>
      </w:r>
      <w:proofErr w:type="spellEnd"/>
      <w:r>
        <w:rPr>
          <w:rStyle w:val="Emphasis"/>
          <w:color w:val="000000" w:themeColor="text1"/>
        </w:rPr>
        <w:t xml:space="preserve"> IPA Indonesia, 1</w:t>
      </w:r>
      <w:r>
        <w:rPr>
          <w:color w:val="000000" w:themeColor="text1"/>
        </w:rPr>
        <w:t xml:space="preserve">(2), 210–218. </w:t>
      </w:r>
    </w:p>
    <w:p w14:paraId="0A21BFE9" w14:textId="77777777" w:rsidR="00DD0909" w:rsidRPr="00423618" w:rsidRDefault="00DD0909" w:rsidP="00DD0909">
      <w:pPr>
        <w:spacing w:after="0" w:line="360" w:lineRule="auto"/>
        <w:ind w:left="450" w:hanging="450"/>
        <w:jc w:val="both"/>
        <w:rPr>
          <w:rFonts w:ascii="Times New Roman" w:hAnsi="Times New Roman" w:cs="Times New Roman"/>
          <w:color w:val="000000" w:themeColor="text1"/>
          <w:sz w:val="24"/>
          <w:szCs w:val="24"/>
        </w:rPr>
      </w:pPr>
      <w:proofErr w:type="spellStart"/>
      <w:r w:rsidRPr="00423618">
        <w:rPr>
          <w:rFonts w:ascii="Times New Roman" w:hAnsi="Times New Roman" w:cs="Times New Roman"/>
          <w:color w:val="000000" w:themeColor="text1"/>
          <w:sz w:val="24"/>
          <w:szCs w:val="24"/>
          <w:shd w:val="clear" w:color="auto" w:fill="FFFFFF"/>
        </w:rPr>
        <w:lastRenderedPageBreak/>
        <w:t>Ayık</w:t>
      </w:r>
      <w:proofErr w:type="spellEnd"/>
      <w:r w:rsidRPr="00423618">
        <w:rPr>
          <w:rFonts w:ascii="Times New Roman" w:hAnsi="Times New Roman" w:cs="Times New Roman"/>
          <w:color w:val="000000" w:themeColor="text1"/>
          <w:sz w:val="24"/>
          <w:szCs w:val="24"/>
          <w:shd w:val="clear" w:color="auto" w:fill="FFFFFF"/>
        </w:rPr>
        <w:t>, A., Sezer, T., &amp; Koçyiğit, S. (2025). The mediating effects of self-concept on the relationship between parenting styles and young children’s social problem-solving in Türkiye. </w:t>
      </w:r>
      <w:r w:rsidRPr="00423618">
        <w:rPr>
          <w:rFonts w:ascii="Times New Roman" w:hAnsi="Times New Roman" w:cs="Times New Roman"/>
          <w:i/>
          <w:iCs/>
          <w:color w:val="000000" w:themeColor="text1"/>
          <w:sz w:val="24"/>
          <w:szCs w:val="24"/>
          <w:shd w:val="clear" w:color="auto" w:fill="FFFFFF"/>
        </w:rPr>
        <w:t>Frontiers in Psychology</w:t>
      </w:r>
      <w:r w:rsidRPr="00423618">
        <w:rPr>
          <w:rFonts w:ascii="Times New Roman" w:hAnsi="Times New Roman" w:cs="Times New Roman"/>
          <w:color w:val="000000" w:themeColor="text1"/>
          <w:sz w:val="24"/>
          <w:szCs w:val="24"/>
          <w:shd w:val="clear" w:color="auto" w:fill="FFFFFF"/>
        </w:rPr>
        <w:t>, </w:t>
      </w:r>
      <w:r w:rsidRPr="00423618">
        <w:rPr>
          <w:rFonts w:ascii="Times New Roman" w:hAnsi="Times New Roman" w:cs="Times New Roman"/>
          <w:i/>
          <w:iCs/>
          <w:color w:val="000000" w:themeColor="text1"/>
          <w:sz w:val="24"/>
          <w:szCs w:val="24"/>
          <w:shd w:val="clear" w:color="auto" w:fill="FFFFFF"/>
        </w:rPr>
        <w:t>16</w:t>
      </w:r>
      <w:r w:rsidRPr="00423618">
        <w:rPr>
          <w:rFonts w:ascii="Times New Roman" w:hAnsi="Times New Roman" w:cs="Times New Roman"/>
          <w:color w:val="000000" w:themeColor="text1"/>
          <w:sz w:val="24"/>
          <w:szCs w:val="24"/>
          <w:shd w:val="clear" w:color="auto" w:fill="FFFFFF"/>
        </w:rPr>
        <w:t>, 1444648.</w:t>
      </w:r>
    </w:p>
    <w:p w14:paraId="4BCBF834"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Basu, S., &amp; Banerjee, B. (2020). Impact of environmental factors on mental health of children and adolescents: A systematic review. </w:t>
      </w:r>
      <w:r>
        <w:rPr>
          <w:rStyle w:val="Emphasis"/>
          <w:color w:val="000000" w:themeColor="text1"/>
        </w:rPr>
        <w:t>Children and Youth Services Review, 119, 1-11</w:t>
      </w:r>
      <w:r>
        <w:rPr>
          <w:i/>
          <w:color w:val="000000" w:themeColor="text1"/>
        </w:rPr>
        <w:t>.</w:t>
      </w:r>
      <w:r>
        <w:rPr>
          <w:color w:val="000000" w:themeColor="text1"/>
        </w:rPr>
        <w:t xml:space="preserve"> </w:t>
      </w:r>
    </w:p>
    <w:p w14:paraId="6AFDC352"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Cassidy, T. (2009). Bullying and </w:t>
      </w:r>
      <w:proofErr w:type="spellStart"/>
      <w:r>
        <w:rPr>
          <w:color w:val="000000" w:themeColor="text1"/>
        </w:rPr>
        <w:t>victimisation</w:t>
      </w:r>
      <w:proofErr w:type="spellEnd"/>
      <w:r>
        <w:rPr>
          <w:color w:val="000000" w:themeColor="text1"/>
        </w:rPr>
        <w:t xml:space="preserve"> in school children: The role of social identity, problem-solving style, and family and school context. </w:t>
      </w:r>
      <w:r>
        <w:rPr>
          <w:rStyle w:val="Emphasis"/>
          <w:color w:val="000000" w:themeColor="text1"/>
        </w:rPr>
        <w:t>Social Psychology of Education, 12</w:t>
      </w:r>
      <w:r>
        <w:rPr>
          <w:color w:val="000000" w:themeColor="text1"/>
        </w:rPr>
        <w:t>, 63-76.</w:t>
      </w:r>
    </w:p>
    <w:p w14:paraId="243B183A"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Devi, R. (2018). Effect of cognitive style problem solving ability PSA and educational aspiration of secondary school students on their self-confidence and achievement in mathematics. Unpublished Ph.D. thesis.</w:t>
      </w:r>
    </w:p>
    <w:p w14:paraId="0A1D313B"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shd w:val="clear" w:color="auto" w:fill="FFFFFF"/>
        </w:rPr>
        <w:t xml:space="preserve">Dewi, W. S., Siregar, R., Putra, A., &amp; </w:t>
      </w:r>
      <w:proofErr w:type="spellStart"/>
      <w:r>
        <w:rPr>
          <w:color w:val="000000" w:themeColor="text1"/>
          <w:shd w:val="clear" w:color="auto" w:fill="FFFFFF"/>
        </w:rPr>
        <w:t>Hidayati</w:t>
      </w:r>
      <w:proofErr w:type="spellEnd"/>
      <w:r>
        <w:rPr>
          <w:color w:val="000000" w:themeColor="text1"/>
          <w:shd w:val="clear" w:color="auto" w:fill="FFFFFF"/>
        </w:rPr>
        <w:t>, H. (2023). The Effect of Problem-Based Learning Model on Students' Physics Problem Solving Ability: A Meta-Analysis. </w:t>
      </w:r>
      <w:proofErr w:type="spellStart"/>
      <w:r>
        <w:rPr>
          <w:i/>
          <w:iCs/>
          <w:color w:val="000000" w:themeColor="text1"/>
          <w:shd w:val="clear" w:color="auto" w:fill="FFFFFF"/>
        </w:rPr>
        <w:t>Jurnal</w:t>
      </w:r>
      <w:proofErr w:type="spellEnd"/>
      <w:r>
        <w:rPr>
          <w:i/>
          <w:iCs/>
          <w:color w:val="000000" w:themeColor="text1"/>
          <w:shd w:val="clear" w:color="auto" w:fill="FFFFFF"/>
        </w:rPr>
        <w:t xml:space="preserve"> </w:t>
      </w:r>
      <w:proofErr w:type="spellStart"/>
      <w:r>
        <w:rPr>
          <w:i/>
          <w:iCs/>
          <w:color w:val="000000" w:themeColor="text1"/>
          <w:shd w:val="clear" w:color="auto" w:fill="FFFFFF"/>
        </w:rPr>
        <w:t>Penelitian</w:t>
      </w:r>
      <w:proofErr w:type="spellEnd"/>
      <w:r>
        <w:rPr>
          <w:i/>
          <w:iCs/>
          <w:color w:val="000000" w:themeColor="text1"/>
          <w:shd w:val="clear" w:color="auto" w:fill="FFFFFF"/>
        </w:rPr>
        <w:t xml:space="preserve"> Pendidikan IPA</w:t>
      </w:r>
      <w:r>
        <w:rPr>
          <w:color w:val="000000" w:themeColor="text1"/>
          <w:shd w:val="clear" w:color="auto" w:fill="FFFFFF"/>
        </w:rPr>
        <w:t>, </w:t>
      </w:r>
      <w:r>
        <w:rPr>
          <w:i/>
          <w:iCs/>
          <w:color w:val="000000" w:themeColor="text1"/>
          <w:shd w:val="clear" w:color="auto" w:fill="FFFFFF"/>
        </w:rPr>
        <w:t>9</w:t>
      </w:r>
      <w:r>
        <w:rPr>
          <w:color w:val="000000" w:themeColor="text1"/>
          <w:shd w:val="clear" w:color="auto" w:fill="FFFFFF"/>
        </w:rPr>
        <w:t>(4), 2103-2109.</w:t>
      </w:r>
    </w:p>
    <w:p w14:paraId="1CF654D7"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Dubey, L. N., &amp; Mathur, C. P. (2006). </w:t>
      </w:r>
      <w:r>
        <w:rPr>
          <w:rStyle w:val="Emphasis"/>
          <w:color w:val="000000" w:themeColor="text1"/>
        </w:rPr>
        <w:t>Problem Solving Ability Test (PSAT-D)</w:t>
      </w:r>
      <w:r>
        <w:rPr>
          <w:color w:val="000000" w:themeColor="text1"/>
        </w:rPr>
        <w:t>. National Psychological Corporation, Agra.</w:t>
      </w:r>
    </w:p>
    <w:p w14:paraId="31217C9F" w14:textId="77777777" w:rsidR="00DD0909" w:rsidRDefault="00DD0909" w:rsidP="00DD0909">
      <w:pPr>
        <w:pStyle w:val="NormalWeb"/>
        <w:spacing w:before="0" w:beforeAutospacing="0" w:after="0" w:afterAutospacing="0" w:line="360" w:lineRule="auto"/>
        <w:ind w:left="360" w:hanging="360"/>
        <w:jc w:val="both"/>
        <w:rPr>
          <w:color w:val="000000" w:themeColor="text1"/>
        </w:rPr>
      </w:pPr>
      <w:proofErr w:type="spellStart"/>
      <w:r>
        <w:rPr>
          <w:color w:val="000000" w:themeColor="text1"/>
        </w:rPr>
        <w:t>D’Zurilla</w:t>
      </w:r>
      <w:proofErr w:type="spellEnd"/>
      <w:r>
        <w:rPr>
          <w:color w:val="000000" w:themeColor="text1"/>
        </w:rPr>
        <w:t xml:space="preserve">, T. J., &amp; Goldfried, M. R. (1971). Problem solving and </w:t>
      </w:r>
      <w:proofErr w:type="spellStart"/>
      <w:r>
        <w:rPr>
          <w:color w:val="000000" w:themeColor="text1"/>
        </w:rPr>
        <w:t>behaviour</w:t>
      </w:r>
      <w:proofErr w:type="spellEnd"/>
      <w:r>
        <w:rPr>
          <w:color w:val="000000" w:themeColor="text1"/>
        </w:rPr>
        <w:t xml:space="preserve"> modification. </w:t>
      </w:r>
      <w:r>
        <w:rPr>
          <w:rStyle w:val="Emphasis"/>
          <w:color w:val="000000" w:themeColor="text1"/>
        </w:rPr>
        <w:t>Journal of Abnormal Psychology, 78(1)</w:t>
      </w:r>
      <w:r>
        <w:rPr>
          <w:i/>
          <w:color w:val="000000" w:themeColor="text1"/>
        </w:rPr>
        <w:t>,</w:t>
      </w:r>
      <w:r>
        <w:rPr>
          <w:color w:val="000000" w:themeColor="text1"/>
        </w:rPr>
        <w:t xml:space="preserve"> 107-126.</w:t>
      </w:r>
    </w:p>
    <w:p w14:paraId="6CB6A24C" w14:textId="77777777" w:rsidR="00DD0909" w:rsidRDefault="00DD0909" w:rsidP="00DD0909">
      <w:pPr>
        <w:pStyle w:val="NormalWeb"/>
        <w:spacing w:before="0" w:beforeAutospacing="0" w:after="0" w:afterAutospacing="0" w:line="360" w:lineRule="auto"/>
        <w:ind w:left="360" w:hanging="360"/>
        <w:jc w:val="both"/>
        <w:rPr>
          <w:color w:val="000000" w:themeColor="text1"/>
        </w:rPr>
      </w:pPr>
      <w:proofErr w:type="spellStart"/>
      <w:r>
        <w:rPr>
          <w:color w:val="000000" w:themeColor="text1"/>
        </w:rPr>
        <w:t>Gucray</w:t>
      </w:r>
      <w:proofErr w:type="spellEnd"/>
      <w:r>
        <w:rPr>
          <w:color w:val="000000" w:themeColor="text1"/>
        </w:rPr>
        <w:t xml:space="preserve">, S. S. (2003). The analysis of decision-making </w:t>
      </w:r>
      <w:proofErr w:type="spellStart"/>
      <w:r>
        <w:rPr>
          <w:color w:val="000000" w:themeColor="text1"/>
        </w:rPr>
        <w:t>behaviours</w:t>
      </w:r>
      <w:proofErr w:type="spellEnd"/>
      <w:r>
        <w:rPr>
          <w:color w:val="000000" w:themeColor="text1"/>
        </w:rPr>
        <w:t xml:space="preserve"> and perceived problem-solving skills in adolescents. </w:t>
      </w:r>
      <w:r>
        <w:rPr>
          <w:rStyle w:val="Emphasis"/>
          <w:color w:val="000000" w:themeColor="text1"/>
        </w:rPr>
        <w:t>Turkish Online Journal of Educational Technology-TOJET, 2</w:t>
      </w:r>
      <w:r>
        <w:rPr>
          <w:color w:val="000000" w:themeColor="text1"/>
        </w:rPr>
        <w:t>(2), 29-37.</w:t>
      </w:r>
    </w:p>
    <w:p w14:paraId="357D22D7" w14:textId="77777777" w:rsidR="00DD0909" w:rsidRPr="00DD357F" w:rsidRDefault="00DD0909" w:rsidP="00543992">
      <w:pPr>
        <w:spacing w:after="0" w:line="360" w:lineRule="auto"/>
        <w:ind w:left="360" w:hanging="360"/>
        <w:jc w:val="both"/>
        <w:rPr>
          <w:rFonts w:ascii="Times New Roman" w:eastAsia="Times New Roman" w:hAnsi="Times New Roman" w:cs="Times New Roman"/>
          <w:color w:val="000000" w:themeColor="text1"/>
          <w:sz w:val="24"/>
          <w:szCs w:val="24"/>
          <w:lang w:val="en-IN" w:eastAsia="en-IN"/>
        </w:rPr>
      </w:pPr>
      <w:r w:rsidRPr="00DD357F">
        <w:rPr>
          <w:rFonts w:ascii="Times New Roman" w:eastAsia="Times New Roman" w:hAnsi="Times New Roman" w:cs="Times New Roman"/>
          <w:color w:val="000000" w:themeColor="text1"/>
          <w:sz w:val="24"/>
          <w:szCs w:val="24"/>
          <w:lang w:val="en-IN" w:eastAsia="en-IN"/>
        </w:rPr>
        <w:t xml:space="preserve">Hooda, M., &amp; Devi, R. (2018). Problem solving ability: Significance for adolescents. </w:t>
      </w:r>
      <w:r w:rsidRPr="00DD357F">
        <w:rPr>
          <w:rFonts w:ascii="Times New Roman" w:eastAsia="Times New Roman" w:hAnsi="Times New Roman" w:cs="Times New Roman"/>
          <w:i/>
          <w:iCs/>
          <w:color w:val="000000" w:themeColor="text1"/>
          <w:sz w:val="24"/>
          <w:szCs w:val="24"/>
          <w:lang w:val="en-IN" w:eastAsia="en-IN"/>
        </w:rPr>
        <w:t>Scholarly Research Journals, 2</w:t>
      </w:r>
      <w:r w:rsidRPr="00DD357F">
        <w:rPr>
          <w:rFonts w:ascii="Times New Roman" w:eastAsia="Times New Roman" w:hAnsi="Times New Roman" w:cs="Times New Roman"/>
          <w:color w:val="000000" w:themeColor="text1"/>
          <w:sz w:val="24"/>
          <w:szCs w:val="24"/>
          <w:lang w:val="en-IN" w:eastAsia="en-IN"/>
        </w:rPr>
        <w:t>(13), 1873-1878.</w:t>
      </w:r>
    </w:p>
    <w:p w14:paraId="1CAE54DE" w14:textId="77777777" w:rsidR="00DD0909" w:rsidRDefault="00DD0909" w:rsidP="00DD0909">
      <w:pPr>
        <w:spacing w:after="0" w:line="360" w:lineRule="auto"/>
        <w:ind w:left="360" w:hanging="360"/>
        <w:jc w:val="both"/>
        <w:rPr>
          <w:rFonts w:ascii="Times New Roman" w:eastAsia="Times New Roman" w:hAnsi="Times New Roman" w:cs="Times New Roman"/>
          <w:color w:val="000000" w:themeColor="text1"/>
          <w:sz w:val="24"/>
          <w:szCs w:val="24"/>
          <w:lang w:val="en-IN" w:eastAsia="en-IN"/>
        </w:rPr>
      </w:pPr>
      <w:proofErr w:type="spellStart"/>
      <w:r>
        <w:rPr>
          <w:rFonts w:ascii="Times New Roman" w:eastAsia="Times New Roman" w:hAnsi="Times New Roman" w:cs="Times New Roman"/>
          <w:color w:val="000000" w:themeColor="text1"/>
          <w:sz w:val="24"/>
          <w:szCs w:val="24"/>
          <w:lang w:val="en-IN" w:eastAsia="en-IN"/>
        </w:rPr>
        <w:t>İncebacak</w:t>
      </w:r>
      <w:proofErr w:type="spellEnd"/>
      <w:r>
        <w:rPr>
          <w:rFonts w:ascii="Times New Roman" w:eastAsia="Times New Roman" w:hAnsi="Times New Roman" w:cs="Times New Roman"/>
          <w:color w:val="000000" w:themeColor="text1"/>
          <w:sz w:val="24"/>
          <w:szCs w:val="24"/>
          <w:lang w:val="en-IN" w:eastAsia="en-IN"/>
        </w:rPr>
        <w:t xml:space="preserve">, B. B., &amp; Esen, E. (2016). Problem solving skills of secondary school students. </w:t>
      </w:r>
      <w:r>
        <w:rPr>
          <w:rFonts w:ascii="Times New Roman" w:eastAsia="Times New Roman" w:hAnsi="Times New Roman" w:cs="Times New Roman"/>
          <w:i/>
          <w:iCs/>
          <w:color w:val="000000" w:themeColor="text1"/>
          <w:sz w:val="24"/>
          <w:szCs w:val="24"/>
          <w:lang w:val="en-IN" w:eastAsia="en-IN"/>
        </w:rPr>
        <w:t>China-USA Business Review, 15</w:t>
      </w:r>
      <w:r>
        <w:rPr>
          <w:rFonts w:ascii="Times New Roman" w:eastAsia="Times New Roman" w:hAnsi="Times New Roman" w:cs="Times New Roman"/>
          <w:color w:val="000000" w:themeColor="text1"/>
          <w:sz w:val="24"/>
          <w:szCs w:val="24"/>
          <w:lang w:val="en-IN" w:eastAsia="en-IN"/>
        </w:rPr>
        <w:t xml:space="preserve">(6), 275-285. </w:t>
      </w:r>
    </w:p>
    <w:p w14:paraId="66FA9C6B" w14:textId="77777777" w:rsidR="00DD0909" w:rsidRPr="00DD357F" w:rsidRDefault="00DD0909" w:rsidP="00543992">
      <w:pPr>
        <w:pStyle w:val="NormalWeb"/>
        <w:spacing w:before="0" w:beforeAutospacing="0" w:after="0" w:afterAutospacing="0" w:line="360" w:lineRule="auto"/>
        <w:ind w:left="360" w:hanging="360"/>
        <w:jc w:val="both"/>
        <w:rPr>
          <w:color w:val="000000" w:themeColor="text1"/>
        </w:rPr>
      </w:pPr>
      <w:r w:rsidRPr="00DD357F">
        <w:rPr>
          <w:color w:val="000000" w:themeColor="text1"/>
        </w:rPr>
        <w:t xml:space="preserve">Kwok, S. Y., Yeung, J. W., Low, A. Y., Lo, H. H., &amp; Tam, C. H. (2015). The roles of emotional competence and social problem-solving in the relationship between physical abuse and adolescent suicidal ideation in China. </w:t>
      </w:r>
      <w:r w:rsidRPr="00DD357F">
        <w:rPr>
          <w:rStyle w:val="Emphasis"/>
          <w:color w:val="000000" w:themeColor="text1"/>
        </w:rPr>
        <w:t>Child Abuse &amp; Neglect, 44</w:t>
      </w:r>
      <w:r w:rsidRPr="00DD357F">
        <w:rPr>
          <w:color w:val="000000" w:themeColor="text1"/>
        </w:rPr>
        <w:t>, 117-129.</w:t>
      </w:r>
    </w:p>
    <w:p w14:paraId="374F918F"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Mayer, R. E., &amp; Wittrock, M. C. (2006). Problem Solving. In P. A. Alexander &amp; P. H. </w:t>
      </w:r>
      <w:proofErr w:type="spellStart"/>
      <w:r>
        <w:rPr>
          <w:color w:val="000000" w:themeColor="text1"/>
        </w:rPr>
        <w:t>Winnes</w:t>
      </w:r>
      <w:proofErr w:type="spellEnd"/>
      <w:r>
        <w:rPr>
          <w:color w:val="000000" w:themeColor="text1"/>
        </w:rPr>
        <w:t xml:space="preserve"> (Eds.), </w:t>
      </w:r>
      <w:r>
        <w:rPr>
          <w:rStyle w:val="Emphasis"/>
          <w:color w:val="000000" w:themeColor="text1"/>
        </w:rPr>
        <w:t>Handbook of Educational Psychology</w:t>
      </w:r>
      <w:r>
        <w:rPr>
          <w:color w:val="000000" w:themeColor="text1"/>
        </w:rPr>
        <w:t xml:space="preserve"> (2nd Ed.). Mahwah, NJ: Lawrence Erlbaum Associates.</w:t>
      </w:r>
    </w:p>
    <w:p w14:paraId="028FE8E1"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Oldershaw, A., Grima, E., </w:t>
      </w:r>
      <w:proofErr w:type="spellStart"/>
      <w:r>
        <w:rPr>
          <w:color w:val="000000" w:themeColor="text1"/>
        </w:rPr>
        <w:t>Jollant</w:t>
      </w:r>
      <w:proofErr w:type="spellEnd"/>
      <w:r>
        <w:rPr>
          <w:color w:val="000000" w:themeColor="text1"/>
        </w:rPr>
        <w:t xml:space="preserve">, F., Richards, C., Simic, M., Taylor, L. E. A., &amp; Schmidt, U. (2009). Decision making and problem solving in adolescents who deliberately self-harm. </w:t>
      </w:r>
      <w:r>
        <w:rPr>
          <w:rStyle w:val="Emphasis"/>
          <w:color w:val="000000" w:themeColor="text1"/>
        </w:rPr>
        <w:t>Psychological Medicine, 39</w:t>
      </w:r>
      <w:r>
        <w:rPr>
          <w:color w:val="000000" w:themeColor="text1"/>
        </w:rPr>
        <w:t>(1), 95-104.</w:t>
      </w:r>
    </w:p>
    <w:p w14:paraId="65E5AF9E"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lastRenderedPageBreak/>
        <w:t xml:space="preserve">Sharma, D. P. (2012). A study of home environment and reasoning ability among secondary school students. </w:t>
      </w:r>
      <w:r>
        <w:rPr>
          <w:rStyle w:val="Emphasis"/>
          <w:color w:val="000000" w:themeColor="text1"/>
        </w:rPr>
        <w:t>Developing Country Studies, 2</w:t>
      </w:r>
      <w:r>
        <w:rPr>
          <w:color w:val="000000" w:themeColor="text1"/>
        </w:rPr>
        <w:t>(1), 73-80.</w:t>
      </w:r>
    </w:p>
    <w:p w14:paraId="378F1CDD"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Singh, V., Behmani, R., &amp; Kumar, S. (2021). Role of parenting style in mental health and coping style of the adolescents. </w:t>
      </w:r>
      <w:r>
        <w:rPr>
          <w:rStyle w:val="Emphasis"/>
          <w:color w:val="000000" w:themeColor="text1"/>
        </w:rPr>
        <w:t>Journal of Public Mental Health, 6</w:t>
      </w:r>
      <w:r>
        <w:rPr>
          <w:color w:val="000000" w:themeColor="text1"/>
        </w:rPr>
        <w:t>(2), 14-29.</w:t>
      </w:r>
    </w:p>
    <w:p w14:paraId="08531A50"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Sumitha, S., &amp; Jose, R. (2016). Requisite for honing the problem-solving skill of early adolescents in the digital era. </w:t>
      </w:r>
      <w:r>
        <w:rPr>
          <w:rStyle w:val="Emphasis"/>
          <w:color w:val="000000" w:themeColor="text1"/>
        </w:rPr>
        <w:t>Journal on Educational Psychology, 10</w:t>
      </w:r>
      <w:r>
        <w:rPr>
          <w:color w:val="000000" w:themeColor="text1"/>
        </w:rPr>
        <w:t>(1), 36-43.</w:t>
      </w:r>
    </w:p>
    <w:p w14:paraId="7725223C" w14:textId="77777777" w:rsidR="00DD0909" w:rsidRPr="00DD357F" w:rsidRDefault="00DD0909" w:rsidP="00543992">
      <w:pPr>
        <w:pStyle w:val="NormalWeb"/>
        <w:spacing w:before="0" w:beforeAutospacing="0" w:after="0" w:afterAutospacing="0" w:line="360" w:lineRule="auto"/>
        <w:ind w:left="360" w:hanging="360"/>
        <w:jc w:val="both"/>
        <w:rPr>
          <w:color w:val="000000" w:themeColor="text1"/>
        </w:rPr>
      </w:pPr>
      <w:r>
        <w:rPr>
          <w:color w:val="000000" w:themeColor="text1"/>
        </w:rPr>
        <w:t xml:space="preserve">Tewari, M. (2025). </w:t>
      </w:r>
      <w:r>
        <w:t xml:space="preserve">A study of the relationship among home environment, assertive </w:t>
      </w:r>
      <w:proofErr w:type="spellStart"/>
      <w:r>
        <w:t>behaviour</w:t>
      </w:r>
      <w:proofErr w:type="spellEnd"/>
      <w:r>
        <w:t xml:space="preserve">, mental health and problem-solving ability of secondary level students. Unpublished Ph.D. thesis, </w:t>
      </w:r>
      <w:proofErr w:type="spellStart"/>
      <w:r>
        <w:t>Kumaun</w:t>
      </w:r>
      <w:proofErr w:type="spellEnd"/>
      <w:r>
        <w:t xml:space="preserve"> University, Nainital. </w:t>
      </w:r>
    </w:p>
    <w:p w14:paraId="669F5A52" w14:textId="3FD0E9ED" w:rsidR="00DD0909" w:rsidRDefault="00DD0909" w:rsidP="00543992">
      <w:pPr>
        <w:pStyle w:val="NormalWeb"/>
        <w:spacing w:before="0" w:beforeAutospacing="0" w:after="0" w:afterAutospacing="0" w:line="360" w:lineRule="auto"/>
        <w:ind w:left="360" w:hanging="360"/>
        <w:jc w:val="both"/>
        <w:rPr>
          <w:color w:val="000000" w:themeColor="text1"/>
        </w:rPr>
      </w:pPr>
      <w:proofErr w:type="spellStart"/>
      <w:r w:rsidRPr="00DD357F">
        <w:rPr>
          <w:color w:val="000000" w:themeColor="text1"/>
        </w:rPr>
        <w:t>Tösten</w:t>
      </w:r>
      <w:proofErr w:type="spellEnd"/>
      <w:r w:rsidRPr="00DD357F">
        <w:rPr>
          <w:color w:val="000000" w:themeColor="text1"/>
        </w:rPr>
        <w:t xml:space="preserve">, R., Han, B., &amp; Anik, S. (2017). The impact of parental attitudes on problem-solving skills in high school students. </w:t>
      </w:r>
      <w:r w:rsidRPr="00DD357F">
        <w:rPr>
          <w:rStyle w:val="Emphasis"/>
          <w:color w:val="000000" w:themeColor="text1"/>
        </w:rPr>
        <w:t>Universal Journal of Educational Research, 5</w:t>
      </w:r>
      <w:r w:rsidRPr="00DD357F">
        <w:rPr>
          <w:color w:val="000000" w:themeColor="text1"/>
        </w:rPr>
        <w:t>(1), 170-174.</w:t>
      </w:r>
    </w:p>
    <w:p w14:paraId="4CAAFE5E" w14:textId="721131EB" w:rsidR="00EE6EDC" w:rsidRPr="00DD357F" w:rsidRDefault="00EE6EDC" w:rsidP="00543992">
      <w:pPr>
        <w:pStyle w:val="NormalWeb"/>
        <w:spacing w:before="0" w:beforeAutospacing="0" w:after="0" w:afterAutospacing="0" w:line="360" w:lineRule="auto"/>
        <w:ind w:left="360" w:hanging="360"/>
        <w:jc w:val="both"/>
        <w:rPr>
          <w:color w:val="000000" w:themeColor="text1"/>
        </w:rPr>
      </w:pPr>
      <w:r w:rsidRPr="00EE6EDC">
        <w:rPr>
          <w:color w:val="000000" w:themeColor="text1"/>
        </w:rPr>
        <w:t xml:space="preserve">Vygotsky, L. S. (1978). </w:t>
      </w:r>
      <w:r w:rsidRPr="00EE6EDC">
        <w:rPr>
          <w:i/>
          <w:color w:val="000000" w:themeColor="text1"/>
        </w:rPr>
        <w:t>Mind in society: The development of higher psychological processes.</w:t>
      </w:r>
      <w:r w:rsidRPr="00EE6EDC">
        <w:rPr>
          <w:color w:val="000000" w:themeColor="text1"/>
        </w:rPr>
        <w:t xml:space="preserve"> Harvard University Press.</w:t>
      </w:r>
    </w:p>
    <w:p w14:paraId="0A58E5D1"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Yıldırım, A., </w:t>
      </w:r>
      <w:proofErr w:type="spellStart"/>
      <w:r>
        <w:rPr>
          <w:color w:val="000000" w:themeColor="text1"/>
        </w:rPr>
        <w:t>Hacıhasanoğlu</w:t>
      </w:r>
      <w:proofErr w:type="spellEnd"/>
      <w:r>
        <w:rPr>
          <w:color w:val="000000" w:themeColor="text1"/>
        </w:rPr>
        <w:t xml:space="preserve">, R., Karakurt, P., &amp; </w:t>
      </w:r>
      <w:proofErr w:type="spellStart"/>
      <w:r>
        <w:rPr>
          <w:color w:val="000000" w:themeColor="text1"/>
        </w:rPr>
        <w:t>Türkleş</w:t>
      </w:r>
      <w:proofErr w:type="spellEnd"/>
      <w:r>
        <w:rPr>
          <w:color w:val="000000" w:themeColor="text1"/>
        </w:rPr>
        <w:t xml:space="preserve">, S. (2011). Problem solving skills and influential factors in high school students. </w:t>
      </w:r>
      <w:r>
        <w:rPr>
          <w:rStyle w:val="Emphasis"/>
          <w:color w:val="000000" w:themeColor="text1"/>
        </w:rPr>
        <w:t>Journal of Human Sciences, 8</w:t>
      </w:r>
      <w:r>
        <w:rPr>
          <w:color w:val="000000" w:themeColor="text1"/>
        </w:rPr>
        <w:t>(1), 905-921.</w:t>
      </w:r>
    </w:p>
    <w:p w14:paraId="0F75373B" w14:textId="77777777" w:rsidR="00DD0909" w:rsidRDefault="00DD0909" w:rsidP="00DD0909">
      <w:pPr>
        <w:pStyle w:val="NormalWeb"/>
        <w:spacing w:before="0" w:beforeAutospacing="0" w:after="0" w:afterAutospacing="0" w:line="360" w:lineRule="auto"/>
        <w:ind w:left="360" w:hanging="360"/>
        <w:jc w:val="both"/>
        <w:rPr>
          <w:color w:val="000000" w:themeColor="text1"/>
        </w:rPr>
      </w:pPr>
      <w:proofErr w:type="spellStart"/>
      <w:r>
        <w:rPr>
          <w:color w:val="000000" w:themeColor="text1"/>
        </w:rPr>
        <w:t>Zincir</w:t>
      </w:r>
      <w:proofErr w:type="spellEnd"/>
      <w:r>
        <w:rPr>
          <w:color w:val="000000" w:themeColor="text1"/>
        </w:rPr>
        <w:t xml:space="preserve">, H., Erten, Z. K., Sevig, E. U., &amp; Ozkan, F. (2014). Effect of social projects on developing leadership, problem solving and assertiveness skills by using peer education method. </w:t>
      </w:r>
      <w:proofErr w:type="spellStart"/>
      <w:r>
        <w:rPr>
          <w:rStyle w:val="Emphasis"/>
          <w:color w:val="000000" w:themeColor="text1"/>
        </w:rPr>
        <w:t>Dokuz</w:t>
      </w:r>
      <w:proofErr w:type="spellEnd"/>
      <w:r>
        <w:rPr>
          <w:rStyle w:val="Emphasis"/>
          <w:color w:val="000000" w:themeColor="text1"/>
        </w:rPr>
        <w:t xml:space="preserve"> </w:t>
      </w:r>
      <w:proofErr w:type="spellStart"/>
      <w:r>
        <w:rPr>
          <w:rStyle w:val="Emphasis"/>
          <w:color w:val="000000" w:themeColor="text1"/>
        </w:rPr>
        <w:t>Eylül</w:t>
      </w:r>
      <w:proofErr w:type="spellEnd"/>
      <w:r>
        <w:rPr>
          <w:rStyle w:val="Emphasis"/>
          <w:color w:val="000000" w:themeColor="text1"/>
        </w:rPr>
        <w:t xml:space="preserve"> </w:t>
      </w:r>
      <w:proofErr w:type="spellStart"/>
      <w:r>
        <w:rPr>
          <w:rStyle w:val="Emphasis"/>
          <w:color w:val="000000" w:themeColor="text1"/>
        </w:rPr>
        <w:t>Üniversitesi</w:t>
      </w:r>
      <w:proofErr w:type="spellEnd"/>
      <w:r>
        <w:rPr>
          <w:rStyle w:val="Emphasis"/>
          <w:color w:val="000000" w:themeColor="text1"/>
        </w:rPr>
        <w:t xml:space="preserve"> </w:t>
      </w:r>
      <w:proofErr w:type="spellStart"/>
      <w:r>
        <w:rPr>
          <w:rStyle w:val="Emphasis"/>
          <w:color w:val="000000" w:themeColor="text1"/>
        </w:rPr>
        <w:t>Hemşirelik</w:t>
      </w:r>
      <w:proofErr w:type="spellEnd"/>
      <w:r>
        <w:rPr>
          <w:rStyle w:val="Emphasis"/>
          <w:color w:val="000000" w:themeColor="text1"/>
        </w:rPr>
        <w:t xml:space="preserve"> Fakültesi Elektronik Dergisi, 7</w:t>
      </w:r>
      <w:r>
        <w:rPr>
          <w:color w:val="000000" w:themeColor="text1"/>
        </w:rPr>
        <w:t>(1), 19-25.</w:t>
      </w:r>
    </w:p>
    <w:p w14:paraId="1ED47DAB" w14:textId="77777777" w:rsidR="00DD0909" w:rsidRPr="00BE02B4" w:rsidRDefault="00DD0909" w:rsidP="00DD0909">
      <w:pPr>
        <w:rPr>
          <w:rFonts w:ascii="Times New Roman" w:hAnsi="Times New Roman" w:cs="Times New Roman"/>
          <w:sz w:val="24"/>
        </w:rPr>
      </w:pPr>
    </w:p>
    <w:p w14:paraId="6BEBB0F5" w14:textId="77777777" w:rsidR="00AE4FD0" w:rsidRDefault="00AE4FD0"/>
    <w:sectPr w:rsidR="00AE4FD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BE661" w14:textId="77777777" w:rsidR="001648BD" w:rsidRDefault="001648BD" w:rsidP="00103141">
      <w:pPr>
        <w:spacing w:after="0" w:line="240" w:lineRule="auto"/>
      </w:pPr>
      <w:r>
        <w:separator/>
      </w:r>
    </w:p>
  </w:endnote>
  <w:endnote w:type="continuationSeparator" w:id="0">
    <w:p w14:paraId="51C9356B" w14:textId="77777777" w:rsidR="001648BD" w:rsidRDefault="001648BD" w:rsidP="0010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0AA5" w14:textId="77777777" w:rsidR="004D0EF1" w:rsidRDefault="004D0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BC87" w14:textId="77777777" w:rsidR="004D0EF1" w:rsidRDefault="004D0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BC7A" w14:textId="77777777" w:rsidR="004D0EF1" w:rsidRDefault="004D0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0819D" w14:textId="77777777" w:rsidR="001648BD" w:rsidRDefault="001648BD" w:rsidP="00103141">
      <w:pPr>
        <w:spacing w:after="0" w:line="240" w:lineRule="auto"/>
      </w:pPr>
      <w:r>
        <w:separator/>
      </w:r>
    </w:p>
  </w:footnote>
  <w:footnote w:type="continuationSeparator" w:id="0">
    <w:p w14:paraId="77F8D16B" w14:textId="77777777" w:rsidR="001648BD" w:rsidRDefault="001648BD" w:rsidP="00103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E191" w14:textId="5467A897" w:rsidR="004D0EF1" w:rsidRDefault="001648BD">
    <w:pPr>
      <w:pStyle w:val="Header"/>
    </w:pPr>
    <w:r>
      <w:rPr>
        <w:noProof/>
      </w:rPr>
      <w:pict w14:anchorId="7B6E6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93646" w14:textId="75CB918C" w:rsidR="004D0EF1" w:rsidRDefault="001648BD">
    <w:pPr>
      <w:pStyle w:val="Header"/>
    </w:pPr>
    <w:r>
      <w:rPr>
        <w:noProof/>
      </w:rPr>
      <w:pict w14:anchorId="089C7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DD8B" w14:textId="30BC503A" w:rsidR="004D0EF1" w:rsidRDefault="001648BD">
    <w:pPr>
      <w:pStyle w:val="Header"/>
    </w:pPr>
    <w:r>
      <w:rPr>
        <w:noProof/>
      </w:rPr>
      <w:pict w14:anchorId="0D3E7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17"/>
    <w:rsid w:val="00000996"/>
    <w:rsid w:val="00026AF3"/>
    <w:rsid w:val="00030311"/>
    <w:rsid w:val="00076737"/>
    <w:rsid w:val="00094326"/>
    <w:rsid w:val="000B06D9"/>
    <w:rsid w:val="000D5547"/>
    <w:rsid w:val="00103141"/>
    <w:rsid w:val="00112786"/>
    <w:rsid w:val="001648BD"/>
    <w:rsid w:val="001C4F15"/>
    <w:rsid w:val="001E1BB3"/>
    <w:rsid w:val="00206F52"/>
    <w:rsid w:val="002566E2"/>
    <w:rsid w:val="002B6E85"/>
    <w:rsid w:val="002F5129"/>
    <w:rsid w:val="00303446"/>
    <w:rsid w:val="00324934"/>
    <w:rsid w:val="00332FCD"/>
    <w:rsid w:val="003B5B9C"/>
    <w:rsid w:val="003E49A6"/>
    <w:rsid w:val="00450942"/>
    <w:rsid w:val="004D0EF1"/>
    <w:rsid w:val="004D75D7"/>
    <w:rsid w:val="00543992"/>
    <w:rsid w:val="005636BD"/>
    <w:rsid w:val="005872F1"/>
    <w:rsid w:val="005875EF"/>
    <w:rsid w:val="005B31C2"/>
    <w:rsid w:val="00657B30"/>
    <w:rsid w:val="00661710"/>
    <w:rsid w:val="006717E0"/>
    <w:rsid w:val="006931AA"/>
    <w:rsid w:val="00696417"/>
    <w:rsid w:val="006A5D40"/>
    <w:rsid w:val="006C796E"/>
    <w:rsid w:val="006F1216"/>
    <w:rsid w:val="00774217"/>
    <w:rsid w:val="008146C1"/>
    <w:rsid w:val="008226E1"/>
    <w:rsid w:val="008274FE"/>
    <w:rsid w:val="008336F9"/>
    <w:rsid w:val="008462C7"/>
    <w:rsid w:val="00872EBE"/>
    <w:rsid w:val="00896D04"/>
    <w:rsid w:val="008A3F3F"/>
    <w:rsid w:val="008C6DF6"/>
    <w:rsid w:val="008D1495"/>
    <w:rsid w:val="008E787A"/>
    <w:rsid w:val="00900467"/>
    <w:rsid w:val="00913965"/>
    <w:rsid w:val="00921E41"/>
    <w:rsid w:val="00927FB8"/>
    <w:rsid w:val="009325F3"/>
    <w:rsid w:val="0093785E"/>
    <w:rsid w:val="009470EB"/>
    <w:rsid w:val="009B3FDB"/>
    <w:rsid w:val="009F25AD"/>
    <w:rsid w:val="00A13A4E"/>
    <w:rsid w:val="00A248FF"/>
    <w:rsid w:val="00AC15BA"/>
    <w:rsid w:val="00AD474B"/>
    <w:rsid w:val="00AE4FD0"/>
    <w:rsid w:val="00AE6FA5"/>
    <w:rsid w:val="00B13D3B"/>
    <w:rsid w:val="00B6349F"/>
    <w:rsid w:val="00B83FE0"/>
    <w:rsid w:val="00BC419E"/>
    <w:rsid w:val="00BD551E"/>
    <w:rsid w:val="00C25CA4"/>
    <w:rsid w:val="00C6741F"/>
    <w:rsid w:val="00CB70D2"/>
    <w:rsid w:val="00CE165B"/>
    <w:rsid w:val="00CE5173"/>
    <w:rsid w:val="00D47794"/>
    <w:rsid w:val="00D6025D"/>
    <w:rsid w:val="00D64272"/>
    <w:rsid w:val="00D93E6F"/>
    <w:rsid w:val="00DC0023"/>
    <w:rsid w:val="00DC4BBD"/>
    <w:rsid w:val="00DD0909"/>
    <w:rsid w:val="00E06FF8"/>
    <w:rsid w:val="00E30CF4"/>
    <w:rsid w:val="00E76CE4"/>
    <w:rsid w:val="00EA1C45"/>
    <w:rsid w:val="00EC2120"/>
    <w:rsid w:val="00ED7C21"/>
    <w:rsid w:val="00EE15FE"/>
    <w:rsid w:val="00EE6EDC"/>
    <w:rsid w:val="00F06817"/>
    <w:rsid w:val="00F53C5B"/>
    <w:rsid w:val="00F5557F"/>
    <w:rsid w:val="00F75394"/>
    <w:rsid w:val="00F760D4"/>
    <w:rsid w:val="00FB241F"/>
    <w:rsid w:val="00FB40F0"/>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2B106"/>
  <w15:chartTrackingRefBased/>
  <w15:docId w15:val="{309D5E84-BBCC-4725-9DD8-B6B9C0CD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909"/>
    <w:pPr>
      <w:spacing w:after="200" w:line="276" w:lineRule="auto"/>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4326"/>
    <w:rPr>
      <w:b/>
      <w:bCs/>
    </w:rPr>
  </w:style>
  <w:style w:type="character" w:styleId="Emphasis">
    <w:name w:val="Emphasis"/>
    <w:basedOn w:val="DefaultParagraphFont"/>
    <w:uiPriority w:val="20"/>
    <w:qFormat/>
    <w:rsid w:val="00094326"/>
    <w:rPr>
      <w:i/>
      <w:iCs/>
    </w:rPr>
  </w:style>
  <w:style w:type="paragraph" w:styleId="NormalWeb">
    <w:name w:val="Normal (Web)"/>
    <w:basedOn w:val="Normal"/>
    <w:uiPriority w:val="99"/>
    <w:unhideWhenUsed/>
    <w:qFormat/>
    <w:rsid w:val="00094326"/>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qFormat/>
    <w:rsid w:val="00094326"/>
    <w:pPr>
      <w:spacing w:after="0" w:line="240" w:lineRule="auto"/>
    </w:pPr>
    <w:rPr>
      <w:rFonts w:ascii="Tahoma" w:eastAsia="SimSun" w:hAnsi="Tahoma" w:cs="Tahoma"/>
      <w:sz w:val="16"/>
      <w:szCs w:val="16"/>
      <w:lang w:val="en-IN"/>
    </w:rPr>
  </w:style>
  <w:style w:type="character" w:customStyle="1" w:styleId="BalloonTextChar">
    <w:name w:val="Balloon Text Char"/>
    <w:basedOn w:val="DefaultParagraphFont"/>
    <w:link w:val="BalloonText"/>
    <w:uiPriority w:val="99"/>
    <w:semiHidden/>
    <w:qFormat/>
    <w:rsid w:val="00094326"/>
    <w:rPr>
      <w:rFonts w:ascii="Tahoma" w:hAnsi="Tahoma" w:cs="Tahoma"/>
      <w:sz w:val="16"/>
      <w:szCs w:val="16"/>
    </w:rPr>
  </w:style>
  <w:style w:type="paragraph" w:styleId="ListParagraph">
    <w:name w:val="List Paragraph"/>
    <w:basedOn w:val="Normal"/>
    <w:uiPriority w:val="1"/>
    <w:qFormat/>
    <w:rsid w:val="00094326"/>
    <w:pPr>
      <w:spacing w:after="160" w:line="259" w:lineRule="auto"/>
      <w:ind w:left="720"/>
      <w:contextualSpacing/>
    </w:pPr>
  </w:style>
  <w:style w:type="character" w:styleId="Hyperlink">
    <w:name w:val="Hyperlink"/>
    <w:basedOn w:val="DefaultParagraphFont"/>
    <w:uiPriority w:val="99"/>
    <w:unhideWhenUsed/>
    <w:rsid w:val="00DD0909"/>
    <w:rPr>
      <w:color w:val="0000FF"/>
      <w:u w:val="single"/>
    </w:rPr>
  </w:style>
  <w:style w:type="paragraph" w:styleId="BodyText">
    <w:name w:val="Body Text"/>
    <w:basedOn w:val="Normal"/>
    <w:link w:val="BodyTextChar"/>
    <w:uiPriority w:val="1"/>
    <w:semiHidden/>
    <w:unhideWhenUsed/>
    <w:qFormat/>
    <w:rsid w:val="00DD0909"/>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DD0909"/>
    <w:rPr>
      <w:rFonts w:eastAsia="Times New Roman"/>
      <w:sz w:val="26"/>
      <w:szCs w:val="26"/>
      <w:lang w:val="en-US"/>
    </w:rPr>
  </w:style>
  <w:style w:type="paragraph" w:customStyle="1" w:styleId="padding-3">
    <w:name w:val="padding-3"/>
    <w:basedOn w:val="Normal"/>
    <w:rsid w:val="00DD090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DD0909"/>
    <w:rPr>
      <w:rFonts w:ascii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141"/>
    <w:rPr>
      <w:rFonts w:asciiTheme="minorHAnsi" w:hAnsiTheme="minorHAnsi" w:cstheme="minorBidi"/>
      <w:sz w:val="22"/>
      <w:szCs w:val="22"/>
      <w:lang w:val="en-US"/>
    </w:rPr>
  </w:style>
  <w:style w:type="paragraph" w:styleId="Footer">
    <w:name w:val="footer"/>
    <w:basedOn w:val="Normal"/>
    <w:link w:val="FooterChar"/>
    <w:uiPriority w:val="99"/>
    <w:unhideWhenUsed/>
    <w:rsid w:val="00103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141"/>
    <w:rPr>
      <w:rFonts w:asciiTheme="minorHAnsi" w:hAnsiTheme="minorHAnsi" w:cstheme="minorBidi"/>
      <w:sz w:val="22"/>
      <w:szCs w:val="22"/>
      <w:lang w:val="en-US"/>
    </w:rPr>
  </w:style>
  <w:style w:type="character" w:styleId="UnresolvedMention">
    <w:name w:val="Unresolved Mention"/>
    <w:basedOn w:val="DefaultParagraphFont"/>
    <w:uiPriority w:val="99"/>
    <w:semiHidden/>
    <w:unhideWhenUsed/>
    <w:rsid w:val="006C7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9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Manjari\Ph.D.%20Work\Ph.D.%20Variables\Ph.D.%20Chapters%20&amp;%20Related%20Content\Ph.D.%20Data\Latest%20Data\Data%20Ph.D.%20Kanchan%20-%20La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133903064289197E-2"/>
          <c:y val="4.8287971905179985E-2"/>
          <c:w val="0.75320020606423421"/>
          <c:h val="0.79800211540721588"/>
        </c:manualLayout>
      </c:layout>
      <c:lineChart>
        <c:grouping val="stacked"/>
        <c:varyColors val="0"/>
        <c:ser>
          <c:idx val="0"/>
          <c:order val="0"/>
          <c:tx>
            <c:strRef>
              <c:f>Graphs!$B$90</c:f>
              <c:strCache>
                <c:ptCount val="1"/>
                <c:pt idx="0">
                  <c:v>Mean </c:v>
                </c:pt>
              </c:strCache>
            </c:strRef>
          </c:tx>
          <c:spPr>
            <a:ln w="19050" cap="rnd">
              <a:solidFill>
                <a:srgbClr val="00B0F0"/>
              </a:solidFill>
              <a:round/>
            </a:ln>
            <a:effectLst/>
          </c:spPr>
          <c:marker>
            <c:symbol val="circle"/>
            <c:size val="5"/>
            <c:spPr>
              <a:solidFill>
                <a:schemeClr val="accent1"/>
              </a:solidFill>
              <a:ln w="19050">
                <a:solidFill>
                  <a:srgbClr val="00B0F0"/>
                </a:solidFill>
              </a:ln>
              <a:effectLst/>
            </c:spPr>
          </c:marker>
          <c:dLbls>
            <c:dLbl>
              <c:idx val="0"/>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12-451F-9F91-80637B5CA7EF}"/>
                </c:ext>
              </c:extLst>
            </c:dLbl>
            <c:dLbl>
              <c:idx val="1"/>
              <c:layout>
                <c:manualLayout>
                  <c:x val="-4.2345589268370204E-2"/>
                  <c:y val="-9.29434577920956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12-451F-9F91-80637B5CA7EF}"/>
                </c:ext>
              </c:extLst>
            </c:dLbl>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12-451F-9F91-80637B5CA7E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Graphs!$A$91:$A$93</c:f>
              <c:strCache>
                <c:ptCount val="3"/>
                <c:pt idx="0">
                  <c:v>Favourable </c:v>
                </c:pt>
                <c:pt idx="1">
                  <c:v>Moderately Favourable </c:v>
                </c:pt>
                <c:pt idx="2">
                  <c:v>Unfavourable </c:v>
                </c:pt>
              </c:strCache>
            </c:strRef>
          </c:cat>
          <c:val>
            <c:numRef>
              <c:f>Graphs!$B$91:$B$93</c:f>
              <c:numCache>
                <c:formatCode>General</c:formatCode>
                <c:ptCount val="3"/>
                <c:pt idx="0">
                  <c:v>8.34</c:v>
                </c:pt>
                <c:pt idx="1">
                  <c:v>7.08</c:v>
                </c:pt>
                <c:pt idx="2">
                  <c:v>8.27</c:v>
                </c:pt>
              </c:numCache>
            </c:numRef>
          </c:val>
          <c:smooth val="0"/>
          <c:extLst>
            <c:ext xmlns:c16="http://schemas.microsoft.com/office/drawing/2014/chart" uri="{C3380CC4-5D6E-409C-BE32-E72D297353CC}">
              <c16:uniqueId val="{00000003-1412-451F-9F91-80637B5CA7EF}"/>
            </c:ext>
          </c:extLst>
        </c:ser>
        <c:dLbls>
          <c:dLblPos val="t"/>
          <c:showLegendKey val="0"/>
          <c:showVal val="1"/>
          <c:showCatName val="0"/>
          <c:showSerName val="0"/>
          <c:showPercent val="0"/>
          <c:showBubbleSize val="0"/>
        </c:dLbls>
        <c:marker val="1"/>
        <c:smooth val="0"/>
        <c:axId val="636418176"/>
        <c:axId val="545254624"/>
      </c:lineChart>
      <c:catAx>
        <c:axId val="636418176"/>
        <c:scaling>
          <c:orientation val="minMax"/>
        </c:scaling>
        <c:delete val="0"/>
        <c:axPos val="b"/>
        <c:minorGridlines>
          <c:spPr>
            <a:ln w="9525" cap="flat" cmpd="sng" algn="ctr">
              <a:solidFill>
                <a:schemeClr val="bg2">
                  <a:lumMod val="90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5254624"/>
        <c:crossesAt val="6.4"/>
        <c:auto val="1"/>
        <c:lblAlgn val="ctr"/>
        <c:lblOffset val="100"/>
        <c:noMultiLvlLbl val="0"/>
      </c:catAx>
      <c:valAx>
        <c:axId val="545254624"/>
        <c:scaling>
          <c:orientation val="minMax"/>
          <c:max val="8.5"/>
          <c:min val="7"/>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6418176"/>
        <c:crosses val="autoZero"/>
        <c:crossBetween val="between"/>
      </c:valAx>
      <c:spPr>
        <a:solidFill>
          <a:srgbClr val="FFE1FF"/>
        </a:solidFill>
        <a:ln>
          <a:noFill/>
        </a:ln>
        <a:effectLst/>
      </c:spPr>
    </c:plotArea>
    <c:legend>
      <c:legendPos val="r"/>
      <c:layout>
        <c:manualLayout>
          <c:xMode val="edge"/>
          <c:yMode val="edge"/>
          <c:x val="0.8269200930954228"/>
          <c:y val="0.4521461968170763"/>
          <c:w val="0.15497801913628137"/>
          <c:h val="0.1126328531923636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rgbClr val="D4F4F8"/>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EEECE1"/>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1213</TotalTime>
  <Pages>12</Pages>
  <Words>4170</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Prabhat Tewari</dc:creator>
  <cp:keywords/>
  <dc:description/>
  <cp:lastModifiedBy>SDI 1158</cp:lastModifiedBy>
  <cp:revision>61</cp:revision>
  <dcterms:created xsi:type="dcterms:W3CDTF">2026-02-11T11:29:00Z</dcterms:created>
  <dcterms:modified xsi:type="dcterms:W3CDTF">2026-02-21T09:46:00Z</dcterms:modified>
</cp:coreProperties>
</file>