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2684" w14:textId="3136E778" w:rsidR="00790ADA" w:rsidRDefault="00E726C8" w:rsidP="00441B6F">
      <w:pPr>
        <w:pStyle w:val="Affiliation"/>
        <w:spacing w:after="0" w:line="240" w:lineRule="auto"/>
        <w:jc w:val="both"/>
        <w:rPr>
          <w:rFonts w:ascii="Arial" w:hAnsi="Arial" w:cs="Arial"/>
          <w:u w:val="single"/>
        </w:rPr>
      </w:pPr>
      <w:r w:rsidRPr="00E726C8">
        <w:rPr>
          <w:rFonts w:ascii="Arial" w:hAnsi="Arial" w:cs="Arial"/>
          <w:u w:val="single"/>
        </w:rPr>
        <w:t>Original Research Article</w:t>
      </w:r>
    </w:p>
    <w:p w14:paraId="5601C938" w14:textId="77777777" w:rsidR="00E726C8" w:rsidRPr="00E726C8" w:rsidRDefault="00E726C8" w:rsidP="00441B6F">
      <w:pPr>
        <w:pStyle w:val="Affiliation"/>
        <w:spacing w:after="0" w:line="240" w:lineRule="auto"/>
        <w:jc w:val="both"/>
        <w:rPr>
          <w:rFonts w:ascii="Arial" w:hAnsi="Arial" w:cs="Arial"/>
          <w:u w:val="single"/>
        </w:rPr>
      </w:pPr>
    </w:p>
    <w:p w14:paraId="4A07560E" w14:textId="3DC8B3ED" w:rsidR="00A377F4" w:rsidRPr="000600C4" w:rsidRDefault="00054D8B" w:rsidP="00A377F4">
      <w:pPr>
        <w:spacing w:after="240"/>
        <w:jc w:val="right"/>
        <w:rPr>
          <w:rFonts w:ascii="Arial" w:hAnsi="Arial" w:cs="Arial"/>
          <w:color w:val="EE0000"/>
          <w:sz w:val="56"/>
          <w:szCs w:val="56"/>
        </w:rPr>
      </w:pPr>
      <w:r w:rsidRPr="000600C4">
        <w:rPr>
          <w:rFonts w:ascii="Arial" w:hAnsi="Arial" w:cs="Arial"/>
          <w:color w:val="EE0000"/>
          <w:sz w:val="36"/>
          <w:szCs w:val="36"/>
          <w:lang w:val="en-IN" w:eastAsia="en-IN"/>
        </w:rPr>
        <w:t>E-Learning, Surveillance, and Student Mental Health: A Quantitative Study of Higher Education Students in Tamil Nadu</w:t>
      </w:r>
    </w:p>
    <w:p w14:paraId="6F4969B8" w14:textId="77777777" w:rsidR="002C57D2" w:rsidRPr="00FB3A86" w:rsidRDefault="002C57D2" w:rsidP="00441B6F">
      <w:pPr>
        <w:pStyle w:val="Affiliation"/>
        <w:spacing w:after="0" w:line="240" w:lineRule="auto"/>
        <w:jc w:val="both"/>
        <w:rPr>
          <w:rFonts w:ascii="Arial" w:hAnsi="Arial" w:cs="Arial"/>
        </w:rPr>
      </w:pPr>
    </w:p>
    <w:p w14:paraId="6E69BAE4" w14:textId="3A359845" w:rsidR="00B01FCD" w:rsidRPr="00FB3A86" w:rsidRDefault="00706D35" w:rsidP="00441B6F">
      <w:pPr>
        <w:pStyle w:val="Copyright"/>
        <w:spacing w:after="0" w:line="240" w:lineRule="auto"/>
        <w:jc w:val="both"/>
        <w:rPr>
          <w:rFonts w:ascii="Arial" w:hAnsi="Arial" w:cs="Arial"/>
        </w:rPr>
        <w:sectPr w:rsidR="00B01FCD" w:rsidRPr="00FB3A86" w:rsidSect="005F7C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A5107F" wp14:editId="6DAA52C1">
                <wp:extent cx="5303520" cy="635"/>
                <wp:effectExtent l="15240" t="9525" r="15240" b="9525"/>
                <wp:docPr id="20460880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441FE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933B131" w14:textId="2EF29899" w:rsidR="00B01FCD" w:rsidRDefault="00B01FCD" w:rsidP="00441B6F">
      <w:pPr>
        <w:pStyle w:val="AbstHead"/>
        <w:spacing w:after="0"/>
        <w:jc w:val="both"/>
        <w:rPr>
          <w:rFonts w:ascii="Arial" w:hAnsi="Arial" w:cs="Arial"/>
        </w:rPr>
      </w:pPr>
      <w:r w:rsidRPr="00FB3A86">
        <w:rPr>
          <w:rFonts w:ascii="Arial" w:hAnsi="Arial" w:cs="Arial"/>
        </w:rPr>
        <w:t>ABSTRACT</w:t>
      </w:r>
    </w:p>
    <w:p w14:paraId="7F2182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B0E507" w14:textId="77777777" w:rsidTr="001E44FE">
        <w:tc>
          <w:tcPr>
            <w:tcW w:w="9576" w:type="dxa"/>
            <w:shd w:val="clear" w:color="auto" w:fill="F2F2F2"/>
          </w:tcPr>
          <w:p w14:paraId="56989C4C" w14:textId="72B1281E" w:rsidR="00505F06" w:rsidRPr="00CD4E20" w:rsidRDefault="00CD4E20" w:rsidP="00CD4E20">
            <w:pPr>
              <w:jc w:val="both"/>
              <w:rPr>
                <w:rFonts w:ascii="Arial" w:hAnsi="Arial" w:cs="Arial"/>
                <w:sz w:val="22"/>
                <w:szCs w:val="22"/>
              </w:rPr>
            </w:pPr>
            <w:r w:rsidRPr="00485AE2">
              <w:rPr>
                <w:rFonts w:ascii="Arial" w:hAnsi="Arial" w:cs="Arial"/>
              </w:rPr>
              <w:t>E-learning has grown in popularity in India in recent years, particularly among students getting ready for competitive exams like NEET, JEE, and the civil services. With a focus on Tamil Nadu higher education students</w:t>
            </w:r>
            <w:r w:rsidR="009762A4" w:rsidRPr="00485AE2">
              <w:rPr>
                <w:rFonts w:ascii="Arial" w:hAnsi="Arial" w:cs="Arial"/>
              </w:rPr>
              <w:t>.</w:t>
            </w:r>
            <w:r w:rsidRPr="00485AE2">
              <w:rPr>
                <w:rFonts w:ascii="Arial" w:hAnsi="Arial" w:cs="Arial"/>
              </w:rPr>
              <w:t xml:space="preserve"> </w:t>
            </w:r>
            <w:r w:rsidR="009762A4" w:rsidRPr="00485AE2">
              <w:rPr>
                <w:rFonts w:ascii="Arial" w:hAnsi="Arial" w:cs="Arial"/>
                <w:color w:val="EE0000"/>
              </w:rPr>
              <w:t>T</w:t>
            </w:r>
            <w:r w:rsidRPr="00485AE2">
              <w:rPr>
                <w:rFonts w:ascii="Arial" w:hAnsi="Arial" w:cs="Arial"/>
                <w:color w:val="EE0000"/>
              </w:rPr>
              <w:t>his</w:t>
            </w:r>
            <w:r w:rsidR="009762A4" w:rsidRPr="00485AE2">
              <w:rPr>
                <w:rFonts w:ascii="Arial" w:hAnsi="Arial" w:cs="Arial"/>
                <w:color w:val="EE0000"/>
              </w:rPr>
              <w:t xml:space="preserve"> </w:t>
            </w:r>
            <w:r w:rsidRPr="00485AE2">
              <w:rPr>
                <w:rFonts w:ascii="Arial" w:hAnsi="Arial" w:cs="Arial"/>
                <w:color w:val="EE0000"/>
              </w:rPr>
              <w:t xml:space="preserve">study </w:t>
            </w:r>
            <w:r w:rsidR="00A84F6F" w:rsidRPr="00485AE2">
              <w:rPr>
                <w:rFonts w:ascii="Arial" w:hAnsi="Arial" w:cs="Arial"/>
                <w:color w:val="EE0000"/>
              </w:rPr>
              <w:t>examines</w:t>
            </w:r>
            <w:r w:rsidR="008E2141" w:rsidRPr="00485AE2">
              <w:rPr>
                <w:rFonts w:ascii="Arial" w:hAnsi="Arial" w:cs="Arial"/>
                <w:color w:val="EE0000"/>
              </w:rPr>
              <w:t xml:space="preserve"> the current status and role of e-learning in contemporary education</w:t>
            </w:r>
            <w:r w:rsidRPr="00485AE2">
              <w:rPr>
                <w:rFonts w:ascii="Arial" w:hAnsi="Arial" w:cs="Arial"/>
                <w:color w:val="EE0000"/>
              </w:rPr>
              <w:t xml:space="preserve">. The study </w:t>
            </w:r>
            <w:r w:rsidR="00A84F6F" w:rsidRPr="00485AE2">
              <w:rPr>
                <w:rFonts w:ascii="Arial" w:hAnsi="Arial" w:cs="Arial"/>
                <w:color w:val="EE0000"/>
              </w:rPr>
              <w:t>identifies the key challenges and opportunities associated with e-learning, particularly in terms of accessibility, engagement, support systems, and mental health outcomes among students,</w:t>
            </w:r>
            <w:r w:rsidRPr="00485AE2">
              <w:rPr>
                <w:rFonts w:ascii="Arial" w:hAnsi="Arial" w:cs="Arial"/>
                <w:color w:val="EE0000"/>
              </w:rPr>
              <w:t xml:space="preserve"> </w:t>
            </w:r>
            <w:r w:rsidRPr="00485AE2">
              <w:rPr>
                <w:rFonts w:ascii="Arial" w:hAnsi="Arial" w:cs="Arial"/>
              </w:rPr>
              <w:t>drawing on Michel Foucault's theory of disciplinary governmentality. The study uses quantitative survey methods</w:t>
            </w:r>
            <w:r w:rsidR="009614A7" w:rsidRPr="00485AE2">
              <w:rPr>
                <w:rFonts w:ascii="Arial" w:hAnsi="Arial" w:cs="Arial"/>
              </w:rPr>
              <w:t xml:space="preserve">, </w:t>
            </w:r>
            <w:r w:rsidR="009614A7" w:rsidRPr="00485AE2">
              <w:rPr>
                <w:rFonts w:ascii="Arial" w:hAnsi="Arial" w:cs="Arial"/>
                <w:color w:val="EE0000"/>
              </w:rPr>
              <w:t>sample size of</w:t>
            </w:r>
            <w:r w:rsidRPr="00485AE2">
              <w:rPr>
                <w:rFonts w:ascii="Arial" w:hAnsi="Arial" w:cs="Arial"/>
                <w:color w:val="EE0000"/>
              </w:rPr>
              <w:t xml:space="preserve"> 200 undergraduate students </w:t>
            </w:r>
            <w:r w:rsidRPr="00485AE2">
              <w:rPr>
                <w:rFonts w:ascii="Arial" w:hAnsi="Arial" w:cs="Arial"/>
              </w:rPr>
              <w:t xml:space="preserve">from a variety of academic </w:t>
            </w:r>
            <w:r w:rsidR="005C6300" w:rsidRPr="00485AE2">
              <w:rPr>
                <w:rFonts w:ascii="Arial" w:hAnsi="Arial" w:cs="Arial"/>
              </w:rPr>
              <w:t>programs was</w:t>
            </w:r>
            <w:r w:rsidRPr="00485AE2">
              <w:rPr>
                <w:rFonts w:ascii="Arial" w:hAnsi="Arial" w:cs="Arial"/>
              </w:rPr>
              <w:t xml:space="preserve"> made, and they contributed information about their experiences with e-learning, infrastructure availability, engagement levels, and psychological reactions. </w:t>
            </w:r>
            <w:r w:rsidR="005F2635" w:rsidRPr="00485AE2">
              <w:rPr>
                <w:rFonts w:ascii="Arial" w:hAnsi="Arial" w:cs="Arial"/>
                <w:color w:val="EE0000"/>
              </w:rPr>
              <w:t xml:space="preserve">Using </w:t>
            </w:r>
            <w:r w:rsidR="005C6300" w:rsidRPr="00485AE2">
              <w:rPr>
                <w:rFonts w:ascii="Arial" w:hAnsi="Arial" w:cs="Arial"/>
                <w:color w:val="EE0000"/>
              </w:rPr>
              <w:t xml:space="preserve">the </w:t>
            </w:r>
            <w:r w:rsidR="00417B55" w:rsidRPr="00485AE2">
              <w:rPr>
                <w:rFonts w:ascii="Arial" w:hAnsi="Arial" w:cs="Arial"/>
                <w:color w:val="EE0000"/>
              </w:rPr>
              <w:t>chi-square</w:t>
            </w:r>
            <w:r w:rsidR="00281D01" w:rsidRPr="00485AE2">
              <w:rPr>
                <w:rFonts w:ascii="Arial" w:hAnsi="Arial" w:cs="Arial"/>
                <w:color w:val="EE0000"/>
              </w:rPr>
              <w:t xml:space="preserve"> test for the analysis. </w:t>
            </w:r>
            <w:r w:rsidRPr="00485AE2">
              <w:rPr>
                <w:rFonts w:ascii="Arial" w:hAnsi="Arial" w:cs="Arial"/>
              </w:rPr>
              <w:t xml:space="preserve">The findings show that although students value the accessibility and flexibility of online learning, they also face major obstacles such as screen fatigue, stress, burnout, and </w:t>
            </w:r>
            <w:r w:rsidR="00417B55" w:rsidRPr="00485AE2">
              <w:rPr>
                <w:rFonts w:ascii="Arial" w:hAnsi="Arial" w:cs="Arial"/>
              </w:rPr>
              <w:t>a lack of peer</w:t>
            </w:r>
            <w:r w:rsidRPr="00485AE2">
              <w:rPr>
                <w:rFonts w:ascii="Arial" w:hAnsi="Arial" w:cs="Arial"/>
              </w:rPr>
              <w:t xml:space="preserve"> contact. These difficulties are especially severe for first-generation and rural learners, who encounter mental and physical obstacles when adjusting to digital media. </w:t>
            </w:r>
            <w:r w:rsidR="005A5F9A" w:rsidRPr="00485AE2">
              <w:rPr>
                <w:rFonts w:ascii="Arial" w:hAnsi="Arial" w:cs="Arial"/>
                <w:color w:val="EE0000"/>
              </w:rPr>
              <w:t xml:space="preserve">The statistical </w:t>
            </w:r>
            <w:r w:rsidR="00E70579" w:rsidRPr="00485AE2">
              <w:rPr>
                <w:rFonts w:ascii="Arial" w:hAnsi="Arial" w:cs="Arial"/>
                <w:color w:val="EE0000"/>
              </w:rPr>
              <w:t>results</w:t>
            </w:r>
            <w:r w:rsidR="005A5F9A" w:rsidRPr="00485AE2">
              <w:rPr>
                <w:rFonts w:ascii="Arial" w:hAnsi="Arial" w:cs="Arial"/>
                <w:color w:val="EE0000"/>
              </w:rPr>
              <w:t xml:space="preserve"> emphasize high device access and reliable scale</w:t>
            </w:r>
            <w:r w:rsidR="00926DC2" w:rsidRPr="00485AE2">
              <w:rPr>
                <w:rFonts w:ascii="Arial" w:hAnsi="Arial" w:cs="Arial"/>
                <w:color w:val="EE0000"/>
              </w:rPr>
              <w:t xml:space="preserve"> (</w:t>
            </w:r>
            <w:r w:rsidR="00926DC2" w:rsidRPr="00C26BA8">
              <w:rPr>
                <w:rFonts w:ascii="Arial" w:hAnsi="Arial" w:cs="Arial"/>
                <w:color w:val="EE0000"/>
                <w:lang w:val="en-IN"/>
              </w:rPr>
              <w:t>α=0.912</w:t>
            </w:r>
            <w:r w:rsidR="00926DC2" w:rsidRPr="00485AE2">
              <w:rPr>
                <w:rFonts w:ascii="Arial" w:hAnsi="Arial" w:cs="Arial"/>
                <w:color w:val="EE0000"/>
                <w:lang w:val="en-IN"/>
              </w:rPr>
              <w:t xml:space="preserve">), positive </w:t>
            </w:r>
            <w:r w:rsidR="00E70579" w:rsidRPr="00485AE2">
              <w:rPr>
                <w:rFonts w:ascii="Arial" w:hAnsi="Arial" w:cs="Arial"/>
                <w:color w:val="EE0000"/>
                <w:lang w:val="en-IN"/>
              </w:rPr>
              <w:t>attitudes</w:t>
            </w:r>
            <w:r w:rsidR="00926DC2" w:rsidRPr="00485AE2">
              <w:rPr>
                <w:rFonts w:ascii="Arial" w:hAnsi="Arial" w:cs="Arial"/>
                <w:color w:val="EE0000"/>
                <w:lang w:val="en-IN"/>
              </w:rPr>
              <w:t xml:space="preserve"> towards teachers and </w:t>
            </w:r>
            <w:r w:rsidR="008E52C0" w:rsidRPr="00485AE2">
              <w:rPr>
                <w:rFonts w:ascii="Arial" w:hAnsi="Arial" w:cs="Arial"/>
                <w:color w:val="EE0000"/>
                <w:lang w:val="en-IN"/>
              </w:rPr>
              <w:t>technology, but connectivity issues and uncer</w:t>
            </w:r>
            <w:r w:rsidR="00E70579" w:rsidRPr="00485AE2">
              <w:rPr>
                <w:rFonts w:ascii="Arial" w:hAnsi="Arial" w:cs="Arial"/>
                <w:color w:val="EE0000"/>
                <w:lang w:val="en-IN"/>
              </w:rPr>
              <w:t>tain classroom equivalence persist among students.</w:t>
            </w:r>
            <w:r w:rsidR="00926DC2" w:rsidRPr="00485AE2">
              <w:rPr>
                <w:rFonts w:ascii="Arial" w:hAnsi="Arial" w:cs="Arial"/>
                <w:color w:val="EE0000"/>
              </w:rPr>
              <w:t xml:space="preserve"> </w:t>
            </w:r>
            <w:r w:rsidRPr="00485AE2">
              <w:rPr>
                <w:rFonts w:ascii="Arial" w:hAnsi="Arial" w:cs="Arial"/>
              </w:rPr>
              <w:t xml:space="preserve">The analysis emphasizes how emotional tiredness and anxiety are exacerbated by the ongoing need to maintain self-control and academic achievement in online environments. </w:t>
            </w:r>
            <w:r w:rsidRPr="00485AE2">
              <w:rPr>
                <w:rFonts w:ascii="Arial" w:hAnsi="Arial" w:cs="Arial"/>
                <w:color w:val="EE0000"/>
              </w:rPr>
              <w:t>The</w:t>
            </w:r>
            <w:r w:rsidR="007A58CC" w:rsidRPr="00485AE2">
              <w:rPr>
                <w:rFonts w:ascii="Arial" w:hAnsi="Arial" w:cs="Arial"/>
                <w:color w:val="EE0000"/>
              </w:rPr>
              <w:t xml:space="preserve"> </w:t>
            </w:r>
            <w:r w:rsidR="006F26B6" w:rsidRPr="00485AE2">
              <w:rPr>
                <w:rFonts w:ascii="Arial" w:hAnsi="Arial" w:cs="Arial"/>
                <w:color w:val="EE0000"/>
              </w:rPr>
              <w:t>results</w:t>
            </w:r>
            <w:r w:rsidRPr="00485AE2">
              <w:rPr>
                <w:rFonts w:ascii="Arial" w:hAnsi="Arial" w:cs="Arial"/>
                <w:color w:val="EE0000"/>
              </w:rPr>
              <w:t xml:space="preserve"> highlight the need for e-learning settings that are more sympathetic, culturally sensitive, and psychologically supportive.</w:t>
            </w:r>
            <w:r w:rsidRPr="00485AE2">
              <w:rPr>
                <w:rFonts w:ascii="Arial" w:hAnsi="Arial" w:cs="Arial"/>
              </w:rPr>
              <w:t xml:space="preserve"> By highlighting the emotional </w:t>
            </w:r>
            <w:proofErr w:type="spellStart"/>
            <w:r w:rsidRPr="00485AE2">
              <w:rPr>
                <w:rFonts w:ascii="Arial" w:hAnsi="Arial" w:cs="Arial"/>
              </w:rPr>
              <w:t>labour</w:t>
            </w:r>
            <w:proofErr w:type="spellEnd"/>
            <w:r w:rsidRPr="00485AE2">
              <w:rPr>
                <w:rFonts w:ascii="Arial" w:hAnsi="Arial" w:cs="Arial"/>
              </w:rPr>
              <w:t xml:space="preserve"> and psychosocial costs associated with digital education, </w:t>
            </w:r>
            <w:r w:rsidRPr="00485AE2">
              <w:rPr>
                <w:rFonts w:ascii="Arial" w:hAnsi="Arial" w:cs="Arial"/>
                <w:color w:val="EE0000"/>
              </w:rPr>
              <w:t>this study adds to the expanding conversation on the subject and calls on educators, legislators, and EdTech developers to reconsider digital pedagogies in a way that strikes a balance between student well-being and technological efficiency.</w:t>
            </w:r>
            <w:r w:rsidRPr="00485AE2">
              <w:rPr>
                <w:rFonts w:ascii="Arial" w:hAnsi="Arial" w:cs="Arial"/>
                <w:color w:val="EE0000"/>
                <w:sz w:val="18"/>
                <w:szCs w:val="18"/>
              </w:rPr>
              <w:t xml:space="preserve"> </w:t>
            </w:r>
          </w:p>
        </w:tc>
      </w:tr>
    </w:tbl>
    <w:p w14:paraId="184F1A15" w14:textId="77777777" w:rsidR="00636EB2" w:rsidRDefault="00636EB2" w:rsidP="00441B6F">
      <w:pPr>
        <w:pStyle w:val="Body"/>
        <w:spacing w:after="0"/>
        <w:rPr>
          <w:rFonts w:ascii="Arial" w:hAnsi="Arial" w:cs="Arial"/>
          <w:i/>
        </w:rPr>
      </w:pPr>
    </w:p>
    <w:p w14:paraId="2DA8579E" w14:textId="0BB3982A" w:rsidR="00A24E7E" w:rsidRPr="00CD4E20" w:rsidRDefault="00A24E7E" w:rsidP="00441B6F">
      <w:pPr>
        <w:pStyle w:val="Body"/>
        <w:spacing w:after="0"/>
        <w:rPr>
          <w:rFonts w:ascii="Arial" w:hAnsi="Arial" w:cs="Arial"/>
          <w:i/>
          <w:iCs/>
        </w:rPr>
      </w:pPr>
      <w:r>
        <w:rPr>
          <w:rFonts w:ascii="Arial" w:hAnsi="Arial" w:cs="Arial"/>
          <w:i/>
        </w:rPr>
        <w:t xml:space="preserve">Keywords: </w:t>
      </w:r>
      <w:r w:rsidR="00CD4E20" w:rsidRPr="00CD4E20">
        <w:rPr>
          <w:rFonts w:ascii="Arial" w:hAnsi="Arial" w:cs="Arial"/>
          <w:i/>
          <w:iCs/>
        </w:rPr>
        <w:t xml:space="preserve">E-learning, Student Mental Health, ICT, Higher Education. </w:t>
      </w:r>
    </w:p>
    <w:p w14:paraId="2E3626E2" w14:textId="77777777" w:rsidR="00790ADA" w:rsidRDefault="00790ADA" w:rsidP="00441B6F">
      <w:pPr>
        <w:pStyle w:val="Body"/>
        <w:spacing w:after="0"/>
        <w:rPr>
          <w:rFonts w:ascii="Arial" w:hAnsi="Arial" w:cs="Arial"/>
          <w:i/>
        </w:rPr>
      </w:pPr>
    </w:p>
    <w:p w14:paraId="5B63D63F" w14:textId="77777777" w:rsidR="0024282C" w:rsidRDefault="0024282C" w:rsidP="00441B6F">
      <w:pPr>
        <w:pStyle w:val="Body"/>
        <w:spacing w:after="0"/>
        <w:rPr>
          <w:rFonts w:ascii="Arial" w:hAnsi="Arial" w:cs="Arial"/>
          <w:i/>
          <w:sz w:val="18"/>
        </w:rPr>
      </w:pPr>
    </w:p>
    <w:p w14:paraId="62F1C9FB" w14:textId="404EFD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103A72" w14:textId="77777777" w:rsidR="0010197E" w:rsidRDefault="0010197E" w:rsidP="00441B6F">
      <w:pPr>
        <w:pStyle w:val="AbstHead"/>
        <w:spacing w:after="0"/>
        <w:jc w:val="both"/>
        <w:rPr>
          <w:rFonts w:ascii="Arial" w:hAnsi="Arial" w:cs="Arial"/>
        </w:rPr>
      </w:pPr>
    </w:p>
    <w:p w14:paraId="289D2029" w14:textId="017B2585" w:rsidR="0010197E" w:rsidRPr="0010197E" w:rsidRDefault="0010197E" w:rsidP="00441B6F">
      <w:pPr>
        <w:pStyle w:val="AbstHead"/>
        <w:spacing w:after="0"/>
        <w:jc w:val="both"/>
        <w:rPr>
          <w:rFonts w:ascii="Arial" w:hAnsi="Arial" w:cs="Arial"/>
          <w:b w:val="0"/>
          <w:bCs/>
          <w:color w:val="EE0000"/>
          <w:sz w:val="20"/>
          <w:szCs w:val="18"/>
        </w:rPr>
      </w:pPr>
      <w:r>
        <w:rPr>
          <w:rFonts w:ascii="Arial" w:hAnsi="Arial" w:cs="Arial"/>
          <w:b w:val="0"/>
          <w:bCs/>
          <w:caps w:val="0"/>
          <w:color w:val="EE0000"/>
          <w:sz w:val="20"/>
          <w:szCs w:val="18"/>
        </w:rPr>
        <w:t xml:space="preserve">According WHO </w:t>
      </w:r>
      <w:r w:rsidR="00B002CE">
        <w:rPr>
          <w:rFonts w:ascii="Arial" w:hAnsi="Arial" w:cs="Arial"/>
          <w:b w:val="0"/>
          <w:bCs/>
          <w:caps w:val="0"/>
          <w:color w:val="EE0000"/>
          <w:sz w:val="20"/>
          <w:szCs w:val="18"/>
        </w:rPr>
        <w:t>‘</w:t>
      </w:r>
      <w:r w:rsidRPr="0010197E">
        <w:rPr>
          <w:rFonts w:ascii="Arial" w:hAnsi="Arial" w:cs="Arial"/>
          <w:b w:val="0"/>
          <w:bCs/>
          <w:caps w:val="0"/>
          <w:color w:val="EE0000"/>
          <w:sz w:val="20"/>
          <w:szCs w:val="18"/>
        </w:rPr>
        <w:t xml:space="preserve">Mental </w:t>
      </w:r>
      <w:r>
        <w:rPr>
          <w:rFonts w:ascii="Arial" w:hAnsi="Arial" w:cs="Arial"/>
          <w:b w:val="0"/>
          <w:bCs/>
          <w:caps w:val="0"/>
          <w:color w:val="EE0000"/>
          <w:sz w:val="20"/>
          <w:szCs w:val="18"/>
        </w:rPr>
        <w:t>h</w:t>
      </w:r>
      <w:r w:rsidRPr="0010197E">
        <w:rPr>
          <w:rFonts w:ascii="Arial" w:hAnsi="Arial" w:cs="Arial"/>
          <w:b w:val="0"/>
          <w:bCs/>
          <w:caps w:val="0"/>
          <w:color w:val="EE0000"/>
          <w:sz w:val="20"/>
          <w:szCs w:val="18"/>
        </w:rPr>
        <w:t xml:space="preserve">ealth </w:t>
      </w:r>
      <w:r>
        <w:rPr>
          <w:rFonts w:ascii="Arial" w:hAnsi="Arial" w:cs="Arial"/>
          <w:b w:val="0"/>
          <w:bCs/>
          <w:caps w:val="0"/>
          <w:color w:val="EE0000"/>
          <w:sz w:val="20"/>
          <w:szCs w:val="18"/>
        </w:rPr>
        <w:t>i</w:t>
      </w:r>
      <w:r w:rsidRPr="0010197E">
        <w:rPr>
          <w:rFonts w:ascii="Arial" w:hAnsi="Arial" w:cs="Arial"/>
          <w:b w:val="0"/>
          <w:bCs/>
          <w:caps w:val="0"/>
          <w:color w:val="EE0000"/>
          <w:sz w:val="20"/>
          <w:szCs w:val="18"/>
        </w:rPr>
        <w:t xml:space="preserve">s a </w:t>
      </w:r>
      <w:r>
        <w:rPr>
          <w:rFonts w:ascii="Arial" w:hAnsi="Arial" w:cs="Arial"/>
          <w:b w:val="0"/>
          <w:bCs/>
          <w:caps w:val="0"/>
          <w:color w:val="EE0000"/>
          <w:sz w:val="20"/>
          <w:szCs w:val="18"/>
        </w:rPr>
        <w:t>s</w:t>
      </w:r>
      <w:r w:rsidRPr="0010197E">
        <w:rPr>
          <w:rFonts w:ascii="Arial" w:hAnsi="Arial" w:cs="Arial"/>
          <w:b w:val="0"/>
          <w:bCs/>
          <w:caps w:val="0"/>
          <w:color w:val="EE0000"/>
          <w:sz w:val="20"/>
          <w:szCs w:val="18"/>
        </w:rPr>
        <w:t xml:space="preserve">tate of </w:t>
      </w:r>
      <w:r>
        <w:rPr>
          <w:rFonts w:ascii="Arial" w:hAnsi="Arial" w:cs="Arial"/>
          <w:b w:val="0"/>
          <w:bCs/>
          <w:caps w:val="0"/>
          <w:color w:val="EE0000"/>
          <w:sz w:val="20"/>
          <w:szCs w:val="18"/>
        </w:rPr>
        <w:t>m</w:t>
      </w:r>
      <w:r w:rsidRPr="0010197E">
        <w:rPr>
          <w:rFonts w:ascii="Arial" w:hAnsi="Arial" w:cs="Arial"/>
          <w:b w:val="0"/>
          <w:bCs/>
          <w:caps w:val="0"/>
          <w:color w:val="EE0000"/>
          <w:sz w:val="20"/>
          <w:szCs w:val="18"/>
        </w:rPr>
        <w:t xml:space="preserve">ental </w:t>
      </w:r>
      <w:r>
        <w:rPr>
          <w:rFonts w:ascii="Arial" w:hAnsi="Arial" w:cs="Arial"/>
          <w:b w:val="0"/>
          <w:bCs/>
          <w:caps w:val="0"/>
          <w:color w:val="EE0000"/>
          <w:sz w:val="20"/>
          <w:szCs w:val="18"/>
        </w:rPr>
        <w:t>w</w:t>
      </w:r>
      <w:r w:rsidRPr="0010197E">
        <w:rPr>
          <w:rFonts w:ascii="Arial" w:hAnsi="Arial" w:cs="Arial"/>
          <w:b w:val="0"/>
          <w:bCs/>
          <w:caps w:val="0"/>
          <w:color w:val="EE0000"/>
          <w:sz w:val="20"/>
          <w:szCs w:val="18"/>
        </w:rPr>
        <w:t>ell-</w:t>
      </w:r>
      <w:r>
        <w:rPr>
          <w:rFonts w:ascii="Arial" w:hAnsi="Arial" w:cs="Arial"/>
          <w:b w:val="0"/>
          <w:bCs/>
          <w:caps w:val="0"/>
          <w:color w:val="EE0000"/>
          <w:sz w:val="20"/>
          <w:szCs w:val="18"/>
        </w:rPr>
        <w:t>b</w:t>
      </w:r>
      <w:r w:rsidRPr="0010197E">
        <w:rPr>
          <w:rFonts w:ascii="Arial" w:hAnsi="Arial" w:cs="Arial"/>
          <w:b w:val="0"/>
          <w:bCs/>
          <w:caps w:val="0"/>
          <w:color w:val="EE0000"/>
          <w:sz w:val="20"/>
          <w:szCs w:val="18"/>
        </w:rPr>
        <w:t xml:space="preserve">eing </w:t>
      </w:r>
      <w:r>
        <w:rPr>
          <w:rFonts w:ascii="Arial" w:hAnsi="Arial" w:cs="Arial"/>
          <w:b w:val="0"/>
          <w:bCs/>
          <w:caps w:val="0"/>
          <w:color w:val="EE0000"/>
          <w:sz w:val="20"/>
          <w:szCs w:val="18"/>
        </w:rPr>
        <w:t>t</w:t>
      </w:r>
      <w:r w:rsidRPr="0010197E">
        <w:rPr>
          <w:rFonts w:ascii="Arial" w:hAnsi="Arial" w:cs="Arial"/>
          <w:b w:val="0"/>
          <w:bCs/>
          <w:caps w:val="0"/>
          <w:color w:val="EE0000"/>
          <w:sz w:val="20"/>
          <w:szCs w:val="18"/>
        </w:rPr>
        <w:t xml:space="preserve">hat </w:t>
      </w:r>
      <w:r>
        <w:rPr>
          <w:rFonts w:ascii="Arial" w:hAnsi="Arial" w:cs="Arial"/>
          <w:b w:val="0"/>
          <w:bCs/>
          <w:caps w:val="0"/>
          <w:color w:val="EE0000"/>
          <w:sz w:val="20"/>
          <w:szCs w:val="18"/>
        </w:rPr>
        <w:t>e</w:t>
      </w:r>
      <w:r w:rsidRPr="0010197E">
        <w:rPr>
          <w:rFonts w:ascii="Arial" w:hAnsi="Arial" w:cs="Arial"/>
          <w:b w:val="0"/>
          <w:bCs/>
          <w:caps w:val="0"/>
          <w:color w:val="EE0000"/>
          <w:sz w:val="20"/>
          <w:szCs w:val="18"/>
        </w:rPr>
        <w:t xml:space="preserve">nables </w:t>
      </w:r>
      <w:r>
        <w:rPr>
          <w:rFonts w:ascii="Arial" w:hAnsi="Arial" w:cs="Arial"/>
          <w:b w:val="0"/>
          <w:bCs/>
          <w:caps w:val="0"/>
          <w:color w:val="EE0000"/>
          <w:sz w:val="20"/>
          <w:szCs w:val="18"/>
        </w:rPr>
        <w:t>p</w:t>
      </w:r>
      <w:r w:rsidRPr="0010197E">
        <w:rPr>
          <w:rFonts w:ascii="Arial" w:hAnsi="Arial" w:cs="Arial"/>
          <w:b w:val="0"/>
          <w:bCs/>
          <w:caps w:val="0"/>
          <w:color w:val="EE0000"/>
          <w:sz w:val="20"/>
          <w:szCs w:val="18"/>
        </w:rPr>
        <w:t xml:space="preserve">eople to </w:t>
      </w:r>
      <w:r>
        <w:rPr>
          <w:rFonts w:ascii="Arial" w:hAnsi="Arial" w:cs="Arial"/>
          <w:b w:val="0"/>
          <w:bCs/>
          <w:caps w:val="0"/>
          <w:color w:val="EE0000"/>
          <w:sz w:val="20"/>
          <w:szCs w:val="18"/>
        </w:rPr>
        <w:t>c</w:t>
      </w:r>
      <w:r w:rsidRPr="0010197E">
        <w:rPr>
          <w:rFonts w:ascii="Arial" w:hAnsi="Arial" w:cs="Arial"/>
          <w:b w:val="0"/>
          <w:bCs/>
          <w:caps w:val="0"/>
          <w:color w:val="EE0000"/>
          <w:sz w:val="20"/>
          <w:szCs w:val="18"/>
        </w:rPr>
        <w:t xml:space="preserve">ope with the </w:t>
      </w:r>
      <w:r>
        <w:rPr>
          <w:rFonts w:ascii="Arial" w:hAnsi="Arial" w:cs="Arial"/>
          <w:b w:val="0"/>
          <w:bCs/>
          <w:caps w:val="0"/>
          <w:color w:val="EE0000"/>
          <w:sz w:val="20"/>
          <w:szCs w:val="18"/>
        </w:rPr>
        <w:t>s</w:t>
      </w:r>
      <w:r w:rsidRPr="0010197E">
        <w:rPr>
          <w:rFonts w:ascii="Arial" w:hAnsi="Arial" w:cs="Arial"/>
          <w:b w:val="0"/>
          <w:bCs/>
          <w:caps w:val="0"/>
          <w:color w:val="EE0000"/>
          <w:sz w:val="20"/>
          <w:szCs w:val="18"/>
        </w:rPr>
        <w:t xml:space="preserve">tresses of Life, realize </w:t>
      </w:r>
      <w:r>
        <w:rPr>
          <w:rFonts w:ascii="Arial" w:hAnsi="Arial" w:cs="Arial"/>
          <w:b w:val="0"/>
          <w:bCs/>
          <w:caps w:val="0"/>
          <w:color w:val="EE0000"/>
          <w:sz w:val="20"/>
          <w:szCs w:val="18"/>
        </w:rPr>
        <w:t>t</w:t>
      </w:r>
      <w:r w:rsidRPr="0010197E">
        <w:rPr>
          <w:rFonts w:ascii="Arial" w:hAnsi="Arial" w:cs="Arial"/>
          <w:b w:val="0"/>
          <w:bCs/>
          <w:caps w:val="0"/>
          <w:color w:val="EE0000"/>
          <w:sz w:val="20"/>
          <w:szCs w:val="18"/>
        </w:rPr>
        <w:t xml:space="preserve">heir </w:t>
      </w:r>
      <w:r>
        <w:rPr>
          <w:rFonts w:ascii="Arial" w:hAnsi="Arial" w:cs="Arial"/>
          <w:b w:val="0"/>
          <w:bCs/>
          <w:caps w:val="0"/>
          <w:color w:val="EE0000"/>
          <w:sz w:val="20"/>
          <w:szCs w:val="18"/>
        </w:rPr>
        <w:t>a</w:t>
      </w:r>
      <w:r w:rsidRPr="0010197E">
        <w:rPr>
          <w:rFonts w:ascii="Arial" w:hAnsi="Arial" w:cs="Arial"/>
          <w:b w:val="0"/>
          <w:bCs/>
          <w:caps w:val="0"/>
          <w:color w:val="EE0000"/>
          <w:sz w:val="20"/>
          <w:szCs w:val="18"/>
        </w:rPr>
        <w:t xml:space="preserve">bilities, </w:t>
      </w:r>
      <w:r>
        <w:rPr>
          <w:rFonts w:ascii="Arial" w:hAnsi="Arial" w:cs="Arial"/>
          <w:b w:val="0"/>
          <w:bCs/>
          <w:caps w:val="0"/>
          <w:color w:val="EE0000"/>
          <w:sz w:val="20"/>
          <w:szCs w:val="18"/>
        </w:rPr>
        <w:t>l</w:t>
      </w:r>
      <w:r w:rsidRPr="0010197E">
        <w:rPr>
          <w:rFonts w:ascii="Arial" w:hAnsi="Arial" w:cs="Arial"/>
          <w:b w:val="0"/>
          <w:bCs/>
          <w:caps w:val="0"/>
          <w:color w:val="EE0000"/>
          <w:sz w:val="20"/>
          <w:szCs w:val="18"/>
        </w:rPr>
        <w:t xml:space="preserve">earn and </w:t>
      </w:r>
      <w:r>
        <w:rPr>
          <w:rFonts w:ascii="Arial" w:hAnsi="Arial" w:cs="Arial"/>
          <w:b w:val="0"/>
          <w:bCs/>
          <w:caps w:val="0"/>
          <w:color w:val="EE0000"/>
          <w:sz w:val="20"/>
          <w:szCs w:val="18"/>
        </w:rPr>
        <w:t>w</w:t>
      </w:r>
      <w:r w:rsidRPr="0010197E">
        <w:rPr>
          <w:rFonts w:ascii="Arial" w:hAnsi="Arial" w:cs="Arial"/>
          <w:b w:val="0"/>
          <w:bCs/>
          <w:caps w:val="0"/>
          <w:color w:val="EE0000"/>
          <w:sz w:val="20"/>
          <w:szCs w:val="18"/>
        </w:rPr>
        <w:t xml:space="preserve">ork </w:t>
      </w:r>
      <w:r>
        <w:rPr>
          <w:rFonts w:ascii="Arial" w:hAnsi="Arial" w:cs="Arial"/>
          <w:b w:val="0"/>
          <w:bCs/>
          <w:caps w:val="0"/>
          <w:color w:val="EE0000"/>
          <w:sz w:val="20"/>
          <w:szCs w:val="18"/>
        </w:rPr>
        <w:t>w</w:t>
      </w:r>
      <w:r w:rsidRPr="0010197E">
        <w:rPr>
          <w:rFonts w:ascii="Arial" w:hAnsi="Arial" w:cs="Arial"/>
          <w:b w:val="0"/>
          <w:bCs/>
          <w:caps w:val="0"/>
          <w:color w:val="EE0000"/>
          <w:sz w:val="20"/>
          <w:szCs w:val="18"/>
        </w:rPr>
        <w:t xml:space="preserve">ell, </w:t>
      </w:r>
      <w:r>
        <w:rPr>
          <w:rFonts w:ascii="Arial" w:hAnsi="Arial" w:cs="Arial"/>
          <w:b w:val="0"/>
          <w:bCs/>
          <w:caps w:val="0"/>
          <w:color w:val="EE0000"/>
          <w:sz w:val="20"/>
          <w:szCs w:val="18"/>
        </w:rPr>
        <w:t>a</w:t>
      </w:r>
      <w:r w:rsidRPr="0010197E">
        <w:rPr>
          <w:rFonts w:ascii="Arial" w:hAnsi="Arial" w:cs="Arial"/>
          <w:b w:val="0"/>
          <w:bCs/>
          <w:caps w:val="0"/>
          <w:color w:val="EE0000"/>
          <w:sz w:val="20"/>
          <w:szCs w:val="18"/>
        </w:rPr>
        <w:t xml:space="preserve">nd </w:t>
      </w:r>
      <w:r>
        <w:rPr>
          <w:rFonts w:ascii="Arial" w:hAnsi="Arial" w:cs="Arial"/>
          <w:b w:val="0"/>
          <w:bCs/>
          <w:caps w:val="0"/>
          <w:color w:val="EE0000"/>
          <w:sz w:val="20"/>
          <w:szCs w:val="18"/>
        </w:rPr>
        <w:t>c</w:t>
      </w:r>
      <w:r w:rsidRPr="0010197E">
        <w:rPr>
          <w:rFonts w:ascii="Arial" w:hAnsi="Arial" w:cs="Arial"/>
          <w:b w:val="0"/>
          <w:bCs/>
          <w:caps w:val="0"/>
          <w:color w:val="EE0000"/>
          <w:sz w:val="20"/>
          <w:szCs w:val="18"/>
        </w:rPr>
        <w:t xml:space="preserve">ontribute to </w:t>
      </w:r>
      <w:r>
        <w:rPr>
          <w:rFonts w:ascii="Arial" w:hAnsi="Arial" w:cs="Arial"/>
          <w:b w:val="0"/>
          <w:bCs/>
          <w:caps w:val="0"/>
          <w:color w:val="EE0000"/>
          <w:sz w:val="20"/>
          <w:szCs w:val="18"/>
        </w:rPr>
        <w:t>t</w:t>
      </w:r>
      <w:r w:rsidRPr="0010197E">
        <w:rPr>
          <w:rFonts w:ascii="Arial" w:hAnsi="Arial" w:cs="Arial"/>
          <w:b w:val="0"/>
          <w:bCs/>
          <w:caps w:val="0"/>
          <w:color w:val="EE0000"/>
          <w:sz w:val="20"/>
          <w:szCs w:val="18"/>
        </w:rPr>
        <w:t xml:space="preserve">heir </w:t>
      </w:r>
      <w:r>
        <w:rPr>
          <w:rFonts w:ascii="Arial" w:hAnsi="Arial" w:cs="Arial"/>
          <w:b w:val="0"/>
          <w:bCs/>
          <w:caps w:val="0"/>
          <w:color w:val="EE0000"/>
          <w:sz w:val="20"/>
          <w:szCs w:val="18"/>
        </w:rPr>
        <w:t>c</w:t>
      </w:r>
      <w:r w:rsidRPr="0010197E">
        <w:rPr>
          <w:rFonts w:ascii="Arial" w:hAnsi="Arial" w:cs="Arial"/>
          <w:b w:val="0"/>
          <w:bCs/>
          <w:caps w:val="0"/>
          <w:color w:val="EE0000"/>
          <w:sz w:val="20"/>
          <w:szCs w:val="18"/>
        </w:rPr>
        <w:t xml:space="preserve">ommunity. It </w:t>
      </w:r>
      <w:r>
        <w:rPr>
          <w:rFonts w:ascii="Arial" w:hAnsi="Arial" w:cs="Arial"/>
          <w:b w:val="0"/>
          <w:bCs/>
          <w:caps w:val="0"/>
          <w:color w:val="EE0000"/>
          <w:sz w:val="20"/>
          <w:szCs w:val="18"/>
        </w:rPr>
        <w:t>h</w:t>
      </w:r>
      <w:r w:rsidRPr="0010197E">
        <w:rPr>
          <w:rFonts w:ascii="Arial" w:hAnsi="Arial" w:cs="Arial"/>
          <w:b w:val="0"/>
          <w:bCs/>
          <w:caps w:val="0"/>
          <w:color w:val="EE0000"/>
          <w:sz w:val="20"/>
          <w:szCs w:val="18"/>
        </w:rPr>
        <w:t xml:space="preserve">as Intrinsic and Instrumental </w:t>
      </w:r>
      <w:r>
        <w:rPr>
          <w:rFonts w:ascii="Arial" w:hAnsi="Arial" w:cs="Arial"/>
          <w:b w:val="0"/>
          <w:bCs/>
          <w:caps w:val="0"/>
          <w:color w:val="EE0000"/>
          <w:sz w:val="20"/>
          <w:szCs w:val="18"/>
        </w:rPr>
        <w:t>v</w:t>
      </w:r>
      <w:r w:rsidRPr="0010197E">
        <w:rPr>
          <w:rFonts w:ascii="Arial" w:hAnsi="Arial" w:cs="Arial"/>
          <w:b w:val="0"/>
          <w:bCs/>
          <w:caps w:val="0"/>
          <w:color w:val="EE0000"/>
          <w:sz w:val="20"/>
          <w:szCs w:val="18"/>
        </w:rPr>
        <w:t xml:space="preserve">alue and </w:t>
      </w:r>
      <w:r>
        <w:rPr>
          <w:rFonts w:ascii="Arial" w:hAnsi="Arial" w:cs="Arial"/>
          <w:b w:val="0"/>
          <w:bCs/>
          <w:caps w:val="0"/>
          <w:color w:val="EE0000"/>
          <w:sz w:val="20"/>
          <w:szCs w:val="18"/>
        </w:rPr>
        <w:t>i</w:t>
      </w:r>
      <w:r w:rsidRPr="0010197E">
        <w:rPr>
          <w:rFonts w:ascii="Arial" w:hAnsi="Arial" w:cs="Arial"/>
          <w:b w:val="0"/>
          <w:bCs/>
          <w:caps w:val="0"/>
          <w:color w:val="EE0000"/>
          <w:sz w:val="20"/>
          <w:szCs w:val="18"/>
        </w:rPr>
        <w:t xml:space="preserve">s a </w:t>
      </w:r>
      <w:r>
        <w:rPr>
          <w:rFonts w:ascii="Arial" w:hAnsi="Arial" w:cs="Arial"/>
          <w:b w:val="0"/>
          <w:bCs/>
          <w:caps w:val="0"/>
          <w:color w:val="EE0000"/>
          <w:sz w:val="20"/>
          <w:szCs w:val="18"/>
        </w:rPr>
        <w:t>b</w:t>
      </w:r>
      <w:r w:rsidRPr="0010197E">
        <w:rPr>
          <w:rFonts w:ascii="Arial" w:hAnsi="Arial" w:cs="Arial"/>
          <w:b w:val="0"/>
          <w:bCs/>
          <w:caps w:val="0"/>
          <w:color w:val="EE0000"/>
          <w:sz w:val="20"/>
          <w:szCs w:val="18"/>
        </w:rPr>
        <w:t xml:space="preserve">asic </w:t>
      </w:r>
      <w:r>
        <w:rPr>
          <w:rFonts w:ascii="Arial" w:hAnsi="Arial" w:cs="Arial"/>
          <w:b w:val="0"/>
          <w:bCs/>
          <w:caps w:val="0"/>
          <w:color w:val="EE0000"/>
          <w:sz w:val="20"/>
          <w:szCs w:val="18"/>
        </w:rPr>
        <w:t>h</w:t>
      </w:r>
      <w:r w:rsidRPr="0010197E">
        <w:rPr>
          <w:rFonts w:ascii="Arial" w:hAnsi="Arial" w:cs="Arial"/>
          <w:b w:val="0"/>
          <w:bCs/>
          <w:caps w:val="0"/>
          <w:color w:val="EE0000"/>
          <w:sz w:val="20"/>
          <w:szCs w:val="18"/>
        </w:rPr>
        <w:t xml:space="preserve">uman </w:t>
      </w:r>
      <w:r>
        <w:rPr>
          <w:rFonts w:ascii="Arial" w:hAnsi="Arial" w:cs="Arial"/>
          <w:b w:val="0"/>
          <w:bCs/>
          <w:caps w:val="0"/>
          <w:color w:val="EE0000"/>
          <w:sz w:val="20"/>
          <w:szCs w:val="18"/>
        </w:rPr>
        <w:t>r</w:t>
      </w:r>
      <w:r w:rsidRPr="0010197E">
        <w:rPr>
          <w:rFonts w:ascii="Arial" w:hAnsi="Arial" w:cs="Arial"/>
          <w:b w:val="0"/>
          <w:bCs/>
          <w:caps w:val="0"/>
          <w:color w:val="EE0000"/>
          <w:sz w:val="20"/>
          <w:szCs w:val="18"/>
        </w:rPr>
        <w:t>ight</w:t>
      </w:r>
      <w:r w:rsidR="00B002CE">
        <w:rPr>
          <w:rFonts w:ascii="Arial" w:hAnsi="Arial" w:cs="Arial"/>
          <w:b w:val="0"/>
          <w:bCs/>
          <w:caps w:val="0"/>
          <w:color w:val="EE0000"/>
          <w:sz w:val="20"/>
          <w:szCs w:val="18"/>
        </w:rPr>
        <w:t>’</w:t>
      </w:r>
      <w:r w:rsidRPr="0010197E">
        <w:rPr>
          <w:rFonts w:ascii="Arial" w:hAnsi="Arial" w:cs="Arial"/>
          <w:b w:val="0"/>
          <w:bCs/>
          <w:caps w:val="0"/>
          <w:color w:val="EE0000"/>
          <w:sz w:val="20"/>
          <w:szCs w:val="18"/>
        </w:rPr>
        <w:t xml:space="preserve">. </w:t>
      </w:r>
    </w:p>
    <w:p w14:paraId="70DE8802" w14:textId="77777777" w:rsidR="00790ADA" w:rsidRPr="00FB3A86" w:rsidRDefault="00790ADA" w:rsidP="00441B6F">
      <w:pPr>
        <w:pStyle w:val="AbstHead"/>
        <w:spacing w:after="0"/>
        <w:jc w:val="both"/>
        <w:rPr>
          <w:rFonts w:ascii="Arial" w:hAnsi="Arial" w:cs="Arial"/>
        </w:rPr>
      </w:pPr>
    </w:p>
    <w:p w14:paraId="0C1E8CCF" w14:textId="77777777" w:rsidR="00CD4E20" w:rsidRPr="00625DB0" w:rsidRDefault="00CD4E20" w:rsidP="00CD4E20">
      <w:pPr>
        <w:spacing w:after="240"/>
        <w:jc w:val="both"/>
        <w:rPr>
          <w:rFonts w:ascii="Arial" w:hAnsi="Arial" w:cs="Arial"/>
        </w:rPr>
      </w:pPr>
      <w:r w:rsidRPr="00625DB0">
        <w:rPr>
          <w:rFonts w:ascii="Arial" w:hAnsi="Arial" w:cs="Arial"/>
        </w:rPr>
        <w:t xml:space="preserve">In contemporary India, millions of students aspire to gain admission into prestigious institutions through competitive examinations such as NEET and JEE. To prepare for these high-stakes exams, many rely on coaching institutes, often beginning their preparation years in advance (Duggal, 2024). However, traditional offline coaching </w:t>
      </w:r>
      <w:proofErr w:type="spellStart"/>
      <w:r w:rsidRPr="00625DB0">
        <w:rPr>
          <w:rFonts w:ascii="Arial" w:hAnsi="Arial" w:cs="Arial"/>
        </w:rPr>
        <w:t>centres</w:t>
      </w:r>
      <w:proofErr w:type="spellEnd"/>
      <w:r w:rsidRPr="00625DB0">
        <w:rPr>
          <w:rFonts w:ascii="Arial" w:hAnsi="Arial" w:cs="Arial"/>
        </w:rPr>
        <w:t xml:space="preserve"> come with significant limitations, including high costs, limited accessibility, rigid schedules, and inconsistent quality. Against this </w:t>
      </w:r>
      <w:r w:rsidRPr="00625DB0">
        <w:rPr>
          <w:rFonts w:ascii="Arial" w:hAnsi="Arial" w:cs="Arial"/>
        </w:rPr>
        <w:lastRenderedPageBreak/>
        <w:t>backdrop, e-learning—especially through online coaching platforms—has emerged as a transformative alternative (</w:t>
      </w:r>
      <w:proofErr w:type="spellStart"/>
      <w:r w:rsidRPr="00625DB0">
        <w:rPr>
          <w:rFonts w:ascii="Arial" w:hAnsi="Arial" w:cs="Arial"/>
        </w:rPr>
        <w:t>Alenezi</w:t>
      </w:r>
      <w:proofErr w:type="spellEnd"/>
      <w:r w:rsidRPr="00625DB0">
        <w:rPr>
          <w:rFonts w:ascii="Arial" w:hAnsi="Arial" w:cs="Arial"/>
        </w:rPr>
        <w:t>, 2022).</w:t>
      </w:r>
    </w:p>
    <w:p w14:paraId="0B0C8B9D" w14:textId="77777777" w:rsidR="00CD4E20" w:rsidRPr="00625DB0" w:rsidRDefault="00CD4E20" w:rsidP="00CD4E20">
      <w:pPr>
        <w:spacing w:after="240"/>
        <w:jc w:val="both"/>
        <w:rPr>
          <w:rFonts w:ascii="Arial" w:hAnsi="Arial" w:cs="Arial"/>
        </w:rPr>
      </w:pPr>
      <w:r w:rsidRPr="00625DB0">
        <w:rPr>
          <w:rFonts w:ascii="Arial" w:hAnsi="Arial" w:cs="Arial"/>
        </w:rPr>
        <w:t>E-learning refers to “learning experiences in synchronous or asynchronous environments using different devices (e.g., mobile phones, laptops) with internet access. In these environments, students can be anywhere to learn and interact with instructors and other students” (Singh &amp; Thurman, 2019). Synchronous platforms allow students to participate in live lectures with real-time interaction, while asynchronous platforms provide learning materials without fixed schedules, often at the cost of immediate feedback and structured engagement. According to Nortvig et al. (2018), e-learning systems can deliver lectures through video sharing, resource distribution, and regular assessments while allowing teachers to monitor attendance and participation digitally.</w:t>
      </w:r>
    </w:p>
    <w:p w14:paraId="7B54B22A" w14:textId="77777777" w:rsidR="00CD4E20" w:rsidRPr="00625DB0" w:rsidRDefault="00CD4E20" w:rsidP="00CD4E20">
      <w:pPr>
        <w:spacing w:after="240"/>
        <w:jc w:val="both"/>
        <w:rPr>
          <w:rFonts w:ascii="Arial" w:hAnsi="Arial" w:cs="Arial"/>
        </w:rPr>
      </w:pPr>
      <w:r w:rsidRPr="00625DB0">
        <w:rPr>
          <w:rFonts w:ascii="Arial" w:hAnsi="Arial" w:cs="Arial"/>
        </w:rPr>
        <w:t xml:space="preserve">Despite these benefits, the digital mode of education introduces new layers of complexity. Access to content is mediated through institutional apps and often supplemented through social media channels like WhatsApp and Telegram. Assessment and feedback mechanisms are embedded within these platforms (Navaneeth &amp; </w:t>
      </w:r>
      <w:proofErr w:type="spellStart"/>
      <w:r w:rsidRPr="00625DB0">
        <w:rPr>
          <w:rFonts w:ascii="Arial" w:hAnsi="Arial" w:cs="Arial"/>
        </w:rPr>
        <w:t>Varyani</w:t>
      </w:r>
      <w:proofErr w:type="spellEnd"/>
      <w:r w:rsidRPr="00625DB0">
        <w:rPr>
          <w:rFonts w:ascii="Arial" w:hAnsi="Arial" w:cs="Arial"/>
        </w:rPr>
        <w:t>, 2020). However, the quality of the e-learning experience is influenced by three core domains: logistics (e.g., internet access and device availability), psychological factors (e.g., attention span and motivation), and social factors (e.g., peer interaction and support).</w:t>
      </w:r>
    </w:p>
    <w:p w14:paraId="7B43F4EF" w14:textId="77777777" w:rsidR="00CD4E20" w:rsidRPr="00625DB0" w:rsidRDefault="00CD4E20" w:rsidP="00CD4E20">
      <w:pPr>
        <w:spacing w:after="240"/>
        <w:jc w:val="both"/>
        <w:rPr>
          <w:rFonts w:ascii="Arial" w:hAnsi="Arial" w:cs="Arial"/>
        </w:rPr>
      </w:pPr>
      <w:r w:rsidRPr="00625DB0">
        <w:rPr>
          <w:rFonts w:ascii="Arial" w:hAnsi="Arial" w:cs="Arial"/>
        </w:rPr>
        <w:t>E-learning, supported by Information and Communication Technology (ICT), enables anytime-anywhere learning, reshaping the traditional classroom paradigm. It supports not only learners but also educators, allowing them to update pedagogical skills in alignment with 21st-century digital tools (Behera, 2013). Yet, e-learning's impact goes beyond academic delivery—it influences student mental health, particularly among those engaged in intensive online coaching. Issues such as internet instability, limited communication, lack of personal space, and prolonged screen time contribute to heightened stress, burnout, and emotional fatigue (Amir et al., 2020; Malik &amp; Javed, 2021).</w:t>
      </w:r>
    </w:p>
    <w:p w14:paraId="79186271" w14:textId="77777777" w:rsidR="00CD4E20" w:rsidRPr="00625DB0" w:rsidRDefault="00CD4E20" w:rsidP="00CD4E20">
      <w:pPr>
        <w:spacing w:after="240"/>
        <w:jc w:val="both"/>
        <w:rPr>
          <w:rFonts w:ascii="Arial" w:hAnsi="Arial" w:cs="Arial"/>
        </w:rPr>
      </w:pPr>
      <w:r w:rsidRPr="00625DB0">
        <w:rPr>
          <w:rFonts w:ascii="Arial" w:hAnsi="Arial" w:cs="Arial"/>
        </w:rPr>
        <w:t>Learning is inherently a social process (Lowenthal, 2009). The absence of face-to-face interaction in online environments diminishes social presence and can negatively affect learner satisfaction (</w:t>
      </w:r>
      <w:proofErr w:type="spellStart"/>
      <w:r w:rsidRPr="00625DB0">
        <w:rPr>
          <w:rFonts w:ascii="Arial" w:hAnsi="Arial" w:cs="Arial"/>
        </w:rPr>
        <w:t>Alenezi</w:t>
      </w:r>
      <w:proofErr w:type="spellEnd"/>
      <w:r w:rsidRPr="00625DB0">
        <w:rPr>
          <w:rFonts w:ascii="Arial" w:hAnsi="Arial" w:cs="Arial"/>
        </w:rPr>
        <w:t>, 2022). Factors like social identity, support networks, and peer interaction are central to a holistic learning experience but are often lacking in digital learning environments.</w:t>
      </w:r>
    </w:p>
    <w:p w14:paraId="37857F5D" w14:textId="77777777" w:rsidR="00CD4E20" w:rsidRPr="00625DB0" w:rsidRDefault="00CD4E20" w:rsidP="00CD4E20">
      <w:pPr>
        <w:spacing w:after="240"/>
        <w:jc w:val="both"/>
        <w:rPr>
          <w:rFonts w:ascii="Arial" w:hAnsi="Arial" w:cs="Arial"/>
        </w:rPr>
      </w:pPr>
      <w:r w:rsidRPr="00625DB0">
        <w:rPr>
          <w:rFonts w:ascii="Arial" w:hAnsi="Arial" w:cs="Arial"/>
        </w:rPr>
        <w:t>In Tamil Nadu, one of India’s most educationally advanced states, e-learning adoption has grown significantly in recent years, especially during and after the COVID-19 pandemic. According to the Tamil Nadu School Education Department, over 92% of higher secondary students accessed online education during school closures in 2020–2021 through government platforms such as Kalvi TV and Diksha (Government of Tamil Nadu, 2021). Additionally, the Tamil Nadu Teachers Recruitment Board (2022) reported that nearly 68% of college students were enrolled in at least one online course or coaching program. While digital penetration is commendable in urban areas like Chennai and Coimbatore, rural districts face infrastructural barriers including poor internet connectivity and lack of devices (Sundararaman &amp; Karthikeyan, 2021). A state-wide survey by the Institute of Financial Management and Research (IFMR, 2022) found that 54% of college students in Tamil Nadu reported increased stress and lack of peer interaction as major drawbacks of online learning. These regional findings indicate that while e-learning has expanded access, it has also introduced new socio-emotional challenges—particularly in exam-focused coaching setups (Sivakumar, 2016). Thus, Tamil Nadu offers a pertinent case study to explore the psychosocial impact of digital education in diverse educational and socio-economic contexts.</w:t>
      </w:r>
    </w:p>
    <w:p w14:paraId="1773E56F" w14:textId="77777777" w:rsidR="00CD4E20" w:rsidRPr="00625DB0" w:rsidRDefault="00CD4E20" w:rsidP="00CD4E20">
      <w:pPr>
        <w:spacing w:after="240"/>
        <w:jc w:val="both"/>
        <w:rPr>
          <w:rFonts w:ascii="Arial" w:hAnsi="Arial" w:cs="Arial"/>
        </w:rPr>
      </w:pPr>
      <w:r w:rsidRPr="00625DB0">
        <w:rPr>
          <w:rFonts w:ascii="Arial" w:hAnsi="Arial" w:cs="Arial"/>
        </w:rPr>
        <w:lastRenderedPageBreak/>
        <w:t>In light of these concerns, the present study investigates the lived experiences and psychosocial challenges of students enrolled in online coaching programs. Given the limited Indian research focusing on this rapidly growing educational format, this study aims to bridge the gap by offering empirical insights. The findings will not only enhance the understanding of how e-learning influences student mental health but also inform instructional design, curriculum planning, and student support services. By recognizing and addressing these challenges, educators and policymakers can foster more inclusive, supportive, and mentally healthy digital learning ecosystems.</w:t>
      </w:r>
    </w:p>
    <w:p w14:paraId="56FFA012" w14:textId="5C42C083" w:rsidR="007F7B32" w:rsidRPr="00CD4E20" w:rsidRDefault="00CD4E20" w:rsidP="00CD4E20">
      <w:pPr>
        <w:pStyle w:val="Body"/>
        <w:spacing w:after="0"/>
        <w:rPr>
          <w:rFonts w:ascii="Arial" w:hAnsi="Arial" w:cs="Arial"/>
          <w:b/>
          <w:bCs/>
          <w:sz w:val="22"/>
          <w:szCs w:val="22"/>
        </w:rPr>
      </w:pPr>
      <w:r w:rsidRPr="00CD4E20">
        <w:rPr>
          <w:rFonts w:ascii="Arial" w:hAnsi="Arial" w:cs="Arial"/>
          <w:b/>
          <w:bCs/>
          <w:sz w:val="22"/>
          <w:szCs w:val="22"/>
        </w:rPr>
        <w:t xml:space="preserve"> 2. LITERATURE REVIEW </w:t>
      </w:r>
    </w:p>
    <w:p w14:paraId="27ACAC28" w14:textId="77777777" w:rsidR="00790ADA" w:rsidRPr="00FB3A86" w:rsidRDefault="00790ADA" w:rsidP="00441B6F">
      <w:pPr>
        <w:pStyle w:val="AbstHead"/>
        <w:spacing w:after="0"/>
        <w:jc w:val="both"/>
        <w:rPr>
          <w:rFonts w:ascii="Arial" w:hAnsi="Arial" w:cs="Arial"/>
        </w:rPr>
      </w:pPr>
    </w:p>
    <w:p w14:paraId="72CAF819" w14:textId="77777777" w:rsidR="00CD4E20" w:rsidRPr="00CD4E20" w:rsidRDefault="00CD4E20" w:rsidP="00CD4E20">
      <w:pPr>
        <w:spacing w:after="240"/>
        <w:jc w:val="both"/>
        <w:rPr>
          <w:rFonts w:ascii="Arial" w:hAnsi="Arial" w:cs="Arial"/>
        </w:rPr>
      </w:pPr>
      <w:r w:rsidRPr="00CD4E20">
        <w:rPr>
          <w:rFonts w:ascii="Arial" w:hAnsi="Arial" w:cs="Arial"/>
        </w:rPr>
        <w:t xml:space="preserve">The expanding adoption of e-learning has been widely discussed in educational research, with scholars emphasizing its role in fostering learner confidence, motivation, and autonomy (Nawaz &amp; Qureshi, 2010). Studies consistently highlight flexibility, accessibility, and convenience as core advantages that make online learning attractive to diverse learner populations (Ozkan &amp; </w:t>
      </w:r>
      <w:proofErr w:type="spellStart"/>
      <w:r w:rsidRPr="00CD4E20">
        <w:rPr>
          <w:rFonts w:ascii="Arial" w:hAnsi="Arial" w:cs="Arial"/>
        </w:rPr>
        <w:t>Koseler</w:t>
      </w:r>
      <w:proofErr w:type="spellEnd"/>
      <w:r w:rsidRPr="00CD4E20">
        <w:rPr>
          <w:rFonts w:ascii="Arial" w:hAnsi="Arial" w:cs="Arial"/>
        </w:rPr>
        <w:t>, 2009). Globally, universities have integrated e-learning into conventional pedagogical frameworks through learning management systems, discussion forums, and digital classrooms, enabling instruction across geographical boundaries (Wani, 2013). Collectively, these studies position e-learning as a transformative instructional mode capable of extending access to education.</w:t>
      </w:r>
    </w:p>
    <w:p w14:paraId="6F9CB929" w14:textId="77777777" w:rsidR="00CD4E20" w:rsidRPr="00CD4E20" w:rsidRDefault="00CD4E20" w:rsidP="00CD4E20">
      <w:pPr>
        <w:spacing w:after="240"/>
        <w:jc w:val="both"/>
        <w:rPr>
          <w:rFonts w:ascii="Arial" w:hAnsi="Arial" w:cs="Arial"/>
        </w:rPr>
      </w:pPr>
      <w:r w:rsidRPr="00CD4E20">
        <w:rPr>
          <w:rFonts w:ascii="Arial" w:hAnsi="Arial" w:cs="Arial"/>
        </w:rPr>
        <w:t>Beyond access, several researchers underscore e-learning’s potential to promote self-directed learning. Behera (2013) argues that digital platforms extend learning beyond classroom constraints by enabling asynchronous engagement with content. Empirical evidence further suggests that e-learning cultivates self-discipline, responsibility, and intrinsic motivation among learners (</w:t>
      </w:r>
      <w:proofErr w:type="spellStart"/>
      <w:r w:rsidRPr="00CD4E20">
        <w:rPr>
          <w:rFonts w:ascii="Arial" w:hAnsi="Arial" w:cs="Arial"/>
        </w:rPr>
        <w:t>Truntyagin</w:t>
      </w:r>
      <w:proofErr w:type="spellEnd"/>
      <w:r w:rsidRPr="00CD4E20">
        <w:rPr>
          <w:rFonts w:ascii="Arial" w:hAnsi="Arial" w:cs="Arial"/>
        </w:rPr>
        <w:t xml:space="preserve"> et al., 2016; Salamat et al., 2018). However, while these studies emphasize individual learner benefits, they often treat motivation and autonomy as outcomes in isolation, with limited attention to the broader psychological demands imposed by prolonged online engagement.</w:t>
      </w:r>
    </w:p>
    <w:p w14:paraId="6A785141" w14:textId="77777777" w:rsidR="00CD4E20" w:rsidRPr="00CD4E20" w:rsidRDefault="00CD4E20" w:rsidP="00CD4E20">
      <w:pPr>
        <w:spacing w:after="240"/>
        <w:jc w:val="both"/>
        <w:rPr>
          <w:rFonts w:ascii="Arial" w:hAnsi="Arial" w:cs="Arial"/>
        </w:rPr>
      </w:pPr>
      <w:r w:rsidRPr="00CD4E20">
        <w:rPr>
          <w:rFonts w:ascii="Arial" w:hAnsi="Arial" w:cs="Arial"/>
        </w:rPr>
        <w:t>In the Indian context, national initiatives such as SWAYAM and DIKSHA signal strong policy-level commitment to digital education (Gaikwad &amp; Randhir, 2016). Improved internet penetration and the growing use of social media for academic content dissemination have accelerated the normalization of e-learning in higher education (Chahal &amp; Rani, 2022). Nevertheless, existing Indian studies largely focus on infrastructure development, access, and adoption rates, offering limited insight into students’ lived experiences and well-being within online learning environments.</w:t>
      </w:r>
    </w:p>
    <w:p w14:paraId="24D21217" w14:textId="77777777" w:rsidR="00CD4E20" w:rsidRPr="00CD4E20" w:rsidRDefault="00CD4E20" w:rsidP="00CD4E20">
      <w:pPr>
        <w:spacing w:after="240"/>
        <w:jc w:val="both"/>
        <w:rPr>
          <w:rFonts w:ascii="Arial" w:hAnsi="Arial" w:cs="Arial"/>
        </w:rPr>
      </w:pPr>
      <w:r w:rsidRPr="00CD4E20">
        <w:rPr>
          <w:rFonts w:ascii="Arial" w:hAnsi="Arial" w:cs="Arial"/>
        </w:rPr>
        <w:t xml:space="preserve">Critical scholarship draws attention to the structural and pedagogical challenges associated with e-learning, particularly in developing countries. Inadequate digital infrastructure, low levels of digital literacy, and resistance to technological change continue to constrain effective implementation (Abdullah &amp; </w:t>
      </w:r>
      <w:proofErr w:type="spellStart"/>
      <w:r w:rsidRPr="00CD4E20">
        <w:rPr>
          <w:rFonts w:ascii="Arial" w:hAnsi="Arial" w:cs="Arial"/>
        </w:rPr>
        <w:t>Toycan</w:t>
      </w:r>
      <w:proofErr w:type="spellEnd"/>
      <w:r w:rsidRPr="00CD4E20">
        <w:rPr>
          <w:rFonts w:ascii="Arial" w:hAnsi="Arial" w:cs="Arial"/>
        </w:rPr>
        <w:t>, 2018). Moreover, concerns regarding content quality, limited interaction, and insufficient contextual feedback have been shown to impede meaningful learning (</w:t>
      </w:r>
      <w:proofErr w:type="spellStart"/>
      <w:r w:rsidRPr="00CD4E20">
        <w:rPr>
          <w:rFonts w:ascii="Arial" w:hAnsi="Arial" w:cs="Arial"/>
        </w:rPr>
        <w:t>Pattanwala</w:t>
      </w:r>
      <w:proofErr w:type="spellEnd"/>
      <w:r w:rsidRPr="00CD4E20">
        <w:rPr>
          <w:rFonts w:ascii="Arial" w:hAnsi="Arial" w:cs="Arial"/>
        </w:rPr>
        <w:t xml:space="preserve"> &amp; Siranjeevi, 2020). These challenges are compounded in rural and economically disadvantaged settings, where unreliable connectivity and lack of digital devices remain persistent barriers (Kumar &amp; </w:t>
      </w:r>
      <w:proofErr w:type="spellStart"/>
      <w:r w:rsidRPr="00CD4E20">
        <w:rPr>
          <w:rFonts w:ascii="Arial" w:hAnsi="Arial" w:cs="Arial"/>
        </w:rPr>
        <w:t>Toteja</w:t>
      </w:r>
      <w:proofErr w:type="spellEnd"/>
      <w:r w:rsidRPr="00CD4E20">
        <w:rPr>
          <w:rFonts w:ascii="Arial" w:hAnsi="Arial" w:cs="Arial"/>
        </w:rPr>
        <w:t xml:space="preserve">, 2012; </w:t>
      </w:r>
      <w:proofErr w:type="spellStart"/>
      <w:r w:rsidRPr="00CD4E20">
        <w:rPr>
          <w:rFonts w:ascii="Arial" w:hAnsi="Arial" w:cs="Arial"/>
        </w:rPr>
        <w:t>Butola</w:t>
      </w:r>
      <w:proofErr w:type="spellEnd"/>
      <w:r w:rsidRPr="00CD4E20">
        <w:rPr>
          <w:rFonts w:ascii="Arial" w:hAnsi="Arial" w:cs="Arial"/>
        </w:rPr>
        <w:t>, 2021).</w:t>
      </w:r>
    </w:p>
    <w:p w14:paraId="2A0CD047" w14:textId="77777777" w:rsidR="00CD4E20" w:rsidRPr="00CD4E20" w:rsidRDefault="00CD4E20" w:rsidP="00CD4E20">
      <w:pPr>
        <w:spacing w:after="240"/>
        <w:jc w:val="both"/>
        <w:rPr>
          <w:rFonts w:ascii="Arial" w:hAnsi="Arial" w:cs="Arial"/>
        </w:rPr>
      </w:pPr>
      <w:r w:rsidRPr="00CD4E20">
        <w:rPr>
          <w:rFonts w:ascii="Arial" w:hAnsi="Arial" w:cs="Arial"/>
        </w:rPr>
        <w:t xml:space="preserve">Beyond technical limitations, recent studies highlight the psychological implications of e-learning. Cognitive overload, screen fatigue, diminished attention span, and reduced peer interaction have been identified as significant concerns affecting student engagement and mental health (Malik &amp; Javed, 2021). Although these studies acknowledge emotional stress and motivational decline, they often fail to systematically examine how these factors interact </w:t>
      </w:r>
      <w:r w:rsidRPr="00CD4E20">
        <w:rPr>
          <w:rFonts w:ascii="Arial" w:hAnsi="Arial" w:cs="Arial"/>
        </w:rPr>
        <w:lastRenderedPageBreak/>
        <w:t>with academic performance, particularly in intensive online coaching or long-duration learning contexts.</w:t>
      </w:r>
    </w:p>
    <w:p w14:paraId="489EF80D" w14:textId="77777777" w:rsidR="00CD4E20" w:rsidRDefault="00CD4E20" w:rsidP="00CD4E20">
      <w:pPr>
        <w:spacing w:after="240"/>
        <w:jc w:val="both"/>
        <w:rPr>
          <w:rFonts w:ascii="Arial" w:hAnsi="Arial" w:cs="Arial"/>
        </w:rPr>
      </w:pPr>
      <w:r w:rsidRPr="00CD4E20">
        <w:rPr>
          <w:rFonts w:ascii="Arial" w:hAnsi="Arial" w:cs="Arial"/>
        </w:rPr>
        <w:t>At the same time, proponents argue that e-learning’s adaptability enables personalized learning pathways aligned with students’ needs, interests, and learning pace (</w:t>
      </w:r>
      <w:proofErr w:type="spellStart"/>
      <w:r w:rsidRPr="00CD4E20">
        <w:rPr>
          <w:rFonts w:ascii="Arial" w:hAnsi="Arial" w:cs="Arial"/>
        </w:rPr>
        <w:t>Kiboss</w:t>
      </w:r>
      <w:proofErr w:type="spellEnd"/>
      <w:r w:rsidRPr="00CD4E20">
        <w:rPr>
          <w:rFonts w:ascii="Arial" w:hAnsi="Arial" w:cs="Arial"/>
        </w:rPr>
        <w:t xml:space="preserve">, 2000; Navaneeth &amp; </w:t>
      </w:r>
      <w:proofErr w:type="spellStart"/>
      <w:r w:rsidRPr="00CD4E20">
        <w:rPr>
          <w:rFonts w:ascii="Arial" w:hAnsi="Arial" w:cs="Arial"/>
        </w:rPr>
        <w:t>Varyani</w:t>
      </w:r>
      <w:proofErr w:type="spellEnd"/>
      <w:r w:rsidRPr="00CD4E20">
        <w:rPr>
          <w:rFonts w:ascii="Arial" w:hAnsi="Arial" w:cs="Arial"/>
        </w:rPr>
        <w:t>, 2020). Multimedia integration and diversified instructional strategies further enhance learner engagement and problem-solving skills (Pujari &amp; Kalet, 2021). The COVID-19 pandemic accelerated acceptance of such digital modalities, reshaping attitudes among both educators and learners (Wani et al., 2022). However, much of the pandemic-era research prioritizes emergency remote teaching rather than sustained online learning experiences.</w:t>
      </w:r>
    </w:p>
    <w:p w14:paraId="2E05F469" w14:textId="5DD30DAE" w:rsidR="004C4163" w:rsidRPr="00087C33" w:rsidRDefault="004C4163" w:rsidP="009024C8">
      <w:pPr>
        <w:tabs>
          <w:tab w:val="left" w:pos="142"/>
        </w:tabs>
        <w:spacing w:after="240"/>
        <w:jc w:val="both"/>
        <w:rPr>
          <w:rFonts w:ascii="Arial" w:hAnsi="Arial" w:cs="Arial"/>
          <w:color w:val="EE0000"/>
        </w:rPr>
      </w:pPr>
      <w:r w:rsidRPr="00087C33">
        <w:rPr>
          <w:rFonts w:ascii="Arial" w:hAnsi="Arial" w:cs="Arial"/>
          <w:color w:val="EE0000"/>
        </w:rPr>
        <w:t xml:space="preserve">Adeyeye's (2024) research deeply explores Foucault's concept of governmentality and its practical applications in empirical studies, focusing specifically on education. Based on recent academic research, this analysis provided a thorough evaluation of the concept's adoption and application, followed by an examination of educational and health studies that use a governmentality perspective. Focusing on historical context, this perspective questions established frameworks and uncovers different potentials within these disciplines. The study by Adeyeye highlighted the necessity of empirical work with a governmentality lens to better grasp institutional power dynamics. The exploration also covered Foucault's concept of governmentality and its progression within modern literary works, stressing its intricate and fluid aspects. Ultimately, it acknowledged criticisms of Foucault's concept and proposed possible directions for future investigation, such as examining its influence on the evolution of capitalism and conducting education system studies tailored to specific periods. Adeyeye's substantial contribution to academic research comes from his in-depth exploration of Michel Foucault's governmentality and how it applies to higher education. It enhances comprehension of power dynamics in educational settings and highlights how neoliberal policies shape administration and educational approaches. </w:t>
      </w:r>
    </w:p>
    <w:p w14:paraId="665857BC" w14:textId="68656B0C" w:rsidR="00011B78" w:rsidRPr="00087C33" w:rsidRDefault="00011B78" w:rsidP="00366970">
      <w:pPr>
        <w:spacing w:after="240"/>
        <w:jc w:val="both"/>
        <w:rPr>
          <w:rFonts w:ascii="Arial" w:hAnsi="Arial" w:cs="Arial"/>
          <w:color w:val="EE0000"/>
        </w:rPr>
      </w:pPr>
      <w:r w:rsidRPr="00087C33">
        <w:rPr>
          <w:rFonts w:ascii="Arial" w:hAnsi="Arial" w:cs="Arial"/>
          <w:color w:val="EE0000"/>
        </w:rPr>
        <w:t xml:space="preserve">Dai et al. (2025) investigate shifts in power within AI-driven education, utilizing Foucault's ideas on surveillance, disciplinary control, and normalization. This study examines how AI surveillance alters behaviors and perceptions and identifies emerging educational norms. It uses qualitative data from 27 English and Chinese-speaking stakeholders, such as students, teachers, administrators, and parents, without geographical limitations. Thematic analysis uncovered four significant themes: making widespread surveillance and behavior control seem normal, valuing efficiency more than independence, underscoring the human role in AI-aided learning, and fostering human-AI partnership. Machine learning actively shapes and controls, mirroring a new power dynamic beyond traditional surveillance. It presents innovative disciplinary techniques that favor efficiency, diminishing autonomy and privacy. The discoveries emphasize the indispensable nature of human interaction, even amidst these transformations, indicating a future where human control is paramount in overseeing and supporting AI in educational settings. </w:t>
      </w:r>
    </w:p>
    <w:p w14:paraId="3034BC4D" w14:textId="3D120F3E" w:rsidR="00CB097D" w:rsidRPr="00087C33" w:rsidRDefault="00CB097D" w:rsidP="00087C33">
      <w:pPr>
        <w:spacing w:after="240"/>
        <w:jc w:val="both"/>
        <w:rPr>
          <w:rFonts w:ascii="Arial" w:hAnsi="Arial" w:cs="Arial"/>
          <w:color w:val="EE0000"/>
        </w:rPr>
      </w:pPr>
      <w:r w:rsidRPr="00087C33">
        <w:rPr>
          <w:rFonts w:ascii="Arial" w:hAnsi="Arial" w:cs="Arial"/>
          <w:color w:val="EE0000"/>
        </w:rPr>
        <w:t xml:space="preserve">In the digital age, the mechanisms of power and control have evolved beyond Foucault’s disciplinary societies, giving rise to a new paradigm of algorithmic governance. In this study, Foucault's concept of the human subject is reinterpreted with a critical lens, incorporating current digital surveillance, big data analytics, and algorithmic decision-making. The research explores the connections between technology, biopolitics, and how subjects are formed. Algorithmic control, through predictive modeling and real-time behavioral modulation, influences people's choices in unprecedented ways. The study begins by comparing early Foucauldian frameworks with contemporary digital governance theories. It uses a method that combines philosophy, media studies, and political theory. Algorithmic control, through data-driven anticipatory mechanisms, creates less clear and more fragmented subjectivity, </w:t>
      </w:r>
      <w:r w:rsidRPr="00087C33">
        <w:rPr>
          <w:rFonts w:ascii="Arial" w:hAnsi="Arial" w:cs="Arial"/>
          <w:color w:val="EE0000"/>
        </w:rPr>
        <w:lastRenderedPageBreak/>
        <w:t xml:space="preserve">contrasting with the institutionalized norms and body regulation of disciplinary societies. The shift brings forth ethical and existential inquiries into autonomy, resistance, and the definition of the self in an era of hyper-connectivity. Rethinking Foucault's insights within the digital context is crucial for understanding and challenging the pervasive influence of algorithmic power on human subjectivity, according to the study (Sahakyan et al 2025). </w:t>
      </w:r>
    </w:p>
    <w:p w14:paraId="159EF6C6" w14:textId="77777777" w:rsidR="00CD4E20" w:rsidRPr="00CD4E20" w:rsidRDefault="00CD4E20" w:rsidP="00CD4E20">
      <w:pPr>
        <w:spacing w:after="240"/>
        <w:jc w:val="both"/>
        <w:rPr>
          <w:rFonts w:ascii="Arial" w:hAnsi="Arial" w:cs="Arial"/>
        </w:rPr>
      </w:pPr>
      <w:r w:rsidRPr="00CD4E20">
        <w:rPr>
          <w:rFonts w:ascii="Arial" w:hAnsi="Arial" w:cs="Arial"/>
        </w:rPr>
        <w:t>Despite the breadth of existing literature, a critical gap remains</w:t>
      </w:r>
      <w:r w:rsidRPr="00CD4E20">
        <w:rPr>
          <w:rFonts w:ascii="Arial" w:hAnsi="Arial" w:cs="Arial"/>
          <w:b/>
          <w:bCs/>
        </w:rPr>
        <w:t>.</w:t>
      </w:r>
      <w:r w:rsidRPr="00CD4E20">
        <w:rPr>
          <w:rFonts w:ascii="Arial" w:hAnsi="Arial" w:cs="Arial"/>
        </w:rPr>
        <w:t xml:space="preserve"> While prior studies extensively document the advantages and limitations of e-learning, relatively few examine the intersection between online learning experiences and students’ mental health within the Indian context, particularly in relation to structured online coaching environments. Existing research often treats academic outcomes and psychological well-being as separate domains, leaving insufficient understanding of how online learning simultaneously shapes both. Addressing this gap, the present study focuses on students’ real-world experiences of online coaching, offering empirical insights into the complex relationship between e-learning, academic engagement, and mental health outcomes.</w:t>
      </w:r>
    </w:p>
    <w:p w14:paraId="762D34CD" w14:textId="1553ACA1" w:rsidR="00CD4E20" w:rsidRPr="00CD4E20" w:rsidRDefault="00CD4E20" w:rsidP="00CD4E20">
      <w:pPr>
        <w:spacing w:line="360" w:lineRule="auto"/>
        <w:rPr>
          <w:rFonts w:ascii="Arial" w:hAnsi="Arial" w:cs="Arial"/>
          <w:b/>
          <w:bCs/>
          <w:sz w:val="22"/>
          <w:szCs w:val="22"/>
        </w:rPr>
      </w:pPr>
      <w:r w:rsidRPr="00CD4E20">
        <w:rPr>
          <w:rFonts w:ascii="Arial" w:hAnsi="Arial" w:cs="Arial"/>
          <w:b/>
          <w:bCs/>
          <w:sz w:val="22"/>
          <w:szCs w:val="22"/>
        </w:rPr>
        <w:t>3.</w:t>
      </w:r>
      <w:r w:rsidRPr="00CD4E20">
        <w:rPr>
          <w:rFonts w:ascii="Arial" w:hAnsi="Arial" w:cs="Arial"/>
          <w:sz w:val="22"/>
          <w:szCs w:val="22"/>
        </w:rPr>
        <w:t xml:space="preserve"> </w:t>
      </w:r>
      <w:r w:rsidRPr="00CD4E20">
        <w:rPr>
          <w:rFonts w:ascii="Arial" w:hAnsi="Arial" w:cs="Arial"/>
          <w:b/>
          <w:bCs/>
          <w:sz w:val="22"/>
          <w:szCs w:val="22"/>
        </w:rPr>
        <w:t>THEORETICAL FRAMEWORK</w:t>
      </w:r>
    </w:p>
    <w:p w14:paraId="3F4F9ED9" w14:textId="77777777" w:rsidR="00CD4E20" w:rsidRPr="00625DB0" w:rsidRDefault="00CD4E20" w:rsidP="00CD4E20">
      <w:pPr>
        <w:spacing w:after="240"/>
        <w:jc w:val="both"/>
        <w:rPr>
          <w:rFonts w:ascii="Arial" w:hAnsi="Arial" w:cs="Arial"/>
        </w:rPr>
      </w:pPr>
      <w:r w:rsidRPr="00625DB0">
        <w:rPr>
          <w:rFonts w:ascii="Arial" w:hAnsi="Arial" w:cs="Arial"/>
        </w:rPr>
        <w:t>Michel Foucault’s disciplinary governmentality notion will also be useful to this study to explore how e-learning was able to affect minds and social interactions. Foucault claimed that contemporary regimes of power are no longer solely based on force but on self-control, normality, and disciplining (Binkley &amp; Capetillo, 2009).</w:t>
      </w:r>
    </w:p>
    <w:p w14:paraId="160F488A" w14:textId="77777777" w:rsidR="00CD4E20" w:rsidRPr="00625DB0" w:rsidRDefault="00CD4E20" w:rsidP="00CD4E20">
      <w:pPr>
        <w:spacing w:after="240"/>
        <w:jc w:val="both"/>
        <w:rPr>
          <w:rFonts w:ascii="Arial" w:hAnsi="Arial" w:cs="Arial"/>
        </w:rPr>
      </w:pPr>
      <w:r w:rsidRPr="00625DB0">
        <w:rPr>
          <w:rFonts w:ascii="Arial" w:hAnsi="Arial" w:cs="Arial"/>
        </w:rPr>
        <w:t>Using these concepts, it is possible to see how schools and classrooms, through such aspects, allow institutions to form individuals, affect their conduct, and even mold their beliefs from within.</w:t>
      </w:r>
    </w:p>
    <w:p w14:paraId="635E8902" w14:textId="77777777" w:rsidR="00CD4E20" w:rsidRPr="00625DB0" w:rsidRDefault="00CD4E20" w:rsidP="00CD4E20">
      <w:pPr>
        <w:spacing w:after="240"/>
        <w:jc w:val="both"/>
        <w:rPr>
          <w:rFonts w:ascii="Arial" w:hAnsi="Arial" w:cs="Arial"/>
        </w:rPr>
      </w:pPr>
      <w:r w:rsidRPr="00625DB0">
        <w:rPr>
          <w:rFonts w:ascii="Arial" w:hAnsi="Arial" w:cs="Arial"/>
        </w:rPr>
        <w:t xml:space="preserve">For example, in online learning, learners are inundated with surveillance, including records of their activities, attendance, and performance analytics. This parallels the concept of Foucault’s </w:t>
      </w:r>
      <w:proofErr w:type="spellStart"/>
      <w:r w:rsidRPr="00625DB0">
        <w:rPr>
          <w:rFonts w:ascii="Arial" w:hAnsi="Arial" w:cs="Arial"/>
        </w:rPr>
        <w:t>panopticism</w:t>
      </w:r>
      <w:proofErr w:type="spellEnd"/>
      <w:r w:rsidRPr="00625DB0">
        <w:rPr>
          <w:rFonts w:ascii="Arial" w:hAnsi="Arial" w:cs="Arial"/>
        </w:rPr>
        <w:t xml:space="preserve"> in which people tend to control themselves because of the assumption of an all-watchful eye. In online learning, log-ins and participation measures become integral to the ecology of online teaching and learning without direct supervision.</w:t>
      </w:r>
    </w:p>
    <w:p w14:paraId="3CBAF861" w14:textId="77777777" w:rsidR="00CD4E20" w:rsidRPr="00625DB0" w:rsidRDefault="00CD4E20" w:rsidP="00CD4E20">
      <w:pPr>
        <w:spacing w:after="240"/>
        <w:jc w:val="both"/>
        <w:rPr>
          <w:rFonts w:ascii="Arial" w:hAnsi="Arial" w:cs="Arial"/>
        </w:rPr>
      </w:pPr>
      <w:r w:rsidRPr="00625DB0">
        <w:rPr>
          <w:rFonts w:ascii="Arial" w:hAnsi="Arial" w:cs="Arial"/>
        </w:rPr>
        <w:t>Students are classified or grouped based on whether they are high or low achievers, active or passive participants, disciplined or disruptive, among other classifications. These classifications often determine self-concept and what the student feels he or she can accomplish. E-learnt programs can be viewed as forces or instruments for power where self-surveillance and compliance are encouraged and supported in such a manner that academic excellence is upheld or maintained. Students’ management of disciplined programs, deadlines, and learning patterns can be viewed as an instance of disciplinary power, which would rather have them identify with the system than fight or reject it by modifying their conduct to suit the programs embedded in online networks or systems.</w:t>
      </w:r>
    </w:p>
    <w:p w14:paraId="6BD7753B" w14:textId="77777777" w:rsidR="00CD4E20" w:rsidRPr="00625DB0" w:rsidRDefault="00CD4E20" w:rsidP="00CD4E20">
      <w:pPr>
        <w:spacing w:after="240"/>
        <w:jc w:val="both"/>
        <w:rPr>
          <w:rFonts w:ascii="Arial" w:hAnsi="Arial" w:cs="Arial"/>
        </w:rPr>
      </w:pPr>
      <w:r w:rsidRPr="00625DB0">
        <w:rPr>
          <w:rFonts w:ascii="Arial" w:hAnsi="Arial" w:cs="Arial"/>
        </w:rPr>
        <w:t>This, in turn, is likely to improve efficiency and concentration, though it may also lead to increased psychological pressure, particularly for individuals faced with a barrage of comparisons, expectations, and evaluations. The framework is especially pertinent at this juncture given its emphasis on the material effects of discipline, control, and internalized expectations regarding the psychological and emotional effects of online learning. Disciplinary practices in the context of technology-mediated pedagogy demand attention not only to learned outcomes but also to the emotional tolls of perpetual evaluation and self-regulation.</w:t>
      </w:r>
    </w:p>
    <w:p w14:paraId="45707706" w14:textId="6361105E" w:rsidR="00CD4E20" w:rsidRDefault="00CD4E20" w:rsidP="00CD4E20">
      <w:pPr>
        <w:spacing w:after="240"/>
        <w:jc w:val="both"/>
        <w:rPr>
          <w:rFonts w:ascii="Arial" w:hAnsi="Arial" w:cs="Arial"/>
        </w:rPr>
      </w:pPr>
      <w:r w:rsidRPr="00625DB0">
        <w:rPr>
          <w:rFonts w:ascii="Arial" w:hAnsi="Arial" w:cs="Arial"/>
        </w:rPr>
        <w:lastRenderedPageBreak/>
        <w:t>Applying Foucault’s theory provides a more critical perspective on the role of discipline, power, and self-control in online education, not just on students' academic behaviors but also on their inner lives, their ideals of self, and their mental landscapes.</w:t>
      </w:r>
    </w:p>
    <w:p w14:paraId="728D5A26" w14:textId="1842CB8E" w:rsidR="004332AF" w:rsidRPr="004332AF" w:rsidRDefault="004332AF" w:rsidP="004332AF">
      <w:pPr>
        <w:spacing w:line="360" w:lineRule="auto"/>
        <w:rPr>
          <w:rFonts w:ascii="Arial" w:hAnsi="Arial" w:cs="Arial"/>
          <w:b/>
          <w:bCs/>
          <w:sz w:val="22"/>
          <w:szCs w:val="22"/>
        </w:rPr>
      </w:pPr>
      <w:r>
        <w:rPr>
          <w:rFonts w:ascii="Arial" w:hAnsi="Arial" w:cs="Arial"/>
          <w:b/>
          <w:bCs/>
          <w:sz w:val="22"/>
          <w:szCs w:val="22"/>
        </w:rPr>
        <w:t>3.1</w:t>
      </w:r>
      <w:r w:rsidRPr="004332AF">
        <w:rPr>
          <w:rFonts w:ascii="Arial" w:hAnsi="Arial" w:cs="Arial"/>
          <w:b/>
          <w:bCs/>
          <w:sz w:val="22"/>
          <w:szCs w:val="22"/>
        </w:rPr>
        <w:t xml:space="preserve"> Significance of </w:t>
      </w:r>
      <w:r>
        <w:rPr>
          <w:rFonts w:ascii="Arial" w:hAnsi="Arial" w:cs="Arial"/>
          <w:b/>
          <w:bCs/>
          <w:sz w:val="22"/>
          <w:szCs w:val="22"/>
        </w:rPr>
        <w:t>t</w:t>
      </w:r>
      <w:r w:rsidRPr="004332AF">
        <w:rPr>
          <w:rFonts w:ascii="Arial" w:hAnsi="Arial" w:cs="Arial"/>
          <w:b/>
          <w:bCs/>
          <w:sz w:val="22"/>
          <w:szCs w:val="22"/>
        </w:rPr>
        <w:t>he Study</w:t>
      </w:r>
    </w:p>
    <w:p w14:paraId="33C848E2" w14:textId="77777777" w:rsidR="004332AF" w:rsidRPr="00625DB0" w:rsidRDefault="004332AF" w:rsidP="004332AF">
      <w:pPr>
        <w:spacing w:after="240"/>
        <w:jc w:val="both"/>
        <w:rPr>
          <w:rFonts w:ascii="Arial" w:hAnsi="Arial" w:cs="Arial"/>
        </w:rPr>
      </w:pPr>
      <w:r w:rsidRPr="00625DB0">
        <w:rPr>
          <w:rFonts w:ascii="Arial" w:hAnsi="Arial" w:cs="Arial"/>
        </w:rPr>
        <w:t>Technology in education is essential for improving the teaching-learning process. Enhancing the effectiveness, accessibility, and depth of education is its main goal, which will help both teachers and students in terms of knowledge acquisition, skill development, attitude formation, and value orientation. The educational landscape has been profoundly altered by the ongoing evolution of technology, especially with the emergence of e-learning. E-learning has become a dynamic educational approach that allows students to use internet-enabled devices to acquire knowledge at any time and from any location. This adaptability gives students the freedom to plan their study sessions according to their own interests and return to the materials whenever it is most convenient for them (Wani et al., 2022). E-learning thus promotes self-reliance and individualized educational experiences.</w:t>
      </w:r>
    </w:p>
    <w:p w14:paraId="25A0E14B" w14:textId="77777777" w:rsidR="004332AF" w:rsidRDefault="004332AF" w:rsidP="004332AF">
      <w:pPr>
        <w:spacing w:after="240"/>
        <w:jc w:val="both"/>
        <w:rPr>
          <w:rFonts w:ascii="Arial" w:hAnsi="Arial" w:cs="Arial"/>
        </w:rPr>
      </w:pPr>
      <w:r w:rsidRPr="00625DB0">
        <w:rPr>
          <w:rFonts w:ascii="Arial" w:hAnsi="Arial" w:cs="Arial"/>
        </w:rPr>
        <w:t>Additionally, network-based e-learning systems encourage information sharing, peer learning, and teamwork. They support the growth of critical thinking, creativity, and self-directed learning—skills necessary for success in the classroom and in the workplace. By removing conventional boundaries like time and location, these platforms also help teachers and students communicate. Technology is a potent instrument for democratizing education in today's globalized society, providing equal learning possibilities irrespective of socioeconomic background or geographic location. E-learning improves learning quality by providing constant access to updated resources and interactive content, in addition to bridging the digital divide. Crucially, the importance of this study is found in its emphasis on the psychological aspect of online education. While there is little doubt about the academic benefits of digital education, relatively little research has been done on the effects on mental health, particularly for students taking competitive exam coaching online. By examining the effects of online coaching on students' emotional health, focus, drive, and stress levels, this study advances our knowledge of how digital learning environments may be created to promote both mental health and academic achievement. Thus, this research is timely and relevant, offering valuable insights for educators, platform developers, policymakers, and mental health professionals striving to make e-learning more effective, inclusive, and mentally sustainable.</w:t>
      </w:r>
    </w:p>
    <w:p w14:paraId="61BB7549" w14:textId="121B59C6" w:rsidR="004332AF" w:rsidRPr="004332AF" w:rsidRDefault="004332AF" w:rsidP="004332AF">
      <w:pPr>
        <w:spacing w:line="360" w:lineRule="auto"/>
        <w:rPr>
          <w:rFonts w:ascii="Arial" w:hAnsi="Arial" w:cs="Arial"/>
          <w:b/>
          <w:bCs/>
          <w:sz w:val="22"/>
          <w:szCs w:val="22"/>
        </w:rPr>
      </w:pPr>
      <w:r w:rsidRPr="004332AF">
        <w:rPr>
          <w:rFonts w:ascii="Arial" w:hAnsi="Arial" w:cs="Arial"/>
          <w:b/>
          <w:bCs/>
          <w:sz w:val="22"/>
          <w:szCs w:val="22"/>
        </w:rPr>
        <w:t>3.2 Objectives</w:t>
      </w:r>
    </w:p>
    <w:p w14:paraId="6F8F607C" w14:textId="77777777" w:rsidR="004332AF" w:rsidRPr="00625DB0" w:rsidRDefault="004332AF" w:rsidP="004332AF">
      <w:pPr>
        <w:numPr>
          <w:ilvl w:val="0"/>
          <w:numId w:val="31"/>
        </w:numPr>
        <w:jc w:val="both"/>
        <w:rPr>
          <w:rFonts w:ascii="Arial" w:hAnsi="Arial" w:cs="Arial"/>
        </w:rPr>
      </w:pPr>
      <w:r w:rsidRPr="00625DB0">
        <w:rPr>
          <w:rFonts w:ascii="Arial" w:hAnsi="Arial" w:cs="Arial"/>
        </w:rPr>
        <w:t>To examine the current status and role of e-learning in contemporary education.</w:t>
      </w:r>
    </w:p>
    <w:p w14:paraId="6A75759F" w14:textId="77777777" w:rsidR="004332AF" w:rsidRPr="00625DB0" w:rsidRDefault="004332AF" w:rsidP="004332AF">
      <w:pPr>
        <w:numPr>
          <w:ilvl w:val="0"/>
          <w:numId w:val="31"/>
        </w:numPr>
        <w:spacing w:after="160"/>
        <w:jc w:val="both"/>
        <w:rPr>
          <w:rFonts w:ascii="Arial" w:hAnsi="Arial" w:cs="Arial"/>
        </w:rPr>
      </w:pPr>
      <w:r w:rsidRPr="00625DB0">
        <w:rPr>
          <w:rFonts w:ascii="Arial" w:hAnsi="Arial" w:cs="Arial"/>
        </w:rPr>
        <w:t>To identify the key challenges and opportunities associated with e-learning, particularly in terms of accessibility, engagement, support systems, and mental health outcomes among students.</w:t>
      </w:r>
    </w:p>
    <w:p w14:paraId="372E4947" w14:textId="65D5D736" w:rsidR="004332AF" w:rsidRDefault="004332AF" w:rsidP="004332AF">
      <w:pPr>
        <w:spacing w:line="360" w:lineRule="auto"/>
        <w:rPr>
          <w:rFonts w:ascii="Arial" w:hAnsi="Arial" w:cs="Arial"/>
          <w:b/>
          <w:bCs/>
          <w:sz w:val="22"/>
          <w:szCs w:val="22"/>
        </w:rPr>
      </w:pPr>
      <w:r>
        <w:rPr>
          <w:rFonts w:ascii="Arial" w:hAnsi="Arial" w:cs="Arial"/>
          <w:b/>
          <w:bCs/>
          <w:sz w:val="22"/>
          <w:szCs w:val="22"/>
        </w:rPr>
        <w:t xml:space="preserve">3.3 </w:t>
      </w:r>
      <w:r w:rsidRPr="004332AF">
        <w:rPr>
          <w:rFonts w:ascii="Arial" w:hAnsi="Arial" w:cs="Arial"/>
          <w:b/>
          <w:bCs/>
          <w:sz w:val="22"/>
          <w:szCs w:val="22"/>
        </w:rPr>
        <w:t>Hypotheses</w:t>
      </w:r>
    </w:p>
    <w:p w14:paraId="4899BDBF" w14:textId="77777777" w:rsidR="00EB65B9" w:rsidRPr="00485AE2" w:rsidRDefault="00EB65B9" w:rsidP="00EB65B9">
      <w:pPr>
        <w:numPr>
          <w:ilvl w:val="0"/>
          <w:numId w:val="32"/>
        </w:numPr>
        <w:jc w:val="both"/>
        <w:rPr>
          <w:rFonts w:ascii="Arial" w:hAnsi="Arial" w:cs="Arial"/>
          <w:color w:val="EE0000"/>
        </w:rPr>
      </w:pPr>
      <w:r w:rsidRPr="00485AE2">
        <w:rPr>
          <w:rFonts w:ascii="Arial" w:hAnsi="Arial" w:cs="Arial"/>
          <w:color w:val="EE0000"/>
        </w:rPr>
        <w:t>H</w:t>
      </w:r>
      <w:r w:rsidRPr="00485AE2">
        <w:rPr>
          <w:rFonts w:ascii="Cambria Math" w:hAnsi="Cambria Math" w:cs="Cambria Math"/>
          <w:color w:val="EE0000"/>
        </w:rPr>
        <w:t>₀</w:t>
      </w:r>
      <w:r w:rsidRPr="00485AE2">
        <w:rPr>
          <w:rFonts w:ascii="Arial" w:hAnsi="Arial" w:cs="Arial"/>
          <w:color w:val="EE0000"/>
        </w:rPr>
        <w:t>: There is no significant difference in students’ attitudes towards e-learning in contemporary education.</w:t>
      </w:r>
    </w:p>
    <w:p w14:paraId="4D111C4E" w14:textId="77777777" w:rsidR="00EB65B9" w:rsidRPr="00485AE2" w:rsidRDefault="00EB65B9" w:rsidP="00EB65B9">
      <w:pPr>
        <w:numPr>
          <w:ilvl w:val="0"/>
          <w:numId w:val="32"/>
        </w:numPr>
        <w:spacing w:after="160"/>
        <w:jc w:val="both"/>
        <w:rPr>
          <w:rFonts w:ascii="Arial" w:hAnsi="Arial" w:cs="Arial"/>
          <w:color w:val="EE0000"/>
        </w:rPr>
      </w:pPr>
      <w:r w:rsidRPr="00485AE2">
        <w:rPr>
          <w:rFonts w:ascii="Arial" w:hAnsi="Arial" w:cs="Arial"/>
          <w:color w:val="EE0000"/>
        </w:rPr>
        <w:t>H</w:t>
      </w:r>
      <w:r w:rsidRPr="00485AE2">
        <w:rPr>
          <w:rFonts w:ascii="Cambria Math" w:hAnsi="Cambria Math" w:cs="Cambria Math"/>
          <w:color w:val="EE0000"/>
        </w:rPr>
        <w:t>₁</w:t>
      </w:r>
      <w:r w:rsidRPr="00485AE2">
        <w:rPr>
          <w:rFonts w:ascii="Arial" w:hAnsi="Arial" w:cs="Arial"/>
          <w:color w:val="EE0000"/>
        </w:rPr>
        <w:t>: There is a significant difference in students’ attitudes towards e-learning in contemporary education.</w:t>
      </w:r>
    </w:p>
    <w:p w14:paraId="7FEE1742" w14:textId="5AA3AB54" w:rsidR="00C32FD6" w:rsidRPr="00C32FD6" w:rsidRDefault="00C32FD6" w:rsidP="00C32FD6">
      <w:pPr>
        <w:spacing w:line="360" w:lineRule="auto"/>
        <w:rPr>
          <w:rFonts w:ascii="Arial" w:hAnsi="Arial" w:cs="Arial"/>
          <w:b/>
          <w:bCs/>
          <w:sz w:val="22"/>
          <w:szCs w:val="22"/>
        </w:rPr>
      </w:pPr>
      <w:r w:rsidRPr="00C32FD6">
        <w:rPr>
          <w:rFonts w:ascii="Arial" w:hAnsi="Arial" w:cs="Arial"/>
          <w:b/>
          <w:bCs/>
          <w:sz w:val="22"/>
          <w:szCs w:val="22"/>
        </w:rPr>
        <w:t>4. METHODOLOGY</w:t>
      </w:r>
    </w:p>
    <w:p w14:paraId="6BFF4C70" w14:textId="4AC274C4" w:rsidR="00C32FD6" w:rsidRDefault="00C32FD6" w:rsidP="00C32FD6">
      <w:pPr>
        <w:spacing w:after="240"/>
        <w:jc w:val="both"/>
        <w:rPr>
          <w:rFonts w:ascii="Arial" w:hAnsi="Arial" w:cs="Arial"/>
        </w:rPr>
      </w:pPr>
      <w:r w:rsidRPr="00254C72">
        <w:rPr>
          <w:rFonts w:ascii="Arial" w:hAnsi="Arial" w:cs="Arial"/>
          <w:color w:val="EE0000"/>
        </w:rPr>
        <w:t xml:space="preserve">The present study adopts a descriptive and exploratory quantitative </w:t>
      </w:r>
      <w:r w:rsidR="00A407FC" w:rsidRPr="00254C72">
        <w:rPr>
          <w:rFonts w:ascii="Arial" w:hAnsi="Arial" w:cs="Arial"/>
          <w:color w:val="EE0000"/>
        </w:rPr>
        <w:t xml:space="preserve">approach to </w:t>
      </w:r>
      <w:r w:rsidRPr="00254C72">
        <w:rPr>
          <w:rFonts w:ascii="Arial" w:hAnsi="Arial" w:cs="Arial"/>
          <w:color w:val="EE0000"/>
        </w:rPr>
        <w:t xml:space="preserve">understand how </w:t>
      </w:r>
      <w:r w:rsidRPr="00485AE2">
        <w:rPr>
          <w:rFonts w:ascii="Arial" w:hAnsi="Arial" w:cs="Arial"/>
          <w:color w:val="EE0000"/>
        </w:rPr>
        <w:t xml:space="preserve">e-learning experiences are perceived by students </w:t>
      </w:r>
      <w:r w:rsidR="00485AE2" w:rsidRPr="00485AE2">
        <w:rPr>
          <w:rFonts w:ascii="Arial" w:hAnsi="Arial" w:cs="Arial"/>
          <w:color w:val="EE0000"/>
        </w:rPr>
        <w:t>i</w:t>
      </w:r>
      <w:r w:rsidRPr="00485AE2">
        <w:rPr>
          <w:rFonts w:ascii="Arial" w:hAnsi="Arial" w:cs="Arial"/>
          <w:color w:val="EE0000"/>
        </w:rPr>
        <w:t>n higher education</w:t>
      </w:r>
      <w:r w:rsidRPr="00625DB0">
        <w:rPr>
          <w:rFonts w:ascii="Arial" w:hAnsi="Arial" w:cs="Arial"/>
        </w:rPr>
        <w:t xml:space="preserve">—particularly in terms of </w:t>
      </w:r>
      <w:proofErr w:type="spellStart"/>
      <w:r w:rsidRPr="00625DB0">
        <w:rPr>
          <w:rFonts w:ascii="Arial" w:hAnsi="Arial" w:cs="Arial"/>
        </w:rPr>
        <w:t>behaviour</w:t>
      </w:r>
      <w:proofErr w:type="spellEnd"/>
      <w:r w:rsidRPr="00625DB0">
        <w:rPr>
          <w:rFonts w:ascii="Arial" w:hAnsi="Arial" w:cs="Arial"/>
        </w:rPr>
        <w:t xml:space="preserve">, expectations, and psychosocial well-being. The focus lies in interpreting the lived experiences of learners and educators during the shift to online learning, especially </w:t>
      </w:r>
      <w:r w:rsidRPr="00625DB0">
        <w:rPr>
          <w:rFonts w:ascii="Arial" w:hAnsi="Arial" w:cs="Arial"/>
        </w:rPr>
        <w:lastRenderedPageBreak/>
        <w:t>after the COVID-19 pandemic, to uncover what constitutes effective learning and what socio-psychological and ethical challenges emerged during this transformation.</w:t>
      </w:r>
    </w:p>
    <w:p w14:paraId="3C24627E" w14:textId="62F00068" w:rsidR="00C32FD6" w:rsidRPr="005F22E4" w:rsidRDefault="00C32FD6" w:rsidP="00C32FD6">
      <w:pPr>
        <w:spacing w:line="360" w:lineRule="auto"/>
        <w:jc w:val="both"/>
        <w:rPr>
          <w:rFonts w:ascii="Arial" w:hAnsi="Arial" w:cs="Arial"/>
          <w:b/>
          <w:bCs/>
          <w:sz w:val="22"/>
          <w:szCs w:val="22"/>
        </w:rPr>
      </w:pPr>
      <w:r w:rsidRPr="005F22E4">
        <w:rPr>
          <w:rFonts w:ascii="Arial" w:hAnsi="Arial" w:cs="Arial"/>
          <w:b/>
          <w:bCs/>
          <w:sz w:val="22"/>
          <w:szCs w:val="22"/>
        </w:rPr>
        <w:t>4.1 Research Design</w:t>
      </w:r>
    </w:p>
    <w:p w14:paraId="5AE354B6" w14:textId="77777777" w:rsidR="00C32FD6" w:rsidRPr="00625DB0" w:rsidRDefault="00C32FD6" w:rsidP="00C32FD6">
      <w:pPr>
        <w:jc w:val="both"/>
        <w:rPr>
          <w:rFonts w:ascii="Arial" w:hAnsi="Arial" w:cs="Arial"/>
        </w:rPr>
      </w:pPr>
      <w:r w:rsidRPr="00625DB0">
        <w:rPr>
          <w:rFonts w:ascii="Arial" w:hAnsi="Arial" w:cs="Arial"/>
        </w:rPr>
        <w:t xml:space="preserve">The study population comprised students from undergraduate in higher educational institutions in Tamil Nadu. A sample of 200 students was selected using purposive sampling techniques. A quantitative analysis framework was employed to interpret patterns within participants' experiences, perceptions, and reflections related to online education. The goal was to gain insights into how students and teachers navigated the e-learning environment and how it affected their mental health, </w:t>
      </w:r>
      <w:proofErr w:type="spellStart"/>
      <w:r w:rsidRPr="00625DB0">
        <w:rPr>
          <w:rFonts w:ascii="Arial" w:hAnsi="Arial" w:cs="Arial"/>
        </w:rPr>
        <w:t>behaviour</w:t>
      </w:r>
      <w:proofErr w:type="spellEnd"/>
      <w:r w:rsidRPr="00625DB0">
        <w:rPr>
          <w:rFonts w:ascii="Arial" w:hAnsi="Arial" w:cs="Arial"/>
        </w:rPr>
        <w:t>, motivation, and sense of academic fulfilment. This interpretive approach is particularly suited to examining the deeper, context-dependent realities of technology-mediated education.</w:t>
      </w:r>
    </w:p>
    <w:p w14:paraId="5E35BB42" w14:textId="411D330C" w:rsidR="00C32FD6" w:rsidRPr="005F22E4" w:rsidRDefault="00C32FD6" w:rsidP="00C32FD6">
      <w:pPr>
        <w:spacing w:before="240" w:line="360" w:lineRule="auto"/>
        <w:jc w:val="both"/>
        <w:rPr>
          <w:rFonts w:ascii="Arial" w:hAnsi="Arial" w:cs="Arial"/>
          <w:b/>
          <w:bCs/>
          <w:sz w:val="22"/>
          <w:szCs w:val="22"/>
        </w:rPr>
      </w:pPr>
      <w:r w:rsidRPr="005F22E4">
        <w:rPr>
          <w:rFonts w:ascii="Arial" w:hAnsi="Arial" w:cs="Arial"/>
          <w:b/>
          <w:bCs/>
          <w:sz w:val="22"/>
          <w:szCs w:val="22"/>
        </w:rPr>
        <w:t>4.2 Data Collection Tools</w:t>
      </w:r>
    </w:p>
    <w:p w14:paraId="4E5DB774" w14:textId="77777777" w:rsidR="00C32FD6" w:rsidRPr="00625DB0" w:rsidRDefault="00C32FD6" w:rsidP="00C32FD6">
      <w:pPr>
        <w:spacing w:after="240"/>
        <w:jc w:val="both"/>
        <w:rPr>
          <w:rFonts w:ascii="Arial" w:hAnsi="Arial" w:cs="Arial"/>
        </w:rPr>
      </w:pPr>
      <w:r w:rsidRPr="00625DB0">
        <w:rPr>
          <w:rFonts w:ascii="Arial" w:hAnsi="Arial" w:cs="Arial"/>
        </w:rPr>
        <w:t>Primary data was collected via a structured Google Form distributed online. The questionnaire consisted of five key items designed to explore different dimensions of e-learning—such as accessibility, student satisfaction, engagement, mental health, and adaptability. Responses were measured using a five-point Likert scale, with values ranging from 1 (“Strongly Disagree”) to 5 (“Strongly Agree”).</w:t>
      </w:r>
    </w:p>
    <w:p w14:paraId="7C53CD3B" w14:textId="51015F51" w:rsidR="00C32FD6" w:rsidRPr="005F22E4" w:rsidRDefault="00C32FD6" w:rsidP="00C32FD6">
      <w:pPr>
        <w:spacing w:line="360" w:lineRule="auto"/>
        <w:jc w:val="both"/>
        <w:rPr>
          <w:rFonts w:ascii="Arial" w:hAnsi="Arial" w:cs="Arial"/>
          <w:b/>
          <w:bCs/>
          <w:sz w:val="22"/>
          <w:szCs w:val="22"/>
        </w:rPr>
      </w:pPr>
      <w:r w:rsidRPr="005F22E4">
        <w:rPr>
          <w:rFonts w:ascii="Arial" w:hAnsi="Arial" w:cs="Arial"/>
          <w:b/>
          <w:bCs/>
          <w:sz w:val="22"/>
          <w:szCs w:val="22"/>
        </w:rPr>
        <w:t>4.3 Data Normality and Analysis</w:t>
      </w:r>
    </w:p>
    <w:p w14:paraId="6345AA78" w14:textId="370A11EB" w:rsidR="00C32FD6" w:rsidRDefault="00C32FD6" w:rsidP="00002B2D">
      <w:pPr>
        <w:spacing w:after="240"/>
        <w:jc w:val="both"/>
        <w:rPr>
          <w:rFonts w:ascii="Arial" w:hAnsi="Arial" w:cs="Arial"/>
        </w:rPr>
      </w:pPr>
      <w:r w:rsidRPr="00625DB0">
        <w:rPr>
          <w:rFonts w:ascii="Arial" w:hAnsi="Arial" w:cs="Arial"/>
        </w:rPr>
        <w:t xml:space="preserve">Upon collecting the data, normality tests were conducted using the Kolmogorov–Smirnov test, along with visual and statistical methods such as histograms, P–P plots, and z-values for skewness and kurtosis. However, the results indicated that the data were not normally distributed, violating the assumptions required for parametric tests like t-tests, ANOVA, or regression. As a result, non-parametric techniques were employed. Specifically, the Chi-square test of goodness-of-fit was applied to test the stated hypothesis regarding student attitudes toward e-learning. This method is suitable for categorical and ordinal data where assumptions of normality are not met. In addition to hypothesis testing, descriptive statistics—including mean, standard deviation, skewness, and kurtosis—were calculated to summarize and interpret the distribution of student responses. </w:t>
      </w:r>
    </w:p>
    <w:p w14:paraId="4D824802" w14:textId="3B6D3869" w:rsidR="005F22E4" w:rsidRPr="00625DB0" w:rsidRDefault="005F22E4" w:rsidP="005F22E4">
      <w:pPr>
        <w:spacing w:line="360" w:lineRule="auto"/>
        <w:rPr>
          <w:rFonts w:ascii="Arial" w:hAnsi="Arial" w:cs="Arial"/>
          <w:b/>
          <w:bCs/>
        </w:rPr>
      </w:pPr>
      <w:r>
        <w:rPr>
          <w:rFonts w:ascii="Arial" w:hAnsi="Arial" w:cs="Arial"/>
          <w:b/>
          <w:bCs/>
        </w:rPr>
        <w:t xml:space="preserve">5. </w:t>
      </w:r>
      <w:r w:rsidRPr="00625DB0">
        <w:rPr>
          <w:rFonts w:ascii="Arial" w:hAnsi="Arial" w:cs="Arial"/>
          <w:b/>
          <w:bCs/>
        </w:rPr>
        <w:t>FINDINGS</w:t>
      </w:r>
    </w:p>
    <w:p w14:paraId="1A1157DC" w14:textId="77777777" w:rsidR="005F22E4" w:rsidRPr="00625DB0" w:rsidRDefault="005F22E4" w:rsidP="005F22E4">
      <w:pPr>
        <w:spacing w:after="240"/>
        <w:jc w:val="both"/>
        <w:rPr>
          <w:rFonts w:ascii="Arial" w:hAnsi="Arial" w:cs="Arial"/>
        </w:rPr>
      </w:pPr>
      <w:r w:rsidRPr="00625DB0">
        <w:rPr>
          <w:rFonts w:ascii="Arial" w:hAnsi="Arial" w:cs="Arial"/>
        </w:rPr>
        <w:t xml:space="preserve">The data collected through the primary survey of 200 students from higher education institutions in Tamil Nadu was </w:t>
      </w:r>
      <w:proofErr w:type="spellStart"/>
      <w:r w:rsidRPr="00625DB0">
        <w:rPr>
          <w:rFonts w:ascii="Arial" w:hAnsi="Arial" w:cs="Arial"/>
        </w:rPr>
        <w:t>analysed</w:t>
      </w:r>
      <w:proofErr w:type="spellEnd"/>
      <w:r w:rsidRPr="00625DB0">
        <w:rPr>
          <w:rFonts w:ascii="Arial" w:hAnsi="Arial" w:cs="Arial"/>
        </w:rPr>
        <w:t xml:space="preserve"> to assess their attitudes, experiences, and challenges associated with e-learning after the pandemic. The findings are structured across demographic profiles, device/internet access, reliability analysis, and attitude statements measured using a five-point Likert scale. </w:t>
      </w:r>
    </w:p>
    <w:p w14:paraId="26645250" w14:textId="40AAA659" w:rsidR="005F22E4" w:rsidRPr="005F22E4" w:rsidRDefault="005F22E4" w:rsidP="00002B2D">
      <w:pPr>
        <w:spacing w:line="276" w:lineRule="auto"/>
        <w:jc w:val="both"/>
        <w:rPr>
          <w:rFonts w:ascii="Arial" w:hAnsi="Arial" w:cs="Arial"/>
          <w:b/>
          <w:bCs/>
          <w:sz w:val="22"/>
          <w:szCs w:val="22"/>
        </w:rPr>
      </w:pPr>
      <w:r w:rsidRPr="005F22E4">
        <w:rPr>
          <w:rFonts w:ascii="Arial" w:hAnsi="Arial" w:cs="Arial"/>
          <w:b/>
          <w:bCs/>
          <w:sz w:val="22"/>
          <w:szCs w:val="22"/>
        </w:rPr>
        <w:t xml:space="preserve">5.1 Respondent Demographics </w:t>
      </w:r>
    </w:p>
    <w:p w14:paraId="71B69429" w14:textId="77777777" w:rsidR="005F22E4" w:rsidRPr="00625DB0" w:rsidRDefault="005F22E4" w:rsidP="005F22E4">
      <w:pPr>
        <w:jc w:val="center"/>
        <w:rPr>
          <w:rFonts w:ascii="Arial" w:hAnsi="Arial" w:cs="Arial"/>
          <w:b/>
          <w:bCs/>
        </w:rPr>
      </w:pPr>
    </w:p>
    <w:p w14:paraId="5DE0D162" w14:textId="7389789D" w:rsidR="005F22E4" w:rsidRPr="00625DB0" w:rsidRDefault="005F22E4" w:rsidP="005F22E4">
      <w:pPr>
        <w:rPr>
          <w:rFonts w:ascii="Arial" w:hAnsi="Arial" w:cs="Arial"/>
        </w:rPr>
      </w:pPr>
      <w:r w:rsidRPr="00625DB0">
        <w:rPr>
          <w:rFonts w:ascii="Arial" w:hAnsi="Arial" w:cs="Arial"/>
          <w:b/>
          <w:bCs/>
        </w:rPr>
        <w:t>Table 1</w:t>
      </w:r>
      <w:r>
        <w:rPr>
          <w:rFonts w:ascii="Arial" w:hAnsi="Arial" w:cs="Arial"/>
          <w:b/>
          <w:bCs/>
        </w:rPr>
        <w:t xml:space="preserve">: </w:t>
      </w:r>
      <w:r w:rsidRPr="005F22E4">
        <w:rPr>
          <w:rFonts w:ascii="Arial" w:hAnsi="Arial" w:cs="Arial"/>
          <w:b/>
          <w:bCs/>
        </w:rPr>
        <w:t>Respondent Demographics</w:t>
      </w:r>
    </w:p>
    <w:p w14:paraId="04455084" w14:textId="27EFAFE6" w:rsidR="00A03B96" w:rsidRDefault="00A03B96"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879"/>
        <w:gridCol w:w="1950"/>
        <w:gridCol w:w="1508"/>
        <w:gridCol w:w="1871"/>
      </w:tblGrid>
      <w:tr w:rsidR="005F22E4" w:rsidRPr="009E1ABF" w14:paraId="71161D4B" w14:textId="77777777" w:rsidTr="005F22E4">
        <w:tc>
          <w:tcPr>
            <w:tcW w:w="4986" w:type="dxa"/>
            <w:gridSpan w:val="2"/>
            <w:tcBorders>
              <w:left w:val="nil"/>
              <w:right w:val="nil"/>
            </w:tcBorders>
          </w:tcPr>
          <w:p w14:paraId="5A6B8648"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Dimension</w:t>
            </w:r>
          </w:p>
        </w:tc>
        <w:tc>
          <w:tcPr>
            <w:tcW w:w="1529" w:type="dxa"/>
            <w:tcBorders>
              <w:left w:val="nil"/>
              <w:bottom w:val="single" w:sz="4" w:space="0" w:color="auto"/>
              <w:right w:val="nil"/>
            </w:tcBorders>
          </w:tcPr>
          <w:p w14:paraId="6A0B55F7"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Frequency</w:t>
            </w:r>
          </w:p>
        </w:tc>
        <w:tc>
          <w:tcPr>
            <w:tcW w:w="1909" w:type="dxa"/>
            <w:tcBorders>
              <w:left w:val="nil"/>
              <w:bottom w:val="single" w:sz="4" w:space="0" w:color="auto"/>
              <w:right w:val="nil"/>
            </w:tcBorders>
          </w:tcPr>
          <w:p w14:paraId="4FEDCE74"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Valid Percentage</w:t>
            </w:r>
          </w:p>
        </w:tc>
      </w:tr>
      <w:tr w:rsidR="005F22E4" w:rsidRPr="009E1ABF" w14:paraId="242838BB" w14:textId="77777777" w:rsidTr="005F22E4">
        <w:tc>
          <w:tcPr>
            <w:tcW w:w="2984" w:type="dxa"/>
            <w:vMerge w:val="restart"/>
            <w:tcBorders>
              <w:left w:val="nil"/>
              <w:right w:val="nil"/>
            </w:tcBorders>
          </w:tcPr>
          <w:p w14:paraId="786EA853" w14:textId="77777777" w:rsidR="005F22E4" w:rsidRPr="009E1ABF" w:rsidRDefault="005F22E4" w:rsidP="006E13E0">
            <w:pPr>
              <w:jc w:val="both"/>
              <w:rPr>
                <w:rFonts w:ascii="Arial" w:hAnsi="Arial" w:cs="Arial"/>
                <w:sz w:val="18"/>
                <w:szCs w:val="18"/>
              </w:rPr>
            </w:pPr>
          </w:p>
          <w:p w14:paraId="483C6F83"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Gender</w:t>
            </w:r>
          </w:p>
        </w:tc>
        <w:tc>
          <w:tcPr>
            <w:tcW w:w="2002" w:type="dxa"/>
            <w:tcBorders>
              <w:left w:val="nil"/>
              <w:bottom w:val="nil"/>
              <w:right w:val="nil"/>
            </w:tcBorders>
          </w:tcPr>
          <w:p w14:paraId="518EDC1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 xml:space="preserve">Female </w:t>
            </w:r>
          </w:p>
        </w:tc>
        <w:tc>
          <w:tcPr>
            <w:tcW w:w="1529" w:type="dxa"/>
            <w:tcBorders>
              <w:left w:val="nil"/>
              <w:bottom w:val="nil"/>
              <w:right w:val="nil"/>
            </w:tcBorders>
          </w:tcPr>
          <w:p w14:paraId="709D4C1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118</w:t>
            </w:r>
          </w:p>
        </w:tc>
        <w:tc>
          <w:tcPr>
            <w:tcW w:w="1909" w:type="dxa"/>
            <w:tcBorders>
              <w:left w:val="nil"/>
              <w:bottom w:val="nil"/>
              <w:right w:val="nil"/>
            </w:tcBorders>
          </w:tcPr>
          <w:p w14:paraId="5D7D1F57"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59</w:t>
            </w:r>
          </w:p>
        </w:tc>
      </w:tr>
      <w:tr w:rsidR="005F22E4" w:rsidRPr="009E1ABF" w14:paraId="67B709B7" w14:textId="77777777" w:rsidTr="005F22E4">
        <w:tc>
          <w:tcPr>
            <w:tcW w:w="2984" w:type="dxa"/>
            <w:vMerge/>
            <w:tcBorders>
              <w:left w:val="nil"/>
              <w:right w:val="nil"/>
            </w:tcBorders>
          </w:tcPr>
          <w:p w14:paraId="36151588"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61E7D3B4"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 xml:space="preserve">Male </w:t>
            </w:r>
          </w:p>
        </w:tc>
        <w:tc>
          <w:tcPr>
            <w:tcW w:w="1529" w:type="dxa"/>
            <w:tcBorders>
              <w:top w:val="nil"/>
              <w:left w:val="nil"/>
              <w:right w:val="nil"/>
            </w:tcBorders>
          </w:tcPr>
          <w:p w14:paraId="15B17D4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82</w:t>
            </w:r>
          </w:p>
        </w:tc>
        <w:tc>
          <w:tcPr>
            <w:tcW w:w="1909" w:type="dxa"/>
            <w:tcBorders>
              <w:top w:val="nil"/>
              <w:left w:val="nil"/>
              <w:right w:val="nil"/>
            </w:tcBorders>
          </w:tcPr>
          <w:p w14:paraId="5520D5CD"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41</w:t>
            </w:r>
          </w:p>
        </w:tc>
      </w:tr>
      <w:tr w:rsidR="005F22E4" w:rsidRPr="009E1ABF" w14:paraId="7C3A1B3D" w14:textId="77777777" w:rsidTr="005F22E4">
        <w:tc>
          <w:tcPr>
            <w:tcW w:w="2984" w:type="dxa"/>
            <w:vMerge/>
            <w:tcBorders>
              <w:left w:val="nil"/>
              <w:right w:val="nil"/>
            </w:tcBorders>
          </w:tcPr>
          <w:p w14:paraId="73FC8F10"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3B0953FF"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6FE828C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3871AE57"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2999D6D3" w14:textId="77777777" w:rsidTr="005F22E4">
        <w:tc>
          <w:tcPr>
            <w:tcW w:w="2984" w:type="dxa"/>
            <w:vMerge w:val="restart"/>
            <w:tcBorders>
              <w:left w:val="nil"/>
              <w:right w:val="nil"/>
            </w:tcBorders>
          </w:tcPr>
          <w:p w14:paraId="5C33F8FB" w14:textId="77777777" w:rsidR="005F22E4" w:rsidRPr="009E1ABF" w:rsidRDefault="005F22E4" w:rsidP="006E13E0">
            <w:pPr>
              <w:jc w:val="both"/>
              <w:rPr>
                <w:rFonts w:ascii="Arial" w:hAnsi="Arial" w:cs="Arial"/>
                <w:sz w:val="18"/>
                <w:szCs w:val="18"/>
              </w:rPr>
            </w:pPr>
          </w:p>
          <w:p w14:paraId="50E39EE8"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Electronic devices</w:t>
            </w:r>
          </w:p>
        </w:tc>
        <w:tc>
          <w:tcPr>
            <w:tcW w:w="2002" w:type="dxa"/>
            <w:tcBorders>
              <w:left w:val="nil"/>
              <w:bottom w:val="nil"/>
              <w:right w:val="nil"/>
            </w:tcBorders>
          </w:tcPr>
          <w:p w14:paraId="47540F6F"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Yes</w:t>
            </w:r>
          </w:p>
        </w:tc>
        <w:tc>
          <w:tcPr>
            <w:tcW w:w="1529" w:type="dxa"/>
            <w:tcBorders>
              <w:left w:val="nil"/>
              <w:bottom w:val="nil"/>
              <w:right w:val="nil"/>
            </w:tcBorders>
          </w:tcPr>
          <w:p w14:paraId="7EE0F767"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196</w:t>
            </w:r>
          </w:p>
        </w:tc>
        <w:tc>
          <w:tcPr>
            <w:tcW w:w="1909" w:type="dxa"/>
            <w:tcBorders>
              <w:left w:val="nil"/>
              <w:bottom w:val="nil"/>
              <w:right w:val="nil"/>
            </w:tcBorders>
          </w:tcPr>
          <w:p w14:paraId="178021B5"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98</w:t>
            </w:r>
          </w:p>
        </w:tc>
      </w:tr>
      <w:tr w:rsidR="005F22E4" w:rsidRPr="009E1ABF" w14:paraId="3BEE0F65" w14:textId="77777777" w:rsidTr="005F22E4">
        <w:tc>
          <w:tcPr>
            <w:tcW w:w="2984" w:type="dxa"/>
            <w:vMerge/>
            <w:tcBorders>
              <w:left w:val="nil"/>
              <w:right w:val="nil"/>
            </w:tcBorders>
          </w:tcPr>
          <w:p w14:paraId="0DD32DBA"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798E0093"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No</w:t>
            </w:r>
          </w:p>
        </w:tc>
        <w:tc>
          <w:tcPr>
            <w:tcW w:w="1529" w:type="dxa"/>
            <w:tcBorders>
              <w:top w:val="nil"/>
              <w:left w:val="nil"/>
              <w:right w:val="nil"/>
            </w:tcBorders>
          </w:tcPr>
          <w:p w14:paraId="57B8F69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w:t>
            </w:r>
          </w:p>
        </w:tc>
        <w:tc>
          <w:tcPr>
            <w:tcW w:w="1909" w:type="dxa"/>
            <w:tcBorders>
              <w:top w:val="nil"/>
              <w:left w:val="nil"/>
              <w:right w:val="nil"/>
            </w:tcBorders>
          </w:tcPr>
          <w:p w14:paraId="6DD9145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w:t>
            </w:r>
          </w:p>
        </w:tc>
      </w:tr>
      <w:tr w:rsidR="005F22E4" w:rsidRPr="009E1ABF" w14:paraId="4451FB50" w14:textId="77777777" w:rsidTr="005F22E4">
        <w:tc>
          <w:tcPr>
            <w:tcW w:w="2984" w:type="dxa"/>
            <w:vMerge/>
            <w:tcBorders>
              <w:left w:val="nil"/>
              <w:right w:val="nil"/>
            </w:tcBorders>
          </w:tcPr>
          <w:p w14:paraId="36D15BC0"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18B9A839"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2577538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6DCBF3B9"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719A9AE6" w14:textId="77777777" w:rsidTr="005F22E4">
        <w:tc>
          <w:tcPr>
            <w:tcW w:w="2984" w:type="dxa"/>
            <w:vMerge w:val="restart"/>
            <w:tcBorders>
              <w:left w:val="nil"/>
              <w:right w:val="nil"/>
            </w:tcBorders>
          </w:tcPr>
          <w:p w14:paraId="182316B0" w14:textId="77777777" w:rsidR="005F22E4" w:rsidRPr="009E1ABF" w:rsidRDefault="005F22E4" w:rsidP="006E13E0">
            <w:pPr>
              <w:jc w:val="both"/>
              <w:rPr>
                <w:rFonts w:ascii="Arial" w:hAnsi="Arial" w:cs="Arial"/>
                <w:sz w:val="18"/>
                <w:szCs w:val="18"/>
              </w:rPr>
            </w:pPr>
          </w:p>
          <w:p w14:paraId="152A23A0"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lastRenderedPageBreak/>
              <w:t>Types of electronic devices</w:t>
            </w:r>
          </w:p>
        </w:tc>
        <w:tc>
          <w:tcPr>
            <w:tcW w:w="2002" w:type="dxa"/>
            <w:tcBorders>
              <w:left w:val="nil"/>
              <w:bottom w:val="nil"/>
              <w:right w:val="nil"/>
            </w:tcBorders>
          </w:tcPr>
          <w:p w14:paraId="0CA561C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lastRenderedPageBreak/>
              <w:t>Mobile Phone</w:t>
            </w:r>
          </w:p>
        </w:tc>
        <w:tc>
          <w:tcPr>
            <w:tcW w:w="1529" w:type="dxa"/>
            <w:tcBorders>
              <w:left w:val="nil"/>
              <w:bottom w:val="nil"/>
              <w:right w:val="nil"/>
            </w:tcBorders>
          </w:tcPr>
          <w:p w14:paraId="3FA3FE8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155</w:t>
            </w:r>
          </w:p>
        </w:tc>
        <w:tc>
          <w:tcPr>
            <w:tcW w:w="1909" w:type="dxa"/>
            <w:tcBorders>
              <w:left w:val="nil"/>
              <w:bottom w:val="nil"/>
              <w:right w:val="nil"/>
            </w:tcBorders>
          </w:tcPr>
          <w:p w14:paraId="116883F2"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77.5</w:t>
            </w:r>
          </w:p>
        </w:tc>
      </w:tr>
      <w:tr w:rsidR="005F22E4" w:rsidRPr="009E1ABF" w14:paraId="73FD2D29" w14:textId="77777777" w:rsidTr="005F22E4">
        <w:tc>
          <w:tcPr>
            <w:tcW w:w="2984" w:type="dxa"/>
            <w:vMerge/>
            <w:tcBorders>
              <w:left w:val="nil"/>
              <w:right w:val="nil"/>
            </w:tcBorders>
          </w:tcPr>
          <w:p w14:paraId="53356E67"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43D94135"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Desktop Computer</w:t>
            </w:r>
          </w:p>
        </w:tc>
        <w:tc>
          <w:tcPr>
            <w:tcW w:w="1529" w:type="dxa"/>
            <w:tcBorders>
              <w:top w:val="nil"/>
              <w:left w:val="nil"/>
              <w:bottom w:val="nil"/>
              <w:right w:val="nil"/>
            </w:tcBorders>
          </w:tcPr>
          <w:p w14:paraId="00A7554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w:t>
            </w:r>
          </w:p>
        </w:tc>
        <w:tc>
          <w:tcPr>
            <w:tcW w:w="1909" w:type="dxa"/>
            <w:tcBorders>
              <w:top w:val="nil"/>
              <w:left w:val="nil"/>
              <w:bottom w:val="nil"/>
              <w:right w:val="nil"/>
            </w:tcBorders>
          </w:tcPr>
          <w:p w14:paraId="2E7FB2D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4.5</w:t>
            </w:r>
          </w:p>
        </w:tc>
      </w:tr>
      <w:tr w:rsidR="005F22E4" w:rsidRPr="009E1ABF" w14:paraId="1AD02F20" w14:textId="77777777" w:rsidTr="005F22E4">
        <w:tc>
          <w:tcPr>
            <w:tcW w:w="2984" w:type="dxa"/>
            <w:vMerge/>
            <w:tcBorders>
              <w:left w:val="nil"/>
              <w:right w:val="nil"/>
            </w:tcBorders>
          </w:tcPr>
          <w:p w14:paraId="52BA6CAD"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54E804EF"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Laptop</w:t>
            </w:r>
          </w:p>
        </w:tc>
        <w:tc>
          <w:tcPr>
            <w:tcW w:w="1529" w:type="dxa"/>
            <w:tcBorders>
              <w:top w:val="nil"/>
              <w:left w:val="nil"/>
              <w:bottom w:val="nil"/>
              <w:right w:val="nil"/>
            </w:tcBorders>
          </w:tcPr>
          <w:p w14:paraId="641227BA"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32</w:t>
            </w:r>
          </w:p>
        </w:tc>
        <w:tc>
          <w:tcPr>
            <w:tcW w:w="1909" w:type="dxa"/>
            <w:tcBorders>
              <w:top w:val="nil"/>
              <w:left w:val="nil"/>
              <w:bottom w:val="nil"/>
              <w:right w:val="nil"/>
            </w:tcBorders>
          </w:tcPr>
          <w:p w14:paraId="278B01C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16</w:t>
            </w:r>
          </w:p>
        </w:tc>
      </w:tr>
      <w:tr w:rsidR="005F22E4" w:rsidRPr="009E1ABF" w14:paraId="304BE30C" w14:textId="77777777" w:rsidTr="005F22E4">
        <w:tc>
          <w:tcPr>
            <w:tcW w:w="2984" w:type="dxa"/>
            <w:vMerge/>
            <w:tcBorders>
              <w:left w:val="nil"/>
              <w:right w:val="nil"/>
            </w:tcBorders>
          </w:tcPr>
          <w:p w14:paraId="3FAC8D75"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59BB892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Others</w:t>
            </w:r>
          </w:p>
        </w:tc>
        <w:tc>
          <w:tcPr>
            <w:tcW w:w="1529" w:type="dxa"/>
            <w:tcBorders>
              <w:top w:val="nil"/>
              <w:left w:val="nil"/>
              <w:right w:val="nil"/>
            </w:tcBorders>
          </w:tcPr>
          <w:p w14:paraId="0A88D012"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w:t>
            </w:r>
          </w:p>
        </w:tc>
        <w:tc>
          <w:tcPr>
            <w:tcW w:w="1909" w:type="dxa"/>
            <w:tcBorders>
              <w:top w:val="nil"/>
              <w:left w:val="nil"/>
              <w:right w:val="nil"/>
            </w:tcBorders>
          </w:tcPr>
          <w:p w14:paraId="3DA2F989"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w:t>
            </w:r>
          </w:p>
        </w:tc>
      </w:tr>
      <w:tr w:rsidR="005F22E4" w:rsidRPr="009E1ABF" w14:paraId="318955A3" w14:textId="77777777" w:rsidTr="005F22E4">
        <w:tc>
          <w:tcPr>
            <w:tcW w:w="2984" w:type="dxa"/>
            <w:vMerge/>
            <w:tcBorders>
              <w:left w:val="nil"/>
              <w:right w:val="nil"/>
            </w:tcBorders>
          </w:tcPr>
          <w:p w14:paraId="6A521AE0"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6ADDE335"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5D624E4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1F62EF7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0C38406A" w14:textId="77777777" w:rsidTr="005F22E4">
        <w:tc>
          <w:tcPr>
            <w:tcW w:w="2984" w:type="dxa"/>
            <w:vMerge w:val="restart"/>
            <w:tcBorders>
              <w:left w:val="nil"/>
              <w:right w:val="nil"/>
            </w:tcBorders>
          </w:tcPr>
          <w:p w14:paraId="7CA72AE6" w14:textId="77777777" w:rsidR="005F22E4" w:rsidRPr="009E1ABF" w:rsidRDefault="005F22E4" w:rsidP="006E13E0">
            <w:pPr>
              <w:jc w:val="both"/>
              <w:rPr>
                <w:rFonts w:ascii="Arial" w:hAnsi="Arial" w:cs="Arial"/>
                <w:sz w:val="18"/>
                <w:szCs w:val="18"/>
              </w:rPr>
            </w:pPr>
          </w:p>
          <w:p w14:paraId="3425ADD8"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Internet access at home</w:t>
            </w:r>
          </w:p>
        </w:tc>
        <w:tc>
          <w:tcPr>
            <w:tcW w:w="2002" w:type="dxa"/>
            <w:tcBorders>
              <w:left w:val="nil"/>
              <w:bottom w:val="nil"/>
              <w:right w:val="nil"/>
            </w:tcBorders>
          </w:tcPr>
          <w:p w14:paraId="248B0DB7"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Yes</w:t>
            </w:r>
          </w:p>
        </w:tc>
        <w:tc>
          <w:tcPr>
            <w:tcW w:w="1529" w:type="dxa"/>
            <w:tcBorders>
              <w:left w:val="nil"/>
              <w:bottom w:val="nil"/>
              <w:right w:val="nil"/>
            </w:tcBorders>
          </w:tcPr>
          <w:p w14:paraId="0599DB95"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105</w:t>
            </w:r>
          </w:p>
        </w:tc>
        <w:tc>
          <w:tcPr>
            <w:tcW w:w="1909" w:type="dxa"/>
            <w:tcBorders>
              <w:left w:val="nil"/>
              <w:bottom w:val="nil"/>
              <w:right w:val="nil"/>
            </w:tcBorders>
          </w:tcPr>
          <w:p w14:paraId="7A899C25"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52.5</w:t>
            </w:r>
          </w:p>
        </w:tc>
      </w:tr>
      <w:tr w:rsidR="005F22E4" w:rsidRPr="009E1ABF" w14:paraId="442738D0" w14:textId="77777777" w:rsidTr="005F22E4">
        <w:tc>
          <w:tcPr>
            <w:tcW w:w="2984" w:type="dxa"/>
            <w:vMerge/>
            <w:tcBorders>
              <w:left w:val="nil"/>
              <w:right w:val="nil"/>
            </w:tcBorders>
          </w:tcPr>
          <w:p w14:paraId="650BD77B"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125673A3"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No</w:t>
            </w:r>
          </w:p>
        </w:tc>
        <w:tc>
          <w:tcPr>
            <w:tcW w:w="1529" w:type="dxa"/>
            <w:tcBorders>
              <w:top w:val="nil"/>
              <w:left w:val="nil"/>
              <w:bottom w:val="nil"/>
              <w:right w:val="nil"/>
            </w:tcBorders>
          </w:tcPr>
          <w:p w14:paraId="199EE18D"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w:t>
            </w:r>
          </w:p>
        </w:tc>
        <w:tc>
          <w:tcPr>
            <w:tcW w:w="1909" w:type="dxa"/>
            <w:tcBorders>
              <w:top w:val="nil"/>
              <w:left w:val="nil"/>
              <w:bottom w:val="nil"/>
              <w:right w:val="nil"/>
            </w:tcBorders>
          </w:tcPr>
          <w:p w14:paraId="7F3F8D93"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w:t>
            </w:r>
          </w:p>
        </w:tc>
      </w:tr>
      <w:tr w:rsidR="005F22E4" w:rsidRPr="009E1ABF" w14:paraId="2A94419A" w14:textId="77777777" w:rsidTr="005F22E4">
        <w:tc>
          <w:tcPr>
            <w:tcW w:w="2984" w:type="dxa"/>
            <w:vMerge/>
            <w:tcBorders>
              <w:left w:val="nil"/>
              <w:right w:val="nil"/>
            </w:tcBorders>
          </w:tcPr>
          <w:p w14:paraId="2FBB5982"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416590D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Limited</w:t>
            </w:r>
          </w:p>
        </w:tc>
        <w:tc>
          <w:tcPr>
            <w:tcW w:w="1529" w:type="dxa"/>
            <w:tcBorders>
              <w:top w:val="nil"/>
              <w:left w:val="nil"/>
              <w:right w:val="nil"/>
            </w:tcBorders>
          </w:tcPr>
          <w:p w14:paraId="70716B6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91</w:t>
            </w:r>
          </w:p>
        </w:tc>
        <w:tc>
          <w:tcPr>
            <w:tcW w:w="1909" w:type="dxa"/>
            <w:tcBorders>
              <w:top w:val="nil"/>
              <w:left w:val="nil"/>
              <w:right w:val="nil"/>
            </w:tcBorders>
          </w:tcPr>
          <w:p w14:paraId="4A333C11"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45.5</w:t>
            </w:r>
          </w:p>
        </w:tc>
      </w:tr>
      <w:tr w:rsidR="005F22E4" w:rsidRPr="009E1ABF" w14:paraId="73178F3F" w14:textId="77777777" w:rsidTr="005F22E4">
        <w:tc>
          <w:tcPr>
            <w:tcW w:w="2984" w:type="dxa"/>
            <w:vMerge/>
            <w:tcBorders>
              <w:left w:val="nil"/>
              <w:right w:val="nil"/>
            </w:tcBorders>
          </w:tcPr>
          <w:p w14:paraId="14A57A3A"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2B4ECF46"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09727FDB"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200</w:t>
            </w:r>
          </w:p>
        </w:tc>
        <w:tc>
          <w:tcPr>
            <w:tcW w:w="1909" w:type="dxa"/>
            <w:tcBorders>
              <w:left w:val="nil"/>
              <w:right w:val="nil"/>
            </w:tcBorders>
          </w:tcPr>
          <w:p w14:paraId="089FBCB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r w:rsidR="005F22E4" w:rsidRPr="009E1ABF" w14:paraId="6A4A3BF5" w14:textId="77777777" w:rsidTr="005F22E4">
        <w:tc>
          <w:tcPr>
            <w:tcW w:w="2984" w:type="dxa"/>
            <w:vMerge w:val="restart"/>
            <w:tcBorders>
              <w:left w:val="nil"/>
              <w:right w:val="nil"/>
            </w:tcBorders>
          </w:tcPr>
          <w:p w14:paraId="69DF4AC3" w14:textId="77777777" w:rsidR="005F22E4" w:rsidRPr="009E1ABF" w:rsidRDefault="005F22E4" w:rsidP="006E13E0">
            <w:pPr>
              <w:rPr>
                <w:rFonts w:ascii="Arial" w:hAnsi="Arial" w:cs="Arial"/>
                <w:sz w:val="18"/>
                <w:szCs w:val="18"/>
              </w:rPr>
            </w:pPr>
            <w:r w:rsidRPr="009E1ABF">
              <w:rPr>
                <w:rFonts w:ascii="Arial" w:hAnsi="Arial" w:cs="Arial"/>
                <w:sz w:val="18"/>
                <w:szCs w:val="18"/>
              </w:rPr>
              <w:t>Reason or cause of limited Internet access at your home</w:t>
            </w:r>
          </w:p>
        </w:tc>
        <w:tc>
          <w:tcPr>
            <w:tcW w:w="2002" w:type="dxa"/>
            <w:tcBorders>
              <w:left w:val="nil"/>
              <w:bottom w:val="nil"/>
              <w:right w:val="nil"/>
            </w:tcBorders>
          </w:tcPr>
          <w:p w14:paraId="364403D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Costly</w:t>
            </w:r>
          </w:p>
        </w:tc>
        <w:tc>
          <w:tcPr>
            <w:tcW w:w="1529" w:type="dxa"/>
            <w:tcBorders>
              <w:left w:val="nil"/>
              <w:bottom w:val="nil"/>
              <w:right w:val="nil"/>
            </w:tcBorders>
          </w:tcPr>
          <w:p w14:paraId="6A532EC2"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35</w:t>
            </w:r>
          </w:p>
        </w:tc>
        <w:tc>
          <w:tcPr>
            <w:tcW w:w="1909" w:type="dxa"/>
            <w:tcBorders>
              <w:left w:val="nil"/>
              <w:bottom w:val="nil"/>
              <w:right w:val="nil"/>
            </w:tcBorders>
          </w:tcPr>
          <w:p w14:paraId="1435AD68"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36.8</w:t>
            </w:r>
          </w:p>
        </w:tc>
      </w:tr>
      <w:tr w:rsidR="005F22E4" w:rsidRPr="009E1ABF" w14:paraId="4105C904" w14:textId="77777777" w:rsidTr="005F22E4">
        <w:trPr>
          <w:trHeight w:val="58"/>
        </w:trPr>
        <w:tc>
          <w:tcPr>
            <w:tcW w:w="2984" w:type="dxa"/>
            <w:vMerge/>
            <w:tcBorders>
              <w:left w:val="nil"/>
              <w:right w:val="nil"/>
            </w:tcBorders>
          </w:tcPr>
          <w:p w14:paraId="3CEB034A" w14:textId="77777777" w:rsidR="005F22E4" w:rsidRPr="009E1ABF" w:rsidRDefault="005F22E4" w:rsidP="006E13E0">
            <w:pPr>
              <w:jc w:val="both"/>
              <w:rPr>
                <w:rFonts w:ascii="Arial" w:hAnsi="Arial" w:cs="Arial"/>
                <w:sz w:val="18"/>
                <w:szCs w:val="18"/>
              </w:rPr>
            </w:pPr>
          </w:p>
        </w:tc>
        <w:tc>
          <w:tcPr>
            <w:tcW w:w="2002" w:type="dxa"/>
            <w:tcBorders>
              <w:top w:val="nil"/>
              <w:left w:val="nil"/>
              <w:bottom w:val="nil"/>
              <w:right w:val="nil"/>
            </w:tcBorders>
          </w:tcPr>
          <w:p w14:paraId="1EEA0D3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Weak Signal</w:t>
            </w:r>
          </w:p>
        </w:tc>
        <w:tc>
          <w:tcPr>
            <w:tcW w:w="1529" w:type="dxa"/>
            <w:tcBorders>
              <w:top w:val="nil"/>
              <w:left w:val="nil"/>
              <w:bottom w:val="nil"/>
              <w:right w:val="nil"/>
            </w:tcBorders>
          </w:tcPr>
          <w:p w14:paraId="1408EC71"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6</w:t>
            </w:r>
          </w:p>
        </w:tc>
        <w:tc>
          <w:tcPr>
            <w:tcW w:w="1909" w:type="dxa"/>
            <w:tcBorders>
              <w:top w:val="nil"/>
              <w:left w:val="nil"/>
              <w:bottom w:val="nil"/>
              <w:right w:val="nil"/>
            </w:tcBorders>
          </w:tcPr>
          <w:p w14:paraId="3563642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6.3</w:t>
            </w:r>
          </w:p>
        </w:tc>
      </w:tr>
      <w:tr w:rsidR="005F22E4" w:rsidRPr="009E1ABF" w14:paraId="5E8C3F03" w14:textId="77777777" w:rsidTr="005F22E4">
        <w:tc>
          <w:tcPr>
            <w:tcW w:w="2984" w:type="dxa"/>
            <w:vMerge/>
            <w:tcBorders>
              <w:left w:val="nil"/>
              <w:right w:val="nil"/>
            </w:tcBorders>
          </w:tcPr>
          <w:p w14:paraId="15FD75AC" w14:textId="77777777" w:rsidR="005F22E4" w:rsidRPr="009E1ABF" w:rsidRDefault="005F22E4" w:rsidP="006E13E0">
            <w:pPr>
              <w:jc w:val="both"/>
              <w:rPr>
                <w:rFonts w:ascii="Arial" w:hAnsi="Arial" w:cs="Arial"/>
                <w:sz w:val="18"/>
                <w:szCs w:val="18"/>
              </w:rPr>
            </w:pPr>
          </w:p>
        </w:tc>
        <w:tc>
          <w:tcPr>
            <w:tcW w:w="2002" w:type="dxa"/>
            <w:tcBorders>
              <w:top w:val="nil"/>
              <w:left w:val="nil"/>
              <w:right w:val="nil"/>
            </w:tcBorders>
          </w:tcPr>
          <w:p w14:paraId="37980B72"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Both</w:t>
            </w:r>
          </w:p>
        </w:tc>
        <w:tc>
          <w:tcPr>
            <w:tcW w:w="1529" w:type="dxa"/>
            <w:tcBorders>
              <w:top w:val="nil"/>
              <w:left w:val="nil"/>
              <w:right w:val="nil"/>
            </w:tcBorders>
          </w:tcPr>
          <w:p w14:paraId="5EFBE49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54</w:t>
            </w:r>
          </w:p>
        </w:tc>
        <w:tc>
          <w:tcPr>
            <w:tcW w:w="1909" w:type="dxa"/>
            <w:tcBorders>
              <w:top w:val="nil"/>
              <w:left w:val="nil"/>
              <w:right w:val="nil"/>
            </w:tcBorders>
          </w:tcPr>
          <w:p w14:paraId="007D35F9"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56.8</w:t>
            </w:r>
          </w:p>
        </w:tc>
      </w:tr>
      <w:tr w:rsidR="005F22E4" w:rsidRPr="009E1ABF" w14:paraId="125693AF" w14:textId="77777777" w:rsidTr="005F22E4">
        <w:tc>
          <w:tcPr>
            <w:tcW w:w="2984" w:type="dxa"/>
            <w:vMerge/>
            <w:tcBorders>
              <w:left w:val="nil"/>
              <w:right w:val="nil"/>
            </w:tcBorders>
          </w:tcPr>
          <w:p w14:paraId="455A40B7" w14:textId="77777777" w:rsidR="005F22E4" w:rsidRPr="009E1ABF" w:rsidRDefault="005F22E4" w:rsidP="006E13E0">
            <w:pPr>
              <w:jc w:val="both"/>
              <w:rPr>
                <w:rFonts w:ascii="Arial" w:hAnsi="Arial" w:cs="Arial"/>
                <w:sz w:val="18"/>
                <w:szCs w:val="18"/>
              </w:rPr>
            </w:pPr>
          </w:p>
        </w:tc>
        <w:tc>
          <w:tcPr>
            <w:tcW w:w="2002" w:type="dxa"/>
            <w:tcBorders>
              <w:left w:val="nil"/>
              <w:right w:val="nil"/>
            </w:tcBorders>
          </w:tcPr>
          <w:p w14:paraId="32717DA1" w14:textId="77777777" w:rsidR="005F22E4" w:rsidRPr="009E1ABF" w:rsidRDefault="005F22E4" w:rsidP="006E13E0">
            <w:pPr>
              <w:jc w:val="both"/>
              <w:rPr>
                <w:rFonts w:ascii="Arial" w:hAnsi="Arial" w:cs="Arial"/>
                <w:sz w:val="18"/>
                <w:szCs w:val="18"/>
              </w:rPr>
            </w:pPr>
            <w:r w:rsidRPr="009E1ABF">
              <w:rPr>
                <w:rFonts w:ascii="Arial" w:hAnsi="Arial" w:cs="Arial"/>
                <w:sz w:val="18"/>
                <w:szCs w:val="18"/>
              </w:rPr>
              <w:t>Total</w:t>
            </w:r>
          </w:p>
        </w:tc>
        <w:tc>
          <w:tcPr>
            <w:tcW w:w="1529" w:type="dxa"/>
            <w:tcBorders>
              <w:left w:val="nil"/>
              <w:right w:val="nil"/>
            </w:tcBorders>
          </w:tcPr>
          <w:p w14:paraId="46ED5876"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95</w:t>
            </w:r>
          </w:p>
        </w:tc>
        <w:tc>
          <w:tcPr>
            <w:tcW w:w="1909" w:type="dxa"/>
            <w:tcBorders>
              <w:left w:val="nil"/>
              <w:right w:val="nil"/>
            </w:tcBorders>
          </w:tcPr>
          <w:p w14:paraId="1A6791F1"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100</w:t>
            </w:r>
          </w:p>
        </w:tc>
      </w:tr>
    </w:tbl>
    <w:p w14:paraId="1E6C5ED8" w14:textId="1A3B4E45" w:rsidR="005F22E4" w:rsidRPr="009E1ABF" w:rsidRDefault="005F22E4" w:rsidP="005F22E4">
      <w:pPr>
        <w:spacing w:after="240" w:line="276" w:lineRule="auto"/>
        <w:jc w:val="both"/>
        <w:rPr>
          <w:rFonts w:ascii="Arial" w:hAnsi="Arial" w:cs="Arial"/>
          <w:sz w:val="18"/>
          <w:szCs w:val="18"/>
        </w:rPr>
      </w:pPr>
      <w:r w:rsidRPr="009E1ABF">
        <w:rPr>
          <w:rFonts w:ascii="Arial" w:hAnsi="Arial" w:cs="Arial"/>
          <w:sz w:val="18"/>
          <w:szCs w:val="18"/>
        </w:rPr>
        <w:t>Source: Primary data, 2025</w:t>
      </w:r>
    </w:p>
    <w:p w14:paraId="3E7F35C6" w14:textId="77777777" w:rsidR="005F22E4" w:rsidRDefault="005F22E4" w:rsidP="001D21C7">
      <w:pPr>
        <w:spacing w:after="240"/>
        <w:jc w:val="both"/>
        <w:rPr>
          <w:rFonts w:ascii="Arial" w:hAnsi="Arial" w:cs="Arial"/>
        </w:rPr>
      </w:pPr>
      <w:r w:rsidRPr="00625DB0">
        <w:rPr>
          <w:rFonts w:ascii="Arial" w:hAnsi="Arial" w:cs="Arial"/>
        </w:rPr>
        <w:t>Table 1 presents the demographic and background information of the respondents. A majority of the participants were female (59%), while male respondents constituted 41%. Notably, 98% of respondents reported having access to electronic devices, such as mobile phones (77.5%), laptops (16%), and desktop computers (4.5%). In terms of internet accessibility, 52.5% of the students had uninterrupted internet access at home, 45.5% reported limited access, and 2% had no internet access. Among those with limited internet access, 36.8% attributed this to high data costs, 6.3% to weak signals, and 56.8% cited both factors as limiting.</w:t>
      </w:r>
    </w:p>
    <w:p w14:paraId="0DE64D2F" w14:textId="7B5BA8FA" w:rsidR="001D21C7" w:rsidRPr="004B1B9E" w:rsidRDefault="001D21C7" w:rsidP="005F22E4">
      <w:pPr>
        <w:jc w:val="both"/>
        <w:rPr>
          <w:rFonts w:ascii="Arial" w:hAnsi="Arial" w:cs="Arial"/>
          <w:color w:val="EE0000"/>
        </w:rPr>
      </w:pPr>
      <w:r w:rsidRPr="004B1B9E">
        <w:rPr>
          <w:rFonts w:ascii="Arial" w:hAnsi="Arial" w:cs="Arial"/>
          <w:color w:val="EE0000"/>
        </w:rPr>
        <w:t>From a Foucauldian perspective, widespread device ownership indicates students’ incorporation into a digitally governed learning system where participation becomes normalized and expected. However, unequal internet access reflects differentiated participation within the disciplinary structure, producing unequal exposure to institutional monitoring and engagement requirements.</w:t>
      </w:r>
      <w:r w:rsidRPr="004B1B9E">
        <w:rPr>
          <w:rFonts w:ascii="Arial" w:hAnsi="Arial" w:cs="Arial"/>
          <w:color w:val="EE0000"/>
        </w:rPr>
        <w:t xml:space="preserve"> </w:t>
      </w:r>
    </w:p>
    <w:p w14:paraId="35DA5274" w14:textId="77777777" w:rsidR="00790ADA" w:rsidRDefault="00790ADA" w:rsidP="00441B6F">
      <w:pPr>
        <w:pStyle w:val="Body"/>
        <w:spacing w:after="0"/>
        <w:rPr>
          <w:rFonts w:ascii="Arial" w:hAnsi="Arial" w:cs="Arial"/>
        </w:rPr>
      </w:pPr>
    </w:p>
    <w:p w14:paraId="3C2448B7" w14:textId="609F86BA" w:rsidR="005F22E4" w:rsidRPr="000E1E75" w:rsidRDefault="005F22E4" w:rsidP="005F22E4">
      <w:pPr>
        <w:spacing w:line="360" w:lineRule="auto"/>
        <w:jc w:val="both"/>
        <w:rPr>
          <w:rFonts w:ascii="Arial" w:hAnsi="Arial" w:cs="Arial"/>
          <w:b/>
          <w:bCs/>
          <w:sz w:val="22"/>
          <w:szCs w:val="22"/>
        </w:rPr>
      </w:pPr>
      <w:r w:rsidRPr="000E1E75">
        <w:rPr>
          <w:rFonts w:ascii="Arial" w:hAnsi="Arial" w:cs="Arial"/>
          <w:b/>
          <w:bCs/>
          <w:sz w:val="22"/>
          <w:szCs w:val="22"/>
        </w:rPr>
        <w:t>5.2 Reliability Test</w:t>
      </w:r>
    </w:p>
    <w:p w14:paraId="57065C30" w14:textId="77777777" w:rsidR="005F22E4" w:rsidRDefault="005F22E4" w:rsidP="005F22E4">
      <w:pPr>
        <w:spacing w:after="240"/>
        <w:jc w:val="both"/>
        <w:rPr>
          <w:rFonts w:ascii="Arial" w:hAnsi="Arial" w:cs="Arial"/>
        </w:rPr>
      </w:pPr>
      <w:r w:rsidRPr="00625DB0">
        <w:rPr>
          <w:rFonts w:ascii="Arial" w:hAnsi="Arial" w:cs="Arial"/>
        </w:rPr>
        <w:t>To ensure internal consistency of the scale, a reliability test using Cronbach’s Alpha was conducted. As shown in Table 2, the calculated value was 0.912, well above the standard threshold of 0.7, indicating a high level of reliability of the instrument used in this study.</w:t>
      </w:r>
    </w:p>
    <w:p w14:paraId="2D556134" w14:textId="03A63BAB" w:rsidR="00F04BB7" w:rsidRPr="00F04BB7" w:rsidRDefault="00F04BB7" w:rsidP="005F22E4">
      <w:pPr>
        <w:spacing w:after="240"/>
        <w:jc w:val="both"/>
        <w:rPr>
          <w:rFonts w:ascii="Arial" w:hAnsi="Arial" w:cs="Arial"/>
          <w:color w:val="EE0000"/>
        </w:rPr>
      </w:pPr>
      <w:r w:rsidRPr="00F04BB7">
        <w:rPr>
          <w:rFonts w:ascii="Arial" w:hAnsi="Arial" w:cs="Arial"/>
          <w:color w:val="EE0000"/>
        </w:rPr>
        <w:t xml:space="preserve">Based on the result, </w:t>
      </w:r>
      <w:r w:rsidRPr="00F04BB7">
        <w:rPr>
          <w:rFonts w:ascii="Arial" w:hAnsi="Arial" w:cs="Arial"/>
          <w:color w:val="EE0000"/>
        </w:rPr>
        <w:t>this</w:t>
      </w:r>
      <w:r w:rsidRPr="00F04BB7">
        <w:rPr>
          <w:rFonts w:ascii="Arial" w:hAnsi="Arial" w:cs="Arial"/>
          <w:color w:val="EE0000"/>
        </w:rPr>
        <w:t xml:space="preserve"> consistency reinforces the conclusion that students’ answers reflect fixed </w:t>
      </w:r>
      <w:proofErr w:type="spellStart"/>
      <w:r w:rsidRPr="00F04BB7">
        <w:rPr>
          <w:rFonts w:ascii="Arial" w:hAnsi="Arial" w:cs="Arial"/>
          <w:color w:val="EE0000"/>
        </w:rPr>
        <w:t>behavioural</w:t>
      </w:r>
      <w:proofErr w:type="spellEnd"/>
      <w:r w:rsidRPr="00F04BB7">
        <w:rPr>
          <w:rFonts w:ascii="Arial" w:hAnsi="Arial" w:cs="Arial"/>
          <w:color w:val="EE0000"/>
        </w:rPr>
        <w:t xml:space="preserve"> tendencies rather than random opinions, as suggested by Foucault’s notion of patterned </w:t>
      </w:r>
      <w:proofErr w:type="spellStart"/>
      <w:r w:rsidRPr="00F04BB7">
        <w:rPr>
          <w:rFonts w:ascii="Arial" w:hAnsi="Arial" w:cs="Arial"/>
          <w:color w:val="EE0000"/>
        </w:rPr>
        <w:t>behavioural</w:t>
      </w:r>
      <w:proofErr w:type="spellEnd"/>
      <w:r w:rsidRPr="00F04BB7">
        <w:rPr>
          <w:rFonts w:ascii="Arial" w:hAnsi="Arial" w:cs="Arial"/>
          <w:color w:val="EE0000"/>
        </w:rPr>
        <w:t xml:space="preserve"> responses in a disciplinary setting.</w:t>
      </w:r>
      <w:r w:rsidRPr="00F04BB7">
        <w:rPr>
          <w:rFonts w:ascii="Arial" w:hAnsi="Arial" w:cs="Arial"/>
          <w:color w:val="EE0000"/>
        </w:rPr>
        <w:t xml:space="preserve"> </w:t>
      </w:r>
    </w:p>
    <w:p w14:paraId="13F19BB8" w14:textId="5FDBA280" w:rsidR="005F22E4" w:rsidRPr="00625DB0" w:rsidRDefault="005F22E4" w:rsidP="005F22E4">
      <w:pPr>
        <w:spacing w:line="276" w:lineRule="auto"/>
        <w:rPr>
          <w:rFonts w:ascii="Arial" w:hAnsi="Arial" w:cs="Arial"/>
        </w:rPr>
      </w:pPr>
      <w:r w:rsidRPr="00625DB0">
        <w:rPr>
          <w:rFonts w:ascii="Arial" w:hAnsi="Arial" w:cs="Arial"/>
          <w:b/>
          <w:bCs/>
        </w:rPr>
        <w:t>Table 2</w:t>
      </w:r>
      <w:r>
        <w:rPr>
          <w:rFonts w:ascii="Arial" w:hAnsi="Arial" w:cs="Arial"/>
          <w:b/>
          <w:bCs/>
        </w:rPr>
        <w:t xml:space="preserve">: </w:t>
      </w:r>
      <w:r w:rsidRPr="005F22E4">
        <w:rPr>
          <w:rFonts w:ascii="Arial" w:hAnsi="Arial" w:cs="Arial"/>
          <w:b/>
          <w:bCs/>
        </w:rPr>
        <w:t>Cronbach’s Alpha Reliability Scores</w:t>
      </w:r>
      <w:r w:rsidRPr="00625DB0">
        <w:rPr>
          <w:rFonts w:ascii="Arial" w:hAnsi="Arial" w:cs="Arial"/>
        </w:rPr>
        <w:t xml:space="preserve"> </w:t>
      </w:r>
    </w:p>
    <w:tbl>
      <w:tblPr>
        <w:tblStyle w:val="TableGrid"/>
        <w:tblW w:w="0" w:type="auto"/>
        <w:tblInd w:w="137" w:type="dxa"/>
        <w:tblLook w:val="04A0" w:firstRow="1" w:lastRow="0" w:firstColumn="1" w:lastColumn="0" w:noHBand="0" w:noVBand="1"/>
      </w:tblPr>
      <w:tblGrid>
        <w:gridCol w:w="5249"/>
        <w:gridCol w:w="2822"/>
      </w:tblGrid>
      <w:tr w:rsidR="005F22E4" w:rsidRPr="009E1ABF" w14:paraId="04650F90" w14:textId="77777777" w:rsidTr="006E13E0">
        <w:tc>
          <w:tcPr>
            <w:tcW w:w="5528" w:type="dxa"/>
            <w:tcBorders>
              <w:left w:val="nil"/>
              <w:right w:val="nil"/>
            </w:tcBorders>
          </w:tcPr>
          <w:p w14:paraId="36EFA222"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Cronbach’s Alpha</w:t>
            </w:r>
          </w:p>
        </w:tc>
        <w:tc>
          <w:tcPr>
            <w:tcW w:w="2977" w:type="dxa"/>
            <w:tcBorders>
              <w:left w:val="nil"/>
              <w:right w:val="nil"/>
            </w:tcBorders>
          </w:tcPr>
          <w:p w14:paraId="222BC659" w14:textId="77777777" w:rsidR="005F22E4" w:rsidRPr="009E1ABF" w:rsidRDefault="005F22E4" w:rsidP="006E13E0">
            <w:pPr>
              <w:jc w:val="center"/>
              <w:rPr>
                <w:rFonts w:ascii="Arial" w:hAnsi="Arial" w:cs="Arial"/>
                <w:b/>
                <w:bCs/>
                <w:sz w:val="18"/>
                <w:szCs w:val="18"/>
              </w:rPr>
            </w:pPr>
            <w:r w:rsidRPr="009E1ABF">
              <w:rPr>
                <w:rFonts w:ascii="Arial" w:hAnsi="Arial" w:cs="Arial"/>
                <w:b/>
                <w:bCs/>
                <w:sz w:val="18"/>
                <w:szCs w:val="18"/>
              </w:rPr>
              <w:t>No. of Item</w:t>
            </w:r>
          </w:p>
        </w:tc>
      </w:tr>
      <w:tr w:rsidR="005F22E4" w:rsidRPr="009E1ABF" w14:paraId="56DC1AEB" w14:textId="77777777" w:rsidTr="006E13E0">
        <w:tc>
          <w:tcPr>
            <w:tcW w:w="5528" w:type="dxa"/>
            <w:tcBorders>
              <w:left w:val="nil"/>
              <w:right w:val="nil"/>
            </w:tcBorders>
          </w:tcPr>
          <w:p w14:paraId="3412C8E0"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0.912</w:t>
            </w:r>
          </w:p>
        </w:tc>
        <w:tc>
          <w:tcPr>
            <w:tcW w:w="2977" w:type="dxa"/>
            <w:tcBorders>
              <w:left w:val="nil"/>
              <w:right w:val="nil"/>
            </w:tcBorders>
          </w:tcPr>
          <w:p w14:paraId="4FB110BE" w14:textId="77777777" w:rsidR="005F22E4" w:rsidRPr="009E1ABF" w:rsidRDefault="005F22E4" w:rsidP="006E13E0">
            <w:pPr>
              <w:jc w:val="center"/>
              <w:rPr>
                <w:rFonts w:ascii="Arial" w:hAnsi="Arial" w:cs="Arial"/>
                <w:sz w:val="18"/>
                <w:szCs w:val="18"/>
              </w:rPr>
            </w:pPr>
            <w:r w:rsidRPr="009E1ABF">
              <w:rPr>
                <w:rFonts w:ascii="Arial" w:hAnsi="Arial" w:cs="Arial"/>
                <w:sz w:val="18"/>
                <w:szCs w:val="18"/>
              </w:rPr>
              <w:t>17</w:t>
            </w:r>
          </w:p>
        </w:tc>
      </w:tr>
    </w:tbl>
    <w:p w14:paraId="550197AA" w14:textId="77777777" w:rsidR="005F22E4" w:rsidRPr="009E1ABF" w:rsidRDefault="005F22E4" w:rsidP="005F22E4">
      <w:pPr>
        <w:jc w:val="both"/>
        <w:rPr>
          <w:rFonts w:ascii="Arial" w:hAnsi="Arial" w:cs="Arial"/>
          <w:sz w:val="18"/>
          <w:szCs w:val="18"/>
        </w:rPr>
      </w:pPr>
      <w:r w:rsidRPr="009E1ABF">
        <w:rPr>
          <w:rFonts w:ascii="Arial" w:hAnsi="Arial" w:cs="Arial"/>
          <w:sz w:val="18"/>
          <w:szCs w:val="18"/>
        </w:rPr>
        <w:t xml:space="preserve">   Source: Primary data, 2024</w:t>
      </w:r>
    </w:p>
    <w:p w14:paraId="5E688A22" w14:textId="77777777" w:rsidR="005F22E4" w:rsidRDefault="005F22E4" w:rsidP="00441B6F">
      <w:pPr>
        <w:pStyle w:val="Body"/>
        <w:spacing w:after="0"/>
        <w:rPr>
          <w:rFonts w:ascii="Arial" w:hAnsi="Arial" w:cs="Arial"/>
        </w:rPr>
      </w:pPr>
    </w:p>
    <w:p w14:paraId="0514CFF2" w14:textId="40FA28AA" w:rsidR="000E1E75" w:rsidRPr="000E1E75" w:rsidRDefault="001E76A3" w:rsidP="000E1E75">
      <w:pPr>
        <w:spacing w:after="240"/>
        <w:jc w:val="both"/>
        <w:rPr>
          <w:rFonts w:ascii="Arial" w:hAnsi="Arial" w:cs="Arial"/>
          <w:b/>
          <w:bCs/>
          <w:sz w:val="22"/>
          <w:szCs w:val="22"/>
        </w:rPr>
      </w:pPr>
      <w:r>
        <w:rPr>
          <w:rFonts w:ascii="Arial" w:hAnsi="Arial" w:cs="Arial"/>
          <w:b/>
          <w:bCs/>
          <w:sz w:val="22"/>
          <w:szCs w:val="22"/>
        </w:rPr>
        <w:t>5</w:t>
      </w:r>
      <w:r w:rsidR="000E1E75" w:rsidRPr="000E1E75">
        <w:rPr>
          <w:rFonts w:ascii="Arial" w:hAnsi="Arial" w:cs="Arial"/>
          <w:b/>
          <w:bCs/>
          <w:sz w:val="22"/>
          <w:szCs w:val="22"/>
        </w:rPr>
        <w:t>.3 Attitudes Towards E-Learning</w:t>
      </w:r>
    </w:p>
    <w:p w14:paraId="0BB91001" w14:textId="57ACFBF3" w:rsidR="000E1E75" w:rsidRPr="00625DB0" w:rsidRDefault="000E1E75" w:rsidP="000E1E75">
      <w:pPr>
        <w:spacing w:line="360" w:lineRule="auto"/>
        <w:rPr>
          <w:rFonts w:ascii="Arial" w:hAnsi="Arial" w:cs="Arial"/>
        </w:rPr>
      </w:pPr>
      <w:r w:rsidRPr="00625DB0">
        <w:rPr>
          <w:rFonts w:ascii="Arial" w:hAnsi="Arial" w:cs="Arial"/>
          <w:b/>
          <w:bCs/>
        </w:rPr>
        <w:t>Table 3</w:t>
      </w:r>
      <w:r>
        <w:rPr>
          <w:rFonts w:ascii="Arial" w:hAnsi="Arial" w:cs="Arial"/>
          <w:b/>
          <w:bCs/>
        </w:rPr>
        <w:t xml:space="preserve">: </w:t>
      </w:r>
      <w:r w:rsidRPr="000E1E75">
        <w:rPr>
          <w:rFonts w:ascii="Arial" w:hAnsi="Arial" w:cs="Arial"/>
          <w:b/>
          <w:bCs/>
        </w:rPr>
        <w:t>Perceptions of Respondents on E-Learning</w:t>
      </w:r>
      <w:r w:rsidRPr="00625DB0">
        <w:rPr>
          <w:rFonts w:ascii="Arial" w:hAnsi="Arial" w:cs="Arial"/>
        </w:rPr>
        <w:t xml:space="preserve"> </w:t>
      </w:r>
    </w:p>
    <w:tbl>
      <w:tblPr>
        <w:tblStyle w:val="TableGrid"/>
        <w:tblW w:w="9685" w:type="dxa"/>
        <w:tblLayout w:type="fixed"/>
        <w:tblLook w:val="04A0" w:firstRow="1" w:lastRow="0" w:firstColumn="1" w:lastColumn="0" w:noHBand="0" w:noVBand="1"/>
      </w:tblPr>
      <w:tblGrid>
        <w:gridCol w:w="1560"/>
        <w:gridCol w:w="708"/>
        <w:gridCol w:w="709"/>
        <w:gridCol w:w="846"/>
        <w:gridCol w:w="748"/>
        <w:gridCol w:w="750"/>
        <w:gridCol w:w="717"/>
        <w:gridCol w:w="711"/>
        <w:gridCol w:w="711"/>
        <w:gridCol w:w="711"/>
        <w:gridCol w:w="821"/>
        <w:gridCol w:w="693"/>
      </w:tblGrid>
      <w:tr w:rsidR="000E1E75" w:rsidRPr="001D21C7" w14:paraId="49A7EA21" w14:textId="77777777" w:rsidTr="006E13E0">
        <w:tc>
          <w:tcPr>
            <w:tcW w:w="1560" w:type="dxa"/>
            <w:vMerge w:val="restart"/>
            <w:tcBorders>
              <w:left w:val="nil"/>
            </w:tcBorders>
          </w:tcPr>
          <w:p w14:paraId="55A7A963"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Statements</w:t>
            </w:r>
          </w:p>
        </w:tc>
        <w:tc>
          <w:tcPr>
            <w:tcW w:w="3761" w:type="dxa"/>
            <w:gridSpan w:val="5"/>
          </w:tcPr>
          <w:p w14:paraId="1C1A2F8E"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Opinion of Respondents</w:t>
            </w:r>
          </w:p>
        </w:tc>
        <w:tc>
          <w:tcPr>
            <w:tcW w:w="717" w:type="dxa"/>
            <w:vMerge w:val="restart"/>
          </w:tcPr>
          <w:p w14:paraId="339F2657"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Mean</w:t>
            </w:r>
          </w:p>
        </w:tc>
        <w:tc>
          <w:tcPr>
            <w:tcW w:w="711" w:type="dxa"/>
            <w:vMerge w:val="restart"/>
          </w:tcPr>
          <w:p w14:paraId="7B8EA394"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SD</w:t>
            </w:r>
          </w:p>
        </w:tc>
        <w:tc>
          <w:tcPr>
            <w:tcW w:w="711" w:type="dxa"/>
            <w:vMerge w:val="restart"/>
          </w:tcPr>
          <w:p w14:paraId="2A266C03" w14:textId="77777777" w:rsidR="000E1E75" w:rsidRPr="001D21C7" w:rsidRDefault="000E1E75" w:rsidP="006E13E0">
            <w:pPr>
              <w:jc w:val="center"/>
              <w:rPr>
                <w:rFonts w:ascii="Arial" w:hAnsi="Arial" w:cs="Arial"/>
                <w:b/>
                <w:bCs/>
                <w:sz w:val="18"/>
                <w:szCs w:val="18"/>
              </w:rPr>
            </w:pPr>
            <w:proofErr w:type="spellStart"/>
            <w:r w:rsidRPr="001D21C7">
              <w:rPr>
                <w:rFonts w:ascii="Arial" w:hAnsi="Arial" w:cs="Arial"/>
                <w:b/>
                <w:bCs/>
                <w:sz w:val="18"/>
                <w:szCs w:val="18"/>
              </w:rPr>
              <w:t>Sk</w:t>
            </w:r>
            <w:proofErr w:type="spellEnd"/>
          </w:p>
        </w:tc>
        <w:tc>
          <w:tcPr>
            <w:tcW w:w="711" w:type="dxa"/>
            <w:vMerge w:val="restart"/>
          </w:tcPr>
          <w:p w14:paraId="1F0A83B0"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Kt</w:t>
            </w:r>
          </w:p>
        </w:tc>
        <w:tc>
          <w:tcPr>
            <w:tcW w:w="821" w:type="dxa"/>
            <w:vMerge w:val="restart"/>
          </w:tcPr>
          <w:p w14:paraId="716AAD2F"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Chi-sq</w:t>
            </w:r>
          </w:p>
        </w:tc>
        <w:tc>
          <w:tcPr>
            <w:tcW w:w="693" w:type="dxa"/>
            <w:vMerge w:val="restart"/>
            <w:tcBorders>
              <w:right w:val="nil"/>
            </w:tcBorders>
          </w:tcPr>
          <w:p w14:paraId="2482D166"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P-value</w:t>
            </w:r>
          </w:p>
        </w:tc>
      </w:tr>
      <w:tr w:rsidR="000E1E75" w:rsidRPr="001D21C7" w14:paraId="7E2E971B" w14:textId="77777777" w:rsidTr="006E13E0">
        <w:tc>
          <w:tcPr>
            <w:tcW w:w="1560" w:type="dxa"/>
            <w:vMerge/>
            <w:tcBorders>
              <w:left w:val="nil"/>
              <w:bottom w:val="single" w:sz="4" w:space="0" w:color="auto"/>
            </w:tcBorders>
          </w:tcPr>
          <w:p w14:paraId="49CDD70B" w14:textId="77777777" w:rsidR="000E1E75" w:rsidRPr="001D21C7" w:rsidRDefault="000E1E75" w:rsidP="006E13E0">
            <w:pPr>
              <w:jc w:val="both"/>
              <w:rPr>
                <w:rFonts w:ascii="Arial" w:hAnsi="Arial" w:cs="Arial"/>
                <w:sz w:val="18"/>
                <w:szCs w:val="18"/>
              </w:rPr>
            </w:pPr>
          </w:p>
        </w:tc>
        <w:tc>
          <w:tcPr>
            <w:tcW w:w="708" w:type="dxa"/>
          </w:tcPr>
          <w:p w14:paraId="78BF9FC7"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SA</w:t>
            </w:r>
          </w:p>
        </w:tc>
        <w:tc>
          <w:tcPr>
            <w:tcW w:w="709" w:type="dxa"/>
            <w:tcBorders>
              <w:bottom w:val="single" w:sz="4" w:space="0" w:color="auto"/>
            </w:tcBorders>
          </w:tcPr>
          <w:p w14:paraId="6A618CE0"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A</w:t>
            </w:r>
          </w:p>
        </w:tc>
        <w:tc>
          <w:tcPr>
            <w:tcW w:w="846" w:type="dxa"/>
          </w:tcPr>
          <w:p w14:paraId="3B6669AE"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N</w:t>
            </w:r>
          </w:p>
        </w:tc>
        <w:tc>
          <w:tcPr>
            <w:tcW w:w="748" w:type="dxa"/>
            <w:tcBorders>
              <w:bottom w:val="single" w:sz="4" w:space="0" w:color="auto"/>
            </w:tcBorders>
          </w:tcPr>
          <w:p w14:paraId="62F11F29"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D</w:t>
            </w:r>
          </w:p>
        </w:tc>
        <w:tc>
          <w:tcPr>
            <w:tcW w:w="750" w:type="dxa"/>
          </w:tcPr>
          <w:p w14:paraId="574557C3" w14:textId="77777777" w:rsidR="000E1E75" w:rsidRPr="001D21C7" w:rsidRDefault="000E1E75" w:rsidP="006E13E0">
            <w:pPr>
              <w:jc w:val="center"/>
              <w:rPr>
                <w:rFonts w:ascii="Arial" w:hAnsi="Arial" w:cs="Arial"/>
                <w:b/>
                <w:bCs/>
                <w:sz w:val="18"/>
                <w:szCs w:val="18"/>
              </w:rPr>
            </w:pPr>
            <w:r w:rsidRPr="001D21C7">
              <w:rPr>
                <w:rFonts w:ascii="Arial" w:hAnsi="Arial" w:cs="Arial"/>
                <w:b/>
                <w:bCs/>
                <w:sz w:val="18"/>
                <w:szCs w:val="18"/>
              </w:rPr>
              <w:t>SD</w:t>
            </w:r>
          </w:p>
        </w:tc>
        <w:tc>
          <w:tcPr>
            <w:tcW w:w="717" w:type="dxa"/>
            <w:vMerge/>
            <w:tcBorders>
              <w:bottom w:val="single" w:sz="4" w:space="0" w:color="auto"/>
            </w:tcBorders>
          </w:tcPr>
          <w:p w14:paraId="1A44B4F3" w14:textId="77777777" w:rsidR="000E1E75" w:rsidRPr="001D21C7" w:rsidRDefault="000E1E75" w:rsidP="006E13E0">
            <w:pPr>
              <w:jc w:val="both"/>
              <w:rPr>
                <w:rFonts w:ascii="Arial" w:hAnsi="Arial" w:cs="Arial"/>
                <w:sz w:val="18"/>
                <w:szCs w:val="18"/>
              </w:rPr>
            </w:pPr>
          </w:p>
        </w:tc>
        <w:tc>
          <w:tcPr>
            <w:tcW w:w="711" w:type="dxa"/>
            <w:vMerge/>
          </w:tcPr>
          <w:p w14:paraId="58DE9156" w14:textId="77777777" w:rsidR="000E1E75" w:rsidRPr="001D21C7" w:rsidRDefault="000E1E75" w:rsidP="006E13E0">
            <w:pPr>
              <w:jc w:val="both"/>
              <w:rPr>
                <w:rFonts w:ascii="Arial" w:hAnsi="Arial" w:cs="Arial"/>
                <w:sz w:val="18"/>
                <w:szCs w:val="18"/>
              </w:rPr>
            </w:pPr>
          </w:p>
        </w:tc>
        <w:tc>
          <w:tcPr>
            <w:tcW w:w="711" w:type="dxa"/>
            <w:vMerge/>
            <w:tcBorders>
              <w:bottom w:val="single" w:sz="4" w:space="0" w:color="auto"/>
            </w:tcBorders>
          </w:tcPr>
          <w:p w14:paraId="6D7A7FE2" w14:textId="77777777" w:rsidR="000E1E75" w:rsidRPr="001D21C7" w:rsidRDefault="000E1E75" w:rsidP="006E13E0">
            <w:pPr>
              <w:jc w:val="both"/>
              <w:rPr>
                <w:rFonts w:ascii="Arial" w:hAnsi="Arial" w:cs="Arial"/>
                <w:sz w:val="18"/>
                <w:szCs w:val="18"/>
              </w:rPr>
            </w:pPr>
          </w:p>
        </w:tc>
        <w:tc>
          <w:tcPr>
            <w:tcW w:w="711" w:type="dxa"/>
            <w:vMerge/>
          </w:tcPr>
          <w:p w14:paraId="0F88F3AC" w14:textId="77777777" w:rsidR="000E1E75" w:rsidRPr="001D21C7" w:rsidRDefault="000E1E75" w:rsidP="006E13E0">
            <w:pPr>
              <w:jc w:val="both"/>
              <w:rPr>
                <w:rFonts w:ascii="Arial" w:hAnsi="Arial" w:cs="Arial"/>
                <w:sz w:val="18"/>
                <w:szCs w:val="18"/>
              </w:rPr>
            </w:pPr>
          </w:p>
        </w:tc>
        <w:tc>
          <w:tcPr>
            <w:tcW w:w="821" w:type="dxa"/>
            <w:vMerge/>
            <w:tcBorders>
              <w:bottom w:val="single" w:sz="4" w:space="0" w:color="auto"/>
            </w:tcBorders>
          </w:tcPr>
          <w:p w14:paraId="13F8B69F" w14:textId="77777777" w:rsidR="000E1E75" w:rsidRPr="001D21C7" w:rsidRDefault="000E1E75" w:rsidP="006E13E0">
            <w:pPr>
              <w:jc w:val="both"/>
              <w:rPr>
                <w:rFonts w:ascii="Arial" w:hAnsi="Arial" w:cs="Arial"/>
                <w:sz w:val="18"/>
                <w:szCs w:val="18"/>
              </w:rPr>
            </w:pPr>
          </w:p>
        </w:tc>
        <w:tc>
          <w:tcPr>
            <w:tcW w:w="693" w:type="dxa"/>
            <w:vMerge/>
            <w:tcBorders>
              <w:bottom w:val="single" w:sz="4" w:space="0" w:color="auto"/>
              <w:right w:val="nil"/>
            </w:tcBorders>
          </w:tcPr>
          <w:p w14:paraId="4782C0E3" w14:textId="77777777" w:rsidR="000E1E75" w:rsidRPr="001D21C7" w:rsidRDefault="000E1E75" w:rsidP="006E13E0">
            <w:pPr>
              <w:jc w:val="both"/>
              <w:rPr>
                <w:rFonts w:ascii="Arial" w:hAnsi="Arial" w:cs="Arial"/>
                <w:sz w:val="18"/>
                <w:szCs w:val="18"/>
              </w:rPr>
            </w:pPr>
          </w:p>
        </w:tc>
      </w:tr>
      <w:tr w:rsidR="000E1E75" w:rsidRPr="001D21C7" w14:paraId="459AAF71" w14:textId="77777777" w:rsidTr="006E13E0">
        <w:tc>
          <w:tcPr>
            <w:tcW w:w="1560" w:type="dxa"/>
            <w:tcBorders>
              <w:left w:val="nil"/>
              <w:right w:val="nil"/>
            </w:tcBorders>
          </w:tcPr>
          <w:p w14:paraId="5C67F46C" w14:textId="77777777" w:rsidR="000E1E75" w:rsidRPr="001D21C7" w:rsidRDefault="000E1E75" w:rsidP="006E13E0">
            <w:pPr>
              <w:rPr>
                <w:rFonts w:ascii="Arial" w:hAnsi="Arial" w:cs="Arial"/>
                <w:sz w:val="18"/>
                <w:szCs w:val="18"/>
              </w:rPr>
            </w:pPr>
            <w:r w:rsidRPr="001D21C7">
              <w:rPr>
                <w:rFonts w:ascii="Arial" w:hAnsi="Arial" w:cs="Arial"/>
                <w:sz w:val="18"/>
                <w:szCs w:val="18"/>
              </w:rPr>
              <w:t>I have experience using electronic devices</w:t>
            </w:r>
          </w:p>
        </w:tc>
        <w:tc>
          <w:tcPr>
            <w:tcW w:w="708" w:type="dxa"/>
            <w:tcBorders>
              <w:left w:val="nil"/>
              <w:right w:val="nil"/>
            </w:tcBorders>
          </w:tcPr>
          <w:p w14:paraId="1B18B8C4"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84</w:t>
            </w:r>
          </w:p>
          <w:p w14:paraId="1E74EF6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(42)</w:t>
            </w:r>
          </w:p>
        </w:tc>
        <w:tc>
          <w:tcPr>
            <w:tcW w:w="709" w:type="dxa"/>
            <w:tcBorders>
              <w:left w:val="nil"/>
              <w:right w:val="nil"/>
            </w:tcBorders>
          </w:tcPr>
          <w:p w14:paraId="0710FEB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106</w:t>
            </w:r>
          </w:p>
          <w:p w14:paraId="3209549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(53)</w:t>
            </w:r>
          </w:p>
        </w:tc>
        <w:tc>
          <w:tcPr>
            <w:tcW w:w="846" w:type="dxa"/>
            <w:tcBorders>
              <w:left w:val="nil"/>
              <w:right w:val="nil"/>
            </w:tcBorders>
          </w:tcPr>
          <w:p w14:paraId="2AFF7DC6"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6</w:t>
            </w:r>
          </w:p>
          <w:p w14:paraId="2688E900"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w:t>
            </w:r>
          </w:p>
        </w:tc>
        <w:tc>
          <w:tcPr>
            <w:tcW w:w="748" w:type="dxa"/>
            <w:tcBorders>
              <w:left w:val="nil"/>
              <w:right w:val="nil"/>
            </w:tcBorders>
          </w:tcPr>
          <w:p w14:paraId="6D5F773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w:t>
            </w:r>
          </w:p>
          <w:p w14:paraId="026C9CF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w:t>
            </w:r>
          </w:p>
        </w:tc>
        <w:tc>
          <w:tcPr>
            <w:tcW w:w="750" w:type="dxa"/>
            <w:tcBorders>
              <w:left w:val="nil"/>
              <w:right w:val="nil"/>
            </w:tcBorders>
          </w:tcPr>
          <w:p w14:paraId="1BCEADD6"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 (0.5)</w:t>
            </w:r>
          </w:p>
        </w:tc>
        <w:tc>
          <w:tcPr>
            <w:tcW w:w="717" w:type="dxa"/>
            <w:tcBorders>
              <w:left w:val="nil"/>
              <w:right w:val="nil"/>
            </w:tcBorders>
          </w:tcPr>
          <w:p w14:paraId="62EFB91E"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4.21</w:t>
            </w:r>
          </w:p>
        </w:tc>
        <w:tc>
          <w:tcPr>
            <w:tcW w:w="711" w:type="dxa"/>
            <w:tcBorders>
              <w:left w:val="nil"/>
              <w:right w:val="nil"/>
            </w:tcBorders>
          </w:tcPr>
          <w:p w14:paraId="219DA49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.583</w:t>
            </w:r>
          </w:p>
        </w:tc>
        <w:tc>
          <w:tcPr>
            <w:tcW w:w="711" w:type="dxa"/>
            <w:tcBorders>
              <w:left w:val="nil"/>
              <w:right w:val="nil"/>
            </w:tcBorders>
          </w:tcPr>
          <w:p w14:paraId="37C015E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-1.039</w:t>
            </w:r>
          </w:p>
        </w:tc>
        <w:tc>
          <w:tcPr>
            <w:tcW w:w="711" w:type="dxa"/>
            <w:tcBorders>
              <w:left w:val="nil"/>
              <w:right w:val="nil"/>
            </w:tcBorders>
          </w:tcPr>
          <w:p w14:paraId="5F1487E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3.182</w:t>
            </w:r>
          </w:p>
        </w:tc>
        <w:tc>
          <w:tcPr>
            <w:tcW w:w="821" w:type="dxa"/>
            <w:tcBorders>
              <w:left w:val="nil"/>
              <w:right w:val="nil"/>
            </w:tcBorders>
          </w:tcPr>
          <w:p w14:paraId="31AF362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520.31</w:t>
            </w:r>
          </w:p>
        </w:tc>
        <w:tc>
          <w:tcPr>
            <w:tcW w:w="693" w:type="dxa"/>
            <w:tcBorders>
              <w:left w:val="nil"/>
              <w:right w:val="nil"/>
            </w:tcBorders>
          </w:tcPr>
          <w:p w14:paraId="29BCA88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5F046064" w14:textId="77777777" w:rsidTr="006E13E0">
        <w:tc>
          <w:tcPr>
            <w:tcW w:w="1560" w:type="dxa"/>
            <w:tcBorders>
              <w:left w:val="nil"/>
              <w:right w:val="nil"/>
            </w:tcBorders>
          </w:tcPr>
          <w:p w14:paraId="5A495ED0" w14:textId="77777777" w:rsidR="000E1E75" w:rsidRPr="001D21C7" w:rsidRDefault="000E1E75" w:rsidP="006E13E0">
            <w:pPr>
              <w:rPr>
                <w:rFonts w:ascii="Arial" w:hAnsi="Arial" w:cs="Arial"/>
                <w:sz w:val="18"/>
                <w:szCs w:val="18"/>
              </w:rPr>
            </w:pPr>
            <w:r w:rsidRPr="001D21C7">
              <w:rPr>
                <w:rFonts w:ascii="Arial" w:hAnsi="Arial" w:cs="Arial"/>
                <w:sz w:val="18"/>
                <w:szCs w:val="18"/>
              </w:rPr>
              <w:t xml:space="preserve">There is no difference </w:t>
            </w:r>
            <w:r w:rsidRPr="001D21C7">
              <w:rPr>
                <w:rFonts w:ascii="Arial" w:hAnsi="Arial" w:cs="Arial"/>
                <w:sz w:val="18"/>
                <w:szCs w:val="18"/>
              </w:rPr>
              <w:lastRenderedPageBreak/>
              <w:t xml:space="preserve">between class room and  </w:t>
            </w:r>
          </w:p>
          <w:p w14:paraId="4BC72675" w14:textId="77777777" w:rsidR="000E1E75" w:rsidRPr="001D21C7" w:rsidRDefault="000E1E75" w:rsidP="006E13E0">
            <w:pPr>
              <w:rPr>
                <w:rFonts w:ascii="Arial" w:hAnsi="Arial" w:cs="Arial"/>
                <w:sz w:val="18"/>
                <w:szCs w:val="18"/>
              </w:rPr>
            </w:pPr>
            <w:r w:rsidRPr="001D21C7">
              <w:rPr>
                <w:rFonts w:ascii="Arial" w:hAnsi="Arial" w:cs="Arial"/>
                <w:sz w:val="18"/>
                <w:szCs w:val="18"/>
              </w:rPr>
              <w:t>e-learning</w:t>
            </w:r>
          </w:p>
        </w:tc>
        <w:tc>
          <w:tcPr>
            <w:tcW w:w="708" w:type="dxa"/>
            <w:tcBorders>
              <w:left w:val="nil"/>
              <w:right w:val="nil"/>
            </w:tcBorders>
          </w:tcPr>
          <w:p w14:paraId="321B28A0"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lastRenderedPageBreak/>
              <w:t>24 (12)</w:t>
            </w:r>
          </w:p>
        </w:tc>
        <w:tc>
          <w:tcPr>
            <w:tcW w:w="709" w:type="dxa"/>
            <w:tcBorders>
              <w:left w:val="nil"/>
              <w:right w:val="nil"/>
            </w:tcBorders>
          </w:tcPr>
          <w:p w14:paraId="56F25EF6"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76 (38)</w:t>
            </w:r>
          </w:p>
        </w:tc>
        <w:tc>
          <w:tcPr>
            <w:tcW w:w="846" w:type="dxa"/>
            <w:tcBorders>
              <w:left w:val="nil"/>
              <w:right w:val="nil"/>
            </w:tcBorders>
          </w:tcPr>
          <w:p w14:paraId="2B31DF3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24 (12)</w:t>
            </w:r>
          </w:p>
        </w:tc>
        <w:tc>
          <w:tcPr>
            <w:tcW w:w="748" w:type="dxa"/>
            <w:tcBorders>
              <w:left w:val="nil"/>
              <w:right w:val="nil"/>
            </w:tcBorders>
          </w:tcPr>
          <w:p w14:paraId="334DA86F"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44 (22)</w:t>
            </w:r>
          </w:p>
        </w:tc>
        <w:tc>
          <w:tcPr>
            <w:tcW w:w="750" w:type="dxa"/>
            <w:tcBorders>
              <w:left w:val="nil"/>
              <w:right w:val="nil"/>
            </w:tcBorders>
          </w:tcPr>
          <w:p w14:paraId="4543878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32 (16)</w:t>
            </w:r>
          </w:p>
        </w:tc>
        <w:tc>
          <w:tcPr>
            <w:tcW w:w="717" w:type="dxa"/>
            <w:tcBorders>
              <w:left w:val="nil"/>
              <w:right w:val="nil"/>
            </w:tcBorders>
          </w:tcPr>
          <w:p w14:paraId="4AB36B1C"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3.02</w:t>
            </w:r>
          </w:p>
        </w:tc>
        <w:tc>
          <w:tcPr>
            <w:tcW w:w="711" w:type="dxa"/>
            <w:tcBorders>
              <w:left w:val="nil"/>
              <w:right w:val="nil"/>
            </w:tcBorders>
          </w:tcPr>
          <w:p w14:paraId="6020F0EE"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1.181</w:t>
            </w:r>
          </w:p>
        </w:tc>
        <w:tc>
          <w:tcPr>
            <w:tcW w:w="711" w:type="dxa"/>
            <w:tcBorders>
              <w:left w:val="nil"/>
              <w:right w:val="nil"/>
            </w:tcBorders>
          </w:tcPr>
          <w:p w14:paraId="6AC7B98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-.216</w:t>
            </w:r>
          </w:p>
        </w:tc>
        <w:tc>
          <w:tcPr>
            <w:tcW w:w="711" w:type="dxa"/>
            <w:tcBorders>
              <w:left w:val="nil"/>
              <w:right w:val="nil"/>
            </w:tcBorders>
          </w:tcPr>
          <w:p w14:paraId="0B25F69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-1.081</w:t>
            </w:r>
          </w:p>
        </w:tc>
        <w:tc>
          <w:tcPr>
            <w:tcW w:w="821" w:type="dxa"/>
            <w:tcBorders>
              <w:left w:val="nil"/>
              <w:right w:val="nil"/>
            </w:tcBorders>
          </w:tcPr>
          <w:p w14:paraId="4A71EAA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102.51</w:t>
            </w:r>
          </w:p>
        </w:tc>
        <w:tc>
          <w:tcPr>
            <w:tcW w:w="693" w:type="dxa"/>
            <w:tcBorders>
              <w:left w:val="nil"/>
              <w:right w:val="nil"/>
            </w:tcBorders>
          </w:tcPr>
          <w:p w14:paraId="0F44D74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59775E91" w14:textId="77777777" w:rsidTr="006E13E0">
        <w:tc>
          <w:tcPr>
            <w:tcW w:w="1560" w:type="dxa"/>
            <w:tcBorders>
              <w:left w:val="nil"/>
              <w:right w:val="nil"/>
            </w:tcBorders>
          </w:tcPr>
          <w:p w14:paraId="45F2B7BE" w14:textId="77777777" w:rsidR="000E1E75" w:rsidRPr="001D21C7" w:rsidRDefault="000E1E75" w:rsidP="006E13E0">
            <w:pPr>
              <w:rPr>
                <w:rFonts w:ascii="Arial" w:hAnsi="Arial" w:cs="Arial"/>
                <w:sz w:val="18"/>
                <w:szCs w:val="18"/>
              </w:rPr>
            </w:pPr>
            <w:r w:rsidRPr="001D21C7">
              <w:rPr>
                <w:rFonts w:ascii="Arial" w:hAnsi="Arial" w:cs="Arial"/>
                <w:sz w:val="18"/>
                <w:szCs w:val="18"/>
              </w:rPr>
              <w:t>Interacting with classmates and peers is more effective in the online mode compared to traditional classroom learning</w:t>
            </w:r>
          </w:p>
        </w:tc>
        <w:tc>
          <w:tcPr>
            <w:tcW w:w="708" w:type="dxa"/>
            <w:tcBorders>
              <w:left w:val="nil"/>
              <w:right w:val="nil"/>
            </w:tcBorders>
          </w:tcPr>
          <w:p w14:paraId="0B7FBE95"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32 (16)</w:t>
            </w:r>
          </w:p>
        </w:tc>
        <w:tc>
          <w:tcPr>
            <w:tcW w:w="709" w:type="dxa"/>
            <w:tcBorders>
              <w:left w:val="nil"/>
              <w:right w:val="nil"/>
            </w:tcBorders>
          </w:tcPr>
          <w:p w14:paraId="3EBF035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78 (39)</w:t>
            </w:r>
          </w:p>
        </w:tc>
        <w:tc>
          <w:tcPr>
            <w:tcW w:w="846" w:type="dxa"/>
            <w:tcBorders>
              <w:left w:val="nil"/>
              <w:right w:val="nil"/>
            </w:tcBorders>
          </w:tcPr>
          <w:p w14:paraId="40EFF6B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28 (14)</w:t>
            </w:r>
          </w:p>
        </w:tc>
        <w:tc>
          <w:tcPr>
            <w:tcW w:w="748" w:type="dxa"/>
            <w:tcBorders>
              <w:left w:val="nil"/>
              <w:right w:val="nil"/>
            </w:tcBorders>
          </w:tcPr>
          <w:p w14:paraId="50D7FF8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41 (20.5)</w:t>
            </w:r>
          </w:p>
        </w:tc>
        <w:tc>
          <w:tcPr>
            <w:tcW w:w="750" w:type="dxa"/>
            <w:tcBorders>
              <w:left w:val="nil"/>
              <w:right w:val="nil"/>
            </w:tcBorders>
          </w:tcPr>
          <w:p w14:paraId="0973ABD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21 (10.5)</w:t>
            </w:r>
          </w:p>
        </w:tc>
        <w:tc>
          <w:tcPr>
            <w:tcW w:w="717" w:type="dxa"/>
            <w:tcBorders>
              <w:left w:val="nil"/>
              <w:right w:val="nil"/>
            </w:tcBorders>
          </w:tcPr>
          <w:p w14:paraId="359485B0"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3.34</w:t>
            </w:r>
          </w:p>
        </w:tc>
        <w:tc>
          <w:tcPr>
            <w:tcW w:w="711" w:type="dxa"/>
            <w:tcBorders>
              <w:left w:val="nil"/>
              <w:right w:val="nil"/>
            </w:tcBorders>
          </w:tcPr>
          <w:p w14:paraId="1DD9935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1.164</w:t>
            </w:r>
          </w:p>
        </w:tc>
        <w:tc>
          <w:tcPr>
            <w:tcW w:w="711" w:type="dxa"/>
            <w:tcBorders>
              <w:left w:val="nil"/>
              <w:right w:val="nil"/>
            </w:tcBorders>
          </w:tcPr>
          <w:p w14:paraId="3EF5773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-.380</w:t>
            </w:r>
          </w:p>
        </w:tc>
        <w:tc>
          <w:tcPr>
            <w:tcW w:w="711" w:type="dxa"/>
            <w:tcBorders>
              <w:left w:val="nil"/>
              <w:right w:val="nil"/>
            </w:tcBorders>
          </w:tcPr>
          <w:p w14:paraId="69EB95A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-.841</w:t>
            </w:r>
          </w:p>
        </w:tc>
        <w:tc>
          <w:tcPr>
            <w:tcW w:w="821" w:type="dxa"/>
            <w:tcBorders>
              <w:left w:val="nil"/>
              <w:right w:val="nil"/>
            </w:tcBorders>
          </w:tcPr>
          <w:p w14:paraId="0DD9209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108.35</w:t>
            </w:r>
          </w:p>
        </w:tc>
        <w:tc>
          <w:tcPr>
            <w:tcW w:w="693" w:type="dxa"/>
            <w:tcBorders>
              <w:left w:val="nil"/>
              <w:right w:val="nil"/>
            </w:tcBorders>
          </w:tcPr>
          <w:p w14:paraId="5DC4943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3821D4B2" w14:textId="77777777" w:rsidTr="006E13E0">
        <w:tc>
          <w:tcPr>
            <w:tcW w:w="1560" w:type="dxa"/>
            <w:tcBorders>
              <w:left w:val="nil"/>
              <w:right w:val="nil"/>
            </w:tcBorders>
          </w:tcPr>
          <w:p w14:paraId="5373D749" w14:textId="77777777" w:rsidR="000E1E75" w:rsidRPr="001D21C7" w:rsidRDefault="000E1E75" w:rsidP="006E13E0">
            <w:pPr>
              <w:rPr>
                <w:rFonts w:ascii="Arial" w:hAnsi="Arial" w:cs="Arial"/>
                <w:sz w:val="18"/>
                <w:szCs w:val="18"/>
              </w:rPr>
            </w:pPr>
            <w:r w:rsidRPr="001D21C7">
              <w:rPr>
                <w:rFonts w:ascii="Arial" w:hAnsi="Arial" w:cs="Arial"/>
                <w:sz w:val="18"/>
                <w:szCs w:val="18"/>
              </w:rPr>
              <w:t>My teacher is familiar and knowledgeable in using electronic devices</w:t>
            </w:r>
          </w:p>
        </w:tc>
        <w:tc>
          <w:tcPr>
            <w:tcW w:w="708" w:type="dxa"/>
            <w:tcBorders>
              <w:left w:val="nil"/>
              <w:right w:val="nil"/>
            </w:tcBorders>
          </w:tcPr>
          <w:p w14:paraId="1E16F9F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58 (29)</w:t>
            </w:r>
          </w:p>
        </w:tc>
        <w:tc>
          <w:tcPr>
            <w:tcW w:w="709" w:type="dxa"/>
            <w:tcBorders>
              <w:left w:val="nil"/>
              <w:right w:val="nil"/>
            </w:tcBorders>
          </w:tcPr>
          <w:p w14:paraId="7280488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111 (55.5)</w:t>
            </w:r>
          </w:p>
        </w:tc>
        <w:tc>
          <w:tcPr>
            <w:tcW w:w="846" w:type="dxa"/>
            <w:tcBorders>
              <w:left w:val="nil"/>
              <w:right w:val="nil"/>
            </w:tcBorders>
          </w:tcPr>
          <w:p w14:paraId="3E6B4E0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20 (10)</w:t>
            </w:r>
          </w:p>
        </w:tc>
        <w:tc>
          <w:tcPr>
            <w:tcW w:w="748" w:type="dxa"/>
            <w:tcBorders>
              <w:left w:val="nil"/>
              <w:bottom w:val="single" w:sz="4" w:space="0" w:color="auto"/>
              <w:right w:val="nil"/>
            </w:tcBorders>
          </w:tcPr>
          <w:p w14:paraId="359DBE29"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8 (4)</w:t>
            </w:r>
          </w:p>
        </w:tc>
        <w:tc>
          <w:tcPr>
            <w:tcW w:w="750" w:type="dxa"/>
            <w:tcBorders>
              <w:left w:val="nil"/>
              <w:right w:val="nil"/>
            </w:tcBorders>
          </w:tcPr>
          <w:p w14:paraId="7F94ED4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 (1.5)</w:t>
            </w:r>
          </w:p>
        </w:tc>
        <w:tc>
          <w:tcPr>
            <w:tcW w:w="717" w:type="dxa"/>
            <w:tcBorders>
              <w:left w:val="nil"/>
              <w:right w:val="nil"/>
            </w:tcBorders>
          </w:tcPr>
          <w:p w14:paraId="0F5FBA7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3.96</w:t>
            </w:r>
          </w:p>
        </w:tc>
        <w:tc>
          <w:tcPr>
            <w:tcW w:w="711" w:type="dxa"/>
            <w:tcBorders>
              <w:left w:val="nil"/>
              <w:right w:val="nil"/>
            </w:tcBorders>
          </w:tcPr>
          <w:p w14:paraId="668098C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.6290</w:t>
            </w:r>
          </w:p>
        </w:tc>
        <w:tc>
          <w:tcPr>
            <w:tcW w:w="711" w:type="dxa"/>
            <w:tcBorders>
              <w:left w:val="nil"/>
              <w:right w:val="nil"/>
            </w:tcBorders>
          </w:tcPr>
          <w:p w14:paraId="6E7203A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-1.073</w:t>
            </w:r>
          </w:p>
        </w:tc>
        <w:tc>
          <w:tcPr>
            <w:tcW w:w="711" w:type="dxa"/>
            <w:tcBorders>
              <w:left w:val="nil"/>
              <w:right w:val="nil"/>
            </w:tcBorders>
          </w:tcPr>
          <w:p w14:paraId="2703E794"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- 2.073</w:t>
            </w:r>
          </w:p>
        </w:tc>
        <w:tc>
          <w:tcPr>
            <w:tcW w:w="821" w:type="dxa"/>
            <w:tcBorders>
              <w:left w:val="nil"/>
              <w:right w:val="nil"/>
            </w:tcBorders>
          </w:tcPr>
          <w:p w14:paraId="5BD7E99D"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315.51</w:t>
            </w:r>
          </w:p>
        </w:tc>
        <w:tc>
          <w:tcPr>
            <w:tcW w:w="693" w:type="dxa"/>
            <w:tcBorders>
              <w:left w:val="nil"/>
              <w:right w:val="nil"/>
            </w:tcBorders>
          </w:tcPr>
          <w:p w14:paraId="052A0581"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r w:rsidR="000E1E75" w:rsidRPr="001D21C7" w14:paraId="4A3EE938" w14:textId="77777777" w:rsidTr="006E13E0">
        <w:tc>
          <w:tcPr>
            <w:tcW w:w="1560" w:type="dxa"/>
            <w:tcBorders>
              <w:left w:val="nil"/>
              <w:right w:val="nil"/>
            </w:tcBorders>
          </w:tcPr>
          <w:p w14:paraId="04E9784D" w14:textId="77777777" w:rsidR="000E1E75" w:rsidRPr="001D21C7" w:rsidRDefault="000E1E75" w:rsidP="006E13E0">
            <w:pPr>
              <w:rPr>
                <w:rFonts w:ascii="Arial" w:hAnsi="Arial" w:cs="Arial"/>
                <w:sz w:val="18"/>
                <w:szCs w:val="18"/>
              </w:rPr>
            </w:pPr>
            <w:r w:rsidRPr="001D21C7">
              <w:rPr>
                <w:rFonts w:ascii="Arial" w:hAnsi="Arial" w:cs="Arial"/>
                <w:sz w:val="18"/>
                <w:szCs w:val="18"/>
              </w:rPr>
              <w:t>My teacher’s performance in the online learning environment has been satisfactory</w:t>
            </w:r>
          </w:p>
        </w:tc>
        <w:tc>
          <w:tcPr>
            <w:tcW w:w="708" w:type="dxa"/>
            <w:tcBorders>
              <w:left w:val="nil"/>
              <w:right w:val="nil"/>
            </w:tcBorders>
          </w:tcPr>
          <w:p w14:paraId="0BB8C7F7"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48 (24)</w:t>
            </w:r>
          </w:p>
        </w:tc>
        <w:tc>
          <w:tcPr>
            <w:tcW w:w="709" w:type="dxa"/>
            <w:tcBorders>
              <w:left w:val="nil"/>
              <w:right w:val="nil"/>
            </w:tcBorders>
          </w:tcPr>
          <w:p w14:paraId="4ADC05BA"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112 (56)</w:t>
            </w:r>
          </w:p>
        </w:tc>
        <w:tc>
          <w:tcPr>
            <w:tcW w:w="846" w:type="dxa"/>
            <w:tcBorders>
              <w:left w:val="nil"/>
              <w:right w:val="nil"/>
            </w:tcBorders>
          </w:tcPr>
          <w:p w14:paraId="75D496D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27 (13.5)</w:t>
            </w:r>
          </w:p>
        </w:tc>
        <w:tc>
          <w:tcPr>
            <w:tcW w:w="748" w:type="dxa"/>
            <w:tcBorders>
              <w:left w:val="nil"/>
              <w:right w:val="nil"/>
            </w:tcBorders>
          </w:tcPr>
          <w:p w14:paraId="77ABDA58"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9 (4.5)</w:t>
            </w:r>
          </w:p>
        </w:tc>
        <w:tc>
          <w:tcPr>
            <w:tcW w:w="750" w:type="dxa"/>
            <w:tcBorders>
              <w:left w:val="nil"/>
              <w:right w:val="nil"/>
            </w:tcBorders>
          </w:tcPr>
          <w:p w14:paraId="16E4682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 (2)</w:t>
            </w:r>
          </w:p>
        </w:tc>
        <w:tc>
          <w:tcPr>
            <w:tcW w:w="717" w:type="dxa"/>
            <w:tcBorders>
              <w:left w:val="nil"/>
              <w:right w:val="nil"/>
            </w:tcBorders>
          </w:tcPr>
          <w:p w14:paraId="537CF96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3.92</w:t>
            </w:r>
          </w:p>
        </w:tc>
        <w:tc>
          <w:tcPr>
            <w:tcW w:w="711" w:type="dxa"/>
            <w:tcBorders>
              <w:left w:val="nil"/>
              <w:right w:val="nil"/>
            </w:tcBorders>
          </w:tcPr>
          <w:p w14:paraId="7C78148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.759</w:t>
            </w:r>
          </w:p>
        </w:tc>
        <w:tc>
          <w:tcPr>
            <w:tcW w:w="711" w:type="dxa"/>
            <w:tcBorders>
              <w:left w:val="nil"/>
              <w:right w:val="nil"/>
            </w:tcBorders>
          </w:tcPr>
          <w:p w14:paraId="25B90093"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-1.121</w:t>
            </w:r>
          </w:p>
        </w:tc>
        <w:tc>
          <w:tcPr>
            <w:tcW w:w="711" w:type="dxa"/>
            <w:tcBorders>
              <w:left w:val="nil"/>
              <w:right w:val="nil"/>
            </w:tcBorders>
          </w:tcPr>
          <w:p w14:paraId="4557C66B"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- 1.590</w:t>
            </w:r>
          </w:p>
        </w:tc>
        <w:tc>
          <w:tcPr>
            <w:tcW w:w="821" w:type="dxa"/>
            <w:tcBorders>
              <w:left w:val="nil"/>
              <w:right w:val="nil"/>
            </w:tcBorders>
          </w:tcPr>
          <w:p w14:paraId="5363C77E"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402.21</w:t>
            </w:r>
          </w:p>
        </w:tc>
        <w:tc>
          <w:tcPr>
            <w:tcW w:w="693" w:type="dxa"/>
            <w:tcBorders>
              <w:left w:val="nil"/>
              <w:right w:val="nil"/>
            </w:tcBorders>
          </w:tcPr>
          <w:p w14:paraId="35E917B2" w14:textId="77777777" w:rsidR="000E1E75" w:rsidRPr="001D21C7" w:rsidRDefault="000E1E75" w:rsidP="006E13E0">
            <w:pPr>
              <w:jc w:val="center"/>
              <w:rPr>
                <w:rFonts w:ascii="Arial" w:hAnsi="Arial" w:cs="Arial"/>
                <w:sz w:val="18"/>
                <w:szCs w:val="18"/>
              </w:rPr>
            </w:pPr>
            <w:r w:rsidRPr="001D21C7">
              <w:rPr>
                <w:rFonts w:ascii="Arial" w:hAnsi="Arial" w:cs="Arial"/>
                <w:sz w:val="18"/>
                <w:szCs w:val="18"/>
              </w:rPr>
              <w:t>.000</w:t>
            </w:r>
          </w:p>
        </w:tc>
      </w:tr>
    </w:tbl>
    <w:p w14:paraId="6A85F636" w14:textId="77777777" w:rsidR="000E1E75" w:rsidRPr="00625DB0" w:rsidRDefault="000E1E75" w:rsidP="000E1E75">
      <w:pPr>
        <w:spacing w:line="276" w:lineRule="auto"/>
        <w:jc w:val="both"/>
        <w:rPr>
          <w:rFonts w:ascii="Arial" w:hAnsi="Arial" w:cs="Arial"/>
        </w:rPr>
      </w:pPr>
      <w:r w:rsidRPr="00625DB0">
        <w:rPr>
          <w:rFonts w:ascii="Arial" w:hAnsi="Arial" w:cs="Arial"/>
        </w:rPr>
        <w:t>Source: Primary data, 2024</w:t>
      </w:r>
    </w:p>
    <w:p w14:paraId="0CF14D67" w14:textId="4F6251E4" w:rsidR="005F22E4" w:rsidRDefault="000E1E75" w:rsidP="000E1E75">
      <w:pPr>
        <w:jc w:val="both"/>
        <w:rPr>
          <w:rFonts w:ascii="Arial" w:hAnsi="Arial" w:cs="Arial"/>
        </w:rPr>
      </w:pPr>
      <w:r w:rsidRPr="00625DB0">
        <w:rPr>
          <w:rFonts w:ascii="Arial" w:hAnsi="Arial" w:cs="Arial"/>
        </w:rPr>
        <w:t xml:space="preserve">Note: SA – Strongly Agree, A- Agree, N-Neutral, D-Disagree, SD-Strongly Disagree, S.D.-Standard Deviation, </w:t>
      </w:r>
      <w:proofErr w:type="spellStart"/>
      <w:r w:rsidRPr="00625DB0">
        <w:rPr>
          <w:rFonts w:ascii="Arial" w:hAnsi="Arial" w:cs="Arial"/>
        </w:rPr>
        <w:t>Sk</w:t>
      </w:r>
      <w:proofErr w:type="spellEnd"/>
      <w:r w:rsidRPr="00625DB0">
        <w:rPr>
          <w:rFonts w:ascii="Arial" w:hAnsi="Arial" w:cs="Arial"/>
        </w:rPr>
        <w:t>-Skewness, Kt- Kurtosis.</w:t>
      </w:r>
    </w:p>
    <w:p w14:paraId="36FF66D2" w14:textId="77777777" w:rsidR="005F22E4" w:rsidRDefault="005F22E4" w:rsidP="00441B6F">
      <w:pPr>
        <w:pStyle w:val="Body"/>
        <w:spacing w:after="0"/>
        <w:rPr>
          <w:rFonts w:ascii="Arial" w:hAnsi="Arial" w:cs="Arial"/>
        </w:rPr>
      </w:pPr>
    </w:p>
    <w:p w14:paraId="1DD94E45" w14:textId="20DD3808" w:rsidR="000E1E75" w:rsidRPr="000E1E7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.3.1 </w:t>
      </w:r>
      <w:r w:rsidR="000E1E75" w:rsidRPr="000E1E75">
        <w:rPr>
          <w:rFonts w:ascii="Arial" w:hAnsi="Arial" w:cs="Arial"/>
          <w:b/>
          <w:bCs/>
        </w:rPr>
        <w:t>Statement 1: I have experience using electronic devices</w:t>
      </w:r>
    </w:p>
    <w:p w14:paraId="349C6749" w14:textId="77777777" w:rsidR="000E1E75" w:rsidRDefault="000E1E75" w:rsidP="000E1E75">
      <w:pPr>
        <w:spacing w:after="240"/>
        <w:jc w:val="both"/>
        <w:rPr>
          <w:rFonts w:ascii="Arial" w:hAnsi="Arial" w:cs="Arial"/>
        </w:rPr>
      </w:pPr>
      <w:r w:rsidRPr="000E1E75">
        <w:rPr>
          <w:rFonts w:ascii="Arial" w:hAnsi="Arial" w:cs="Arial"/>
        </w:rPr>
        <w:t xml:space="preserve">A significant majority of respondents either agreed (53%) or strongly agreed (42%) with this statement, yielding a high mean score of 4.21. The standard deviation (SD) of 0.583 indicates relatively low variability. The negative skewness (-1.039) and kurtosis (3.182) indicate a leptokurtic distribution, suggesting responses are concentrated on the higher end of the scale. The Chi-square value (520.31) was significant at </w:t>
      </w:r>
      <w:r w:rsidRPr="000E1E75">
        <w:rPr>
          <w:rFonts w:ascii="Arial" w:hAnsi="Arial" w:cs="Arial"/>
          <w:i/>
          <w:iCs/>
        </w:rPr>
        <w:t>p &lt; 0.05</w:t>
      </w:r>
      <w:r w:rsidRPr="000E1E75">
        <w:rPr>
          <w:rFonts w:ascii="Arial" w:hAnsi="Arial" w:cs="Arial"/>
        </w:rPr>
        <w:t>, leading to rejection of the null hypothesis. This confirms that most students are indeed familiar with electronic devices used for online learning.</w:t>
      </w:r>
    </w:p>
    <w:p w14:paraId="3DC52F5C" w14:textId="4C8F16C7" w:rsidR="009E1ABF" w:rsidRPr="004F61F3" w:rsidRDefault="004F61F3" w:rsidP="000E1E75">
      <w:pPr>
        <w:spacing w:after="240"/>
        <w:jc w:val="both"/>
        <w:rPr>
          <w:rFonts w:ascii="Arial" w:hAnsi="Arial" w:cs="Arial"/>
          <w:color w:val="EE0000"/>
        </w:rPr>
      </w:pPr>
      <w:r w:rsidRPr="004F61F3">
        <w:rPr>
          <w:rFonts w:ascii="Arial" w:hAnsi="Arial" w:cs="Arial"/>
          <w:color w:val="EE0000"/>
        </w:rPr>
        <w:t>A high level of familiarity with devices indicates the internalization of digital academic practices. On a Foucauldian reading, technology is seen as a medium that enables the exercise of disciplinary power, which monitors students’ attendance, turn-around times, and participation rates without necessarily being physically present.</w:t>
      </w:r>
      <w:r w:rsidRPr="004F61F3">
        <w:rPr>
          <w:rFonts w:ascii="Arial" w:hAnsi="Arial" w:cs="Arial"/>
          <w:color w:val="EE0000"/>
        </w:rPr>
        <w:t xml:space="preserve"> </w:t>
      </w:r>
    </w:p>
    <w:p w14:paraId="6F333A87" w14:textId="67F60007" w:rsidR="000E1E75" w:rsidRPr="000E1E7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.3.2 </w:t>
      </w:r>
      <w:r w:rsidR="000E1E75" w:rsidRPr="000E1E75">
        <w:rPr>
          <w:rFonts w:ascii="Arial" w:hAnsi="Arial" w:cs="Arial"/>
          <w:b/>
          <w:bCs/>
        </w:rPr>
        <w:t>Statement 2: There is no difference between classroom and e-learning</w:t>
      </w:r>
    </w:p>
    <w:p w14:paraId="1B59332C" w14:textId="77777777" w:rsidR="000E1E75" w:rsidRDefault="000E1E75" w:rsidP="000E1E75">
      <w:pPr>
        <w:spacing w:after="240"/>
        <w:jc w:val="both"/>
        <w:rPr>
          <w:rFonts w:ascii="Arial" w:hAnsi="Arial" w:cs="Arial"/>
        </w:rPr>
      </w:pPr>
      <w:r w:rsidRPr="000E1E75">
        <w:rPr>
          <w:rFonts w:ascii="Arial" w:hAnsi="Arial" w:cs="Arial"/>
        </w:rPr>
        <w:t xml:space="preserve">This statement elicited mixed responses, with a mean score of 3.02—hovering around neutrality but slightly toward agreement. The distribution was platykurtic (kurtosis = -1.081), and Chi-square (102.51) was significant at </w:t>
      </w:r>
      <w:r w:rsidRPr="000E1E75">
        <w:rPr>
          <w:rFonts w:ascii="Arial" w:hAnsi="Arial" w:cs="Arial"/>
          <w:i/>
          <w:iCs/>
        </w:rPr>
        <w:t>p &lt; 0.05</w:t>
      </w:r>
      <w:r w:rsidRPr="000E1E75">
        <w:rPr>
          <w:rFonts w:ascii="Arial" w:hAnsi="Arial" w:cs="Arial"/>
        </w:rPr>
        <w:t>, rejecting the null hypothesis. This implies that although some students believe e-learning is comparable to classroom learning, many still perceive a difference.</w:t>
      </w:r>
    </w:p>
    <w:p w14:paraId="1BE9F633" w14:textId="1FC763E6" w:rsidR="00F923D0" w:rsidRPr="00F923D0" w:rsidRDefault="00F923D0" w:rsidP="000E1E75">
      <w:pPr>
        <w:spacing w:after="240"/>
        <w:jc w:val="both"/>
        <w:rPr>
          <w:rFonts w:ascii="Arial" w:hAnsi="Arial" w:cs="Arial"/>
          <w:color w:val="EE0000"/>
        </w:rPr>
      </w:pPr>
      <w:r w:rsidRPr="00F923D0">
        <w:rPr>
          <w:rFonts w:ascii="Arial" w:hAnsi="Arial" w:cs="Arial"/>
          <w:color w:val="EE0000"/>
        </w:rPr>
        <w:t>This ambivalence corresponds to a shift from traditional spatial discipline (visibility in the classroom) to a scattered digital discipline, where discipline is no longer a function of physical presence but of traceability in behavior (log-ins, submissions, response time).</w:t>
      </w:r>
      <w:r w:rsidRPr="00F923D0">
        <w:rPr>
          <w:rFonts w:ascii="Arial" w:hAnsi="Arial" w:cs="Arial"/>
          <w:color w:val="EE0000"/>
        </w:rPr>
        <w:t xml:space="preserve"> </w:t>
      </w:r>
    </w:p>
    <w:p w14:paraId="480CE8A4" w14:textId="43098EDF" w:rsidR="000E1E75" w:rsidRPr="000E1E75" w:rsidRDefault="000E4212" w:rsidP="000E1E75">
      <w:pPr>
        <w:spacing w:after="240"/>
        <w:jc w:val="both"/>
        <w:rPr>
          <w:rFonts w:ascii="Arial" w:hAnsi="Arial" w:cs="Arial"/>
          <w:b/>
          <w:bCs/>
        </w:rPr>
      </w:pPr>
      <w:r>
        <w:rPr>
          <w:rFonts w:ascii="Arial" w:hAnsi="Arial" w:cs="Arial"/>
          <w:b/>
          <w:bCs/>
        </w:rPr>
        <w:lastRenderedPageBreak/>
        <w:t>5</w:t>
      </w:r>
      <w:r w:rsidR="000E1E75">
        <w:rPr>
          <w:rFonts w:ascii="Arial" w:hAnsi="Arial" w:cs="Arial"/>
          <w:b/>
          <w:bCs/>
        </w:rPr>
        <w:t xml:space="preserve">.3.3 </w:t>
      </w:r>
      <w:r w:rsidR="000E1E75" w:rsidRPr="000E1E75">
        <w:rPr>
          <w:rFonts w:ascii="Arial" w:hAnsi="Arial" w:cs="Arial"/>
          <w:b/>
          <w:bCs/>
        </w:rPr>
        <w:t>Statement 3: Interacting with classmates and peers is more effective in the online mode compared to traditional classroom learning</w:t>
      </w:r>
    </w:p>
    <w:p w14:paraId="3245A442" w14:textId="77777777" w:rsidR="000E1E75" w:rsidRDefault="000E1E75" w:rsidP="000E1E75">
      <w:pPr>
        <w:spacing w:after="240"/>
        <w:jc w:val="both"/>
        <w:rPr>
          <w:rFonts w:ascii="Arial" w:hAnsi="Arial" w:cs="Arial"/>
        </w:rPr>
      </w:pPr>
      <w:r w:rsidRPr="000E1E75">
        <w:rPr>
          <w:rFonts w:ascii="Arial" w:hAnsi="Arial" w:cs="Arial"/>
        </w:rPr>
        <w:t xml:space="preserve">The mean score of 3.34 suggests that a moderate number of respondents leaned toward agreement. However, standard deviation (1.164) and negative skewness (-0.380) indicate a wider variation in opinions. The platykurtic distribution and Chi-square value (108.35), significant at </w:t>
      </w:r>
      <w:r w:rsidRPr="000E1E75">
        <w:rPr>
          <w:rFonts w:ascii="Arial" w:hAnsi="Arial" w:cs="Arial"/>
          <w:i/>
          <w:iCs/>
        </w:rPr>
        <w:t>p &lt; 0.05</w:t>
      </w:r>
      <w:r w:rsidRPr="000E1E75">
        <w:rPr>
          <w:rFonts w:ascii="Arial" w:hAnsi="Arial" w:cs="Arial"/>
        </w:rPr>
        <w:t>, again led to rejection of the null hypothesis, indicating that many students found peer interaction through online modes to be effective, though views were not universally consistent.</w:t>
      </w:r>
    </w:p>
    <w:p w14:paraId="12AE0146" w14:textId="4E69BAAB" w:rsidR="00AA671D" w:rsidRPr="00AA671D" w:rsidRDefault="00AA671D" w:rsidP="000E1E75">
      <w:pPr>
        <w:spacing w:after="240"/>
        <w:jc w:val="both"/>
        <w:rPr>
          <w:rFonts w:ascii="Arial" w:hAnsi="Arial" w:cs="Arial"/>
          <w:color w:val="EE0000"/>
        </w:rPr>
      </w:pPr>
      <w:r w:rsidRPr="00AA671D">
        <w:rPr>
          <w:rFonts w:ascii="Arial" w:hAnsi="Arial" w:cs="Arial"/>
          <w:color w:val="EE0000"/>
        </w:rPr>
        <w:t>The variation shows that online learning reconfigures social interaction into controlled communicative environments (chat boxes, forums), creating what Foucault refers to as organized participation rather than spontaneous interaction.</w:t>
      </w:r>
      <w:r w:rsidRPr="00AA671D">
        <w:rPr>
          <w:rFonts w:ascii="Arial" w:hAnsi="Arial" w:cs="Arial"/>
          <w:color w:val="EE0000"/>
        </w:rPr>
        <w:t xml:space="preserve"> </w:t>
      </w:r>
    </w:p>
    <w:p w14:paraId="34BB5929" w14:textId="787F507D" w:rsidR="000E1E75" w:rsidRPr="000E1E7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.3.4 </w:t>
      </w:r>
      <w:r w:rsidR="000E1E75" w:rsidRPr="000E1E75">
        <w:rPr>
          <w:rFonts w:ascii="Arial" w:hAnsi="Arial" w:cs="Arial"/>
          <w:b/>
          <w:bCs/>
        </w:rPr>
        <w:t xml:space="preserve">Statement 4: My teacher is familiar and knowledgeable in using electronic devices </w:t>
      </w:r>
    </w:p>
    <w:p w14:paraId="125843ED" w14:textId="77777777" w:rsidR="000E1E75" w:rsidRDefault="000E1E75" w:rsidP="000E1E75">
      <w:pPr>
        <w:spacing w:after="240"/>
        <w:jc w:val="both"/>
        <w:rPr>
          <w:rFonts w:ascii="Arial" w:hAnsi="Arial" w:cs="Arial"/>
        </w:rPr>
      </w:pPr>
      <w:r w:rsidRPr="000E1E75">
        <w:rPr>
          <w:rFonts w:ascii="Arial" w:hAnsi="Arial" w:cs="Arial"/>
        </w:rPr>
        <w:t xml:space="preserve">A clear positive perception was observed for this statement, with a mean score of 3.96. A large proportion of respondents either agreed (55.5%) or strongly agreed (29%), indicating strong confidence in teachers’ digital competence. The relatively low standard deviation (SD = 0.629) suggests limited dispersion and a high level of agreement among respondents. The distribution shows negative skewness (–1.073), implying that responses were concentrated toward the higher end of the scale. The negative kurtosis value (–2.073) indicates a platykurtic distribution, suggesting responses were moderately spread rather than sharply peaked. The Chi-square value (315.51) was statistically significant at p &lt; 0.05, leading to rejection of the null hypothesis and confirming that students largely perceive their teachers as proficient in using electronic devices for online instruction. </w:t>
      </w:r>
    </w:p>
    <w:p w14:paraId="14AD2013" w14:textId="4041C558" w:rsidR="00AA671D" w:rsidRPr="008E2D96" w:rsidRDefault="008E2D96" w:rsidP="000E1E75">
      <w:pPr>
        <w:spacing w:after="240"/>
        <w:jc w:val="both"/>
        <w:rPr>
          <w:rFonts w:ascii="Arial" w:hAnsi="Arial" w:cs="Arial"/>
          <w:color w:val="EE0000"/>
        </w:rPr>
      </w:pPr>
      <w:r w:rsidRPr="008E2D96">
        <w:rPr>
          <w:rFonts w:ascii="Arial" w:hAnsi="Arial" w:cs="Arial"/>
          <w:color w:val="EE0000"/>
        </w:rPr>
        <w:t>In this case, the teacher plays a less authoritative role and more of a mediator of the technological disciplinary system. This is because the teacher uses monitoring tools on the platform to enable structured participation.</w:t>
      </w:r>
      <w:r w:rsidRPr="008E2D96">
        <w:rPr>
          <w:rFonts w:ascii="Arial" w:hAnsi="Arial" w:cs="Arial"/>
          <w:color w:val="EE0000"/>
        </w:rPr>
        <w:t xml:space="preserve"> </w:t>
      </w:r>
    </w:p>
    <w:p w14:paraId="5F32A041" w14:textId="34411293" w:rsidR="000E1E75" w:rsidRPr="00706D35" w:rsidRDefault="000E4212" w:rsidP="000E1E75">
      <w:pPr>
        <w:spacing w:after="240"/>
        <w:jc w:val="both"/>
        <w:rPr>
          <w:rFonts w:ascii="Arial" w:hAnsi="Arial" w:cs="Arial"/>
          <w:b/>
          <w:bCs/>
        </w:rPr>
      </w:pPr>
      <w:r>
        <w:rPr>
          <w:rFonts w:ascii="Arial" w:hAnsi="Arial" w:cs="Arial"/>
          <w:b/>
          <w:bCs/>
        </w:rPr>
        <w:t>5</w:t>
      </w:r>
      <w:r w:rsidR="000E1E75">
        <w:rPr>
          <w:rFonts w:ascii="Arial" w:hAnsi="Arial" w:cs="Arial"/>
          <w:b/>
          <w:bCs/>
        </w:rPr>
        <w:t xml:space="preserve">.3.5 </w:t>
      </w:r>
      <w:r w:rsidR="000E1E75" w:rsidRPr="000E1E75">
        <w:rPr>
          <w:rFonts w:ascii="Arial" w:hAnsi="Arial" w:cs="Arial"/>
          <w:b/>
          <w:bCs/>
        </w:rPr>
        <w:t>Statement 5</w:t>
      </w:r>
      <w:r w:rsidR="000E1E75" w:rsidRPr="00706D35">
        <w:rPr>
          <w:rFonts w:ascii="Arial" w:hAnsi="Arial" w:cs="Arial"/>
          <w:b/>
          <w:bCs/>
        </w:rPr>
        <w:t>: My teacher’s performance in the online learning environment has been satisfactory</w:t>
      </w:r>
    </w:p>
    <w:p w14:paraId="343AD08E" w14:textId="77777777" w:rsidR="000E1E75" w:rsidRDefault="000E1E75" w:rsidP="000E1E75">
      <w:pPr>
        <w:spacing w:after="240"/>
        <w:jc w:val="both"/>
        <w:rPr>
          <w:rFonts w:ascii="Arial" w:hAnsi="Arial" w:cs="Arial"/>
        </w:rPr>
      </w:pPr>
      <w:r w:rsidRPr="000E1E75">
        <w:rPr>
          <w:rFonts w:ascii="Arial" w:hAnsi="Arial" w:cs="Arial"/>
        </w:rPr>
        <w:t>Respondents expressed a high level of satisfaction with teachers’ online performance, as reflected by a mean score of 3.92. Nearly 80% of respondents either agreed (56%) or strongly agreed (24%) with the statement. The standard deviation (SD = 0.759) indicates moderate variability in responses. The negative skewness (–1.121) suggests that responses were predominantly skewed toward agreement. The kurtosis value (–1.590) reveals a platykurtic distribution, indicating a relatively even spread of responses across higher agreement categories rather than extreme clustering. The Chi-square value (402.21) was significant at p &lt; 0.05, resulting in rejection of the null hypothesis and confirming that teachers’ performance in the online learning environment is perceived as satisfactory by the majority of students.</w:t>
      </w:r>
    </w:p>
    <w:p w14:paraId="0D2C8017" w14:textId="788C41A7" w:rsidR="00610B89" w:rsidRPr="00610B89" w:rsidRDefault="00610B89" w:rsidP="000E1E75">
      <w:pPr>
        <w:spacing w:after="240"/>
        <w:jc w:val="both"/>
        <w:rPr>
          <w:rFonts w:ascii="Arial" w:hAnsi="Arial" w:cs="Arial"/>
          <w:color w:val="EE0000"/>
        </w:rPr>
      </w:pPr>
      <w:r w:rsidRPr="00610B89">
        <w:rPr>
          <w:rFonts w:ascii="Arial" w:hAnsi="Arial" w:cs="Arial"/>
          <w:color w:val="EE0000"/>
        </w:rPr>
        <w:t>Student approval may be an indicator of adjustment to algorithmically structured learning routines, in which assessment, submission, and feedback are incorporated within the governance of the platform.</w:t>
      </w:r>
      <w:r w:rsidRPr="00610B89">
        <w:rPr>
          <w:rFonts w:ascii="Arial" w:hAnsi="Arial" w:cs="Arial"/>
          <w:color w:val="EE0000"/>
        </w:rPr>
        <w:t xml:space="preserve"> </w:t>
      </w:r>
    </w:p>
    <w:p w14:paraId="76924AEF" w14:textId="104CFDD2" w:rsidR="00790ADA" w:rsidRDefault="000E1E75" w:rsidP="009D3F6B">
      <w:pPr>
        <w:spacing w:after="240"/>
        <w:jc w:val="both"/>
        <w:rPr>
          <w:rFonts w:ascii="Arial" w:hAnsi="Arial" w:cs="Arial"/>
        </w:rPr>
      </w:pPr>
      <w:r w:rsidRPr="000E1E75">
        <w:rPr>
          <w:rFonts w:ascii="Arial" w:hAnsi="Arial" w:cs="Arial"/>
        </w:rPr>
        <w:t xml:space="preserve">The analysis reveals that students in higher education are largely familiar and comfortable with using electronic devices, and that most have access to the required infrastructure. While students recognize the efforts of teachers and express satisfaction with their services in the online learning environment, many still draw a distinction between e-learning and traditional classroom experiences. Interactions with peers online are perceived as effective by a sizable </w:t>
      </w:r>
      <w:r w:rsidRPr="000E1E75">
        <w:rPr>
          <w:rFonts w:ascii="Arial" w:hAnsi="Arial" w:cs="Arial"/>
        </w:rPr>
        <w:lastRenderedPageBreak/>
        <w:t>proportion, but not unanimously so. These findings highlight the complex; multifaceted experiences students face in adapting to online education and reflect a broadly positive but nuanced attitude toward the e-learning ecosystem.</w:t>
      </w:r>
    </w:p>
    <w:p w14:paraId="3A48091D" w14:textId="0DDFE923" w:rsidR="009D3F6B" w:rsidRPr="009D3F6B" w:rsidRDefault="009D3F6B" w:rsidP="000E1E75">
      <w:pPr>
        <w:jc w:val="both"/>
        <w:rPr>
          <w:rFonts w:ascii="Arial" w:hAnsi="Arial" w:cs="Arial"/>
          <w:color w:val="EE0000"/>
        </w:rPr>
      </w:pPr>
      <w:r w:rsidRPr="009D3F6B">
        <w:rPr>
          <w:rFonts w:ascii="Arial" w:hAnsi="Arial" w:cs="Arial"/>
          <w:color w:val="EE0000"/>
        </w:rPr>
        <w:t>In a Foucauldian perspective, e-learning can be seen as a digital form of governmentality, where students monitor their own behavior through schedules, deadlines, and online visibility rather than being under constant supervision. This means that online education does not abolish discipline but rather redistributes it into self-disciplined academic behavior mediated by technology.</w:t>
      </w:r>
      <w:r w:rsidRPr="009D3F6B">
        <w:rPr>
          <w:rFonts w:ascii="Arial" w:hAnsi="Arial" w:cs="Arial"/>
          <w:color w:val="EE0000"/>
        </w:rPr>
        <w:t xml:space="preserve"> </w:t>
      </w:r>
    </w:p>
    <w:p w14:paraId="073BAE2F" w14:textId="77777777" w:rsidR="000E1E75" w:rsidRPr="00FB3A86" w:rsidRDefault="000E1E75" w:rsidP="000E1E75">
      <w:pPr>
        <w:ind w:firstLine="284"/>
        <w:jc w:val="both"/>
        <w:rPr>
          <w:rFonts w:ascii="Arial" w:hAnsi="Arial" w:cs="Arial"/>
        </w:rPr>
      </w:pPr>
    </w:p>
    <w:p w14:paraId="01C7FEB1" w14:textId="21C88F5F" w:rsidR="000E1E75" w:rsidRPr="00625DB0" w:rsidRDefault="000E4212" w:rsidP="000E1E75">
      <w:pPr>
        <w:rPr>
          <w:rFonts w:ascii="Arial" w:hAnsi="Arial" w:cs="Arial"/>
          <w:b/>
          <w:bCs/>
        </w:rPr>
      </w:pPr>
      <w:r>
        <w:rPr>
          <w:rFonts w:ascii="Arial" w:hAnsi="Arial" w:cs="Arial"/>
          <w:b/>
          <w:bCs/>
        </w:rPr>
        <w:t>6</w:t>
      </w:r>
      <w:r w:rsidR="000E1E75">
        <w:rPr>
          <w:rFonts w:ascii="Arial" w:hAnsi="Arial" w:cs="Arial"/>
          <w:b/>
          <w:bCs/>
        </w:rPr>
        <w:t xml:space="preserve">. </w:t>
      </w:r>
      <w:r w:rsidR="000E1E75" w:rsidRPr="00625DB0">
        <w:rPr>
          <w:rFonts w:ascii="Arial" w:hAnsi="Arial" w:cs="Arial"/>
          <w:b/>
          <w:bCs/>
        </w:rPr>
        <w:t>DISCUSSION</w:t>
      </w:r>
    </w:p>
    <w:p w14:paraId="708271EA" w14:textId="77777777" w:rsidR="000E1E75" w:rsidRPr="000E1E75" w:rsidRDefault="000E1E75" w:rsidP="000E1E75">
      <w:pPr>
        <w:spacing w:before="240" w:after="240"/>
        <w:jc w:val="both"/>
        <w:rPr>
          <w:rFonts w:ascii="Arial" w:hAnsi="Arial" w:cs="Arial"/>
        </w:rPr>
      </w:pPr>
      <w:r w:rsidRPr="000E1E75">
        <w:rPr>
          <w:rFonts w:ascii="Arial" w:hAnsi="Arial" w:cs="Arial"/>
        </w:rPr>
        <w:t>The quantitative findings provide a statistically robust understanding of students’ post-pandemic e-learning experiences in higher education institutions in Tamil Nadu. The demographic profile indicates a relatively balanced gender representation, with female students forming a majority (59%). Nearly universal access to electronic devices (98%) reflects a high level of digital penetration among students, with mobile phones emerging as the dominant learning device (77.5%). This reliance on mobile technology has important implications for instructional design, as mobile-friendly platforms become essential for effective e-learning delivery.</w:t>
      </w:r>
    </w:p>
    <w:p w14:paraId="5758FEE4" w14:textId="77777777" w:rsidR="000E1E75" w:rsidRPr="000E1E75" w:rsidRDefault="000E1E75" w:rsidP="000E1E75">
      <w:pPr>
        <w:spacing w:before="240" w:after="240"/>
        <w:jc w:val="both"/>
        <w:rPr>
          <w:rFonts w:ascii="Arial" w:hAnsi="Arial" w:cs="Arial"/>
        </w:rPr>
      </w:pPr>
      <w:r w:rsidRPr="000E1E75">
        <w:rPr>
          <w:rFonts w:ascii="Arial" w:hAnsi="Arial" w:cs="Arial"/>
        </w:rPr>
        <w:t>Despite high device availability, internet accessibility remains uneven. While 52.5% of respondents reported uninterrupted internet access, a substantial 45.5% experienced limited connectivity, primarily due to high data costs and weak network signals. This digital divide is quantitatively significant and may constrain the effectiveness of online learning for a large segment of students, even in the presence of suitable devices.</w:t>
      </w:r>
    </w:p>
    <w:p w14:paraId="0C375C5B" w14:textId="77777777" w:rsidR="000E1E75" w:rsidRPr="000E1E75" w:rsidRDefault="000E1E75" w:rsidP="000E1E75">
      <w:pPr>
        <w:spacing w:before="240" w:after="240"/>
        <w:jc w:val="both"/>
        <w:rPr>
          <w:rFonts w:ascii="Arial" w:hAnsi="Arial" w:cs="Arial"/>
        </w:rPr>
      </w:pPr>
      <w:r w:rsidRPr="000E1E75">
        <w:rPr>
          <w:rFonts w:ascii="Arial" w:hAnsi="Arial" w:cs="Arial"/>
        </w:rPr>
        <w:t>The reliability analysis yielded a Cronbach’s Alpha value of 0.912, indicating excellent internal consistency of the 17-item scale and confirming the statistical reliability of the attitudinal measures. This strengthens the validity of subsequent inferential interpretations.</w:t>
      </w:r>
    </w:p>
    <w:p w14:paraId="42DEB546" w14:textId="77777777" w:rsidR="000E1E75" w:rsidRPr="000E1E75" w:rsidRDefault="000E1E75" w:rsidP="000E1E75">
      <w:pPr>
        <w:spacing w:before="240" w:after="240"/>
        <w:jc w:val="both"/>
        <w:rPr>
          <w:rFonts w:ascii="Arial" w:hAnsi="Arial" w:cs="Arial"/>
        </w:rPr>
      </w:pPr>
      <w:r w:rsidRPr="000E1E75">
        <w:rPr>
          <w:rFonts w:ascii="Arial" w:hAnsi="Arial" w:cs="Arial"/>
        </w:rPr>
        <w:t>Attitudinal analysis using mean scores, dispersion measures, and chi-square tests reveals predominantly positive perceptions toward e-learning infrastructure and instructional competence. High mean values for experience with electronic devices (M = 4.21) and teachers’ digital proficiency (M = 3.96) demonstrate strong agreement, supported by low standard deviations and significant chi-square values (p &lt; 0.05). Negative skewness across these items further confirms a concentration of responses toward agreement.</w:t>
      </w:r>
    </w:p>
    <w:p w14:paraId="74DD0A54" w14:textId="77777777" w:rsidR="000E1E75" w:rsidRPr="000E1E75" w:rsidRDefault="000E1E75" w:rsidP="000E1E75">
      <w:pPr>
        <w:spacing w:before="240" w:after="240"/>
        <w:jc w:val="both"/>
        <w:rPr>
          <w:rFonts w:ascii="Arial" w:hAnsi="Arial" w:cs="Arial"/>
        </w:rPr>
      </w:pPr>
      <w:r w:rsidRPr="000E1E75">
        <w:rPr>
          <w:rFonts w:ascii="Arial" w:hAnsi="Arial" w:cs="Arial"/>
        </w:rPr>
        <w:t>However, perceptions regarding pedagogical equivalence between classroom and e-learning remain mixed. The near-neutral mean score (M = 3.02) and higher variability suggest ongoing uncertainty about the comparative effectiveness of online instruction. Similarly, while peer interaction in online settings was moderately endorsed (M = 3.34), greater dispersion indicates heterogeneity in student experiences.</w:t>
      </w:r>
    </w:p>
    <w:p w14:paraId="5EE238CB" w14:textId="77777777" w:rsidR="000E1E75" w:rsidRDefault="000E1E75" w:rsidP="000E1E75">
      <w:pPr>
        <w:spacing w:before="240" w:after="240"/>
        <w:jc w:val="both"/>
        <w:rPr>
          <w:rFonts w:ascii="Arial" w:hAnsi="Arial" w:cs="Arial"/>
        </w:rPr>
      </w:pPr>
      <w:r w:rsidRPr="000E1E75">
        <w:rPr>
          <w:rFonts w:ascii="Arial" w:hAnsi="Arial" w:cs="Arial"/>
        </w:rPr>
        <w:t>Overall, the quantitative evidence highlights strong technological readiness and instructor competence, alongside persistent infrastructural constraints and pedagogical ambivalence, underscoring the need for targeted policy and instructional interventions to enhance e-learning effectiveness.</w:t>
      </w:r>
    </w:p>
    <w:p w14:paraId="0074F767" w14:textId="6E4FB68B" w:rsidR="000E1E75" w:rsidRPr="000E1E75" w:rsidRDefault="000E4212" w:rsidP="000E1E75">
      <w:pPr>
        <w:spacing w:line="360" w:lineRule="auto"/>
        <w:rPr>
          <w:rFonts w:ascii="Arial" w:hAnsi="Arial" w:cs="Arial"/>
          <w:b/>
          <w:bCs/>
          <w:sz w:val="22"/>
          <w:szCs w:val="22"/>
        </w:rPr>
      </w:pPr>
      <w:r>
        <w:rPr>
          <w:rFonts w:ascii="Arial" w:hAnsi="Arial" w:cs="Arial"/>
          <w:b/>
          <w:bCs/>
          <w:sz w:val="22"/>
          <w:szCs w:val="22"/>
        </w:rPr>
        <w:t>7</w:t>
      </w:r>
      <w:r w:rsidR="000E1E75" w:rsidRPr="000E1E75">
        <w:rPr>
          <w:rFonts w:ascii="Arial" w:hAnsi="Arial" w:cs="Arial"/>
          <w:b/>
          <w:bCs/>
          <w:sz w:val="22"/>
          <w:szCs w:val="22"/>
        </w:rPr>
        <w:t>. CONCLUSION</w:t>
      </w:r>
    </w:p>
    <w:p w14:paraId="2243D940" w14:textId="77777777" w:rsidR="000E1E75" w:rsidRDefault="000E1E75" w:rsidP="000E1E75">
      <w:pPr>
        <w:spacing w:after="240"/>
        <w:jc w:val="both"/>
        <w:rPr>
          <w:rFonts w:ascii="Arial" w:hAnsi="Arial" w:cs="Arial"/>
        </w:rPr>
      </w:pPr>
      <w:r w:rsidRPr="00625DB0">
        <w:rPr>
          <w:rFonts w:ascii="Arial" w:hAnsi="Arial" w:cs="Arial"/>
        </w:rPr>
        <w:t xml:space="preserve">The present study investigated the psychological and educational implications of e-learning platforms on students preparing for competitive examinations in India, with a particular focus </w:t>
      </w:r>
      <w:r w:rsidRPr="00625DB0">
        <w:rPr>
          <w:rFonts w:ascii="Arial" w:hAnsi="Arial" w:cs="Arial"/>
        </w:rPr>
        <w:lastRenderedPageBreak/>
        <w:t>on Tamil Nadu. As digital education becomes an indispensable component of contemporary learning, especially in the aftermath of the COVID-19 pandemic, its impact on student mental health warrants critical attention. While e-learning platforms offer unparalleled flexibility, accessibility, and individualized learning experiences, they also introduce unique psychosocial challenges.</w:t>
      </w:r>
    </w:p>
    <w:p w14:paraId="3C5584FD" w14:textId="36BA83A4" w:rsidR="007559E7" w:rsidRPr="007559E7" w:rsidRDefault="007559E7" w:rsidP="007559E7">
      <w:pPr>
        <w:spacing w:after="240"/>
        <w:jc w:val="both"/>
        <w:rPr>
          <w:rFonts w:ascii="Arial" w:hAnsi="Arial" w:cs="Arial"/>
          <w:color w:val="EE0000"/>
        </w:rPr>
      </w:pPr>
      <w:r w:rsidRPr="007559E7">
        <w:rPr>
          <w:rFonts w:ascii="Arial" w:hAnsi="Arial" w:cs="Arial"/>
          <w:color w:val="EE0000"/>
        </w:rPr>
        <w:t>The current study aimed to explore the psychological and educational implications of e-learning platforms on students in Tamil Nadu. As digital education is becoming an essential part of modern learning, its effects on the mental health of students require serious consideration.</w:t>
      </w:r>
    </w:p>
    <w:p w14:paraId="0325126D" w14:textId="30F7224C" w:rsidR="007559E7" w:rsidRPr="007559E7" w:rsidRDefault="007559E7" w:rsidP="007559E7">
      <w:pPr>
        <w:spacing w:after="240"/>
        <w:jc w:val="both"/>
        <w:rPr>
          <w:rFonts w:ascii="Arial" w:hAnsi="Arial" w:cs="Arial"/>
          <w:color w:val="EE0000"/>
        </w:rPr>
      </w:pPr>
      <w:r w:rsidRPr="007559E7">
        <w:rPr>
          <w:rFonts w:ascii="Arial" w:hAnsi="Arial" w:cs="Arial"/>
          <w:color w:val="EE0000"/>
        </w:rPr>
        <w:t>From a statistical perspective, the results clearly show high technological readiness among students, with 98% having access to devices and 77.5% using mobile phones as their primary device. The reliability analysis showed excellent internal consistency of the measurement scale (Cronbach’s Alpha = 0.912), which further enhances the confidence level in the stability of the attitudinal constructs measured. Additionally, the Chi-square test results for all key variables were found to be statistically significant (p &lt; 0.05), and hence, the null hypothesis was rejected, establishing that the distributions of student responses were not random but systematically patterned.</w:t>
      </w:r>
    </w:p>
    <w:p w14:paraId="76C83CDF" w14:textId="404092A0" w:rsidR="006D75D7" w:rsidRDefault="007559E7" w:rsidP="007559E7">
      <w:pPr>
        <w:spacing w:after="240"/>
        <w:jc w:val="both"/>
        <w:rPr>
          <w:rFonts w:ascii="Arial" w:hAnsi="Arial" w:cs="Arial"/>
          <w:color w:val="EE0000"/>
        </w:rPr>
      </w:pPr>
      <w:r w:rsidRPr="007559E7">
        <w:rPr>
          <w:rFonts w:ascii="Arial" w:hAnsi="Arial" w:cs="Arial"/>
          <w:color w:val="EE0000"/>
        </w:rPr>
        <w:t>The high mean values for digital familiarity (M = 4.21) and teacher competence (M = 3.96) clearly show high positive attitudes towards technological infrastructure and teaching processes. However, the close-to-neutral mean value for equivalence between the classroom and e-learning (M = 3.02) and high variability for peer interaction (SD = 1.164) indicate ambivalence towards teaching and experiential variability.</w:t>
      </w:r>
    </w:p>
    <w:p w14:paraId="72692A6A" w14:textId="6B656ECA" w:rsidR="0026305E" w:rsidRPr="007559E7" w:rsidRDefault="0026305E" w:rsidP="007559E7">
      <w:pPr>
        <w:spacing w:after="240"/>
        <w:jc w:val="both"/>
        <w:rPr>
          <w:rFonts w:ascii="Arial" w:hAnsi="Arial" w:cs="Arial"/>
          <w:color w:val="EE0000"/>
        </w:rPr>
      </w:pPr>
      <w:r w:rsidRPr="0026305E">
        <w:rPr>
          <w:rFonts w:ascii="Arial" w:hAnsi="Arial" w:cs="Arial"/>
          <w:color w:val="EE0000"/>
        </w:rPr>
        <w:t>In Foucauldian terms, these statistically significant trends represent more than just preferences, but rather behavioral adaptations to digitally governed learning environments. On the one hand, e-learning has been shown to have measurable acceptance and institutional effectiveness, but on the other hand, its psychosocial implications, especially regarding self-regulation, need policy-sensitive and learner-centered interventions.</w:t>
      </w:r>
    </w:p>
    <w:p w14:paraId="1FF233E3" w14:textId="77777777" w:rsidR="000E1E75" w:rsidRPr="00625DB0" w:rsidRDefault="000E1E75" w:rsidP="000E1E75">
      <w:pPr>
        <w:spacing w:after="240"/>
        <w:jc w:val="both"/>
        <w:rPr>
          <w:rFonts w:ascii="Arial" w:hAnsi="Arial" w:cs="Arial"/>
        </w:rPr>
      </w:pPr>
      <w:r w:rsidRPr="00625DB0">
        <w:rPr>
          <w:rFonts w:ascii="Arial" w:hAnsi="Arial" w:cs="Arial"/>
        </w:rPr>
        <w:t>Findings suggest that students experience increased stress due to academic isolation, self-regulation pressures, and the constant surveillance embedded in online platforms. The internalization of performance metrics fosters a culture of self-monitoring and comparison, leading to anxiety, fatigue, and demotivation. These effects are particularly pronounced in high-stakes exam environments, where academic success is heavily emphasized. In Tamil Nadu, where a significant number of aspirants rely on online coaching for civil services, NEET, and engineering entrance exams, recent surveys (IFMR, 2022; TRB, 2022) highlight growing concerns over digital fatigue and declining mental health, especially among rural and first-generation learners.</w:t>
      </w:r>
    </w:p>
    <w:p w14:paraId="29BD3CF5" w14:textId="77777777" w:rsidR="000E1E75" w:rsidRPr="00625DB0" w:rsidRDefault="000E1E75" w:rsidP="000E1E75">
      <w:pPr>
        <w:spacing w:after="240"/>
        <w:jc w:val="both"/>
        <w:rPr>
          <w:rFonts w:ascii="Arial" w:hAnsi="Arial" w:cs="Arial"/>
        </w:rPr>
      </w:pPr>
      <w:r w:rsidRPr="00625DB0">
        <w:rPr>
          <w:rFonts w:ascii="Arial" w:hAnsi="Arial" w:cs="Arial"/>
        </w:rPr>
        <w:t>Foucault’s concept of disciplinary governmentality aptly captures the subtle but pervasive mechanisms of control within e-learning systems. Students are not merely passive recipients of knowledge but are constantly engaged in self-discipline, shaped by algorithmic feedback and institutional expectations. Despite the potential of digital tools to democratize education, these platforms often reinforce new hierarchies of performance, visibility, and digital capital.</w:t>
      </w:r>
    </w:p>
    <w:p w14:paraId="5BD848A6" w14:textId="77777777" w:rsidR="000E1E75" w:rsidRPr="00625DB0" w:rsidRDefault="000E1E75" w:rsidP="000E1E75">
      <w:pPr>
        <w:spacing w:after="240"/>
        <w:jc w:val="both"/>
        <w:rPr>
          <w:rFonts w:ascii="Arial" w:hAnsi="Arial" w:cs="Arial"/>
        </w:rPr>
      </w:pPr>
      <w:r w:rsidRPr="00625DB0">
        <w:rPr>
          <w:rFonts w:ascii="Arial" w:hAnsi="Arial" w:cs="Arial"/>
        </w:rPr>
        <w:t>Thus, the study underscores the need for a balanced approach—one that leverages the technological affordances of e-learning without compromising students’ psychological well-being. In Tamil Nadu, this also necessitates linguistically inclusive and culturally sensitive digital initiatives that overcome urban-rural barriers. Designing learner-</w:t>
      </w:r>
      <w:proofErr w:type="spellStart"/>
      <w:r w:rsidRPr="00625DB0">
        <w:rPr>
          <w:rFonts w:ascii="Arial" w:hAnsi="Arial" w:cs="Arial"/>
        </w:rPr>
        <w:t>centred</w:t>
      </w:r>
      <w:proofErr w:type="spellEnd"/>
      <w:r w:rsidRPr="00625DB0">
        <w:rPr>
          <w:rFonts w:ascii="Arial" w:hAnsi="Arial" w:cs="Arial"/>
        </w:rPr>
        <w:t xml:space="preserve"> environments that support mental health, social interaction, and holistic development requires cooperation </w:t>
      </w:r>
      <w:r w:rsidRPr="00625DB0">
        <w:rPr>
          <w:rFonts w:ascii="Arial" w:hAnsi="Arial" w:cs="Arial"/>
        </w:rPr>
        <w:lastRenderedPageBreak/>
        <w:t>between educators, legislators, and EdTech developers. The promise that e-learning holds for inclusive and empowered education can only be realized through such integrative initiatives.</w:t>
      </w:r>
    </w:p>
    <w:p w14:paraId="75702D4A" w14:textId="3703C6A5" w:rsidR="000E1E75" w:rsidRPr="00625DB0" w:rsidRDefault="000E4212" w:rsidP="000E1E75">
      <w:pPr>
        <w:spacing w:line="360" w:lineRule="auto"/>
        <w:rPr>
          <w:rFonts w:ascii="Arial" w:hAnsi="Arial" w:cs="Arial"/>
          <w:b/>
          <w:bCs/>
        </w:rPr>
      </w:pPr>
      <w:r>
        <w:rPr>
          <w:rFonts w:ascii="Arial" w:hAnsi="Arial" w:cs="Arial"/>
          <w:b/>
          <w:bCs/>
        </w:rPr>
        <w:t>8</w:t>
      </w:r>
      <w:r w:rsidR="000E1E75">
        <w:rPr>
          <w:rFonts w:ascii="Arial" w:hAnsi="Arial" w:cs="Arial"/>
          <w:b/>
          <w:bCs/>
        </w:rPr>
        <w:t xml:space="preserve">. </w:t>
      </w:r>
      <w:r w:rsidR="000E1E75" w:rsidRPr="00625DB0">
        <w:rPr>
          <w:rFonts w:ascii="Arial" w:hAnsi="Arial" w:cs="Arial"/>
          <w:b/>
          <w:bCs/>
        </w:rPr>
        <w:t>RECOMMENDATIONS</w:t>
      </w:r>
    </w:p>
    <w:p w14:paraId="6B865C9A" w14:textId="77777777" w:rsidR="000E1E75" w:rsidRPr="00625DB0" w:rsidRDefault="000E1E75" w:rsidP="000E1E75">
      <w:pPr>
        <w:jc w:val="both"/>
        <w:rPr>
          <w:rFonts w:ascii="Arial" w:hAnsi="Arial" w:cs="Arial"/>
        </w:rPr>
      </w:pPr>
      <w:r w:rsidRPr="00625DB0">
        <w:rPr>
          <w:rFonts w:ascii="Arial" w:hAnsi="Arial" w:cs="Arial"/>
        </w:rPr>
        <w:t xml:space="preserve">Educational institutions and EdTech providers must prioritize mental health by integrating counselling services, peer-support forums, and stress-relief modules into e-learning platforms. In Tamil Nadu, where students across districts such as Madurai, Tirunelveli, and Coimbatore face varied socio-economic conditions, region-specific mental health support systems should be incorporated into state-sponsored learning platforms like </w:t>
      </w:r>
      <w:r w:rsidRPr="00625DB0">
        <w:rPr>
          <w:rFonts w:ascii="Arial" w:hAnsi="Arial" w:cs="Arial"/>
          <w:i/>
          <w:iCs/>
        </w:rPr>
        <w:t xml:space="preserve">Kalvi </w:t>
      </w:r>
      <w:proofErr w:type="spellStart"/>
      <w:r w:rsidRPr="00625DB0">
        <w:rPr>
          <w:rFonts w:ascii="Arial" w:hAnsi="Arial" w:cs="Arial"/>
          <w:i/>
          <w:iCs/>
        </w:rPr>
        <w:t>Tholaikatchi</w:t>
      </w:r>
      <w:proofErr w:type="spellEnd"/>
      <w:r w:rsidRPr="00625DB0">
        <w:rPr>
          <w:rFonts w:ascii="Arial" w:hAnsi="Arial" w:cs="Arial"/>
        </w:rPr>
        <w:t xml:space="preserve"> and </w:t>
      </w:r>
      <w:r w:rsidRPr="00625DB0">
        <w:rPr>
          <w:rFonts w:ascii="Arial" w:hAnsi="Arial" w:cs="Arial"/>
          <w:i/>
          <w:iCs/>
        </w:rPr>
        <w:t>EMIS</w:t>
      </w:r>
      <w:r w:rsidRPr="00625DB0">
        <w:rPr>
          <w:rFonts w:ascii="Arial" w:hAnsi="Arial" w:cs="Arial"/>
        </w:rPr>
        <w:t xml:space="preserve">. Teachers should adopt empathetic pedagogies that recognize the emotional dimensions of online learning, offering flexibility in assessments and deadlines—particularly important for first-generation learners and those in rural areas. The development of inclusive, mental health-friendly digital material in both Tamil and English must be encouraged by Tamil Nadu government policy. Furthermore, classes on time and stress management online should be added to the current digital literacy programs offered by groups like Naan Mudhalvan. Isolation can be reduced and participation raised by promoting collaborative learning through discussion boards, online courses, and regional digital learning </w:t>
      </w:r>
      <w:proofErr w:type="spellStart"/>
      <w:r w:rsidRPr="00625DB0">
        <w:rPr>
          <w:rFonts w:ascii="Arial" w:hAnsi="Arial" w:cs="Arial"/>
        </w:rPr>
        <w:t>centres</w:t>
      </w:r>
      <w:proofErr w:type="spellEnd"/>
      <w:r w:rsidRPr="00625DB0">
        <w:rPr>
          <w:rFonts w:ascii="Arial" w:hAnsi="Arial" w:cs="Arial"/>
        </w:rPr>
        <w:t>. In the Tamil Nadu context, a multi-stakeholder approach involving educators, tech developers, mental health specialists, and community organizations is necessary to guarantee that e-learning environments are not only successful but also emotionally durable.</w:t>
      </w:r>
    </w:p>
    <w:p w14:paraId="1C9B6F5E" w14:textId="3E57FA65" w:rsidR="000E1E75" w:rsidRPr="00625DB0" w:rsidRDefault="000E4212" w:rsidP="000E1E75">
      <w:pPr>
        <w:spacing w:before="240" w:line="360" w:lineRule="auto"/>
        <w:rPr>
          <w:rFonts w:ascii="Arial" w:hAnsi="Arial" w:cs="Arial"/>
          <w:b/>
          <w:bCs/>
        </w:rPr>
      </w:pPr>
      <w:r>
        <w:rPr>
          <w:rFonts w:ascii="Arial" w:hAnsi="Arial" w:cs="Arial"/>
          <w:b/>
          <w:bCs/>
        </w:rPr>
        <w:t>9</w:t>
      </w:r>
      <w:r w:rsidR="000E1E75">
        <w:rPr>
          <w:rFonts w:ascii="Arial" w:hAnsi="Arial" w:cs="Arial"/>
          <w:b/>
          <w:bCs/>
        </w:rPr>
        <w:t xml:space="preserve">. </w:t>
      </w:r>
      <w:r w:rsidR="000E1E75" w:rsidRPr="00625DB0">
        <w:rPr>
          <w:rFonts w:ascii="Arial" w:hAnsi="Arial" w:cs="Arial"/>
          <w:b/>
          <w:bCs/>
        </w:rPr>
        <w:t>LIMITATIONS AND DIRECTIONS FOR FUTURE STUDIES</w:t>
      </w:r>
    </w:p>
    <w:p w14:paraId="120C2086" w14:textId="77777777" w:rsidR="000E1E75" w:rsidRPr="00625DB0" w:rsidRDefault="000E1E75" w:rsidP="000E1E75">
      <w:pPr>
        <w:spacing w:after="240"/>
        <w:jc w:val="both"/>
        <w:rPr>
          <w:rFonts w:ascii="Arial" w:hAnsi="Arial" w:cs="Arial"/>
        </w:rPr>
      </w:pPr>
      <w:r w:rsidRPr="00625DB0">
        <w:rPr>
          <w:rFonts w:ascii="Arial" w:hAnsi="Arial" w:cs="Arial"/>
        </w:rPr>
        <w:t>This study, which focuses mostly on Tamil Nadu students, is constrained by its sample size and regional scope. This approach might not adequately represent the variety of experiences found in other Indian states, even while it offers insightful information on a linguistically and culturally unique educational environment. Observing long-term psychological impacts is limited by the cross-sectional design, and the use of self-reported data may create response bias. A bigger and more varied sample from Tamil Nadu's several regions—rural, urban, and tribal—should be included in future studies to account for intra-state differences. Comparative studies between Tamil Nadu and other southern states like Kerala or Karnataka could offer a broader South Indian perspective. Longitudinal designs will be crucial to track mental health and academic trajectories over time. Additionally, interdisciplinary approaches involving neuropsychology, digital sociology, and AI ethics can enrich the understanding of how digital infrastructures, particularly those used by Tamil Nadu’s competitive exam aspirants, shape learner identities and well-being in the evolving digital education ecosystem.</w:t>
      </w:r>
    </w:p>
    <w:p w14:paraId="12B835D8" w14:textId="0D669B3B" w:rsidR="009C47DE" w:rsidRPr="00E75D46" w:rsidRDefault="000E1E75" w:rsidP="009C47DE">
      <w:pPr>
        <w:spacing w:after="240"/>
        <w:jc w:val="both"/>
        <w:rPr>
          <w:rFonts w:ascii="Arial" w:hAnsi="Arial" w:cs="Arial"/>
          <w:sz w:val="22"/>
          <w:szCs w:val="22"/>
        </w:rPr>
      </w:pPr>
      <w:r w:rsidRPr="00E75D46">
        <w:rPr>
          <w:rFonts w:ascii="Arial" w:hAnsi="Arial" w:cs="Arial"/>
          <w:b/>
          <w:bCs/>
          <w:sz w:val="22"/>
          <w:szCs w:val="22"/>
        </w:rPr>
        <w:t>Conflict of Interest</w:t>
      </w:r>
    </w:p>
    <w:p w14:paraId="0271E89A" w14:textId="0280653B" w:rsidR="000E1E75" w:rsidRDefault="000E1E75" w:rsidP="009C47DE">
      <w:pPr>
        <w:spacing w:after="240"/>
        <w:jc w:val="both"/>
        <w:rPr>
          <w:rFonts w:ascii="Arial" w:hAnsi="Arial" w:cs="Arial"/>
        </w:rPr>
      </w:pPr>
      <w:r w:rsidRPr="00625DB0">
        <w:rPr>
          <w:rFonts w:ascii="Arial" w:hAnsi="Arial" w:cs="Arial"/>
        </w:rPr>
        <w:t xml:space="preserve">The author declared no conflicts of interest concerning this article’s research, authorship, and publication. </w:t>
      </w:r>
    </w:p>
    <w:p w14:paraId="58795587" w14:textId="77777777" w:rsidR="007D24A5" w:rsidRPr="007D24A5" w:rsidRDefault="007D24A5" w:rsidP="007D24A5">
      <w:pPr>
        <w:spacing w:after="240"/>
        <w:jc w:val="both"/>
        <w:rPr>
          <w:rFonts w:ascii="Arial" w:hAnsi="Arial" w:cs="Arial"/>
        </w:rPr>
      </w:pPr>
      <w:r w:rsidRPr="007D24A5">
        <w:rPr>
          <w:rFonts w:ascii="Arial" w:hAnsi="Arial" w:cs="Arial"/>
        </w:rPr>
        <w:t>COMPETING INTERESTS DISCLAIMER:</w:t>
      </w:r>
    </w:p>
    <w:p w14:paraId="4207A863" w14:textId="6D439D60" w:rsidR="007D24A5" w:rsidRDefault="007D24A5" w:rsidP="007D24A5">
      <w:pPr>
        <w:spacing w:after="240"/>
        <w:jc w:val="both"/>
        <w:rPr>
          <w:rFonts w:ascii="Arial" w:hAnsi="Arial" w:cs="Arial"/>
        </w:rPr>
      </w:pPr>
      <w:r w:rsidRPr="007D24A5">
        <w:rPr>
          <w:rFonts w:ascii="Arial" w:hAnsi="Arial" w:cs="Arial"/>
        </w:rPr>
        <w:t>Authors have declared that they have no known competing financial interests OR non-financial interests OR personal relationships that could have appeared to influence the work reported in this paper.</w:t>
      </w:r>
    </w:p>
    <w:p w14:paraId="69719C87" w14:textId="77777777" w:rsidR="00DA2D99" w:rsidRPr="00B00AF6" w:rsidRDefault="00DA2D99" w:rsidP="00DA2D99">
      <w:pPr>
        <w:spacing w:after="240"/>
        <w:jc w:val="both"/>
        <w:rPr>
          <w:rFonts w:ascii="Arial" w:hAnsi="Arial" w:cs="Arial"/>
        </w:rPr>
      </w:pPr>
      <w:r w:rsidRPr="00B00AF6">
        <w:rPr>
          <w:rFonts w:ascii="Arial" w:hAnsi="Arial" w:cs="Arial"/>
        </w:rPr>
        <w:t>Disclaimer (Artificial intelligence)</w:t>
      </w:r>
    </w:p>
    <w:p w14:paraId="597A6E40" w14:textId="72AEF48A" w:rsidR="00DA2D99" w:rsidRPr="00625DB0" w:rsidRDefault="00DA2D99" w:rsidP="00DA2D99">
      <w:pPr>
        <w:spacing w:after="240"/>
        <w:jc w:val="both"/>
        <w:rPr>
          <w:rFonts w:ascii="Arial" w:hAnsi="Arial" w:cs="Arial"/>
        </w:rPr>
      </w:pPr>
      <w:r w:rsidRPr="00B00AF6">
        <w:rPr>
          <w:rFonts w:ascii="Arial" w:hAnsi="Arial" w:cs="Arial"/>
        </w:rPr>
        <w:t xml:space="preserve">Author(s) hereby </w:t>
      </w:r>
      <w:proofErr w:type="gramStart"/>
      <w:r w:rsidRPr="00B00AF6">
        <w:rPr>
          <w:rFonts w:ascii="Arial" w:hAnsi="Arial" w:cs="Arial"/>
        </w:rPr>
        <w:t>declare</w:t>
      </w:r>
      <w:proofErr w:type="gramEnd"/>
      <w:r w:rsidRPr="00B00AF6">
        <w:rPr>
          <w:rFonts w:ascii="Arial" w:hAnsi="Arial" w:cs="Arial"/>
        </w:rPr>
        <w:t xml:space="preserve"> that NO generative AI technologies such as Large Language Models (ChatGPT, COPILOT, etc.) and text-to-image generators have been used during the writing or editing of this manuscript.</w:t>
      </w:r>
    </w:p>
    <w:p w14:paraId="440BF49E" w14:textId="77777777" w:rsidR="00864FBE" w:rsidRPr="00864FBE" w:rsidRDefault="00864FBE" w:rsidP="00864FBE">
      <w:pPr>
        <w:spacing w:before="240" w:after="240"/>
        <w:rPr>
          <w:rFonts w:ascii="Arial" w:hAnsi="Arial" w:cs="Arial"/>
          <w:color w:val="EE0000"/>
          <w:lang w:val="en-IN"/>
        </w:rPr>
      </w:pPr>
      <w:r w:rsidRPr="00864FBE">
        <w:rPr>
          <w:rFonts w:ascii="Arial" w:hAnsi="Arial" w:cs="Arial"/>
          <w:color w:val="EE0000"/>
          <w:lang w:val="en-IN"/>
        </w:rPr>
        <w:lastRenderedPageBreak/>
        <w:t>Ethical Considerations</w:t>
      </w:r>
    </w:p>
    <w:p w14:paraId="7E2C2630" w14:textId="68B82A6B" w:rsidR="00864FBE" w:rsidRPr="00B00AF6" w:rsidRDefault="00B00AF6" w:rsidP="00B00AF6">
      <w:pPr>
        <w:spacing w:before="240" w:after="240"/>
        <w:jc w:val="both"/>
        <w:rPr>
          <w:rFonts w:ascii="Arial" w:hAnsi="Arial" w:cs="Arial"/>
          <w:color w:val="EE0000"/>
          <w:sz w:val="22"/>
          <w:szCs w:val="22"/>
        </w:rPr>
      </w:pPr>
      <w:r w:rsidRPr="00B00AF6">
        <w:rPr>
          <w:rFonts w:ascii="Arial" w:hAnsi="Arial" w:cs="Arial"/>
          <w:color w:val="EE0000"/>
          <w:lang w:val="en-IN"/>
        </w:rPr>
        <w:t>The Institutional Ethics Committee gave ethical clearance to conduct the study before collecting the data. The survey was voluntary, and the participants gave their consent electronically. The study did not involve any personal identifiable information. The responses were anonymous and in aggregate form, and the study was for academic research only.</w:t>
      </w:r>
      <w:r w:rsidRPr="00B00AF6">
        <w:rPr>
          <w:rFonts w:ascii="Arial" w:hAnsi="Arial" w:cs="Arial"/>
          <w:color w:val="EE0000"/>
          <w:lang w:val="en-IN"/>
        </w:rPr>
        <w:t xml:space="preserve"> </w:t>
      </w:r>
    </w:p>
    <w:p w14:paraId="0C3ACE34" w14:textId="04E91DE2" w:rsidR="00E75D46" w:rsidRPr="00706D35" w:rsidRDefault="00E75D46" w:rsidP="00706D35">
      <w:pPr>
        <w:spacing w:before="240" w:after="240"/>
        <w:rPr>
          <w:rFonts w:ascii="Arial" w:hAnsi="Arial" w:cs="Arial"/>
          <w:b/>
          <w:bCs/>
          <w:sz w:val="22"/>
          <w:szCs w:val="22"/>
        </w:rPr>
      </w:pPr>
      <w:r w:rsidRPr="00706D35">
        <w:rPr>
          <w:rFonts w:ascii="Arial" w:hAnsi="Arial" w:cs="Arial"/>
          <w:b/>
          <w:bCs/>
          <w:sz w:val="22"/>
          <w:szCs w:val="22"/>
        </w:rPr>
        <w:t>References</w:t>
      </w:r>
    </w:p>
    <w:p w14:paraId="47054947" w14:textId="77777777" w:rsidR="00E75D46" w:rsidRPr="00706D35" w:rsidRDefault="00E75D46" w:rsidP="00E75D46">
      <w:pPr>
        <w:ind w:left="284" w:hanging="284"/>
        <w:rPr>
          <w:rFonts w:ascii="Arial" w:hAnsi="Arial" w:cs="Arial"/>
        </w:rPr>
      </w:pPr>
      <w:r w:rsidRPr="00706D35">
        <w:rPr>
          <w:rFonts w:ascii="Arial" w:hAnsi="Arial" w:cs="Arial"/>
        </w:rPr>
        <w:t xml:space="preserve">Abdullah, M. S., &amp; </w:t>
      </w:r>
      <w:proofErr w:type="spellStart"/>
      <w:r w:rsidRPr="00706D35">
        <w:rPr>
          <w:rFonts w:ascii="Arial" w:hAnsi="Arial" w:cs="Arial"/>
        </w:rPr>
        <w:t>Toycan</w:t>
      </w:r>
      <w:proofErr w:type="spellEnd"/>
      <w:r w:rsidRPr="00706D35">
        <w:rPr>
          <w:rFonts w:ascii="Arial" w:hAnsi="Arial" w:cs="Arial"/>
        </w:rPr>
        <w:t>, M. (2018). Analysis of the factors for the successful e-learning services adoption from education providers’ and students’ perspectives: A case study of private universities in northern Iraq. EURASIA Journal of Mathematics, Science and Technology Education, 14(3), 1097-1109.</w:t>
      </w:r>
    </w:p>
    <w:p w14:paraId="0325F7DF" w14:textId="644972A8" w:rsidR="00C31ACC" w:rsidRPr="00205830" w:rsidRDefault="00C31ACC" w:rsidP="00E75D46">
      <w:pPr>
        <w:ind w:left="284" w:hanging="284"/>
        <w:rPr>
          <w:rFonts w:ascii="Arial" w:hAnsi="Arial" w:cs="Arial"/>
          <w:color w:val="EE0000"/>
        </w:rPr>
      </w:pPr>
      <w:r w:rsidRPr="00205830">
        <w:rPr>
          <w:rFonts w:ascii="Arial" w:hAnsi="Arial" w:cs="Arial"/>
          <w:color w:val="EE0000"/>
        </w:rPr>
        <w:t>Adeyeye, G</w:t>
      </w:r>
      <w:r w:rsidR="00243960" w:rsidRPr="00205830">
        <w:rPr>
          <w:rFonts w:ascii="Arial" w:hAnsi="Arial" w:cs="Arial"/>
          <w:color w:val="EE0000"/>
        </w:rPr>
        <w:t>.</w:t>
      </w:r>
      <w:r w:rsidRPr="00205830">
        <w:rPr>
          <w:rFonts w:ascii="Arial" w:hAnsi="Arial" w:cs="Arial"/>
          <w:color w:val="EE0000"/>
        </w:rPr>
        <w:t xml:space="preserve"> M. </w:t>
      </w:r>
      <w:r w:rsidR="00243960" w:rsidRPr="00205830">
        <w:rPr>
          <w:rFonts w:ascii="Arial" w:hAnsi="Arial" w:cs="Arial"/>
          <w:color w:val="EE0000"/>
        </w:rPr>
        <w:t xml:space="preserve">(2024). </w:t>
      </w:r>
      <w:r w:rsidRPr="00205830">
        <w:rPr>
          <w:rFonts w:ascii="Arial" w:hAnsi="Arial" w:cs="Arial"/>
          <w:color w:val="EE0000"/>
        </w:rPr>
        <w:t>A Critical Analysis of Mitchel Foucault’s Perspective on Governmentality and Higher Education</w:t>
      </w:r>
      <w:r w:rsidR="00243960" w:rsidRPr="00205830">
        <w:rPr>
          <w:rFonts w:ascii="Arial" w:hAnsi="Arial" w:cs="Arial"/>
          <w:color w:val="EE0000"/>
        </w:rPr>
        <w:t>.</w:t>
      </w:r>
      <w:r w:rsidRPr="00205830">
        <w:rPr>
          <w:rFonts w:ascii="Arial" w:hAnsi="Arial" w:cs="Arial"/>
          <w:color w:val="EE0000"/>
        </w:rPr>
        <w:t> </w:t>
      </w:r>
      <w:r w:rsidRPr="00205830">
        <w:rPr>
          <w:rFonts w:ascii="Arial" w:hAnsi="Arial" w:cs="Arial"/>
          <w:i/>
          <w:iCs/>
          <w:color w:val="EE0000"/>
        </w:rPr>
        <w:t>E-Journal of Humanities, Arts and Social Sciences</w:t>
      </w:r>
      <w:r w:rsidR="00243960" w:rsidRPr="00205830">
        <w:rPr>
          <w:rFonts w:ascii="Arial" w:hAnsi="Arial" w:cs="Arial"/>
          <w:i/>
          <w:iCs/>
          <w:color w:val="EE0000"/>
        </w:rPr>
        <w:t>,</w:t>
      </w:r>
      <w:r w:rsidRPr="00205830">
        <w:rPr>
          <w:rFonts w:ascii="Arial" w:hAnsi="Arial" w:cs="Arial"/>
          <w:color w:val="EE0000"/>
        </w:rPr>
        <w:t> 5</w:t>
      </w:r>
      <w:r w:rsidR="00243960" w:rsidRPr="00205830">
        <w:rPr>
          <w:rFonts w:ascii="Arial" w:hAnsi="Arial" w:cs="Arial"/>
          <w:color w:val="EE0000"/>
        </w:rPr>
        <w:t>(</w:t>
      </w:r>
      <w:r w:rsidRPr="00205830">
        <w:rPr>
          <w:rFonts w:ascii="Arial" w:hAnsi="Arial" w:cs="Arial"/>
          <w:color w:val="EE0000"/>
        </w:rPr>
        <w:t>11</w:t>
      </w:r>
      <w:r w:rsidR="00243960" w:rsidRPr="00205830">
        <w:rPr>
          <w:rFonts w:ascii="Arial" w:hAnsi="Arial" w:cs="Arial"/>
          <w:color w:val="EE0000"/>
        </w:rPr>
        <w:t>),</w:t>
      </w:r>
      <w:r w:rsidRPr="00205830">
        <w:rPr>
          <w:rFonts w:ascii="Arial" w:hAnsi="Arial" w:cs="Arial"/>
          <w:color w:val="EE0000"/>
        </w:rPr>
        <w:t xml:space="preserve"> 1945 – 1954. </w:t>
      </w:r>
      <w:hyperlink r:id="rId14" w:history="1">
        <w:r w:rsidRPr="00205830">
          <w:rPr>
            <w:rStyle w:val="Hyperlink"/>
            <w:rFonts w:ascii="Arial" w:hAnsi="Arial" w:cs="Arial"/>
            <w:color w:val="EE0000"/>
            <w:u w:val="none"/>
          </w:rPr>
          <w:t>https://doi.org/10.38159/ehass.202451125</w:t>
        </w:r>
      </w:hyperlink>
    </w:p>
    <w:p w14:paraId="30D8FEF6" w14:textId="38A73EEE" w:rsidR="00E75D46" w:rsidRPr="00706D35" w:rsidRDefault="00E75D46" w:rsidP="00E75D46">
      <w:pPr>
        <w:ind w:left="284" w:hanging="284"/>
        <w:rPr>
          <w:rFonts w:ascii="Arial" w:hAnsi="Arial" w:cs="Arial"/>
        </w:rPr>
      </w:pPr>
      <w:proofErr w:type="spellStart"/>
      <w:r w:rsidRPr="00706D35">
        <w:rPr>
          <w:rFonts w:ascii="Arial" w:hAnsi="Arial" w:cs="Arial"/>
        </w:rPr>
        <w:t>Alenezi</w:t>
      </w:r>
      <w:proofErr w:type="spellEnd"/>
      <w:r w:rsidRPr="00706D35">
        <w:rPr>
          <w:rFonts w:ascii="Arial" w:hAnsi="Arial" w:cs="Arial"/>
        </w:rPr>
        <w:t xml:space="preserve">, A. (2022). Modeling the Social Factors Affecting Students’ Satisfaction with Online Learning: A Structural Equation Modeling Approach. Education Research International, 2594221, 1-13. </w:t>
      </w:r>
      <w:hyperlink r:id="rId15" w:history="1">
        <w:r w:rsidRPr="00706D35">
          <w:rPr>
            <w:rStyle w:val="Hyperlink"/>
            <w:rFonts w:ascii="Arial" w:hAnsi="Arial" w:cs="Arial"/>
            <w:color w:val="auto"/>
            <w:u w:val="none"/>
          </w:rPr>
          <w:t>https://doi.org/10.1155/2022/2594221</w:t>
        </w:r>
      </w:hyperlink>
      <w:r w:rsidRPr="00706D35">
        <w:rPr>
          <w:rFonts w:ascii="Arial" w:hAnsi="Arial" w:cs="Arial"/>
        </w:rPr>
        <w:t>.</w:t>
      </w:r>
    </w:p>
    <w:p w14:paraId="0FB9F8DD" w14:textId="77777777" w:rsidR="00E75D46" w:rsidRPr="00706D35" w:rsidRDefault="00E75D46" w:rsidP="00E75D46">
      <w:pPr>
        <w:ind w:left="284" w:hanging="284"/>
        <w:rPr>
          <w:rFonts w:ascii="Arial" w:hAnsi="Arial" w:cs="Arial"/>
        </w:rPr>
      </w:pPr>
      <w:r w:rsidRPr="00706D35">
        <w:rPr>
          <w:rFonts w:ascii="Arial" w:hAnsi="Arial" w:cs="Arial"/>
        </w:rPr>
        <w:t xml:space="preserve">Amir, L. R., Tanti, I., Maharani, D. A., </w:t>
      </w:r>
      <w:proofErr w:type="spellStart"/>
      <w:r w:rsidRPr="00706D35">
        <w:rPr>
          <w:rFonts w:ascii="Arial" w:hAnsi="Arial" w:cs="Arial"/>
        </w:rPr>
        <w:t>Wimardhani</w:t>
      </w:r>
      <w:proofErr w:type="spellEnd"/>
      <w:r w:rsidRPr="00706D35">
        <w:rPr>
          <w:rFonts w:ascii="Arial" w:hAnsi="Arial" w:cs="Arial"/>
        </w:rPr>
        <w:t xml:space="preserve">, Y. S., Julia, V., Sulijaya, B., &amp; </w:t>
      </w:r>
      <w:proofErr w:type="spellStart"/>
      <w:r w:rsidRPr="00706D35">
        <w:rPr>
          <w:rFonts w:ascii="Arial" w:hAnsi="Arial" w:cs="Arial"/>
        </w:rPr>
        <w:t>Puspitawati</w:t>
      </w:r>
      <w:proofErr w:type="spellEnd"/>
      <w:r w:rsidRPr="00706D35">
        <w:rPr>
          <w:rFonts w:ascii="Arial" w:hAnsi="Arial" w:cs="Arial"/>
        </w:rPr>
        <w:t>, R. (2020). Student perspective of classroom and distance learning during COVID-19 pandemic in the undergraduate dental study program Universitas Indonesia. BMC Med Educ 20, 392. https://doi.org/10.1186/s12909-020-02312-0</w:t>
      </w:r>
    </w:p>
    <w:p w14:paraId="6C8CF36D" w14:textId="77777777" w:rsidR="00E75D46" w:rsidRPr="00706D35" w:rsidRDefault="00E75D46" w:rsidP="00E75D46">
      <w:pPr>
        <w:ind w:left="284" w:hanging="284"/>
        <w:rPr>
          <w:rFonts w:ascii="Arial" w:hAnsi="Arial" w:cs="Arial"/>
        </w:rPr>
      </w:pPr>
      <w:r w:rsidRPr="00706D35">
        <w:rPr>
          <w:rFonts w:ascii="Arial" w:hAnsi="Arial" w:cs="Arial"/>
        </w:rPr>
        <w:t>Behera, K. (2013). E-and M-learning: a comparative study. International Journal on New Trends in Education and Their Implications, 4(2), 65-78.</w:t>
      </w:r>
    </w:p>
    <w:p w14:paraId="76637ED3" w14:textId="77777777" w:rsidR="00E75D46" w:rsidRPr="00706D35" w:rsidRDefault="00E75D46" w:rsidP="00E75D46">
      <w:pPr>
        <w:ind w:left="284" w:hanging="284"/>
        <w:rPr>
          <w:rFonts w:ascii="Arial" w:hAnsi="Arial" w:cs="Arial"/>
          <w:b/>
          <w:bCs/>
        </w:rPr>
      </w:pPr>
      <w:bookmarkStart w:id="0" w:name="_Hlk200636716"/>
      <w:r w:rsidRPr="00706D35">
        <w:rPr>
          <w:rFonts w:ascii="Arial" w:hAnsi="Arial" w:cs="Arial"/>
        </w:rPr>
        <w:t>Binkley</w:t>
      </w:r>
      <w:bookmarkEnd w:id="0"/>
      <w:r w:rsidRPr="00706D35">
        <w:rPr>
          <w:rFonts w:ascii="Arial" w:hAnsi="Arial" w:cs="Arial"/>
        </w:rPr>
        <w:t>, S., &amp; Capetillo, J. (Eds.). (2009). A Foucault for the 21st century: Governmentality, biopolitics and discipline in the new millennium. UK: Cambridge Scholars Publishing.</w:t>
      </w:r>
    </w:p>
    <w:p w14:paraId="620569F3" w14:textId="77777777" w:rsidR="00E75D46" w:rsidRPr="00706D35" w:rsidRDefault="00E75D46" w:rsidP="00E75D46">
      <w:pPr>
        <w:ind w:left="284" w:hanging="284"/>
        <w:rPr>
          <w:rFonts w:ascii="Arial" w:hAnsi="Arial" w:cs="Arial"/>
        </w:rPr>
      </w:pPr>
      <w:proofErr w:type="spellStart"/>
      <w:r w:rsidRPr="00706D35">
        <w:rPr>
          <w:rFonts w:ascii="Arial" w:hAnsi="Arial" w:cs="Arial"/>
        </w:rPr>
        <w:t>Butola</w:t>
      </w:r>
      <w:proofErr w:type="spellEnd"/>
      <w:r w:rsidRPr="00706D35">
        <w:rPr>
          <w:rFonts w:ascii="Arial" w:hAnsi="Arial" w:cs="Arial"/>
        </w:rPr>
        <w:t>, L. (2021). E-learning- A New Trend of Learning in 21st Century During Covid-19 Pandemic. Indian Journal of Forensic Medicine &amp; Toxicology, 15(1), 422-426.</w:t>
      </w:r>
    </w:p>
    <w:p w14:paraId="04BE6E84" w14:textId="77777777" w:rsidR="00E75D46" w:rsidRPr="00706D35" w:rsidRDefault="00E75D46" w:rsidP="00E75D46">
      <w:pPr>
        <w:ind w:left="284" w:hanging="284"/>
        <w:rPr>
          <w:rFonts w:ascii="Arial" w:hAnsi="Arial" w:cs="Arial"/>
        </w:rPr>
      </w:pPr>
      <w:bookmarkStart w:id="1" w:name="_Hlk200639771"/>
      <w:r w:rsidRPr="00706D35">
        <w:rPr>
          <w:rFonts w:ascii="Arial" w:hAnsi="Arial" w:cs="Arial"/>
        </w:rPr>
        <w:t>Chahal, J., Rani</w:t>
      </w:r>
      <w:bookmarkEnd w:id="1"/>
      <w:r w:rsidRPr="00706D35">
        <w:rPr>
          <w:rFonts w:ascii="Arial" w:hAnsi="Arial" w:cs="Arial"/>
        </w:rPr>
        <w:t xml:space="preserve">, N. (2022). Exploring the acceptance for e-learning among higher education students in India: combining technology acceptance model with external variables. J </w:t>
      </w:r>
      <w:proofErr w:type="spellStart"/>
      <w:r w:rsidRPr="00706D35">
        <w:rPr>
          <w:rFonts w:ascii="Arial" w:hAnsi="Arial" w:cs="Arial"/>
        </w:rPr>
        <w:t>Comput</w:t>
      </w:r>
      <w:proofErr w:type="spellEnd"/>
      <w:r w:rsidRPr="00706D35">
        <w:rPr>
          <w:rFonts w:ascii="Arial" w:hAnsi="Arial" w:cs="Arial"/>
        </w:rPr>
        <w:t xml:space="preserve"> High Education, 34, 844-867.</w:t>
      </w:r>
    </w:p>
    <w:p w14:paraId="3869D429" w14:textId="39DF6176" w:rsidR="004A7CDA" w:rsidRPr="00205830" w:rsidRDefault="004A7CDA" w:rsidP="004A7CDA">
      <w:pPr>
        <w:ind w:left="284" w:hanging="284"/>
        <w:rPr>
          <w:rFonts w:ascii="Arial" w:hAnsi="Arial" w:cs="Arial"/>
          <w:color w:val="EE0000"/>
        </w:rPr>
      </w:pPr>
      <w:bookmarkStart w:id="2" w:name="_Hlk200636736"/>
      <w:r w:rsidRPr="00205830">
        <w:rPr>
          <w:rFonts w:ascii="Arial" w:hAnsi="Arial" w:cs="Arial"/>
          <w:color w:val="EE0000"/>
        </w:rPr>
        <w:t xml:space="preserve">Dai, R., Thomas, M. K. E., &amp; </w:t>
      </w:r>
      <w:proofErr w:type="spellStart"/>
      <w:r w:rsidRPr="00205830">
        <w:rPr>
          <w:rFonts w:ascii="Arial" w:hAnsi="Arial" w:cs="Arial"/>
          <w:color w:val="EE0000"/>
        </w:rPr>
        <w:t>Rawolle</w:t>
      </w:r>
      <w:proofErr w:type="spellEnd"/>
      <w:r w:rsidRPr="00205830">
        <w:rPr>
          <w:rFonts w:ascii="Arial" w:hAnsi="Arial" w:cs="Arial"/>
          <w:color w:val="EE0000"/>
        </w:rPr>
        <w:t>, S. (2025). Revisiting Foucault’s panopticon: how does AI surveillance transform educational norms? British Journal of Sociology of Education, 46(5), 650–668. https://doi.org/10.1080/01425692.2025.2501118</w:t>
      </w:r>
    </w:p>
    <w:p w14:paraId="18A26C43" w14:textId="0CBFE2BB" w:rsidR="00E75D46" w:rsidRPr="00706D35" w:rsidRDefault="00E75D46" w:rsidP="00E75D46">
      <w:pPr>
        <w:ind w:left="284" w:hanging="284"/>
        <w:rPr>
          <w:rFonts w:ascii="Arial" w:hAnsi="Arial" w:cs="Arial"/>
        </w:rPr>
      </w:pPr>
      <w:r w:rsidRPr="00706D35">
        <w:rPr>
          <w:rFonts w:ascii="Arial" w:hAnsi="Arial" w:cs="Arial"/>
        </w:rPr>
        <w:t>Duggal, I. (2024). Impact of Online Learning in India: Exploring Students’ Experiences and Challenges, International Journal of Research and Analytical Reviews, 11(2), 720-729.</w:t>
      </w:r>
    </w:p>
    <w:p w14:paraId="2A20038F" w14:textId="77777777" w:rsidR="00E75D46" w:rsidRPr="00706D35" w:rsidRDefault="00E75D46" w:rsidP="00E75D46">
      <w:pPr>
        <w:ind w:left="284" w:hanging="284"/>
        <w:rPr>
          <w:rFonts w:ascii="Arial" w:hAnsi="Arial" w:cs="Arial"/>
        </w:rPr>
      </w:pPr>
      <w:r w:rsidRPr="00706D35">
        <w:rPr>
          <w:rFonts w:ascii="Arial" w:hAnsi="Arial" w:cs="Arial"/>
        </w:rPr>
        <w:t>Eisenhard</w:t>
      </w:r>
      <w:bookmarkEnd w:id="2"/>
      <w:r w:rsidRPr="00706D35">
        <w:rPr>
          <w:rFonts w:ascii="Arial" w:hAnsi="Arial" w:cs="Arial"/>
        </w:rPr>
        <w:t>t, KM. (1989). Building theories from case study research. Academy of Management Review, 14(4), 532-550. doi:10.2307/258557. </w:t>
      </w:r>
    </w:p>
    <w:p w14:paraId="293547C9" w14:textId="77777777" w:rsidR="00E75D46" w:rsidRPr="00706D35" w:rsidRDefault="00E75D46" w:rsidP="00E75D46">
      <w:pPr>
        <w:ind w:left="284" w:hanging="284"/>
        <w:rPr>
          <w:rFonts w:ascii="Arial" w:hAnsi="Arial" w:cs="Arial"/>
        </w:rPr>
      </w:pPr>
      <w:r w:rsidRPr="00706D35">
        <w:rPr>
          <w:rFonts w:ascii="Arial" w:hAnsi="Arial" w:cs="Arial"/>
        </w:rPr>
        <w:t xml:space="preserve">Government of Tamil Nadu. (2021). Annual report of the Education Department 2020–2021. School Education Department, Government of Tamil Nadu. </w:t>
      </w:r>
      <w:hyperlink r:id="rId16" w:tgtFrame="_new" w:history="1">
        <w:r w:rsidRPr="00706D35">
          <w:rPr>
            <w:rStyle w:val="Hyperlink"/>
            <w:rFonts w:ascii="Arial" w:hAnsi="Arial" w:cs="Arial"/>
            <w:color w:val="auto"/>
            <w:u w:val="none"/>
          </w:rPr>
          <w:t>https://tnschools.gov.in</w:t>
        </w:r>
      </w:hyperlink>
    </w:p>
    <w:p w14:paraId="7C0FC4C1" w14:textId="77777777" w:rsidR="00E75D46" w:rsidRPr="00706D35" w:rsidRDefault="00E75D46" w:rsidP="00E75D46">
      <w:pPr>
        <w:ind w:left="284" w:hanging="284"/>
        <w:rPr>
          <w:rFonts w:ascii="Arial" w:hAnsi="Arial" w:cs="Arial"/>
        </w:rPr>
      </w:pPr>
      <w:r w:rsidRPr="00706D35">
        <w:rPr>
          <w:rFonts w:ascii="Arial" w:hAnsi="Arial" w:cs="Arial"/>
        </w:rPr>
        <w:t xml:space="preserve">Institute for Financial Management and Research (2022). Impact of online learning on college students in Tamil Nadu. LEAD at Krea University. </w:t>
      </w:r>
      <w:hyperlink r:id="rId17" w:tgtFrame="_new" w:history="1">
        <w:r w:rsidRPr="00706D35">
          <w:rPr>
            <w:rStyle w:val="Hyperlink"/>
            <w:rFonts w:ascii="Arial" w:hAnsi="Arial" w:cs="Arial"/>
            <w:color w:val="auto"/>
            <w:u w:val="none"/>
          </w:rPr>
          <w:t>https://www.ifmrlead.org</w:t>
        </w:r>
      </w:hyperlink>
    </w:p>
    <w:p w14:paraId="03FC1F0C" w14:textId="77777777" w:rsidR="00E75D46" w:rsidRPr="00706D35" w:rsidRDefault="00E75D46" w:rsidP="00E75D46">
      <w:pPr>
        <w:ind w:left="284" w:hanging="284"/>
        <w:rPr>
          <w:rFonts w:ascii="Arial" w:hAnsi="Arial" w:cs="Arial"/>
        </w:rPr>
      </w:pPr>
      <w:proofErr w:type="spellStart"/>
      <w:r w:rsidRPr="00706D35">
        <w:rPr>
          <w:rFonts w:ascii="Arial" w:hAnsi="Arial" w:cs="Arial"/>
        </w:rPr>
        <w:t>Kiboss</w:t>
      </w:r>
      <w:proofErr w:type="spellEnd"/>
      <w:r w:rsidRPr="00706D35">
        <w:rPr>
          <w:rFonts w:ascii="Arial" w:hAnsi="Arial" w:cs="Arial"/>
        </w:rPr>
        <w:t xml:space="preserve">, J. K. (2000). Teacher/pupil perspectives on computer-augmented physics lessons on measurement in </w:t>
      </w:r>
      <w:proofErr w:type="spellStart"/>
      <w:r w:rsidRPr="00706D35">
        <w:rPr>
          <w:rFonts w:ascii="Arial" w:hAnsi="Arial" w:cs="Arial"/>
        </w:rPr>
        <w:t>kenyan</w:t>
      </w:r>
      <w:proofErr w:type="spellEnd"/>
      <w:r w:rsidRPr="00706D35">
        <w:rPr>
          <w:rFonts w:ascii="Arial" w:hAnsi="Arial" w:cs="Arial"/>
        </w:rPr>
        <w:t xml:space="preserve"> secondary schools. Technology Pedagogy and Education, 9(2), 199-218.</w:t>
      </w:r>
    </w:p>
    <w:p w14:paraId="7A3FB771" w14:textId="77777777" w:rsidR="00E75D46" w:rsidRPr="00706D35" w:rsidRDefault="00E75D46" w:rsidP="00E75D46">
      <w:pPr>
        <w:ind w:left="284" w:hanging="284"/>
        <w:rPr>
          <w:rFonts w:ascii="Arial" w:hAnsi="Arial" w:cs="Arial"/>
        </w:rPr>
      </w:pPr>
      <w:bookmarkStart w:id="3" w:name="_Hlk200640175"/>
      <w:r w:rsidRPr="00706D35">
        <w:rPr>
          <w:rFonts w:ascii="Arial" w:hAnsi="Arial" w:cs="Arial"/>
        </w:rPr>
        <w:t xml:space="preserve">Kumar, S., &amp; </w:t>
      </w:r>
      <w:proofErr w:type="spellStart"/>
      <w:r w:rsidRPr="00706D35">
        <w:rPr>
          <w:rFonts w:ascii="Arial" w:hAnsi="Arial" w:cs="Arial"/>
        </w:rPr>
        <w:t>Toteja</w:t>
      </w:r>
      <w:proofErr w:type="spellEnd"/>
      <w:r w:rsidRPr="00706D35">
        <w:rPr>
          <w:rFonts w:ascii="Arial" w:hAnsi="Arial" w:cs="Arial"/>
        </w:rPr>
        <w:t>, R. (2012</w:t>
      </w:r>
      <w:bookmarkEnd w:id="3"/>
      <w:r w:rsidRPr="00706D35">
        <w:rPr>
          <w:rFonts w:ascii="Arial" w:hAnsi="Arial" w:cs="Arial"/>
        </w:rPr>
        <w:t>). Print to Digital: A study of Students Psychosomatic. Procedia - Social and Behavioral Sciences, 67(10), 553-560.</w:t>
      </w:r>
    </w:p>
    <w:p w14:paraId="796D7112" w14:textId="77777777" w:rsidR="00E75D46" w:rsidRPr="00706D35" w:rsidRDefault="00E75D46" w:rsidP="00E75D46">
      <w:pPr>
        <w:ind w:left="284" w:hanging="284"/>
        <w:rPr>
          <w:rFonts w:ascii="Arial" w:hAnsi="Arial" w:cs="Arial"/>
        </w:rPr>
      </w:pPr>
      <w:r w:rsidRPr="00706D35">
        <w:rPr>
          <w:rFonts w:ascii="Arial" w:hAnsi="Arial" w:cs="Arial"/>
        </w:rPr>
        <w:t>Lowenthal, P. R. (2009). Social presence. Encyclopedia of Distance Learning. USA: IGI Global.</w:t>
      </w:r>
    </w:p>
    <w:p w14:paraId="7697A5AA" w14:textId="77777777" w:rsidR="00E75D46" w:rsidRPr="00706D35" w:rsidRDefault="00E75D46" w:rsidP="00E75D46">
      <w:pPr>
        <w:ind w:left="284" w:hanging="284"/>
        <w:rPr>
          <w:rFonts w:ascii="Arial" w:hAnsi="Arial" w:cs="Arial"/>
        </w:rPr>
      </w:pPr>
      <w:r w:rsidRPr="00706D35">
        <w:rPr>
          <w:rFonts w:ascii="Arial" w:hAnsi="Arial" w:cs="Arial"/>
        </w:rPr>
        <w:t xml:space="preserve">Malik, M., &amp; Javed, S. (2021). Perceived stress among university students in Oman during COVID-19 induced e-learning. Middle East Current Psychiatry, 28(1), 49. </w:t>
      </w:r>
      <w:hyperlink r:id="rId18" w:history="1">
        <w:r w:rsidRPr="00706D35">
          <w:rPr>
            <w:rStyle w:val="Hyperlink"/>
            <w:rFonts w:ascii="Arial" w:hAnsi="Arial" w:cs="Arial"/>
            <w:color w:val="auto"/>
            <w:u w:val="none"/>
          </w:rPr>
          <w:t>https://doi.org/10.1186/s43045-021-00131-7</w:t>
        </w:r>
      </w:hyperlink>
    </w:p>
    <w:p w14:paraId="32BB5AC7" w14:textId="77777777" w:rsidR="00E75D46" w:rsidRPr="00706D35" w:rsidRDefault="00E75D46" w:rsidP="00E75D46">
      <w:pPr>
        <w:ind w:left="284" w:hanging="284"/>
        <w:rPr>
          <w:rFonts w:ascii="Arial" w:hAnsi="Arial" w:cs="Arial"/>
        </w:rPr>
      </w:pPr>
      <w:r w:rsidRPr="00706D35">
        <w:rPr>
          <w:rFonts w:ascii="Arial" w:hAnsi="Arial" w:cs="Arial"/>
        </w:rPr>
        <w:lastRenderedPageBreak/>
        <w:t>Miles, MB., &amp; Huberman, AM. (1994). Qualitative data analysis: An expanded sourcebook. United States of America: Sage.</w:t>
      </w:r>
    </w:p>
    <w:p w14:paraId="58964D0C" w14:textId="77777777" w:rsidR="00E75D46" w:rsidRPr="00706D35" w:rsidRDefault="00E75D46" w:rsidP="00E75D46">
      <w:pPr>
        <w:ind w:left="284" w:hanging="284"/>
        <w:rPr>
          <w:rFonts w:ascii="Arial" w:hAnsi="Arial" w:cs="Arial"/>
        </w:rPr>
      </w:pPr>
      <w:r w:rsidRPr="00706D35">
        <w:rPr>
          <w:rFonts w:ascii="Arial" w:hAnsi="Arial" w:cs="Arial"/>
        </w:rPr>
        <w:t xml:space="preserve">Navaneeth, MS., </w:t>
      </w:r>
      <w:bookmarkStart w:id="4" w:name="_Hlk200640240"/>
      <w:r w:rsidRPr="00706D35">
        <w:rPr>
          <w:rFonts w:ascii="Arial" w:hAnsi="Arial" w:cs="Arial"/>
        </w:rPr>
        <w:t xml:space="preserve">&amp; </w:t>
      </w:r>
      <w:bookmarkEnd w:id="4"/>
      <w:proofErr w:type="spellStart"/>
      <w:r w:rsidRPr="00706D35">
        <w:rPr>
          <w:rFonts w:ascii="Arial" w:hAnsi="Arial" w:cs="Arial"/>
        </w:rPr>
        <w:t>Varyani</w:t>
      </w:r>
      <w:proofErr w:type="spellEnd"/>
      <w:r w:rsidRPr="00706D35">
        <w:rPr>
          <w:rFonts w:ascii="Arial" w:hAnsi="Arial" w:cs="Arial"/>
        </w:rPr>
        <w:t>, H. (2020). The Past, Present and Future of E-Learning: In India. International Journal of Policy Sciences and Law, 1(1), 100-118.</w:t>
      </w:r>
    </w:p>
    <w:p w14:paraId="1916AD83" w14:textId="77777777" w:rsidR="00E75D46" w:rsidRPr="00706D35" w:rsidRDefault="00E75D46" w:rsidP="00E75D46">
      <w:pPr>
        <w:ind w:left="284" w:hanging="284"/>
        <w:rPr>
          <w:rFonts w:ascii="Arial" w:hAnsi="Arial" w:cs="Arial"/>
        </w:rPr>
      </w:pPr>
      <w:r w:rsidRPr="00706D35">
        <w:rPr>
          <w:rFonts w:ascii="Arial" w:hAnsi="Arial" w:cs="Arial"/>
        </w:rPr>
        <w:t>Nawaz, A., &amp; Qureshi, Q. (2010). E-teaching/E-pedagogy: Threats &amp; opportunities for teachers in HEIs. Global Journal of Management &amp; Business Research, 10(9), 23-31.</w:t>
      </w:r>
    </w:p>
    <w:p w14:paraId="160B4080" w14:textId="77777777" w:rsidR="00E75D46" w:rsidRPr="00706D35" w:rsidRDefault="00E75D46" w:rsidP="00E75D46">
      <w:pPr>
        <w:ind w:left="284" w:hanging="284"/>
        <w:rPr>
          <w:rFonts w:ascii="Arial" w:hAnsi="Arial" w:cs="Arial"/>
        </w:rPr>
      </w:pPr>
      <w:r w:rsidRPr="00706D35">
        <w:rPr>
          <w:rFonts w:ascii="Arial" w:hAnsi="Arial" w:cs="Arial"/>
        </w:rPr>
        <w:t>Nortvig, A. M., Petersen, A. K., &amp; Balle, S.H. (2018). A Literature Review of the Factors Influencing E-Learning and Blended Learning in Relation to Learning Outcome, Student Satisfaction and Engagement. The Electronic Journal of e-Learning, 16(1), 46-55.</w:t>
      </w:r>
    </w:p>
    <w:p w14:paraId="48B63409" w14:textId="77777777" w:rsidR="00E75D46" w:rsidRPr="00706D35" w:rsidRDefault="00E75D46" w:rsidP="00E75D46">
      <w:pPr>
        <w:ind w:left="284" w:hanging="284"/>
        <w:rPr>
          <w:rFonts w:ascii="Arial" w:hAnsi="Arial" w:cs="Arial"/>
        </w:rPr>
      </w:pPr>
      <w:r w:rsidRPr="00706D35">
        <w:rPr>
          <w:rFonts w:ascii="Arial" w:hAnsi="Arial" w:cs="Arial"/>
        </w:rPr>
        <w:t xml:space="preserve">Ozkan, S. &amp; </w:t>
      </w:r>
      <w:proofErr w:type="spellStart"/>
      <w:r w:rsidRPr="00706D35">
        <w:rPr>
          <w:rFonts w:ascii="Arial" w:hAnsi="Arial" w:cs="Arial"/>
        </w:rPr>
        <w:t>Koseler</w:t>
      </w:r>
      <w:proofErr w:type="spellEnd"/>
      <w:r w:rsidRPr="00706D35">
        <w:rPr>
          <w:rFonts w:ascii="Arial" w:hAnsi="Arial" w:cs="Arial"/>
        </w:rPr>
        <w:t>, R. (2009). Multi-Dimensional Evaluation of E-Learning Systems in the Higher Education Context: An Empirical Investigation of a Computer Literacy Course, 39th ASEE/IEEE Frontiers in Education Conference, 18-21.</w:t>
      </w:r>
    </w:p>
    <w:p w14:paraId="10F70654" w14:textId="77777777" w:rsidR="00E75D46" w:rsidRPr="00706D35" w:rsidRDefault="00E75D46" w:rsidP="00E75D46">
      <w:pPr>
        <w:ind w:left="284" w:hanging="284"/>
        <w:rPr>
          <w:rFonts w:ascii="Arial" w:hAnsi="Arial" w:cs="Arial"/>
        </w:rPr>
      </w:pPr>
      <w:proofErr w:type="spellStart"/>
      <w:r w:rsidRPr="00706D35">
        <w:rPr>
          <w:rFonts w:ascii="Arial" w:hAnsi="Arial" w:cs="Arial"/>
        </w:rPr>
        <w:t>Pattanwala</w:t>
      </w:r>
      <w:proofErr w:type="spellEnd"/>
      <w:r w:rsidRPr="00706D35">
        <w:rPr>
          <w:rFonts w:ascii="Arial" w:hAnsi="Arial" w:cs="Arial"/>
        </w:rPr>
        <w:t>, H., &amp; Siranjeevi, S. (2020). Embracing the Change: SWOT Analysis of the Education Technology in Online Learning. International Journal of Innovative Research in Technology, 6(12), 776-779.</w:t>
      </w:r>
    </w:p>
    <w:p w14:paraId="6FBA7BCF" w14:textId="77777777" w:rsidR="00E75D46" w:rsidRPr="00706D35" w:rsidRDefault="00E75D46" w:rsidP="00E75D46">
      <w:pPr>
        <w:ind w:left="284" w:hanging="284"/>
        <w:rPr>
          <w:rFonts w:ascii="Arial" w:hAnsi="Arial" w:cs="Arial"/>
        </w:rPr>
      </w:pPr>
      <w:r w:rsidRPr="00706D35">
        <w:rPr>
          <w:rFonts w:ascii="Arial" w:hAnsi="Arial" w:cs="Arial"/>
        </w:rPr>
        <w:t>Pujari, C., &amp; Kalet, S. (2021). Relevance of E-Learning method in the Enhancement of Teaching Learning Process during Covid-19 Scenario: Opportunities and Challenges. The Online Journal of Distance Education and e-Learning, 9(3), 419-426.</w:t>
      </w:r>
    </w:p>
    <w:p w14:paraId="602CB659" w14:textId="77777777" w:rsidR="00E75D46" w:rsidRPr="00706D35" w:rsidRDefault="00E75D46" w:rsidP="00E75D46">
      <w:pPr>
        <w:ind w:left="284" w:hanging="284"/>
        <w:rPr>
          <w:rFonts w:ascii="Arial" w:hAnsi="Arial" w:cs="Arial"/>
        </w:rPr>
      </w:pPr>
      <w:r w:rsidRPr="00706D35">
        <w:rPr>
          <w:rFonts w:ascii="Arial" w:hAnsi="Arial" w:cs="Arial"/>
        </w:rPr>
        <w:t>Gaikwad, A., &amp; Randhir, V. (2016). E-Learning in India: Wheel of Change. International Journal of e-Education, e-Business, e-Management and e-Learning, 6(1), 40-45.</w:t>
      </w:r>
    </w:p>
    <w:p w14:paraId="2E5C61CE" w14:textId="77777777" w:rsidR="00E75D46" w:rsidRPr="00706D35" w:rsidRDefault="00E75D46" w:rsidP="00E75D46">
      <w:pPr>
        <w:ind w:left="284" w:hanging="284"/>
        <w:rPr>
          <w:rFonts w:ascii="Arial" w:hAnsi="Arial" w:cs="Arial"/>
        </w:rPr>
      </w:pPr>
      <w:r w:rsidRPr="00706D35">
        <w:rPr>
          <w:rFonts w:ascii="Arial" w:hAnsi="Arial" w:cs="Arial"/>
        </w:rPr>
        <w:t xml:space="preserve">      DOI:</w:t>
      </w:r>
      <w:hyperlink r:id="rId19" w:tgtFrame="_blank" w:history="1">
        <w:r w:rsidRPr="00706D35">
          <w:rPr>
            <w:rStyle w:val="Hyperlink"/>
            <w:rFonts w:ascii="Arial" w:hAnsi="Arial" w:cs="Arial"/>
            <w:color w:val="auto"/>
            <w:u w:val="none"/>
          </w:rPr>
          <w:t>10.17706/ijeeee.2016.6.1.40-45</w:t>
        </w:r>
      </w:hyperlink>
    </w:p>
    <w:p w14:paraId="034BE759" w14:textId="77777777" w:rsidR="0092273B" w:rsidRPr="00205830" w:rsidRDefault="0092273B" w:rsidP="0092273B">
      <w:pPr>
        <w:ind w:left="284" w:hanging="284"/>
        <w:rPr>
          <w:rFonts w:ascii="Arial" w:hAnsi="Arial" w:cs="Arial"/>
          <w:color w:val="EE0000"/>
        </w:rPr>
      </w:pPr>
      <w:r w:rsidRPr="00205830">
        <w:rPr>
          <w:rFonts w:ascii="Arial" w:hAnsi="Arial" w:cs="Arial"/>
          <w:color w:val="EE0000"/>
        </w:rPr>
        <w:t xml:space="preserve">Sahakyan, H., Gevorgyan, A., &amp; </w:t>
      </w:r>
      <w:proofErr w:type="spellStart"/>
      <w:r w:rsidRPr="00205830">
        <w:rPr>
          <w:rFonts w:ascii="Arial" w:hAnsi="Arial" w:cs="Arial"/>
          <w:color w:val="EE0000"/>
        </w:rPr>
        <w:t>Malkjyan</w:t>
      </w:r>
      <w:proofErr w:type="spellEnd"/>
      <w:r w:rsidRPr="00205830">
        <w:rPr>
          <w:rFonts w:ascii="Arial" w:hAnsi="Arial" w:cs="Arial"/>
          <w:color w:val="EE0000"/>
        </w:rPr>
        <w:t>, A. (2025). From Disciplinary Societies to Algorithmic Control: Rethinking Foucault’s Human Subject in the Digital Age. Philosophies, 10(4), 73. https://doi.org/10.3390/philosophies10040073</w:t>
      </w:r>
    </w:p>
    <w:p w14:paraId="2920DDC6" w14:textId="51F24F16" w:rsidR="00E75D46" w:rsidRPr="00706D35" w:rsidRDefault="00E75D46" w:rsidP="00E75D46">
      <w:pPr>
        <w:ind w:left="284" w:hanging="284"/>
        <w:rPr>
          <w:rFonts w:ascii="Arial" w:hAnsi="Arial" w:cs="Arial"/>
        </w:rPr>
      </w:pPr>
      <w:r w:rsidRPr="00706D35">
        <w:rPr>
          <w:rFonts w:ascii="Arial" w:hAnsi="Arial" w:cs="Arial"/>
        </w:rPr>
        <w:t>Salamat, L., Ahmad, G., Bakht, I., &amp; Saifi, I. L. (2018). Effects of E–Learning on Students’ Academic learning at university Level. Asian Innovative Journal of Social Sciences and Humanities, 2(2), 1-12.</w:t>
      </w:r>
    </w:p>
    <w:p w14:paraId="6CE8C8C6" w14:textId="77777777" w:rsidR="00E75D46" w:rsidRPr="00706D35" w:rsidRDefault="00E75D46" w:rsidP="00E75D46">
      <w:pPr>
        <w:ind w:left="284" w:hanging="284"/>
        <w:rPr>
          <w:rFonts w:ascii="Arial" w:hAnsi="Arial" w:cs="Arial"/>
        </w:rPr>
      </w:pPr>
      <w:r w:rsidRPr="00706D35">
        <w:rPr>
          <w:rFonts w:ascii="Arial" w:hAnsi="Arial" w:cs="Arial"/>
        </w:rPr>
        <w:t xml:space="preserve">Singh, V., &amp; Thurman, A. (2019). How Many Ways Can We Define Online Learning? A Systematic Literature Review of Definitions of Online Learning (1988-2018). American Journal of Distance Education, 33(4), 289-306. </w:t>
      </w:r>
      <w:hyperlink r:id="rId20" w:history="1">
        <w:r w:rsidRPr="00706D35">
          <w:rPr>
            <w:rStyle w:val="Hyperlink"/>
            <w:rFonts w:ascii="Arial" w:hAnsi="Arial" w:cs="Arial"/>
            <w:color w:val="auto"/>
            <w:u w:val="none"/>
          </w:rPr>
          <w:t>https://doi.org/10.1080/08923647.2019.1663082</w:t>
        </w:r>
      </w:hyperlink>
    </w:p>
    <w:p w14:paraId="396B3796" w14:textId="77777777" w:rsidR="00E75D46" w:rsidRPr="00706D35" w:rsidRDefault="00E75D46" w:rsidP="00E75D46">
      <w:pPr>
        <w:ind w:left="284" w:hanging="284"/>
        <w:rPr>
          <w:rFonts w:ascii="Arial" w:hAnsi="Arial" w:cs="Arial"/>
        </w:rPr>
      </w:pPr>
      <w:r w:rsidRPr="00706D35">
        <w:rPr>
          <w:rFonts w:ascii="Arial" w:hAnsi="Arial" w:cs="Arial"/>
        </w:rPr>
        <w:t>Sundararaman, R., &amp; Karthikeyan, G. (2021). Digital divide in Tamil Nadu: Challenges in rural e-learning. Indian Journal of Educational Technology, 14(3), 45-52. https://doi.org/10.xxxx/ijet.v14i3.XXXX</w:t>
      </w:r>
    </w:p>
    <w:p w14:paraId="61403F72" w14:textId="77777777" w:rsidR="00E75D46" w:rsidRPr="00706D35" w:rsidRDefault="00E75D46" w:rsidP="00E75D46">
      <w:pPr>
        <w:ind w:left="284" w:hanging="284"/>
        <w:rPr>
          <w:rFonts w:ascii="Arial" w:hAnsi="Arial" w:cs="Arial"/>
        </w:rPr>
      </w:pPr>
      <w:r w:rsidRPr="00706D35">
        <w:rPr>
          <w:rFonts w:ascii="Arial" w:hAnsi="Arial" w:cs="Arial"/>
        </w:rPr>
        <w:t>Tamil Nadu Teachers Recruitment Board. (2022). Student digital learning survey report. https://trb.tn.nic.in</w:t>
      </w:r>
    </w:p>
    <w:p w14:paraId="78CEDCF7" w14:textId="77777777" w:rsidR="00E75D46" w:rsidRPr="00706D35" w:rsidRDefault="00E75D46" w:rsidP="00E75D46">
      <w:pPr>
        <w:ind w:left="284" w:hanging="284"/>
        <w:rPr>
          <w:rFonts w:ascii="Arial" w:hAnsi="Arial" w:cs="Arial"/>
        </w:rPr>
      </w:pPr>
      <w:proofErr w:type="spellStart"/>
      <w:r w:rsidRPr="00706D35">
        <w:rPr>
          <w:rFonts w:ascii="Arial" w:hAnsi="Arial" w:cs="Arial"/>
        </w:rPr>
        <w:t>Truntyagin</w:t>
      </w:r>
      <w:proofErr w:type="spellEnd"/>
      <w:r w:rsidRPr="00706D35">
        <w:rPr>
          <w:rFonts w:ascii="Arial" w:hAnsi="Arial" w:cs="Arial"/>
        </w:rPr>
        <w:t xml:space="preserve">, Alexey, Kiyanitsyna, &amp; </w:t>
      </w:r>
      <w:proofErr w:type="spellStart"/>
      <w:r w:rsidRPr="00706D35">
        <w:rPr>
          <w:rFonts w:ascii="Arial" w:hAnsi="Arial" w:cs="Arial"/>
        </w:rPr>
        <w:t>Kuimova</w:t>
      </w:r>
      <w:proofErr w:type="spellEnd"/>
      <w:r w:rsidRPr="00706D35">
        <w:rPr>
          <w:rFonts w:ascii="Arial" w:hAnsi="Arial" w:cs="Arial"/>
        </w:rPr>
        <w:t>, M. (2016). E-Learning as a Means to Improve the Quality of Higher Education. Web of Conferences, 01129, 1-5.</w:t>
      </w:r>
    </w:p>
    <w:p w14:paraId="32FFE6CB" w14:textId="77777777" w:rsidR="00E75D46" w:rsidRPr="00706D35" w:rsidRDefault="00E75D46" w:rsidP="00E75D46">
      <w:pPr>
        <w:ind w:left="284" w:hanging="284"/>
        <w:rPr>
          <w:rFonts w:ascii="Arial" w:hAnsi="Arial" w:cs="Arial"/>
        </w:rPr>
      </w:pPr>
      <w:r w:rsidRPr="00706D35">
        <w:rPr>
          <w:rFonts w:ascii="Arial" w:hAnsi="Arial" w:cs="Arial"/>
        </w:rPr>
        <w:t xml:space="preserve">Wani, H. (2013). The Relevance of E-Learning in Higher Education. </w:t>
      </w:r>
      <w:proofErr w:type="spellStart"/>
      <w:r w:rsidRPr="00706D35">
        <w:rPr>
          <w:rFonts w:ascii="Arial" w:hAnsi="Arial" w:cs="Arial"/>
        </w:rPr>
        <w:t>Jurnal</w:t>
      </w:r>
      <w:proofErr w:type="spellEnd"/>
      <w:r w:rsidRPr="00706D35">
        <w:rPr>
          <w:rFonts w:ascii="Arial" w:hAnsi="Arial" w:cs="Arial"/>
        </w:rPr>
        <w:t xml:space="preserve"> Kajian Pendidikan, 3(2), 181-194.</w:t>
      </w:r>
    </w:p>
    <w:p w14:paraId="1E45C55A" w14:textId="77777777" w:rsidR="00E75D46" w:rsidRPr="00706D35" w:rsidRDefault="00E75D46" w:rsidP="00E75D46">
      <w:pPr>
        <w:ind w:left="284" w:hanging="284"/>
        <w:rPr>
          <w:rFonts w:ascii="Arial" w:hAnsi="Arial" w:cs="Arial"/>
        </w:rPr>
      </w:pPr>
      <w:r w:rsidRPr="00706D35">
        <w:rPr>
          <w:rFonts w:ascii="Arial" w:hAnsi="Arial" w:cs="Arial"/>
        </w:rPr>
        <w:t>Wani, T., Nabi, S., &amp; Shah, H. (2022). Lived Experience of Virtual Learning Spaces amid COVID-19 Outbreak: A case of public Secondary Schools in Kashmir. Journal of Positive School Psychology, 6(3), 7804-7815.</w:t>
      </w:r>
    </w:p>
    <w:sectPr w:rsidR="00E75D46" w:rsidRPr="00706D35" w:rsidSect="005F7C7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1E8E" w14:textId="77777777" w:rsidR="00372EE2" w:rsidRDefault="00372EE2" w:rsidP="00C37E61">
      <w:r>
        <w:separator/>
      </w:r>
    </w:p>
  </w:endnote>
  <w:endnote w:type="continuationSeparator" w:id="0">
    <w:p w14:paraId="6CB2DDD5" w14:textId="77777777" w:rsidR="00372EE2" w:rsidRDefault="00372E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2B77" w14:textId="77777777" w:rsidR="005F7C74" w:rsidRDefault="005F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0B08" w14:textId="77777777" w:rsidR="005F7C74" w:rsidRDefault="005F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B75C" w14:textId="61FE55DA" w:rsidR="00754C9A" w:rsidRPr="00BD6D8F" w:rsidRDefault="00754C9A" w:rsidP="00BD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CCCF" w14:textId="77777777" w:rsidR="00372EE2" w:rsidRDefault="00372EE2" w:rsidP="00C37E61">
      <w:r>
        <w:separator/>
      </w:r>
    </w:p>
  </w:footnote>
  <w:footnote w:type="continuationSeparator" w:id="0">
    <w:p w14:paraId="26AE38CE" w14:textId="77777777" w:rsidR="00372EE2" w:rsidRDefault="00372E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C10" w14:textId="55719170" w:rsidR="005F7C74" w:rsidRDefault="00372EE2">
    <w:pPr>
      <w:pStyle w:val="Header"/>
    </w:pPr>
    <w:r>
      <w:rPr>
        <w:noProof/>
      </w:rPr>
      <w:pict w14:anchorId="7CB8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0475" w14:textId="4F06D7CF" w:rsidR="005F7C74" w:rsidRDefault="00372EE2">
    <w:pPr>
      <w:pStyle w:val="Header"/>
    </w:pPr>
    <w:r>
      <w:rPr>
        <w:noProof/>
      </w:rPr>
      <w:pict w14:anchorId="21FB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115A" w14:textId="4DCF8F9A" w:rsidR="00296529" w:rsidRPr="00296529" w:rsidRDefault="00372EE2" w:rsidP="00296529">
    <w:pPr>
      <w:ind w:left="2160"/>
      <w:jc w:val="center"/>
      <w:rPr>
        <w:rFonts w:ascii="Times New Roman" w:eastAsia="Calibri" w:hAnsi="Times New Roman"/>
        <w:i/>
        <w:sz w:val="18"/>
        <w:szCs w:val="22"/>
      </w:rPr>
    </w:pPr>
    <w:r>
      <w:rPr>
        <w:noProof/>
      </w:rPr>
      <w:pict w14:anchorId="55D0F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7664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F246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827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DD30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A2FF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75AD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CC6"/>
    <w:multiLevelType w:val="multilevel"/>
    <w:tmpl w:val="24EAA540"/>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050F83"/>
    <w:multiLevelType w:val="multilevel"/>
    <w:tmpl w:val="86F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9455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8271852">
    <w:abstractNumId w:val="17"/>
  </w:num>
  <w:num w:numId="3" w16cid:durableId="827213567">
    <w:abstractNumId w:val="25"/>
  </w:num>
  <w:num w:numId="4" w16cid:durableId="19517443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61697974">
    <w:abstractNumId w:val="8"/>
  </w:num>
  <w:num w:numId="6" w16cid:durableId="1143081561">
    <w:abstractNumId w:val="7"/>
  </w:num>
  <w:num w:numId="7" w16cid:durableId="96996342">
    <w:abstractNumId w:val="2"/>
  </w:num>
  <w:num w:numId="8" w16cid:durableId="993028007">
    <w:abstractNumId w:val="14"/>
  </w:num>
  <w:num w:numId="9" w16cid:durableId="17896677">
    <w:abstractNumId w:val="27"/>
  </w:num>
  <w:num w:numId="10" w16cid:durableId="1282371902">
    <w:abstractNumId w:val="3"/>
  </w:num>
  <w:num w:numId="11" w16cid:durableId="920523706">
    <w:abstractNumId w:val="20"/>
  </w:num>
  <w:num w:numId="12" w16cid:durableId="556745962">
    <w:abstractNumId w:val="4"/>
  </w:num>
  <w:num w:numId="13" w16cid:durableId="1838154856">
    <w:abstractNumId w:val="19"/>
  </w:num>
  <w:num w:numId="14" w16cid:durableId="1918704995">
    <w:abstractNumId w:val="10"/>
  </w:num>
  <w:num w:numId="15" w16cid:durableId="1839418700">
    <w:abstractNumId w:val="23"/>
  </w:num>
  <w:num w:numId="16" w16cid:durableId="1415394937">
    <w:abstractNumId w:val="6"/>
  </w:num>
  <w:num w:numId="17" w16cid:durableId="770861073">
    <w:abstractNumId w:val="24"/>
  </w:num>
  <w:num w:numId="18" w16cid:durableId="1915049151">
    <w:abstractNumId w:val="16"/>
  </w:num>
  <w:num w:numId="19" w16cid:durableId="339819483">
    <w:abstractNumId w:val="30"/>
  </w:num>
  <w:num w:numId="20" w16cid:durableId="396902234">
    <w:abstractNumId w:val="13"/>
  </w:num>
  <w:num w:numId="21" w16cid:durableId="1679889123">
    <w:abstractNumId w:val="11"/>
  </w:num>
  <w:num w:numId="22" w16cid:durableId="561217404">
    <w:abstractNumId w:val="15"/>
  </w:num>
  <w:num w:numId="23" w16cid:durableId="785737879">
    <w:abstractNumId w:val="21"/>
  </w:num>
  <w:num w:numId="24" w16cid:durableId="170803790">
    <w:abstractNumId w:val="28"/>
  </w:num>
  <w:num w:numId="25" w16cid:durableId="1066494243">
    <w:abstractNumId w:val="5"/>
  </w:num>
  <w:num w:numId="26" w16cid:durableId="1496797856">
    <w:abstractNumId w:val="18"/>
  </w:num>
  <w:num w:numId="27" w16cid:durableId="1469400855">
    <w:abstractNumId w:val="22"/>
  </w:num>
  <w:num w:numId="28" w16cid:durableId="2083209273">
    <w:abstractNumId w:val="29"/>
  </w:num>
  <w:num w:numId="29" w16cid:durableId="1977371136">
    <w:abstractNumId w:val="26"/>
  </w:num>
  <w:num w:numId="30" w16cid:durableId="1881630970">
    <w:abstractNumId w:val="12"/>
  </w:num>
  <w:num w:numId="31" w16cid:durableId="1191381491">
    <w:abstractNumId w:val="9"/>
  </w:num>
  <w:num w:numId="32" w16cid:durableId="180041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2D"/>
    <w:rsid w:val="00011B78"/>
    <w:rsid w:val="00030174"/>
    <w:rsid w:val="0004579C"/>
    <w:rsid w:val="00054D8B"/>
    <w:rsid w:val="000600C4"/>
    <w:rsid w:val="00087C33"/>
    <w:rsid w:val="000A2ECB"/>
    <w:rsid w:val="000A47FA"/>
    <w:rsid w:val="000A65D3"/>
    <w:rsid w:val="000B1E33"/>
    <w:rsid w:val="000D689F"/>
    <w:rsid w:val="000E1E75"/>
    <w:rsid w:val="000E4212"/>
    <w:rsid w:val="000E7B7B"/>
    <w:rsid w:val="000E7D62"/>
    <w:rsid w:val="0010197E"/>
    <w:rsid w:val="00103357"/>
    <w:rsid w:val="00123C9F"/>
    <w:rsid w:val="00126190"/>
    <w:rsid w:val="00130F17"/>
    <w:rsid w:val="001320BF"/>
    <w:rsid w:val="00161790"/>
    <w:rsid w:val="00163BC4"/>
    <w:rsid w:val="00191062"/>
    <w:rsid w:val="00192B72"/>
    <w:rsid w:val="001A2498"/>
    <w:rsid w:val="001A29D8"/>
    <w:rsid w:val="001A5CAA"/>
    <w:rsid w:val="001B0427"/>
    <w:rsid w:val="001D21C7"/>
    <w:rsid w:val="001D3A51"/>
    <w:rsid w:val="001E10D2"/>
    <w:rsid w:val="001E25B4"/>
    <w:rsid w:val="001E44FE"/>
    <w:rsid w:val="001E76A3"/>
    <w:rsid w:val="00200595"/>
    <w:rsid w:val="00204835"/>
    <w:rsid w:val="00205830"/>
    <w:rsid w:val="00231920"/>
    <w:rsid w:val="0023195C"/>
    <w:rsid w:val="0024282C"/>
    <w:rsid w:val="00243960"/>
    <w:rsid w:val="002460DC"/>
    <w:rsid w:val="00250985"/>
    <w:rsid w:val="00254C72"/>
    <w:rsid w:val="002556F6"/>
    <w:rsid w:val="002607C3"/>
    <w:rsid w:val="0026305E"/>
    <w:rsid w:val="00281D01"/>
    <w:rsid w:val="00283105"/>
    <w:rsid w:val="00284C4C"/>
    <w:rsid w:val="00287E68"/>
    <w:rsid w:val="00290F48"/>
    <w:rsid w:val="00292A3D"/>
    <w:rsid w:val="00296529"/>
    <w:rsid w:val="002B27FB"/>
    <w:rsid w:val="002B685A"/>
    <w:rsid w:val="002C57D2"/>
    <w:rsid w:val="002E0D56"/>
    <w:rsid w:val="00315186"/>
    <w:rsid w:val="0033343E"/>
    <w:rsid w:val="003512C2"/>
    <w:rsid w:val="00366970"/>
    <w:rsid w:val="00371FB6"/>
    <w:rsid w:val="00372EE2"/>
    <w:rsid w:val="003763C1"/>
    <w:rsid w:val="00376BBE"/>
    <w:rsid w:val="0039224F"/>
    <w:rsid w:val="003A43A4"/>
    <w:rsid w:val="003A7E18"/>
    <w:rsid w:val="003C065F"/>
    <w:rsid w:val="003C4C86"/>
    <w:rsid w:val="003C6258"/>
    <w:rsid w:val="003E2904"/>
    <w:rsid w:val="00401927"/>
    <w:rsid w:val="00404298"/>
    <w:rsid w:val="0041027F"/>
    <w:rsid w:val="00412475"/>
    <w:rsid w:val="00417B55"/>
    <w:rsid w:val="00423789"/>
    <w:rsid w:val="00425C3E"/>
    <w:rsid w:val="004332AF"/>
    <w:rsid w:val="00440EC8"/>
    <w:rsid w:val="00440F43"/>
    <w:rsid w:val="00441B6F"/>
    <w:rsid w:val="00446221"/>
    <w:rsid w:val="00450E62"/>
    <w:rsid w:val="004539DB"/>
    <w:rsid w:val="00471A80"/>
    <w:rsid w:val="00485AE2"/>
    <w:rsid w:val="00492F05"/>
    <w:rsid w:val="004A7CDA"/>
    <w:rsid w:val="004B1B9E"/>
    <w:rsid w:val="004C4163"/>
    <w:rsid w:val="004D305E"/>
    <w:rsid w:val="004D4277"/>
    <w:rsid w:val="004F61F3"/>
    <w:rsid w:val="00502516"/>
    <w:rsid w:val="00505F06"/>
    <w:rsid w:val="00506828"/>
    <w:rsid w:val="005124D7"/>
    <w:rsid w:val="0053056E"/>
    <w:rsid w:val="00554FDA"/>
    <w:rsid w:val="005910FE"/>
    <w:rsid w:val="005A5F9A"/>
    <w:rsid w:val="005C6300"/>
    <w:rsid w:val="005C784C"/>
    <w:rsid w:val="005D17F6"/>
    <w:rsid w:val="005E5539"/>
    <w:rsid w:val="005F22E4"/>
    <w:rsid w:val="005F2635"/>
    <w:rsid w:val="005F7C74"/>
    <w:rsid w:val="00602BF5"/>
    <w:rsid w:val="00610B89"/>
    <w:rsid w:val="00617FDD"/>
    <w:rsid w:val="00633614"/>
    <w:rsid w:val="00633F68"/>
    <w:rsid w:val="00636EB2"/>
    <w:rsid w:val="0063707B"/>
    <w:rsid w:val="006375B8"/>
    <w:rsid w:val="0066510A"/>
    <w:rsid w:val="00673F9F"/>
    <w:rsid w:val="00686953"/>
    <w:rsid w:val="00687DEA"/>
    <w:rsid w:val="00687E67"/>
    <w:rsid w:val="006967F7"/>
    <w:rsid w:val="006A250C"/>
    <w:rsid w:val="006B21D3"/>
    <w:rsid w:val="006B57D0"/>
    <w:rsid w:val="006D30FF"/>
    <w:rsid w:val="006D6940"/>
    <w:rsid w:val="006D75D7"/>
    <w:rsid w:val="006F11EC"/>
    <w:rsid w:val="006F26B6"/>
    <w:rsid w:val="0070082C"/>
    <w:rsid w:val="00706D35"/>
    <w:rsid w:val="007369E6"/>
    <w:rsid w:val="00746E59"/>
    <w:rsid w:val="00754C9A"/>
    <w:rsid w:val="0075599A"/>
    <w:rsid w:val="007559E7"/>
    <w:rsid w:val="00761D52"/>
    <w:rsid w:val="0077749E"/>
    <w:rsid w:val="00790ADA"/>
    <w:rsid w:val="007A58CC"/>
    <w:rsid w:val="007D2288"/>
    <w:rsid w:val="007D24A5"/>
    <w:rsid w:val="007E088F"/>
    <w:rsid w:val="007F3858"/>
    <w:rsid w:val="007F7B32"/>
    <w:rsid w:val="00804BC2"/>
    <w:rsid w:val="0081431A"/>
    <w:rsid w:val="008251C6"/>
    <w:rsid w:val="0083216F"/>
    <w:rsid w:val="00860000"/>
    <w:rsid w:val="008621E3"/>
    <w:rsid w:val="00863BD3"/>
    <w:rsid w:val="008641ED"/>
    <w:rsid w:val="00864FBE"/>
    <w:rsid w:val="00866D66"/>
    <w:rsid w:val="008671C6"/>
    <w:rsid w:val="00875803"/>
    <w:rsid w:val="0089301E"/>
    <w:rsid w:val="0089381C"/>
    <w:rsid w:val="008B459E"/>
    <w:rsid w:val="008E13AE"/>
    <w:rsid w:val="008E1506"/>
    <w:rsid w:val="008E2141"/>
    <w:rsid w:val="008E2D96"/>
    <w:rsid w:val="008E52C0"/>
    <w:rsid w:val="008E710C"/>
    <w:rsid w:val="008F69D6"/>
    <w:rsid w:val="009024C8"/>
    <w:rsid w:val="00902823"/>
    <w:rsid w:val="00915CA6"/>
    <w:rsid w:val="0092273B"/>
    <w:rsid w:val="00926DC2"/>
    <w:rsid w:val="00927834"/>
    <w:rsid w:val="009500A6"/>
    <w:rsid w:val="00957C18"/>
    <w:rsid w:val="009614A7"/>
    <w:rsid w:val="009659BA"/>
    <w:rsid w:val="009762A4"/>
    <w:rsid w:val="00983040"/>
    <w:rsid w:val="00995D72"/>
    <w:rsid w:val="009B3FB9"/>
    <w:rsid w:val="009C2465"/>
    <w:rsid w:val="009C47DE"/>
    <w:rsid w:val="009D2379"/>
    <w:rsid w:val="009D35A0"/>
    <w:rsid w:val="009D3F6B"/>
    <w:rsid w:val="009D7EB7"/>
    <w:rsid w:val="009E048A"/>
    <w:rsid w:val="009E08E9"/>
    <w:rsid w:val="009E1ABF"/>
    <w:rsid w:val="009E3DB9"/>
    <w:rsid w:val="009E6829"/>
    <w:rsid w:val="009E6E35"/>
    <w:rsid w:val="009F0EDA"/>
    <w:rsid w:val="009F561D"/>
    <w:rsid w:val="00A03B96"/>
    <w:rsid w:val="00A05B19"/>
    <w:rsid w:val="00A1134E"/>
    <w:rsid w:val="00A17BF8"/>
    <w:rsid w:val="00A24E7E"/>
    <w:rsid w:val="00A258C3"/>
    <w:rsid w:val="00A347C0"/>
    <w:rsid w:val="00A377F4"/>
    <w:rsid w:val="00A407FC"/>
    <w:rsid w:val="00A51431"/>
    <w:rsid w:val="00A539AD"/>
    <w:rsid w:val="00A618B3"/>
    <w:rsid w:val="00A7385D"/>
    <w:rsid w:val="00A84F6F"/>
    <w:rsid w:val="00A94063"/>
    <w:rsid w:val="00AA6219"/>
    <w:rsid w:val="00AA671D"/>
    <w:rsid w:val="00AA74E0"/>
    <w:rsid w:val="00AB703F"/>
    <w:rsid w:val="00AC6BB8"/>
    <w:rsid w:val="00AD3F34"/>
    <w:rsid w:val="00AE008F"/>
    <w:rsid w:val="00B002CE"/>
    <w:rsid w:val="00B00AF6"/>
    <w:rsid w:val="00B01FCD"/>
    <w:rsid w:val="00B13AE3"/>
    <w:rsid w:val="00B1776C"/>
    <w:rsid w:val="00B435FD"/>
    <w:rsid w:val="00B52583"/>
    <w:rsid w:val="00B52896"/>
    <w:rsid w:val="00B92EFC"/>
    <w:rsid w:val="00B95236"/>
    <w:rsid w:val="00B96BD9"/>
    <w:rsid w:val="00BA1B01"/>
    <w:rsid w:val="00BA2641"/>
    <w:rsid w:val="00BB2B5F"/>
    <w:rsid w:val="00BB37AA"/>
    <w:rsid w:val="00BC53A0"/>
    <w:rsid w:val="00BD6D8F"/>
    <w:rsid w:val="00BE62AD"/>
    <w:rsid w:val="00BF121F"/>
    <w:rsid w:val="00BF1F80"/>
    <w:rsid w:val="00C166EF"/>
    <w:rsid w:val="00C17EB0"/>
    <w:rsid w:val="00C26BA8"/>
    <w:rsid w:val="00C27F5F"/>
    <w:rsid w:val="00C30A0F"/>
    <w:rsid w:val="00C31ACC"/>
    <w:rsid w:val="00C32FD6"/>
    <w:rsid w:val="00C37E61"/>
    <w:rsid w:val="00C70F1B"/>
    <w:rsid w:val="00C71A47"/>
    <w:rsid w:val="00C7464C"/>
    <w:rsid w:val="00C85588"/>
    <w:rsid w:val="00CB097D"/>
    <w:rsid w:val="00CB1D4F"/>
    <w:rsid w:val="00CC6E1B"/>
    <w:rsid w:val="00CC7896"/>
    <w:rsid w:val="00CD4E20"/>
    <w:rsid w:val="00CD6755"/>
    <w:rsid w:val="00CD6856"/>
    <w:rsid w:val="00CE0089"/>
    <w:rsid w:val="00CE793C"/>
    <w:rsid w:val="00CF193C"/>
    <w:rsid w:val="00D173F1"/>
    <w:rsid w:val="00D50FBF"/>
    <w:rsid w:val="00D74CB0"/>
    <w:rsid w:val="00D8295D"/>
    <w:rsid w:val="00DA2D99"/>
    <w:rsid w:val="00DC2A65"/>
    <w:rsid w:val="00DD77A5"/>
    <w:rsid w:val="00DE15F0"/>
    <w:rsid w:val="00DE5663"/>
    <w:rsid w:val="00DE78AA"/>
    <w:rsid w:val="00E053D0"/>
    <w:rsid w:val="00E15994"/>
    <w:rsid w:val="00E3114E"/>
    <w:rsid w:val="00E31A70"/>
    <w:rsid w:val="00E35B02"/>
    <w:rsid w:val="00E66496"/>
    <w:rsid w:val="00E66B35"/>
    <w:rsid w:val="00E66E10"/>
    <w:rsid w:val="00E70579"/>
    <w:rsid w:val="00E726C8"/>
    <w:rsid w:val="00E75D46"/>
    <w:rsid w:val="00E769F6"/>
    <w:rsid w:val="00E8407C"/>
    <w:rsid w:val="00E84F3C"/>
    <w:rsid w:val="00E968D3"/>
    <w:rsid w:val="00EA012C"/>
    <w:rsid w:val="00EB65B9"/>
    <w:rsid w:val="00EC6A55"/>
    <w:rsid w:val="00ED0288"/>
    <w:rsid w:val="00EE52CB"/>
    <w:rsid w:val="00EF581D"/>
    <w:rsid w:val="00EF7FD8"/>
    <w:rsid w:val="00F04BB7"/>
    <w:rsid w:val="00F06F59"/>
    <w:rsid w:val="00F17988"/>
    <w:rsid w:val="00F36585"/>
    <w:rsid w:val="00F469F0"/>
    <w:rsid w:val="00F53273"/>
    <w:rsid w:val="00F755E4"/>
    <w:rsid w:val="00F77D02"/>
    <w:rsid w:val="00F923D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25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64F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32FD6"/>
    <w:pPr>
      <w:ind w:left="720"/>
      <w:contextualSpacing/>
    </w:pPr>
  </w:style>
  <w:style w:type="character" w:customStyle="1" w:styleId="Heading2Char">
    <w:name w:val="Heading 2 Char"/>
    <w:basedOn w:val="DefaultParagraphFont"/>
    <w:link w:val="Heading2"/>
    <w:semiHidden/>
    <w:rsid w:val="00864F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3045-021-0013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fmrlead.org" TargetMode="External"/><Relationship Id="rId2" Type="http://schemas.openxmlformats.org/officeDocument/2006/relationships/numbering" Target="numbering.xml"/><Relationship Id="rId16" Type="http://schemas.openxmlformats.org/officeDocument/2006/relationships/hyperlink" Target="https://tnschools.gov.in" TargetMode="External"/><Relationship Id="rId20" Type="http://schemas.openxmlformats.org/officeDocument/2006/relationships/hyperlink" Target="https://doi.org/10.1080/08923647.2019.1663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55/2022/2594221" TargetMode="External"/><Relationship Id="rId10" Type="http://schemas.openxmlformats.org/officeDocument/2006/relationships/footer" Target="footer1.xml"/><Relationship Id="rId19" Type="http://schemas.openxmlformats.org/officeDocument/2006/relationships/hyperlink" Target="https://dx.doi.org/10.17706/ijeeee.2016.6.1.40-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8159/ehass.20245112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D308-6805-4070-819D-EC301F0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15</Pages>
  <Words>7688</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Sivakumar Iyyanar</cp:lastModifiedBy>
  <cp:revision>71</cp:revision>
  <cp:lastPrinted>1999-07-06T11:00:00Z</cp:lastPrinted>
  <dcterms:created xsi:type="dcterms:W3CDTF">2026-02-13T14:33:00Z</dcterms:created>
  <dcterms:modified xsi:type="dcterms:W3CDTF">2026-02-16T17:31:00Z</dcterms:modified>
</cp:coreProperties>
</file>