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BAF8" w14:textId="39017A46" w:rsidR="004B119A" w:rsidRPr="004B119A" w:rsidRDefault="004B119A" w:rsidP="004B119A">
      <w:pPr>
        <w:spacing w:line="276" w:lineRule="auto"/>
        <w:rPr>
          <w:b/>
          <w:bCs/>
          <w:sz w:val="28"/>
          <w:szCs w:val="28"/>
          <w:u w:val="single"/>
        </w:rPr>
      </w:pPr>
      <w:r w:rsidRPr="004B119A">
        <w:rPr>
          <w:b/>
          <w:bCs/>
          <w:sz w:val="28"/>
          <w:szCs w:val="28"/>
          <w:u w:val="single"/>
        </w:rPr>
        <w:t>Original Research Article</w:t>
      </w:r>
    </w:p>
    <w:p w14:paraId="400959CD" w14:textId="0232DA71" w:rsidR="005D77F1" w:rsidRDefault="00AD28BC" w:rsidP="00421141">
      <w:pPr>
        <w:spacing w:line="276" w:lineRule="auto"/>
        <w:jc w:val="center"/>
        <w:rPr>
          <w:b/>
          <w:bCs/>
          <w:sz w:val="28"/>
          <w:szCs w:val="28"/>
        </w:rPr>
      </w:pPr>
      <w:r w:rsidRPr="00AD28BC">
        <w:rPr>
          <w:b/>
          <w:bCs/>
          <w:sz w:val="28"/>
          <w:szCs w:val="28"/>
        </w:rPr>
        <w:t>Household Financing of Primary Education: An Analysis of Out-of-Pocket Expenditure in Tripura</w:t>
      </w:r>
      <w:r w:rsidR="001E6E16">
        <w:rPr>
          <w:b/>
          <w:bCs/>
          <w:sz w:val="28"/>
          <w:szCs w:val="28"/>
        </w:rPr>
        <w:t>, India</w:t>
      </w:r>
    </w:p>
    <w:p w14:paraId="24157A54" w14:textId="77777777" w:rsidR="004A497E" w:rsidRPr="004A497E" w:rsidRDefault="004A497E" w:rsidP="008C4DA4">
      <w:pPr>
        <w:spacing w:after="0"/>
      </w:pPr>
    </w:p>
    <w:p w14:paraId="578C65F3" w14:textId="2A24F6A8" w:rsidR="00B3201F" w:rsidRPr="004A497E" w:rsidRDefault="004A497E" w:rsidP="004A497E">
      <w:pPr>
        <w:jc w:val="center"/>
        <w:rPr>
          <w:b/>
          <w:bCs/>
        </w:rPr>
      </w:pPr>
      <w:r w:rsidRPr="004A497E">
        <w:rPr>
          <w:b/>
          <w:bCs/>
        </w:rPr>
        <w:t>Abstract</w:t>
      </w:r>
    </w:p>
    <w:p w14:paraId="4A689862" w14:textId="6D95BE9C" w:rsidR="00AD28BC" w:rsidRPr="00F848C2" w:rsidRDefault="00586B03" w:rsidP="00F848C2">
      <w:pPr>
        <w:spacing w:after="0" w:line="276" w:lineRule="auto"/>
        <w:jc w:val="both"/>
      </w:pPr>
      <w:r w:rsidRPr="00586B03">
        <w:t xml:space="preserve">This study analyses household out-of-pocket expenditure (OOPE) on primary education in Tripura, highlighting socio-economic and demographic disparities in educational spending. Using primary household data, variations in expenditure are examined across gender, residence, housing condition, social category, mother’s occupation, and private tuition status. The findings reveal persistent inequalities: households spend more on male students, urban children, economically better-off families, and those belonging to socially advantaged groups. Mother’s occupation, particularly government employment, significantly influences educational spending, underscoring the importance of women’s economic empowerment. Households not opting for private tuition report higher overall expenditure, indicating substitution between formal schooling quality and supplementary coaching. The study concludes that educational expenditure in Tripura is shaped by income, gender norms, social identity, residential location, and parental employment. Despite public education schemes, affordability remains a key challenge for disadvantaged households, emphasizing the need to strengthen public education, expand targeted financial support, and promote gender-equitable </w:t>
      </w:r>
      <w:r w:rsidRPr="00F848C2">
        <w:t>investment to achieve inclusive and quality education under SDG 4.</w:t>
      </w:r>
    </w:p>
    <w:p w14:paraId="19D3FACF" w14:textId="77777777" w:rsidR="00AD28BC" w:rsidRPr="00F848C2" w:rsidRDefault="00AD28BC" w:rsidP="00F848C2">
      <w:pPr>
        <w:spacing w:after="0"/>
        <w:rPr>
          <w:b/>
          <w:bCs/>
        </w:rPr>
      </w:pPr>
    </w:p>
    <w:p w14:paraId="6ABB972D" w14:textId="70BB278D" w:rsidR="00B3201F" w:rsidRPr="00B3201F" w:rsidRDefault="00B3201F" w:rsidP="00970E59">
      <w:pPr>
        <w:spacing w:after="0"/>
        <w:jc w:val="both"/>
      </w:pPr>
      <w:r w:rsidRPr="00F848C2">
        <w:rPr>
          <w:b/>
          <w:bCs/>
        </w:rPr>
        <w:t>Keyword</w:t>
      </w:r>
      <w:r w:rsidRPr="00B3201F">
        <w:rPr>
          <w:b/>
          <w:bCs/>
        </w:rPr>
        <w:t>:</w:t>
      </w:r>
      <w:r w:rsidRPr="00B3201F">
        <w:t xml:space="preserve"> Out-of-Pocket Expenditure, Primary</w:t>
      </w:r>
      <w:r w:rsidR="00970E59">
        <w:t xml:space="preserve"> </w:t>
      </w:r>
      <w:r w:rsidRPr="00B3201F">
        <w:t>Education,</w:t>
      </w:r>
      <w:r w:rsidR="00970E59" w:rsidRPr="00970E59">
        <w:t xml:space="preserve"> Socio-economic</w:t>
      </w:r>
      <w:r w:rsidR="00970E59">
        <w:t xml:space="preserve"> D</w:t>
      </w:r>
      <w:r w:rsidR="00970E59" w:rsidRPr="00970E59">
        <w:t>isparities</w:t>
      </w:r>
      <w:r w:rsidR="00970E59">
        <w:t xml:space="preserve">, </w:t>
      </w:r>
      <w:r w:rsidRPr="00B3201F">
        <w:t>Tripura</w:t>
      </w:r>
      <w:r>
        <w:t>.</w:t>
      </w:r>
    </w:p>
    <w:p w14:paraId="669B7EDC" w14:textId="77777777" w:rsidR="00586B03" w:rsidRDefault="00586B03" w:rsidP="00586B03">
      <w:pPr>
        <w:rPr>
          <w:b/>
          <w:bCs/>
        </w:rPr>
      </w:pPr>
    </w:p>
    <w:p w14:paraId="0D633E92" w14:textId="77777777" w:rsidR="009B0FF0" w:rsidRPr="009B0FF0" w:rsidRDefault="009B0FF0" w:rsidP="00586B03">
      <w:pPr>
        <w:rPr>
          <w:b/>
          <w:bCs/>
        </w:rPr>
      </w:pPr>
    </w:p>
    <w:p w14:paraId="2E7026E9" w14:textId="707A9075" w:rsidR="00023F5F" w:rsidRPr="009B0FF0" w:rsidRDefault="009B0FF0" w:rsidP="00023F5F">
      <w:pPr>
        <w:rPr>
          <w:b/>
          <w:bCs/>
        </w:rPr>
      </w:pPr>
      <w:r w:rsidRPr="009B0FF0">
        <w:rPr>
          <w:b/>
          <w:bCs/>
        </w:rPr>
        <w:t xml:space="preserve">1. </w:t>
      </w:r>
      <w:r w:rsidR="00023F5F" w:rsidRPr="009B0FF0">
        <w:rPr>
          <w:b/>
          <w:bCs/>
        </w:rPr>
        <w:t>Introduction</w:t>
      </w:r>
    </w:p>
    <w:p w14:paraId="0391E5C1" w14:textId="63778FF8" w:rsidR="00023F5F" w:rsidRDefault="00023F5F" w:rsidP="005D77F1">
      <w:pPr>
        <w:spacing w:after="0" w:line="276" w:lineRule="auto"/>
        <w:jc w:val="both"/>
      </w:pPr>
      <w:r w:rsidRPr="00023F5F">
        <w:t>Education is universally acknowledged as a fundamental human right and a key driver of human development, social mobility, and economic growth. The United Nations’ Sustainable Development Goals (SDGs), adopted in 2015, place strong emphasis on education through SDG 4, which seeks to ensure inclusive, equitable, and quality education for all. Achieving this goal requires not only universal enrolment but also the completion of quality primary education without imposing excessive financial burdens on households.</w:t>
      </w:r>
      <w:r w:rsidR="005D77F1">
        <w:t xml:space="preserve"> </w:t>
      </w:r>
      <w:r w:rsidRPr="00023F5F">
        <w:t xml:space="preserve">In developing countries such as India, households increasingly bear a significant share of education-related costs through out-of-pocket expenditure (OOPE), even at the primary level. These costs include spending on uniforms, textbooks, private tuition, transport, and other incidental expenses. Such expenditures are critical because they can hinder enrolment, retention, and completion of schooling for economically vulnerable households, reveal the true cost of accessing education beyond public provision, and compel families to make adverse trade-offs such as reducing consumption, incurring debt, or withdrawing children from school. Therefore, analysing the magnitude, distribution, and determinants of household OOPE on primary education is essential for assessing progress towards SDG 4 and for designing policies that promote </w:t>
      </w:r>
      <w:r w:rsidRPr="00023F5F">
        <w:lastRenderedPageBreak/>
        <w:t>equitable access to education.</w:t>
      </w:r>
      <w:r w:rsidR="005D77F1">
        <w:t xml:space="preserve"> </w:t>
      </w:r>
      <w:r w:rsidRPr="00023F5F">
        <w:t>Household expenditure on education in India remains substantial and highly unequal. Recent national surveys indicate stark differences in spending between government and private schools, as well as between rural and urban areas. While government schools entail relatively low average annual expenditure per student, costs in private schools are several times higher, largely due to fees and private tuition. Urban households also spend considerably more on education than rural households, reflecting disparities in access, aspirations, and supplementary coaching</w:t>
      </w:r>
      <w:r w:rsidR="005D77F1">
        <w:t xml:space="preserve">. </w:t>
      </w:r>
      <w:r w:rsidRPr="00023F5F">
        <w:t>These patterns raise serious equity concerns. High OOPE, particularly in private and supplementary education, can exclude children from poorer households and reinforce inequalities based on income, caste, gender, and location. Evidence suggests that socially and economically advantaged households invest more in education, while disadvantaged groups often spend less</w:t>
      </w:r>
      <w:r w:rsidR="005D77F1">
        <w:t xml:space="preserve"> </w:t>
      </w:r>
      <w:r w:rsidRPr="00023F5F">
        <w:t>not necessarily by choice, but due to constraints</w:t>
      </w:r>
      <w:r w:rsidR="005D77F1">
        <w:t xml:space="preserve"> </w:t>
      </w:r>
      <w:r w:rsidRPr="00023F5F">
        <w:t>thereby widening educational gaps.</w:t>
      </w:r>
      <w:r w:rsidR="005D77F1">
        <w:t xml:space="preserve"> </w:t>
      </w:r>
      <w:r w:rsidRPr="00023F5F">
        <w:t>India’s education policy framework, especially following the Right to Education Act (2009) and the National Education Policy (2020), emphasises free and compulsory education up to age 14, improved public school quality, and reduced household financial burden. However, the persistence of high household expenditure indicates that public provision does not fully substitute private costs. State-level financing plays a crucial role in this context. In several states, including Tripura, education spending as a share of total public expenditure remains below the national average, highlighting the need for enhanced public investment, better infrastructure, and reduction of hidden household costs.</w:t>
      </w:r>
      <w:r w:rsidR="005D77F1">
        <w:t xml:space="preserve"> </w:t>
      </w:r>
      <w:r w:rsidRPr="00023F5F">
        <w:t>Tripura presents an interesting case with respect to primary education. The state has achieved high enrolment rates and literacy levels, placing it among the better-performing states in terms of coverage. Official data indicate a substantial primary school network with a sizeable student and teacher base. Despite these achievements, structural challenges persist, including teacher shortages and single-teacher schools, which may affect education quality and push households towards supplementary spending.</w:t>
      </w:r>
      <w:r w:rsidR="005D77F1">
        <w:t xml:space="preserve"> </w:t>
      </w:r>
      <w:r w:rsidRPr="00023F5F">
        <w:t>Although state-specific data on household OOPE in Tripura are limited, national trends and the growing prevalence of private schooling and tuition suggest that households in the state also incur significant education-related costs. Understanding how these expenditures vary by gender, social category, residence, and household characteristics is essential for assessing educational equity. Tripura’s diverse population structure, including tribal and rural communities, further strengthens the case for a focused analysis of household education spending in the state.</w:t>
      </w:r>
      <w:r w:rsidR="005D77F1">
        <w:t xml:space="preserve"> </w:t>
      </w:r>
      <w:r w:rsidRPr="00023F5F">
        <w:t>Reducing financial barriers to education is central to achieving SDG 4, particularly its emphasis on free and equitable primary education. High household OOPE can undermine retention and completion even when enrolment rates are high. The SDG principle of “leaving no one behind” underscores the importance of ensuring that children from disadvantaged backgrounds are not excluded due to cost constraints.</w:t>
      </w:r>
      <w:r w:rsidR="005D77F1">
        <w:t xml:space="preserve"> </w:t>
      </w:r>
      <w:r w:rsidRPr="00023F5F">
        <w:t>While higher OOPE may also signal household investment in educational quality, it raises policy concerns when such spending compensates for deficiencies in public schooling. Excessive reliance on private expenditure risks stratifying the education system by ability to pay, thereby weakening equity and inclusion.</w:t>
      </w:r>
      <w:r w:rsidR="005D77F1">
        <w:t xml:space="preserve"> </w:t>
      </w:r>
      <w:r w:rsidRPr="00023F5F">
        <w:t xml:space="preserve">This study is important because household expenditure on primary education remains under-examined, particularly in smaller states like Tripura. Most existing research focuses on secondary and higher education, overlooking the foundational primary stage where cost barriers can have long-lasting effects on educational trajectories. By analysing OOPE at the primary level, the study provides insights into how household characteristics influence educational spending and identifies potential barriers faced by marginalised groups. The </w:t>
      </w:r>
      <w:r w:rsidRPr="00023F5F">
        <w:lastRenderedPageBreak/>
        <w:t>findings are relevant for state-level policy design, targeted subsidies, and efforts to improve public school quality in alignment with SDG 4 and national education priorities.</w:t>
      </w:r>
      <w:r w:rsidR="005D77F1">
        <w:t xml:space="preserve"> </w:t>
      </w:r>
      <w:r w:rsidRPr="00023F5F">
        <w:t>The study focuses on household OOPE for primary-level students in Tripura for the reference academic year. It examines expenditure patterns across variables such as gender, residence, social category, parental education and occupation, housing type, and tuition status. Limitations include the cross-sectional nature of the data, potential recall bias in reported expenditures, and limited disaggregation of certain cost components.</w:t>
      </w:r>
      <w:r w:rsidR="005D77F1">
        <w:t xml:space="preserve"> </w:t>
      </w:r>
      <w:r w:rsidRPr="00023F5F">
        <w:t>Overall, household out-of-pocket expenditure on primary education represents a critical but often overlooked dimension of educational equity. Despite high enrolment and literacy levels in Tripura, persistent household costs may undermine the goal of free and equitable education. By situating the analysis within the SDG 4 framework and India’s broader education landscape, this study seeks to inform policies that support affordable, inclusive, and quality primary education for all children.</w:t>
      </w:r>
    </w:p>
    <w:p w14:paraId="25251CFA" w14:textId="77777777" w:rsidR="005D77F1" w:rsidRDefault="005D77F1" w:rsidP="005D77F1">
      <w:pPr>
        <w:spacing w:after="0" w:line="276" w:lineRule="auto"/>
        <w:jc w:val="both"/>
      </w:pPr>
    </w:p>
    <w:p w14:paraId="4EBE55D3" w14:textId="493771AE" w:rsidR="005D77F1" w:rsidRPr="00C87A9B" w:rsidRDefault="009B0FF0" w:rsidP="009B0FF0">
      <w:pPr>
        <w:spacing w:line="276" w:lineRule="auto"/>
        <w:jc w:val="both"/>
        <w:rPr>
          <w:b/>
          <w:bCs/>
        </w:rPr>
      </w:pPr>
      <w:r>
        <w:rPr>
          <w:b/>
          <w:bCs/>
        </w:rPr>
        <w:t xml:space="preserve">2. </w:t>
      </w:r>
      <w:r w:rsidR="00C87A9B" w:rsidRPr="00C87A9B">
        <w:rPr>
          <w:b/>
          <w:bCs/>
        </w:rPr>
        <w:t xml:space="preserve">Review of the Literature </w:t>
      </w:r>
    </w:p>
    <w:p w14:paraId="7CEE2827" w14:textId="11728F48" w:rsidR="007B461C" w:rsidRDefault="00C87A9B" w:rsidP="00CA1FB9">
      <w:pPr>
        <w:jc w:val="both"/>
      </w:pPr>
      <w:r w:rsidRPr="00C87A9B">
        <w:t xml:space="preserve">Kuvat and </w:t>
      </w:r>
      <w:proofErr w:type="spellStart"/>
      <w:r w:rsidRPr="00C87A9B">
        <w:t>Kızılgöl</w:t>
      </w:r>
      <w:proofErr w:type="spellEnd"/>
      <w:r w:rsidRPr="00C87A9B">
        <w:t xml:space="preserve"> (2020) examined out-of-pocket expenditure on education and its role in generating catastrophic household spending. The study analysed the socioeconomic factors influencing educational expenditure and found that household annual income, income quintile, age of the household head, and educational attainment consistently increased out-of-pocket spending on education. While an increase in the number of preschool, primary, and university-going children reduced overall expenditure, a rise in high school</w:t>
      </w:r>
      <w:r>
        <w:t xml:space="preserve"> </w:t>
      </w:r>
      <w:r w:rsidRPr="00C87A9B">
        <w:t>enrolled children significantly increased educational spending.</w:t>
      </w:r>
      <w:r>
        <w:t xml:space="preserve"> </w:t>
      </w:r>
      <w:r w:rsidRPr="00C87A9B">
        <w:t>Building on household motivations behind such expenditures, Khanal (2022) explored the reasons for household spending on basic education. The study revealed that households are primarily driven by the desire to build human capital in their children. Despite limited resources, families allocate a substantial share of their income to basic education to enhance their children’s labour market competitiveness and ensure better future living standards.</w:t>
      </w:r>
      <w:r>
        <w:t xml:space="preserve"> </w:t>
      </w:r>
      <w:r w:rsidRPr="00C87A9B">
        <w:t>Acar et al. (2016) analysed the determinants of household education expenditure in Turkey using an Engel curve framework across income groups. Their findings indicated that expenditure elasticities were lower among the highest and lowest income quartiles, while middle-income groups exhibited higher elasticities. Moreover, for all income categories, education expenditure elasticity increased over time, suggesting that Turkish households have been allocating an increasing proportion of their budgets to education.</w:t>
      </w:r>
      <w:r>
        <w:t xml:space="preserve"> </w:t>
      </w:r>
      <w:r w:rsidRPr="00C87A9B">
        <w:t>Similarly focusing on expenditure patterns, Rizk and Abou (2016) investigated household education spending across different population groups in Arab countries. The study found that wealthier households consistently spent more on their children’s education. Although education is largely provided free of cost in most Arab nations, households still incur educational expenses, reflecting supplementary private investment in children’s schooling.</w:t>
      </w:r>
      <w:r>
        <w:t xml:space="preserve"> </w:t>
      </w:r>
      <w:r w:rsidRPr="004F217D">
        <w:t>ASER</w:t>
      </w:r>
      <w:r>
        <w:t xml:space="preserve"> </w:t>
      </w:r>
      <w:r w:rsidRPr="004F217D">
        <w:t>(2023)</w:t>
      </w:r>
      <w:r>
        <w:t xml:space="preserve"> </w:t>
      </w:r>
      <w:r w:rsidRPr="004F217D">
        <w:t>provides key insights into learning outcomes and access to education among rural children in India. It highlights growing disparities between public and private schooling and increasing dependence on private tuitions, indicating rising household out-of-pocket expenditure on education</w:t>
      </w:r>
      <w:r>
        <w:t xml:space="preserve">. </w:t>
      </w:r>
      <w:r w:rsidRPr="00C87A9B">
        <w:t xml:space="preserve">Mehrotra and </w:t>
      </w:r>
      <w:proofErr w:type="spellStart"/>
      <w:r w:rsidRPr="00C87A9B">
        <w:t>Delamonica</w:t>
      </w:r>
      <w:proofErr w:type="spellEnd"/>
      <w:r w:rsidRPr="00C87A9B">
        <w:t xml:space="preserve"> (1998) analysed public and household spending on elementary education in five low-income countries. The study found that high overall education costs were associated with low enrolment rates, largely due to elevated teacher salaries relative to per capita income. High private household expenditures further intensified enrolment and outcome disparities between genders. Conversely, countries with high enrolment but low public spending struggled with completion rates and quality, highlighting the need for cost-efficient </w:t>
      </w:r>
      <w:r w:rsidRPr="00C87A9B">
        <w:lastRenderedPageBreak/>
        <w:t>education policies.</w:t>
      </w:r>
      <w:r>
        <w:t xml:space="preserve"> </w:t>
      </w:r>
      <w:r w:rsidRPr="00C87A9B">
        <w:t xml:space="preserve">Ullah et al. (2022) examined the impact of household sociodemographic characteristics on out-of-pocket educational expenditure in Pakistan. The findings showed that Punjabi households spent significantly more on education than </w:t>
      </w:r>
      <w:proofErr w:type="spellStart"/>
      <w:r w:rsidRPr="00C87A9B">
        <w:t>Baluchistani</w:t>
      </w:r>
      <w:proofErr w:type="spellEnd"/>
      <w:r w:rsidRPr="00C87A9B">
        <w:t xml:space="preserve"> households. Educational spending was higher among male-headed urban households compared to female-headed rural households. Factors such as household income, parental education, number of enrolled students, and distance to educational institutions positively influenced education expenditure. The study concluded that improving household financial capacity and </w:t>
      </w:r>
      <w:proofErr w:type="gramStart"/>
      <w:r w:rsidRPr="00C87A9B">
        <w:t>public school</w:t>
      </w:r>
      <w:proofErr w:type="gramEnd"/>
      <w:r w:rsidRPr="00C87A9B">
        <w:t xml:space="preserve"> quality is essential.</w:t>
      </w:r>
      <w:r w:rsidR="009B0FF0">
        <w:t xml:space="preserve"> </w:t>
      </w:r>
      <w:r w:rsidRPr="00C87A9B">
        <w:t>In the Indian context, Tilak (2002) investigated household education expenditure in rural areas and found that significant out-of-pocket costs were incurred even at the primary level, indicating that education in India is not genuinely free. While gender bias was limited, household wealth, educational level of the household head, caste, religion, demographic burden, and school characteristics significantly affected spending. The study highlighted the complementary relationship between household and government expenditure and emphasized the need for higher public investment.</w:t>
      </w:r>
      <w:r>
        <w:t xml:space="preserve"> </w:t>
      </w:r>
      <w:r w:rsidRPr="00C87A9B">
        <w:t>Bayar and Yanik (2016) further analysed determinants of household education expenditure in Turkey with a focus on income inequality. Their results showed that higher household wealth and human capital significantly increased educational spending. Education expenditure was also found to be highly sensitive to income changes. Overall, the study underscored the importance of income level and human capital in shaping private education spending decisions.</w:t>
      </w:r>
      <w:r>
        <w:t xml:space="preserve"> </w:t>
      </w:r>
      <w:r w:rsidRPr="00C87A9B">
        <w:t>Mukherjee and Sengupta (2023) assessed factors influencing private education expenditure in India. The study found that household consumption expenditure, age of the respondent, English-medium education, private coaching, and access to computers positively influenced private education spending. Conversely, larger household size, rural residence, female gender, social group affiliation, minority status, and school type were associated with lower private spending. The authors emphasized the need for gender-equitable investment and targeted financial support for disadvantaged groups.</w:t>
      </w:r>
      <w:r>
        <w:t xml:space="preserve"> </w:t>
      </w:r>
      <w:r w:rsidRPr="00C87A9B">
        <w:t>Mishra and Nayak (2010) examined historical, geographical, and socioeconomic factors affecting human development in Tripura. The study highlighted how Partition, repeated refugee inflows, and inadequate infrastructure weakened the state’s economic base and connectivity. Despite these constraints, Tripura achieved notable progress in health and education, resulting in relatively strong human development outcomes. The authors stressed the need to leverage these gains to enhance productivity, economic growth, and per capita income.</w:t>
      </w:r>
      <w:r>
        <w:t xml:space="preserve"> </w:t>
      </w:r>
      <w:r w:rsidRPr="00C87A9B">
        <w:t>Kaleem and Akhtar (2024) analysed household expenditure on primary and upper primary education in urban India, particularly after education was placed on the concurrent list. Using NSS 75th round data (2017–18) and OLS regression, the study found that despite constitutional guarantees of free elementary education, households continue to make voluntary financial contributions. Socioeconomic characteristics were found to significantly influence household education spending in urban areas.</w:t>
      </w:r>
      <w:r>
        <w:t xml:space="preserve"> </w:t>
      </w:r>
      <w:r w:rsidRPr="00C87A9B">
        <w:t>Bhattacharya (2012) investigated whether free education reduces private household expenditure on education in India. The study revealed that free education remains largely confined to the elementary level and is not universally accessible. Although tuition costs decline under free education, households across income groups still bear substantial expenses related to books, uniforms, and private tutoring. The study emphasized improving public education quality and coverage to reduce household financial burden.</w:t>
      </w:r>
      <w:r>
        <w:t xml:space="preserve"> </w:t>
      </w:r>
      <w:r w:rsidRPr="00C87A9B">
        <w:t xml:space="preserve">Saha (2013) examined gender disparities in household education expenditure in India and found that households consistently spent more on boys’ education than on girls’ education in both rural and urban areas. Significant gender differences were observed across states, and discrimination persisted even in relatively developed regions, indicating deep-rooted intra-household gender </w:t>
      </w:r>
      <w:r w:rsidRPr="00C87A9B">
        <w:lastRenderedPageBreak/>
        <w:t>bias in educational investment.</w:t>
      </w:r>
      <w:r>
        <w:t xml:space="preserve"> </w:t>
      </w:r>
      <w:r w:rsidRPr="00C87A9B">
        <w:t>Paul and Choudhury (2021), using NSSO data, analysed interstate variations in education expenditure and found that northeastern states, including Tripura, experienced increasing household financial burdens despite high enrolment levels.</w:t>
      </w:r>
      <w:r>
        <w:t xml:space="preserve"> </w:t>
      </w:r>
      <w:r w:rsidRPr="00C87A9B">
        <w:t>Finally, Choudhury (2019) examined household expenditure on higher education in rural Odisha using student-level survey data from two tribal-dominated districts. The study found that households spent nearly 30 percent of their annual income on higher education, with non-fee components such as private coaching, lodging, and transportation accounting for most expenses. Income level, institution type, and hostel status significantly influenced expenditure patterns, and gender bias favouring male students persisted among marginalized communities.</w:t>
      </w:r>
      <w:r w:rsidR="00CA1FB9">
        <w:t xml:space="preserve"> Similar, study was done by </w:t>
      </w:r>
      <w:r w:rsidR="00CA1FB9" w:rsidRPr="00CA1FB9">
        <w:rPr>
          <w:lang w:val="en-GB"/>
        </w:rPr>
        <w:t>Shah (2020)</w:t>
      </w:r>
      <w:r w:rsidR="00CA1FB9">
        <w:rPr>
          <w:lang w:val="en-GB"/>
        </w:rPr>
        <w:t xml:space="preserve"> and </w:t>
      </w:r>
      <w:r w:rsidR="00CA1FB9" w:rsidRPr="00CA1FB9">
        <w:rPr>
          <w:lang w:val="en-GB"/>
        </w:rPr>
        <w:t xml:space="preserve">Saleel &amp; </w:t>
      </w:r>
      <w:proofErr w:type="spellStart"/>
      <w:r w:rsidR="00CA1FB9" w:rsidRPr="00CA1FB9">
        <w:rPr>
          <w:lang w:val="en-GB"/>
        </w:rPr>
        <w:t>Cholakkal</w:t>
      </w:r>
      <w:proofErr w:type="spellEnd"/>
      <w:r w:rsidR="00CA1FB9" w:rsidRPr="00CA1FB9">
        <w:rPr>
          <w:lang w:val="en-GB"/>
        </w:rPr>
        <w:t xml:space="preserve"> (2023)</w:t>
      </w:r>
      <w:r w:rsidR="00CA1FB9">
        <w:rPr>
          <w:lang w:val="en-GB"/>
        </w:rPr>
        <w:t xml:space="preserve"> to examine the determinants of out-of-pocket expenditure on education. </w:t>
      </w:r>
      <w:r w:rsidR="007B461C" w:rsidRPr="007B461C">
        <w:t>Household out-of-pocket expenditure (OOPE) on education has been the subject of numerous research in India; however, the majority of these studies concentrate on the national or large-state levels, paying little attention to smaller northeastern states such as Tripura. The elementary level, where spending patterns and drivers may differ despite free and universal education programs, is largely ignored by existing research, which focuses mostly on secondary or higher education. Furthermore, the combined effects of caste, gender, parental occupation, school type, and residence on educational spending have hardly ever been taken into account in prior research.</w:t>
      </w:r>
      <w:r w:rsidR="007B461C">
        <w:t xml:space="preserve"> </w:t>
      </w:r>
      <w:r w:rsidR="007B461C" w:rsidRPr="007B461C">
        <w:t>Tripura's distinct socioeconomic and infrastructure circumstances, which are characterized by a majority of rural areas and a low level of private education, are still mostly unstudied. By examining the drivers of household OOPE on primary education in Tripura, this study closes this gap by providing region-specific insights into how institutional conditions, parental history, and household characteristics influence educational investment at the foundational stage.</w:t>
      </w:r>
    </w:p>
    <w:p w14:paraId="3515D777" w14:textId="77777777" w:rsidR="003F715D" w:rsidRPr="007B461C" w:rsidRDefault="003F715D" w:rsidP="009B0FF0">
      <w:pPr>
        <w:spacing w:after="0" w:line="276" w:lineRule="auto"/>
        <w:jc w:val="both"/>
      </w:pPr>
    </w:p>
    <w:p w14:paraId="23A74346" w14:textId="18FF6628" w:rsidR="00DF45EA" w:rsidRPr="00DF45EA" w:rsidRDefault="009B0FF0" w:rsidP="00DF45EA">
      <w:r>
        <w:rPr>
          <w:b/>
          <w:bCs/>
        </w:rPr>
        <w:t xml:space="preserve">3. </w:t>
      </w:r>
      <w:r w:rsidR="00DF45EA" w:rsidRPr="007625FA">
        <w:rPr>
          <w:b/>
          <w:bCs/>
        </w:rPr>
        <w:t>Objectives of the Study</w:t>
      </w:r>
    </w:p>
    <w:p w14:paraId="62CC92EB" w14:textId="05F69971" w:rsidR="00DF45EA" w:rsidRPr="00BB0B4A" w:rsidRDefault="00DF45EA" w:rsidP="00DF45EA">
      <w:pPr>
        <w:spacing w:after="0" w:line="276" w:lineRule="auto"/>
        <w:jc w:val="both"/>
      </w:pPr>
      <w:r w:rsidRPr="00BB0B4A">
        <w:t xml:space="preserve">In light of the </w:t>
      </w:r>
      <w:r w:rsidR="00670249">
        <w:t>research</w:t>
      </w:r>
      <w:r w:rsidRPr="00BB0B4A">
        <w:t xml:space="preserve"> gap, the present study aims to examine the determinants of household out-of-pocket expenditure on education at the primary level in Tripura. Specifically, it seeks to:</w:t>
      </w:r>
    </w:p>
    <w:p w14:paraId="5D2D2DF1" w14:textId="77777777" w:rsidR="00DF45EA" w:rsidRDefault="00DF45EA" w:rsidP="00C24935">
      <w:pPr>
        <w:numPr>
          <w:ilvl w:val="0"/>
          <w:numId w:val="2"/>
        </w:numPr>
        <w:spacing w:before="240" w:after="0" w:line="276" w:lineRule="auto"/>
        <w:jc w:val="both"/>
      </w:pPr>
      <w:r w:rsidRPr="00BB0B4A">
        <w:t>Estimate the average annual household out-of-pocket expenditure (OOPE) on primary education.</w:t>
      </w:r>
    </w:p>
    <w:p w14:paraId="294857F6" w14:textId="77777777" w:rsidR="00DF45EA" w:rsidRDefault="00DF45EA" w:rsidP="00C24935">
      <w:pPr>
        <w:numPr>
          <w:ilvl w:val="0"/>
          <w:numId w:val="2"/>
        </w:numPr>
        <w:spacing w:before="240" w:after="0" w:line="276" w:lineRule="auto"/>
        <w:jc w:val="both"/>
      </w:pPr>
      <w:proofErr w:type="spellStart"/>
      <w:r w:rsidRPr="00BB0B4A">
        <w:t>Analyze</w:t>
      </w:r>
      <w:proofErr w:type="spellEnd"/>
      <w:r w:rsidRPr="00BB0B4A">
        <w:t xml:space="preserve"> the variation in educational expenditure</w:t>
      </w:r>
      <w:r>
        <w:t xml:space="preserve"> in primary level </w:t>
      </w:r>
      <w:r w:rsidRPr="00BB0B4A">
        <w:t>across socio-economic and demographic factors</w:t>
      </w:r>
      <w:r>
        <w:t>.</w:t>
      </w:r>
    </w:p>
    <w:p w14:paraId="576330F0" w14:textId="77777777" w:rsidR="00DF45EA" w:rsidRPr="00BB0B4A" w:rsidRDefault="00DF45EA" w:rsidP="00C24935">
      <w:pPr>
        <w:numPr>
          <w:ilvl w:val="0"/>
          <w:numId w:val="2"/>
        </w:numPr>
        <w:spacing w:before="240" w:after="0" w:line="276" w:lineRule="auto"/>
        <w:jc w:val="both"/>
      </w:pPr>
      <w:r w:rsidRPr="00BB0B4A">
        <w:t xml:space="preserve">To </w:t>
      </w:r>
      <w:r>
        <w:t xml:space="preserve">assess </w:t>
      </w:r>
      <w:r w:rsidRPr="00BB0B4A">
        <w:t>determinants of household out-of-pocket expenditure on education at the primary level</w:t>
      </w:r>
      <w:r>
        <w:t>.</w:t>
      </w:r>
    </w:p>
    <w:p w14:paraId="7E57991B" w14:textId="77777777" w:rsidR="009B0FF0" w:rsidRDefault="009B0FF0" w:rsidP="009B0FF0"/>
    <w:p w14:paraId="76091FF4" w14:textId="74331A82" w:rsidR="007C3087" w:rsidRPr="009B0FF0" w:rsidRDefault="009B0FF0" w:rsidP="009B0FF0">
      <w:pPr>
        <w:rPr>
          <w:b/>
          <w:bCs/>
        </w:rPr>
      </w:pPr>
      <w:r w:rsidRPr="009B0FF0">
        <w:rPr>
          <w:b/>
          <w:bCs/>
        </w:rPr>
        <w:t>4.</w:t>
      </w:r>
      <w:r>
        <w:t xml:space="preserve"> </w:t>
      </w:r>
      <w:r w:rsidR="007C3087" w:rsidRPr="009B0FF0">
        <w:rPr>
          <w:b/>
          <w:bCs/>
        </w:rPr>
        <w:t>Methodology</w:t>
      </w:r>
    </w:p>
    <w:p w14:paraId="5AB2C8EB" w14:textId="2A949F14" w:rsidR="00250CC6" w:rsidRDefault="007C3087" w:rsidP="006C22F3">
      <w:pPr>
        <w:spacing w:line="276" w:lineRule="auto"/>
        <w:jc w:val="both"/>
      </w:pPr>
      <w:r w:rsidRPr="00C378FB">
        <w:t>The present study is empirical in nature, primarily based on primary data collected through a structured survey of primary-level students in the state of Tripura.</w:t>
      </w:r>
      <w:r w:rsidR="003F715D">
        <w:t xml:space="preserve"> The surveyed was conducted in the month of December of 2025. </w:t>
      </w:r>
      <w:r w:rsidRPr="00C378FB">
        <w:t>The objective of the study is to examine the d</w:t>
      </w:r>
      <w:r w:rsidRPr="007625FA">
        <w:t xml:space="preserve">eterminants of </w:t>
      </w:r>
      <w:r>
        <w:t>h</w:t>
      </w:r>
      <w:r w:rsidRPr="007625FA">
        <w:t xml:space="preserve">ousehold </w:t>
      </w:r>
      <w:r>
        <w:t>o</w:t>
      </w:r>
      <w:r w:rsidRPr="007625FA">
        <w:t>ut-of-</w:t>
      </w:r>
      <w:r>
        <w:t>p</w:t>
      </w:r>
      <w:r w:rsidRPr="007625FA">
        <w:t xml:space="preserve">ocket </w:t>
      </w:r>
      <w:r>
        <w:t>e</w:t>
      </w:r>
      <w:r w:rsidRPr="007625FA">
        <w:t xml:space="preserve">ducational </w:t>
      </w:r>
      <w:r>
        <w:t>e</w:t>
      </w:r>
      <w:r w:rsidRPr="007625FA">
        <w:t xml:space="preserve">xpenditure at the </w:t>
      </w:r>
      <w:r>
        <w:t>p</w:t>
      </w:r>
      <w:r w:rsidRPr="007625FA">
        <w:t xml:space="preserve">rimary </w:t>
      </w:r>
      <w:r>
        <w:t>l</w:t>
      </w:r>
      <w:r w:rsidRPr="007625FA">
        <w:t xml:space="preserve">evel in Tripura </w:t>
      </w:r>
      <w:r w:rsidRPr="00C378FB">
        <w:t xml:space="preserve">considering socioeconomic, demographic, and educational background factors. A descriptive-cum-analytical research design was adopted to both describe the characteristics of the sampled </w:t>
      </w:r>
      <w:r w:rsidRPr="00C378FB">
        <w:lastRenderedPageBreak/>
        <w:t xml:space="preserve">students and to </w:t>
      </w:r>
      <w:proofErr w:type="spellStart"/>
      <w:r w:rsidRPr="00C378FB">
        <w:t>analyze</w:t>
      </w:r>
      <w:proofErr w:type="spellEnd"/>
      <w:r w:rsidRPr="00C378FB">
        <w:t xml:space="preserve"> the relationship between selected variables and </w:t>
      </w:r>
      <w:r>
        <w:t>h</w:t>
      </w:r>
      <w:r w:rsidRPr="007625FA">
        <w:t xml:space="preserve">ousehold </w:t>
      </w:r>
      <w:r>
        <w:t>o</w:t>
      </w:r>
      <w:r w:rsidRPr="007625FA">
        <w:t>ut-of-</w:t>
      </w:r>
      <w:r>
        <w:t>p</w:t>
      </w:r>
      <w:r w:rsidRPr="007625FA">
        <w:t xml:space="preserve">ocket </w:t>
      </w:r>
      <w:r>
        <w:t>e</w:t>
      </w:r>
      <w:r w:rsidRPr="007625FA">
        <w:t xml:space="preserve">ducational </w:t>
      </w:r>
      <w:r>
        <w:t>e</w:t>
      </w:r>
      <w:r w:rsidRPr="007625FA">
        <w:t>xpenditure</w:t>
      </w:r>
      <w:r>
        <w:t>.</w:t>
      </w:r>
      <w:r w:rsidR="009B0FF0">
        <w:t xml:space="preserve"> </w:t>
      </w:r>
      <w:r w:rsidRPr="00C378FB">
        <w:t xml:space="preserve">The study relies exclusively on primary data, collected directly from students and their households through a field survey conducted in selected urban and rural areas of Tripura. A well-structured questionnaire was designed to capture relevant information on </w:t>
      </w:r>
      <w:r>
        <w:t>h</w:t>
      </w:r>
      <w:r w:rsidRPr="007625FA">
        <w:t xml:space="preserve">ousehold </w:t>
      </w:r>
      <w:r>
        <w:t>o</w:t>
      </w:r>
      <w:r w:rsidRPr="007625FA">
        <w:t>ut-of-</w:t>
      </w:r>
      <w:r>
        <w:t>p</w:t>
      </w:r>
      <w:r w:rsidRPr="007625FA">
        <w:t xml:space="preserve">ocket </w:t>
      </w:r>
      <w:r>
        <w:t>e</w:t>
      </w:r>
      <w:r w:rsidRPr="007625FA">
        <w:t xml:space="preserve">ducational </w:t>
      </w:r>
      <w:r>
        <w:t>e</w:t>
      </w:r>
      <w:r w:rsidRPr="007625FA">
        <w:t>xpenditure</w:t>
      </w:r>
      <w:r>
        <w:t xml:space="preserve"> at primary level which </w:t>
      </w:r>
      <w:r w:rsidRPr="00C378FB">
        <w:t>records, family background, schooling environment, and socioeconomic conditions</w:t>
      </w:r>
      <w:r w:rsidR="00250CC6">
        <w:t xml:space="preserve"> in Tripura across different districts</w:t>
      </w:r>
      <w:r w:rsidRPr="00C378FB">
        <w:t>.</w:t>
      </w:r>
      <w:r w:rsidR="00250CC6">
        <w:t xml:space="preserve"> The location map is given in the Figure 1.</w:t>
      </w:r>
    </w:p>
    <w:p w14:paraId="2E478D8C" w14:textId="3DE9C4D4" w:rsidR="00250CC6" w:rsidRPr="00250CC6" w:rsidRDefault="00250CC6" w:rsidP="00250CC6">
      <w:pPr>
        <w:spacing w:line="276" w:lineRule="auto"/>
        <w:jc w:val="center"/>
        <w:rPr>
          <w:b/>
          <w:bCs/>
        </w:rPr>
      </w:pPr>
      <w:r w:rsidRPr="00250CC6">
        <w:rPr>
          <w:b/>
          <w:bCs/>
        </w:rPr>
        <w:t>Figure</w:t>
      </w:r>
      <w:r w:rsidR="00241273">
        <w:rPr>
          <w:b/>
          <w:bCs/>
        </w:rPr>
        <w:t xml:space="preserve"> 1</w:t>
      </w:r>
      <w:r w:rsidRPr="00250CC6">
        <w:rPr>
          <w:b/>
          <w:bCs/>
        </w:rPr>
        <w:t>: Location Map of Tripura</w:t>
      </w:r>
    </w:p>
    <w:p w14:paraId="1153A33E" w14:textId="7F634B1A" w:rsidR="00250CC6" w:rsidRPr="00250CC6" w:rsidRDefault="00250CC6" w:rsidP="00250CC6">
      <w:pPr>
        <w:spacing w:after="0" w:line="276" w:lineRule="auto"/>
        <w:jc w:val="center"/>
      </w:pPr>
      <w:r w:rsidRPr="00250CC6">
        <w:rPr>
          <w:noProof/>
        </w:rPr>
        <w:drawing>
          <wp:inline distT="0" distB="0" distL="0" distR="0" wp14:anchorId="71597E6A" wp14:editId="26BCF207">
            <wp:extent cx="4723282" cy="2796540"/>
            <wp:effectExtent l="0" t="0" r="1270" b="3810"/>
            <wp:docPr id="892126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3785" cy="2814600"/>
                    </a:xfrm>
                    <a:prstGeom prst="rect">
                      <a:avLst/>
                    </a:prstGeom>
                    <a:noFill/>
                    <a:ln>
                      <a:noFill/>
                    </a:ln>
                  </pic:spPr>
                </pic:pic>
              </a:graphicData>
            </a:graphic>
          </wp:inline>
        </w:drawing>
      </w:r>
    </w:p>
    <w:p w14:paraId="0E488118" w14:textId="77777777" w:rsidR="00250CC6" w:rsidRDefault="00250CC6" w:rsidP="00250CC6">
      <w:pPr>
        <w:spacing w:after="0" w:line="276" w:lineRule="auto"/>
        <w:jc w:val="both"/>
      </w:pPr>
    </w:p>
    <w:p w14:paraId="7D43E41A" w14:textId="72F38781" w:rsidR="007C3087" w:rsidRDefault="00241273" w:rsidP="00250CC6">
      <w:pPr>
        <w:spacing w:after="0" w:line="276" w:lineRule="auto"/>
        <w:jc w:val="both"/>
      </w:pPr>
      <w:r w:rsidRPr="00241273">
        <w:t>A landlocked state in northeastern India, Tripura is nearly encircled by Bangladesh and features hills, valleys, rivers, and forests. It has strong cultural traditions and shares borders with Assam and Mizoram.</w:t>
      </w:r>
      <w:r w:rsidR="006C22F3">
        <w:t xml:space="preserve"> </w:t>
      </w:r>
      <w:r w:rsidR="009B0FF0">
        <w:t>T</w:t>
      </w:r>
      <w:r w:rsidR="007C3087" w:rsidRPr="00C378FB">
        <w:t xml:space="preserve">he study covers a total of 80 students enrolled in Classes II to V across various government and private schools in Tripura. A simple random sampling </w:t>
      </w:r>
      <w:r w:rsidR="007C3087">
        <w:t xml:space="preserve">but little purposive </w:t>
      </w:r>
      <w:r w:rsidR="007C3087" w:rsidRPr="00C378FB">
        <w:t>technique was employed to ensure unbiased selection of respondents. The sample was chosen to include students from diverse backgrounds in terms of gender, social category, medium of instruction, and region (urban and rural), thereby ensuring a representative distribution.</w:t>
      </w:r>
      <w:r w:rsidR="007C3087">
        <w:t xml:space="preserve"> </w:t>
      </w:r>
      <w:r w:rsidR="007C3087" w:rsidRPr="00C378FB">
        <w:t xml:space="preserve">The detailed category-wise distribution of surveyed students is presented in </w:t>
      </w:r>
      <w:r w:rsidR="007C3087" w:rsidRPr="00C378FB">
        <w:rPr>
          <w:i/>
          <w:iCs/>
        </w:rPr>
        <w:t>Table</w:t>
      </w:r>
      <w:r w:rsidR="007C3087">
        <w:rPr>
          <w:i/>
          <w:iCs/>
        </w:rPr>
        <w:t xml:space="preserve"> </w:t>
      </w:r>
      <w:r w:rsidR="007C3087" w:rsidRPr="00C378FB">
        <w:rPr>
          <w:i/>
          <w:iCs/>
        </w:rPr>
        <w:t>1</w:t>
      </w:r>
      <w:r w:rsidR="007C3087" w:rsidRPr="00C378FB">
        <w:t>, covering aspects such as gender, class, social category, house type, mother’s occupation, and tuition status.</w:t>
      </w:r>
    </w:p>
    <w:p w14:paraId="3092B933" w14:textId="0E0916A0" w:rsidR="007C3087" w:rsidRPr="00520ABD" w:rsidRDefault="007C3087" w:rsidP="007C3087">
      <w:pPr>
        <w:rPr>
          <w:b/>
          <w:bCs/>
        </w:rPr>
      </w:pPr>
      <w:r w:rsidRPr="00520ABD">
        <w:rPr>
          <w:b/>
          <w:bCs/>
        </w:rPr>
        <w:t>Table</w:t>
      </w:r>
      <w:r>
        <w:rPr>
          <w:b/>
          <w:bCs/>
        </w:rPr>
        <w:t xml:space="preserve"> 1</w:t>
      </w:r>
      <w:r w:rsidRPr="00520ABD">
        <w:rPr>
          <w:b/>
          <w:bCs/>
        </w:rPr>
        <w:t>: Category-Wise Distribution of Surveyed Primary-Level Students in Tripura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5"/>
        <w:gridCol w:w="1985"/>
        <w:gridCol w:w="1846"/>
      </w:tblGrid>
      <w:tr w:rsidR="007C3087" w:rsidRPr="003F715D" w14:paraId="4416ED49" w14:textId="77777777" w:rsidTr="003F715D">
        <w:trPr>
          <w:trHeight w:val="170"/>
        </w:trPr>
        <w:tc>
          <w:tcPr>
            <w:tcW w:w="2875" w:type="pct"/>
            <w:gridSpan w:val="2"/>
            <w:shd w:val="clear" w:color="5B9BD5" w:fill="5B9BD5"/>
            <w:noWrap/>
            <w:vAlign w:val="center"/>
            <w:hideMark/>
          </w:tcPr>
          <w:p w14:paraId="07D7A7D5" w14:textId="77777777" w:rsidR="007C3087" w:rsidRPr="003F715D" w:rsidRDefault="007C3087" w:rsidP="00832706">
            <w:pPr>
              <w:spacing w:after="0" w:line="240" w:lineRule="auto"/>
              <w:rPr>
                <w:rFonts w:eastAsia="Times New Roman"/>
                <w:b/>
                <w:bCs/>
                <w:color w:val="FFFFFF"/>
                <w:kern w:val="0"/>
                <w:sz w:val="22"/>
                <w:szCs w:val="22"/>
                <w:lang w:eastAsia="en-IN"/>
                <w14:ligatures w14:val="none"/>
              </w:rPr>
            </w:pPr>
            <w:r w:rsidRPr="003F715D">
              <w:rPr>
                <w:rFonts w:eastAsia="Times New Roman"/>
                <w:b/>
                <w:bCs/>
                <w:color w:val="FFFFFF"/>
                <w:kern w:val="0"/>
                <w:sz w:val="22"/>
                <w:szCs w:val="22"/>
                <w:lang w:eastAsia="en-IN"/>
                <w14:ligatures w14:val="none"/>
              </w:rPr>
              <w:t>Category</w:t>
            </w:r>
          </w:p>
        </w:tc>
        <w:tc>
          <w:tcPr>
            <w:tcW w:w="1101" w:type="pct"/>
            <w:shd w:val="clear" w:color="5B9BD5" w:fill="5B9BD5"/>
            <w:noWrap/>
            <w:vAlign w:val="center"/>
            <w:hideMark/>
          </w:tcPr>
          <w:p w14:paraId="774E42BC" w14:textId="77777777" w:rsidR="007C3087" w:rsidRPr="003F715D" w:rsidRDefault="007C3087" w:rsidP="00832706">
            <w:pPr>
              <w:spacing w:after="0" w:line="240" w:lineRule="auto"/>
              <w:jc w:val="center"/>
              <w:rPr>
                <w:rFonts w:eastAsia="Times New Roman"/>
                <w:b/>
                <w:bCs/>
                <w:color w:val="FFFFFF"/>
                <w:kern w:val="0"/>
                <w:sz w:val="22"/>
                <w:szCs w:val="22"/>
                <w:lang w:eastAsia="en-IN"/>
                <w14:ligatures w14:val="none"/>
              </w:rPr>
            </w:pPr>
            <w:r w:rsidRPr="003F715D">
              <w:rPr>
                <w:rFonts w:eastAsia="Times New Roman"/>
                <w:b/>
                <w:bCs/>
                <w:color w:val="FFFFFF"/>
                <w:kern w:val="0"/>
                <w:sz w:val="22"/>
                <w:szCs w:val="22"/>
                <w:lang w:eastAsia="en-IN"/>
                <w14:ligatures w14:val="none"/>
              </w:rPr>
              <w:t>No of Students</w:t>
            </w:r>
          </w:p>
        </w:tc>
        <w:tc>
          <w:tcPr>
            <w:tcW w:w="1024" w:type="pct"/>
            <w:shd w:val="clear" w:color="5B9BD5" w:fill="5B9BD5"/>
            <w:noWrap/>
            <w:vAlign w:val="center"/>
            <w:hideMark/>
          </w:tcPr>
          <w:p w14:paraId="10631485" w14:textId="77777777" w:rsidR="007C3087" w:rsidRPr="003F715D" w:rsidRDefault="007C3087" w:rsidP="00832706">
            <w:pPr>
              <w:spacing w:after="0" w:line="240" w:lineRule="auto"/>
              <w:jc w:val="center"/>
              <w:rPr>
                <w:rFonts w:eastAsia="Times New Roman"/>
                <w:b/>
                <w:bCs/>
                <w:color w:val="FFFFFF"/>
                <w:kern w:val="0"/>
                <w:sz w:val="22"/>
                <w:szCs w:val="22"/>
                <w:lang w:eastAsia="en-IN"/>
                <w14:ligatures w14:val="none"/>
              </w:rPr>
            </w:pPr>
            <w:r w:rsidRPr="003F715D">
              <w:rPr>
                <w:rFonts w:eastAsia="Times New Roman"/>
                <w:b/>
                <w:bCs/>
                <w:color w:val="FFFFFF"/>
                <w:kern w:val="0"/>
                <w:sz w:val="22"/>
                <w:szCs w:val="22"/>
                <w:lang w:eastAsia="en-IN"/>
                <w14:ligatures w14:val="none"/>
              </w:rPr>
              <w:t>Percentage (%)</w:t>
            </w:r>
          </w:p>
        </w:tc>
      </w:tr>
      <w:tr w:rsidR="007C3087" w:rsidRPr="003F715D" w14:paraId="2B2EB754" w14:textId="77777777" w:rsidTr="003F715D">
        <w:trPr>
          <w:trHeight w:val="170"/>
        </w:trPr>
        <w:tc>
          <w:tcPr>
            <w:tcW w:w="2875" w:type="pct"/>
            <w:gridSpan w:val="2"/>
            <w:shd w:val="clear" w:color="DDEBF7" w:fill="DDEBF7"/>
            <w:noWrap/>
            <w:vAlign w:val="center"/>
            <w:hideMark/>
          </w:tcPr>
          <w:p w14:paraId="3E99E17C"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Tolal Students Surveyed</w:t>
            </w:r>
          </w:p>
        </w:tc>
        <w:tc>
          <w:tcPr>
            <w:tcW w:w="1101" w:type="pct"/>
            <w:shd w:val="clear" w:color="DDEBF7" w:fill="DDEBF7"/>
            <w:noWrap/>
            <w:vAlign w:val="center"/>
            <w:hideMark/>
          </w:tcPr>
          <w:p w14:paraId="306C3554"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80</w:t>
            </w:r>
          </w:p>
        </w:tc>
        <w:tc>
          <w:tcPr>
            <w:tcW w:w="1024" w:type="pct"/>
            <w:shd w:val="clear" w:color="DDEBF7" w:fill="DDEBF7"/>
            <w:noWrap/>
            <w:vAlign w:val="center"/>
            <w:hideMark/>
          </w:tcPr>
          <w:p w14:paraId="4246A4D8"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100</w:t>
            </w:r>
          </w:p>
        </w:tc>
      </w:tr>
      <w:tr w:rsidR="007C3087" w:rsidRPr="003F715D" w14:paraId="7291F056" w14:textId="77777777" w:rsidTr="003F715D">
        <w:trPr>
          <w:trHeight w:val="170"/>
        </w:trPr>
        <w:tc>
          <w:tcPr>
            <w:tcW w:w="1436" w:type="pct"/>
            <w:noWrap/>
            <w:vAlign w:val="bottom"/>
            <w:hideMark/>
          </w:tcPr>
          <w:p w14:paraId="3A3BE895"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Gender</w:t>
            </w:r>
          </w:p>
        </w:tc>
        <w:tc>
          <w:tcPr>
            <w:tcW w:w="1439" w:type="pct"/>
            <w:noWrap/>
            <w:vAlign w:val="bottom"/>
            <w:hideMark/>
          </w:tcPr>
          <w:p w14:paraId="27567884"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Female</w:t>
            </w:r>
          </w:p>
        </w:tc>
        <w:tc>
          <w:tcPr>
            <w:tcW w:w="1101" w:type="pct"/>
            <w:noWrap/>
            <w:vAlign w:val="bottom"/>
            <w:hideMark/>
          </w:tcPr>
          <w:p w14:paraId="3B5A385E"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43</w:t>
            </w:r>
          </w:p>
        </w:tc>
        <w:tc>
          <w:tcPr>
            <w:tcW w:w="1024" w:type="pct"/>
            <w:noWrap/>
            <w:vAlign w:val="bottom"/>
            <w:hideMark/>
          </w:tcPr>
          <w:p w14:paraId="0F3154E1"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53.8</w:t>
            </w:r>
          </w:p>
        </w:tc>
      </w:tr>
      <w:tr w:rsidR="007C3087" w:rsidRPr="003F715D" w14:paraId="69CF0AB8" w14:textId="77777777" w:rsidTr="003F715D">
        <w:trPr>
          <w:trHeight w:val="170"/>
        </w:trPr>
        <w:tc>
          <w:tcPr>
            <w:tcW w:w="1436" w:type="pct"/>
            <w:shd w:val="clear" w:color="DDEBF7" w:fill="DDEBF7"/>
            <w:noWrap/>
            <w:vAlign w:val="bottom"/>
            <w:hideMark/>
          </w:tcPr>
          <w:p w14:paraId="63BE00B6"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shd w:val="clear" w:color="DDEBF7" w:fill="DDEBF7"/>
            <w:noWrap/>
            <w:vAlign w:val="bottom"/>
            <w:hideMark/>
          </w:tcPr>
          <w:p w14:paraId="0B2E2E7F"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Male</w:t>
            </w:r>
          </w:p>
        </w:tc>
        <w:tc>
          <w:tcPr>
            <w:tcW w:w="1101" w:type="pct"/>
            <w:shd w:val="clear" w:color="DDEBF7" w:fill="DDEBF7"/>
            <w:noWrap/>
            <w:vAlign w:val="bottom"/>
            <w:hideMark/>
          </w:tcPr>
          <w:p w14:paraId="05BA7297"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37</w:t>
            </w:r>
          </w:p>
        </w:tc>
        <w:tc>
          <w:tcPr>
            <w:tcW w:w="1024" w:type="pct"/>
            <w:shd w:val="clear" w:color="DDEBF7" w:fill="DDEBF7"/>
            <w:noWrap/>
            <w:vAlign w:val="bottom"/>
            <w:hideMark/>
          </w:tcPr>
          <w:p w14:paraId="5CCAC406"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46.3</w:t>
            </w:r>
          </w:p>
        </w:tc>
      </w:tr>
      <w:tr w:rsidR="007C3087" w:rsidRPr="003F715D" w14:paraId="1E96BA4A" w14:textId="77777777" w:rsidTr="003F715D">
        <w:trPr>
          <w:trHeight w:val="170"/>
        </w:trPr>
        <w:tc>
          <w:tcPr>
            <w:tcW w:w="1436" w:type="pct"/>
            <w:noWrap/>
            <w:vAlign w:val="bottom"/>
            <w:hideMark/>
          </w:tcPr>
          <w:p w14:paraId="46DB2E4D"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Medium of Instruction</w:t>
            </w:r>
          </w:p>
        </w:tc>
        <w:tc>
          <w:tcPr>
            <w:tcW w:w="1439" w:type="pct"/>
            <w:noWrap/>
            <w:vAlign w:val="bottom"/>
            <w:hideMark/>
          </w:tcPr>
          <w:p w14:paraId="618C2AAB"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English</w:t>
            </w:r>
          </w:p>
        </w:tc>
        <w:tc>
          <w:tcPr>
            <w:tcW w:w="1101" w:type="pct"/>
            <w:noWrap/>
            <w:vAlign w:val="bottom"/>
            <w:hideMark/>
          </w:tcPr>
          <w:p w14:paraId="594DD523"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57</w:t>
            </w:r>
          </w:p>
        </w:tc>
        <w:tc>
          <w:tcPr>
            <w:tcW w:w="1024" w:type="pct"/>
            <w:noWrap/>
            <w:vAlign w:val="bottom"/>
            <w:hideMark/>
          </w:tcPr>
          <w:p w14:paraId="19F67297"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71.3</w:t>
            </w:r>
          </w:p>
        </w:tc>
      </w:tr>
      <w:tr w:rsidR="007C3087" w:rsidRPr="003F715D" w14:paraId="0FE478C0" w14:textId="77777777" w:rsidTr="003F715D">
        <w:trPr>
          <w:trHeight w:val="170"/>
        </w:trPr>
        <w:tc>
          <w:tcPr>
            <w:tcW w:w="1436" w:type="pct"/>
            <w:shd w:val="clear" w:color="DDEBF7" w:fill="DDEBF7"/>
            <w:noWrap/>
            <w:vAlign w:val="bottom"/>
            <w:hideMark/>
          </w:tcPr>
          <w:p w14:paraId="17755B8A"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shd w:val="clear" w:color="DDEBF7" w:fill="DDEBF7"/>
            <w:noWrap/>
            <w:vAlign w:val="bottom"/>
            <w:hideMark/>
          </w:tcPr>
          <w:p w14:paraId="0C456885"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Bengali</w:t>
            </w:r>
          </w:p>
        </w:tc>
        <w:tc>
          <w:tcPr>
            <w:tcW w:w="1101" w:type="pct"/>
            <w:shd w:val="clear" w:color="DDEBF7" w:fill="DDEBF7"/>
            <w:noWrap/>
            <w:vAlign w:val="bottom"/>
            <w:hideMark/>
          </w:tcPr>
          <w:p w14:paraId="5DC7704F"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23</w:t>
            </w:r>
          </w:p>
        </w:tc>
        <w:tc>
          <w:tcPr>
            <w:tcW w:w="1024" w:type="pct"/>
            <w:shd w:val="clear" w:color="DDEBF7" w:fill="DDEBF7"/>
            <w:noWrap/>
            <w:vAlign w:val="bottom"/>
            <w:hideMark/>
          </w:tcPr>
          <w:p w14:paraId="472C772B"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28.8</w:t>
            </w:r>
          </w:p>
        </w:tc>
      </w:tr>
      <w:tr w:rsidR="007C3087" w:rsidRPr="003F715D" w14:paraId="7FC5445D" w14:textId="77777777" w:rsidTr="003F715D">
        <w:trPr>
          <w:trHeight w:val="170"/>
        </w:trPr>
        <w:tc>
          <w:tcPr>
            <w:tcW w:w="1436" w:type="pct"/>
            <w:noWrap/>
            <w:vAlign w:val="bottom"/>
            <w:hideMark/>
          </w:tcPr>
          <w:p w14:paraId="4AF92635"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Class</w:t>
            </w:r>
          </w:p>
        </w:tc>
        <w:tc>
          <w:tcPr>
            <w:tcW w:w="1439" w:type="pct"/>
            <w:noWrap/>
            <w:vAlign w:val="bottom"/>
            <w:hideMark/>
          </w:tcPr>
          <w:p w14:paraId="533B8B88"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Class II</w:t>
            </w:r>
          </w:p>
        </w:tc>
        <w:tc>
          <w:tcPr>
            <w:tcW w:w="1101" w:type="pct"/>
            <w:noWrap/>
            <w:vAlign w:val="bottom"/>
            <w:hideMark/>
          </w:tcPr>
          <w:p w14:paraId="2E64B6CD"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w:t>
            </w:r>
          </w:p>
        </w:tc>
        <w:tc>
          <w:tcPr>
            <w:tcW w:w="1024" w:type="pct"/>
            <w:noWrap/>
            <w:vAlign w:val="bottom"/>
            <w:hideMark/>
          </w:tcPr>
          <w:p w14:paraId="68C59A81"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2.5</w:t>
            </w:r>
          </w:p>
        </w:tc>
      </w:tr>
      <w:tr w:rsidR="007C3087" w:rsidRPr="003F715D" w14:paraId="7DF47383" w14:textId="77777777" w:rsidTr="003F715D">
        <w:trPr>
          <w:trHeight w:val="170"/>
        </w:trPr>
        <w:tc>
          <w:tcPr>
            <w:tcW w:w="1436" w:type="pct"/>
            <w:shd w:val="clear" w:color="DDEBF7" w:fill="DDEBF7"/>
            <w:noWrap/>
            <w:vAlign w:val="bottom"/>
            <w:hideMark/>
          </w:tcPr>
          <w:p w14:paraId="4DDCAD81"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shd w:val="clear" w:color="DDEBF7" w:fill="DDEBF7"/>
            <w:noWrap/>
            <w:vAlign w:val="bottom"/>
            <w:hideMark/>
          </w:tcPr>
          <w:p w14:paraId="25F9024F"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Class III</w:t>
            </w:r>
          </w:p>
        </w:tc>
        <w:tc>
          <w:tcPr>
            <w:tcW w:w="1101" w:type="pct"/>
            <w:shd w:val="clear" w:color="DDEBF7" w:fill="DDEBF7"/>
            <w:noWrap/>
            <w:vAlign w:val="bottom"/>
            <w:hideMark/>
          </w:tcPr>
          <w:p w14:paraId="5CDA5F5F"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13</w:t>
            </w:r>
          </w:p>
        </w:tc>
        <w:tc>
          <w:tcPr>
            <w:tcW w:w="1024" w:type="pct"/>
            <w:shd w:val="clear" w:color="DDEBF7" w:fill="DDEBF7"/>
            <w:noWrap/>
            <w:vAlign w:val="bottom"/>
            <w:hideMark/>
          </w:tcPr>
          <w:p w14:paraId="4089B513"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16.3</w:t>
            </w:r>
          </w:p>
        </w:tc>
      </w:tr>
      <w:tr w:rsidR="007C3087" w:rsidRPr="003F715D" w14:paraId="10EDEB22" w14:textId="77777777" w:rsidTr="003F715D">
        <w:trPr>
          <w:trHeight w:val="170"/>
        </w:trPr>
        <w:tc>
          <w:tcPr>
            <w:tcW w:w="1436" w:type="pct"/>
            <w:noWrap/>
            <w:vAlign w:val="bottom"/>
            <w:hideMark/>
          </w:tcPr>
          <w:p w14:paraId="26007216"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noWrap/>
            <w:vAlign w:val="bottom"/>
            <w:hideMark/>
          </w:tcPr>
          <w:p w14:paraId="7A257574"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Class IV</w:t>
            </w:r>
          </w:p>
        </w:tc>
        <w:tc>
          <w:tcPr>
            <w:tcW w:w="1101" w:type="pct"/>
            <w:noWrap/>
            <w:vAlign w:val="bottom"/>
            <w:hideMark/>
          </w:tcPr>
          <w:p w14:paraId="0A17DD94"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28</w:t>
            </w:r>
          </w:p>
        </w:tc>
        <w:tc>
          <w:tcPr>
            <w:tcW w:w="1024" w:type="pct"/>
            <w:noWrap/>
            <w:vAlign w:val="bottom"/>
            <w:hideMark/>
          </w:tcPr>
          <w:p w14:paraId="509C22BF"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35.0</w:t>
            </w:r>
          </w:p>
        </w:tc>
      </w:tr>
      <w:tr w:rsidR="007C3087" w:rsidRPr="003F715D" w14:paraId="338078DB" w14:textId="77777777" w:rsidTr="003F715D">
        <w:trPr>
          <w:trHeight w:val="170"/>
        </w:trPr>
        <w:tc>
          <w:tcPr>
            <w:tcW w:w="1436" w:type="pct"/>
            <w:shd w:val="clear" w:color="DDEBF7" w:fill="DDEBF7"/>
            <w:noWrap/>
            <w:vAlign w:val="bottom"/>
            <w:hideMark/>
          </w:tcPr>
          <w:p w14:paraId="1262207E"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shd w:val="clear" w:color="DDEBF7" w:fill="DDEBF7"/>
            <w:noWrap/>
            <w:vAlign w:val="bottom"/>
            <w:hideMark/>
          </w:tcPr>
          <w:p w14:paraId="59852A88"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Class V</w:t>
            </w:r>
          </w:p>
        </w:tc>
        <w:tc>
          <w:tcPr>
            <w:tcW w:w="1101" w:type="pct"/>
            <w:shd w:val="clear" w:color="DDEBF7" w:fill="DDEBF7"/>
            <w:noWrap/>
            <w:vAlign w:val="bottom"/>
            <w:hideMark/>
          </w:tcPr>
          <w:p w14:paraId="64BD9C6A"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37</w:t>
            </w:r>
          </w:p>
        </w:tc>
        <w:tc>
          <w:tcPr>
            <w:tcW w:w="1024" w:type="pct"/>
            <w:shd w:val="clear" w:color="DDEBF7" w:fill="DDEBF7"/>
            <w:noWrap/>
            <w:vAlign w:val="bottom"/>
            <w:hideMark/>
          </w:tcPr>
          <w:p w14:paraId="592675C2"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46.3</w:t>
            </w:r>
          </w:p>
        </w:tc>
      </w:tr>
      <w:tr w:rsidR="007C3087" w:rsidRPr="003F715D" w14:paraId="471AE496" w14:textId="77777777" w:rsidTr="003F715D">
        <w:trPr>
          <w:trHeight w:val="170"/>
        </w:trPr>
        <w:tc>
          <w:tcPr>
            <w:tcW w:w="1436" w:type="pct"/>
            <w:noWrap/>
            <w:vAlign w:val="bottom"/>
            <w:hideMark/>
          </w:tcPr>
          <w:p w14:paraId="62A93A2E"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lastRenderedPageBreak/>
              <w:t>Social Category</w:t>
            </w:r>
          </w:p>
        </w:tc>
        <w:tc>
          <w:tcPr>
            <w:tcW w:w="1439" w:type="pct"/>
            <w:noWrap/>
            <w:vAlign w:val="bottom"/>
            <w:hideMark/>
          </w:tcPr>
          <w:p w14:paraId="1129E1A3"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General</w:t>
            </w:r>
          </w:p>
        </w:tc>
        <w:tc>
          <w:tcPr>
            <w:tcW w:w="1101" w:type="pct"/>
            <w:noWrap/>
            <w:vAlign w:val="bottom"/>
            <w:hideMark/>
          </w:tcPr>
          <w:p w14:paraId="0EC1E569"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22</w:t>
            </w:r>
          </w:p>
        </w:tc>
        <w:tc>
          <w:tcPr>
            <w:tcW w:w="1024" w:type="pct"/>
            <w:noWrap/>
            <w:vAlign w:val="bottom"/>
            <w:hideMark/>
          </w:tcPr>
          <w:p w14:paraId="3F8AB3A7"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27.5</w:t>
            </w:r>
          </w:p>
        </w:tc>
      </w:tr>
      <w:tr w:rsidR="007C3087" w:rsidRPr="003F715D" w14:paraId="249F42A9" w14:textId="77777777" w:rsidTr="003F715D">
        <w:trPr>
          <w:trHeight w:val="170"/>
        </w:trPr>
        <w:tc>
          <w:tcPr>
            <w:tcW w:w="1436" w:type="pct"/>
            <w:shd w:val="clear" w:color="DDEBF7" w:fill="DDEBF7"/>
            <w:noWrap/>
            <w:vAlign w:val="bottom"/>
            <w:hideMark/>
          </w:tcPr>
          <w:p w14:paraId="6DC01CF1"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shd w:val="clear" w:color="DDEBF7" w:fill="DDEBF7"/>
            <w:noWrap/>
            <w:vAlign w:val="bottom"/>
            <w:hideMark/>
          </w:tcPr>
          <w:p w14:paraId="7E232A34"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SC</w:t>
            </w:r>
          </w:p>
        </w:tc>
        <w:tc>
          <w:tcPr>
            <w:tcW w:w="1101" w:type="pct"/>
            <w:shd w:val="clear" w:color="DDEBF7" w:fill="DDEBF7"/>
            <w:noWrap/>
            <w:vAlign w:val="bottom"/>
            <w:hideMark/>
          </w:tcPr>
          <w:p w14:paraId="26171962"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33</w:t>
            </w:r>
          </w:p>
        </w:tc>
        <w:tc>
          <w:tcPr>
            <w:tcW w:w="1024" w:type="pct"/>
            <w:shd w:val="clear" w:color="DDEBF7" w:fill="DDEBF7"/>
            <w:noWrap/>
            <w:vAlign w:val="bottom"/>
            <w:hideMark/>
          </w:tcPr>
          <w:p w14:paraId="5F358E41"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41.3</w:t>
            </w:r>
          </w:p>
        </w:tc>
      </w:tr>
      <w:tr w:rsidR="007C3087" w:rsidRPr="003F715D" w14:paraId="0BFE3012" w14:textId="77777777" w:rsidTr="003F715D">
        <w:trPr>
          <w:trHeight w:val="170"/>
        </w:trPr>
        <w:tc>
          <w:tcPr>
            <w:tcW w:w="1436" w:type="pct"/>
            <w:noWrap/>
            <w:vAlign w:val="bottom"/>
            <w:hideMark/>
          </w:tcPr>
          <w:p w14:paraId="0CCD0837"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noWrap/>
            <w:vAlign w:val="bottom"/>
            <w:hideMark/>
          </w:tcPr>
          <w:p w14:paraId="30C0F003"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OBC</w:t>
            </w:r>
          </w:p>
        </w:tc>
        <w:tc>
          <w:tcPr>
            <w:tcW w:w="1101" w:type="pct"/>
            <w:noWrap/>
            <w:vAlign w:val="bottom"/>
            <w:hideMark/>
          </w:tcPr>
          <w:p w14:paraId="74C4683F"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25</w:t>
            </w:r>
          </w:p>
        </w:tc>
        <w:tc>
          <w:tcPr>
            <w:tcW w:w="1024" w:type="pct"/>
            <w:noWrap/>
            <w:vAlign w:val="bottom"/>
            <w:hideMark/>
          </w:tcPr>
          <w:p w14:paraId="2DE02BD4"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31.3</w:t>
            </w:r>
          </w:p>
        </w:tc>
      </w:tr>
      <w:tr w:rsidR="007C3087" w:rsidRPr="003F715D" w14:paraId="4981F5F7" w14:textId="77777777" w:rsidTr="003F715D">
        <w:trPr>
          <w:trHeight w:val="170"/>
        </w:trPr>
        <w:tc>
          <w:tcPr>
            <w:tcW w:w="1436" w:type="pct"/>
            <w:shd w:val="clear" w:color="DDEBF7" w:fill="DDEBF7"/>
            <w:noWrap/>
            <w:vAlign w:val="bottom"/>
            <w:hideMark/>
          </w:tcPr>
          <w:p w14:paraId="3186E407"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Region</w:t>
            </w:r>
          </w:p>
        </w:tc>
        <w:tc>
          <w:tcPr>
            <w:tcW w:w="1439" w:type="pct"/>
            <w:shd w:val="clear" w:color="DDEBF7" w:fill="DDEBF7"/>
            <w:noWrap/>
            <w:vAlign w:val="bottom"/>
            <w:hideMark/>
          </w:tcPr>
          <w:p w14:paraId="1EE6B0F2"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Urban</w:t>
            </w:r>
          </w:p>
        </w:tc>
        <w:tc>
          <w:tcPr>
            <w:tcW w:w="1101" w:type="pct"/>
            <w:shd w:val="clear" w:color="DDEBF7" w:fill="DDEBF7"/>
            <w:noWrap/>
            <w:vAlign w:val="bottom"/>
            <w:hideMark/>
          </w:tcPr>
          <w:p w14:paraId="131EE392"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41</w:t>
            </w:r>
          </w:p>
        </w:tc>
        <w:tc>
          <w:tcPr>
            <w:tcW w:w="1024" w:type="pct"/>
            <w:shd w:val="clear" w:color="DDEBF7" w:fill="DDEBF7"/>
            <w:noWrap/>
            <w:vAlign w:val="bottom"/>
            <w:hideMark/>
          </w:tcPr>
          <w:p w14:paraId="230D1F99"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51.3</w:t>
            </w:r>
          </w:p>
        </w:tc>
      </w:tr>
      <w:tr w:rsidR="007C3087" w:rsidRPr="003F715D" w14:paraId="36C19188" w14:textId="77777777" w:rsidTr="003F715D">
        <w:trPr>
          <w:trHeight w:val="170"/>
        </w:trPr>
        <w:tc>
          <w:tcPr>
            <w:tcW w:w="1436" w:type="pct"/>
            <w:noWrap/>
            <w:vAlign w:val="bottom"/>
            <w:hideMark/>
          </w:tcPr>
          <w:p w14:paraId="19C5E637"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noWrap/>
            <w:vAlign w:val="bottom"/>
            <w:hideMark/>
          </w:tcPr>
          <w:p w14:paraId="581D8B85"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Rural</w:t>
            </w:r>
          </w:p>
        </w:tc>
        <w:tc>
          <w:tcPr>
            <w:tcW w:w="1101" w:type="pct"/>
            <w:noWrap/>
            <w:vAlign w:val="bottom"/>
            <w:hideMark/>
          </w:tcPr>
          <w:p w14:paraId="007E485C"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39</w:t>
            </w:r>
          </w:p>
        </w:tc>
        <w:tc>
          <w:tcPr>
            <w:tcW w:w="1024" w:type="pct"/>
            <w:noWrap/>
            <w:vAlign w:val="bottom"/>
            <w:hideMark/>
          </w:tcPr>
          <w:p w14:paraId="07AA9923"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48.8</w:t>
            </w:r>
          </w:p>
        </w:tc>
      </w:tr>
      <w:tr w:rsidR="007C3087" w:rsidRPr="003F715D" w14:paraId="410A055E" w14:textId="77777777" w:rsidTr="003F715D">
        <w:trPr>
          <w:trHeight w:val="170"/>
        </w:trPr>
        <w:tc>
          <w:tcPr>
            <w:tcW w:w="1436" w:type="pct"/>
            <w:shd w:val="clear" w:color="DDEBF7" w:fill="DDEBF7"/>
            <w:noWrap/>
            <w:vAlign w:val="bottom"/>
            <w:hideMark/>
          </w:tcPr>
          <w:p w14:paraId="3AF8EE21"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House Type</w:t>
            </w:r>
          </w:p>
        </w:tc>
        <w:tc>
          <w:tcPr>
            <w:tcW w:w="1439" w:type="pct"/>
            <w:shd w:val="clear" w:color="DDEBF7" w:fill="DDEBF7"/>
            <w:noWrap/>
            <w:vAlign w:val="bottom"/>
            <w:hideMark/>
          </w:tcPr>
          <w:p w14:paraId="7AD4305E"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Kaccha</w:t>
            </w:r>
          </w:p>
        </w:tc>
        <w:tc>
          <w:tcPr>
            <w:tcW w:w="1101" w:type="pct"/>
            <w:shd w:val="clear" w:color="DDEBF7" w:fill="DDEBF7"/>
            <w:noWrap/>
            <w:vAlign w:val="bottom"/>
            <w:hideMark/>
          </w:tcPr>
          <w:p w14:paraId="395071D2"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27</w:t>
            </w:r>
          </w:p>
        </w:tc>
        <w:tc>
          <w:tcPr>
            <w:tcW w:w="1024" w:type="pct"/>
            <w:shd w:val="clear" w:color="DDEBF7" w:fill="DDEBF7"/>
            <w:noWrap/>
            <w:vAlign w:val="bottom"/>
            <w:hideMark/>
          </w:tcPr>
          <w:p w14:paraId="5E2B5FE0"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33.8</w:t>
            </w:r>
          </w:p>
        </w:tc>
      </w:tr>
      <w:tr w:rsidR="007C3087" w:rsidRPr="003F715D" w14:paraId="224EA404" w14:textId="77777777" w:rsidTr="003F715D">
        <w:trPr>
          <w:trHeight w:val="170"/>
        </w:trPr>
        <w:tc>
          <w:tcPr>
            <w:tcW w:w="1436" w:type="pct"/>
            <w:noWrap/>
            <w:vAlign w:val="bottom"/>
            <w:hideMark/>
          </w:tcPr>
          <w:p w14:paraId="387CBDB1"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noWrap/>
            <w:vAlign w:val="bottom"/>
            <w:hideMark/>
          </w:tcPr>
          <w:p w14:paraId="24860146"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Semi-Pucca</w:t>
            </w:r>
          </w:p>
        </w:tc>
        <w:tc>
          <w:tcPr>
            <w:tcW w:w="1101" w:type="pct"/>
            <w:noWrap/>
            <w:vAlign w:val="bottom"/>
            <w:hideMark/>
          </w:tcPr>
          <w:p w14:paraId="43EBA954"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25</w:t>
            </w:r>
          </w:p>
        </w:tc>
        <w:tc>
          <w:tcPr>
            <w:tcW w:w="1024" w:type="pct"/>
            <w:noWrap/>
            <w:vAlign w:val="bottom"/>
            <w:hideMark/>
          </w:tcPr>
          <w:p w14:paraId="42CBDF9F"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31.3</w:t>
            </w:r>
          </w:p>
        </w:tc>
      </w:tr>
      <w:tr w:rsidR="007C3087" w:rsidRPr="003F715D" w14:paraId="0976A34C" w14:textId="77777777" w:rsidTr="003F715D">
        <w:trPr>
          <w:trHeight w:val="170"/>
        </w:trPr>
        <w:tc>
          <w:tcPr>
            <w:tcW w:w="1436" w:type="pct"/>
            <w:shd w:val="clear" w:color="DDEBF7" w:fill="DDEBF7"/>
            <w:noWrap/>
            <w:vAlign w:val="bottom"/>
            <w:hideMark/>
          </w:tcPr>
          <w:p w14:paraId="3DF6EB58"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shd w:val="clear" w:color="DDEBF7" w:fill="DDEBF7"/>
            <w:noWrap/>
            <w:vAlign w:val="bottom"/>
            <w:hideMark/>
          </w:tcPr>
          <w:p w14:paraId="44AF6A28"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Pucca</w:t>
            </w:r>
          </w:p>
        </w:tc>
        <w:tc>
          <w:tcPr>
            <w:tcW w:w="1101" w:type="pct"/>
            <w:shd w:val="clear" w:color="DDEBF7" w:fill="DDEBF7"/>
            <w:noWrap/>
            <w:vAlign w:val="bottom"/>
            <w:hideMark/>
          </w:tcPr>
          <w:p w14:paraId="18885C8C"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28</w:t>
            </w:r>
          </w:p>
        </w:tc>
        <w:tc>
          <w:tcPr>
            <w:tcW w:w="1024" w:type="pct"/>
            <w:shd w:val="clear" w:color="DDEBF7" w:fill="DDEBF7"/>
            <w:noWrap/>
            <w:vAlign w:val="bottom"/>
            <w:hideMark/>
          </w:tcPr>
          <w:p w14:paraId="42531C6F"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35.0</w:t>
            </w:r>
          </w:p>
        </w:tc>
      </w:tr>
      <w:tr w:rsidR="007C3087" w:rsidRPr="003F715D" w14:paraId="58497F1E" w14:textId="77777777" w:rsidTr="003F715D">
        <w:trPr>
          <w:trHeight w:val="170"/>
        </w:trPr>
        <w:tc>
          <w:tcPr>
            <w:tcW w:w="1436" w:type="pct"/>
            <w:noWrap/>
            <w:vAlign w:val="bottom"/>
            <w:hideMark/>
          </w:tcPr>
          <w:p w14:paraId="27634D56"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Mother's Occupation</w:t>
            </w:r>
          </w:p>
        </w:tc>
        <w:tc>
          <w:tcPr>
            <w:tcW w:w="1439" w:type="pct"/>
            <w:noWrap/>
            <w:vAlign w:val="bottom"/>
            <w:hideMark/>
          </w:tcPr>
          <w:p w14:paraId="279AB4F6"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Govt. Job</w:t>
            </w:r>
          </w:p>
        </w:tc>
        <w:tc>
          <w:tcPr>
            <w:tcW w:w="1101" w:type="pct"/>
            <w:noWrap/>
            <w:vAlign w:val="bottom"/>
            <w:hideMark/>
          </w:tcPr>
          <w:p w14:paraId="751CF73D"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4</w:t>
            </w:r>
          </w:p>
        </w:tc>
        <w:tc>
          <w:tcPr>
            <w:tcW w:w="1024" w:type="pct"/>
            <w:noWrap/>
            <w:vAlign w:val="bottom"/>
            <w:hideMark/>
          </w:tcPr>
          <w:p w14:paraId="7345D000"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5.0</w:t>
            </w:r>
          </w:p>
        </w:tc>
      </w:tr>
      <w:tr w:rsidR="007C3087" w:rsidRPr="003F715D" w14:paraId="6241E5D8" w14:textId="77777777" w:rsidTr="003F715D">
        <w:trPr>
          <w:trHeight w:val="170"/>
        </w:trPr>
        <w:tc>
          <w:tcPr>
            <w:tcW w:w="1436" w:type="pct"/>
            <w:shd w:val="clear" w:color="DDEBF7" w:fill="DDEBF7"/>
            <w:noWrap/>
            <w:vAlign w:val="bottom"/>
            <w:hideMark/>
          </w:tcPr>
          <w:p w14:paraId="169E8A20"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shd w:val="clear" w:color="DDEBF7" w:fill="DDEBF7"/>
            <w:noWrap/>
            <w:vAlign w:val="bottom"/>
            <w:hideMark/>
          </w:tcPr>
          <w:p w14:paraId="5B25BA80"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Private Job</w:t>
            </w:r>
          </w:p>
        </w:tc>
        <w:tc>
          <w:tcPr>
            <w:tcW w:w="1101" w:type="pct"/>
            <w:shd w:val="clear" w:color="DDEBF7" w:fill="DDEBF7"/>
            <w:noWrap/>
            <w:vAlign w:val="bottom"/>
            <w:hideMark/>
          </w:tcPr>
          <w:p w14:paraId="5170A846"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5</w:t>
            </w:r>
          </w:p>
        </w:tc>
        <w:tc>
          <w:tcPr>
            <w:tcW w:w="1024" w:type="pct"/>
            <w:shd w:val="clear" w:color="DDEBF7" w:fill="DDEBF7"/>
            <w:noWrap/>
            <w:vAlign w:val="bottom"/>
            <w:hideMark/>
          </w:tcPr>
          <w:p w14:paraId="69F47538"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6.3</w:t>
            </w:r>
          </w:p>
        </w:tc>
      </w:tr>
      <w:tr w:rsidR="007C3087" w:rsidRPr="003F715D" w14:paraId="6BB1533D" w14:textId="77777777" w:rsidTr="003F715D">
        <w:trPr>
          <w:trHeight w:val="170"/>
        </w:trPr>
        <w:tc>
          <w:tcPr>
            <w:tcW w:w="1436" w:type="pct"/>
            <w:noWrap/>
            <w:vAlign w:val="bottom"/>
            <w:hideMark/>
          </w:tcPr>
          <w:p w14:paraId="151B7D04"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noWrap/>
            <w:vAlign w:val="bottom"/>
            <w:hideMark/>
          </w:tcPr>
          <w:p w14:paraId="5A97CB5B"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Self Employed</w:t>
            </w:r>
          </w:p>
        </w:tc>
        <w:tc>
          <w:tcPr>
            <w:tcW w:w="1101" w:type="pct"/>
            <w:noWrap/>
            <w:vAlign w:val="bottom"/>
            <w:hideMark/>
          </w:tcPr>
          <w:p w14:paraId="0C615826"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1</w:t>
            </w:r>
          </w:p>
        </w:tc>
        <w:tc>
          <w:tcPr>
            <w:tcW w:w="1024" w:type="pct"/>
            <w:noWrap/>
            <w:vAlign w:val="bottom"/>
            <w:hideMark/>
          </w:tcPr>
          <w:p w14:paraId="0D7F6779"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1.3</w:t>
            </w:r>
          </w:p>
        </w:tc>
      </w:tr>
      <w:tr w:rsidR="007C3087" w:rsidRPr="003F715D" w14:paraId="35C80990" w14:textId="77777777" w:rsidTr="003F715D">
        <w:trPr>
          <w:trHeight w:val="170"/>
        </w:trPr>
        <w:tc>
          <w:tcPr>
            <w:tcW w:w="1436" w:type="pct"/>
            <w:shd w:val="clear" w:color="DDEBF7" w:fill="DDEBF7"/>
            <w:noWrap/>
            <w:vAlign w:val="bottom"/>
            <w:hideMark/>
          </w:tcPr>
          <w:p w14:paraId="0CD3338A"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shd w:val="clear" w:color="DDEBF7" w:fill="DDEBF7"/>
            <w:noWrap/>
            <w:vAlign w:val="bottom"/>
            <w:hideMark/>
          </w:tcPr>
          <w:p w14:paraId="1D6CE9A9"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Housewife</w:t>
            </w:r>
          </w:p>
        </w:tc>
        <w:tc>
          <w:tcPr>
            <w:tcW w:w="1101" w:type="pct"/>
            <w:shd w:val="clear" w:color="DDEBF7" w:fill="DDEBF7"/>
            <w:noWrap/>
            <w:vAlign w:val="bottom"/>
            <w:hideMark/>
          </w:tcPr>
          <w:p w14:paraId="764CB888"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70</w:t>
            </w:r>
          </w:p>
        </w:tc>
        <w:tc>
          <w:tcPr>
            <w:tcW w:w="1024" w:type="pct"/>
            <w:shd w:val="clear" w:color="DDEBF7" w:fill="DDEBF7"/>
            <w:noWrap/>
            <w:vAlign w:val="bottom"/>
            <w:hideMark/>
          </w:tcPr>
          <w:p w14:paraId="785025D3"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87.5</w:t>
            </w:r>
          </w:p>
        </w:tc>
      </w:tr>
      <w:tr w:rsidR="007C3087" w:rsidRPr="003F715D" w14:paraId="3A2459FB" w14:textId="77777777" w:rsidTr="003F715D">
        <w:trPr>
          <w:trHeight w:val="170"/>
        </w:trPr>
        <w:tc>
          <w:tcPr>
            <w:tcW w:w="1436" w:type="pct"/>
            <w:noWrap/>
            <w:vAlign w:val="bottom"/>
            <w:hideMark/>
          </w:tcPr>
          <w:p w14:paraId="5623A12B"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Private Tuition Taken</w:t>
            </w:r>
          </w:p>
        </w:tc>
        <w:tc>
          <w:tcPr>
            <w:tcW w:w="1439" w:type="pct"/>
            <w:noWrap/>
            <w:vAlign w:val="bottom"/>
            <w:hideMark/>
          </w:tcPr>
          <w:p w14:paraId="2FEACFE1"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 xml:space="preserve">Without </w:t>
            </w:r>
            <w:proofErr w:type="spellStart"/>
            <w:r w:rsidRPr="003F715D">
              <w:rPr>
                <w:rFonts w:eastAsia="Times New Roman"/>
                <w:color w:val="000000"/>
                <w:kern w:val="0"/>
                <w:sz w:val="22"/>
                <w:szCs w:val="22"/>
                <w:lang w:eastAsia="en-IN"/>
                <w14:ligatures w14:val="none"/>
              </w:rPr>
              <w:t>Pvt.</w:t>
            </w:r>
            <w:proofErr w:type="spellEnd"/>
            <w:r w:rsidRPr="003F715D">
              <w:rPr>
                <w:rFonts w:eastAsia="Times New Roman"/>
                <w:color w:val="000000"/>
                <w:kern w:val="0"/>
                <w:sz w:val="22"/>
                <w:szCs w:val="22"/>
                <w:lang w:eastAsia="en-IN"/>
                <w14:ligatures w14:val="none"/>
              </w:rPr>
              <w:t xml:space="preserve"> Tuition</w:t>
            </w:r>
          </w:p>
        </w:tc>
        <w:tc>
          <w:tcPr>
            <w:tcW w:w="1101" w:type="pct"/>
            <w:noWrap/>
            <w:vAlign w:val="bottom"/>
            <w:hideMark/>
          </w:tcPr>
          <w:p w14:paraId="5E35BBBC"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6</w:t>
            </w:r>
          </w:p>
        </w:tc>
        <w:tc>
          <w:tcPr>
            <w:tcW w:w="1024" w:type="pct"/>
            <w:noWrap/>
            <w:vAlign w:val="bottom"/>
            <w:hideMark/>
          </w:tcPr>
          <w:p w14:paraId="4E7002B3"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7.5</w:t>
            </w:r>
          </w:p>
        </w:tc>
      </w:tr>
      <w:tr w:rsidR="007C3087" w:rsidRPr="003F715D" w14:paraId="10C944A0" w14:textId="77777777" w:rsidTr="003F715D">
        <w:trPr>
          <w:trHeight w:val="170"/>
        </w:trPr>
        <w:tc>
          <w:tcPr>
            <w:tcW w:w="1436" w:type="pct"/>
            <w:shd w:val="clear" w:color="DDEBF7" w:fill="DDEBF7"/>
            <w:noWrap/>
            <w:vAlign w:val="bottom"/>
            <w:hideMark/>
          </w:tcPr>
          <w:p w14:paraId="1F9CBA91"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shd w:val="clear" w:color="DDEBF7" w:fill="DDEBF7"/>
            <w:noWrap/>
            <w:vAlign w:val="bottom"/>
            <w:hideMark/>
          </w:tcPr>
          <w:p w14:paraId="5AAE11FC"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 xml:space="preserve">With </w:t>
            </w:r>
            <w:proofErr w:type="spellStart"/>
            <w:r w:rsidRPr="003F715D">
              <w:rPr>
                <w:rFonts w:eastAsia="Times New Roman"/>
                <w:color w:val="000000"/>
                <w:kern w:val="0"/>
                <w:sz w:val="22"/>
                <w:szCs w:val="22"/>
                <w:lang w:eastAsia="en-IN"/>
                <w14:ligatures w14:val="none"/>
              </w:rPr>
              <w:t>Pvt.</w:t>
            </w:r>
            <w:proofErr w:type="spellEnd"/>
            <w:r w:rsidRPr="003F715D">
              <w:rPr>
                <w:rFonts w:eastAsia="Times New Roman"/>
                <w:color w:val="000000"/>
                <w:kern w:val="0"/>
                <w:sz w:val="22"/>
                <w:szCs w:val="22"/>
                <w:lang w:eastAsia="en-IN"/>
                <w14:ligatures w14:val="none"/>
              </w:rPr>
              <w:t xml:space="preserve"> Tuition</w:t>
            </w:r>
          </w:p>
        </w:tc>
        <w:tc>
          <w:tcPr>
            <w:tcW w:w="1101" w:type="pct"/>
            <w:shd w:val="clear" w:color="DDEBF7" w:fill="DDEBF7"/>
            <w:noWrap/>
            <w:vAlign w:val="bottom"/>
            <w:hideMark/>
          </w:tcPr>
          <w:p w14:paraId="62F4CB0F"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74</w:t>
            </w:r>
          </w:p>
        </w:tc>
        <w:tc>
          <w:tcPr>
            <w:tcW w:w="1024" w:type="pct"/>
            <w:shd w:val="clear" w:color="DDEBF7" w:fill="DDEBF7"/>
            <w:noWrap/>
            <w:vAlign w:val="bottom"/>
            <w:hideMark/>
          </w:tcPr>
          <w:p w14:paraId="641EE879"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92.5</w:t>
            </w:r>
          </w:p>
        </w:tc>
      </w:tr>
      <w:tr w:rsidR="007C3087" w:rsidRPr="003F715D" w14:paraId="328668FC" w14:textId="77777777" w:rsidTr="003F715D">
        <w:trPr>
          <w:trHeight w:val="170"/>
        </w:trPr>
        <w:tc>
          <w:tcPr>
            <w:tcW w:w="1436" w:type="pct"/>
            <w:noWrap/>
            <w:vAlign w:val="bottom"/>
            <w:hideMark/>
          </w:tcPr>
          <w:p w14:paraId="145A595D"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noWrap/>
            <w:vAlign w:val="bottom"/>
            <w:hideMark/>
          </w:tcPr>
          <w:p w14:paraId="6922F0D7"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Grand Total</w:t>
            </w:r>
          </w:p>
        </w:tc>
        <w:tc>
          <w:tcPr>
            <w:tcW w:w="1101" w:type="pct"/>
            <w:noWrap/>
            <w:vAlign w:val="bottom"/>
            <w:hideMark/>
          </w:tcPr>
          <w:p w14:paraId="7C7E60D0"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80</w:t>
            </w:r>
          </w:p>
        </w:tc>
        <w:tc>
          <w:tcPr>
            <w:tcW w:w="1024" w:type="pct"/>
            <w:noWrap/>
            <w:vAlign w:val="bottom"/>
            <w:hideMark/>
          </w:tcPr>
          <w:p w14:paraId="1754FD4E"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100.0</w:t>
            </w:r>
          </w:p>
        </w:tc>
      </w:tr>
      <w:tr w:rsidR="007C3087" w:rsidRPr="003F715D" w14:paraId="1FAC1664" w14:textId="77777777" w:rsidTr="003F715D">
        <w:trPr>
          <w:trHeight w:val="170"/>
        </w:trPr>
        <w:tc>
          <w:tcPr>
            <w:tcW w:w="1436" w:type="pct"/>
            <w:shd w:val="clear" w:color="DDEBF7" w:fill="DDEBF7"/>
            <w:noWrap/>
            <w:vAlign w:val="bottom"/>
            <w:hideMark/>
          </w:tcPr>
          <w:p w14:paraId="6976689B"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Scholarship</w:t>
            </w:r>
          </w:p>
        </w:tc>
        <w:tc>
          <w:tcPr>
            <w:tcW w:w="1439" w:type="pct"/>
            <w:shd w:val="clear" w:color="DDEBF7" w:fill="DDEBF7"/>
            <w:noWrap/>
            <w:vAlign w:val="bottom"/>
            <w:hideMark/>
          </w:tcPr>
          <w:p w14:paraId="7E97F312"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Not Received</w:t>
            </w:r>
          </w:p>
        </w:tc>
        <w:tc>
          <w:tcPr>
            <w:tcW w:w="1101" w:type="pct"/>
            <w:shd w:val="clear" w:color="DDEBF7" w:fill="DDEBF7"/>
            <w:noWrap/>
            <w:vAlign w:val="bottom"/>
            <w:hideMark/>
          </w:tcPr>
          <w:p w14:paraId="265507E8"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48</w:t>
            </w:r>
          </w:p>
        </w:tc>
        <w:tc>
          <w:tcPr>
            <w:tcW w:w="1024" w:type="pct"/>
            <w:shd w:val="clear" w:color="DDEBF7" w:fill="DDEBF7"/>
            <w:noWrap/>
            <w:vAlign w:val="bottom"/>
            <w:hideMark/>
          </w:tcPr>
          <w:p w14:paraId="271D0741"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60.0</w:t>
            </w:r>
          </w:p>
        </w:tc>
      </w:tr>
      <w:tr w:rsidR="007C3087" w:rsidRPr="003F715D" w14:paraId="6F8CF675" w14:textId="77777777" w:rsidTr="003F715D">
        <w:trPr>
          <w:trHeight w:val="170"/>
        </w:trPr>
        <w:tc>
          <w:tcPr>
            <w:tcW w:w="1436" w:type="pct"/>
            <w:noWrap/>
            <w:vAlign w:val="bottom"/>
            <w:hideMark/>
          </w:tcPr>
          <w:p w14:paraId="27E3C2A3"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noWrap/>
            <w:vAlign w:val="bottom"/>
            <w:hideMark/>
          </w:tcPr>
          <w:p w14:paraId="67AEA58E"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Received</w:t>
            </w:r>
          </w:p>
        </w:tc>
        <w:tc>
          <w:tcPr>
            <w:tcW w:w="1101" w:type="pct"/>
            <w:noWrap/>
            <w:vAlign w:val="bottom"/>
            <w:hideMark/>
          </w:tcPr>
          <w:p w14:paraId="32121739"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32</w:t>
            </w:r>
          </w:p>
        </w:tc>
        <w:tc>
          <w:tcPr>
            <w:tcW w:w="1024" w:type="pct"/>
            <w:noWrap/>
            <w:vAlign w:val="bottom"/>
            <w:hideMark/>
          </w:tcPr>
          <w:p w14:paraId="7B11A8FD"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40.0</w:t>
            </w:r>
          </w:p>
        </w:tc>
      </w:tr>
    </w:tbl>
    <w:p w14:paraId="0DD7CCC9" w14:textId="3C986631" w:rsidR="007C3087" w:rsidRDefault="007C3087" w:rsidP="007C3087">
      <w:r>
        <w:t xml:space="preserve"> </w:t>
      </w:r>
      <w:r w:rsidRPr="00520ABD">
        <w:t>Source: Primary Survey</w:t>
      </w:r>
      <w:r w:rsidR="003F715D">
        <w:t>, 2025</w:t>
      </w:r>
    </w:p>
    <w:p w14:paraId="4B17E11A" w14:textId="52FB570B" w:rsidR="007C3087" w:rsidRPr="009B0FF0" w:rsidRDefault="007C3087" w:rsidP="00DA68E1">
      <w:pPr>
        <w:spacing w:after="0" w:line="276" w:lineRule="auto"/>
        <w:jc w:val="both"/>
      </w:pPr>
      <w:r w:rsidRPr="00B97530">
        <w:t>Table</w:t>
      </w:r>
      <w:r w:rsidR="00EA1A87">
        <w:t xml:space="preserve"> </w:t>
      </w:r>
      <w:r>
        <w:t>1</w:t>
      </w:r>
      <w:r w:rsidRPr="00B97530">
        <w:t xml:space="preserve"> presents the category-wise distribution of 80 surveyed students at the primary level in Tripura. Out of the total respondents, 53.8% were female and 46.3% were male, indicating a slight female predominance in the sample. A majority of the students (71.3%) studied in English-medium schools, while 28.8% were in Bengali-medium schools.</w:t>
      </w:r>
      <w:r>
        <w:t xml:space="preserve"> </w:t>
      </w:r>
      <w:r w:rsidRPr="00B97530">
        <w:t>In terms of class-wise distribution, the highest proportion of students belonged to Class V (46.3%), followed by Class IV (35%), Class III (16.3%), and Class II (2.5%). Regarding social category, 41.3% of the students were from Scheduled Castes (SC), 31.3% from Other Backward Classes (OBC), and 27.5% from the General category.</w:t>
      </w:r>
      <w:r>
        <w:t xml:space="preserve"> </w:t>
      </w:r>
      <w:r w:rsidRPr="00B97530">
        <w:t>The regional composition was almost balanced, with 51.3% of students from urban areas and 48.8% from rural areas. In terms of housing, 35% lived in pucca houses, 31.3% in semi-pucca, and 33.8% in kaccha houses. The mother’s occupation data reveal that a large majority (87.5%) were housewives, followed by small proportions engaged in government or private jobs.</w:t>
      </w:r>
      <w:r>
        <w:t xml:space="preserve"> </w:t>
      </w:r>
      <w:r w:rsidRPr="00B97530">
        <w:t xml:space="preserve">A striking observation is that 92.5% of the students availed private tuition, while only 7.5% did not. </w:t>
      </w:r>
      <w:r w:rsidRPr="009B0FF0">
        <w:t>Furthermore, 40% of the students reported receiving scholarships, whereas 60% had not received any.</w:t>
      </w:r>
      <w:r w:rsidR="009B0FF0" w:rsidRPr="009B0FF0">
        <w:t xml:space="preserve"> </w:t>
      </w:r>
      <w:r w:rsidRPr="009B0FF0">
        <w:t xml:space="preserve">To </w:t>
      </w:r>
      <w:proofErr w:type="spellStart"/>
      <w:r w:rsidRPr="009B0FF0">
        <w:t>analyze</w:t>
      </w:r>
      <w:proofErr w:type="spellEnd"/>
      <w:r w:rsidRPr="009B0FF0">
        <w:t xml:space="preserve"> the determinants of household out-of-pocket expenditure on education, several explanatory variables were selected based on theoretical relevance and previous empirical studies. The dependent variable is the household out-of-pocket educational expenditure at primary level, while the independent variables include individual, household, and educational characteristics.</w:t>
      </w:r>
      <w:r w:rsidR="00EA1A87" w:rsidRPr="009B0FF0">
        <w:t xml:space="preserve"> </w:t>
      </w:r>
      <w:r w:rsidRPr="009B0FF0">
        <w:t xml:space="preserve">A brief description of the variables, their nature, and expected signs is </w:t>
      </w:r>
      <w:r w:rsidR="00EA1A87" w:rsidRPr="009B0FF0">
        <w:t>discussed as well. T</w:t>
      </w:r>
      <w:r w:rsidRPr="009B0FF0">
        <w:t xml:space="preserve">he explanatory variables include demographic, socioeconomic, and educational characteristics of the students and their households. Most of the explanatory variables are dummy variables, representing categorical attributes such as gender, caste, medium of instruction, mother’s occupation, and private tuition status. Others like standard, mother’s education, family size, study time are continuous variables. The expected signs indicate the anticipated direction of influence each variable may have on household out-of-pocket educational expenditure at primary level. For instance, mother’s education, occupation, and household educational expenditure are expected to have positive effects, as they reflect better socioeconomic conditions and educational support at home. Conversely, family size and </w:t>
      </w:r>
      <w:proofErr w:type="gramStart"/>
      <w:r w:rsidRPr="009B0FF0">
        <w:t>higher</w:t>
      </w:r>
      <w:r w:rsidR="00AC32F0" w:rsidRPr="009B0FF0">
        <w:t xml:space="preserve"> </w:t>
      </w:r>
      <w:r w:rsidRPr="009B0FF0">
        <w:t>class</w:t>
      </w:r>
      <w:proofErr w:type="gramEnd"/>
      <w:r w:rsidRPr="009B0FF0">
        <w:t xml:space="preserve"> standards are expected to have negative effects, </w:t>
      </w:r>
      <w:r w:rsidRPr="009B0FF0">
        <w:lastRenderedPageBreak/>
        <w:t>since larger families and advanced classes may be associated with resource constraints and academic difficulty. Overall, the model aims to capture how family background, educational environment, and personal factors jointly determine the household out-of-pocket expenditure on education.</w:t>
      </w:r>
      <w:r w:rsidR="009B0FF0">
        <w:t xml:space="preserve"> </w:t>
      </w:r>
      <w:r w:rsidRPr="009B0FF0">
        <w:t xml:space="preserve">The study employs both descriptive and inferential statistical techniques to </w:t>
      </w:r>
      <w:proofErr w:type="spellStart"/>
      <w:r w:rsidRPr="009B0FF0">
        <w:t>analyze</w:t>
      </w:r>
      <w:proofErr w:type="spellEnd"/>
      <w:r w:rsidRPr="009B0FF0">
        <w:t xml:space="preserve"> the data.</w:t>
      </w:r>
      <w:r w:rsidR="00EA1A87" w:rsidRPr="009B0FF0">
        <w:t xml:space="preserve"> </w:t>
      </w:r>
      <w:r w:rsidRPr="009B0FF0">
        <w:t>Descriptive statistics such as mean, percentage, and frequency distribution were used to describe the demographic and socioeconomic characteristics of the students.</w:t>
      </w:r>
      <w:r w:rsidR="00EA1A87" w:rsidRPr="009B0FF0">
        <w:t xml:space="preserve"> </w:t>
      </w:r>
      <w:r w:rsidRPr="009B0FF0">
        <w:t>Inferential analysis was carried out using the Ordinary Least Squares (OLS) regression method to identify the key determinants of household out-of-pocket educational expenditure.</w:t>
      </w:r>
      <w:r w:rsidR="00FC1CD8" w:rsidRPr="009B0FF0">
        <w:t xml:space="preserve"> </w:t>
      </w:r>
      <w:r w:rsidRPr="009B0FF0">
        <w:t>To identify the determinants of household educational expenditure, a multiple linear regression model is employed. The dependent and independent variables are defined as follows:</w:t>
      </w:r>
      <w:r w:rsidR="00FC1CD8" w:rsidRPr="009B0FF0">
        <w:t xml:space="preserve"> </w:t>
      </w:r>
      <w:r w:rsidRPr="009B0FF0">
        <w:t>Dependent Variable: Household Out-of-Pocket Educational Expenditure (</w:t>
      </w:r>
      <m:oMath>
        <m:r>
          <m:rPr>
            <m:nor/>
          </m:rPr>
          <m:t>OOPE</m:t>
        </m:r>
      </m:oMath>
      <w:r w:rsidRPr="009B0FF0">
        <w:t>) per Year (in ₹)</w:t>
      </w:r>
      <w:r w:rsidR="00FC1CD8" w:rsidRPr="009B0FF0">
        <w:t xml:space="preserve">. </w:t>
      </w:r>
    </w:p>
    <w:p w14:paraId="6180B868" w14:textId="77777777" w:rsidR="007C3087" w:rsidRDefault="007C3087" w:rsidP="007C3087">
      <w:pPr>
        <w:spacing w:after="0" w:line="276" w:lineRule="auto"/>
        <w:jc w:val="both"/>
      </w:pPr>
      <w:r w:rsidRPr="004A3090">
        <w:t>The regression equation can be expressed as:</w:t>
      </w:r>
    </w:p>
    <w:p w14:paraId="222F59E8" w14:textId="77777777" w:rsidR="007C3087" w:rsidRPr="004A3090" w:rsidRDefault="007C3087" w:rsidP="007C3087">
      <w:pPr>
        <w:spacing w:after="0" w:line="276" w:lineRule="auto"/>
        <w:jc w:val="both"/>
      </w:pPr>
    </w:p>
    <w:p w14:paraId="30BA4C2D" w14:textId="643A4927" w:rsidR="007C3087" w:rsidRDefault="00000000" w:rsidP="00E86657">
      <w:pPr>
        <w:spacing w:after="0"/>
        <w:rPr>
          <w:b/>
          <w:bCs/>
          <w:sz w:val="28"/>
          <w:szCs w:val="28"/>
        </w:rPr>
      </w:pPr>
      <m:oMathPara>
        <m:oMath>
          <m:sSub>
            <m:sSubPr>
              <m:ctrlPr>
                <w:rPr>
                  <w:rFonts w:ascii="Cambria Math" w:hAnsi="Cambria Math"/>
                </w:rPr>
              </m:ctrlPr>
            </m:sSubPr>
            <m:e>
              <m:r>
                <m:rPr>
                  <m:nor/>
                </m:rPr>
                <m:t>OOPE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sSub>
            <m:sSubPr>
              <m:ctrlPr>
                <w:rPr>
                  <w:rFonts w:ascii="Cambria Math" w:hAnsi="Cambria Math"/>
                </w:rPr>
              </m:ctrlPr>
            </m:sSubPr>
            <m:e>
              <m:r>
                <m:rPr>
                  <m:nor/>
                </m:rPr>
                <m:t>Gender</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sSub>
            <m:sSubPr>
              <m:ctrlPr>
                <w:rPr>
                  <w:rFonts w:ascii="Cambria Math" w:hAnsi="Cambria Math"/>
                </w:rPr>
              </m:ctrlPr>
            </m:sSubPr>
            <m:e>
              <m:r>
                <m:rPr>
                  <m:nor/>
                </m:rPr>
                <m:t>Medium</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3</m:t>
              </m:r>
            </m:sub>
          </m:sSub>
          <m:sSub>
            <m:sSubPr>
              <m:ctrlPr>
                <w:rPr>
                  <w:rFonts w:ascii="Cambria Math" w:hAnsi="Cambria Math"/>
                </w:rPr>
              </m:ctrlPr>
            </m:sSubPr>
            <m:e>
              <m:r>
                <m:rPr>
                  <m:nor/>
                </m:rPr>
                <m:t>Stand</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4</m:t>
              </m:r>
            </m:sub>
          </m:sSub>
          <m:sSub>
            <m:sSubPr>
              <m:ctrlPr>
                <w:rPr>
                  <w:rFonts w:ascii="Cambria Math" w:hAnsi="Cambria Math"/>
                </w:rPr>
              </m:ctrlPr>
            </m:sSubPr>
            <m:e>
              <m:r>
                <m:rPr>
                  <m:nor/>
                </m:rPr>
                <m:t>Caste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5</m:t>
              </m:r>
            </m:sub>
          </m:sSub>
          <m:sSub>
            <m:sSubPr>
              <m:ctrlPr>
                <w:rPr>
                  <w:rFonts w:ascii="Cambria Math" w:hAnsi="Cambria Math"/>
                </w:rPr>
              </m:ctrlPr>
            </m:sSubPr>
            <m:e>
              <m:r>
                <m:rPr>
                  <m:nor/>
                </m:rPr>
                <m:t>Residence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6</m:t>
              </m:r>
            </m:sub>
          </m:sSub>
          <m:sSub>
            <m:sSubPr>
              <m:ctrlPr>
                <w:rPr>
                  <w:rFonts w:ascii="Cambria Math" w:hAnsi="Cambria Math"/>
                </w:rPr>
              </m:ctrlPr>
            </m:sSubPr>
            <m:e>
              <m:r>
                <m:rPr>
                  <m:nor/>
                </m:rPr>
                <m:t>HouseType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7</m:t>
              </m:r>
            </m:sub>
          </m:sSub>
          <m:sSub>
            <m:sSubPr>
              <m:ctrlPr>
                <w:rPr>
                  <w:rFonts w:ascii="Cambria Math" w:hAnsi="Cambria Math"/>
                </w:rPr>
              </m:ctrlPr>
            </m:sSubPr>
            <m:e>
              <m:r>
                <m:rPr>
                  <m:nor/>
                </m:rPr>
                <m:t>FatherEdu</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8</m:t>
              </m:r>
            </m:sub>
          </m:sSub>
          <m:sSub>
            <m:sSubPr>
              <m:ctrlPr>
                <w:rPr>
                  <w:rFonts w:ascii="Cambria Math" w:hAnsi="Cambria Math"/>
                </w:rPr>
              </m:ctrlPr>
            </m:sSubPr>
            <m:e>
              <m:r>
                <m:rPr>
                  <m:nor/>
                </m:rPr>
                <m:t>MotherEdu</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9</m:t>
              </m:r>
            </m:sub>
          </m:sSub>
          <m:sSub>
            <m:sSubPr>
              <m:ctrlPr>
                <w:rPr>
                  <w:rFonts w:ascii="Cambria Math" w:hAnsi="Cambria Math"/>
                </w:rPr>
              </m:ctrlPr>
            </m:sSubPr>
            <m:e>
              <m:r>
                <m:rPr>
                  <m:nor/>
                </m:rPr>
                <m:t>MotherOcc</m:t>
              </m:r>
              <w:proofErr w:type="spellStart"/>
              <m:r>
                <m:rPr>
                  <m:nor/>
                </m:rPr>
                <w:rPr>
                  <w:rFonts w:ascii="Cambria Math"/>
                </w:rPr>
                <m:t>Govt</m:t>
              </m:r>
              <w:proofErr w:type="spellEnd"/>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10</m:t>
              </m:r>
            </m:sub>
          </m:sSub>
          <m:sSub>
            <m:sSubPr>
              <m:ctrlPr>
                <w:rPr>
                  <w:rFonts w:ascii="Cambria Math" w:hAnsi="Cambria Math"/>
                </w:rPr>
              </m:ctrlPr>
            </m:sSubPr>
            <m:e>
              <m:r>
                <m:rPr>
                  <m:nor/>
                </m:rPr>
                <m:t>MotherOcc</m:t>
              </m:r>
              <w:proofErr w:type="spellStart"/>
              <m:r>
                <m:rPr>
                  <m:nor/>
                </m:rPr>
                <w:rPr>
                  <w:rFonts w:ascii="Cambria Math"/>
                </w:rPr>
                <m:t>hw</m:t>
              </m:r>
              <w:proofErr w:type="spellEnd"/>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r>
                <w:rPr>
                  <w:rFonts w:ascii="Cambria Math" w:hAnsi="Cambria Math"/>
                </w:rPr>
                <m:t>1</m:t>
              </m:r>
            </m:sub>
          </m:sSub>
          <m:sSub>
            <m:sSubPr>
              <m:ctrlPr>
                <w:rPr>
                  <w:rFonts w:ascii="Cambria Math" w:hAnsi="Cambria Math"/>
                </w:rPr>
              </m:ctrlPr>
            </m:sSubPr>
            <m:e>
              <m:r>
                <m:rPr>
                  <m:nor/>
                </m:rPr>
                <m:t>FamilySize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r>
                <w:rPr>
                  <w:rFonts w:ascii="Cambria Math" w:hAnsi="Cambria Math"/>
                </w:rPr>
                <m:t>2</m:t>
              </m:r>
            </m:sub>
          </m:sSub>
          <m:r>
            <w:rPr>
              <w:rFonts w:ascii="Cambria Math" w:hAnsi="Cambria Math"/>
            </w:rPr>
            <m:t>Acc</m:t>
          </m:r>
          <m:sSub>
            <m:sSubPr>
              <m:ctrlPr>
                <w:rPr>
                  <w:rFonts w:ascii="Cambria Math" w:hAnsi="Cambria Math"/>
                </w:rPr>
              </m:ctrlPr>
            </m:sSubPr>
            <m:e>
              <m:r>
                <m:rPr>
                  <m:nor/>
                </m:rPr>
                <m:t>Score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r>
                <w:rPr>
                  <w:rFonts w:ascii="Cambria Math" w:hAnsi="Cambria Math"/>
                </w:rPr>
                <m:t>3</m:t>
              </m:r>
            </m:sub>
          </m:sSub>
          <m:sSub>
            <m:sSubPr>
              <m:ctrlPr>
                <w:rPr>
                  <w:rFonts w:ascii="Cambria Math" w:hAnsi="Cambria Math"/>
                </w:rPr>
              </m:ctrlPr>
            </m:sSubPr>
            <m:e>
              <m:r>
                <m:rPr>
                  <m:nor/>
                </m:rPr>
                <m:t>Tuition</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m:t>
              </m:r>
            </m:sub>
          </m:sSub>
          <m:r>
            <m:rPr>
              <m:sty m:val="p"/>
            </m:rPr>
            <w:rPr>
              <w:rFonts w:ascii="Cambria Math" w:hAnsi="Cambria Math"/>
            </w:rPr>
            <w:br/>
          </m:r>
        </m:oMath>
      </m:oMathPara>
    </w:p>
    <w:p w14:paraId="591A718C" w14:textId="59A408A2" w:rsidR="00FC1CD8" w:rsidRPr="0037590A" w:rsidRDefault="00E86657" w:rsidP="0037590A">
      <w:pPr>
        <w:rPr>
          <w:b/>
          <w:bCs/>
        </w:rPr>
      </w:pPr>
      <w:r>
        <w:rPr>
          <w:b/>
          <w:bCs/>
        </w:rPr>
        <w:t xml:space="preserve">5. </w:t>
      </w:r>
      <w:r w:rsidR="00FC1CD8" w:rsidRPr="0037590A">
        <w:rPr>
          <w:b/>
          <w:bCs/>
        </w:rPr>
        <w:t>Results and Discussion</w:t>
      </w:r>
    </w:p>
    <w:p w14:paraId="299C17BA" w14:textId="77777777" w:rsidR="00E86657" w:rsidRDefault="00FC1CD8" w:rsidP="00E86657">
      <w:pPr>
        <w:spacing w:line="276" w:lineRule="auto"/>
        <w:jc w:val="both"/>
      </w:pPr>
      <w:r w:rsidRPr="00B96D18">
        <w:t xml:space="preserve">This </w:t>
      </w:r>
      <w:r w:rsidR="0037590A">
        <w:t xml:space="preserve">section highlights </w:t>
      </w:r>
      <w:r w:rsidRPr="00B96D18">
        <w:t xml:space="preserve">the empirical findings of the study based on primary survey data collected from households in Tripura. </w:t>
      </w:r>
    </w:p>
    <w:p w14:paraId="73B8FDAE" w14:textId="0140F91A" w:rsidR="003361FC" w:rsidRPr="003361FC" w:rsidRDefault="003361FC" w:rsidP="003361FC">
      <w:pPr>
        <w:spacing w:after="0" w:line="276" w:lineRule="auto"/>
        <w:jc w:val="both"/>
        <w:rPr>
          <w:b/>
          <w:bCs/>
          <w:i/>
          <w:iCs/>
        </w:rPr>
      </w:pPr>
      <w:r>
        <w:rPr>
          <w:b/>
          <w:bCs/>
          <w:i/>
          <w:iCs/>
        </w:rPr>
        <w:t xml:space="preserve">5.1 </w:t>
      </w:r>
      <w:r w:rsidRPr="003361FC">
        <w:rPr>
          <w:b/>
          <w:bCs/>
          <w:i/>
          <w:iCs/>
        </w:rPr>
        <w:t>The patterns of out-of-pocket expenditure on primary education</w:t>
      </w:r>
    </w:p>
    <w:p w14:paraId="4CFFED12" w14:textId="75927EE3" w:rsidR="00FC1CD8" w:rsidRDefault="00FC1CD8" w:rsidP="00E86657">
      <w:pPr>
        <w:spacing w:line="276" w:lineRule="auto"/>
        <w:jc w:val="both"/>
      </w:pPr>
      <w:r w:rsidRPr="00B96D18">
        <w:t>It analyses the patterns, determinants, and variations in household out-of-pocket expenditure on primary education, using descriptive statistics and multiple regression analysis. The results are interpreted in the context of existing literature and policy relevance, highlighting key factors that influence household educational spending and their implications for equity and inclusion.</w:t>
      </w:r>
      <w:r w:rsidR="0037590A">
        <w:t xml:space="preserve"> </w:t>
      </w:r>
      <w:r w:rsidRPr="00B61393">
        <w:t>Table</w:t>
      </w:r>
      <w:r w:rsidR="0037590A">
        <w:t xml:space="preserve"> 2 </w:t>
      </w:r>
      <w:r w:rsidRPr="00B61393">
        <w:t xml:space="preserve">presents the descriptive summary of household </w:t>
      </w:r>
      <w:r w:rsidR="003F715D">
        <w:t xml:space="preserve">annual </w:t>
      </w:r>
      <w:r w:rsidRPr="00B61393">
        <w:t>out-of-pocket expenditure (OOPE) on primary education in Tripura based on data collected from 80 sampled households.</w:t>
      </w:r>
    </w:p>
    <w:p w14:paraId="7BBAA625" w14:textId="7690C662" w:rsidR="00FC1CD8" w:rsidRPr="00B61393" w:rsidRDefault="00FC1CD8" w:rsidP="00E86657">
      <w:pPr>
        <w:spacing w:after="0" w:line="240" w:lineRule="auto"/>
        <w:jc w:val="both"/>
        <w:rPr>
          <w:b/>
          <w:bCs/>
        </w:rPr>
      </w:pPr>
      <w:r w:rsidRPr="00B61393">
        <w:rPr>
          <w:b/>
          <w:bCs/>
        </w:rPr>
        <w:t>Table</w:t>
      </w:r>
      <w:r w:rsidR="0037590A">
        <w:rPr>
          <w:b/>
          <w:bCs/>
        </w:rPr>
        <w:t xml:space="preserve"> 2</w:t>
      </w:r>
      <w:r w:rsidRPr="00B61393">
        <w:rPr>
          <w:b/>
          <w:bCs/>
        </w:rPr>
        <w:t xml:space="preserve">: Descriptive Statistics of Average Household </w:t>
      </w:r>
      <w:r w:rsidR="003F715D">
        <w:rPr>
          <w:b/>
          <w:bCs/>
        </w:rPr>
        <w:t xml:space="preserve">Annual </w:t>
      </w:r>
      <w:r w:rsidRPr="00B61393">
        <w:rPr>
          <w:b/>
          <w:bCs/>
        </w:rPr>
        <w:t xml:space="preserve">Out-of-Pocket Expenditure </w:t>
      </w:r>
      <w:r w:rsidR="00DA68E1" w:rsidRPr="00B61393">
        <w:rPr>
          <w:b/>
          <w:bCs/>
        </w:rPr>
        <w:t xml:space="preserve">on </w:t>
      </w:r>
      <w:r w:rsidR="00DA68E1">
        <w:rPr>
          <w:b/>
          <w:bCs/>
        </w:rPr>
        <w:t xml:space="preserve">Primary </w:t>
      </w:r>
      <w:r w:rsidRPr="00B61393">
        <w:rPr>
          <w:b/>
          <w:bCs/>
        </w:rPr>
        <w:t>Education</w:t>
      </w:r>
    </w:p>
    <w:tbl>
      <w:tblPr>
        <w:tblW w:w="5000" w:type="pct"/>
        <w:tblLook w:val="04A0" w:firstRow="1" w:lastRow="0" w:firstColumn="1" w:lastColumn="0" w:noHBand="0" w:noVBand="1"/>
      </w:tblPr>
      <w:tblGrid>
        <w:gridCol w:w="5238"/>
        <w:gridCol w:w="3778"/>
      </w:tblGrid>
      <w:tr w:rsidR="00FC1CD8" w:rsidRPr="00B61393" w14:paraId="2E93E182" w14:textId="77777777" w:rsidTr="00832706">
        <w:trPr>
          <w:trHeight w:val="288"/>
        </w:trPr>
        <w:tc>
          <w:tcPr>
            <w:tcW w:w="2905" w:type="pct"/>
            <w:tcBorders>
              <w:top w:val="single" w:sz="8" w:space="0" w:color="auto"/>
              <w:left w:val="single" w:sz="4" w:space="0" w:color="9BC2E6"/>
              <w:bottom w:val="single" w:sz="4" w:space="0" w:color="auto"/>
              <w:right w:val="nil"/>
            </w:tcBorders>
            <w:shd w:val="clear" w:color="5B9BD5" w:fill="5B9BD5"/>
            <w:noWrap/>
            <w:vAlign w:val="bottom"/>
            <w:hideMark/>
          </w:tcPr>
          <w:p w14:paraId="4284CB1C" w14:textId="77777777" w:rsidR="00FC1CD8" w:rsidRPr="00B61393" w:rsidRDefault="00FC1CD8" w:rsidP="00832706">
            <w:pPr>
              <w:spacing w:after="0" w:line="240" w:lineRule="auto"/>
              <w:rPr>
                <w:rFonts w:eastAsia="Times New Roman"/>
                <w:b/>
                <w:bCs/>
                <w:i/>
                <w:iCs/>
                <w:color w:val="FFFFFF"/>
                <w:kern w:val="0"/>
                <w:lang w:eastAsia="en-IN"/>
                <w14:ligatures w14:val="none"/>
              </w:rPr>
            </w:pPr>
            <w:r w:rsidRPr="00B61393">
              <w:rPr>
                <w:b/>
                <w:bCs/>
              </w:rPr>
              <w:t>Descriptive Statistics</w:t>
            </w:r>
          </w:p>
        </w:tc>
        <w:tc>
          <w:tcPr>
            <w:tcW w:w="2095" w:type="pct"/>
            <w:tcBorders>
              <w:top w:val="single" w:sz="8" w:space="0" w:color="auto"/>
              <w:left w:val="nil"/>
              <w:bottom w:val="single" w:sz="4" w:space="0" w:color="auto"/>
              <w:right w:val="single" w:sz="4" w:space="0" w:color="9BC2E6"/>
            </w:tcBorders>
            <w:shd w:val="clear" w:color="5B9BD5" w:fill="5B9BD5"/>
            <w:noWrap/>
            <w:vAlign w:val="bottom"/>
            <w:hideMark/>
          </w:tcPr>
          <w:p w14:paraId="7B70B9C6" w14:textId="77777777" w:rsidR="00FC1CD8" w:rsidRPr="00B61393" w:rsidRDefault="00FC1CD8" w:rsidP="00832706">
            <w:pPr>
              <w:spacing w:after="0" w:line="240" w:lineRule="auto"/>
              <w:jc w:val="center"/>
              <w:rPr>
                <w:rFonts w:eastAsia="Times New Roman"/>
                <w:b/>
                <w:bCs/>
                <w:i/>
                <w:iCs/>
                <w:color w:val="FFFFFF"/>
                <w:kern w:val="0"/>
                <w:lang w:eastAsia="en-IN"/>
                <w14:ligatures w14:val="none"/>
              </w:rPr>
            </w:pPr>
            <w:r w:rsidRPr="00B61393">
              <w:rPr>
                <w:rFonts w:eastAsia="Times New Roman"/>
                <w:b/>
                <w:bCs/>
                <w:i/>
                <w:iCs/>
                <w:color w:val="FFFFFF"/>
                <w:kern w:val="0"/>
                <w:lang w:eastAsia="en-IN"/>
                <w14:ligatures w14:val="none"/>
              </w:rPr>
              <w:t>Education Expenditure per Year (₹)</w:t>
            </w:r>
          </w:p>
        </w:tc>
      </w:tr>
      <w:tr w:rsidR="00FC1CD8" w:rsidRPr="00B61393" w14:paraId="7E76C26D" w14:textId="77777777" w:rsidTr="00832706">
        <w:trPr>
          <w:trHeight w:val="288"/>
        </w:trPr>
        <w:tc>
          <w:tcPr>
            <w:tcW w:w="2905" w:type="pct"/>
            <w:tcBorders>
              <w:top w:val="single" w:sz="4" w:space="0" w:color="9BC2E6"/>
              <w:left w:val="single" w:sz="4" w:space="0" w:color="9BC2E6"/>
              <w:bottom w:val="single" w:sz="4" w:space="0" w:color="9BC2E6"/>
              <w:right w:val="nil"/>
            </w:tcBorders>
            <w:noWrap/>
            <w:vAlign w:val="bottom"/>
            <w:hideMark/>
          </w:tcPr>
          <w:p w14:paraId="7A3F0660"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Mean</w:t>
            </w:r>
          </w:p>
        </w:tc>
        <w:tc>
          <w:tcPr>
            <w:tcW w:w="2095" w:type="pct"/>
            <w:tcBorders>
              <w:top w:val="single" w:sz="4" w:space="0" w:color="9BC2E6"/>
              <w:left w:val="nil"/>
              <w:bottom w:val="single" w:sz="4" w:space="0" w:color="9BC2E6"/>
              <w:right w:val="single" w:sz="4" w:space="0" w:color="9BC2E6"/>
            </w:tcBorders>
            <w:noWrap/>
            <w:vAlign w:val="bottom"/>
            <w:hideMark/>
          </w:tcPr>
          <w:p w14:paraId="5EE47C05"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14852.5</w:t>
            </w:r>
          </w:p>
        </w:tc>
      </w:tr>
      <w:tr w:rsidR="00FC1CD8" w:rsidRPr="00B61393" w14:paraId="5BDFC57C" w14:textId="77777777" w:rsidTr="00832706">
        <w:trPr>
          <w:trHeight w:val="288"/>
        </w:trPr>
        <w:tc>
          <w:tcPr>
            <w:tcW w:w="2905" w:type="pct"/>
            <w:tcBorders>
              <w:top w:val="single" w:sz="4" w:space="0" w:color="9BC2E6"/>
              <w:left w:val="single" w:sz="4" w:space="0" w:color="9BC2E6"/>
              <w:bottom w:val="single" w:sz="4" w:space="0" w:color="9BC2E6"/>
              <w:right w:val="nil"/>
            </w:tcBorders>
            <w:shd w:val="clear" w:color="DDEBF7" w:fill="DDEBF7"/>
            <w:noWrap/>
            <w:vAlign w:val="bottom"/>
            <w:hideMark/>
          </w:tcPr>
          <w:p w14:paraId="2D0DBE0B"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Standard Error</w:t>
            </w:r>
          </w:p>
        </w:tc>
        <w:tc>
          <w:tcPr>
            <w:tcW w:w="2095" w:type="pct"/>
            <w:tcBorders>
              <w:top w:val="single" w:sz="4" w:space="0" w:color="9BC2E6"/>
              <w:left w:val="nil"/>
              <w:bottom w:val="single" w:sz="4" w:space="0" w:color="9BC2E6"/>
              <w:right w:val="single" w:sz="4" w:space="0" w:color="9BC2E6"/>
            </w:tcBorders>
            <w:shd w:val="clear" w:color="DDEBF7" w:fill="DDEBF7"/>
            <w:noWrap/>
            <w:vAlign w:val="bottom"/>
            <w:hideMark/>
          </w:tcPr>
          <w:p w14:paraId="03407BF3"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1617.0717</w:t>
            </w:r>
          </w:p>
        </w:tc>
      </w:tr>
      <w:tr w:rsidR="00FC1CD8" w:rsidRPr="00B61393" w14:paraId="0C1E1800" w14:textId="77777777" w:rsidTr="00832706">
        <w:trPr>
          <w:trHeight w:val="288"/>
        </w:trPr>
        <w:tc>
          <w:tcPr>
            <w:tcW w:w="2905" w:type="pct"/>
            <w:tcBorders>
              <w:top w:val="single" w:sz="4" w:space="0" w:color="9BC2E6"/>
              <w:left w:val="single" w:sz="4" w:space="0" w:color="9BC2E6"/>
              <w:bottom w:val="single" w:sz="4" w:space="0" w:color="9BC2E6"/>
              <w:right w:val="nil"/>
            </w:tcBorders>
            <w:noWrap/>
            <w:vAlign w:val="bottom"/>
            <w:hideMark/>
          </w:tcPr>
          <w:p w14:paraId="32A80655"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Median</w:t>
            </w:r>
          </w:p>
        </w:tc>
        <w:tc>
          <w:tcPr>
            <w:tcW w:w="2095" w:type="pct"/>
            <w:tcBorders>
              <w:top w:val="single" w:sz="4" w:space="0" w:color="9BC2E6"/>
              <w:left w:val="nil"/>
              <w:bottom w:val="single" w:sz="4" w:space="0" w:color="9BC2E6"/>
              <w:right w:val="single" w:sz="4" w:space="0" w:color="9BC2E6"/>
            </w:tcBorders>
            <w:noWrap/>
            <w:vAlign w:val="bottom"/>
            <w:hideMark/>
          </w:tcPr>
          <w:p w14:paraId="7307C504"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8400</w:t>
            </w:r>
          </w:p>
        </w:tc>
      </w:tr>
      <w:tr w:rsidR="00FC1CD8" w:rsidRPr="00B61393" w14:paraId="53E22253" w14:textId="77777777" w:rsidTr="00832706">
        <w:trPr>
          <w:trHeight w:val="288"/>
        </w:trPr>
        <w:tc>
          <w:tcPr>
            <w:tcW w:w="2905" w:type="pct"/>
            <w:tcBorders>
              <w:top w:val="single" w:sz="4" w:space="0" w:color="9BC2E6"/>
              <w:left w:val="single" w:sz="4" w:space="0" w:color="9BC2E6"/>
              <w:bottom w:val="single" w:sz="4" w:space="0" w:color="9BC2E6"/>
              <w:right w:val="nil"/>
            </w:tcBorders>
            <w:shd w:val="clear" w:color="DDEBF7" w:fill="DDEBF7"/>
            <w:noWrap/>
            <w:vAlign w:val="bottom"/>
            <w:hideMark/>
          </w:tcPr>
          <w:p w14:paraId="798B810D"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Mode</w:t>
            </w:r>
          </w:p>
        </w:tc>
        <w:tc>
          <w:tcPr>
            <w:tcW w:w="2095" w:type="pct"/>
            <w:tcBorders>
              <w:top w:val="single" w:sz="4" w:space="0" w:color="9BC2E6"/>
              <w:left w:val="nil"/>
              <w:bottom w:val="single" w:sz="4" w:space="0" w:color="9BC2E6"/>
              <w:right w:val="single" w:sz="4" w:space="0" w:color="9BC2E6"/>
            </w:tcBorders>
            <w:shd w:val="clear" w:color="DDEBF7" w:fill="DDEBF7"/>
            <w:noWrap/>
            <w:vAlign w:val="bottom"/>
            <w:hideMark/>
          </w:tcPr>
          <w:p w14:paraId="77E2D3BE"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6000</w:t>
            </w:r>
          </w:p>
        </w:tc>
      </w:tr>
      <w:tr w:rsidR="00FC1CD8" w:rsidRPr="00B61393" w14:paraId="35325C4D" w14:textId="77777777" w:rsidTr="00832706">
        <w:trPr>
          <w:trHeight w:val="288"/>
        </w:trPr>
        <w:tc>
          <w:tcPr>
            <w:tcW w:w="2905" w:type="pct"/>
            <w:tcBorders>
              <w:top w:val="single" w:sz="4" w:space="0" w:color="9BC2E6"/>
              <w:left w:val="single" w:sz="4" w:space="0" w:color="9BC2E6"/>
              <w:bottom w:val="single" w:sz="4" w:space="0" w:color="9BC2E6"/>
              <w:right w:val="nil"/>
            </w:tcBorders>
            <w:noWrap/>
            <w:vAlign w:val="bottom"/>
            <w:hideMark/>
          </w:tcPr>
          <w:p w14:paraId="254B9F33"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Standard Deviation</w:t>
            </w:r>
          </w:p>
        </w:tc>
        <w:tc>
          <w:tcPr>
            <w:tcW w:w="2095" w:type="pct"/>
            <w:tcBorders>
              <w:top w:val="single" w:sz="4" w:space="0" w:color="9BC2E6"/>
              <w:left w:val="nil"/>
              <w:bottom w:val="single" w:sz="4" w:space="0" w:color="9BC2E6"/>
              <w:right w:val="single" w:sz="4" w:space="0" w:color="9BC2E6"/>
            </w:tcBorders>
            <w:noWrap/>
            <w:vAlign w:val="bottom"/>
            <w:hideMark/>
          </w:tcPr>
          <w:p w14:paraId="61272138"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14463.5</w:t>
            </w:r>
          </w:p>
        </w:tc>
      </w:tr>
      <w:tr w:rsidR="00FC1CD8" w:rsidRPr="00B61393" w14:paraId="4BE49524" w14:textId="77777777" w:rsidTr="00832706">
        <w:trPr>
          <w:trHeight w:val="288"/>
        </w:trPr>
        <w:tc>
          <w:tcPr>
            <w:tcW w:w="2905" w:type="pct"/>
            <w:tcBorders>
              <w:top w:val="single" w:sz="4" w:space="0" w:color="9BC2E6"/>
              <w:left w:val="single" w:sz="4" w:space="0" w:color="9BC2E6"/>
              <w:bottom w:val="single" w:sz="4" w:space="0" w:color="9BC2E6"/>
              <w:right w:val="nil"/>
            </w:tcBorders>
            <w:shd w:val="clear" w:color="DDEBF7" w:fill="DDEBF7"/>
            <w:noWrap/>
            <w:vAlign w:val="bottom"/>
            <w:hideMark/>
          </w:tcPr>
          <w:p w14:paraId="680BD295"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Sample Variance</w:t>
            </w:r>
          </w:p>
        </w:tc>
        <w:tc>
          <w:tcPr>
            <w:tcW w:w="2095" w:type="pct"/>
            <w:tcBorders>
              <w:top w:val="single" w:sz="4" w:space="0" w:color="9BC2E6"/>
              <w:left w:val="nil"/>
              <w:bottom w:val="single" w:sz="4" w:space="0" w:color="9BC2E6"/>
              <w:right w:val="single" w:sz="4" w:space="0" w:color="9BC2E6"/>
            </w:tcBorders>
            <w:shd w:val="clear" w:color="DDEBF7" w:fill="DDEBF7"/>
            <w:noWrap/>
            <w:vAlign w:val="bottom"/>
            <w:hideMark/>
          </w:tcPr>
          <w:p w14:paraId="289A8B73"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209193665</w:t>
            </w:r>
          </w:p>
        </w:tc>
      </w:tr>
      <w:tr w:rsidR="00FC1CD8" w:rsidRPr="00B61393" w14:paraId="630FC41B" w14:textId="77777777" w:rsidTr="00832706">
        <w:trPr>
          <w:trHeight w:val="288"/>
        </w:trPr>
        <w:tc>
          <w:tcPr>
            <w:tcW w:w="2905" w:type="pct"/>
            <w:tcBorders>
              <w:top w:val="single" w:sz="4" w:space="0" w:color="9BC2E6"/>
              <w:left w:val="single" w:sz="4" w:space="0" w:color="9BC2E6"/>
              <w:bottom w:val="single" w:sz="4" w:space="0" w:color="9BC2E6"/>
              <w:right w:val="nil"/>
            </w:tcBorders>
            <w:noWrap/>
            <w:vAlign w:val="bottom"/>
            <w:hideMark/>
          </w:tcPr>
          <w:p w14:paraId="1B3A622B"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Kurtosis</w:t>
            </w:r>
          </w:p>
        </w:tc>
        <w:tc>
          <w:tcPr>
            <w:tcW w:w="2095" w:type="pct"/>
            <w:tcBorders>
              <w:top w:val="single" w:sz="4" w:space="0" w:color="9BC2E6"/>
              <w:left w:val="nil"/>
              <w:bottom w:val="single" w:sz="4" w:space="0" w:color="9BC2E6"/>
              <w:right w:val="single" w:sz="4" w:space="0" w:color="9BC2E6"/>
            </w:tcBorders>
            <w:noWrap/>
            <w:vAlign w:val="bottom"/>
            <w:hideMark/>
          </w:tcPr>
          <w:p w14:paraId="29D4C82A"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3.3754845</w:t>
            </w:r>
          </w:p>
        </w:tc>
      </w:tr>
      <w:tr w:rsidR="00FC1CD8" w:rsidRPr="00B61393" w14:paraId="498D2CD5" w14:textId="77777777" w:rsidTr="00832706">
        <w:trPr>
          <w:trHeight w:val="288"/>
        </w:trPr>
        <w:tc>
          <w:tcPr>
            <w:tcW w:w="2905" w:type="pct"/>
            <w:tcBorders>
              <w:top w:val="single" w:sz="4" w:space="0" w:color="9BC2E6"/>
              <w:left w:val="single" w:sz="4" w:space="0" w:color="9BC2E6"/>
              <w:bottom w:val="single" w:sz="4" w:space="0" w:color="9BC2E6"/>
              <w:right w:val="nil"/>
            </w:tcBorders>
            <w:shd w:val="clear" w:color="DDEBF7" w:fill="DDEBF7"/>
            <w:noWrap/>
            <w:vAlign w:val="bottom"/>
            <w:hideMark/>
          </w:tcPr>
          <w:p w14:paraId="6EE31945"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Skewness</w:t>
            </w:r>
          </w:p>
        </w:tc>
        <w:tc>
          <w:tcPr>
            <w:tcW w:w="2095" w:type="pct"/>
            <w:tcBorders>
              <w:top w:val="single" w:sz="4" w:space="0" w:color="9BC2E6"/>
              <w:left w:val="nil"/>
              <w:bottom w:val="single" w:sz="4" w:space="0" w:color="9BC2E6"/>
              <w:right w:val="single" w:sz="4" w:space="0" w:color="9BC2E6"/>
            </w:tcBorders>
            <w:shd w:val="clear" w:color="DDEBF7" w:fill="DDEBF7"/>
            <w:noWrap/>
            <w:vAlign w:val="bottom"/>
            <w:hideMark/>
          </w:tcPr>
          <w:p w14:paraId="194D67A0"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2.00648</w:t>
            </w:r>
          </w:p>
        </w:tc>
      </w:tr>
      <w:tr w:rsidR="00FC1CD8" w:rsidRPr="00B61393" w14:paraId="7A919D5A" w14:textId="77777777" w:rsidTr="00832706">
        <w:trPr>
          <w:trHeight w:val="288"/>
        </w:trPr>
        <w:tc>
          <w:tcPr>
            <w:tcW w:w="2905" w:type="pct"/>
            <w:tcBorders>
              <w:top w:val="single" w:sz="4" w:space="0" w:color="9BC2E6"/>
              <w:left w:val="single" w:sz="4" w:space="0" w:color="9BC2E6"/>
              <w:bottom w:val="single" w:sz="4" w:space="0" w:color="9BC2E6"/>
              <w:right w:val="nil"/>
            </w:tcBorders>
            <w:noWrap/>
            <w:vAlign w:val="bottom"/>
            <w:hideMark/>
          </w:tcPr>
          <w:p w14:paraId="47FDBAB3"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Range</w:t>
            </w:r>
          </w:p>
        </w:tc>
        <w:tc>
          <w:tcPr>
            <w:tcW w:w="2095" w:type="pct"/>
            <w:tcBorders>
              <w:top w:val="single" w:sz="4" w:space="0" w:color="9BC2E6"/>
              <w:left w:val="nil"/>
              <w:bottom w:val="single" w:sz="4" w:space="0" w:color="9BC2E6"/>
              <w:right w:val="single" w:sz="4" w:space="0" w:color="9BC2E6"/>
            </w:tcBorders>
            <w:noWrap/>
            <w:vAlign w:val="bottom"/>
            <w:hideMark/>
          </w:tcPr>
          <w:p w14:paraId="6BF03E44"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64000</w:t>
            </w:r>
          </w:p>
        </w:tc>
      </w:tr>
      <w:tr w:rsidR="00FC1CD8" w:rsidRPr="00B61393" w14:paraId="2B0BECA4" w14:textId="77777777" w:rsidTr="00832706">
        <w:trPr>
          <w:trHeight w:val="288"/>
        </w:trPr>
        <w:tc>
          <w:tcPr>
            <w:tcW w:w="2905" w:type="pct"/>
            <w:tcBorders>
              <w:top w:val="single" w:sz="4" w:space="0" w:color="9BC2E6"/>
              <w:left w:val="single" w:sz="4" w:space="0" w:color="9BC2E6"/>
              <w:bottom w:val="single" w:sz="4" w:space="0" w:color="9BC2E6"/>
              <w:right w:val="nil"/>
            </w:tcBorders>
            <w:shd w:val="clear" w:color="DDEBF7" w:fill="DDEBF7"/>
            <w:noWrap/>
            <w:vAlign w:val="bottom"/>
            <w:hideMark/>
          </w:tcPr>
          <w:p w14:paraId="3F4E8034"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Minimum</w:t>
            </w:r>
          </w:p>
        </w:tc>
        <w:tc>
          <w:tcPr>
            <w:tcW w:w="2095" w:type="pct"/>
            <w:tcBorders>
              <w:top w:val="single" w:sz="4" w:space="0" w:color="9BC2E6"/>
              <w:left w:val="nil"/>
              <w:bottom w:val="single" w:sz="4" w:space="0" w:color="9BC2E6"/>
              <w:right w:val="single" w:sz="4" w:space="0" w:color="9BC2E6"/>
            </w:tcBorders>
            <w:shd w:val="clear" w:color="DDEBF7" w:fill="DDEBF7"/>
            <w:noWrap/>
            <w:vAlign w:val="bottom"/>
            <w:hideMark/>
          </w:tcPr>
          <w:p w14:paraId="41992421"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1000</w:t>
            </w:r>
          </w:p>
        </w:tc>
      </w:tr>
      <w:tr w:rsidR="00FC1CD8" w:rsidRPr="00B61393" w14:paraId="13FBCD6B" w14:textId="77777777" w:rsidTr="00832706">
        <w:trPr>
          <w:trHeight w:val="288"/>
        </w:trPr>
        <w:tc>
          <w:tcPr>
            <w:tcW w:w="2905" w:type="pct"/>
            <w:tcBorders>
              <w:top w:val="single" w:sz="4" w:space="0" w:color="9BC2E6"/>
              <w:left w:val="single" w:sz="4" w:space="0" w:color="9BC2E6"/>
              <w:bottom w:val="single" w:sz="4" w:space="0" w:color="9BC2E6"/>
              <w:right w:val="nil"/>
            </w:tcBorders>
            <w:noWrap/>
            <w:vAlign w:val="bottom"/>
            <w:hideMark/>
          </w:tcPr>
          <w:p w14:paraId="03822394"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Maximum</w:t>
            </w:r>
          </w:p>
        </w:tc>
        <w:tc>
          <w:tcPr>
            <w:tcW w:w="2095" w:type="pct"/>
            <w:tcBorders>
              <w:top w:val="single" w:sz="4" w:space="0" w:color="9BC2E6"/>
              <w:left w:val="nil"/>
              <w:bottom w:val="single" w:sz="4" w:space="0" w:color="9BC2E6"/>
              <w:right w:val="single" w:sz="4" w:space="0" w:color="9BC2E6"/>
            </w:tcBorders>
            <w:noWrap/>
            <w:vAlign w:val="bottom"/>
            <w:hideMark/>
          </w:tcPr>
          <w:p w14:paraId="329B89A2"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65000</w:t>
            </w:r>
          </w:p>
        </w:tc>
      </w:tr>
      <w:tr w:rsidR="00FC1CD8" w:rsidRPr="00B61393" w14:paraId="75D87E5C" w14:textId="77777777" w:rsidTr="00832706">
        <w:trPr>
          <w:trHeight w:val="288"/>
        </w:trPr>
        <w:tc>
          <w:tcPr>
            <w:tcW w:w="2905" w:type="pct"/>
            <w:tcBorders>
              <w:top w:val="single" w:sz="4" w:space="0" w:color="9BC2E6"/>
              <w:left w:val="single" w:sz="4" w:space="0" w:color="9BC2E6"/>
              <w:bottom w:val="single" w:sz="4" w:space="0" w:color="9BC2E6"/>
              <w:right w:val="nil"/>
            </w:tcBorders>
            <w:shd w:val="clear" w:color="DDEBF7" w:fill="DDEBF7"/>
            <w:noWrap/>
            <w:vAlign w:val="bottom"/>
            <w:hideMark/>
          </w:tcPr>
          <w:p w14:paraId="3E0432E0"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lastRenderedPageBreak/>
              <w:t>Sum</w:t>
            </w:r>
          </w:p>
        </w:tc>
        <w:tc>
          <w:tcPr>
            <w:tcW w:w="2095" w:type="pct"/>
            <w:tcBorders>
              <w:top w:val="single" w:sz="4" w:space="0" w:color="9BC2E6"/>
              <w:left w:val="nil"/>
              <w:bottom w:val="single" w:sz="4" w:space="0" w:color="9BC2E6"/>
              <w:right w:val="single" w:sz="4" w:space="0" w:color="9BC2E6"/>
            </w:tcBorders>
            <w:shd w:val="clear" w:color="DDEBF7" w:fill="DDEBF7"/>
            <w:noWrap/>
            <w:vAlign w:val="bottom"/>
            <w:hideMark/>
          </w:tcPr>
          <w:p w14:paraId="42208D46"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1188200</w:t>
            </w:r>
          </w:p>
        </w:tc>
      </w:tr>
      <w:tr w:rsidR="00FC1CD8" w:rsidRPr="00B61393" w14:paraId="64C0F45B" w14:textId="77777777" w:rsidTr="00832706">
        <w:trPr>
          <w:trHeight w:val="288"/>
        </w:trPr>
        <w:tc>
          <w:tcPr>
            <w:tcW w:w="2905" w:type="pct"/>
            <w:tcBorders>
              <w:top w:val="single" w:sz="4" w:space="0" w:color="9BC2E6"/>
              <w:left w:val="single" w:sz="4" w:space="0" w:color="9BC2E6"/>
              <w:bottom w:val="single" w:sz="8" w:space="0" w:color="auto"/>
              <w:right w:val="nil"/>
            </w:tcBorders>
            <w:noWrap/>
            <w:vAlign w:val="bottom"/>
            <w:hideMark/>
          </w:tcPr>
          <w:p w14:paraId="0D7477A7"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Count</w:t>
            </w:r>
          </w:p>
        </w:tc>
        <w:tc>
          <w:tcPr>
            <w:tcW w:w="2095" w:type="pct"/>
            <w:tcBorders>
              <w:top w:val="single" w:sz="4" w:space="0" w:color="9BC2E6"/>
              <w:left w:val="nil"/>
              <w:bottom w:val="single" w:sz="8" w:space="0" w:color="auto"/>
              <w:right w:val="single" w:sz="4" w:space="0" w:color="9BC2E6"/>
            </w:tcBorders>
            <w:noWrap/>
            <w:vAlign w:val="bottom"/>
            <w:hideMark/>
          </w:tcPr>
          <w:p w14:paraId="481EE842"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80</w:t>
            </w:r>
          </w:p>
        </w:tc>
      </w:tr>
    </w:tbl>
    <w:p w14:paraId="596B32BB" w14:textId="5045C048" w:rsidR="00FC1CD8" w:rsidRPr="00B96D18" w:rsidRDefault="00FC1CD8" w:rsidP="00FC1CD8">
      <w:pPr>
        <w:spacing w:line="360" w:lineRule="auto"/>
        <w:jc w:val="both"/>
      </w:pPr>
      <w:r w:rsidRPr="00B61393">
        <w:t>Source: Own Estimation</w:t>
      </w:r>
      <w:r w:rsidR="000340E1">
        <w:t>, 2025</w:t>
      </w:r>
    </w:p>
    <w:p w14:paraId="00860A73" w14:textId="77777777" w:rsidR="00FC1CD8" w:rsidRPr="00B61393" w:rsidRDefault="00FC1CD8" w:rsidP="000340E1">
      <w:pPr>
        <w:spacing w:line="276" w:lineRule="auto"/>
        <w:jc w:val="both"/>
      </w:pPr>
      <w:r w:rsidRPr="00B61393">
        <w:t>The results show that the average annual household expenditure on primary education is approximately ₹14,852.50, indicating that even at the primary level</w:t>
      </w:r>
      <w:r>
        <w:t xml:space="preserve"> </w:t>
      </w:r>
      <w:r w:rsidRPr="00B61393">
        <w:t>where education is officially free</w:t>
      </w:r>
      <w:r>
        <w:t xml:space="preserve"> </w:t>
      </w:r>
      <w:r w:rsidRPr="00B61393">
        <w:t>families bear a considerable financial burden. The median expenditure of ₹8,400 and mode of ₹6,000 suggest that a majority of households spend below the mean value, reflecting the influence of a few high-spending households on the average.</w:t>
      </w:r>
      <w:r>
        <w:t xml:space="preserve"> </w:t>
      </w:r>
      <w:r w:rsidRPr="00B61393">
        <w:t>The standard deviation of ₹14,463.53 and variance of ₹209,193,665 indicate a high degree of variability in spending among households, implying unequal capacity or willingness to invest in education. The range (₹1,000</w:t>
      </w:r>
      <w:r>
        <w:t xml:space="preserve"> - </w:t>
      </w:r>
      <w:r w:rsidRPr="00B61393">
        <w:t>₹65,000) further supports the existence of wide disparities in expenditure patterns.</w:t>
      </w:r>
      <w:r>
        <w:t xml:space="preserve"> </w:t>
      </w:r>
      <w:r w:rsidRPr="00B61393">
        <w:t>The positive skewness (2.01) and kurtosis value (3.38) confirm that the distribution of expenditure is right-skewed, with a concentration of households spending on the lower end and a few spending exceptionally high amounts.</w:t>
      </w:r>
      <w:r>
        <w:t xml:space="preserve"> </w:t>
      </w:r>
      <w:r w:rsidRPr="00B61393">
        <w:t>Overall, the data reveal significant inequality in educational spending across households, suggesting differences in income levels, educational aspirations, and access to schooling facilities within Tripura. These disparities form the basis for further regression analysis to identify the determinants influencing household education expenditure.</w:t>
      </w:r>
    </w:p>
    <w:p w14:paraId="044EF9CC" w14:textId="1F9DF8E2" w:rsidR="00FC1CD8" w:rsidRPr="00CE08CD" w:rsidRDefault="00FC1CD8" w:rsidP="00E86657">
      <w:pPr>
        <w:spacing w:line="240" w:lineRule="auto"/>
        <w:jc w:val="both"/>
        <w:rPr>
          <w:b/>
          <w:bCs/>
        </w:rPr>
      </w:pPr>
      <w:r w:rsidRPr="00CE08CD">
        <w:rPr>
          <w:b/>
          <w:bCs/>
        </w:rPr>
        <w:t>Table</w:t>
      </w:r>
      <w:r>
        <w:rPr>
          <w:b/>
          <w:bCs/>
        </w:rPr>
        <w:t xml:space="preserve"> </w:t>
      </w:r>
      <w:r w:rsidR="009B46D4">
        <w:rPr>
          <w:b/>
          <w:bCs/>
        </w:rPr>
        <w:t>3</w:t>
      </w:r>
      <w:r w:rsidRPr="00CE08CD">
        <w:rPr>
          <w:b/>
          <w:bCs/>
        </w:rPr>
        <w:t>: Average Household</w:t>
      </w:r>
      <w:r w:rsidR="000340E1">
        <w:rPr>
          <w:b/>
          <w:bCs/>
        </w:rPr>
        <w:t xml:space="preserve"> </w:t>
      </w:r>
      <w:r w:rsidRPr="00CE08CD">
        <w:rPr>
          <w:b/>
          <w:bCs/>
        </w:rPr>
        <w:t>Out-of-Pocket Expenditure on Education per Year by Gender in Tripura</w:t>
      </w:r>
    </w:p>
    <w:tbl>
      <w:tblPr>
        <w:tblW w:w="5000" w:type="pct"/>
        <w:tblLook w:val="04A0" w:firstRow="1" w:lastRow="0" w:firstColumn="1" w:lastColumn="0" w:noHBand="0" w:noVBand="1"/>
      </w:tblPr>
      <w:tblGrid>
        <w:gridCol w:w="1199"/>
        <w:gridCol w:w="7817"/>
      </w:tblGrid>
      <w:tr w:rsidR="00FC1CD8" w:rsidRPr="00CE08CD" w14:paraId="41D8EA0B"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5B9BD5" w:fill="5B9BD5"/>
            <w:noWrap/>
            <w:vAlign w:val="bottom"/>
            <w:hideMark/>
          </w:tcPr>
          <w:p w14:paraId="64D1C1DA" w14:textId="77777777" w:rsidR="00FC1CD8" w:rsidRPr="00CE08CD" w:rsidRDefault="00FC1CD8" w:rsidP="00832706">
            <w:pPr>
              <w:spacing w:after="0" w:line="240" w:lineRule="auto"/>
              <w:rPr>
                <w:rFonts w:eastAsia="Times New Roman"/>
                <w:b/>
                <w:bCs/>
                <w:color w:val="FFFFFF"/>
                <w:kern w:val="0"/>
                <w:lang w:eastAsia="en-IN"/>
                <w14:ligatures w14:val="none"/>
              </w:rPr>
            </w:pPr>
            <w:r w:rsidRPr="00CE08CD">
              <w:rPr>
                <w:rFonts w:eastAsia="Times New Roman"/>
                <w:b/>
                <w:bCs/>
                <w:color w:val="FFFFFF"/>
                <w:kern w:val="0"/>
                <w:lang w:eastAsia="en-IN"/>
                <w14:ligatures w14:val="none"/>
              </w:rPr>
              <w:t>Gender</w:t>
            </w:r>
          </w:p>
        </w:tc>
        <w:tc>
          <w:tcPr>
            <w:tcW w:w="4335" w:type="pct"/>
            <w:tcBorders>
              <w:top w:val="single" w:sz="4" w:space="0" w:color="9BC2E6"/>
              <w:left w:val="nil"/>
              <w:bottom w:val="single" w:sz="4" w:space="0" w:color="9BC2E6"/>
              <w:right w:val="single" w:sz="4" w:space="0" w:color="9BC2E6"/>
            </w:tcBorders>
            <w:shd w:val="clear" w:color="5B9BD5" w:fill="5B9BD5"/>
            <w:noWrap/>
            <w:vAlign w:val="bottom"/>
            <w:hideMark/>
          </w:tcPr>
          <w:p w14:paraId="5E06B19E" w14:textId="77777777" w:rsidR="00FC1CD8" w:rsidRPr="00CE08CD" w:rsidRDefault="00FC1CD8" w:rsidP="00832706">
            <w:pPr>
              <w:spacing w:after="0" w:line="240" w:lineRule="auto"/>
              <w:rPr>
                <w:rFonts w:eastAsia="Times New Roman"/>
                <w:b/>
                <w:bCs/>
                <w:color w:val="FFFFFF"/>
                <w:kern w:val="0"/>
                <w:lang w:eastAsia="en-IN"/>
                <w14:ligatures w14:val="none"/>
              </w:rPr>
            </w:pPr>
            <w:r w:rsidRPr="00CE08CD">
              <w:rPr>
                <w:rFonts w:eastAsia="Times New Roman"/>
                <w:b/>
                <w:bCs/>
                <w:color w:val="FFFFFF"/>
                <w:kern w:val="0"/>
                <w:lang w:eastAsia="en-IN"/>
                <w14:ligatures w14:val="none"/>
              </w:rPr>
              <w:t>Average Household Out-of-Pocket Expenditure on Education per Year (₹)</w:t>
            </w:r>
          </w:p>
        </w:tc>
      </w:tr>
      <w:tr w:rsidR="00FC1CD8" w:rsidRPr="00CE08CD" w14:paraId="0F3F33CD"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DDEBF7" w:fill="DDEBF7"/>
            <w:noWrap/>
            <w:vAlign w:val="bottom"/>
            <w:hideMark/>
          </w:tcPr>
          <w:p w14:paraId="39977433" w14:textId="77777777" w:rsidR="00FC1CD8" w:rsidRPr="00CE08CD" w:rsidRDefault="00FC1CD8" w:rsidP="00832706">
            <w:pPr>
              <w:spacing w:after="0" w:line="240" w:lineRule="auto"/>
              <w:rPr>
                <w:rFonts w:eastAsia="Times New Roman"/>
                <w:color w:val="000000"/>
                <w:kern w:val="0"/>
                <w:lang w:eastAsia="en-IN"/>
                <w14:ligatures w14:val="none"/>
              </w:rPr>
            </w:pPr>
            <w:r w:rsidRPr="00CE08CD">
              <w:rPr>
                <w:rFonts w:eastAsia="Times New Roman"/>
                <w:color w:val="000000"/>
                <w:kern w:val="0"/>
                <w:lang w:eastAsia="en-IN"/>
                <w14:ligatures w14:val="none"/>
              </w:rPr>
              <w:t>Female</w:t>
            </w:r>
          </w:p>
        </w:tc>
        <w:tc>
          <w:tcPr>
            <w:tcW w:w="4335" w:type="pct"/>
            <w:tcBorders>
              <w:top w:val="single" w:sz="4" w:space="0" w:color="9BC2E6"/>
              <w:left w:val="nil"/>
              <w:bottom w:val="single" w:sz="4" w:space="0" w:color="9BC2E6"/>
              <w:right w:val="single" w:sz="4" w:space="0" w:color="9BC2E6"/>
            </w:tcBorders>
            <w:shd w:val="clear" w:color="DDEBF7" w:fill="DDEBF7"/>
            <w:noWrap/>
            <w:vAlign w:val="bottom"/>
            <w:hideMark/>
          </w:tcPr>
          <w:p w14:paraId="025197F5" w14:textId="77777777" w:rsidR="00FC1CD8" w:rsidRPr="00CE08CD" w:rsidRDefault="00FC1CD8" w:rsidP="00832706">
            <w:pPr>
              <w:spacing w:after="0" w:line="240" w:lineRule="auto"/>
              <w:jc w:val="right"/>
              <w:rPr>
                <w:rFonts w:eastAsia="Times New Roman"/>
                <w:color w:val="000000"/>
                <w:kern w:val="0"/>
                <w:lang w:eastAsia="en-IN"/>
                <w14:ligatures w14:val="none"/>
              </w:rPr>
            </w:pPr>
            <w:r w:rsidRPr="00CE08CD">
              <w:rPr>
                <w:rFonts w:eastAsia="Times New Roman"/>
                <w:color w:val="000000"/>
                <w:kern w:val="0"/>
                <w:lang w:eastAsia="en-IN"/>
                <w14:ligatures w14:val="none"/>
              </w:rPr>
              <w:t>11372</w:t>
            </w:r>
          </w:p>
        </w:tc>
      </w:tr>
      <w:tr w:rsidR="00FC1CD8" w:rsidRPr="00CE08CD" w14:paraId="122B3773" w14:textId="77777777" w:rsidTr="00832706">
        <w:trPr>
          <w:trHeight w:val="288"/>
        </w:trPr>
        <w:tc>
          <w:tcPr>
            <w:tcW w:w="665" w:type="pct"/>
            <w:tcBorders>
              <w:top w:val="single" w:sz="4" w:space="0" w:color="9BC2E6"/>
              <w:left w:val="single" w:sz="4" w:space="0" w:color="9BC2E6"/>
              <w:bottom w:val="single" w:sz="4" w:space="0" w:color="9BC2E6"/>
              <w:right w:val="nil"/>
            </w:tcBorders>
            <w:noWrap/>
            <w:vAlign w:val="bottom"/>
            <w:hideMark/>
          </w:tcPr>
          <w:p w14:paraId="06B2EFE2" w14:textId="77777777" w:rsidR="00FC1CD8" w:rsidRPr="00CE08CD" w:rsidRDefault="00FC1CD8" w:rsidP="00832706">
            <w:pPr>
              <w:spacing w:after="0" w:line="240" w:lineRule="auto"/>
              <w:rPr>
                <w:rFonts w:eastAsia="Times New Roman"/>
                <w:color w:val="000000"/>
                <w:kern w:val="0"/>
                <w:lang w:eastAsia="en-IN"/>
                <w14:ligatures w14:val="none"/>
              </w:rPr>
            </w:pPr>
            <w:r w:rsidRPr="00CE08CD">
              <w:rPr>
                <w:rFonts w:eastAsia="Times New Roman"/>
                <w:color w:val="000000"/>
                <w:kern w:val="0"/>
                <w:lang w:eastAsia="en-IN"/>
                <w14:ligatures w14:val="none"/>
              </w:rPr>
              <w:t>Male</w:t>
            </w:r>
          </w:p>
        </w:tc>
        <w:tc>
          <w:tcPr>
            <w:tcW w:w="4335" w:type="pct"/>
            <w:tcBorders>
              <w:top w:val="single" w:sz="4" w:space="0" w:color="9BC2E6"/>
              <w:left w:val="nil"/>
              <w:bottom w:val="single" w:sz="4" w:space="0" w:color="9BC2E6"/>
              <w:right w:val="single" w:sz="4" w:space="0" w:color="9BC2E6"/>
            </w:tcBorders>
            <w:noWrap/>
            <w:vAlign w:val="bottom"/>
            <w:hideMark/>
          </w:tcPr>
          <w:p w14:paraId="19A96242" w14:textId="77777777" w:rsidR="00FC1CD8" w:rsidRPr="00CE08CD" w:rsidRDefault="00FC1CD8" w:rsidP="00832706">
            <w:pPr>
              <w:spacing w:after="0" w:line="240" w:lineRule="auto"/>
              <w:jc w:val="right"/>
              <w:rPr>
                <w:rFonts w:eastAsia="Times New Roman"/>
                <w:color w:val="000000"/>
                <w:kern w:val="0"/>
                <w:lang w:eastAsia="en-IN"/>
                <w14:ligatures w14:val="none"/>
              </w:rPr>
            </w:pPr>
            <w:r w:rsidRPr="00CE08CD">
              <w:rPr>
                <w:rFonts w:eastAsia="Times New Roman"/>
                <w:color w:val="000000"/>
                <w:kern w:val="0"/>
                <w:lang w:eastAsia="en-IN"/>
                <w14:ligatures w14:val="none"/>
              </w:rPr>
              <w:t>18897</w:t>
            </w:r>
          </w:p>
        </w:tc>
      </w:tr>
      <w:tr w:rsidR="00FC1CD8" w:rsidRPr="00CE08CD" w14:paraId="2A1CE317"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DDEBF7" w:fill="DDEBF7"/>
            <w:noWrap/>
            <w:vAlign w:val="bottom"/>
            <w:hideMark/>
          </w:tcPr>
          <w:p w14:paraId="1EFAF678" w14:textId="77777777" w:rsidR="00FC1CD8" w:rsidRPr="00CE08CD" w:rsidRDefault="00FC1CD8" w:rsidP="00832706">
            <w:pPr>
              <w:spacing w:after="0" w:line="240" w:lineRule="auto"/>
              <w:rPr>
                <w:rFonts w:eastAsia="Times New Roman"/>
                <w:color w:val="000000"/>
                <w:kern w:val="0"/>
                <w:lang w:eastAsia="en-IN"/>
                <w14:ligatures w14:val="none"/>
              </w:rPr>
            </w:pPr>
            <w:r w:rsidRPr="00CE08CD">
              <w:rPr>
                <w:rFonts w:eastAsia="Times New Roman"/>
                <w:color w:val="000000"/>
                <w:kern w:val="0"/>
                <w:lang w:eastAsia="en-IN"/>
                <w14:ligatures w14:val="none"/>
              </w:rPr>
              <w:t>Overall</w:t>
            </w:r>
          </w:p>
        </w:tc>
        <w:tc>
          <w:tcPr>
            <w:tcW w:w="4335" w:type="pct"/>
            <w:tcBorders>
              <w:top w:val="single" w:sz="4" w:space="0" w:color="9BC2E6"/>
              <w:left w:val="nil"/>
              <w:bottom w:val="single" w:sz="4" w:space="0" w:color="9BC2E6"/>
              <w:right w:val="single" w:sz="4" w:space="0" w:color="9BC2E6"/>
            </w:tcBorders>
            <w:shd w:val="clear" w:color="DDEBF7" w:fill="DDEBF7"/>
            <w:noWrap/>
            <w:vAlign w:val="bottom"/>
            <w:hideMark/>
          </w:tcPr>
          <w:p w14:paraId="1CCE1C35" w14:textId="77777777" w:rsidR="00FC1CD8" w:rsidRPr="00CE08CD" w:rsidRDefault="00FC1CD8" w:rsidP="00832706">
            <w:pPr>
              <w:spacing w:after="0" w:line="240" w:lineRule="auto"/>
              <w:jc w:val="right"/>
              <w:rPr>
                <w:rFonts w:eastAsia="Times New Roman"/>
                <w:color w:val="000000"/>
                <w:kern w:val="0"/>
                <w:lang w:eastAsia="en-IN"/>
                <w14:ligatures w14:val="none"/>
              </w:rPr>
            </w:pPr>
            <w:r w:rsidRPr="00CE08CD">
              <w:rPr>
                <w:rFonts w:eastAsia="Times New Roman"/>
                <w:color w:val="000000"/>
                <w:kern w:val="0"/>
                <w:lang w:eastAsia="en-IN"/>
                <w14:ligatures w14:val="none"/>
              </w:rPr>
              <w:t>14853</w:t>
            </w:r>
          </w:p>
        </w:tc>
      </w:tr>
    </w:tbl>
    <w:p w14:paraId="3140A7EC" w14:textId="235779B6" w:rsidR="00FC1CD8" w:rsidRDefault="00FC1CD8" w:rsidP="00FC1CD8">
      <w:r w:rsidRPr="00520ABD">
        <w:t>Source: Primary Survey</w:t>
      </w:r>
      <w:r w:rsidR="000340E1">
        <w:t>, 2025</w:t>
      </w:r>
    </w:p>
    <w:p w14:paraId="1876D5EA" w14:textId="7A2A1C64" w:rsidR="00FC1CD8" w:rsidRDefault="00FC1CD8" w:rsidP="00E86657">
      <w:pPr>
        <w:spacing w:after="0" w:line="276" w:lineRule="auto"/>
        <w:jc w:val="both"/>
      </w:pPr>
      <w:r w:rsidRPr="00EC71BE">
        <w:t xml:space="preserve">Table </w:t>
      </w:r>
      <w:r w:rsidR="009B46D4">
        <w:t>3</w:t>
      </w:r>
      <w:r>
        <w:t xml:space="preserve"> </w:t>
      </w:r>
      <w:r w:rsidRPr="00EC71BE">
        <w:t>reveals a clear gender disparity in household educational spending at the primary level in Tripura. On average, households spend ₹18,897 per year on male students, compared to only ₹11,372 per year on female students. This indicates that male students receive approximately 66% higher educational expenditure than their female counterparts.</w:t>
      </w:r>
      <w:r>
        <w:t xml:space="preserve"> </w:t>
      </w:r>
      <w:r w:rsidRPr="00EC71BE">
        <w:t>Such a difference suggests the persistence of gender bias in educational investment, where families may prioritize boys’ education over girls’, possibly due to traditional attitudes, perceived returns to education, or resource constraints. The overall average annual expenditure of ₹14,853 reflects the general cost burden households bear for primary-level education in the state.</w:t>
      </w:r>
      <w:r>
        <w:t xml:space="preserve"> </w:t>
      </w:r>
    </w:p>
    <w:p w14:paraId="75FF6B3D" w14:textId="77777777" w:rsidR="00E86657" w:rsidRDefault="00E86657" w:rsidP="00F848C2">
      <w:pPr>
        <w:jc w:val="center"/>
        <w:rPr>
          <w:b/>
          <w:bCs/>
        </w:rPr>
      </w:pPr>
    </w:p>
    <w:p w14:paraId="05FF454A" w14:textId="77777777" w:rsidR="00241273" w:rsidRDefault="00241273" w:rsidP="00F848C2">
      <w:pPr>
        <w:jc w:val="center"/>
        <w:rPr>
          <w:b/>
          <w:bCs/>
        </w:rPr>
      </w:pPr>
    </w:p>
    <w:p w14:paraId="7E997D91" w14:textId="77777777" w:rsidR="006C22F3" w:rsidRDefault="006C22F3" w:rsidP="00F848C2">
      <w:pPr>
        <w:jc w:val="center"/>
        <w:rPr>
          <w:b/>
          <w:bCs/>
        </w:rPr>
      </w:pPr>
    </w:p>
    <w:p w14:paraId="6C890990" w14:textId="77777777" w:rsidR="0036112D" w:rsidRDefault="0036112D" w:rsidP="00F848C2">
      <w:pPr>
        <w:jc w:val="center"/>
        <w:rPr>
          <w:b/>
          <w:bCs/>
        </w:rPr>
      </w:pPr>
    </w:p>
    <w:p w14:paraId="32D42F7A" w14:textId="77777777" w:rsidR="0036112D" w:rsidRDefault="0036112D" w:rsidP="00F848C2">
      <w:pPr>
        <w:jc w:val="center"/>
        <w:rPr>
          <w:b/>
          <w:bCs/>
        </w:rPr>
      </w:pPr>
    </w:p>
    <w:p w14:paraId="1AA42FEF" w14:textId="77777777" w:rsidR="006C22F3" w:rsidRDefault="006C22F3" w:rsidP="00F848C2">
      <w:pPr>
        <w:jc w:val="center"/>
        <w:rPr>
          <w:b/>
          <w:bCs/>
        </w:rPr>
      </w:pPr>
    </w:p>
    <w:p w14:paraId="274A8E35" w14:textId="61732D78" w:rsidR="00FC1CD8" w:rsidRPr="00306359" w:rsidRDefault="00FC1CD8" w:rsidP="00F848C2">
      <w:pPr>
        <w:jc w:val="center"/>
        <w:rPr>
          <w:b/>
          <w:bCs/>
        </w:rPr>
      </w:pPr>
      <w:r w:rsidRPr="00306359">
        <w:rPr>
          <w:b/>
          <w:bCs/>
        </w:rPr>
        <w:lastRenderedPageBreak/>
        <w:t>Figure</w:t>
      </w:r>
      <w:r>
        <w:rPr>
          <w:b/>
          <w:bCs/>
        </w:rPr>
        <w:t xml:space="preserve"> </w:t>
      </w:r>
      <w:r w:rsidR="00241273">
        <w:rPr>
          <w:b/>
          <w:bCs/>
        </w:rPr>
        <w:t>2</w:t>
      </w:r>
      <w:r w:rsidRPr="00306359">
        <w:rPr>
          <w:b/>
          <w:bCs/>
        </w:rPr>
        <w:t>: Average Household Out-of-Pocket Expenditure on Education by Medium of Instruction in Tripura (</w:t>
      </w:r>
      <w:r w:rsidRPr="00EC71BE">
        <w:rPr>
          <w:b/>
          <w:bCs/>
        </w:rPr>
        <w:t>₹</w:t>
      </w:r>
      <w:r w:rsidRPr="00306359">
        <w:rPr>
          <w:b/>
          <w:bCs/>
        </w:rPr>
        <w:t xml:space="preserve"> </w:t>
      </w:r>
      <w:r w:rsidRPr="00EC71BE">
        <w:rPr>
          <w:b/>
          <w:bCs/>
        </w:rPr>
        <w:t>per year</w:t>
      </w:r>
      <w:r w:rsidRPr="00306359">
        <w:rPr>
          <w:b/>
          <w:bCs/>
        </w:rPr>
        <w:t>)</w:t>
      </w:r>
    </w:p>
    <w:p w14:paraId="723E406C" w14:textId="77777777" w:rsidR="00FC1CD8" w:rsidRDefault="00FC1CD8" w:rsidP="00FC1CD8">
      <w:pPr>
        <w:jc w:val="center"/>
      </w:pPr>
      <w:r>
        <w:rPr>
          <w:noProof/>
        </w:rPr>
        <w:drawing>
          <wp:inline distT="0" distB="0" distL="0" distR="0" wp14:anchorId="0030A263" wp14:editId="580C6C30">
            <wp:extent cx="4225637" cy="2355273"/>
            <wp:effectExtent l="0" t="0" r="3810" b="6985"/>
            <wp:docPr id="2113058754" name="Chart 1">
              <a:extLst xmlns:a="http://schemas.openxmlformats.org/drawingml/2006/main">
                <a:ext uri="{FF2B5EF4-FFF2-40B4-BE49-F238E27FC236}">
                  <a16:creationId xmlns:a16="http://schemas.microsoft.com/office/drawing/2014/main" id="{752E7241-6B03-EC9D-EE19-B8AD26F76B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3A5FC7" w14:textId="07CE91A1" w:rsidR="00FC1CD8" w:rsidRDefault="00FC1CD8" w:rsidP="00FC1CD8">
      <w:pPr>
        <w:jc w:val="center"/>
      </w:pPr>
      <w:r w:rsidRPr="00520ABD">
        <w:t>Source: Primary Survey</w:t>
      </w:r>
      <w:r w:rsidR="000340E1">
        <w:t>, 2025</w:t>
      </w:r>
    </w:p>
    <w:p w14:paraId="2F79288A" w14:textId="12F56128" w:rsidR="00FC1CD8" w:rsidRPr="002E5F8B" w:rsidRDefault="00FC1CD8" w:rsidP="000340E1">
      <w:pPr>
        <w:spacing w:line="276" w:lineRule="auto"/>
        <w:jc w:val="both"/>
      </w:pPr>
      <w:r w:rsidRPr="002E5F8B">
        <w:t xml:space="preserve">Figure </w:t>
      </w:r>
      <w:r w:rsidR="00241273">
        <w:t>2</w:t>
      </w:r>
      <w:r w:rsidRPr="002E5F8B">
        <w:t xml:space="preserve"> shows a clear variation in household out-of-pocket educational expenditure depending on the medium of instruction of the school. On average, households spend ₹16,432 per year for children studying in English-medium schools, whereas the average annual spending for Bengali-medium students is ₹10,939. This difference indicates that English-medium education is considerably more expensive than Bengali-medium education at the primary level in Tripura. The higher expenditure in English-medium schools may be attributed to greater tuition fees, additional costs for books, uniforms, and private coaching, as well as the predominance of private institutions offering English-medium instruction. In contrast, Bengali-medium schools are often government-run or aided institutions where educational costs are relatively lower due to subsidized fees and the availability of free or low-cost learning materials. Overall, the data suggests that the medium of instruction plays a key role in shaping household educational expenditure, reflecting both economic capacity and parental preference for perceived quality and future benefits associated with English-medium education.</w:t>
      </w:r>
    </w:p>
    <w:p w14:paraId="56150867" w14:textId="14F88B76" w:rsidR="00FC1CD8" w:rsidRPr="00306359" w:rsidRDefault="00FC1CD8" w:rsidP="00FC1CD8">
      <w:pPr>
        <w:spacing w:after="0"/>
        <w:jc w:val="both"/>
        <w:rPr>
          <w:b/>
          <w:bCs/>
        </w:rPr>
      </w:pPr>
      <w:r>
        <w:rPr>
          <w:b/>
          <w:bCs/>
        </w:rPr>
        <w:t>Table 4</w:t>
      </w:r>
      <w:r w:rsidRPr="00306359">
        <w:rPr>
          <w:b/>
          <w:bCs/>
        </w:rPr>
        <w:t xml:space="preserve">: Average Household Out-of-Pocket Expenditure on Education by </w:t>
      </w:r>
      <w:r w:rsidRPr="00886995">
        <w:rPr>
          <w:rFonts w:eastAsia="Times New Roman"/>
          <w:b/>
          <w:bCs/>
          <w:color w:val="000000"/>
          <w:kern w:val="0"/>
          <w:lang w:eastAsia="en-IN"/>
          <w14:ligatures w14:val="none"/>
        </w:rPr>
        <w:t>Standard</w:t>
      </w:r>
      <w:r w:rsidRPr="00306359">
        <w:rPr>
          <w:b/>
          <w:bCs/>
        </w:rPr>
        <w:t xml:space="preserve"> in Tripura (</w:t>
      </w:r>
      <w:r w:rsidRPr="00EC71BE">
        <w:rPr>
          <w:b/>
          <w:bCs/>
        </w:rPr>
        <w:t>₹</w:t>
      </w:r>
      <w:r w:rsidRPr="00306359">
        <w:rPr>
          <w:b/>
          <w:bCs/>
        </w:rPr>
        <w:t xml:space="preserve"> </w:t>
      </w:r>
      <w:r w:rsidRPr="00EC71BE">
        <w:rPr>
          <w:b/>
          <w:bCs/>
        </w:rPr>
        <w:t>per year</w:t>
      </w:r>
      <w:r w:rsidRPr="00306359">
        <w:rPr>
          <w:b/>
          <w:bCs/>
        </w:rPr>
        <w:t>)</w:t>
      </w:r>
    </w:p>
    <w:tbl>
      <w:tblPr>
        <w:tblW w:w="5000" w:type="pct"/>
        <w:tblLook w:val="04A0" w:firstRow="1" w:lastRow="0" w:firstColumn="1" w:lastColumn="0" w:noHBand="0" w:noVBand="1"/>
      </w:tblPr>
      <w:tblGrid>
        <w:gridCol w:w="1199"/>
        <w:gridCol w:w="7817"/>
      </w:tblGrid>
      <w:tr w:rsidR="00FC1CD8" w:rsidRPr="00886995" w14:paraId="02306EFD"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5B9BD5" w:fill="5B9BD5"/>
            <w:noWrap/>
            <w:vAlign w:val="bottom"/>
            <w:hideMark/>
          </w:tcPr>
          <w:p w14:paraId="7FF04230" w14:textId="77777777" w:rsidR="00FC1CD8" w:rsidRPr="00886995" w:rsidRDefault="00FC1CD8" w:rsidP="00832706">
            <w:pPr>
              <w:spacing w:after="0" w:line="240" w:lineRule="auto"/>
              <w:rPr>
                <w:rFonts w:eastAsia="Times New Roman"/>
                <w:b/>
                <w:bCs/>
                <w:color w:val="000000"/>
                <w:kern w:val="0"/>
                <w:lang w:eastAsia="en-IN"/>
                <w14:ligatures w14:val="none"/>
              </w:rPr>
            </w:pPr>
            <w:r w:rsidRPr="00886995">
              <w:rPr>
                <w:rFonts w:eastAsia="Times New Roman"/>
                <w:b/>
                <w:bCs/>
                <w:color w:val="000000"/>
                <w:kern w:val="0"/>
                <w:lang w:eastAsia="en-IN"/>
                <w14:ligatures w14:val="none"/>
              </w:rPr>
              <w:t>Standard</w:t>
            </w:r>
          </w:p>
        </w:tc>
        <w:tc>
          <w:tcPr>
            <w:tcW w:w="4335" w:type="pct"/>
            <w:tcBorders>
              <w:top w:val="single" w:sz="4" w:space="0" w:color="9BC2E6"/>
              <w:left w:val="nil"/>
              <w:bottom w:val="single" w:sz="4" w:space="0" w:color="9BC2E6"/>
              <w:right w:val="single" w:sz="4" w:space="0" w:color="9BC2E6"/>
            </w:tcBorders>
            <w:shd w:val="clear" w:color="5B9BD5" w:fill="5B9BD5"/>
            <w:noWrap/>
            <w:vAlign w:val="center"/>
            <w:hideMark/>
          </w:tcPr>
          <w:p w14:paraId="3F28256C" w14:textId="77777777" w:rsidR="00FC1CD8" w:rsidRPr="00886995" w:rsidRDefault="00FC1CD8" w:rsidP="00832706">
            <w:pPr>
              <w:spacing w:after="0" w:line="240" w:lineRule="auto"/>
              <w:rPr>
                <w:rFonts w:eastAsia="Times New Roman"/>
                <w:b/>
                <w:bCs/>
                <w:color w:val="FFFFFF"/>
                <w:kern w:val="0"/>
                <w:lang w:eastAsia="en-IN"/>
                <w14:ligatures w14:val="none"/>
              </w:rPr>
            </w:pPr>
            <w:r w:rsidRPr="00886995">
              <w:rPr>
                <w:rFonts w:eastAsia="Times New Roman"/>
                <w:b/>
                <w:bCs/>
                <w:color w:val="FFFFFF"/>
                <w:kern w:val="0"/>
                <w:lang w:eastAsia="en-IN"/>
                <w14:ligatures w14:val="none"/>
              </w:rPr>
              <w:t>Average Household Out-of-Pocket Expenditure on Education per Year (₹)</w:t>
            </w:r>
          </w:p>
        </w:tc>
      </w:tr>
      <w:tr w:rsidR="00FC1CD8" w:rsidRPr="00886995" w14:paraId="5A092EF7"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DDEBF7" w:fill="DDEBF7"/>
            <w:noWrap/>
            <w:vAlign w:val="bottom"/>
            <w:hideMark/>
          </w:tcPr>
          <w:p w14:paraId="171E8FB8" w14:textId="77777777" w:rsidR="00FC1CD8" w:rsidRPr="00886995" w:rsidRDefault="00FC1CD8" w:rsidP="00832706">
            <w:pPr>
              <w:spacing w:after="0" w:line="240" w:lineRule="auto"/>
              <w:rPr>
                <w:rFonts w:eastAsia="Times New Roman"/>
                <w:color w:val="000000"/>
                <w:kern w:val="0"/>
                <w:lang w:eastAsia="en-IN"/>
                <w14:ligatures w14:val="none"/>
              </w:rPr>
            </w:pPr>
            <w:r w:rsidRPr="00886995">
              <w:rPr>
                <w:rFonts w:eastAsia="Times New Roman"/>
                <w:color w:val="000000"/>
                <w:kern w:val="0"/>
                <w:lang w:eastAsia="en-IN"/>
                <w14:ligatures w14:val="none"/>
              </w:rPr>
              <w:t>Class II</w:t>
            </w:r>
          </w:p>
        </w:tc>
        <w:tc>
          <w:tcPr>
            <w:tcW w:w="4335" w:type="pct"/>
            <w:tcBorders>
              <w:top w:val="single" w:sz="4" w:space="0" w:color="9BC2E6"/>
              <w:left w:val="nil"/>
              <w:bottom w:val="single" w:sz="4" w:space="0" w:color="9BC2E6"/>
              <w:right w:val="single" w:sz="4" w:space="0" w:color="9BC2E6"/>
            </w:tcBorders>
            <w:shd w:val="clear" w:color="DDEBF7" w:fill="DDEBF7"/>
            <w:noWrap/>
            <w:vAlign w:val="bottom"/>
            <w:hideMark/>
          </w:tcPr>
          <w:p w14:paraId="0A7C34FB" w14:textId="77777777" w:rsidR="00FC1CD8" w:rsidRPr="00886995" w:rsidRDefault="00FC1CD8" w:rsidP="00832706">
            <w:pPr>
              <w:spacing w:after="0" w:line="240" w:lineRule="auto"/>
              <w:jc w:val="right"/>
              <w:rPr>
                <w:rFonts w:eastAsia="Times New Roman"/>
                <w:color w:val="000000"/>
                <w:kern w:val="0"/>
                <w:lang w:eastAsia="en-IN"/>
                <w14:ligatures w14:val="none"/>
              </w:rPr>
            </w:pPr>
            <w:r w:rsidRPr="00886995">
              <w:rPr>
                <w:rFonts w:eastAsia="Times New Roman"/>
                <w:color w:val="000000"/>
                <w:kern w:val="0"/>
                <w:lang w:eastAsia="en-IN"/>
                <w14:ligatures w14:val="none"/>
              </w:rPr>
              <w:t>16200</w:t>
            </w:r>
          </w:p>
        </w:tc>
      </w:tr>
      <w:tr w:rsidR="00FC1CD8" w:rsidRPr="00886995" w14:paraId="22227B7E"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DDEBF7" w:fill="DDEBF7"/>
            <w:noWrap/>
            <w:vAlign w:val="bottom"/>
            <w:hideMark/>
          </w:tcPr>
          <w:p w14:paraId="2D5B92E6" w14:textId="77777777" w:rsidR="00FC1CD8" w:rsidRPr="00886995" w:rsidRDefault="00FC1CD8" w:rsidP="00832706">
            <w:pPr>
              <w:spacing w:after="0" w:line="240" w:lineRule="auto"/>
              <w:rPr>
                <w:rFonts w:eastAsia="Times New Roman"/>
                <w:color w:val="000000"/>
                <w:kern w:val="0"/>
                <w:lang w:eastAsia="en-IN"/>
                <w14:ligatures w14:val="none"/>
              </w:rPr>
            </w:pPr>
            <w:r w:rsidRPr="00886995">
              <w:rPr>
                <w:rFonts w:eastAsia="Times New Roman"/>
                <w:color w:val="000000"/>
                <w:kern w:val="0"/>
                <w:lang w:eastAsia="en-IN"/>
                <w14:ligatures w14:val="none"/>
              </w:rPr>
              <w:t>Class III</w:t>
            </w:r>
          </w:p>
        </w:tc>
        <w:tc>
          <w:tcPr>
            <w:tcW w:w="4335" w:type="pct"/>
            <w:tcBorders>
              <w:top w:val="single" w:sz="4" w:space="0" w:color="9BC2E6"/>
              <w:left w:val="nil"/>
              <w:bottom w:val="single" w:sz="4" w:space="0" w:color="9BC2E6"/>
              <w:right w:val="single" w:sz="4" w:space="0" w:color="9BC2E6"/>
            </w:tcBorders>
            <w:noWrap/>
            <w:vAlign w:val="bottom"/>
            <w:hideMark/>
          </w:tcPr>
          <w:p w14:paraId="2D1F3AE0" w14:textId="77777777" w:rsidR="00FC1CD8" w:rsidRPr="00886995" w:rsidRDefault="00FC1CD8" w:rsidP="00832706">
            <w:pPr>
              <w:spacing w:after="0" w:line="240" w:lineRule="auto"/>
              <w:jc w:val="right"/>
              <w:rPr>
                <w:rFonts w:eastAsia="Times New Roman"/>
                <w:color w:val="000000"/>
                <w:kern w:val="0"/>
                <w:lang w:eastAsia="en-IN"/>
                <w14:ligatures w14:val="none"/>
              </w:rPr>
            </w:pPr>
            <w:r w:rsidRPr="00886995">
              <w:rPr>
                <w:rFonts w:eastAsia="Times New Roman"/>
                <w:color w:val="000000"/>
                <w:kern w:val="0"/>
                <w:lang w:eastAsia="en-IN"/>
                <w14:ligatures w14:val="none"/>
              </w:rPr>
              <w:t>14677</w:t>
            </w:r>
          </w:p>
        </w:tc>
      </w:tr>
      <w:tr w:rsidR="00FC1CD8" w:rsidRPr="00886995" w14:paraId="6F267102"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DDEBF7" w:fill="DDEBF7"/>
            <w:noWrap/>
            <w:vAlign w:val="bottom"/>
            <w:hideMark/>
          </w:tcPr>
          <w:p w14:paraId="1FE85BA1" w14:textId="77777777" w:rsidR="00FC1CD8" w:rsidRPr="00886995" w:rsidRDefault="00FC1CD8" w:rsidP="00832706">
            <w:pPr>
              <w:spacing w:after="0" w:line="240" w:lineRule="auto"/>
              <w:rPr>
                <w:rFonts w:eastAsia="Times New Roman"/>
                <w:color w:val="000000"/>
                <w:kern w:val="0"/>
                <w:lang w:eastAsia="en-IN"/>
                <w14:ligatures w14:val="none"/>
              </w:rPr>
            </w:pPr>
            <w:r w:rsidRPr="00886995">
              <w:rPr>
                <w:rFonts w:eastAsia="Times New Roman"/>
                <w:color w:val="000000"/>
                <w:kern w:val="0"/>
                <w:lang w:eastAsia="en-IN"/>
                <w14:ligatures w14:val="none"/>
              </w:rPr>
              <w:t>Class IV</w:t>
            </w:r>
          </w:p>
        </w:tc>
        <w:tc>
          <w:tcPr>
            <w:tcW w:w="4335" w:type="pct"/>
            <w:tcBorders>
              <w:top w:val="single" w:sz="4" w:space="0" w:color="9BC2E6"/>
              <w:left w:val="nil"/>
              <w:bottom w:val="single" w:sz="4" w:space="0" w:color="9BC2E6"/>
              <w:right w:val="single" w:sz="4" w:space="0" w:color="9BC2E6"/>
            </w:tcBorders>
            <w:shd w:val="clear" w:color="DDEBF7" w:fill="DDEBF7"/>
            <w:noWrap/>
            <w:vAlign w:val="bottom"/>
            <w:hideMark/>
          </w:tcPr>
          <w:p w14:paraId="300FF493" w14:textId="77777777" w:rsidR="00FC1CD8" w:rsidRPr="00886995" w:rsidRDefault="00FC1CD8" w:rsidP="00832706">
            <w:pPr>
              <w:spacing w:after="0" w:line="240" w:lineRule="auto"/>
              <w:jc w:val="right"/>
              <w:rPr>
                <w:rFonts w:eastAsia="Times New Roman"/>
                <w:color w:val="000000"/>
                <w:kern w:val="0"/>
                <w:lang w:eastAsia="en-IN"/>
                <w14:ligatures w14:val="none"/>
              </w:rPr>
            </w:pPr>
            <w:r w:rsidRPr="00886995">
              <w:rPr>
                <w:rFonts w:eastAsia="Times New Roman"/>
                <w:color w:val="000000"/>
                <w:kern w:val="0"/>
                <w:lang w:eastAsia="en-IN"/>
                <w14:ligatures w14:val="none"/>
              </w:rPr>
              <w:t>12593</w:t>
            </w:r>
          </w:p>
        </w:tc>
      </w:tr>
      <w:tr w:rsidR="00FC1CD8" w:rsidRPr="00886995" w14:paraId="59A3AF10"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DDEBF7" w:fill="DDEBF7"/>
            <w:noWrap/>
            <w:vAlign w:val="bottom"/>
            <w:hideMark/>
          </w:tcPr>
          <w:p w14:paraId="30CA501D" w14:textId="77777777" w:rsidR="00FC1CD8" w:rsidRPr="00886995" w:rsidRDefault="00FC1CD8" w:rsidP="00832706">
            <w:pPr>
              <w:spacing w:after="0" w:line="240" w:lineRule="auto"/>
              <w:rPr>
                <w:rFonts w:eastAsia="Times New Roman"/>
                <w:color w:val="000000"/>
                <w:kern w:val="0"/>
                <w:lang w:eastAsia="en-IN"/>
                <w14:ligatures w14:val="none"/>
              </w:rPr>
            </w:pPr>
            <w:r w:rsidRPr="00886995">
              <w:rPr>
                <w:rFonts w:eastAsia="Times New Roman"/>
                <w:color w:val="000000"/>
                <w:kern w:val="0"/>
                <w:lang w:eastAsia="en-IN"/>
                <w14:ligatures w14:val="none"/>
              </w:rPr>
              <w:t>Class V</w:t>
            </w:r>
          </w:p>
        </w:tc>
        <w:tc>
          <w:tcPr>
            <w:tcW w:w="4335" w:type="pct"/>
            <w:tcBorders>
              <w:top w:val="single" w:sz="4" w:space="0" w:color="9BC2E6"/>
              <w:left w:val="nil"/>
              <w:bottom w:val="single" w:sz="4" w:space="0" w:color="9BC2E6"/>
              <w:right w:val="single" w:sz="4" w:space="0" w:color="9BC2E6"/>
            </w:tcBorders>
            <w:noWrap/>
            <w:vAlign w:val="bottom"/>
            <w:hideMark/>
          </w:tcPr>
          <w:p w14:paraId="5C704213" w14:textId="77777777" w:rsidR="00FC1CD8" w:rsidRPr="00886995" w:rsidRDefault="00FC1CD8" w:rsidP="00832706">
            <w:pPr>
              <w:spacing w:after="0" w:line="240" w:lineRule="auto"/>
              <w:jc w:val="right"/>
              <w:rPr>
                <w:rFonts w:eastAsia="Times New Roman"/>
                <w:color w:val="000000"/>
                <w:kern w:val="0"/>
                <w:lang w:eastAsia="en-IN"/>
                <w14:ligatures w14:val="none"/>
              </w:rPr>
            </w:pPr>
            <w:r w:rsidRPr="00886995">
              <w:rPr>
                <w:rFonts w:eastAsia="Times New Roman"/>
                <w:color w:val="000000"/>
                <w:kern w:val="0"/>
                <w:lang w:eastAsia="en-IN"/>
                <w14:ligatures w14:val="none"/>
              </w:rPr>
              <w:t>16551</w:t>
            </w:r>
          </w:p>
        </w:tc>
      </w:tr>
    </w:tbl>
    <w:p w14:paraId="777FE2AF" w14:textId="1C1A6BE7" w:rsidR="00FC1CD8" w:rsidRDefault="00FC1CD8" w:rsidP="00FC1CD8">
      <w:r w:rsidRPr="00520ABD">
        <w:t>Source: Primary Survey</w:t>
      </w:r>
      <w:r w:rsidR="000340E1">
        <w:t>, 2025</w:t>
      </w:r>
    </w:p>
    <w:p w14:paraId="002846AB" w14:textId="223A413B" w:rsidR="00FC1CD8" w:rsidRPr="00BC6072" w:rsidRDefault="00FC1CD8" w:rsidP="000340E1">
      <w:pPr>
        <w:spacing w:line="276" w:lineRule="auto"/>
        <w:jc w:val="both"/>
      </w:pPr>
      <w:r w:rsidRPr="00BC6072">
        <w:t xml:space="preserve">Table </w:t>
      </w:r>
      <w:r>
        <w:t>4</w:t>
      </w:r>
      <w:r w:rsidRPr="00BC6072">
        <w:t xml:space="preserve"> presents the average annual household out-of-pocket expenditure on education across different primary school classes in Tripura. The data reveal some variation in educational spending with respect to the student’s standard.</w:t>
      </w:r>
      <w:r>
        <w:t xml:space="preserve"> </w:t>
      </w:r>
      <w:r w:rsidRPr="00BC6072">
        <w:t>Households spend an average of ₹16,200 per year for Class II students and ₹14,677 for Class III, while expenditure slightly declines for Class IV students (₹12,593). However, spending again rises for Class V students to ₹16,551, the highest among all classes.</w:t>
      </w:r>
      <w:r>
        <w:t xml:space="preserve"> </w:t>
      </w:r>
      <w:r w:rsidRPr="00BC6072">
        <w:t xml:space="preserve">This pattern suggests that educational expenses tend to increase </w:t>
      </w:r>
      <w:r w:rsidRPr="00BC6072">
        <w:lastRenderedPageBreak/>
        <w:t>at the beginning and the end of the primary cycle. The higher spending in Class V may reflect additional costs associated with examination preparation, private tuition, and completion-related academic activities, as parents invest more to ensure a smooth transition to upper primary education.</w:t>
      </w:r>
      <w:r>
        <w:t xml:space="preserve"> </w:t>
      </w:r>
      <w:r w:rsidRPr="00BC6072">
        <w:t>Overall, the data indicate that household educational expenditure varies across grade levels, highlighting how schooling costs are not uniform throughout the primary stage in Tripura.</w:t>
      </w:r>
    </w:p>
    <w:p w14:paraId="242BC199" w14:textId="04BDF959" w:rsidR="00FC1CD8" w:rsidRPr="0011134A" w:rsidRDefault="00FC1CD8" w:rsidP="00FC1CD8">
      <w:pPr>
        <w:jc w:val="both"/>
        <w:rPr>
          <w:b/>
          <w:bCs/>
        </w:rPr>
      </w:pPr>
      <w:r>
        <w:rPr>
          <w:b/>
          <w:bCs/>
        </w:rPr>
        <w:t xml:space="preserve">Table </w:t>
      </w:r>
      <w:r w:rsidR="009B46D4">
        <w:rPr>
          <w:b/>
          <w:bCs/>
        </w:rPr>
        <w:t>5</w:t>
      </w:r>
      <w:r w:rsidRPr="00306359">
        <w:rPr>
          <w:b/>
          <w:bCs/>
        </w:rPr>
        <w:t xml:space="preserve">: Average Household Out-of-Pocket Expenditure on Education by </w:t>
      </w:r>
      <w:r w:rsidRPr="0011134A">
        <w:rPr>
          <w:b/>
          <w:bCs/>
        </w:rPr>
        <w:t>Social Category</w:t>
      </w:r>
      <w:r w:rsidRPr="00306359">
        <w:rPr>
          <w:b/>
          <w:bCs/>
        </w:rPr>
        <w:t xml:space="preserve"> in Tripura (</w:t>
      </w:r>
      <w:r w:rsidRPr="00EC71BE">
        <w:rPr>
          <w:b/>
          <w:bCs/>
        </w:rPr>
        <w:t>₹</w:t>
      </w:r>
      <w:r w:rsidRPr="00306359">
        <w:rPr>
          <w:b/>
          <w:bCs/>
        </w:rPr>
        <w:t xml:space="preserve"> </w:t>
      </w:r>
      <w:r w:rsidRPr="00EC71BE">
        <w:rPr>
          <w:b/>
          <w:bCs/>
        </w:rPr>
        <w:t>per year</w:t>
      </w:r>
      <w:r w:rsidRPr="00306359">
        <w:rPr>
          <w:b/>
          <w:bCs/>
        </w:rPr>
        <w:t>)</w:t>
      </w:r>
    </w:p>
    <w:tbl>
      <w:tblPr>
        <w:tblW w:w="5000" w:type="pct"/>
        <w:tblLayout w:type="fixed"/>
        <w:tblLook w:val="04A0" w:firstRow="1" w:lastRow="0" w:firstColumn="1" w:lastColumn="0" w:noHBand="0" w:noVBand="1"/>
      </w:tblPr>
      <w:tblGrid>
        <w:gridCol w:w="2405"/>
        <w:gridCol w:w="6611"/>
      </w:tblGrid>
      <w:tr w:rsidR="00FC1CD8" w:rsidRPr="0011134A" w14:paraId="798A72C1" w14:textId="77777777" w:rsidTr="006C22F3">
        <w:trPr>
          <w:trHeight w:val="288"/>
        </w:trPr>
        <w:tc>
          <w:tcPr>
            <w:tcW w:w="1334" w:type="pct"/>
            <w:tcBorders>
              <w:top w:val="single" w:sz="4" w:space="0" w:color="9BC2E6"/>
              <w:left w:val="single" w:sz="4" w:space="0" w:color="9BC2E6"/>
              <w:bottom w:val="single" w:sz="4" w:space="0" w:color="9BC2E6"/>
              <w:right w:val="nil"/>
            </w:tcBorders>
            <w:shd w:val="clear" w:color="5B9BD5" w:fill="5B9BD5"/>
            <w:noWrap/>
            <w:hideMark/>
          </w:tcPr>
          <w:p w14:paraId="3DAEDC41" w14:textId="77777777" w:rsidR="00FC1CD8" w:rsidRPr="0011134A" w:rsidRDefault="00FC1CD8" w:rsidP="006C22F3">
            <w:pPr>
              <w:spacing w:after="0" w:line="240" w:lineRule="auto"/>
              <w:rPr>
                <w:rFonts w:eastAsia="Times New Roman"/>
                <w:b/>
                <w:bCs/>
                <w:color w:val="FFFFFF"/>
                <w:kern w:val="0"/>
                <w:lang w:eastAsia="en-IN"/>
                <w14:ligatures w14:val="none"/>
              </w:rPr>
            </w:pPr>
            <w:r w:rsidRPr="0011134A">
              <w:rPr>
                <w:rFonts w:eastAsia="Times New Roman"/>
                <w:b/>
                <w:bCs/>
                <w:color w:val="FFFFFF"/>
                <w:kern w:val="0"/>
                <w:lang w:eastAsia="en-IN"/>
                <w14:ligatures w14:val="none"/>
              </w:rPr>
              <w:t>Social Category</w:t>
            </w:r>
          </w:p>
        </w:tc>
        <w:tc>
          <w:tcPr>
            <w:tcW w:w="3666" w:type="pct"/>
            <w:tcBorders>
              <w:top w:val="single" w:sz="4" w:space="0" w:color="9BC2E6"/>
              <w:left w:val="nil"/>
              <w:bottom w:val="single" w:sz="4" w:space="0" w:color="9BC2E6"/>
              <w:right w:val="single" w:sz="4" w:space="0" w:color="9BC2E6"/>
            </w:tcBorders>
            <w:shd w:val="clear" w:color="5B9BD5" w:fill="5B9BD5"/>
            <w:noWrap/>
            <w:hideMark/>
          </w:tcPr>
          <w:p w14:paraId="78449163" w14:textId="77777777" w:rsidR="00FC1CD8" w:rsidRPr="0011134A" w:rsidRDefault="00FC1CD8" w:rsidP="006C22F3">
            <w:pPr>
              <w:spacing w:after="0" w:line="240" w:lineRule="auto"/>
              <w:jc w:val="right"/>
              <w:rPr>
                <w:rFonts w:eastAsia="Times New Roman"/>
                <w:b/>
                <w:bCs/>
                <w:color w:val="FFFFFF"/>
                <w:kern w:val="0"/>
                <w:lang w:eastAsia="en-IN"/>
                <w14:ligatures w14:val="none"/>
              </w:rPr>
            </w:pPr>
            <w:r w:rsidRPr="0011134A">
              <w:rPr>
                <w:rFonts w:eastAsia="Times New Roman"/>
                <w:b/>
                <w:bCs/>
                <w:color w:val="FFFFFF"/>
                <w:kern w:val="0"/>
                <w:lang w:eastAsia="en-IN"/>
                <w14:ligatures w14:val="none"/>
              </w:rPr>
              <w:t>Average Household Out-of-Pocket Expenditure on Education per Year (₹)</w:t>
            </w:r>
          </w:p>
        </w:tc>
      </w:tr>
      <w:tr w:rsidR="00FC1CD8" w:rsidRPr="0011134A" w14:paraId="3A86A6E8" w14:textId="77777777" w:rsidTr="00832706">
        <w:trPr>
          <w:trHeight w:val="288"/>
        </w:trPr>
        <w:tc>
          <w:tcPr>
            <w:tcW w:w="1334" w:type="pct"/>
            <w:tcBorders>
              <w:top w:val="single" w:sz="4" w:space="0" w:color="9BC2E6"/>
              <w:left w:val="single" w:sz="4" w:space="0" w:color="9BC2E6"/>
              <w:bottom w:val="single" w:sz="4" w:space="0" w:color="9BC2E6"/>
              <w:right w:val="nil"/>
            </w:tcBorders>
            <w:shd w:val="clear" w:color="DDEBF7" w:fill="DDEBF7"/>
            <w:noWrap/>
            <w:vAlign w:val="bottom"/>
            <w:hideMark/>
          </w:tcPr>
          <w:p w14:paraId="4F61569D" w14:textId="77777777" w:rsidR="00FC1CD8" w:rsidRPr="0011134A" w:rsidRDefault="00FC1CD8" w:rsidP="00832706">
            <w:pPr>
              <w:spacing w:after="0" w:line="240" w:lineRule="auto"/>
              <w:rPr>
                <w:rFonts w:eastAsia="Times New Roman"/>
                <w:color w:val="000000"/>
                <w:kern w:val="0"/>
                <w:lang w:eastAsia="en-IN"/>
                <w14:ligatures w14:val="none"/>
              </w:rPr>
            </w:pPr>
            <w:r w:rsidRPr="0011134A">
              <w:rPr>
                <w:rFonts w:eastAsia="Times New Roman"/>
                <w:color w:val="000000"/>
                <w:kern w:val="0"/>
                <w:lang w:eastAsia="en-IN"/>
                <w14:ligatures w14:val="none"/>
              </w:rPr>
              <w:t>General</w:t>
            </w:r>
          </w:p>
        </w:tc>
        <w:tc>
          <w:tcPr>
            <w:tcW w:w="3666" w:type="pct"/>
            <w:tcBorders>
              <w:top w:val="single" w:sz="4" w:space="0" w:color="9BC2E6"/>
              <w:left w:val="nil"/>
              <w:bottom w:val="single" w:sz="4" w:space="0" w:color="9BC2E6"/>
              <w:right w:val="single" w:sz="4" w:space="0" w:color="9BC2E6"/>
            </w:tcBorders>
            <w:shd w:val="clear" w:color="DDEBF7" w:fill="DDEBF7"/>
            <w:noWrap/>
            <w:vAlign w:val="bottom"/>
            <w:hideMark/>
          </w:tcPr>
          <w:p w14:paraId="6444B2A7" w14:textId="77777777" w:rsidR="00FC1CD8" w:rsidRPr="0011134A" w:rsidRDefault="00FC1CD8" w:rsidP="00832706">
            <w:pPr>
              <w:spacing w:after="0" w:line="240" w:lineRule="auto"/>
              <w:jc w:val="right"/>
              <w:rPr>
                <w:rFonts w:eastAsia="Times New Roman"/>
                <w:color w:val="000000"/>
                <w:kern w:val="0"/>
                <w:lang w:eastAsia="en-IN"/>
                <w14:ligatures w14:val="none"/>
              </w:rPr>
            </w:pPr>
            <w:r w:rsidRPr="0011134A">
              <w:rPr>
                <w:rFonts w:eastAsia="Times New Roman"/>
                <w:color w:val="000000"/>
                <w:kern w:val="0"/>
                <w:lang w:eastAsia="en-IN"/>
                <w14:ligatures w14:val="none"/>
              </w:rPr>
              <w:t>19800</w:t>
            </w:r>
          </w:p>
        </w:tc>
      </w:tr>
      <w:tr w:rsidR="00FC1CD8" w:rsidRPr="0011134A" w14:paraId="3A243CFD" w14:textId="77777777" w:rsidTr="00832706">
        <w:trPr>
          <w:trHeight w:val="288"/>
        </w:trPr>
        <w:tc>
          <w:tcPr>
            <w:tcW w:w="1334" w:type="pct"/>
            <w:tcBorders>
              <w:top w:val="single" w:sz="4" w:space="0" w:color="9BC2E6"/>
              <w:left w:val="single" w:sz="4" w:space="0" w:color="9BC2E6"/>
              <w:bottom w:val="single" w:sz="4" w:space="0" w:color="9BC2E6"/>
              <w:right w:val="nil"/>
            </w:tcBorders>
            <w:noWrap/>
            <w:vAlign w:val="bottom"/>
            <w:hideMark/>
          </w:tcPr>
          <w:p w14:paraId="5ABDDDE2" w14:textId="77777777" w:rsidR="00FC1CD8" w:rsidRPr="0011134A" w:rsidRDefault="00FC1CD8" w:rsidP="00832706">
            <w:pPr>
              <w:spacing w:after="0" w:line="240" w:lineRule="auto"/>
              <w:rPr>
                <w:rFonts w:eastAsia="Times New Roman"/>
                <w:color w:val="000000"/>
                <w:kern w:val="0"/>
                <w:lang w:eastAsia="en-IN"/>
                <w14:ligatures w14:val="none"/>
              </w:rPr>
            </w:pPr>
            <w:r w:rsidRPr="0011134A">
              <w:rPr>
                <w:rFonts w:eastAsia="Times New Roman"/>
                <w:color w:val="000000"/>
                <w:kern w:val="0"/>
                <w:lang w:eastAsia="en-IN"/>
                <w14:ligatures w14:val="none"/>
              </w:rPr>
              <w:t>SC</w:t>
            </w:r>
          </w:p>
        </w:tc>
        <w:tc>
          <w:tcPr>
            <w:tcW w:w="3666" w:type="pct"/>
            <w:tcBorders>
              <w:top w:val="single" w:sz="4" w:space="0" w:color="9BC2E6"/>
              <w:left w:val="nil"/>
              <w:bottom w:val="single" w:sz="4" w:space="0" w:color="9BC2E6"/>
              <w:right w:val="single" w:sz="4" w:space="0" w:color="9BC2E6"/>
            </w:tcBorders>
            <w:noWrap/>
            <w:vAlign w:val="bottom"/>
            <w:hideMark/>
          </w:tcPr>
          <w:p w14:paraId="40F60B81" w14:textId="77777777" w:rsidR="00FC1CD8" w:rsidRPr="0011134A" w:rsidRDefault="00FC1CD8" w:rsidP="00832706">
            <w:pPr>
              <w:spacing w:after="0" w:line="240" w:lineRule="auto"/>
              <w:jc w:val="right"/>
              <w:rPr>
                <w:rFonts w:eastAsia="Times New Roman"/>
                <w:color w:val="000000"/>
                <w:kern w:val="0"/>
                <w:lang w:eastAsia="en-IN"/>
                <w14:ligatures w14:val="none"/>
              </w:rPr>
            </w:pPr>
            <w:r w:rsidRPr="0011134A">
              <w:rPr>
                <w:rFonts w:eastAsia="Times New Roman"/>
                <w:color w:val="000000"/>
                <w:kern w:val="0"/>
                <w:lang w:eastAsia="en-IN"/>
                <w14:ligatures w14:val="none"/>
              </w:rPr>
              <w:t>9770</w:t>
            </w:r>
          </w:p>
        </w:tc>
      </w:tr>
      <w:tr w:rsidR="00FC1CD8" w:rsidRPr="0011134A" w14:paraId="78C2A97A" w14:textId="77777777" w:rsidTr="00832706">
        <w:trPr>
          <w:trHeight w:val="288"/>
        </w:trPr>
        <w:tc>
          <w:tcPr>
            <w:tcW w:w="1334" w:type="pct"/>
            <w:tcBorders>
              <w:top w:val="single" w:sz="4" w:space="0" w:color="9BC2E6"/>
              <w:left w:val="single" w:sz="4" w:space="0" w:color="9BC2E6"/>
              <w:bottom w:val="single" w:sz="4" w:space="0" w:color="9BC2E6"/>
              <w:right w:val="nil"/>
            </w:tcBorders>
            <w:shd w:val="clear" w:color="DDEBF7" w:fill="DDEBF7"/>
            <w:noWrap/>
            <w:vAlign w:val="bottom"/>
            <w:hideMark/>
          </w:tcPr>
          <w:p w14:paraId="1B4489AF" w14:textId="77777777" w:rsidR="00FC1CD8" w:rsidRPr="0011134A" w:rsidRDefault="00FC1CD8" w:rsidP="00832706">
            <w:pPr>
              <w:spacing w:after="0" w:line="240" w:lineRule="auto"/>
              <w:rPr>
                <w:rFonts w:eastAsia="Times New Roman"/>
                <w:color w:val="000000"/>
                <w:kern w:val="0"/>
                <w:lang w:eastAsia="en-IN"/>
                <w14:ligatures w14:val="none"/>
              </w:rPr>
            </w:pPr>
            <w:r w:rsidRPr="0011134A">
              <w:rPr>
                <w:rFonts w:eastAsia="Times New Roman"/>
                <w:color w:val="000000"/>
                <w:kern w:val="0"/>
                <w:lang w:eastAsia="en-IN"/>
                <w14:ligatures w14:val="none"/>
              </w:rPr>
              <w:t>OBC</w:t>
            </w:r>
          </w:p>
        </w:tc>
        <w:tc>
          <w:tcPr>
            <w:tcW w:w="3666" w:type="pct"/>
            <w:tcBorders>
              <w:top w:val="single" w:sz="4" w:space="0" w:color="9BC2E6"/>
              <w:left w:val="nil"/>
              <w:bottom w:val="single" w:sz="4" w:space="0" w:color="9BC2E6"/>
              <w:right w:val="single" w:sz="4" w:space="0" w:color="9BC2E6"/>
            </w:tcBorders>
            <w:shd w:val="clear" w:color="DDEBF7" w:fill="DDEBF7"/>
            <w:noWrap/>
            <w:vAlign w:val="bottom"/>
            <w:hideMark/>
          </w:tcPr>
          <w:p w14:paraId="2F62B4E6" w14:textId="77777777" w:rsidR="00FC1CD8" w:rsidRPr="0011134A" w:rsidRDefault="00FC1CD8" w:rsidP="00832706">
            <w:pPr>
              <w:spacing w:after="0" w:line="240" w:lineRule="auto"/>
              <w:jc w:val="right"/>
              <w:rPr>
                <w:rFonts w:eastAsia="Times New Roman"/>
                <w:color w:val="000000"/>
                <w:kern w:val="0"/>
                <w:lang w:eastAsia="en-IN"/>
                <w14:ligatures w14:val="none"/>
              </w:rPr>
            </w:pPr>
            <w:r w:rsidRPr="0011134A">
              <w:rPr>
                <w:rFonts w:eastAsia="Times New Roman"/>
                <w:color w:val="000000"/>
                <w:kern w:val="0"/>
                <w:lang w:eastAsia="en-IN"/>
                <w14:ligatures w14:val="none"/>
              </w:rPr>
              <w:t>17208</w:t>
            </w:r>
          </w:p>
        </w:tc>
      </w:tr>
    </w:tbl>
    <w:p w14:paraId="5EECA9ED" w14:textId="3D241F2A" w:rsidR="00FC1CD8" w:rsidRDefault="00FC1CD8" w:rsidP="00FC1CD8">
      <w:r w:rsidRPr="00520ABD">
        <w:t>Source: Primary Survey</w:t>
      </w:r>
      <w:r w:rsidR="000340E1">
        <w:t>, 2025</w:t>
      </w:r>
    </w:p>
    <w:p w14:paraId="383FC5A3" w14:textId="4AD6A323" w:rsidR="00FC1CD8" w:rsidRPr="0011134A" w:rsidRDefault="00FC1CD8" w:rsidP="00E86657">
      <w:pPr>
        <w:spacing w:line="276" w:lineRule="auto"/>
        <w:jc w:val="both"/>
      </w:pPr>
      <w:r w:rsidRPr="0011134A">
        <w:t xml:space="preserve">Table </w:t>
      </w:r>
      <w:r w:rsidR="009B46D4">
        <w:t>5</w:t>
      </w:r>
      <w:r w:rsidRPr="0011134A">
        <w:t xml:space="preserve"> shows the average household out-of-pocket expenditure on education across different social categories in Tripura. The data indicate noticeable differences in spending patterns among various groups. Households belonging to the General category spend the highest amount on primary education, averaging ₹19,800 per year, followed by OBC households, with an average expenditure of ₹17,208 per year. In contrast, Scheduled Caste (SC) households spend significantly less, averaging only ₹9,770 per year. This variation suggests that socio-economic disparities influence educational spending, with relatively affluent or socially advantaged groups allocating more resources to their children’s education. Lower spending among SC households may reflect income constraints, limited access to private schooling, or reliance on government educational support. Overall, the data point to a clear social gradient in educational expenditure, emphasizing the need for targeted interventions to reduce inequalities in educational investment across social groups in Tripura.</w:t>
      </w:r>
    </w:p>
    <w:p w14:paraId="2242D197" w14:textId="221F6AAD" w:rsidR="00FC1CD8" w:rsidRPr="0011134A" w:rsidRDefault="00FC1CD8" w:rsidP="00FC1CD8">
      <w:pPr>
        <w:jc w:val="both"/>
        <w:rPr>
          <w:b/>
          <w:bCs/>
        </w:rPr>
      </w:pPr>
      <w:r>
        <w:rPr>
          <w:b/>
          <w:bCs/>
        </w:rPr>
        <w:t>Figure</w:t>
      </w:r>
      <w:r w:rsidR="009B46D4">
        <w:rPr>
          <w:b/>
          <w:bCs/>
        </w:rPr>
        <w:t xml:space="preserve"> </w:t>
      </w:r>
      <w:r w:rsidR="00241273">
        <w:rPr>
          <w:b/>
          <w:bCs/>
        </w:rPr>
        <w:t>3</w:t>
      </w:r>
      <w:r w:rsidRPr="00306359">
        <w:rPr>
          <w:b/>
          <w:bCs/>
        </w:rPr>
        <w:t xml:space="preserve">: Average Household Out-of-Pocket Expenditure on Education by </w:t>
      </w:r>
      <w:r>
        <w:rPr>
          <w:b/>
          <w:bCs/>
        </w:rPr>
        <w:t>Place of Residence</w:t>
      </w:r>
      <w:r w:rsidRPr="00306359">
        <w:rPr>
          <w:b/>
          <w:bCs/>
        </w:rPr>
        <w:t xml:space="preserve"> in Tripura (</w:t>
      </w:r>
      <w:r w:rsidRPr="00EC71BE">
        <w:rPr>
          <w:b/>
          <w:bCs/>
        </w:rPr>
        <w:t>₹</w:t>
      </w:r>
      <w:r w:rsidRPr="00306359">
        <w:rPr>
          <w:b/>
          <w:bCs/>
        </w:rPr>
        <w:t xml:space="preserve"> </w:t>
      </w:r>
      <w:r w:rsidRPr="00EC71BE">
        <w:rPr>
          <w:b/>
          <w:bCs/>
        </w:rPr>
        <w:t>per year</w:t>
      </w:r>
      <w:r w:rsidRPr="00306359">
        <w:rPr>
          <w:b/>
          <w:bCs/>
        </w:rPr>
        <w:t>)</w:t>
      </w:r>
    </w:p>
    <w:p w14:paraId="786F5961" w14:textId="77777777" w:rsidR="00FC1CD8" w:rsidRDefault="00FC1CD8" w:rsidP="00FC1CD8">
      <w:pPr>
        <w:jc w:val="center"/>
      </w:pPr>
      <w:r>
        <w:rPr>
          <w:noProof/>
        </w:rPr>
        <w:drawing>
          <wp:inline distT="0" distB="0" distL="0" distR="0" wp14:anchorId="77CD45BF" wp14:editId="4A622615">
            <wp:extent cx="4769427" cy="2369127"/>
            <wp:effectExtent l="0" t="0" r="12700" b="12700"/>
            <wp:docPr id="2037362314" name="Chart 1">
              <a:extLst xmlns:a="http://schemas.openxmlformats.org/drawingml/2006/main">
                <a:ext uri="{FF2B5EF4-FFF2-40B4-BE49-F238E27FC236}">
                  <a16:creationId xmlns:a16="http://schemas.microsoft.com/office/drawing/2014/main" id="{9BECCB5D-BDB4-80A2-2DF3-4C6CF1F817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C4E209" w14:textId="2F36DA4E" w:rsidR="00FC1CD8" w:rsidRDefault="00FC1CD8" w:rsidP="00FC1CD8">
      <w:pPr>
        <w:jc w:val="center"/>
      </w:pPr>
      <w:r w:rsidRPr="00520ABD">
        <w:t>Source: Primary Survey</w:t>
      </w:r>
      <w:r w:rsidR="000340E1">
        <w:t>, 2025</w:t>
      </w:r>
    </w:p>
    <w:p w14:paraId="11AA106C" w14:textId="481DC12F" w:rsidR="009B46D4" w:rsidRPr="00E86657" w:rsidRDefault="00FC1CD8" w:rsidP="00E86657">
      <w:pPr>
        <w:spacing w:line="276" w:lineRule="auto"/>
        <w:jc w:val="both"/>
      </w:pPr>
      <w:r w:rsidRPr="00C42363">
        <w:lastRenderedPageBreak/>
        <w:t xml:space="preserve">Figure </w:t>
      </w:r>
      <w:r w:rsidR="00241273">
        <w:t>3</w:t>
      </w:r>
      <w:r w:rsidRPr="00C42363">
        <w:t xml:space="preserve"> illustrates the variation in average household out-of-pocket expenditure on education between urban and rural areas of Tripura. The data reveal that urban households spend more on their children’s education, averaging ₹16,556 per year, compared to ₹13,062 per year for rural households.</w:t>
      </w:r>
      <w:r>
        <w:t xml:space="preserve"> </w:t>
      </w:r>
      <w:r w:rsidRPr="00C42363">
        <w:t>This expenditure gap of over ₹3,000 highlights a clear urban–rural divide in educational investment. The higher spending in urban areas may be attributed to the greater presence of private schools, higher tuition fees, and wider access to supplementary educational services such as private coaching.</w:t>
      </w:r>
      <w:r>
        <w:t xml:space="preserve"> </w:t>
      </w:r>
      <w:r w:rsidRPr="00C42363">
        <w:t>Conversely, rural households generally rely more on government schools and have lower income levels, which may limit their capacity to spend on education.</w:t>
      </w:r>
      <w:r>
        <w:t xml:space="preserve"> </w:t>
      </w:r>
      <w:r w:rsidRPr="00C42363">
        <w:t>Overall, the data suggest that place of residence significantly influences household educational expenditure in Tripura, reflecting both economic disparities and differences in access to educational facilities between urban and rural regions.</w:t>
      </w:r>
    </w:p>
    <w:p w14:paraId="5C94427F" w14:textId="36D75A94" w:rsidR="00FC1CD8" w:rsidRPr="0011134A" w:rsidRDefault="00FC1CD8" w:rsidP="00E86657">
      <w:pPr>
        <w:spacing w:after="0"/>
        <w:jc w:val="both"/>
        <w:rPr>
          <w:b/>
          <w:bCs/>
        </w:rPr>
      </w:pPr>
      <w:r>
        <w:rPr>
          <w:b/>
          <w:bCs/>
        </w:rPr>
        <w:t>Table</w:t>
      </w:r>
      <w:r w:rsidR="009B46D4">
        <w:rPr>
          <w:b/>
          <w:bCs/>
        </w:rPr>
        <w:t xml:space="preserve"> 6</w:t>
      </w:r>
      <w:r w:rsidRPr="00306359">
        <w:rPr>
          <w:b/>
          <w:bCs/>
        </w:rPr>
        <w:t xml:space="preserve">: Average Household Out-of-Pocket Expenditure on Education by </w:t>
      </w:r>
      <w:r w:rsidRPr="00B42C1B">
        <w:rPr>
          <w:b/>
          <w:bCs/>
        </w:rPr>
        <w:t xml:space="preserve">House Type </w:t>
      </w:r>
      <w:r w:rsidRPr="00306359">
        <w:rPr>
          <w:b/>
          <w:bCs/>
        </w:rPr>
        <w:t>in Tripura (</w:t>
      </w:r>
      <w:r w:rsidRPr="00EC71BE">
        <w:rPr>
          <w:b/>
          <w:bCs/>
        </w:rPr>
        <w:t>₹</w:t>
      </w:r>
      <w:r w:rsidRPr="00306359">
        <w:rPr>
          <w:b/>
          <w:bCs/>
        </w:rPr>
        <w:t xml:space="preserve"> </w:t>
      </w:r>
      <w:r w:rsidRPr="00EC71BE">
        <w:rPr>
          <w:b/>
          <w:bCs/>
        </w:rPr>
        <w:t>per year</w:t>
      </w:r>
      <w:r w:rsidRPr="00306359">
        <w:rPr>
          <w:b/>
          <w:bCs/>
        </w:rPr>
        <w:t>)</w:t>
      </w:r>
      <w:r>
        <w:rPr>
          <w:b/>
          <w:bCs/>
        </w:rPr>
        <w:t xml:space="preserve"> </w:t>
      </w:r>
    </w:p>
    <w:tbl>
      <w:tblPr>
        <w:tblW w:w="5000" w:type="pct"/>
        <w:tblLook w:val="04A0" w:firstRow="1" w:lastRow="0" w:firstColumn="1" w:lastColumn="0" w:noHBand="0" w:noVBand="1"/>
      </w:tblPr>
      <w:tblGrid>
        <w:gridCol w:w="1404"/>
        <w:gridCol w:w="7612"/>
      </w:tblGrid>
      <w:tr w:rsidR="00FC1CD8" w:rsidRPr="00B42C1B" w14:paraId="084DC4B7" w14:textId="77777777" w:rsidTr="00832706">
        <w:trPr>
          <w:trHeight w:val="288"/>
        </w:trPr>
        <w:tc>
          <w:tcPr>
            <w:tcW w:w="904" w:type="pct"/>
            <w:tcBorders>
              <w:top w:val="single" w:sz="4" w:space="0" w:color="9BC2E6"/>
              <w:left w:val="single" w:sz="4" w:space="0" w:color="9BC2E6"/>
              <w:bottom w:val="single" w:sz="4" w:space="0" w:color="9BC2E6"/>
              <w:right w:val="nil"/>
            </w:tcBorders>
            <w:shd w:val="clear" w:color="5B9BD5" w:fill="5B9BD5"/>
            <w:noWrap/>
            <w:vAlign w:val="bottom"/>
            <w:hideMark/>
          </w:tcPr>
          <w:p w14:paraId="3EC7DB9A" w14:textId="77777777" w:rsidR="00FC1CD8" w:rsidRPr="00B42C1B" w:rsidRDefault="00FC1CD8" w:rsidP="00832706">
            <w:pPr>
              <w:spacing w:after="0" w:line="240" w:lineRule="auto"/>
              <w:rPr>
                <w:rFonts w:eastAsia="Times New Roman"/>
                <w:b/>
                <w:bCs/>
                <w:color w:val="FFFFFF"/>
                <w:kern w:val="0"/>
                <w:lang w:eastAsia="en-IN"/>
                <w14:ligatures w14:val="none"/>
              </w:rPr>
            </w:pPr>
            <w:r w:rsidRPr="00B42C1B">
              <w:rPr>
                <w:rFonts w:eastAsia="Times New Roman"/>
                <w:b/>
                <w:bCs/>
                <w:color w:val="FFFFFF"/>
                <w:kern w:val="0"/>
                <w:lang w:eastAsia="en-IN"/>
                <w14:ligatures w14:val="none"/>
              </w:rPr>
              <w:t>House Type</w:t>
            </w:r>
          </w:p>
        </w:tc>
        <w:tc>
          <w:tcPr>
            <w:tcW w:w="4096" w:type="pct"/>
            <w:tcBorders>
              <w:top w:val="single" w:sz="4" w:space="0" w:color="9BC2E6"/>
              <w:left w:val="nil"/>
              <w:bottom w:val="single" w:sz="4" w:space="0" w:color="9BC2E6"/>
              <w:right w:val="single" w:sz="4" w:space="0" w:color="9BC2E6"/>
            </w:tcBorders>
            <w:shd w:val="clear" w:color="5B9BD5" w:fill="5B9BD5"/>
            <w:noWrap/>
            <w:vAlign w:val="bottom"/>
            <w:hideMark/>
          </w:tcPr>
          <w:p w14:paraId="14407824" w14:textId="77777777" w:rsidR="00FC1CD8" w:rsidRPr="00B42C1B" w:rsidRDefault="00FC1CD8" w:rsidP="00832706">
            <w:pPr>
              <w:spacing w:after="0" w:line="240" w:lineRule="auto"/>
              <w:rPr>
                <w:rFonts w:eastAsia="Times New Roman"/>
                <w:b/>
                <w:bCs/>
                <w:color w:val="FFFFFF"/>
                <w:kern w:val="0"/>
                <w:lang w:eastAsia="en-IN"/>
                <w14:ligatures w14:val="none"/>
              </w:rPr>
            </w:pPr>
            <w:r w:rsidRPr="00B42C1B">
              <w:rPr>
                <w:rFonts w:eastAsia="Times New Roman"/>
                <w:b/>
                <w:bCs/>
                <w:color w:val="FFFFFF"/>
                <w:kern w:val="0"/>
                <w:lang w:eastAsia="en-IN"/>
                <w14:ligatures w14:val="none"/>
              </w:rPr>
              <w:t>Average Household Out-of-Pocket Expenditure on Education per Year (₹)</w:t>
            </w:r>
          </w:p>
        </w:tc>
      </w:tr>
      <w:tr w:rsidR="00FC1CD8" w:rsidRPr="00B42C1B" w14:paraId="55DAE4EB" w14:textId="77777777" w:rsidTr="00832706">
        <w:trPr>
          <w:trHeight w:val="288"/>
        </w:trPr>
        <w:tc>
          <w:tcPr>
            <w:tcW w:w="904" w:type="pct"/>
            <w:tcBorders>
              <w:top w:val="single" w:sz="4" w:space="0" w:color="9BC2E6"/>
              <w:left w:val="single" w:sz="4" w:space="0" w:color="9BC2E6"/>
              <w:bottom w:val="single" w:sz="4" w:space="0" w:color="9BC2E6"/>
              <w:right w:val="nil"/>
            </w:tcBorders>
            <w:shd w:val="clear" w:color="DDEBF7" w:fill="DDEBF7"/>
            <w:noWrap/>
            <w:vAlign w:val="bottom"/>
            <w:hideMark/>
          </w:tcPr>
          <w:p w14:paraId="2A804679" w14:textId="77777777" w:rsidR="00FC1CD8" w:rsidRPr="00B42C1B" w:rsidRDefault="00FC1CD8" w:rsidP="00832706">
            <w:pPr>
              <w:spacing w:after="0" w:line="240" w:lineRule="auto"/>
              <w:rPr>
                <w:rFonts w:eastAsia="Times New Roman"/>
                <w:color w:val="000000"/>
                <w:kern w:val="0"/>
                <w:lang w:eastAsia="en-IN"/>
                <w14:ligatures w14:val="none"/>
              </w:rPr>
            </w:pPr>
            <w:r w:rsidRPr="00B42C1B">
              <w:rPr>
                <w:rFonts w:eastAsia="Times New Roman"/>
                <w:color w:val="000000"/>
                <w:kern w:val="0"/>
                <w:lang w:eastAsia="en-IN"/>
                <w14:ligatures w14:val="none"/>
              </w:rPr>
              <w:t>Kaccha</w:t>
            </w:r>
          </w:p>
        </w:tc>
        <w:tc>
          <w:tcPr>
            <w:tcW w:w="4096" w:type="pct"/>
            <w:tcBorders>
              <w:top w:val="single" w:sz="4" w:space="0" w:color="9BC2E6"/>
              <w:left w:val="nil"/>
              <w:bottom w:val="single" w:sz="4" w:space="0" w:color="9BC2E6"/>
              <w:right w:val="single" w:sz="4" w:space="0" w:color="9BC2E6"/>
            </w:tcBorders>
            <w:shd w:val="clear" w:color="DDEBF7" w:fill="DDEBF7"/>
            <w:noWrap/>
            <w:vAlign w:val="bottom"/>
            <w:hideMark/>
          </w:tcPr>
          <w:p w14:paraId="161C46F5" w14:textId="77777777" w:rsidR="00FC1CD8" w:rsidRPr="00B42C1B" w:rsidRDefault="00FC1CD8" w:rsidP="00832706">
            <w:pPr>
              <w:spacing w:after="0" w:line="240" w:lineRule="auto"/>
              <w:jc w:val="right"/>
              <w:rPr>
                <w:rFonts w:eastAsia="Times New Roman"/>
                <w:color w:val="000000"/>
                <w:kern w:val="0"/>
                <w:lang w:eastAsia="en-IN"/>
                <w14:ligatures w14:val="none"/>
              </w:rPr>
            </w:pPr>
            <w:r w:rsidRPr="00B42C1B">
              <w:rPr>
                <w:rFonts w:eastAsia="Times New Roman"/>
                <w:color w:val="000000"/>
                <w:kern w:val="0"/>
                <w:lang w:eastAsia="en-IN"/>
                <w14:ligatures w14:val="none"/>
              </w:rPr>
              <w:t>9585</w:t>
            </w:r>
          </w:p>
        </w:tc>
      </w:tr>
      <w:tr w:rsidR="00FC1CD8" w:rsidRPr="00B42C1B" w14:paraId="51708FA9" w14:textId="77777777" w:rsidTr="00832706">
        <w:trPr>
          <w:trHeight w:val="288"/>
        </w:trPr>
        <w:tc>
          <w:tcPr>
            <w:tcW w:w="904" w:type="pct"/>
            <w:tcBorders>
              <w:top w:val="single" w:sz="4" w:space="0" w:color="9BC2E6"/>
              <w:left w:val="single" w:sz="4" w:space="0" w:color="9BC2E6"/>
              <w:bottom w:val="single" w:sz="4" w:space="0" w:color="9BC2E6"/>
              <w:right w:val="nil"/>
            </w:tcBorders>
            <w:noWrap/>
            <w:vAlign w:val="bottom"/>
            <w:hideMark/>
          </w:tcPr>
          <w:p w14:paraId="498CE2E3" w14:textId="77777777" w:rsidR="00FC1CD8" w:rsidRPr="00B42C1B" w:rsidRDefault="00FC1CD8" w:rsidP="00832706">
            <w:pPr>
              <w:spacing w:after="0" w:line="240" w:lineRule="auto"/>
              <w:rPr>
                <w:rFonts w:eastAsia="Times New Roman"/>
                <w:color w:val="000000"/>
                <w:kern w:val="0"/>
                <w:lang w:eastAsia="en-IN"/>
                <w14:ligatures w14:val="none"/>
              </w:rPr>
            </w:pPr>
            <w:r w:rsidRPr="00B42C1B">
              <w:rPr>
                <w:rFonts w:eastAsia="Times New Roman"/>
                <w:color w:val="000000"/>
                <w:kern w:val="0"/>
                <w:lang w:eastAsia="en-IN"/>
                <w14:ligatures w14:val="none"/>
              </w:rPr>
              <w:t>Semi-Pucca</w:t>
            </w:r>
          </w:p>
        </w:tc>
        <w:tc>
          <w:tcPr>
            <w:tcW w:w="4096" w:type="pct"/>
            <w:tcBorders>
              <w:top w:val="single" w:sz="4" w:space="0" w:color="9BC2E6"/>
              <w:left w:val="nil"/>
              <w:bottom w:val="single" w:sz="4" w:space="0" w:color="9BC2E6"/>
              <w:right w:val="single" w:sz="4" w:space="0" w:color="9BC2E6"/>
            </w:tcBorders>
            <w:noWrap/>
            <w:vAlign w:val="bottom"/>
            <w:hideMark/>
          </w:tcPr>
          <w:p w14:paraId="3CE8FE4C" w14:textId="77777777" w:rsidR="00FC1CD8" w:rsidRPr="00B42C1B" w:rsidRDefault="00FC1CD8" w:rsidP="00832706">
            <w:pPr>
              <w:spacing w:after="0" w:line="240" w:lineRule="auto"/>
              <w:jc w:val="right"/>
              <w:rPr>
                <w:rFonts w:eastAsia="Times New Roman"/>
                <w:color w:val="000000"/>
                <w:kern w:val="0"/>
                <w:lang w:eastAsia="en-IN"/>
                <w14:ligatures w14:val="none"/>
              </w:rPr>
            </w:pPr>
            <w:r w:rsidRPr="00B42C1B">
              <w:rPr>
                <w:rFonts w:eastAsia="Times New Roman"/>
                <w:color w:val="000000"/>
                <w:kern w:val="0"/>
                <w:lang w:eastAsia="en-IN"/>
                <w14:ligatures w14:val="none"/>
              </w:rPr>
              <w:t>17592</w:t>
            </w:r>
          </w:p>
        </w:tc>
      </w:tr>
      <w:tr w:rsidR="00FC1CD8" w:rsidRPr="00B42C1B" w14:paraId="2971B5E6" w14:textId="77777777" w:rsidTr="00832706">
        <w:trPr>
          <w:trHeight w:val="288"/>
        </w:trPr>
        <w:tc>
          <w:tcPr>
            <w:tcW w:w="904" w:type="pct"/>
            <w:tcBorders>
              <w:top w:val="single" w:sz="4" w:space="0" w:color="9BC2E6"/>
              <w:left w:val="single" w:sz="4" w:space="0" w:color="9BC2E6"/>
              <w:bottom w:val="single" w:sz="4" w:space="0" w:color="9BC2E6"/>
              <w:right w:val="nil"/>
            </w:tcBorders>
            <w:shd w:val="clear" w:color="DDEBF7" w:fill="DDEBF7"/>
            <w:noWrap/>
            <w:vAlign w:val="bottom"/>
            <w:hideMark/>
          </w:tcPr>
          <w:p w14:paraId="66442F5E" w14:textId="77777777" w:rsidR="00FC1CD8" w:rsidRPr="00B42C1B" w:rsidRDefault="00FC1CD8" w:rsidP="00832706">
            <w:pPr>
              <w:spacing w:after="0" w:line="240" w:lineRule="auto"/>
              <w:rPr>
                <w:rFonts w:eastAsia="Times New Roman"/>
                <w:color w:val="000000"/>
                <w:kern w:val="0"/>
                <w:lang w:eastAsia="en-IN"/>
                <w14:ligatures w14:val="none"/>
              </w:rPr>
            </w:pPr>
            <w:r w:rsidRPr="00B42C1B">
              <w:rPr>
                <w:rFonts w:eastAsia="Times New Roman"/>
                <w:color w:val="000000"/>
                <w:kern w:val="0"/>
                <w:lang w:eastAsia="en-IN"/>
                <w14:ligatures w14:val="none"/>
              </w:rPr>
              <w:t>Pucca</w:t>
            </w:r>
          </w:p>
        </w:tc>
        <w:tc>
          <w:tcPr>
            <w:tcW w:w="4096" w:type="pct"/>
            <w:tcBorders>
              <w:top w:val="single" w:sz="4" w:space="0" w:color="9BC2E6"/>
              <w:left w:val="nil"/>
              <w:bottom w:val="single" w:sz="4" w:space="0" w:color="9BC2E6"/>
              <w:right w:val="single" w:sz="4" w:space="0" w:color="9BC2E6"/>
            </w:tcBorders>
            <w:shd w:val="clear" w:color="DDEBF7" w:fill="DDEBF7"/>
            <w:noWrap/>
            <w:vAlign w:val="bottom"/>
            <w:hideMark/>
          </w:tcPr>
          <w:p w14:paraId="60DA1558" w14:textId="77777777" w:rsidR="00FC1CD8" w:rsidRPr="00B42C1B" w:rsidRDefault="00FC1CD8" w:rsidP="00832706">
            <w:pPr>
              <w:spacing w:after="0" w:line="240" w:lineRule="auto"/>
              <w:jc w:val="right"/>
              <w:rPr>
                <w:rFonts w:eastAsia="Times New Roman"/>
                <w:color w:val="000000"/>
                <w:kern w:val="0"/>
                <w:lang w:eastAsia="en-IN"/>
                <w14:ligatures w14:val="none"/>
              </w:rPr>
            </w:pPr>
            <w:r w:rsidRPr="00B42C1B">
              <w:rPr>
                <w:rFonts w:eastAsia="Times New Roman"/>
                <w:color w:val="000000"/>
                <w:kern w:val="0"/>
                <w:lang w:eastAsia="en-IN"/>
                <w14:ligatures w14:val="none"/>
              </w:rPr>
              <w:t>17486</w:t>
            </w:r>
          </w:p>
        </w:tc>
      </w:tr>
    </w:tbl>
    <w:p w14:paraId="0A5C05BC" w14:textId="79503721" w:rsidR="00FC1CD8" w:rsidRDefault="00FC1CD8" w:rsidP="00FC1CD8">
      <w:r w:rsidRPr="00520ABD">
        <w:t>Source: Primary Survey</w:t>
      </w:r>
      <w:r w:rsidR="000340E1">
        <w:t>, 2025</w:t>
      </w:r>
    </w:p>
    <w:p w14:paraId="0754B439" w14:textId="23BC9ED6" w:rsidR="00FC1CD8" w:rsidRPr="00B42C1B" w:rsidRDefault="00FC1CD8" w:rsidP="000340E1">
      <w:pPr>
        <w:spacing w:line="276" w:lineRule="auto"/>
        <w:jc w:val="both"/>
      </w:pPr>
      <w:r w:rsidRPr="00B42C1B">
        <w:t xml:space="preserve">Table </w:t>
      </w:r>
      <w:r w:rsidR="009B46D4">
        <w:t>6</w:t>
      </w:r>
      <w:r w:rsidRPr="00B42C1B">
        <w:t xml:space="preserve"> presents the average household out-of-pocket expenditure on education according to the type of house in which the household resides in Tripura. The data reveal a distinct variation in educational spending across different housing categories, which often serve as a proxy for household economic status.</w:t>
      </w:r>
      <w:r>
        <w:t xml:space="preserve"> </w:t>
      </w:r>
      <w:r w:rsidRPr="00B42C1B">
        <w:t>Households living in kaccha houses spend the least on education, with an average annual expenditure of ₹9,585, while those residing in semi-pucca houses spend significantly more, averaging ₹17,592 per year. Similarly, households in pucca houses also report a high average expenditure of ₹17,486 per year.</w:t>
      </w:r>
      <w:r>
        <w:t xml:space="preserve"> </w:t>
      </w:r>
      <w:r w:rsidRPr="00B42C1B">
        <w:t>This pattern indicates that families with better housing conditions, and hence higher economic standing, tend to allocate more resources toward their children’s education. In contrast, households with poorer housing conditions face financial limitations that constrain their educational spending.</w:t>
      </w:r>
      <w:r>
        <w:t xml:space="preserve"> </w:t>
      </w:r>
      <w:r w:rsidRPr="00B42C1B">
        <w:t>Overall, the data suggest a positive association between household living conditions and educational expenditure in Tripura, underscoring the role of economic well-being in shaping investment in primary education.</w:t>
      </w:r>
    </w:p>
    <w:p w14:paraId="7A4C48FD" w14:textId="77777777" w:rsidR="00241273" w:rsidRDefault="00241273" w:rsidP="00FC1CD8">
      <w:pPr>
        <w:jc w:val="both"/>
        <w:rPr>
          <w:b/>
          <w:bCs/>
        </w:rPr>
      </w:pPr>
    </w:p>
    <w:p w14:paraId="18C086A6" w14:textId="77777777" w:rsidR="00241273" w:rsidRDefault="00241273" w:rsidP="00FC1CD8">
      <w:pPr>
        <w:jc w:val="both"/>
        <w:rPr>
          <w:b/>
          <w:bCs/>
        </w:rPr>
      </w:pPr>
    </w:p>
    <w:p w14:paraId="1A2A2B44" w14:textId="77777777" w:rsidR="00241273" w:rsidRDefault="00241273" w:rsidP="00FC1CD8">
      <w:pPr>
        <w:jc w:val="both"/>
        <w:rPr>
          <w:b/>
          <w:bCs/>
        </w:rPr>
      </w:pPr>
    </w:p>
    <w:p w14:paraId="1DFCC082" w14:textId="77777777" w:rsidR="00241273" w:rsidRDefault="00241273" w:rsidP="00FC1CD8">
      <w:pPr>
        <w:jc w:val="both"/>
        <w:rPr>
          <w:b/>
          <w:bCs/>
        </w:rPr>
      </w:pPr>
    </w:p>
    <w:p w14:paraId="25F871DC" w14:textId="77777777" w:rsidR="00241273" w:rsidRDefault="00241273" w:rsidP="00FC1CD8">
      <w:pPr>
        <w:jc w:val="both"/>
        <w:rPr>
          <w:b/>
          <w:bCs/>
        </w:rPr>
      </w:pPr>
    </w:p>
    <w:p w14:paraId="510DDF20" w14:textId="77777777" w:rsidR="00241273" w:rsidRDefault="00241273" w:rsidP="00FC1CD8">
      <w:pPr>
        <w:jc w:val="both"/>
        <w:rPr>
          <w:b/>
          <w:bCs/>
        </w:rPr>
      </w:pPr>
    </w:p>
    <w:p w14:paraId="5247867F" w14:textId="77777777" w:rsidR="00241273" w:rsidRDefault="00241273" w:rsidP="00FC1CD8">
      <w:pPr>
        <w:jc w:val="both"/>
        <w:rPr>
          <w:b/>
          <w:bCs/>
        </w:rPr>
      </w:pPr>
    </w:p>
    <w:p w14:paraId="5792A7A7" w14:textId="134BDB1B" w:rsidR="00FC1CD8" w:rsidRPr="0011134A" w:rsidRDefault="00FC1CD8" w:rsidP="00FC1CD8">
      <w:pPr>
        <w:jc w:val="both"/>
        <w:rPr>
          <w:b/>
          <w:bCs/>
        </w:rPr>
      </w:pPr>
      <w:r>
        <w:rPr>
          <w:b/>
          <w:bCs/>
        </w:rPr>
        <w:lastRenderedPageBreak/>
        <w:t>Figure</w:t>
      </w:r>
      <w:r w:rsidR="009B46D4">
        <w:rPr>
          <w:b/>
          <w:bCs/>
        </w:rPr>
        <w:t xml:space="preserve"> </w:t>
      </w:r>
      <w:r w:rsidR="00241273">
        <w:rPr>
          <w:b/>
          <w:bCs/>
        </w:rPr>
        <w:t>4</w:t>
      </w:r>
      <w:r w:rsidRPr="00306359">
        <w:rPr>
          <w:b/>
          <w:bCs/>
        </w:rPr>
        <w:t xml:space="preserve">: Average Household Out-of-Pocket Expenditure on Education by </w:t>
      </w:r>
      <w:r w:rsidRPr="00A51B0E">
        <w:rPr>
          <w:b/>
          <w:bCs/>
        </w:rPr>
        <w:t>Mother's Occupation</w:t>
      </w:r>
      <w:r>
        <w:rPr>
          <w:b/>
          <w:bCs/>
        </w:rPr>
        <w:t xml:space="preserve"> </w:t>
      </w:r>
      <w:r w:rsidRPr="00306359">
        <w:rPr>
          <w:b/>
          <w:bCs/>
        </w:rPr>
        <w:t>in Tripura (</w:t>
      </w:r>
      <w:r w:rsidRPr="00EC71BE">
        <w:rPr>
          <w:b/>
          <w:bCs/>
        </w:rPr>
        <w:t>₹</w:t>
      </w:r>
      <w:r w:rsidRPr="00306359">
        <w:rPr>
          <w:b/>
          <w:bCs/>
        </w:rPr>
        <w:t xml:space="preserve"> </w:t>
      </w:r>
      <w:r w:rsidRPr="00EC71BE">
        <w:rPr>
          <w:b/>
          <w:bCs/>
        </w:rPr>
        <w:t>per year</w:t>
      </w:r>
      <w:r w:rsidRPr="00306359">
        <w:rPr>
          <w:b/>
          <w:bCs/>
        </w:rPr>
        <w:t>)</w:t>
      </w:r>
    </w:p>
    <w:p w14:paraId="30368D4E" w14:textId="77777777" w:rsidR="00FC1CD8" w:rsidRDefault="00FC1CD8" w:rsidP="00FC1CD8">
      <w:pPr>
        <w:jc w:val="center"/>
        <w:rPr>
          <w:b/>
          <w:bCs/>
        </w:rPr>
      </w:pPr>
      <w:r>
        <w:rPr>
          <w:noProof/>
        </w:rPr>
        <w:drawing>
          <wp:inline distT="0" distB="0" distL="0" distR="0" wp14:anchorId="3AB3E829" wp14:editId="7C55AEC3">
            <wp:extent cx="4852035" cy="2476500"/>
            <wp:effectExtent l="0" t="0" r="5715" b="0"/>
            <wp:docPr id="510120653" name="Chart 1">
              <a:extLst xmlns:a="http://schemas.openxmlformats.org/drawingml/2006/main">
                <a:ext uri="{FF2B5EF4-FFF2-40B4-BE49-F238E27FC236}">
                  <a16:creationId xmlns:a16="http://schemas.microsoft.com/office/drawing/2014/main" id="{565AC12E-2BC4-B1EA-8792-BD63DB4C10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D7C8CC" w14:textId="209C42CD" w:rsidR="00FC1CD8" w:rsidRDefault="00FC1CD8" w:rsidP="00FC1CD8">
      <w:pPr>
        <w:jc w:val="center"/>
      </w:pPr>
      <w:r w:rsidRPr="00520ABD">
        <w:t>Source: Primary Survey</w:t>
      </w:r>
      <w:r w:rsidR="000340E1">
        <w:t>, 2025</w:t>
      </w:r>
    </w:p>
    <w:p w14:paraId="6C3EFD51" w14:textId="7C994C16" w:rsidR="00FC1CD8" w:rsidRDefault="00FC1CD8" w:rsidP="00E86657">
      <w:pPr>
        <w:spacing w:after="0" w:line="276" w:lineRule="auto"/>
        <w:jc w:val="both"/>
      </w:pPr>
      <w:r w:rsidRPr="00A51B0E">
        <w:t xml:space="preserve">Figure </w:t>
      </w:r>
      <w:r w:rsidR="00241273">
        <w:t>4</w:t>
      </w:r>
      <w:r w:rsidRPr="00A51B0E">
        <w:t xml:space="preserve"> depicts the average annual household out-of-pocket expenditure on education across different categories of mother’s occupation in Tripura. The results indicate a strong association between the mother’s occupational status and the level of educational spending.</w:t>
      </w:r>
      <w:r>
        <w:t xml:space="preserve"> </w:t>
      </w:r>
      <w:r w:rsidRPr="00A51B0E">
        <w:t>Households where mothers are employed in government jobs spend the most on their children’s education, averaging ₹33,150 per year. This is followed by self-employed mothers, whose households spend around ₹25,000 per year. Families with mothers engaged in private jobs report an average spending of ₹15,600, whereas households where the mother is a housewife spend the least, at ₹13,609 per year.</w:t>
      </w:r>
      <w:r>
        <w:t xml:space="preserve"> </w:t>
      </w:r>
      <w:r w:rsidRPr="00A51B0E">
        <w:t>The pattern clearly suggests that households with economically active mothers</w:t>
      </w:r>
      <w:r>
        <w:t xml:space="preserve"> </w:t>
      </w:r>
      <w:r w:rsidRPr="00A51B0E">
        <w:t>especially those in stable government employment</w:t>
      </w:r>
      <w:r>
        <w:t xml:space="preserve"> </w:t>
      </w:r>
      <w:r w:rsidRPr="00A51B0E">
        <w:t>invest more in education. This could be attributed to higher income levels, greater financial security, and stronger awareness of the importance of education. Conversely, lower spending among housewife households may reflect limited earning capacity and economic dependence, which restricts the ability to invest heavily in educational expenses.</w:t>
      </w:r>
      <w:r>
        <w:t xml:space="preserve"> </w:t>
      </w:r>
      <w:r w:rsidRPr="00A51B0E">
        <w:t>Overall, the data highlight that the mother’s occupation plays a crucial role in shaping household educational expenditure in Tripura, underscoring the broader link between women’s employment, household income, and educational investment.</w:t>
      </w:r>
    </w:p>
    <w:p w14:paraId="0D33D807" w14:textId="77777777" w:rsidR="000340E1" w:rsidRDefault="000340E1" w:rsidP="009B46D4">
      <w:pPr>
        <w:jc w:val="center"/>
        <w:rPr>
          <w:b/>
          <w:bCs/>
        </w:rPr>
      </w:pPr>
    </w:p>
    <w:p w14:paraId="1430A9FB" w14:textId="77777777" w:rsidR="00D2189E" w:rsidRDefault="00D2189E">
      <w:pPr>
        <w:rPr>
          <w:b/>
          <w:bCs/>
        </w:rPr>
      </w:pPr>
      <w:r>
        <w:rPr>
          <w:b/>
          <w:bCs/>
        </w:rPr>
        <w:br w:type="page"/>
      </w:r>
    </w:p>
    <w:p w14:paraId="47890A01" w14:textId="2CD57685" w:rsidR="00FC1CD8" w:rsidRPr="0011134A" w:rsidRDefault="00FC1CD8" w:rsidP="009B46D4">
      <w:pPr>
        <w:jc w:val="center"/>
        <w:rPr>
          <w:b/>
          <w:bCs/>
        </w:rPr>
      </w:pPr>
      <w:r>
        <w:rPr>
          <w:b/>
          <w:bCs/>
        </w:rPr>
        <w:lastRenderedPageBreak/>
        <w:t xml:space="preserve">Figure </w:t>
      </w:r>
      <w:r w:rsidR="00241273">
        <w:rPr>
          <w:b/>
          <w:bCs/>
        </w:rPr>
        <w:t>5</w:t>
      </w:r>
      <w:r w:rsidRPr="00306359">
        <w:rPr>
          <w:b/>
          <w:bCs/>
        </w:rPr>
        <w:t>: Average Household Out-of-Pocket Expenditure on Education by</w:t>
      </w:r>
      <w:r>
        <w:rPr>
          <w:b/>
          <w:bCs/>
        </w:rPr>
        <w:t xml:space="preserve"> Private Tuition </w:t>
      </w:r>
      <w:r w:rsidRPr="00306359">
        <w:rPr>
          <w:b/>
          <w:bCs/>
        </w:rPr>
        <w:t>in Tripura (</w:t>
      </w:r>
      <w:r w:rsidRPr="00EC71BE">
        <w:rPr>
          <w:b/>
          <w:bCs/>
        </w:rPr>
        <w:t>₹</w:t>
      </w:r>
      <w:r w:rsidRPr="00306359">
        <w:rPr>
          <w:b/>
          <w:bCs/>
        </w:rPr>
        <w:t xml:space="preserve"> </w:t>
      </w:r>
      <w:r w:rsidRPr="00EC71BE">
        <w:rPr>
          <w:b/>
          <w:bCs/>
        </w:rPr>
        <w:t>per year</w:t>
      </w:r>
      <w:r w:rsidRPr="00306359">
        <w:rPr>
          <w:b/>
          <w:bCs/>
        </w:rPr>
        <w:t>)</w:t>
      </w:r>
    </w:p>
    <w:p w14:paraId="6F51B2AF" w14:textId="77777777" w:rsidR="00FC1CD8" w:rsidRDefault="00FC1CD8" w:rsidP="00FC1CD8">
      <w:pPr>
        <w:spacing w:after="0" w:line="360" w:lineRule="auto"/>
        <w:jc w:val="center"/>
        <w:rPr>
          <w:b/>
          <w:bCs/>
        </w:rPr>
      </w:pPr>
      <w:r>
        <w:rPr>
          <w:noProof/>
        </w:rPr>
        <w:drawing>
          <wp:inline distT="0" distB="0" distL="0" distR="0" wp14:anchorId="45B97B8B" wp14:editId="64D8E25C">
            <wp:extent cx="4405746" cy="2486891"/>
            <wp:effectExtent l="0" t="0" r="13970" b="8890"/>
            <wp:docPr id="409691749" name="Chart 1">
              <a:extLst xmlns:a="http://schemas.openxmlformats.org/drawingml/2006/main">
                <a:ext uri="{FF2B5EF4-FFF2-40B4-BE49-F238E27FC236}">
                  <a16:creationId xmlns:a16="http://schemas.microsoft.com/office/drawing/2014/main" id="{8B6BF0D3-FDB0-F72B-7934-275EB31419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40DA1D" w14:textId="2BB28C7E" w:rsidR="00FC1CD8" w:rsidRDefault="00FC1CD8" w:rsidP="00FC1CD8">
      <w:pPr>
        <w:jc w:val="center"/>
      </w:pPr>
      <w:r w:rsidRPr="00520ABD">
        <w:t>Source: Primary Survey</w:t>
      </w:r>
      <w:r w:rsidR="000340E1">
        <w:t>, 2025</w:t>
      </w:r>
    </w:p>
    <w:p w14:paraId="4EFC4BCC" w14:textId="5D10FD76" w:rsidR="00FC1CD8" w:rsidRPr="002820B8" w:rsidRDefault="00FC1CD8" w:rsidP="00BC5420">
      <w:pPr>
        <w:spacing w:after="0" w:line="276" w:lineRule="auto"/>
        <w:jc w:val="both"/>
      </w:pPr>
      <w:r w:rsidRPr="002820B8">
        <w:t xml:space="preserve">This one’s quite interesting! The data in Figure </w:t>
      </w:r>
      <w:r w:rsidR="00241273">
        <w:t>5</w:t>
      </w:r>
      <w:r w:rsidRPr="002820B8">
        <w:t xml:space="preserve"> shows a somewhat unexpected trend</w:t>
      </w:r>
      <w:r>
        <w:t xml:space="preserve"> </w:t>
      </w:r>
      <w:r w:rsidRPr="002820B8">
        <w:t>household where no private tuition is taken spend more on education on average (₹17,800) than that where private tuition is taken (₹14,614).</w:t>
      </w:r>
      <w:r>
        <w:t xml:space="preserve"> </w:t>
      </w:r>
      <w:r w:rsidRPr="002820B8">
        <w:t>This could hint at a few possibilities. Maybe households without private tuition spend more on other educational components like school fees, books, or extracurriculars. Or perhaps families opting for tuition manage other costs more efficiently, balancing overall spending. Either way, it’s a neat finding that breaks the common assumption that tuition always raises total education expenses.</w:t>
      </w:r>
    </w:p>
    <w:p w14:paraId="7330E764" w14:textId="77777777" w:rsidR="00F848C2" w:rsidRDefault="00F848C2" w:rsidP="009B46D4">
      <w:pPr>
        <w:spacing w:after="0" w:line="360" w:lineRule="auto"/>
        <w:jc w:val="both"/>
        <w:rPr>
          <w:b/>
          <w:bCs/>
        </w:rPr>
      </w:pPr>
    </w:p>
    <w:p w14:paraId="3FF4B2F7" w14:textId="442EB57A" w:rsidR="00FC1CD8" w:rsidRPr="003361FC" w:rsidRDefault="003361FC" w:rsidP="009B46D4">
      <w:pPr>
        <w:spacing w:after="0" w:line="360" w:lineRule="auto"/>
        <w:jc w:val="both"/>
        <w:rPr>
          <w:b/>
          <w:bCs/>
          <w:i/>
          <w:iCs/>
        </w:rPr>
      </w:pPr>
      <w:r w:rsidRPr="003361FC">
        <w:rPr>
          <w:b/>
          <w:bCs/>
          <w:i/>
          <w:iCs/>
        </w:rPr>
        <w:t xml:space="preserve">5.2 </w:t>
      </w:r>
      <w:r w:rsidR="00FC1CD8" w:rsidRPr="003361FC">
        <w:rPr>
          <w:b/>
          <w:bCs/>
          <w:i/>
          <w:iCs/>
        </w:rPr>
        <w:t xml:space="preserve">Determinants of household Out-of-Pocket expenditure on Primary Level </w:t>
      </w:r>
      <w:r w:rsidR="00257E82" w:rsidRPr="003361FC">
        <w:rPr>
          <w:b/>
          <w:bCs/>
          <w:i/>
          <w:iCs/>
        </w:rPr>
        <w:t>Students</w:t>
      </w:r>
    </w:p>
    <w:p w14:paraId="2982901D" w14:textId="237D5BF7" w:rsidR="00FC1CD8" w:rsidRDefault="00FC1CD8" w:rsidP="003361FC">
      <w:pPr>
        <w:spacing w:line="276" w:lineRule="auto"/>
        <w:jc w:val="both"/>
      </w:pPr>
      <w:r w:rsidRPr="009F4F0B">
        <w:t>Table</w:t>
      </w:r>
      <w:r w:rsidR="003361FC">
        <w:t xml:space="preserve"> 7</w:t>
      </w:r>
      <w:r>
        <w:t xml:space="preserve"> shows the d</w:t>
      </w:r>
      <w:r w:rsidRPr="009F4F0B">
        <w:t xml:space="preserve">eterminants of household </w:t>
      </w:r>
      <w:r w:rsidR="000340E1">
        <w:t xml:space="preserve">annual </w:t>
      </w:r>
      <w:r w:rsidRPr="009F4F0B">
        <w:t xml:space="preserve">Out-of-Pocket expenditure on Primary Level Students in Tripura </w:t>
      </w:r>
      <w:r>
        <w:t>through r</w:t>
      </w:r>
      <w:r w:rsidRPr="009F4F0B">
        <w:t xml:space="preserve">egression </w:t>
      </w:r>
      <w:r>
        <w:t>r</w:t>
      </w:r>
      <w:r w:rsidRPr="009F4F0B">
        <w:t>esults</w:t>
      </w:r>
      <w:r>
        <w:t>.</w:t>
      </w:r>
    </w:p>
    <w:p w14:paraId="10DF6EF9" w14:textId="56ACBFF3" w:rsidR="00FC1CD8" w:rsidRPr="003361FC" w:rsidRDefault="00FC1CD8" w:rsidP="000340E1">
      <w:pPr>
        <w:jc w:val="both"/>
        <w:rPr>
          <w:b/>
          <w:bCs/>
        </w:rPr>
      </w:pPr>
      <w:r w:rsidRPr="003361FC">
        <w:rPr>
          <w:b/>
          <w:bCs/>
        </w:rPr>
        <w:t xml:space="preserve">Table </w:t>
      </w:r>
      <w:r w:rsidR="003361FC" w:rsidRPr="003361FC">
        <w:rPr>
          <w:b/>
          <w:bCs/>
        </w:rPr>
        <w:t>7</w:t>
      </w:r>
      <w:r w:rsidRPr="003361FC">
        <w:rPr>
          <w:b/>
          <w:bCs/>
        </w:rPr>
        <w:t xml:space="preserve">: </w:t>
      </w:r>
      <w:r w:rsidR="009B46D4" w:rsidRPr="003361FC">
        <w:rPr>
          <w:b/>
          <w:bCs/>
        </w:rPr>
        <w:t xml:space="preserve">Regression Results: </w:t>
      </w:r>
      <w:r w:rsidRPr="003361FC">
        <w:rPr>
          <w:b/>
          <w:bCs/>
        </w:rPr>
        <w:t xml:space="preserve">Determinants of </w:t>
      </w:r>
      <w:r w:rsidR="000340E1">
        <w:rPr>
          <w:b/>
          <w:bCs/>
        </w:rPr>
        <w:t>H</w:t>
      </w:r>
      <w:r w:rsidRPr="003361FC">
        <w:rPr>
          <w:b/>
          <w:bCs/>
        </w:rPr>
        <w:t xml:space="preserve">ousehold </w:t>
      </w:r>
      <w:r w:rsidR="000340E1">
        <w:rPr>
          <w:b/>
          <w:bCs/>
        </w:rPr>
        <w:t xml:space="preserve">Annual </w:t>
      </w:r>
      <w:r w:rsidRPr="003361FC">
        <w:rPr>
          <w:b/>
          <w:bCs/>
        </w:rPr>
        <w:t xml:space="preserve">Out-of-Pocket </w:t>
      </w:r>
      <w:r w:rsidR="000340E1">
        <w:rPr>
          <w:b/>
          <w:bCs/>
        </w:rPr>
        <w:t>E</w:t>
      </w:r>
      <w:r w:rsidRPr="003361FC">
        <w:rPr>
          <w:b/>
          <w:bCs/>
        </w:rPr>
        <w:t>xpenditure on Primary Level Students in Tripura</w:t>
      </w:r>
    </w:p>
    <w:tbl>
      <w:tblPr>
        <w:tblW w:w="5000" w:type="pct"/>
        <w:tblLayout w:type="fixed"/>
        <w:tblLook w:val="04A0" w:firstRow="1" w:lastRow="0" w:firstColumn="1" w:lastColumn="0" w:noHBand="0" w:noVBand="1"/>
      </w:tblPr>
      <w:tblGrid>
        <w:gridCol w:w="4957"/>
        <w:gridCol w:w="1201"/>
        <w:gridCol w:w="1208"/>
        <w:gridCol w:w="909"/>
        <w:gridCol w:w="741"/>
      </w:tblGrid>
      <w:tr w:rsidR="00FC1CD8" w:rsidRPr="00933290" w14:paraId="21765B9E" w14:textId="77777777" w:rsidTr="00832706">
        <w:trPr>
          <w:trHeight w:val="288"/>
        </w:trPr>
        <w:tc>
          <w:tcPr>
            <w:tcW w:w="2749" w:type="pct"/>
            <w:tcBorders>
              <w:top w:val="single" w:sz="4" w:space="0" w:color="9BC2E6"/>
              <w:left w:val="single" w:sz="4" w:space="0" w:color="9BC2E6"/>
              <w:bottom w:val="single" w:sz="4" w:space="0" w:color="9BC2E6"/>
              <w:right w:val="nil"/>
            </w:tcBorders>
            <w:shd w:val="clear" w:color="5B9BD5" w:fill="5B9BD5"/>
            <w:noWrap/>
            <w:vAlign w:val="center"/>
            <w:hideMark/>
          </w:tcPr>
          <w:p w14:paraId="66B0F00A" w14:textId="1D0881FB" w:rsidR="00FC1CD8" w:rsidRPr="00F415BB" w:rsidRDefault="00254696" w:rsidP="00832706">
            <w:pPr>
              <w:spacing w:after="0" w:line="240" w:lineRule="auto"/>
              <w:jc w:val="center"/>
              <w:rPr>
                <w:rFonts w:eastAsia="Times New Roman"/>
                <w:b/>
                <w:bCs/>
                <w:color w:val="FFFFFF"/>
                <w:kern w:val="0"/>
                <w:sz w:val="20"/>
                <w:szCs w:val="20"/>
                <w:lang w:eastAsia="en-IN"/>
                <w14:ligatures w14:val="none"/>
              </w:rPr>
            </w:pPr>
            <w:r>
              <w:rPr>
                <w:rFonts w:eastAsia="Times New Roman"/>
                <w:b/>
                <w:bCs/>
                <w:color w:val="FFFFFF"/>
                <w:kern w:val="0"/>
                <w:sz w:val="20"/>
                <w:szCs w:val="20"/>
                <w:lang w:eastAsia="en-IN"/>
                <w14:ligatures w14:val="none"/>
              </w:rPr>
              <w:t>Independent Variables</w:t>
            </w:r>
          </w:p>
        </w:tc>
        <w:tc>
          <w:tcPr>
            <w:tcW w:w="666" w:type="pct"/>
            <w:tcBorders>
              <w:top w:val="single" w:sz="4" w:space="0" w:color="9BC2E6"/>
              <w:left w:val="nil"/>
              <w:bottom w:val="single" w:sz="4" w:space="0" w:color="9BC2E6"/>
              <w:right w:val="nil"/>
            </w:tcBorders>
            <w:shd w:val="clear" w:color="5B9BD5" w:fill="5B9BD5"/>
            <w:noWrap/>
            <w:vAlign w:val="center"/>
            <w:hideMark/>
          </w:tcPr>
          <w:p w14:paraId="2CF5A892" w14:textId="77777777" w:rsidR="00FC1CD8" w:rsidRPr="00F415BB" w:rsidRDefault="00FC1CD8" w:rsidP="00832706">
            <w:pPr>
              <w:spacing w:after="0" w:line="240" w:lineRule="auto"/>
              <w:jc w:val="center"/>
              <w:rPr>
                <w:rFonts w:eastAsia="Times New Roman"/>
                <w:b/>
                <w:bCs/>
                <w:color w:val="FFFFFF"/>
                <w:kern w:val="0"/>
                <w:sz w:val="20"/>
                <w:szCs w:val="20"/>
                <w:lang w:eastAsia="en-IN"/>
                <w14:ligatures w14:val="none"/>
              </w:rPr>
            </w:pPr>
            <w:r w:rsidRPr="00F415BB">
              <w:rPr>
                <w:rFonts w:eastAsia="Times New Roman"/>
                <w:b/>
                <w:bCs/>
                <w:color w:val="FFFFFF"/>
                <w:kern w:val="0"/>
                <w:sz w:val="20"/>
                <w:szCs w:val="20"/>
                <w:lang w:eastAsia="en-IN"/>
                <w14:ligatures w14:val="none"/>
              </w:rPr>
              <w:t>Coef.</w:t>
            </w:r>
          </w:p>
        </w:tc>
        <w:tc>
          <w:tcPr>
            <w:tcW w:w="670" w:type="pct"/>
            <w:tcBorders>
              <w:top w:val="single" w:sz="4" w:space="0" w:color="9BC2E6"/>
              <w:left w:val="nil"/>
              <w:bottom w:val="single" w:sz="4" w:space="0" w:color="9BC2E6"/>
              <w:right w:val="nil"/>
            </w:tcBorders>
            <w:shd w:val="clear" w:color="5B9BD5" w:fill="5B9BD5"/>
            <w:noWrap/>
            <w:vAlign w:val="center"/>
            <w:hideMark/>
          </w:tcPr>
          <w:p w14:paraId="6750A2F5" w14:textId="77777777" w:rsidR="00FC1CD8" w:rsidRPr="00F415BB" w:rsidRDefault="00FC1CD8" w:rsidP="00832706">
            <w:pPr>
              <w:spacing w:after="0" w:line="240" w:lineRule="auto"/>
              <w:jc w:val="center"/>
              <w:rPr>
                <w:rFonts w:eastAsia="Times New Roman"/>
                <w:b/>
                <w:bCs/>
                <w:color w:val="FFFFFF"/>
                <w:kern w:val="0"/>
                <w:sz w:val="20"/>
                <w:szCs w:val="20"/>
                <w:lang w:eastAsia="en-IN"/>
                <w14:ligatures w14:val="none"/>
              </w:rPr>
            </w:pPr>
            <w:r w:rsidRPr="00F415BB">
              <w:rPr>
                <w:rFonts w:eastAsia="Times New Roman"/>
                <w:b/>
                <w:bCs/>
                <w:color w:val="FFFFFF"/>
                <w:kern w:val="0"/>
                <w:sz w:val="20"/>
                <w:szCs w:val="20"/>
                <w:lang w:eastAsia="en-IN"/>
                <w14:ligatures w14:val="none"/>
              </w:rPr>
              <w:t>Std. Err.</w:t>
            </w:r>
          </w:p>
        </w:tc>
        <w:tc>
          <w:tcPr>
            <w:tcW w:w="504" w:type="pct"/>
            <w:tcBorders>
              <w:top w:val="single" w:sz="4" w:space="0" w:color="9BC2E6"/>
              <w:left w:val="nil"/>
              <w:bottom w:val="single" w:sz="4" w:space="0" w:color="9BC2E6"/>
              <w:right w:val="nil"/>
            </w:tcBorders>
            <w:shd w:val="clear" w:color="5B9BD5" w:fill="5B9BD5"/>
            <w:noWrap/>
            <w:vAlign w:val="center"/>
            <w:hideMark/>
          </w:tcPr>
          <w:p w14:paraId="1B887A81" w14:textId="77777777" w:rsidR="00FC1CD8" w:rsidRPr="00F415BB" w:rsidRDefault="00FC1CD8" w:rsidP="00832706">
            <w:pPr>
              <w:spacing w:after="0" w:line="240" w:lineRule="auto"/>
              <w:jc w:val="center"/>
              <w:rPr>
                <w:rFonts w:eastAsia="Times New Roman"/>
                <w:b/>
                <w:bCs/>
                <w:color w:val="FFFFFF"/>
                <w:kern w:val="0"/>
                <w:sz w:val="20"/>
                <w:szCs w:val="20"/>
                <w:lang w:eastAsia="en-IN"/>
                <w14:ligatures w14:val="none"/>
              </w:rPr>
            </w:pPr>
            <w:r w:rsidRPr="00F415BB">
              <w:rPr>
                <w:rFonts w:eastAsia="Times New Roman"/>
                <w:b/>
                <w:bCs/>
                <w:color w:val="FFFFFF"/>
                <w:kern w:val="0"/>
                <w:sz w:val="20"/>
                <w:szCs w:val="20"/>
                <w:lang w:eastAsia="en-IN"/>
                <w14:ligatures w14:val="none"/>
              </w:rPr>
              <w:t>t</w:t>
            </w:r>
          </w:p>
        </w:tc>
        <w:tc>
          <w:tcPr>
            <w:tcW w:w="411" w:type="pct"/>
            <w:tcBorders>
              <w:top w:val="single" w:sz="4" w:space="0" w:color="9BC2E6"/>
              <w:left w:val="nil"/>
              <w:bottom w:val="single" w:sz="4" w:space="0" w:color="9BC2E6"/>
              <w:right w:val="single" w:sz="4" w:space="0" w:color="9BC2E6"/>
            </w:tcBorders>
            <w:shd w:val="clear" w:color="5B9BD5" w:fill="5B9BD5"/>
            <w:noWrap/>
            <w:vAlign w:val="center"/>
            <w:hideMark/>
          </w:tcPr>
          <w:p w14:paraId="5DD0771C" w14:textId="77777777" w:rsidR="00FC1CD8" w:rsidRPr="00F415BB" w:rsidRDefault="00FC1CD8" w:rsidP="00832706">
            <w:pPr>
              <w:spacing w:after="0" w:line="240" w:lineRule="auto"/>
              <w:jc w:val="center"/>
              <w:rPr>
                <w:rFonts w:eastAsia="Times New Roman"/>
                <w:b/>
                <w:bCs/>
                <w:color w:val="FFFFFF"/>
                <w:kern w:val="0"/>
                <w:sz w:val="20"/>
                <w:szCs w:val="20"/>
                <w:lang w:eastAsia="en-IN"/>
                <w14:ligatures w14:val="none"/>
              </w:rPr>
            </w:pPr>
            <w:r w:rsidRPr="00F415BB">
              <w:rPr>
                <w:rFonts w:eastAsia="Times New Roman"/>
                <w:b/>
                <w:bCs/>
                <w:color w:val="FFFFFF"/>
                <w:kern w:val="0"/>
                <w:sz w:val="20"/>
                <w:szCs w:val="20"/>
                <w:lang w:eastAsia="en-IN"/>
                <w14:ligatures w14:val="none"/>
              </w:rPr>
              <w:t>P&gt;t</w:t>
            </w:r>
          </w:p>
        </w:tc>
      </w:tr>
      <w:tr w:rsidR="00FC1CD8" w:rsidRPr="00933290" w14:paraId="78323BE7" w14:textId="77777777" w:rsidTr="00832706">
        <w:trPr>
          <w:trHeight w:val="288"/>
        </w:trPr>
        <w:tc>
          <w:tcPr>
            <w:tcW w:w="2749" w:type="pct"/>
            <w:tcBorders>
              <w:top w:val="single" w:sz="4" w:space="0" w:color="9BC2E6"/>
              <w:left w:val="single" w:sz="4" w:space="0" w:color="9BC2E6"/>
              <w:bottom w:val="single" w:sz="4" w:space="0" w:color="9BC2E6"/>
              <w:right w:val="nil"/>
            </w:tcBorders>
            <w:shd w:val="clear" w:color="DDEBF7" w:fill="DDEBF7"/>
            <w:noWrap/>
            <w:vAlign w:val="bottom"/>
            <w:hideMark/>
          </w:tcPr>
          <w:p w14:paraId="54A58C32"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Gender (Male=1, Female=0)</w:t>
            </w:r>
          </w:p>
        </w:tc>
        <w:tc>
          <w:tcPr>
            <w:tcW w:w="666" w:type="pct"/>
            <w:tcBorders>
              <w:top w:val="single" w:sz="4" w:space="0" w:color="9BC2E6"/>
              <w:left w:val="nil"/>
              <w:bottom w:val="single" w:sz="4" w:space="0" w:color="9BC2E6"/>
              <w:right w:val="nil"/>
            </w:tcBorders>
            <w:shd w:val="clear" w:color="DDEBF7" w:fill="DDEBF7"/>
            <w:noWrap/>
            <w:vAlign w:val="bottom"/>
            <w:hideMark/>
          </w:tcPr>
          <w:p w14:paraId="6E004529"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8919.51</w:t>
            </w:r>
          </w:p>
        </w:tc>
        <w:tc>
          <w:tcPr>
            <w:tcW w:w="670" w:type="pct"/>
            <w:tcBorders>
              <w:top w:val="single" w:sz="4" w:space="0" w:color="9BC2E6"/>
              <w:left w:val="nil"/>
              <w:bottom w:val="single" w:sz="4" w:space="0" w:color="9BC2E6"/>
              <w:right w:val="nil"/>
            </w:tcBorders>
            <w:shd w:val="clear" w:color="DDEBF7" w:fill="DDEBF7"/>
            <w:noWrap/>
            <w:vAlign w:val="bottom"/>
            <w:hideMark/>
          </w:tcPr>
          <w:p w14:paraId="1B6A1E6C"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3102.56</w:t>
            </w:r>
          </w:p>
        </w:tc>
        <w:tc>
          <w:tcPr>
            <w:tcW w:w="504" w:type="pct"/>
            <w:tcBorders>
              <w:top w:val="single" w:sz="4" w:space="0" w:color="9BC2E6"/>
              <w:left w:val="nil"/>
              <w:bottom w:val="single" w:sz="4" w:space="0" w:color="9BC2E6"/>
              <w:right w:val="nil"/>
            </w:tcBorders>
            <w:shd w:val="clear" w:color="DDEBF7" w:fill="DDEBF7"/>
            <w:noWrap/>
            <w:vAlign w:val="bottom"/>
            <w:hideMark/>
          </w:tcPr>
          <w:p w14:paraId="511DD7B2"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2.870</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00E8A5EE" w14:textId="77777777" w:rsidR="00FC1CD8" w:rsidRPr="00E67025" w:rsidRDefault="00FC1CD8" w:rsidP="00832706">
            <w:pPr>
              <w:spacing w:after="0" w:line="240" w:lineRule="auto"/>
              <w:jc w:val="right"/>
              <w:rPr>
                <w:rFonts w:eastAsia="Times New Roman"/>
                <w:b/>
                <w:bCs/>
                <w:color w:val="000000"/>
                <w:kern w:val="0"/>
                <w:sz w:val="20"/>
                <w:szCs w:val="20"/>
                <w:lang w:eastAsia="en-IN"/>
                <w14:ligatures w14:val="none"/>
              </w:rPr>
            </w:pPr>
            <w:r w:rsidRPr="00E67025">
              <w:rPr>
                <w:rFonts w:eastAsia="Times New Roman"/>
                <w:b/>
                <w:bCs/>
                <w:color w:val="000000"/>
                <w:kern w:val="0"/>
                <w:sz w:val="20"/>
                <w:szCs w:val="20"/>
                <w:lang w:eastAsia="en-IN"/>
                <w14:ligatures w14:val="none"/>
              </w:rPr>
              <w:t>0.005</w:t>
            </w:r>
          </w:p>
        </w:tc>
      </w:tr>
      <w:tr w:rsidR="00FC1CD8" w:rsidRPr="00933290" w14:paraId="69BAA546"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3A30FFB6"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Medium of Instruction (Bengali=1, English=0)</w:t>
            </w:r>
          </w:p>
        </w:tc>
        <w:tc>
          <w:tcPr>
            <w:tcW w:w="666" w:type="pct"/>
            <w:tcBorders>
              <w:top w:val="single" w:sz="4" w:space="0" w:color="9BC2E6"/>
              <w:left w:val="nil"/>
              <w:bottom w:val="single" w:sz="4" w:space="0" w:color="9BC2E6"/>
              <w:right w:val="nil"/>
            </w:tcBorders>
            <w:noWrap/>
            <w:vAlign w:val="bottom"/>
            <w:hideMark/>
          </w:tcPr>
          <w:p w14:paraId="04CEB2A0"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-1898.61</w:t>
            </w:r>
          </w:p>
        </w:tc>
        <w:tc>
          <w:tcPr>
            <w:tcW w:w="670" w:type="pct"/>
            <w:tcBorders>
              <w:top w:val="single" w:sz="4" w:space="0" w:color="9BC2E6"/>
              <w:left w:val="nil"/>
              <w:bottom w:val="single" w:sz="4" w:space="0" w:color="9BC2E6"/>
              <w:right w:val="nil"/>
            </w:tcBorders>
            <w:noWrap/>
            <w:vAlign w:val="bottom"/>
            <w:hideMark/>
          </w:tcPr>
          <w:p w14:paraId="08A75EDF"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3415.59</w:t>
            </w:r>
          </w:p>
        </w:tc>
        <w:tc>
          <w:tcPr>
            <w:tcW w:w="504" w:type="pct"/>
            <w:tcBorders>
              <w:top w:val="single" w:sz="4" w:space="0" w:color="9BC2E6"/>
              <w:left w:val="nil"/>
              <w:bottom w:val="single" w:sz="4" w:space="0" w:color="9BC2E6"/>
              <w:right w:val="nil"/>
            </w:tcBorders>
            <w:noWrap/>
            <w:vAlign w:val="bottom"/>
            <w:hideMark/>
          </w:tcPr>
          <w:p w14:paraId="17EF5413"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-0.560</w:t>
            </w:r>
          </w:p>
        </w:tc>
        <w:tc>
          <w:tcPr>
            <w:tcW w:w="411" w:type="pct"/>
            <w:tcBorders>
              <w:top w:val="single" w:sz="4" w:space="0" w:color="9BC2E6"/>
              <w:left w:val="nil"/>
              <w:bottom w:val="single" w:sz="4" w:space="0" w:color="9BC2E6"/>
              <w:right w:val="single" w:sz="4" w:space="0" w:color="9BC2E6"/>
            </w:tcBorders>
            <w:noWrap/>
            <w:vAlign w:val="bottom"/>
            <w:hideMark/>
          </w:tcPr>
          <w:p w14:paraId="5379262E"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0.580</w:t>
            </w:r>
          </w:p>
        </w:tc>
      </w:tr>
      <w:tr w:rsidR="00FC1CD8" w:rsidRPr="00933290" w14:paraId="1B3E04FD" w14:textId="77777777" w:rsidTr="00832706">
        <w:trPr>
          <w:trHeight w:val="288"/>
        </w:trPr>
        <w:tc>
          <w:tcPr>
            <w:tcW w:w="2749" w:type="pct"/>
            <w:tcBorders>
              <w:top w:val="single" w:sz="4" w:space="0" w:color="9BC2E6"/>
              <w:left w:val="single" w:sz="4" w:space="0" w:color="9BC2E6"/>
              <w:bottom w:val="single" w:sz="4" w:space="0" w:color="9BC2E6"/>
              <w:right w:val="nil"/>
            </w:tcBorders>
            <w:shd w:val="clear" w:color="DDEBF7" w:fill="DDEBF7"/>
            <w:noWrap/>
            <w:vAlign w:val="bottom"/>
            <w:hideMark/>
          </w:tcPr>
          <w:p w14:paraId="38636438"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Standard (Order)</w:t>
            </w:r>
          </w:p>
        </w:tc>
        <w:tc>
          <w:tcPr>
            <w:tcW w:w="666" w:type="pct"/>
            <w:tcBorders>
              <w:top w:val="single" w:sz="4" w:space="0" w:color="9BC2E6"/>
              <w:left w:val="nil"/>
              <w:bottom w:val="single" w:sz="4" w:space="0" w:color="9BC2E6"/>
              <w:right w:val="nil"/>
            </w:tcBorders>
            <w:shd w:val="clear" w:color="DDEBF7" w:fill="DDEBF7"/>
            <w:noWrap/>
            <w:vAlign w:val="bottom"/>
            <w:hideMark/>
          </w:tcPr>
          <w:p w14:paraId="58088080"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4777.61</w:t>
            </w:r>
          </w:p>
        </w:tc>
        <w:tc>
          <w:tcPr>
            <w:tcW w:w="670" w:type="pct"/>
            <w:tcBorders>
              <w:top w:val="single" w:sz="4" w:space="0" w:color="9BC2E6"/>
              <w:left w:val="nil"/>
              <w:bottom w:val="single" w:sz="4" w:space="0" w:color="9BC2E6"/>
              <w:right w:val="nil"/>
            </w:tcBorders>
            <w:shd w:val="clear" w:color="DDEBF7" w:fill="DDEBF7"/>
            <w:noWrap/>
            <w:vAlign w:val="bottom"/>
            <w:hideMark/>
          </w:tcPr>
          <w:p w14:paraId="59368544"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1923.40</w:t>
            </w:r>
          </w:p>
        </w:tc>
        <w:tc>
          <w:tcPr>
            <w:tcW w:w="504" w:type="pct"/>
            <w:tcBorders>
              <w:top w:val="single" w:sz="4" w:space="0" w:color="9BC2E6"/>
              <w:left w:val="nil"/>
              <w:bottom w:val="single" w:sz="4" w:space="0" w:color="9BC2E6"/>
              <w:right w:val="nil"/>
            </w:tcBorders>
            <w:shd w:val="clear" w:color="DDEBF7" w:fill="DDEBF7"/>
            <w:noWrap/>
            <w:vAlign w:val="bottom"/>
            <w:hideMark/>
          </w:tcPr>
          <w:p w14:paraId="1BA36895"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2.480</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66EFDEAA" w14:textId="77777777" w:rsidR="00FC1CD8" w:rsidRPr="00E67025" w:rsidRDefault="00FC1CD8" w:rsidP="00832706">
            <w:pPr>
              <w:spacing w:after="0" w:line="240" w:lineRule="auto"/>
              <w:jc w:val="right"/>
              <w:rPr>
                <w:rFonts w:eastAsia="Times New Roman"/>
                <w:b/>
                <w:bCs/>
                <w:color w:val="000000"/>
                <w:kern w:val="0"/>
                <w:sz w:val="20"/>
                <w:szCs w:val="20"/>
                <w:lang w:eastAsia="en-IN"/>
                <w14:ligatures w14:val="none"/>
              </w:rPr>
            </w:pPr>
            <w:r w:rsidRPr="00E67025">
              <w:rPr>
                <w:rFonts w:eastAsia="Times New Roman"/>
                <w:b/>
                <w:bCs/>
                <w:color w:val="000000"/>
                <w:kern w:val="0"/>
                <w:sz w:val="20"/>
                <w:szCs w:val="20"/>
                <w:lang w:eastAsia="en-IN"/>
                <w14:ligatures w14:val="none"/>
              </w:rPr>
              <w:t>0.016</w:t>
            </w:r>
          </w:p>
        </w:tc>
      </w:tr>
      <w:tr w:rsidR="00FC1CD8" w:rsidRPr="00933290" w14:paraId="5C7BCFAA"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35522099"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Caste (Gen=1, Others=0)</w:t>
            </w:r>
          </w:p>
        </w:tc>
        <w:tc>
          <w:tcPr>
            <w:tcW w:w="666" w:type="pct"/>
            <w:tcBorders>
              <w:top w:val="single" w:sz="4" w:space="0" w:color="9BC2E6"/>
              <w:left w:val="nil"/>
              <w:bottom w:val="single" w:sz="4" w:space="0" w:color="9BC2E6"/>
              <w:right w:val="nil"/>
            </w:tcBorders>
            <w:noWrap/>
            <w:vAlign w:val="bottom"/>
            <w:hideMark/>
          </w:tcPr>
          <w:p w14:paraId="2AB95A63"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2259.12</w:t>
            </w:r>
          </w:p>
        </w:tc>
        <w:tc>
          <w:tcPr>
            <w:tcW w:w="670" w:type="pct"/>
            <w:tcBorders>
              <w:top w:val="single" w:sz="4" w:space="0" w:color="9BC2E6"/>
              <w:left w:val="nil"/>
              <w:bottom w:val="single" w:sz="4" w:space="0" w:color="9BC2E6"/>
              <w:right w:val="nil"/>
            </w:tcBorders>
            <w:noWrap/>
            <w:vAlign w:val="bottom"/>
            <w:hideMark/>
          </w:tcPr>
          <w:p w14:paraId="23CD4269"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3756.24</w:t>
            </w:r>
          </w:p>
        </w:tc>
        <w:tc>
          <w:tcPr>
            <w:tcW w:w="504" w:type="pct"/>
            <w:tcBorders>
              <w:top w:val="single" w:sz="4" w:space="0" w:color="9BC2E6"/>
              <w:left w:val="nil"/>
              <w:bottom w:val="single" w:sz="4" w:space="0" w:color="9BC2E6"/>
              <w:right w:val="nil"/>
            </w:tcBorders>
            <w:noWrap/>
            <w:vAlign w:val="bottom"/>
            <w:hideMark/>
          </w:tcPr>
          <w:p w14:paraId="147983B3"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0.600</w:t>
            </w:r>
          </w:p>
        </w:tc>
        <w:tc>
          <w:tcPr>
            <w:tcW w:w="411" w:type="pct"/>
            <w:tcBorders>
              <w:top w:val="single" w:sz="4" w:space="0" w:color="9BC2E6"/>
              <w:left w:val="nil"/>
              <w:bottom w:val="single" w:sz="4" w:space="0" w:color="9BC2E6"/>
              <w:right w:val="single" w:sz="4" w:space="0" w:color="9BC2E6"/>
            </w:tcBorders>
            <w:noWrap/>
            <w:vAlign w:val="bottom"/>
            <w:hideMark/>
          </w:tcPr>
          <w:p w14:paraId="14BE1D6E"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0.550</w:t>
            </w:r>
          </w:p>
        </w:tc>
      </w:tr>
      <w:tr w:rsidR="00FC1CD8" w:rsidRPr="00933290" w14:paraId="5713BB10" w14:textId="77777777" w:rsidTr="00832706">
        <w:trPr>
          <w:trHeight w:val="58"/>
        </w:trPr>
        <w:tc>
          <w:tcPr>
            <w:tcW w:w="2749" w:type="pct"/>
            <w:tcBorders>
              <w:top w:val="single" w:sz="4" w:space="0" w:color="9BC2E6"/>
              <w:left w:val="single" w:sz="4" w:space="0" w:color="9BC2E6"/>
              <w:bottom w:val="single" w:sz="4" w:space="0" w:color="9BC2E6"/>
              <w:right w:val="nil"/>
            </w:tcBorders>
            <w:shd w:val="clear" w:color="DDEBF7" w:fill="DDEBF7"/>
            <w:noWrap/>
            <w:vAlign w:val="bottom"/>
            <w:hideMark/>
          </w:tcPr>
          <w:p w14:paraId="14DA8A45"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Place of Residence (rural=1, urban=0)</w:t>
            </w:r>
          </w:p>
        </w:tc>
        <w:tc>
          <w:tcPr>
            <w:tcW w:w="666" w:type="pct"/>
            <w:tcBorders>
              <w:top w:val="single" w:sz="4" w:space="0" w:color="9BC2E6"/>
              <w:left w:val="nil"/>
              <w:bottom w:val="single" w:sz="4" w:space="0" w:color="9BC2E6"/>
              <w:right w:val="nil"/>
            </w:tcBorders>
            <w:shd w:val="clear" w:color="DDEBF7" w:fill="DDEBF7"/>
            <w:noWrap/>
            <w:vAlign w:val="bottom"/>
            <w:hideMark/>
          </w:tcPr>
          <w:p w14:paraId="1EF746EB"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-4680.61</w:t>
            </w:r>
          </w:p>
        </w:tc>
        <w:tc>
          <w:tcPr>
            <w:tcW w:w="670" w:type="pct"/>
            <w:tcBorders>
              <w:top w:val="single" w:sz="4" w:space="0" w:color="9BC2E6"/>
              <w:left w:val="nil"/>
              <w:bottom w:val="single" w:sz="4" w:space="0" w:color="9BC2E6"/>
              <w:right w:val="nil"/>
            </w:tcBorders>
            <w:shd w:val="clear" w:color="DDEBF7" w:fill="DDEBF7"/>
            <w:noWrap/>
            <w:vAlign w:val="bottom"/>
            <w:hideMark/>
          </w:tcPr>
          <w:p w14:paraId="0F6874A6"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2897.48</w:t>
            </w:r>
          </w:p>
        </w:tc>
        <w:tc>
          <w:tcPr>
            <w:tcW w:w="504" w:type="pct"/>
            <w:tcBorders>
              <w:top w:val="single" w:sz="4" w:space="0" w:color="9BC2E6"/>
              <w:left w:val="nil"/>
              <w:bottom w:val="single" w:sz="4" w:space="0" w:color="9BC2E6"/>
              <w:right w:val="nil"/>
            </w:tcBorders>
            <w:shd w:val="clear" w:color="DDEBF7" w:fill="DDEBF7"/>
            <w:noWrap/>
            <w:vAlign w:val="bottom"/>
            <w:hideMark/>
          </w:tcPr>
          <w:p w14:paraId="354FBE86"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-1.620</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4F4CF9B0"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0.111</w:t>
            </w:r>
          </w:p>
        </w:tc>
      </w:tr>
      <w:tr w:rsidR="00FC1CD8" w:rsidRPr="00933290" w14:paraId="656EE302"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2AFC44C2"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House type (Order: kuccha=1, semi-pucca=2</w:t>
            </w:r>
            <w:r>
              <w:rPr>
                <w:rFonts w:eastAsia="Times New Roman"/>
                <w:color w:val="000000"/>
                <w:kern w:val="0"/>
                <w:sz w:val="20"/>
                <w:szCs w:val="20"/>
                <w:lang w:eastAsia="en-IN"/>
                <w14:ligatures w14:val="none"/>
              </w:rPr>
              <w:t xml:space="preserve"> </w:t>
            </w:r>
            <w:r w:rsidRPr="00F415BB">
              <w:rPr>
                <w:rFonts w:eastAsia="Times New Roman"/>
                <w:color w:val="000000"/>
                <w:kern w:val="0"/>
                <w:sz w:val="20"/>
                <w:szCs w:val="20"/>
                <w:lang w:eastAsia="en-IN"/>
                <w14:ligatures w14:val="none"/>
              </w:rPr>
              <w:t>&amp; pucca=3)</w:t>
            </w:r>
          </w:p>
        </w:tc>
        <w:tc>
          <w:tcPr>
            <w:tcW w:w="666" w:type="pct"/>
            <w:tcBorders>
              <w:top w:val="single" w:sz="4" w:space="0" w:color="9BC2E6"/>
              <w:left w:val="nil"/>
              <w:bottom w:val="single" w:sz="4" w:space="0" w:color="9BC2E6"/>
              <w:right w:val="nil"/>
            </w:tcBorders>
            <w:noWrap/>
            <w:vAlign w:val="bottom"/>
            <w:hideMark/>
          </w:tcPr>
          <w:p w14:paraId="2AE68831"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2497.59</w:t>
            </w:r>
          </w:p>
        </w:tc>
        <w:tc>
          <w:tcPr>
            <w:tcW w:w="670" w:type="pct"/>
            <w:tcBorders>
              <w:top w:val="single" w:sz="4" w:space="0" w:color="9BC2E6"/>
              <w:left w:val="nil"/>
              <w:bottom w:val="single" w:sz="4" w:space="0" w:color="9BC2E6"/>
              <w:right w:val="nil"/>
            </w:tcBorders>
            <w:noWrap/>
            <w:vAlign w:val="bottom"/>
            <w:hideMark/>
          </w:tcPr>
          <w:p w14:paraId="69037EBD"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1728.35</w:t>
            </w:r>
          </w:p>
        </w:tc>
        <w:tc>
          <w:tcPr>
            <w:tcW w:w="504" w:type="pct"/>
            <w:tcBorders>
              <w:top w:val="single" w:sz="4" w:space="0" w:color="9BC2E6"/>
              <w:left w:val="nil"/>
              <w:bottom w:val="single" w:sz="4" w:space="0" w:color="9BC2E6"/>
              <w:right w:val="nil"/>
            </w:tcBorders>
            <w:noWrap/>
            <w:vAlign w:val="bottom"/>
            <w:hideMark/>
          </w:tcPr>
          <w:p w14:paraId="462208AE"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1.450</w:t>
            </w:r>
          </w:p>
        </w:tc>
        <w:tc>
          <w:tcPr>
            <w:tcW w:w="411" w:type="pct"/>
            <w:tcBorders>
              <w:top w:val="single" w:sz="4" w:space="0" w:color="9BC2E6"/>
              <w:left w:val="nil"/>
              <w:bottom w:val="single" w:sz="4" w:space="0" w:color="9BC2E6"/>
              <w:right w:val="single" w:sz="4" w:space="0" w:color="9BC2E6"/>
            </w:tcBorders>
            <w:noWrap/>
            <w:vAlign w:val="bottom"/>
            <w:hideMark/>
          </w:tcPr>
          <w:p w14:paraId="22B3C3E5"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0.153</w:t>
            </w:r>
          </w:p>
        </w:tc>
      </w:tr>
      <w:tr w:rsidR="00FC1CD8" w:rsidRPr="00933290" w14:paraId="27E9FB15" w14:textId="77777777" w:rsidTr="00832706">
        <w:trPr>
          <w:trHeight w:val="288"/>
        </w:trPr>
        <w:tc>
          <w:tcPr>
            <w:tcW w:w="2749" w:type="pct"/>
            <w:tcBorders>
              <w:top w:val="single" w:sz="4" w:space="0" w:color="9BC2E6"/>
              <w:left w:val="single" w:sz="4" w:space="0" w:color="9BC2E6"/>
              <w:bottom w:val="single" w:sz="4" w:space="0" w:color="9BC2E6"/>
              <w:right w:val="nil"/>
            </w:tcBorders>
            <w:shd w:val="clear" w:color="DDEBF7" w:fill="DDEBF7"/>
            <w:noWrap/>
            <w:vAlign w:val="bottom"/>
            <w:hideMark/>
          </w:tcPr>
          <w:p w14:paraId="6A07B41E"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933290">
              <w:rPr>
                <w:rFonts w:eastAsia="Times New Roman"/>
                <w:color w:val="000000"/>
                <w:kern w:val="0"/>
                <w:sz w:val="20"/>
                <w:szCs w:val="20"/>
                <w:lang w:eastAsia="en-IN"/>
                <w14:ligatures w14:val="none"/>
              </w:rPr>
              <w:t>F</w:t>
            </w:r>
            <w:r w:rsidRPr="00F415BB">
              <w:rPr>
                <w:rFonts w:eastAsia="Times New Roman"/>
                <w:color w:val="000000"/>
                <w:kern w:val="0"/>
                <w:sz w:val="20"/>
                <w:szCs w:val="20"/>
                <w:lang w:eastAsia="en-IN"/>
                <w14:ligatures w14:val="none"/>
              </w:rPr>
              <w:t>athers</w:t>
            </w:r>
            <w:r w:rsidRPr="00933290">
              <w:rPr>
                <w:rFonts w:eastAsia="Times New Roman"/>
                <w:color w:val="000000"/>
                <w:kern w:val="0"/>
                <w:sz w:val="20"/>
                <w:szCs w:val="20"/>
                <w:lang w:eastAsia="en-IN"/>
                <w14:ligatures w14:val="none"/>
              </w:rPr>
              <w:t xml:space="preserve"> E</w:t>
            </w:r>
            <w:r w:rsidRPr="00F415BB">
              <w:rPr>
                <w:rFonts w:eastAsia="Times New Roman"/>
                <w:color w:val="000000"/>
                <w:kern w:val="0"/>
                <w:sz w:val="20"/>
                <w:szCs w:val="20"/>
                <w:lang w:eastAsia="en-IN"/>
                <w14:ligatures w14:val="none"/>
              </w:rPr>
              <w:t>ducation</w:t>
            </w:r>
            <w:r w:rsidRPr="00933290">
              <w:rPr>
                <w:rFonts w:eastAsia="Times New Roman"/>
                <w:color w:val="000000"/>
                <w:kern w:val="0"/>
                <w:sz w:val="20"/>
                <w:szCs w:val="20"/>
                <w:lang w:eastAsia="en-IN"/>
                <w14:ligatures w14:val="none"/>
              </w:rPr>
              <w:t xml:space="preserve"> (</w:t>
            </w:r>
            <w:r w:rsidRPr="00F415BB">
              <w:rPr>
                <w:rFonts w:eastAsia="Times New Roman"/>
                <w:color w:val="000000"/>
                <w:kern w:val="0"/>
                <w:sz w:val="20"/>
                <w:szCs w:val="20"/>
                <w:lang w:eastAsia="en-IN"/>
                <w14:ligatures w14:val="none"/>
              </w:rPr>
              <w:t>years</w:t>
            </w:r>
            <w:r w:rsidRPr="00933290">
              <w:rPr>
                <w:rFonts w:eastAsia="Times New Roman"/>
                <w:color w:val="000000"/>
                <w:kern w:val="0"/>
                <w:sz w:val="20"/>
                <w:szCs w:val="20"/>
                <w:lang w:eastAsia="en-IN"/>
                <w14:ligatures w14:val="none"/>
              </w:rPr>
              <w:t>)</w:t>
            </w:r>
          </w:p>
        </w:tc>
        <w:tc>
          <w:tcPr>
            <w:tcW w:w="666" w:type="pct"/>
            <w:tcBorders>
              <w:top w:val="single" w:sz="4" w:space="0" w:color="9BC2E6"/>
              <w:left w:val="nil"/>
              <w:bottom w:val="single" w:sz="4" w:space="0" w:color="9BC2E6"/>
              <w:right w:val="nil"/>
            </w:tcBorders>
            <w:shd w:val="clear" w:color="DDEBF7" w:fill="DDEBF7"/>
            <w:noWrap/>
            <w:vAlign w:val="bottom"/>
            <w:hideMark/>
          </w:tcPr>
          <w:p w14:paraId="4495CE6C"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-469.95</w:t>
            </w:r>
          </w:p>
        </w:tc>
        <w:tc>
          <w:tcPr>
            <w:tcW w:w="670" w:type="pct"/>
            <w:tcBorders>
              <w:top w:val="single" w:sz="4" w:space="0" w:color="9BC2E6"/>
              <w:left w:val="nil"/>
              <w:bottom w:val="single" w:sz="4" w:space="0" w:color="9BC2E6"/>
              <w:right w:val="nil"/>
            </w:tcBorders>
            <w:shd w:val="clear" w:color="DDEBF7" w:fill="DDEBF7"/>
            <w:noWrap/>
            <w:vAlign w:val="bottom"/>
            <w:hideMark/>
          </w:tcPr>
          <w:p w14:paraId="421CD1D0"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531.69</w:t>
            </w:r>
          </w:p>
        </w:tc>
        <w:tc>
          <w:tcPr>
            <w:tcW w:w="504" w:type="pct"/>
            <w:tcBorders>
              <w:top w:val="single" w:sz="4" w:space="0" w:color="9BC2E6"/>
              <w:left w:val="nil"/>
              <w:bottom w:val="single" w:sz="4" w:space="0" w:color="9BC2E6"/>
              <w:right w:val="nil"/>
            </w:tcBorders>
            <w:shd w:val="clear" w:color="DDEBF7" w:fill="DDEBF7"/>
            <w:noWrap/>
            <w:vAlign w:val="bottom"/>
            <w:hideMark/>
          </w:tcPr>
          <w:p w14:paraId="66A9E476"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-0.880</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1EAE8326"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0.380</w:t>
            </w:r>
          </w:p>
        </w:tc>
      </w:tr>
      <w:tr w:rsidR="00FC1CD8" w:rsidRPr="00933290" w14:paraId="6EC328CE"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565229E5"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Mother’s Education (years)</w:t>
            </w:r>
          </w:p>
        </w:tc>
        <w:tc>
          <w:tcPr>
            <w:tcW w:w="666" w:type="pct"/>
            <w:tcBorders>
              <w:top w:val="single" w:sz="4" w:space="0" w:color="9BC2E6"/>
              <w:left w:val="nil"/>
              <w:bottom w:val="single" w:sz="4" w:space="0" w:color="9BC2E6"/>
              <w:right w:val="nil"/>
            </w:tcBorders>
            <w:noWrap/>
            <w:vAlign w:val="bottom"/>
            <w:hideMark/>
          </w:tcPr>
          <w:p w14:paraId="291E2B28"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1105.17</w:t>
            </w:r>
          </w:p>
        </w:tc>
        <w:tc>
          <w:tcPr>
            <w:tcW w:w="670" w:type="pct"/>
            <w:tcBorders>
              <w:top w:val="single" w:sz="4" w:space="0" w:color="9BC2E6"/>
              <w:left w:val="nil"/>
              <w:bottom w:val="single" w:sz="4" w:space="0" w:color="9BC2E6"/>
              <w:right w:val="nil"/>
            </w:tcBorders>
            <w:noWrap/>
            <w:vAlign w:val="bottom"/>
            <w:hideMark/>
          </w:tcPr>
          <w:p w14:paraId="056A65C4"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615.91</w:t>
            </w:r>
          </w:p>
        </w:tc>
        <w:tc>
          <w:tcPr>
            <w:tcW w:w="504" w:type="pct"/>
            <w:tcBorders>
              <w:top w:val="single" w:sz="4" w:space="0" w:color="9BC2E6"/>
              <w:left w:val="nil"/>
              <w:bottom w:val="single" w:sz="4" w:space="0" w:color="9BC2E6"/>
              <w:right w:val="nil"/>
            </w:tcBorders>
            <w:noWrap/>
            <w:vAlign w:val="bottom"/>
            <w:hideMark/>
          </w:tcPr>
          <w:p w14:paraId="5DCEC793"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1.790</w:t>
            </w:r>
          </w:p>
        </w:tc>
        <w:tc>
          <w:tcPr>
            <w:tcW w:w="411" w:type="pct"/>
            <w:tcBorders>
              <w:top w:val="single" w:sz="4" w:space="0" w:color="9BC2E6"/>
              <w:left w:val="nil"/>
              <w:bottom w:val="single" w:sz="4" w:space="0" w:color="9BC2E6"/>
              <w:right w:val="single" w:sz="4" w:space="0" w:color="9BC2E6"/>
            </w:tcBorders>
            <w:noWrap/>
            <w:vAlign w:val="bottom"/>
            <w:hideMark/>
          </w:tcPr>
          <w:p w14:paraId="60CB3528" w14:textId="77777777" w:rsidR="00FC1CD8" w:rsidRPr="00E67025" w:rsidRDefault="00FC1CD8" w:rsidP="00832706">
            <w:pPr>
              <w:spacing w:after="0" w:line="240" w:lineRule="auto"/>
              <w:jc w:val="right"/>
              <w:rPr>
                <w:rFonts w:eastAsia="Times New Roman"/>
                <w:b/>
                <w:bCs/>
                <w:color w:val="000000"/>
                <w:kern w:val="0"/>
                <w:sz w:val="20"/>
                <w:szCs w:val="20"/>
                <w:lang w:eastAsia="en-IN"/>
                <w14:ligatures w14:val="none"/>
              </w:rPr>
            </w:pPr>
            <w:r w:rsidRPr="00E67025">
              <w:rPr>
                <w:rFonts w:eastAsia="Times New Roman"/>
                <w:b/>
                <w:bCs/>
                <w:color w:val="000000"/>
                <w:kern w:val="0"/>
                <w:sz w:val="20"/>
                <w:szCs w:val="20"/>
                <w:lang w:eastAsia="en-IN"/>
                <w14:ligatures w14:val="none"/>
              </w:rPr>
              <w:t>0.077</w:t>
            </w:r>
          </w:p>
        </w:tc>
      </w:tr>
      <w:tr w:rsidR="00FC1CD8" w:rsidRPr="00933290" w14:paraId="6E8E3236" w14:textId="77777777" w:rsidTr="00832706">
        <w:trPr>
          <w:trHeight w:val="288"/>
        </w:trPr>
        <w:tc>
          <w:tcPr>
            <w:tcW w:w="2749" w:type="pct"/>
            <w:tcBorders>
              <w:top w:val="single" w:sz="4" w:space="0" w:color="9BC2E6"/>
              <w:left w:val="single" w:sz="4" w:space="0" w:color="9BC2E6"/>
              <w:bottom w:val="single" w:sz="4" w:space="0" w:color="9BC2E6"/>
              <w:right w:val="nil"/>
            </w:tcBorders>
            <w:shd w:val="clear" w:color="DDEBF7" w:fill="DDEBF7"/>
            <w:noWrap/>
            <w:vAlign w:val="bottom"/>
            <w:hideMark/>
          </w:tcPr>
          <w:p w14:paraId="5001488B"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Mother’s Occupation (Govt.=1, Others=0)</w:t>
            </w:r>
          </w:p>
        </w:tc>
        <w:tc>
          <w:tcPr>
            <w:tcW w:w="666" w:type="pct"/>
            <w:tcBorders>
              <w:top w:val="single" w:sz="4" w:space="0" w:color="9BC2E6"/>
              <w:left w:val="nil"/>
              <w:bottom w:val="single" w:sz="4" w:space="0" w:color="9BC2E6"/>
              <w:right w:val="nil"/>
            </w:tcBorders>
            <w:shd w:val="clear" w:color="DDEBF7" w:fill="DDEBF7"/>
            <w:noWrap/>
            <w:vAlign w:val="bottom"/>
            <w:hideMark/>
          </w:tcPr>
          <w:p w14:paraId="5C48D0F0"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18582.31</w:t>
            </w:r>
          </w:p>
        </w:tc>
        <w:tc>
          <w:tcPr>
            <w:tcW w:w="670" w:type="pct"/>
            <w:tcBorders>
              <w:top w:val="single" w:sz="4" w:space="0" w:color="9BC2E6"/>
              <w:left w:val="nil"/>
              <w:bottom w:val="single" w:sz="4" w:space="0" w:color="9BC2E6"/>
              <w:right w:val="nil"/>
            </w:tcBorders>
            <w:shd w:val="clear" w:color="DDEBF7" w:fill="DDEBF7"/>
            <w:noWrap/>
            <w:vAlign w:val="bottom"/>
            <w:hideMark/>
          </w:tcPr>
          <w:p w14:paraId="70847C39"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9899.70</w:t>
            </w:r>
          </w:p>
        </w:tc>
        <w:tc>
          <w:tcPr>
            <w:tcW w:w="504" w:type="pct"/>
            <w:tcBorders>
              <w:top w:val="single" w:sz="4" w:space="0" w:color="9BC2E6"/>
              <w:left w:val="nil"/>
              <w:bottom w:val="single" w:sz="4" w:space="0" w:color="9BC2E6"/>
              <w:right w:val="nil"/>
            </w:tcBorders>
            <w:shd w:val="clear" w:color="DDEBF7" w:fill="DDEBF7"/>
            <w:noWrap/>
            <w:vAlign w:val="bottom"/>
            <w:hideMark/>
          </w:tcPr>
          <w:p w14:paraId="259E8C45"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1.880</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4E780CC1" w14:textId="77777777" w:rsidR="00FC1CD8" w:rsidRPr="00E67025" w:rsidRDefault="00FC1CD8" w:rsidP="00832706">
            <w:pPr>
              <w:spacing w:after="0" w:line="240" w:lineRule="auto"/>
              <w:jc w:val="right"/>
              <w:rPr>
                <w:rFonts w:eastAsia="Times New Roman"/>
                <w:b/>
                <w:bCs/>
                <w:color w:val="000000"/>
                <w:kern w:val="0"/>
                <w:sz w:val="20"/>
                <w:szCs w:val="20"/>
                <w:lang w:eastAsia="en-IN"/>
                <w14:ligatures w14:val="none"/>
              </w:rPr>
            </w:pPr>
            <w:r w:rsidRPr="00E67025">
              <w:rPr>
                <w:rFonts w:eastAsia="Times New Roman"/>
                <w:b/>
                <w:bCs/>
                <w:color w:val="000000"/>
                <w:kern w:val="0"/>
                <w:sz w:val="20"/>
                <w:szCs w:val="20"/>
                <w:lang w:eastAsia="en-IN"/>
                <w14:ligatures w14:val="none"/>
              </w:rPr>
              <w:t>0.065</w:t>
            </w:r>
          </w:p>
        </w:tc>
      </w:tr>
      <w:tr w:rsidR="00FC1CD8" w:rsidRPr="00933290" w14:paraId="624651F5"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6029233F"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Mother’s Occupation (Housewife=1, Others=0)</w:t>
            </w:r>
          </w:p>
        </w:tc>
        <w:tc>
          <w:tcPr>
            <w:tcW w:w="666" w:type="pct"/>
            <w:tcBorders>
              <w:top w:val="single" w:sz="4" w:space="0" w:color="9BC2E6"/>
              <w:left w:val="nil"/>
              <w:bottom w:val="single" w:sz="4" w:space="0" w:color="9BC2E6"/>
              <w:right w:val="nil"/>
            </w:tcBorders>
            <w:noWrap/>
            <w:vAlign w:val="bottom"/>
            <w:hideMark/>
          </w:tcPr>
          <w:p w14:paraId="253A1BCE"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111.37</w:t>
            </w:r>
          </w:p>
        </w:tc>
        <w:tc>
          <w:tcPr>
            <w:tcW w:w="670" w:type="pct"/>
            <w:tcBorders>
              <w:top w:val="single" w:sz="4" w:space="0" w:color="9BC2E6"/>
              <w:left w:val="nil"/>
              <w:bottom w:val="single" w:sz="4" w:space="0" w:color="9BC2E6"/>
              <w:right w:val="nil"/>
            </w:tcBorders>
            <w:noWrap/>
            <w:vAlign w:val="bottom"/>
            <w:hideMark/>
          </w:tcPr>
          <w:p w14:paraId="4149613D"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5387.52</w:t>
            </w:r>
          </w:p>
        </w:tc>
        <w:tc>
          <w:tcPr>
            <w:tcW w:w="504" w:type="pct"/>
            <w:tcBorders>
              <w:top w:val="single" w:sz="4" w:space="0" w:color="9BC2E6"/>
              <w:left w:val="nil"/>
              <w:bottom w:val="single" w:sz="4" w:space="0" w:color="9BC2E6"/>
              <w:right w:val="nil"/>
            </w:tcBorders>
            <w:noWrap/>
            <w:vAlign w:val="bottom"/>
            <w:hideMark/>
          </w:tcPr>
          <w:p w14:paraId="37242BDD"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0.020</w:t>
            </w:r>
          </w:p>
        </w:tc>
        <w:tc>
          <w:tcPr>
            <w:tcW w:w="411" w:type="pct"/>
            <w:tcBorders>
              <w:top w:val="single" w:sz="4" w:space="0" w:color="9BC2E6"/>
              <w:left w:val="nil"/>
              <w:bottom w:val="single" w:sz="4" w:space="0" w:color="9BC2E6"/>
              <w:right w:val="single" w:sz="4" w:space="0" w:color="9BC2E6"/>
            </w:tcBorders>
            <w:noWrap/>
            <w:vAlign w:val="bottom"/>
            <w:hideMark/>
          </w:tcPr>
          <w:p w14:paraId="01B39ACD"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0.984</w:t>
            </w:r>
          </w:p>
        </w:tc>
      </w:tr>
      <w:tr w:rsidR="00FC1CD8" w:rsidRPr="00933290" w14:paraId="6A30E98C" w14:textId="77777777" w:rsidTr="00832706">
        <w:trPr>
          <w:trHeight w:val="288"/>
        </w:trPr>
        <w:tc>
          <w:tcPr>
            <w:tcW w:w="2749" w:type="pct"/>
            <w:tcBorders>
              <w:top w:val="single" w:sz="4" w:space="0" w:color="9BC2E6"/>
              <w:left w:val="single" w:sz="4" w:space="0" w:color="9BC2E6"/>
              <w:bottom w:val="single" w:sz="4" w:space="0" w:color="9BC2E6"/>
              <w:right w:val="nil"/>
            </w:tcBorders>
            <w:shd w:val="clear" w:color="DDEBF7" w:fill="DDEBF7"/>
            <w:noWrap/>
            <w:vAlign w:val="bottom"/>
            <w:hideMark/>
          </w:tcPr>
          <w:p w14:paraId="3EC319A5"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Family Size</w:t>
            </w:r>
          </w:p>
        </w:tc>
        <w:tc>
          <w:tcPr>
            <w:tcW w:w="666" w:type="pct"/>
            <w:tcBorders>
              <w:top w:val="single" w:sz="4" w:space="0" w:color="9BC2E6"/>
              <w:left w:val="nil"/>
              <w:bottom w:val="single" w:sz="4" w:space="0" w:color="9BC2E6"/>
              <w:right w:val="nil"/>
            </w:tcBorders>
            <w:shd w:val="clear" w:color="DDEBF7" w:fill="DDEBF7"/>
            <w:noWrap/>
            <w:vAlign w:val="bottom"/>
            <w:hideMark/>
          </w:tcPr>
          <w:p w14:paraId="5DBBA02A"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-1681.06</w:t>
            </w:r>
          </w:p>
        </w:tc>
        <w:tc>
          <w:tcPr>
            <w:tcW w:w="670" w:type="pct"/>
            <w:tcBorders>
              <w:top w:val="single" w:sz="4" w:space="0" w:color="9BC2E6"/>
              <w:left w:val="nil"/>
              <w:bottom w:val="single" w:sz="4" w:space="0" w:color="9BC2E6"/>
              <w:right w:val="nil"/>
            </w:tcBorders>
            <w:shd w:val="clear" w:color="DDEBF7" w:fill="DDEBF7"/>
            <w:noWrap/>
            <w:vAlign w:val="bottom"/>
            <w:hideMark/>
          </w:tcPr>
          <w:p w14:paraId="01FC4134"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1233.86</w:t>
            </w:r>
          </w:p>
        </w:tc>
        <w:tc>
          <w:tcPr>
            <w:tcW w:w="504" w:type="pct"/>
            <w:tcBorders>
              <w:top w:val="single" w:sz="4" w:space="0" w:color="9BC2E6"/>
              <w:left w:val="nil"/>
              <w:bottom w:val="single" w:sz="4" w:space="0" w:color="9BC2E6"/>
              <w:right w:val="nil"/>
            </w:tcBorders>
            <w:shd w:val="clear" w:color="DDEBF7" w:fill="DDEBF7"/>
            <w:noWrap/>
            <w:vAlign w:val="bottom"/>
            <w:hideMark/>
          </w:tcPr>
          <w:p w14:paraId="455E287B"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-1.360</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4843C031"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0.178</w:t>
            </w:r>
          </w:p>
        </w:tc>
      </w:tr>
      <w:tr w:rsidR="00FC1CD8" w:rsidRPr="00933290" w14:paraId="1FAF20C9"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717C8037"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Average Academic Score Percentage (%)</w:t>
            </w:r>
          </w:p>
        </w:tc>
        <w:tc>
          <w:tcPr>
            <w:tcW w:w="666" w:type="pct"/>
            <w:tcBorders>
              <w:top w:val="single" w:sz="4" w:space="0" w:color="9BC2E6"/>
              <w:left w:val="nil"/>
              <w:bottom w:val="single" w:sz="4" w:space="0" w:color="9BC2E6"/>
              <w:right w:val="nil"/>
            </w:tcBorders>
            <w:noWrap/>
            <w:vAlign w:val="bottom"/>
            <w:hideMark/>
          </w:tcPr>
          <w:p w14:paraId="504FAE72"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202.84</w:t>
            </w:r>
          </w:p>
        </w:tc>
        <w:tc>
          <w:tcPr>
            <w:tcW w:w="670" w:type="pct"/>
            <w:tcBorders>
              <w:top w:val="single" w:sz="4" w:space="0" w:color="9BC2E6"/>
              <w:left w:val="nil"/>
              <w:bottom w:val="single" w:sz="4" w:space="0" w:color="9BC2E6"/>
              <w:right w:val="nil"/>
            </w:tcBorders>
            <w:noWrap/>
            <w:vAlign w:val="bottom"/>
            <w:hideMark/>
          </w:tcPr>
          <w:p w14:paraId="1BE43DFB"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108.61</w:t>
            </w:r>
          </w:p>
        </w:tc>
        <w:tc>
          <w:tcPr>
            <w:tcW w:w="504" w:type="pct"/>
            <w:tcBorders>
              <w:top w:val="single" w:sz="4" w:space="0" w:color="9BC2E6"/>
              <w:left w:val="nil"/>
              <w:bottom w:val="single" w:sz="4" w:space="0" w:color="9BC2E6"/>
              <w:right w:val="nil"/>
            </w:tcBorders>
            <w:noWrap/>
            <w:vAlign w:val="bottom"/>
            <w:hideMark/>
          </w:tcPr>
          <w:p w14:paraId="1E2A959C"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1.870</w:t>
            </w:r>
          </w:p>
        </w:tc>
        <w:tc>
          <w:tcPr>
            <w:tcW w:w="411" w:type="pct"/>
            <w:tcBorders>
              <w:top w:val="single" w:sz="4" w:space="0" w:color="9BC2E6"/>
              <w:left w:val="nil"/>
              <w:bottom w:val="single" w:sz="4" w:space="0" w:color="9BC2E6"/>
              <w:right w:val="single" w:sz="4" w:space="0" w:color="9BC2E6"/>
            </w:tcBorders>
            <w:noWrap/>
            <w:vAlign w:val="bottom"/>
            <w:hideMark/>
          </w:tcPr>
          <w:p w14:paraId="62BA49D3" w14:textId="77777777" w:rsidR="00FC1CD8" w:rsidRPr="00E67025" w:rsidRDefault="00FC1CD8" w:rsidP="00832706">
            <w:pPr>
              <w:spacing w:after="0" w:line="240" w:lineRule="auto"/>
              <w:jc w:val="right"/>
              <w:rPr>
                <w:rFonts w:eastAsia="Times New Roman"/>
                <w:b/>
                <w:bCs/>
                <w:color w:val="000000"/>
                <w:kern w:val="0"/>
                <w:sz w:val="20"/>
                <w:szCs w:val="20"/>
                <w:lang w:eastAsia="en-IN"/>
                <w14:ligatures w14:val="none"/>
              </w:rPr>
            </w:pPr>
            <w:r w:rsidRPr="00E67025">
              <w:rPr>
                <w:rFonts w:eastAsia="Times New Roman"/>
                <w:b/>
                <w:bCs/>
                <w:color w:val="000000"/>
                <w:kern w:val="0"/>
                <w:sz w:val="20"/>
                <w:szCs w:val="20"/>
                <w:lang w:eastAsia="en-IN"/>
                <w14:ligatures w14:val="none"/>
              </w:rPr>
              <w:t>0.066</w:t>
            </w:r>
          </w:p>
        </w:tc>
      </w:tr>
      <w:tr w:rsidR="00FC1CD8" w:rsidRPr="00933290" w14:paraId="7F83B24C" w14:textId="77777777" w:rsidTr="00832706">
        <w:trPr>
          <w:trHeight w:val="288"/>
        </w:trPr>
        <w:tc>
          <w:tcPr>
            <w:tcW w:w="2749" w:type="pct"/>
            <w:tcBorders>
              <w:top w:val="single" w:sz="4" w:space="0" w:color="9BC2E6"/>
              <w:left w:val="single" w:sz="4" w:space="0" w:color="9BC2E6"/>
              <w:bottom w:val="single" w:sz="4" w:space="0" w:color="9BC2E6"/>
              <w:right w:val="nil"/>
            </w:tcBorders>
            <w:shd w:val="clear" w:color="DDEBF7" w:fill="DDEBF7"/>
            <w:noWrap/>
            <w:vAlign w:val="bottom"/>
            <w:hideMark/>
          </w:tcPr>
          <w:p w14:paraId="1C897F89"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lastRenderedPageBreak/>
              <w:t>Private Tuition (Yes=1, No=0)</w:t>
            </w:r>
          </w:p>
        </w:tc>
        <w:tc>
          <w:tcPr>
            <w:tcW w:w="666" w:type="pct"/>
            <w:tcBorders>
              <w:top w:val="single" w:sz="4" w:space="0" w:color="9BC2E6"/>
              <w:left w:val="nil"/>
              <w:bottom w:val="single" w:sz="4" w:space="0" w:color="9BC2E6"/>
              <w:right w:val="nil"/>
            </w:tcBorders>
            <w:shd w:val="clear" w:color="DDEBF7" w:fill="DDEBF7"/>
            <w:noWrap/>
            <w:vAlign w:val="bottom"/>
            <w:hideMark/>
          </w:tcPr>
          <w:p w14:paraId="61EE6D4E"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3319.51</w:t>
            </w:r>
          </w:p>
        </w:tc>
        <w:tc>
          <w:tcPr>
            <w:tcW w:w="670" w:type="pct"/>
            <w:tcBorders>
              <w:top w:val="single" w:sz="4" w:space="0" w:color="9BC2E6"/>
              <w:left w:val="nil"/>
              <w:bottom w:val="single" w:sz="4" w:space="0" w:color="9BC2E6"/>
              <w:right w:val="nil"/>
            </w:tcBorders>
            <w:shd w:val="clear" w:color="DDEBF7" w:fill="DDEBF7"/>
            <w:noWrap/>
            <w:vAlign w:val="bottom"/>
            <w:hideMark/>
          </w:tcPr>
          <w:p w14:paraId="12E42E91"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6020.37</w:t>
            </w:r>
          </w:p>
        </w:tc>
        <w:tc>
          <w:tcPr>
            <w:tcW w:w="504" w:type="pct"/>
            <w:tcBorders>
              <w:top w:val="single" w:sz="4" w:space="0" w:color="9BC2E6"/>
              <w:left w:val="nil"/>
              <w:bottom w:val="single" w:sz="4" w:space="0" w:color="9BC2E6"/>
              <w:right w:val="nil"/>
            </w:tcBorders>
            <w:shd w:val="clear" w:color="DDEBF7" w:fill="DDEBF7"/>
            <w:noWrap/>
            <w:vAlign w:val="bottom"/>
            <w:hideMark/>
          </w:tcPr>
          <w:p w14:paraId="56DB335C"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0.550</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324E4396"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0.583</w:t>
            </w:r>
          </w:p>
        </w:tc>
      </w:tr>
      <w:tr w:rsidR="00FC1CD8" w:rsidRPr="00933290" w14:paraId="1A83C97C"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7A5C0185"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_cons</w:t>
            </w:r>
          </w:p>
        </w:tc>
        <w:tc>
          <w:tcPr>
            <w:tcW w:w="666" w:type="pct"/>
            <w:tcBorders>
              <w:top w:val="single" w:sz="4" w:space="0" w:color="9BC2E6"/>
              <w:left w:val="nil"/>
              <w:bottom w:val="single" w:sz="4" w:space="0" w:color="9BC2E6"/>
              <w:right w:val="nil"/>
            </w:tcBorders>
            <w:noWrap/>
            <w:vAlign w:val="bottom"/>
            <w:hideMark/>
          </w:tcPr>
          <w:p w14:paraId="36B34B85"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-27720.89</w:t>
            </w:r>
          </w:p>
        </w:tc>
        <w:tc>
          <w:tcPr>
            <w:tcW w:w="670" w:type="pct"/>
            <w:tcBorders>
              <w:top w:val="single" w:sz="4" w:space="0" w:color="9BC2E6"/>
              <w:left w:val="nil"/>
              <w:bottom w:val="single" w:sz="4" w:space="0" w:color="9BC2E6"/>
              <w:right w:val="nil"/>
            </w:tcBorders>
            <w:noWrap/>
            <w:vAlign w:val="bottom"/>
            <w:hideMark/>
          </w:tcPr>
          <w:p w14:paraId="1764FF11"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15245.73</w:t>
            </w:r>
          </w:p>
        </w:tc>
        <w:tc>
          <w:tcPr>
            <w:tcW w:w="504" w:type="pct"/>
            <w:tcBorders>
              <w:top w:val="single" w:sz="4" w:space="0" w:color="9BC2E6"/>
              <w:left w:val="nil"/>
              <w:bottom w:val="single" w:sz="4" w:space="0" w:color="9BC2E6"/>
              <w:right w:val="nil"/>
            </w:tcBorders>
            <w:noWrap/>
            <w:vAlign w:val="bottom"/>
            <w:hideMark/>
          </w:tcPr>
          <w:p w14:paraId="1899E92C"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-1.820</w:t>
            </w:r>
          </w:p>
        </w:tc>
        <w:tc>
          <w:tcPr>
            <w:tcW w:w="411" w:type="pct"/>
            <w:tcBorders>
              <w:top w:val="single" w:sz="4" w:space="0" w:color="9BC2E6"/>
              <w:left w:val="nil"/>
              <w:bottom w:val="single" w:sz="4" w:space="0" w:color="9BC2E6"/>
              <w:right w:val="single" w:sz="4" w:space="0" w:color="9BC2E6"/>
            </w:tcBorders>
            <w:noWrap/>
            <w:vAlign w:val="bottom"/>
            <w:hideMark/>
          </w:tcPr>
          <w:p w14:paraId="63930716"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0.074</w:t>
            </w:r>
          </w:p>
        </w:tc>
      </w:tr>
      <w:tr w:rsidR="00FC1CD8" w:rsidRPr="00933290" w14:paraId="43D227FE" w14:textId="77777777" w:rsidTr="00832706">
        <w:trPr>
          <w:trHeight w:val="288"/>
        </w:trPr>
        <w:tc>
          <w:tcPr>
            <w:tcW w:w="4085" w:type="pct"/>
            <w:gridSpan w:val="3"/>
            <w:tcBorders>
              <w:top w:val="single" w:sz="4" w:space="0" w:color="9BC2E6"/>
              <w:left w:val="single" w:sz="4" w:space="0" w:color="9BC2E6"/>
              <w:bottom w:val="single" w:sz="4" w:space="0" w:color="9BC2E6"/>
              <w:right w:val="nil"/>
            </w:tcBorders>
            <w:shd w:val="clear" w:color="DDEBF7" w:fill="DDEBF7"/>
            <w:noWrap/>
            <w:vAlign w:val="center"/>
            <w:hideMark/>
          </w:tcPr>
          <w:p w14:paraId="4CD56281" w14:textId="20C501DB"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Number of obs</w:t>
            </w:r>
            <w:r w:rsidRPr="00933290">
              <w:rPr>
                <w:rFonts w:eastAsia="Times New Roman"/>
                <w:color w:val="000000"/>
                <w:kern w:val="0"/>
                <w:sz w:val="20"/>
                <w:szCs w:val="20"/>
                <w:lang w:eastAsia="en-IN"/>
                <w14:ligatures w14:val="none"/>
              </w:rPr>
              <w:t>.</w:t>
            </w:r>
            <w:r w:rsidR="00BC5420">
              <w:rPr>
                <w:rFonts w:eastAsia="Times New Roman"/>
                <w:color w:val="000000"/>
                <w:kern w:val="0"/>
                <w:sz w:val="20"/>
                <w:szCs w:val="20"/>
                <w:lang w:eastAsia="en-IN"/>
                <w14:ligatures w14:val="none"/>
              </w:rPr>
              <w:t xml:space="preserve"> (N)</w:t>
            </w:r>
          </w:p>
        </w:tc>
        <w:tc>
          <w:tcPr>
            <w:tcW w:w="504" w:type="pct"/>
            <w:tcBorders>
              <w:top w:val="single" w:sz="4" w:space="0" w:color="9BC2E6"/>
              <w:left w:val="nil"/>
              <w:bottom w:val="single" w:sz="4" w:space="0" w:color="9BC2E6"/>
              <w:right w:val="nil"/>
            </w:tcBorders>
            <w:shd w:val="clear" w:color="DDEBF7" w:fill="DDEBF7"/>
            <w:noWrap/>
            <w:vAlign w:val="bottom"/>
            <w:hideMark/>
          </w:tcPr>
          <w:p w14:paraId="3130BB24" w14:textId="77777777" w:rsidR="00FC1CD8" w:rsidRPr="00F415BB" w:rsidRDefault="00FC1CD8" w:rsidP="00832706">
            <w:pPr>
              <w:spacing w:after="0" w:line="240" w:lineRule="auto"/>
              <w:jc w:val="center"/>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35882A79"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80</w:t>
            </w:r>
          </w:p>
        </w:tc>
      </w:tr>
      <w:tr w:rsidR="00FC1CD8" w:rsidRPr="00933290" w14:paraId="4C86C59C" w14:textId="77777777" w:rsidTr="00832706">
        <w:trPr>
          <w:trHeight w:val="288"/>
        </w:trPr>
        <w:tc>
          <w:tcPr>
            <w:tcW w:w="4085" w:type="pct"/>
            <w:gridSpan w:val="3"/>
            <w:tcBorders>
              <w:top w:val="single" w:sz="4" w:space="0" w:color="9BC2E6"/>
              <w:left w:val="single" w:sz="4" w:space="0" w:color="9BC2E6"/>
              <w:bottom w:val="single" w:sz="4" w:space="0" w:color="9BC2E6"/>
              <w:right w:val="nil"/>
            </w:tcBorders>
            <w:noWrap/>
            <w:vAlign w:val="center"/>
            <w:hideMark/>
          </w:tcPr>
          <w:p w14:paraId="7055126A" w14:textId="636B3248" w:rsidR="00FC1CD8" w:rsidRPr="00F415BB" w:rsidRDefault="00FC1CD8" w:rsidP="00832706">
            <w:pPr>
              <w:spacing w:after="0" w:line="240" w:lineRule="auto"/>
              <w:jc w:val="right"/>
              <w:rPr>
                <w:rFonts w:eastAsia="Times New Roman"/>
                <w:color w:val="000000"/>
                <w:kern w:val="0"/>
                <w:sz w:val="20"/>
                <w:szCs w:val="20"/>
                <w:lang w:eastAsia="en-IN"/>
                <w14:ligatures w14:val="none"/>
              </w:rPr>
            </w:pPr>
            <w:proofErr w:type="gramStart"/>
            <w:r w:rsidRPr="00F415BB">
              <w:rPr>
                <w:rFonts w:eastAsia="Times New Roman"/>
                <w:color w:val="000000"/>
                <w:kern w:val="0"/>
                <w:sz w:val="20"/>
                <w:szCs w:val="20"/>
                <w:lang w:eastAsia="en-IN"/>
                <w14:ligatures w14:val="none"/>
              </w:rPr>
              <w:t>F(</w:t>
            </w:r>
            <w:proofErr w:type="gramEnd"/>
            <w:r w:rsidRPr="00F415BB">
              <w:rPr>
                <w:rFonts w:eastAsia="Times New Roman"/>
                <w:color w:val="000000"/>
                <w:kern w:val="0"/>
                <w:sz w:val="20"/>
                <w:szCs w:val="20"/>
                <w:lang w:eastAsia="en-IN"/>
                <w14:ligatures w14:val="none"/>
              </w:rPr>
              <w:t>13, 66)</w:t>
            </w:r>
          </w:p>
        </w:tc>
        <w:tc>
          <w:tcPr>
            <w:tcW w:w="504" w:type="pct"/>
            <w:tcBorders>
              <w:top w:val="single" w:sz="4" w:space="0" w:color="9BC2E6"/>
              <w:left w:val="nil"/>
              <w:bottom w:val="single" w:sz="4" w:space="0" w:color="9BC2E6"/>
              <w:right w:val="nil"/>
            </w:tcBorders>
            <w:noWrap/>
            <w:vAlign w:val="bottom"/>
            <w:hideMark/>
          </w:tcPr>
          <w:p w14:paraId="0AB04FDE" w14:textId="77777777" w:rsidR="00FC1CD8" w:rsidRPr="00F415BB" w:rsidRDefault="00FC1CD8" w:rsidP="00832706">
            <w:pPr>
              <w:spacing w:after="0" w:line="240" w:lineRule="auto"/>
              <w:jc w:val="center"/>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w:t>
            </w:r>
          </w:p>
        </w:tc>
        <w:tc>
          <w:tcPr>
            <w:tcW w:w="411" w:type="pct"/>
            <w:tcBorders>
              <w:top w:val="single" w:sz="4" w:space="0" w:color="9BC2E6"/>
              <w:left w:val="nil"/>
              <w:bottom w:val="single" w:sz="4" w:space="0" w:color="9BC2E6"/>
              <w:right w:val="single" w:sz="4" w:space="0" w:color="9BC2E6"/>
            </w:tcBorders>
            <w:noWrap/>
            <w:vAlign w:val="bottom"/>
            <w:hideMark/>
          </w:tcPr>
          <w:p w14:paraId="28F4A5BB"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3.62</w:t>
            </w:r>
          </w:p>
        </w:tc>
      </w:tr>
      <w:tr w:rsidR="00FC1CD8" w:rsidRPr="00933290" w14:paraId="0887105F" w14:textId="77777777" w:rsidTr="00832706">
        <w:trPr>
          <w:trHeight w:val="288"/>
        </w:trPr>
        <w:tc>
          <w:tcPr>
            <w:tcW w:w="4085" w:type="pct"/>
            <w:gridSpan w:val="3"/>
            <w:tcBorders>
              <w:top w:val="single" w:sz="4" w:space="0" w:color="9BC2E6"/>
              <w:left w:val="single" w:sz="4" w:space="0" w:color="9BC2E6"/>
              <w:bottom w:val="single" w:sz="4" w:space="0" w:color="9BC2E6"/>
              <w:right w:val="nil"/>
            </w:tcBorders>
            <w:shd w:val="clear" w:color="DDEBF7" w:fill="DDEBF7"/>
            <w:noWrap/>
            <w:vAlign w:val="center"/>
            <w:hideMark/>
          </w:tcPr>
          <w:p w14:paraId="6957C0DE"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Prob &gt; F</w:t>
            </w:r>
          </w:p>
        </w:tc>
        <w:tc>
          <w:tcPr>
            <w:tcW w:w="504" w:type="pct"/>
            <w:tcBorders>
              <w:top w:val="single" w:sz="4" w:space="0" w:color="9BC2E6"/>
              <w:left w:val="nil"/>
              <w:bottom w:val="single" w:sz="4" w:space="0" w:color="9BC2E6"/>
              <w:right w:val="nil"/>
            </w:tcBorders>
            <w:shd w:val="clear" w:color="DDEBF7" w:fill="DDEBF7"/>
            <w:noWrap/>
            <w:vAlign w:val="bottom"/>
            <w:hideMark/>
          </w:tcPr>
          <w:p w14:paraId="668F04A0" w14:textId="77777777" w:rsidR="00FC1CD8" w:rsidRPr="00F415BB" w:rsidRDefault="00FC1CD8" w:rsidP="00832706">
            <w:pPr>
              <w:spacing w:after="0" w:line="240" w:lineRule="auto"/>
              <w:jc w:val="center"/>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17B15142"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0.000</w:t>
            </w:r>
          </w:p>
        </w:tc>
      </w:tr>
      <w:tr w:rsidR="00FC1CD8" w:rsidRPr="00933290" w14:paraId="66C81021"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408BB340"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p>
        </w:tc>
        <w:tc>
          <w:tcPr>
            <w:tcW w:w="666" w:type="pct"/>
            <w:tcBorders>
              <w:top w:val="single" w:sz="4" w:space="0" w:color="9BC2E6"/>
              <w:left w:val="nil"/>
              <w:bottom w:val="single" w:sz="4" w:space="0" w:color="9BC2E6"/>
              <w:right w:val="nil"/>
            </w:tcBorders>
            <w:noWrap/>
            <w:vAlign w:val="bottom"/>
            <w:hideMark/>
          </w:tcPr>
          <w:p w14:paraId="4A687491" w14:textId="77777777" w:rsidR="00FC1CD8" w:rsidRPr="00F415BB" w:rsidRDefault="00FC1CD8" w:rsidP="00832706">
            <w:pPr>
              <w:spacing w:after="0" w:line="240" w:lineRule="auto"/>
              <w:rPr>
                <w:rFonts w:eastAsia="Times New Roman"/>
                <w:kern w:val="0"/>
                <w:sz w:val="20"/>
                <w:szCs w:val="20"/>
                <w:lang w:eastAsia="en-IN"/>
                <w14:ligatures w14:val="none"/>
              </w:rPr>
            </w:pPr>
          </w:p>
        </w:tc>
        <w:tc>
          <w:tcPr>
            <w:tcW w:w="670" w:type="pct"/>
            <w:tcBorders>
              <w:top w:val="single" w:sz="4" w:space="0" w:color="9BC2E6"/>
              <w:left w:val="nil"/>
              <w:bottom w:val="single" w:sz="4" w:space="0" w:color="9BC2E6"/>
              <w:right w:val="nil"/>
            </w:tcBorders>
            <w:noWrap/>
            <w:vAlign w:val="bottom"/>
            <w:hideMark/>
          </w:tcPr>
          <w:p w14:paraId="244CC21C"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R-squared</w:t>
            </w:r>
          </w:p>
        </w:tc>
        <w:tc>
          <w:tcPr>
            <w:tcW w:w="504" w:type="pct"/>
            <w:tcBorders>
              <w:top w:val="single" w:sz="4" w:space="0" w:color="9BC2E6"/>
              <w:left w:val="nil"/>
              <w:bottom w:val="single" w:sz="4" w:space="0" w:color="9BC2E6"/>
              <w:right w:val="nil"/>
            </w:tcBorders>
            <w:noWrap/>
            <w:vAlign w:val="bottom"/>
            <w:hideMark/>
          </w:tcPr>
          <w:p w14:paraId="2FBF6113" w14:textId="77777777" w:rsidR="00FC1CD8" w:rsidRPr="00F415BB" w:rsidRDefault="00FC1CD8" w:rsidP="00832706">
            <w:pPr>
              <w:spacing w:after="0" w:line="240" w:lineRule="auto"/>
              <w:jc w:val="center"/>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w:t>
            </w:r>
          </w:p>
        </w:tc>
        <w:tc>
          <w:tcPr>
            <w:tcW w:w="411" w:type="pct"/>
            <w:tcBorders>
              <w:top w:val="single" w:sz="4" w:space="0" w:color="9BC2E6"/>
              <w:left w:val="nil"/>
              <w:bottom w:val="single" w:sz="4" w:space="0" w:color="9BC2E6"/>
              <w:right w:val="single" w:sz="4" w:space="0" w:color="9BC2E6"/>
            </w:tcBorders>
            <w:noWrap/>
            <w:vAlign w:val="bottom"/>
            <w:hideMark/>
          </w:tcPr>
          <w:p w14:paraId="5BFBD285"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0.416</w:t>
            </w:r>
          </w:p>
        </w:tc>
      </w:tr>
      <w:tr w:rsidR="00FC1CD8" w:rsidRPr="00933290" w14:paraId="6F028277" w14:textId="77777777" w:rsidTr="00832706">
        <w:trPr>
          <w:trHeight w:val="288"/>
        </w:trPr>
        <w:tc>
          <w:tcPr>
            <w:tcW w:w="4085" w:type="pct"/>
            <w:gridSpan w:val="3"/>
            <w:tcBorders>
              <w:top w:val="single" w:sz="4" w:space="0" w:color="9BC2E6"/>
              <w:left w:val="single" w:sz="4" w:space="0" w:color="9BC2E6"/>
              <w:bottom w:val="single" w:sz="4" w:space="0" w:color="9BC2E6"/>
              <w:right w:val="nil"/>
            </w:tcBorders>
            <w:shd w:val="clear" w:color="DDEBF7" w:fill="DDEBF7"/>
            <w:noWrap/>
            <w:vAlign w:val="center"/>
            <w:hideMark/>
          </w:tcPr>
          <w:p w14:paraId="241FBDB2"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proofErr w:type="spellStart"/>
            <w:r w:rsidRPr="00F415BB">
              <w:rPr>
                <w:rFonts w:eastAsia="Times New Roman"/>
                <w:color w:val="000000"/>
                <w:kern w:val="0"/>
                <w:sz w:val="20"/>
                <w:szCs w:val="20"/>
                <w:lang w:eastAsia="en-IN"/>
                <w14:ligatures w14:val="none"/>
              </w:rPr>
              <w:t>Adj</w:t>
            </w:r>
            <w:proofErr w:type="spellEnd"/>
            <w:r w:rsidRPr="00F415BB">
              <w:rPr>
                <w:rFonts w:eastAsia="Times New Roman"/>
                <w:color w:val="000000"/>
                <w:kern w:val="0"/>
                <w:sz w:val="20"/>
                <w:szCs w:val="20"/>
                <w:lang w:eastAsia="en-IN"/>
                <w14:ligatures w14:val="none"/>
              </w:rPr>
              <w:t xml:space="preserve"> R-squared</w:t>
            </w:r>
          </w:p>
        </w:tc>
        <w:tc>
          <w:tcPr>
            <w:tcW w:w="504" w:type="pct"/>
            <w:tcBorders>
              <w:top w:val="single" w:sz="4" w:space="0" w:color="9BC2E6"/>
              <w:left w:val="nil"/>
              <w:bottom w:val="single" w:sz="4" w:space="0" w:color="9BC2E6"/>
              <w:right w:val="nil"/>
            </w:tcBorders>
            <w:shd w:val="clear" w:color="DDEBF7" w:fill="DDEBF7"/>
            <w:noWrap/>
            <w:vAlign w:val="bottom"/>
            <w:hideMark/>
          </w:tcPr>
          <w:p w14:paraId="70BD2B3B" w14:textId="77777777" w:rsidR="00FC1CD8" w:rsidRPr="00F415BB" w:rsidRDefault="00FC1CD8" w:rsidP="00832706">
            <w:pPr>
              <w:spacing w:after="0" w:line="240" w:lineRule="auto"/>
              <w:jc w:val="center"/>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243060E9"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0.301</w:t>
            </w:r>
          </w:p>
        </w:tc>
      </w:tr>
      <w:tr w:rsidR="00FC1CD8" w:rsidRPr="00933290" w14:paraId="2659123C"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4E53F56F"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p>
        </w:tc>
        <w:tc>
          <w:tcPr>
            <w:tcW w:w="666" w:type="pct"/>
            <w:tcBorders>
              <w:top w:val="single" w:sz="4" w:space="0" w:color="9BC2E6"/>
              <w:left w:val="nil"/>
              <w:bottom w:val="single" w:sz="4" w:space="0" w:color="9BC2E6"/>
              <w:right w:val="nil"/>
            </w:tcBorders>
            <w:noWrap/>
            <w:vAlign w:val="bottom"/>
            <w:hideMark/>
          </w:tcPr>
          <w:p w14:paraId="05FB73E0" w14:textId="77777777" w:rsidR="00FC1CD8" w:rsidRPr="00F415BB" w:rsidRDefault="00FC1CD8" w:rsidP="00832706">
            <w:pPr>
              <w:spacing w:after="0" w:line="240" w:lineRule="auto"/>
              <w:rPr>
                <w:rFonts w:eastAsia="Times New Roman"/>
                <w:kern w:val="0"/>
                <w:sz w:val="20"/>
                <w:szCs w:val="20"/>
                <w:lang w:eastAsia="en-IN"/>
                <w14:ligatures w14:val="none"/>
              </w:rPr>
            </w:pPr>
          </w:p>
        </w:tc>
        <w:tc>
          <w:tcPr>
            <w:tcW w:w="670" w:type="pct"/>
            <w:tcBorders>
              <w:top w:val="single" w:sz="4" w:space="0" w:color="9BC2E6"/>
              <w:left w:val="nil"/>
              <w:bottom w:val="single" w:sz="4" w:space="0" w:color="9BC2E6"/>
              <w:right w:val="nil"/>
            </w:tcBorders>
            <w:noWrap/>
            <w:vAlign w:val="bottom"/>
            <w:hideMark/>
          </w:tcPr>
          <w:p w14:paraId="1A9915F8"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Root MSE</w:t>
            </w:r>
          </w:p>
        </w:tc>
        <w:tc>
          <w:tcPr>
            <w:tcW w:w="504" w:type="pct"/>
            <w:tcBorders>
              <w:top w:val="single" w:sz="4" w:space="0" w:color="9BC2E6"/>
              <w:left w:val="nil"/>
              <w:bottom w:val="single" w:sz="4" w:space="0" w:color="9BC2E6"/>
              <w:right w:val="nil"/>
            </w:tcBorders>
            <w:noWrap/>
            <w:vAlign w:val="bottom"/>
            <w:hideMark/>
          </w:tcPr>
          <w:p w14:paraId="7DEC8A68" w14:textId="77777777" w:rsidR="00FC1CD8" w:rsidRPr="00F415BB" w:rsidRDefault="00FC1CD8" w:rsidP="00832706">
            <w:pPr>
              <w:spacing w:after="0" w:line="240" w:lineRule="auto"/>
              <w:jc w:val="center"/>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w:t>
            </w:r>
          </w:p>
        </w:tc>
        <w:tc>
          <w:tcPr>
            <w:tcW w:w="411" w:type="pct"/>
            <w:tcBorders>
              <w:top w:val="single" w:sz="4" w:space="0" w:color="9BC2E6"/>
              <w:left w:val="nil"/>
              <w:bottom w:val="single" w:sz="4" w:space="0" w:color="9BC2E6"/>
              <w:right w:val="single" w:sz="4" w:space="0" w:color="9BC2E6"/>
            </w:tcBorders>
            <w:noWrap/>
            <w:vAlign w:val="bottom"/>
            <w:hideMark/>
          </w:tcPr>
          <w:p w14:paraId="7686A446"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12092</w:t>
            </w:r>
          </w:p>
        </w:tc>
      </w:tr>
    </w:tbl>
    <w:p w14:paraId="421D4490" w14:textId="6E724448" w:rsidR="00FC1CD8" w:rsidRPr="00F415BB" w:rsidRDefault="00FC1CD8" w:rsidP="00FC1CD8">
      <w:pPr>
        <w:rPr>
          <w:b/>
          <w:bCs/>
        </w:rPr>
      </w:pPr>
      <w:r w:rsidRPr="00520ABD">
        <w:t xml:space="preserve">Source: </w:t>
      </w:r>
      <w:r>
        <w:t xml:space="preserve">Own Estimation from </w:t>
      </w:r>
      <w:r w:rsidRPr="00520ABD">
        <w:t xml:space="preserve">Primary </w:t>
      </w:r>
      <w:r>
        <w:t>Data</w:t>
      </w:r>
      <w:r w:rsidR="000340E1">
        <w:t>, 2025</w:t>
      </w:r>
    </w:p>
    <w:p w14:paraId="77C80B3B" w14:textId="7ED8DFCC" w:rsidR="00257E82" w:rsidRPr="00257E82" w:rsidRDefault="00257E82" w:rsidP="00282DC8">
      <w:pPr>
        <w:spacing w:after="0" w:line="276" w:lineRule="auto"/>
        <w:jc w:val="both"/>
      </w:pPr>
      <w:r w:rsidRPr="00257E82">
        <w:t xml:space="preserve">The regression analysis examines the determinants of annual household out-of-pocket expenditure on primary education in Tripura using data from 80 households and 13 explanatory variables. </w:t>
      </w:r>
      <w:r w:rsidR="00953213">
        <w:t xml:space="preserve">The post estimation test has </w:t>
      </w:r>
      <w:r w:rsidR="00F51C11">
        <w:t xml:space="preserve">also </w:t>
      </w:r>
      <w:r w:rsidR="00953213">
        <w:t>been done and found the acceptable results</w:t>
      </w:r>
      <w:r w:rsidR="00254696">
        <w:t xml:space="preserve">, </w:t>
      </w:r>
      <w:proofErr w:type="gramStart"/>
      <w:r w:rsidR="00254696">
        <w:t>We</w:t>
      </w:r>
      <w:proofErr w:type="gramEnd"/>
      <w:r w:rsidR="00254696">
        <w:t xml:space="preserve"> have done the </w:t>
      </w:r>
      <w:r w:rsidR="00254696" w:rsidRPr="00254696">
        <w:t>Variance Inflation Factor (VIF)</w:t>
      </w:r>
      <w:r w:rsidR="00254696">
        <w:t xml:space="preserve"> to capture the multicollinearity among the dependent variables and found acceptable results</w:t>
      </w:r>
      <w:r w:rsidR="00953213">
        <w:t xml:space="preserve">. </w:t>
      </w:r>
      <w:r w:rsidRPr="00257E82">
        <w:t>The model is statistically significant (F = 3.62, p &lt; 0.001), indicating that the included variables jointly explain variations in educational spending. The R² value of 0.416 shows that 41.6% of the variation in expenditure is explained by the model, while the adjusted R² (0.301) suggests a reasonable explanatory power after accounting for multiple predictors</w:t>
      </w:r>
      <w:r>
        <w:t xml:space="preserve"> </w:t>
      </w:r>
      <w:r w:rsidRPr="00257E82">
        <w:t>acceptable for household-level social science data. The RMSE of ₹12,092 indicates a moderate prediction error consistent with heterogeneous household spending behaviour.</w:t>
      </w:r>
      <w:r>
        <w:t xml:space="preserve"> </w:t>
      </w:r>
      <w:r w:rsidRPr="00257E82">
        <w:t xml:space="preserve">Among the explanatory variables, gender emerges as a strong determinant: households spend significantly more on male students (₹8,919; p &lt; 0.01), reflecting persistent gender bias in educational investment. Grade level has a positive and significant effect (₹4,778; p &lt; 0.05), indicating rising educational costs as </w:t>
      </w:r>
      <w:r w:rsidR="007C275F" w:rsidRPr="00257E82">
        <w:t>students’</w:t>
      </w:r>
      <w:r w:rsidRPr="00257E82">
        <w:t xml:space="preserve"> progress to higher classes. Mother’s education shows a positive and marginally significant influence (₹1,105; p ≈ 0.08), suggesting that educated mothers are more inclined to invest in their children’s education. Similarly, mother’s employment in a government job significantly increases educational expenditure (₹18,582; p ≈ 0.07), likely due to greater income stability and awareness of educational returns. Academic performance also has a positive and marginally significant effect (₹203; p ≈ 0.07), implying that better-performing students attract higher parental investment.</w:t>
      </w:r>
      <w:r>
        <w:t xml:space="preserve"> </w:t>
      </w:r>
      <w:r w:rsidRPr="00257E82">
        <w:t>Place of residence exhibits a negative and marginally significant coefficient (</w:t>
      </w:r>
      <w:r>
        <w:t>-</w:t>
      </w:r>
      <w:r w:rsidRPr="00257E82">
        <w:t>₹4,681; p ≈ 0.11), indicating lower educational spending in rural households compared to urban ones, possibly due to limited access to private educational services. Other variables</w:t>
      </w:r>
      <w:r>
        <w:t xml:space="preserve"> </w:t>
      </w:r>
      <w:r w:rsidRPr="00257E82">
        <w:t>medium of instruction, caste, house type, father’s education, family size, private tuition, and mother’s status as a housewife</w:t>
      </w:r>
      <w:r>
        <w:t xml:space="preserve"> </w:t>
      </w:r>
      <w:r w:rsidRPr="00257E82">
        <w:t>do not show statistically significant effects.</w:t>
      </w:r>
      <w:r>
        <w:t xml:space="preserve"> </w:t>
      </w:r>
      <w:r w:rsidRPr="00257E82">
        <w:t>Overall, the results highlight gender, grade level, mother’s education, mother’s government employment, and academic performance as key determinants of household educational expenditure. The findings underscore the need for policies promoting gender-equitable investment, empowering women through education and secure employment, easing the rising cost burden at higher grade levels, and addressing urban–rural disparities in educational infrastructure and access.</w:t>
      </w:r>
    </w:p>
    <w:p w14:paraId="59264958" w14:textId="77777777" w:rsidR="00FC1CD8" w:rsidRDefault="00FC1CD8" w:rsidP="0066281C">
      <w:pPr>
        <w:spacing w:after="0"/>
        <w:rPr>
          <w:sz w:val="28"/>
          <w:szCs w:val="28"/>
        </w:rPr>
      </w:pPr>
    </w:p>
    <w:p w14:paraId="05A0058A" w14:textId="77777777" w:rsidR="00254696" w:rsidRDefault="00254696" w:rsidP="0066281C">
      <w:pPr>
        <w:spacing w:after="0"/>
        <w:rPr>
          <w:sz w:val="28"/>
          <w:szCs w:val="28"/>
        </w:rPr>
      </w:pPr>
    </w:p>
    <w:p w14:paraId="353E6DFD" w14:textId="77777777" w:rsidR="00254696" w:rsidRDefault="00254696" w:rsidP="0066281C">
      <w:pPr>
        <w:spacing w:after="0"/>
        <w:rPr>
          <w:sz w:val="28"/>
          <w:szCs w:val="28"/>
        </w:rPr>
      </w:pPr>
    </w:p>
    <w:p w14:paraId="6C985478" w14:textId="7ABE3E57" w:rsidR="00FC1CD8" w:rsidRPr="004F468F" w:rsidRDefault="003361FC" w:rsidP="00FC1CD8">
      <w:pPr>
        <w:rPr>
          <w:b/>
          <w:bCs/>
        </w:rPr>
      </w:pPr>
      <w:r>
        <w:rPr>
          <w:b/>
          <w:bCs/>
        </w:rPr>
        <w:lastRenderedPageBreak/>
        <w:t xml:space="preserve">6. </w:t>
      </w:r>
      <w:r w:rsidR="009B46D4">
        <w:rPr>
          <w:b/>
          <w:bCs/>
        </w:rPr>
        <w:t>Conclusion</w:t>
      </w:r>
    </w:p>
    <w:p w14:paraId="6EAD17C1" w14:textId="17218E50" w:rsidR="00586B03" w:rsidRPr="00C807B3" w:rsidRDefault="00586B03" w:rsidP="00C24935">
      <w:pPr>
        <w:spacing w:line="276" w:lineRule="auto"/>
        <w:jc w:val="both"/>
      </w:pPr>
      <w:r w:rsidRPr="00586B03">
        <w:t>Education is essential for human capital formation and inclusive growth, yet household out-of-pocket expenditure (OOPE) remains a critical factor shaping access and quality of schooling in Tripura. Using primary data, this study examines variations in household educational expenditure across socio-economic and demographic groups.</w:t>
      </w:r>
      <w:r>
        <w:t xml:space="preserve"> </w:t>
      </w:r>
      <w:r w:rsidRPr="00586B03">
        <w:t>The average annual OOPE on education in Tripura is ₹14,853, with substantial disparities. Households spend significantly more on male students (₹18,897) than on female students (₹11,372), indicating persistent gender bias. Educational spending rises with economic status: households in kaccha houses spend the least, while those in semi-pucca and pucca houses spend nearly twice as much. Urban households incur higher expenditure than rural households, reflecting greater reliance on private schooling and supplementary education. Social disparities persist, with General category households spending the most and SC households the least, suggesting continued financial constraints among historically disadvantaged groups.</w:t>
      </w:r>
      <w:r>
        <w:t xml:space="preserve"> </w:t>
      </w:r>
      <w:r w:rsidRPr="00586B03">
        <w:t>Mother’s occupation strongly influences educational spending, with households of government-employed mothers reporting the highest expenditure, highlighting the role of women’s income and employment in educational investment. Notably, households without private tuition spend more overall, possibly substituting higher-quality formal schooling for supplementary coaching.</w:t>
      </w:r>
      <w:r>
        <w:t xml:space="preserve"> </w:t>
      </w:r>
      <w:r w:rsidRPr="00586B03">
        <w:t>Overall, the findings reveal that educational inequality in Tripura is driven not only by access but also by affordability, shaped by income, gender norms, social identity, residence, and parental employment. Despite public support schemes, recurring education-related costs continue to burden low-income households.</w:t>
      </w:r>
      <w:r>
        <w:t xml:space="preserve"> </w:t>
      </w:r>
      <w:r w:rsidRPr="00586B03">
        <w:t xml:space="preserve">The study underscores the need to strengthen public education, expand targeted financial assistance, promote girls’ education, support women’s economic empowerment, and regulate private education costs. Achieving equitable and quality education </w:t>
      </w:r>
      <w:r w:rsidRPr="00C807B3">
        <w:t>in Tripura requires policies that reduce household financial barriers while improving educational outcomes in line with SDG 4.</w:t>
      </w:r>
    </w:p>
    <w:p w14:paraId="121F9982" w14:textId="77777777" w:rsidR="00C807B3" w:rsidRDefault="00C807B3" w:rsidP="00C24935">
      <w:pPr>
        <w:keepNext/>
        <w:keepLines/>
        <w:spacing w:after="0" w:line="276" w:lineRule="auto"/>
        <w:jc w:val="both"/>
        <w:outlineLvl w:val="1"/>
        <w:rPr>
          <w:rFonts w:eastAsia="Times New Roman"/>
          <w:bCs/>
          <w:kern w:val="0"/>
          <w:highlight w:val="yellow"/>
          <w:lang w:val="en-GB" w:eastAsia="en-IN"/>
          <w14:ligatures w14:val="none"/>
        </w:rPr>
      </w:pPr>
      <w:bookmarkStart w:id="0" w:name="_Hlk218867759"/>
      <w:bookmarkStart w:id="1" w:name="_Hlk219125673"/>
    </w:p>
    <w:p w14:paraId="511CA5CB" w14:textId="29F8AE2C" w:rsidR="001273BE" w:rsidRPr="00C24935" w:rsidRDefault="001273BE" w:rsidP="00C24935">
      <w:pPr>
        <w:keepNext/>
        <w:keepLines/>
        <w:spacing w:before="120" w:after="120" w:line="276" w:lineRule="auto"/>
        <w:jc w:val="both"/>
        <w:outlineLvl w:val="1"/>
        <w:rPr>
          <w:rFonts w:eastAsia="Times New Roman"/>
          <w:b/>
          <w:kern w:val="0"/>
          <w:lang w:val="en-GB" w:eastAsia="en-IN"/>
          <w14:ligatures w14:val="none"/>
        </w:rPr>
      </w:pPr>
      <w:r w:rsidRPr="00C24935">
        <w:rPr>
          <w:rFonts w:eastAsia="Times New Roman"/>
          <w:b/>
          <w:kern w:val="0"/>
          <w:lang w:val="en-GB" w:eastAsia="en-IN"/>
          <w14:ligatures w14:val="none"/>
        </w:rPr>
        <w:t>Disclaimer</w:t>
      </w:r>
      <w:r w:rsidR="00C24935" w:rsidRPr="00C24935">
        <w:rPr>
          <w:rFonts w:eastAsia="Times New Roman"/>
          <w:b/>
          <w:kern w:val="0"/>
          <w:lang w:val="en-GB" w:eastAsia="en-IN"/>
          <w14:ligatures w14:val="none"/>
        </w:rPr>
        <w:t>:</w:t>
      </w:r>
    </w:p>
    <w:bookmarkEnd w:id="0"/>
    <w:p w14:paraId="0D7687CE" w14:textId="2B2CC718" w:rsidR="006054A4" w:rsidRPr="006054A4" w:rsidRDefault="006054A4" w:rsidP="00C807B3">
      <w:pPr>
        <w:spacing w:after="0" w:line="276" w:lineRule="auto"/>
        <w:jc w:val="both"/>
        <w:rPr>
          <w:rFonts w:eastAsia="Times New Roman"/>
          <w:bCs/>
          <w:kern w:val="0"/>
          <w:lang w:eastAsia="en-IN"/>
          <w14:ligatures w14:val="none"/>
        </w:rPr>
      </w:pPr>
      <w:r w:rsidRPr="006054A4">
        <w:rPr>
          <w:rFonts w:eastAsia="Times New Roman"/>
          <w:bCs/>
          <w:kern w:val="0"/>
          <w:lang w:eastAsia="en-IN"/>
          <w14:ligatures w14:val="none"/>
        </w:rPr>
        <w:t>The authors hereby state that no text-to-image generation technologies or generative artificial intelligence (AI) tools, such as large language models like ChatGPT and Microsoft Copilot, were utilized in the preparation, authoring, or editing of this work. The author</w:t>
      </w:r>
      <w:r w:rsidR="00C24935">
        <w:rPr>
          <w:rFonts w:eastAsia="Times New Roman"/>
          <w:bCs/>
          <w:kern w:val="0"/>
          <w:lang w:eastAsia="en-IN"/>
          <w14:ligatures w14:val="none"/>
        </w:rPr>
        <w:t>s</w:t>
      </w:r>
      <w:r w:rsidRPr="006054A4">
        <w:rPr>
          <w:rFonts w:eastAsia="Times New Roman"/>
          <w:bCs/>
          <w:kern w:val="0"/>
          <w:lang w:eastAsia="en-IN"/>
          <w14:ligatures w14:val="none"/>
        </w:rPr>
        <w:t xml:space="preserve"> of this article are solely responsible for its content.</w:t>
      </w:r>
    </w:p>
    <w:p w14:paraId="581436E5" w14:textId="77777777" w:rsidR="001273BE" w:rsidRPr="00C807B3" w:rsidRDefault="001273BE" w:rsidP="00C807B3">
      <w:pPr>
        <w:spacing w:after="200" w:line="276" w:lineRule="auto"/>
        <w:rPr>
          <w:rFonts w:eastAsia="Calibri"/>
          <w:kern w:val="0"/>
          <w:lang w:val="en-GB"/>
          <w14:ligatures w14:val="none"/>
        </w:rPr>
      </w:pPr>
    </w:p>
    <w:bookmarkEnd w:id="1"/>
    <w:p w14:paraId="132EFEC3" w14:textId="6F6A9AF8" w:rsidR="005D77F1" w:rsidRPr="00C807B3" w:rsidRDefault="005D77F1" w:rsidP="005D77F1">
      <w:pPr>
        <w:rPr>
          <w:b/>
          <w:bCs/>
        </w:rPr>
      </w:pPr>
      <w:r w:rsidRPr="00C807B3">
        <w:rPr>
          <w:b/>
          <w:bCs/>
        </w:rPr>
        <w:t>References</w:t>
      </w:r>
    </w:p>
    <w:p w14:paraId="7D227A5A" w14:textId="77777777" w:rsidR="00C07A6E" w:rsidRDefault="00C07A6E" w:rsidP="006267B2">
      <w:pPr>
        <w:spacing w:after="0" w:line="276" w:lineRule="auto"/>
        <w:ind w:left="567" w:hanging="567"/>
        <w:jc w:val="both"/>
      </w:pPr>
    </w:p>
    <w:p w14:paraId="2EBCC5D5" w14:textId="77777777" w:rsidR="00C07A6E" w:rsidRDefault="00C07A6E" w:rsidP="006267B2">
      <w:pPr>
        <w:spacing w:after="0" w:line="276" w:lineRule="auto"/>
        <w:ind w:left="567" w:hanging="567"/>
        <w:jc w:val="both"/>
      </w:pPr>
      <w:r w:rsidRPr="00360511">
        <w:t xml:space="preserve">Acar, E. Ö., </w:t>
      </w:r>
      <w:proofErr w:type="spellStart"/>
      <w:r w:rsidRPr="00360511">
        <w:t>Cilasun</w:t>
      </w:r>
      <w:proofErr w:type="spellEnd"/>
      <w:r w:rsidRPr="00360511">
        <w:t xml:space="preserve">, S. M., &amp; </w:t>
      </w:r>
      <w:proofErr w:type="spellStart"/>
      <w:r w:rsidRPr="00360511">
        <w:t>Günalp</w:t>
      </w:r>
      <w:proofErr w:type="spellEnd"/>
      <w:r w:rsidRPr="00360511">
        <w:t>, B. (2016). An analysis of education</w:t>
      </w:r>
      <w:r>
        <w:t xml:space="preserve"> </w:t>
      </w:r>
      <w:r w:rsidRPr="00360511">
        <w:t>expenditures in Turkey by income groups. In The Economic Research Forum Working Papers (No. 991, pp. 1-28).</w:t>
      </w:r>
    </w:p>
    <w:p w14:paraId="1AFE4F07" w14:textId="77777777" w:rsidR="00C07A6E" w:rsidRDefault="00C07A6E" w:rsidP="00C07A6E">
      <w:pPr>
        <w:spacing w:after="0" w:line="276" w:lineRule="auto"/>
        <w:ind w:left="567" w:hanging="567"/>
        <w:jc w:val="both"/>
      </w:pPr>
      <w:r w:rsidRPr="004F217D">
        <w:t xml:space="preserve">ASER Centre. (2023). </w:t>
      </w:r>
      <w:r w:rsidRPr="004F217D">
        <w:rPr>
          <w:i/>
          <w:iCs/>
        </w:rPr>
        <w:t>Annual Status of Education Report (Rural) 2023: Beyond Basics</w:t>
      </w:r>
      <w:r w:rsidRPr="004F217D">
        <w:t xml:space="preserve">. ASER </w:t>
      </w:r>
      <w:r w:rsidRPr="00CA1FB9">
        <w:t>Centre.</w:t>
      </w:r>
    </w:p>
    <w:p w14:paraId="292A806F" w14:textId="77777777" w:rsidR="00C07A6E" w:rsidRDefault="00C07A6E" w:rsidP="006267B2">
      <w:pPr>
        <w:spacing w:after="0" w:line="276" w:lineRule="auto"/>
        <w:ind w:left="567" w:hanging="567"/>
        <w:jc w:val="both"/>
      </w:pPr>
      <w:r w:rsidRPr="006A7CB1">
        <w:lastRenderedPageBreak/>
        <w:t xml:space="preserve">Bayar, A. A., &amp; Yanik İlhan, B. (2016). Determinants of household education expenditures: Do poor spend less on </w:t>
      </w:r>
      <w:proofErr w:type="gramStart"/>
      <w:r w:rsidRPr="006A7CB1">
        <w:t>education?.</w:t>
      </w:r>
      <w:proofErr w:type="gramEnd"/>
      <w:r w:rsidRPr="006A7CB1">
        <w:t> </w:t>
      </w:r>
      <w:r w:rsidRPr="006A7CB1">
        <w:rPr>
          <w:i/>
          <w:iCs/>
        </w:rPr>
        <w:t>Topics in Middle Eastern and North African Economies</w:t>
      </w:r>
      <w:r w:rsidRPr="006A7CB1">
        <w:t>, </w:t>
      </w:r>
      <w:r w:rsidRPr="006A7CB1">
        <w:rPr>
          <w:i/>
          <w:iCs/>
        </w:rPr>
        <w:t>18</w:t>
      </w:r>
      <w:r w:rsidRPr="006A7CB1">
        <w:t>.</w:t>
      </w:r>
    </w:p>
    <w:p w14:paraId="5E8DE156" w14:textId="77777777" w:rsidR="00C07A6E" w:rsidRDefault="00C07A6E" w:rsidP="006267B2">
      <w:pPr>
        <w:spacing w:after="0" w:line="276" w:lineRule="auto"/>
        <w:ind w:left="567" w:hanging="567"/>
        <w:jc w:val="both"/>
      </w:pPr>
      <w:r w:rsidRPr="00B9002F">
        <w:t>Bhattacharya, R. (2012). Comparative analysis of the extent of free education and average private expenditure on education in India. </w:t>
      </w:r>
      <w:r w:rsidRPr="00B9002F">
        <w:rPr>
          <w:i/>
          <w:iCs/>
        </w:rPr>
        <w:t xml:space="preserve">Procedia-Social and </w:t>
      </w:r>
      <w:proofErr w:type="spellStart"/>
      <w:r w:rsidRPr="00B9002F">
        <w:rPr>
          <w:i/>
          <w:iCs/>
        </w:rPr>
        <w:t>Behavioral</w:t>
      </w:r>
      <w:proofErr w:type="spellEnd"/>
      <w:r w:rsidRPr="00B9002F">
        <w:rPr>
          <w:i/>
          <w:iCs/>
        </w:rPr>
        <w:t xml:space="preserve"> Sciences</w:t>
      </w:r>
      <w:r w:rsidRPr="00B9002F">
        <w:t>, </w:t>
      </w:r>
      <w:r w:rsidRPr="00B9002F">
        <w:rPr>
          <w:i/>
          <w:iCs/>
        </w:rPr>
        <w:t>37</w:t>
      </w:r>
      <w:r w:rsidRPr="00B9002F">
        <w:t>, 277-295.</w:t>
      </w:r>
    </w:p>
    <w:p w14:paraId="040A973B" w14:textId="77777777" w:rsidR="00C07A6E" w:rsidRDefault="00C07A6E" w:rsidP="006267B2">
      <w:pPr>
        <w:spacing w:after="0" w:line="276" w:lineRule="auto"/>
        <w:ind w:left="567" w:hanging="567"/>
        <w:jc w:val="both"/>
      </w:pPr>
      <w:r w:rsidRPr="00343B4C">
        <w:t>Choudhury, P. K. (2019). Pattern and determinants of household expenditure on higher education: Evidence from rural Odisha. In The future of higher education in India (pp. 165-180). Singapore: Springer Singapore.</w:t>
      </w:r>
    </w:p>
    <w:p w14:paraId="255876FF" w14:textId="77777777" w:rsidR="00C07A6E" w:rsidRDefault="00C07A6E" w:rsidP="006267B2">
      <w:pPr>
        <w:spacing w:after="0" w:line="276" w:lineRule="auto"/>
        <w:ind w:left="567" w:hanging="567"/>
        <w:jc w:val="both"/>
      </w:pPr>
      <w:r w:rsidRPr="005A74FB">
        <w:t>Kaleem, S., &amp; Akhtar, S. J.</w:t>
      </w:r>
      <w:r>
        <w:t xml:space="preserve"> (</w:t>
      </w:r>
      <w:r w:rsidRPr="005A74FB">
        <w:t>2024</w:t>
      </w:r>
      <w:r>
        <w:t xml:space="preserve">) </w:t>
      </w:r>
      <w:r w:rsidRPr="005A74FB">
        <w:t>Determinants of Household Expenditure for Primary Education in Urban India. </w:t>
      </w:r>
      <w:r w:rsidRPr="005A74FB">
        <w:rPr>
          <w:i/>
          <w:iCs/>
        </w:rPr>
        <w:t>International Research Journal of Economics and Management Studies IRJEMS</w:t>
      </w:r>
      <w:r w:rsidRPr="005A74FB">
        <w:t>, </w:t>
      </w:r>
      <w:r w:rsidRPr="005A74FB">
        <w:rPr>
          <w:i/>
          <w:iCs/>
        </w:rPr>
        <w:t>3</w:t>
      </w:r>
      <w:r w:rsidRPr="005A74FB">
        <w:t>(10)</w:t>
      </w:r>
      <w:r>
        <w:t xml:space="preserve">, </w:t>
      </w:r>
      <w:r w:rsidRPr="00C130F0">
        <w:t>pp. 198-205</w:t>
      </w:r>
      <w:r w:rsidRPr="005A74FB">
        <w:t>.</w:t>
      </w:r>
    </w:p>
    <w:p w14:paraId="4DD9CFD4" w14:textId="77777777" w:rsidR="00C07A6E" w:rsidRDefault="00C07A6E" w:rsidP="006267B2">
      <w:pPr>
        <w:spacing w:after="0" w:line="276" w:lineRule="auto"/>
        <w:ind w:left="567" w:hanging="567"/>
        <w:jc w:val="both"/>
      </w:pPr>
      <w:r w:rsidRPr="00360511">
        <w:t>Khanal, B. (2022). Reasons of Household Spending on Basic Education. </w:t>
      </w:r>
      <w:proofErr w:type="spellStart"/>
      <w:r w:rsidRPr="00360511">
        <w:rPr>
          <w:i/>
          <w:iCs/>
        </w:rPr>
        <w:t>Rupantaran</w:t>
      </w:r>
      <w:proofErr w:type="spellEnd"/>
      <w:r w:rsidRPr="00360511">
        <w:rPr>
          <w:i/>
          <w:iCs/>
        </w:rPr>
        <w:t>: A Multidisciplinary Journal</w:t>
      </w:r>
      <w:r w:rsidRPr="00360511">
        <w:t>, </w:t>
      </w:r>
      <w:r w:rsidRPr="00360511">
        <w:rPr>
          <w:i/>
          <w:iCs/>
        </w:rPr>
        <w:t>6</w:t>
      </w:r>
      <w:r w:rsidRPr="00360511">
        <w:t>(01), 18-27.</w:t>
      </w:r>
    </w:p>
    <w:p w14:paraId="3806E4E3" w14:textId="77777777" w:rsidR="00C07A6E" w:rsidRPr="00360511" w:rsidRDefault="00C07A6E" w:rsidP="006267B2">
      <w:pPr>
        <w:spacing w:after="0" w:line="276" w:lineRule="auto"/>
        <w:ind w:left="567" w:hanging="567"/>
        <w:jc w:val="both"/>
      </w:pPr>
      <w:r w:rsidRPr="00C807B3">
        <w:t>Kuvat, Ö., &amp;</w:t>
      </w:r>
      <w:r w:rsidRPr="00360511">
        <w:t xml:space="preserve"> </w:t>
      </w:r>
      <w:proofErr w:type="spellStart"/>
      <w:r w:rsidRPr="00360511">
        <w:t>Kızılgöl</w:t>
      </w:r>
      <w:proofErr w:type="spellEnd"/>
      <w:r w:rsidRPr="00360511">
        <w:t>, Ö. A. (2020). An analysis of out</w:t>
      </w:r>
      <w:r>
        <w:t>-</w:t>
      </w:r>
      <w:r w:rsidRPr="00360511">
        <w:t>of</w:t>
      </w:r>
      <w:r>
        <w:t>-</w:t>
      </w:r>
      <w:r w:rsidRPr="00360511">
        <w:t xml:space="preserve">pocket education expenditures in Turkey: logit and </w:t>
      </w:r>
      <w:proofErr w:type="spellStart"/>
      <w:r w:rsidRPr="00360511">
        <w:t>tobit</w:t>
      </w:r>
      <w:proofErr w:type="spellEnd"/>
      <w:r w:rsidRPr="00360511">
        <w:t xml:space="preserve"> models. </w:t>
      </w:r>
      <w:r w:rsidRPr="00360511">
        <w:rPr>
          <w:i/>
          <w:iCs/>
        </w:rPr>
        <w:t>Ege Academic Review</w:t>
      </w:r>
      <w:r w:rsidRPr="00360511">
        <w:t>, </w:t>
      </w:r>
      <w:r w:rsidRPr="00360511">
        <w:rPr>
          <w:i/>
          <w:iCs/>
        </w:rPr>
        <w:t>20</w:t>
      </w:r>
      <w:r w:rsidRPr="00360511">
        <w:t>(3), 231-244.</w:t>
      </w:r>
    </w:p>
    <w:p w14:paraId="7B87AF61" w14:textId="77777777" w:rsidR="00C07A6E" w:rsidRDefault="00C07A6E" w:rsidP="006267B2">
      <w:pPr>
        <w:spacing w:after="0" w:line="276" w:lineRule="auto"/>
        <w:ind w:left="567" w:hanging="567"/>
        <w:jc w:val="both"/>
      </w:pPr>
      <w:r w:rsidRPr="00FD1BAB">
        <w:t xml:space="preserve">Mehrotra, S., &amp; </w:t>
      </w:r>
      <w:proofErr w:type="spellStart"/>
      <w:r w:rsidRPr="00FD1BAB">
        <w:t>Delamonica</w:t>
      </w:r>
      <w:proofErr w:type="spellEnd"/>
      <w:r w:rsidRPr="00FD1BAB">
        <w:t>, E. (1998). Household costs and public expenditure on primary education in five low income countries: A comparative analysis. </w:t>
      </w:r>
      <w:r w:rsidRPr="00FD1BAB">
        <w:rPr>
          <w:i/>
          <w:iCs/>
        </w:rPr>
        <w:t>International Journal of Educational Development</w:t>
      </w:r>
      <w:r w:rsidRPr="00FD1BAB">
        <w:t>, </w:t>
      </w:r>
      <w:r w:rsidRPr="00FD1BAB">
        <w:rPr>
          <w:i/>
          <w:iCs/>
        </w:rPr>
        <w:t>18</w:t>
      </w:r>
      <w:r w:rsidRPr="00FD1BAB">
        <w:t>(1), 41-61.</w:t>
      </w:r>
    </w:p>
    <w:p w14:paraId="1F60110E" w14:textId="77777777" w:rsidR="00C07A6E" w:rsidRDefault="00C07A6E" w:rsidP="006267B2">
      <w:pPr>
        <w:spacing w:after="0" w:line="276" w:lineRule="auto"/>
        <w:ind w:left="567" w:hanging="567"/>
        <w:jc w:val="both"/>
      </w:pPr>
      <w:r w:rsidRPr="008C4D5A">
        <w:t>Mishra, S. K., &amp; Nayak, P. (2010). Facets and factors of human development in Tripura.</w:t>
      </w:r>
      <w:r>
        <w:t xml:space="preserve"> </w:t>
      </w:r>
      <w:r w:rsidRPr="00410CAC">
        <w:t>P. Nayak (ed.) Growth and Human Development in North East India, Oxford University Press, New Delhi,</w:t>
      </w:r>
      <w:r>
        <w:t xml:space="preserve"> </w:t>
      </w:r>
      <w:r w:rsidRPr="00410CAC">
        <w:t>pp.281-296.</w:t>
      </w:r>
    </w:p>
    <w:p w14:paraId="437B0075" w14:textId="77777777" w:rsidR="00C07A6E" w:rsidRDefault="00C07A6E" w:rsidP="006267B2">
      <w:pPr>
        <w:spacing w:after="0" w:line="276" w:lineRule="auto"/>
        <w:ind w:left="567" w:hanging="567"/>
        <w:jc w:val="both"/>
      </w:pPr>
      <w:r w:rsidRPr="009C0A7D">
        <w:t>Mukherjee, A., &amp; Sengupta, S. (2023). An analysis of factors affecting private expenditure on education in India. </w:t>
      </w:r>
      <w:proofErr w:type="spellStart"/>
      <w:r w:rsidRPr="009C0A7D">
        <w:rPr>
          <w:i/>
          <w:iCs/>
        </w:rPr>
        <w:t>Arthaniti</w:t>
      </w:r>
      <w:proofErr w:type="spellEnd"/>
      <w:r w:rsidRPr="009C0A7D">
        <w:rPr>
          <w:i/>
          <w:iCs/>
        </w:rPr>
        <w:t>: Journal of Economic Theory and Practice</w:t>
      </w:r>
      <w:r w:rsidRPr="009C0A7D">
        <w:t>, </w:t>
      </w:r>
      <w:r w:rsidRPr="009C0A7D">
        <w:rPr>
          <w:i/>
          <w:iCs/>
        </w:rPr>
        <w:t>22</w:t>
      </w:r>
      <w:r w:rsidRPr="009C0A7D">
        <w:t>(2), 206-227.</w:t>
      </w:r>
    </w:p>
    <w:p w14:paraId="60CD4F16" w14:textId="77777777" w:rsidR="00C07A6E" w:rsidRDefault="00C07A6E" w:rsidP="006267B2">
      <w:pPr>
        <w:spacing w:after="0" w:line="276" w:lineRule="auto"/>
        <w:ind w:left="567" w:hanging="567"/>
        <w:jc w:val="both"/>
      </w:pPr>
      <w:r w:rsidRPr="00221DEB">
        <w:t>Rizk, R., &amp; Abou-Ali, H. (2016). Out of pocket education expenditure and household budget: Evidence from Arab countries. In </w:t>
      </w:r>
      <w:r w:rsidRPr="00221DEB">
        <w:rPr>
          <w:i/>
          <w:iCs/>
        </w:rPr>
        <w:t>Economic Research Forum Working Papers</w:t>
      </w:r>
      <w:r w:rsidRPr="00221DEB">
        <w:t> (Vol. 996).</w:t>
      </w:r>
    </w:p>
    <w:p w14:paraId="3F5FDCE1" w14:textId="77777777" w:rsidR="00C07A6E" w:rsidRDefault="00C07A6E" w:rsidP="006267B2">
      <w:pPr>
        <w:spacing w:after="0" w:line="276" w:lineRule="auto"/>
        <w:ind w:left="567" w:hanging="567"/>
        <w:jc w:val="both"/>
      </w:pPr>
      <w:r w:rsidRPr="00834333">
        <w:t>Saha, A. (2013). An assessment of gender discrimination in household expenditure on education in India. </w:t>
      </w:r>
      <w:r w:rsidRPr="00834333">
        <w:rPr>
          <w:i/>
          <w:iCs/>
        </w:rPr>
        <w:t>Oxford Development Studies</w:t>
      </w:r>
      <w:r w:rsidRPr="00834333">
        <w:t>, </w:t>
      </w:r>
      <w:r w:rsidRPr="00834333">
        <w:rPr>
          <w:i/>
          <w:iCs/>
        </w:rPr>
        <w:t>41</w:t>
      </w:r>
      <w:r w:rsidRPr="00834333">
        <w:t>(2), 220-238.</w:t>
      </w:r>
    </w:p>
    <w:p w14:paraId="5BA96E11" w14:textId="77777777" w:rsidR="00C07A6E" w:rsidRPr="00CA1FB9" w:rsidRDefault="00C07A6E" w:rsidP="00CA1FB9">
      <w:pPr>
        <w:spacing w:line="276" w:lineRule="auto"/>
        <w:ind w:left="567" w:hanging="567"/>
        <w:jc w:val="both"/>
        <w:rPr>
          <w:lang w:val="en-GB"/>
        </w:rPr>
      </w:pPr>
      <w:r w:rsidRPr="00CA1FB9">
        <w:rPr>
          <w:lang w:val="en-GB"/>
        </w:rPr>
        <w:t xml:space="preserve">Saleel Ahammed A. K., &amp; </w:t>
      </w:r>
      <w:proofErr w:type="spellStart"/>
      <w:proofErr w:type="gramStart"/>
      <w:r w:rsidRPr="00CA1FB9">
        <w:rPr>
          <w:lang w:val="en-GB"/>
        </w:rPr>
        <w:t>Cholakkal</w:t>
      </w:r>
      <w:proofErr w:type="spellEnd"/>
      <w:r w:rsidRPr="00CA1FB9">
        <w:rPr>
          <w:lang w:val="en-GB"/>
        </w:rPr>
        <w:t xml:space="preserve"> ,</w:t>
      </w:r>
      <w:proofErr w:type="gramEnd"/>
      <w:r w:rsidRPr="00CA1FB9">
        <w:rPr>
          <w:lang w:val="en-GB"/>
        </w:rPr>
        <w:t xml:space="preserve"> I. (2023). Exploring the Impact of Household Spending Patterns on Education Outcomes among Residents in Malappuram District, Kerala, India. </w:t>
      </w:r>
      <w:r w:rsidRPr="00CA1FB9">
        <w:rPr>
          <w:b/>
          <w:bCs/>
          <w:lang w:val="en-GB"/>
        </w:rPr>
        <w:t>South Asian Journal of Social Studies and Economics, 20(4)</w:t>
      </w:r>
      <w:r w:rsidRPr="00CA1FB9">
        <w:rPr>
          <w:lang w:val="en-GB"/>
        </w:rPr>
        <w:t xml:space="preserve">, 103–112. </w:t>
      </w:r>
      <w:hyperlink r:id="rId12" w:history="1">
        <w:r w:rsidRPr="00CA1FB9">
          <w:rPr>
            <w:rStyle w:val="Hyperlink"/>
            <w:u w:val="none"/>
            <w:lang w:val="en-GB"/>
          </w:rPr>
          <w:t>https://doi.org/10.9734/sajsse/2023/v20i4746</w:t>
        </w:r>
      </w:hyperlink>
      <w:r>
        <w:rPr>
          <w:lang w:val="en-GB"/>
        </w:rPr>
        <w:t>.</w:t>
      </w:r>
    </w:p>
    <w:p w14:paraId="0DF06336" w14:textId="77777777" w:rsidR="00C07A6E" w:rsidRDefault="00C07A6E" w:rsidP="00CA1FB9">
      <w:pPr>
        <w:spacing w:line="276" w:lineRule="auto"/>
        <w:ind w:left="567" w:hanging="567"/>
        <w:jc w:val="both"/>
        <w:rPr>
          <w:lang w:val="en-GB"/>
        </w:rPr>
      </w:pPr>
      <w:r w:rsidRPr="00CA1FB9">
        <w:rPr>
          <w:lang w:val="en-GB"/>
        </w:rPr>
        <w:t xml:space="preserve">Shah, M. H., Ullah, S., Ullah, K., &amp; Amin, M. T. (2020). Empirical Analysis of Household Food Consumption Pattern in Fata Region of Pakistan. </w:t>
      </w:r>
      <w:r w:rsidRPr="00CA1FB9">
        <w:rPr>
          <w:i/>
          <w:iCs/>
          <w:lang w:val="en-GB"/>
        </w:rPr>
        <w:t>Asian Journal of Economics, Business and Accounting, 14(1),</w:t>
      </w:r>
      <w:r w:rsidRPr="00CA1FB9">
        <w:rPr>
          <w:lang w:val="en-GB"/>
        </w:rPr>
        <w:t xml:space="preserve"> 1–8. </w:t>
      </w:r>
      <w:hyperlink r:id="rId13" w:history="1">
        <w:r w:rsidRPr="00CA1FB9">
          <w:rPr>
            <w:rStyle w:val="Hyperlink"/>
            <w:u w:val="none"/>
            <w:lang w:val="en-GB"/>
          </w:rPr>
          <w:t>https://doi.org/10.9734/ajeba/2020/v14i130181</w:t>
        </w:r>
      </w:hyperlink>
      <w:r>
        <w:rPr>
          <w:lang w:val="en-GB"/>
        </w:rPr>
        <w:t>.</w:t>
      </w:r>
    </w:p>
    <w:p w14:paraId="5A1ACAB5" w14:textId="77777777" w:rsidR="00C07A6E" w:rsidRDefault="00C07A6E" w:rsidP="006267B2">
      <w:pPr>
        <w:ind w:left="567" w:hanging="567"/>
        <w:jc w:val="both"/>
      </w:pPr>
      <w:r w:rsidRPr="005E13F7">
        <w:t>Tilak, J. B. (2002). </w:t>
      </w:r>
      <w:r w:rsidRPr="005E13F7">
        <w:rPr>
          <w:i/>
          <w:iCs/>
        </w:rPr>
        <w:t>Determinants of household expenditure on education in rural India</w:t>
      </w:r>
      <w:r w:rsidRPr="005E13F7">
        <w:t> (No. 88, p. 20219915525). New Delhi: National Council of Applied Economic Research.</w:t>
      </w:r>
    </w:p>
    <w:p w14:paraId="50DF7584" w14:textId="77777777" w:rsidR="00C07A6E" w:rsidRDefault="00C07A6E" w:rsidP="006267B2">
      <w:pPr>
        <w:spacing w:after="0" w:line="276" w:lineRule="auto"/>
        <w:ind w:left="567" w:hanging="567"/>
        <w:jc w:val="both"/>
      </w:pPr>
      <w:r w:rsidRPr="005479A2">
        <w:t>Ullah, A., Shaukat, S., &amp; Tariq, B. (2022). Household socio-demographic characteristics and out of pocket educational expenditure in Pakistan. </w:t>
      </w:r>
      <w:r w:rsidRPr="005479A2">
        <w:rPr>
          <w:i/>
          <w:iCs/>
        </w:rPr>
        <w:t>Journal of Policy Research (JPR)</w:t>
      </w:r>
      <w:r w:rsidRPr="005479A2">
        <w:t>, </w:t>
      </w:r>
      <w:r w:rsidRPr="005479A2">
        <w:rPr>
          <w:i/>
          <w:iCs/>
        </w:rPr>
        <w:t>8</w:t>
      </w:r>
      <w:r w:rsidRPr="005479A2">
        <w:t>(4), 1-7.</w:t>
      </w:r>
    </w:p>
    <w:sectPr w:rsidR="00C07A6E" w:rsidSect="00CD3AD2">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B736F" w14:textId="77777777" w:rsidR="00CF0354" w:rsidRDefault="00CF0354" w:rsidP="00E85FAC">
      <w:pPr>
        <w:spacing w:after="0" w:line="240" w:lineRule="auto"/>
      </w:pPr>
      <w:r>
        <w:separator/>
      </w:r>
    </w:p>
  </w:endnote>
  <w:endnote w:type="continuationSeparator" w:id="0">
    <w:p w14:paraId="097E7F85" w14:textId="77777777" w:rsidR="00CF0354" w:rsidRDefault="00CF0354" w:rsidP="00E8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FE6B" w14:textId="77777777" w:rsidR="00E85FAC" w:rsidRDefault="00E85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5D68" w14:textId="77777777" w:rsidR="00E85FAC" w:rsidRDefault="00E85F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7412" w14:textId="77777777" w:rsidR="00E85FAC" w:rsidRDefault="00E85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3CFF2" w14:textId="77777777" w:rsidR="00CF0354" w:rsidRDefault="00CF0354" w:rsidP="00E85FAC">
      <w:pPr>
        <w:spacing w:after="0" w:line="240" w:lineRule="auto"/>
      </w:pPr>
      <w:r>
        <w:separator/>
      </w:r>
    </w:p>
  </w:footnote>
  <w:footnote w:type="continuationSeparator" w:id="0">
    <w:p w14:paraId="34C0509D" w14:textId="77777777" w:rsidR="00CF0354" w:rsidRDefault="00CF0354" w:rsidP="00E85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913E" w14:textId="322F3CE6" w:rsidR="00E85FAC" w:rsidRDefault="00000000">
    <w:pPr>
      <w:pStyle w:val="Header"/>
    </w:pPr>
    <w:r>
      <w:rPr>
        <w:noProof/>
      </w:rPr>
      <w:pict w14:anchorId="477A1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480313"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EA86" w14:textId="7522E875" w:rsidR="00E85FAC" w:rsidRDefault="00000000">
    <w:pPr>
      <w:pStyle w:val="Header"/>
    </w:pPr>
    <w:r>
      <w:rPr>
        <w:noProof/>
      </w:rPr>
      <w:pict w14:anchorId="2DE63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480314"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78B8" w14:textId="24621273" w:rsidR="00E85FAC" w:rsidRDefault="00000000">
    <w:pPr>
      <w:pStyle w:val="Header"/>
    </w:pPr>
    <w:r>
      <w:rPr>
        <w:noProof/>
      </w:rPr>
      <w:pict w14:anchorId="33E99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480312"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505"/>
    <w:multiLevelType w:val="multilevel"/>
    <w:tmpl w:val="CF6026A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61EEC"/>
    <w:multiLevelType w:val="multilevel"/>
    <w:tmpl w:val="F5988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B033EC"/>
    <w:multiLevelType w:val="multilevel"/>
    <w:tmpl w:val="F72A8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655154"/>
    <w:multiLevelType w:val="multilevel"/>
    <w:tmpl w:val="A478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091567"/>
    <w:multiLevelType w:val="multilevel"/>
    <w:tmpl w:val="F72A8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016BFF"/>
    <w:multiLevelType w:val="multilevel"/>
    <w:tmpl w:val="AC549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940E16"/>
    <w:multiLevelType w:val="multilevel"/>
    <w:tmpl w:val="361C2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177383">
    <w:abstractNumId w:val="2"/>
  </w:num>
  <w:num w:numId="2" w16cid:durableId="691688293">
    <w:abstractNumId w:val="4"/>
  </w:num>
  <w:num w:numId="3" w16cid:durableId="2009163435">
    <w:abstractNumId w:val="3"/>
  </w:num>
  <w:num w:numId="4" w16cid:durableId="1105543483">
    <w:abstractNumId w:val="5"/>
    <w:lvlOverride w:ilvl="1">
      <w:lvl w:ilvl="1">
        <w:numFmt w:val="decimal"/>
        <w:lvlText w:val="%2."/>
        <w:lvlJc w:val="left"/>
      </w:lvl>
    </w:lvlOverride>
  </w:num>
  <w:num w:numId="5" w16cid:durableId="1695383445">
    <w:abstractNumId w:val="0"/>
  </w:num>
  <w:num w:numId="6" w16cid:durableId="458954486">
    <w:abstractNumId w:val="6"/>
  </w:num>
  <w:num w:numId="7" w16cid:durableId="1591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DC"/>
    <w:rsid w:val="00023F5F"/>
    <w:rsid w:val="000340E1"/>
    <w:rsid w:val="00061D5E"/>
    <w:rsid w:val="00117B15"/>
    <w:rsid w:val="001273BE"/>
    <w:rsid w:val="001664F8"/>
    <w:rsid w:val="00177580"/>
    <w:rsid w:val="001873FD"/>
    <w:rsid w:val="001E4861"/>
    <w:rsid w:val="001E6E16"/>
    <w:rsid w:val="00241273"/>
    <w:rsid w:val="00250957"/>
    <w:rsid w:val="00250CC6"/>
    <w:rsid w:val="00254696"/>
    <w:rsid w:val="00257E82"/>
    <w:rsid w:val="00282DC8"/>
    <w:rsid w:val="003361FC"/>
    <w:rsid w:val="003559C5"/>
    <w:rsid w:val="0036112D"/>
    <w:rsid w:val="00374FE9"/>
    <w:rsid w:val="0037590A"/>
    <w:rsid w:val="003829C7"/>
    <w:rsid w:val="003F715D"/>
    <w:rsid w:val="00406168"/>
    <w:rsid w:val="00421141"/>
    <w:rsid w:val="004A497E"/>
    <w:rsid w:val="004A7472"/>
    <w:rsid w:val="004B119A"/>
    <w:rsid w:val="00522CC2"/>
    <w:rsid w:val="0058317E"/>
    <w:rsid w:val="00586B03"/>
    <w:rsid w:val="005C3845"/>
    <w:rsid w:val="005C52C5"/>
    <w:rsid w:val="005D77F1"/>
    <w:rsid w:val="006054A4"/>
    <w:rsid w:val="006267B2"/>
    <w:rsid w:val="0062790A"/>
    <w:rsid w:val="006408A4"/>
    <w:rsid w:val="00640AF6"/>
    <w:rsid w:val="0066281C"/>
    <w:rsid w:val="00670249"/>
    <w:rsid w:val="006B444C"/>
    <w:rsid w:val="006C143C"/>
    <w:rsid w:val="006C22F3"/>
    <w:rsid w:val="007B461C"/>
    <w:rsid w:val="007C275F"/>
    <w:rsid w:val="007C3087"/>
    <w:rsid w:val="00862B52"/>
    <w:rsid w:val="00862C6E"/>
    <w:rsid w:val="00883185"/>
    <w:rsid w:val="008B7E85"/>
    <w:rsid w:val="008C4DA4"/>
    <w:rsid w:val="00953213"/>
    <w:rsid w:val="00970E59"/>
    <w:rsid w:val="0098355D"/>
    <w:rsid w:val="009B0FF0"/>
    <w:rsid w:val="009B46D4"/>
    <w:rsid w:val="00A85D45"/>
    <w:rsid w:val="00AC32F0"/>
    <w:rsid w:val="00AD28BC"/>
    <w:rsid w:val="00B3201F"/>
    <w:rsid w:val="00BC5420"/>
    <w:rsid w:val="00C07A6E"/>
    <w:rsid w:val="00C24935"/>
    <w:rsid w:val="00C6156A"/>
    <w:rsid w:val="00C65812"/>
    <w:rsid w:val="00C65B7A"/>
    <w:rsid w:val="00C807B3"/>
    <w:rsid w:val="00C87A9B"/>
    <w:rsid w:val="00CA1FB9"/>
    <w:rsid w:val="00CA3B29"/>
    <w:rsid w:val="00CD2441"/>
    <w:rsid w:val="00CD3AD2"/>
    <w:rsid w:val="00CF0354"/>
    <w:rsid w:val="00D06C54"/>
    <w:rsid w:val="00D2189E"/>
    <w:rsid w:val="00D63E12"/>
    <w:rsid w:val="00DA68E1"/>
    <w:rsid w:val="00DC7B50"/>
    <w:rsid w:val="00DD3B0B"/>
    <w:rsid w:val="00DE4B95"/>
    <w:rsid w:val="00DF45EA"/>
    <w:rsid w:val="00E02C43"/>
    <w:rsid w:val="00E53614"/>
    <w:rsid w:val="00E82DDC"/>
    <w:rsid w:val="00E85E54"/>
    <w:rsid w:val="00E85FAC"/>
    <w:rsid w:val="00E86657"/>
    <w:rsid w:val="00EA1A87"/>
    <w:rsid w:val="00EB3B8F"/>
    <w:rsid w:val="00F51C11"/>
    <w:rsid w:val="00F848C2"/>
    <w:rsid w:val="00F923B0"/>
    <w:rsid w:val="00FC07BB"/>
    <w:rsid w:val="00FC1C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5E9F8"/>
  <w15:chartTrackingRefBased/>
  <w15:docId w15:val="{7B38C0C7-E7B7-4458-9E84-1D97D5B9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D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2D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2DD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2D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2D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82D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2D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2D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2D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D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2D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2DD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2DD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82DD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82D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2D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2D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2D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2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D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D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2DDC"/>
    <w:pPr>
      <w:spacing w:before="160"/>
      <w:jc w:val="center"/>
    </w:pPr>
    <w:rPr>
      <w:i/>
      <w:iCs/>
      <w:color w:val="404040" w:themeColor="text1" w:themeTint="BF"/>
    </w:rPr>
  </w:style>
  <w:style w:type="character" w:customStyle="1" w:styleId="QuoteChar">
    <w:name w:val="Quote Char"/>
    <w:basedOn w:val="DefaultParagraphFont"/>
    <w:link w:val="Quote"/>
    <w:uiPriority w:val="29"/>
    <w:rsid w:val="00E82DDC"/>
    <w:rPr>
      <w:i/>
      <w:iCs/>
      <w:color w:val="404040" w:themeColor="text1" w:themeTint="BF"/>
    </w:rPr>
  </w:style>
  <w:style w:type="paragraph" w:styleId="ListParagraph">
    <w:name w:val="List Paragraph"/>
    <w:basedOn w:val="Normal"/>
    <w:uiPriority w:val="34"/>
    <w:qFormat/>
    <w:rsid w:val="00E82DDC"/>
    <w:pPr>
      <w:ind w:left="720"/>
      <w:contextualSpacing/>
    </w:pPr>
  </w:style>
  <w:style w:type="character" w:styleId="IntenseEmphasis">
    <w:name w:val="Intense Emphasis"/>
    <w:basedOn w:val="DefaultParagraphFont"/>
    <w:uiPriority w:val="21"/>
    <w:qFormat/>
    <w:rsid w:val="00E82DDC"/>
    <w:rPr>
      <w:i/>
      <w:iCs/>
      <w:color w:val="2F5496" w:themeColor="accent1" w:themeShade="BF"/>
    </w:rPr>
  </w:style>
  <w:style w:type="paragraph" w:styleId="IntenseQuote">
    <w:name w:val="Intense Quote"/>
    <w:basedOn w:val="Normal"/>
    <w:next w:val="Normal"/>
    <w:link w:val="IntenseQuoteChar"/>
    <w:uiPriority w:val="30"/>
    <w:qFormat/>
    <w:rsid w:val="00E82D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2DDC"/>
    <w:rPr>
      <w:i/>
      <w:iCs/>
      <w:color w:val="2F5496" w:themeColor="accent1" w:themeShade="BF"/>
    </w:rPr>
  </w:style>
  <w:style w:type="character" w:styleId="IntenseReference">
    <w:name w:val="Intense Reference"/>
    <w:basedOn w:val="DefaultParagraphFont"/>
    <w:uiPriority w:val="32"/>
    <w:qFormat/>
    <w:rsid w:val="00E82DDC"/>
    <w:rPr>
      <w:b/>
      <w:bCs/>
      <w:smallCaps/>
      <w:color w:val="2F5496" w:themeColor="accent1" w:themeShade="BF"/>
      <w:spacing w:val="5"/>
    </w:rPr>
  </w:style>
  <w:style w:type="character" w:styleId="Hyperlink">
    <w:name w:val="Hyperlink"/>
    <w:basedOn w:val="DefaultParagraphFont"/>
    <w:uiPriority w:val="99"/>
    <w:unhideWhenUsed/>
    <w:rsid w:val="004A7472"/>
    <w:rPr>
      <w:color w:val="0563C1" w:themeColor="hyperlink"/>
      <w:u w:val="single"/>
    </w:rPr>
  </w:style>
  <w:style w:type="character" w:styleId="UnresolvedMention">
    <w:name w:val="Unresolved Mention"/>
    <w:basedOn w:val="DefaultParagraphFont"/>
    <w:uiPriority w:val="99"/>
    <w:semiHidden/>
    <w:unhideWhenUsed/>
    <w:rsid w:val="004A7472"/>
    <w:rPr>
      <w:color w:val="605E5C"/>
      <w:shd w:val="clear" w:color="auto" w:fill="E1DFDD"/>
    </w:rPr>
  </w:style>
  <w:style w:type="paragraph" w:styleId="Header">
    <w:name w:val="header"/>
    <w:basedOn w:val="Normal"/>
    <w:link w:val="HeaderChar"/>
    <w:uiPriority w:val="99"/>
    <w:unhideWhenUsed/>
    <w:rsid w:val="00E85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FAC"/>
  </w:style>
  <w:style w:type="paragraph" w:styleId="Footer">
    <w:name w:val="footer"/>
    <w:basedOn w:val="Normal"/>
    <w:link w:val="FooterChar"/>
    <w:uiPriority w:val="99"/>
    <w:unhideWhenUsed/>
    <w:rsid w:val="00E85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FAC"/>
  </w:style>
  <w:style w:type="paragraph" w:styleId="BodyText">
    <w:name w:val="Body Text"/>
    <w:basedOn w:val="Normal"/>
    <w:link w:val="BodyTextChar"/>
    <w:rsid w:val="00CA1FB9"/>
    <w:pPr>
      <w:spacing w:after="0" w:line="240" w:lineRule="auto"/>
      <w:jc w:val="both"/>
    </w:pPr>
    <w:rPr>
      <w:rFonts w:ascii="Helvetica" w:eastAsia="MS Mincho" w:hAnsi="Helvetica" w:cs="Helvetica"/>
      <w:kern w:val="0"/>
      <w:lang w:val="fr-FR"/>
      <w14:ligatures w14:val="none"/>
    </w:rPr>
  </w:style>
  <w:style w:type="character" w:customStyle="1" w:styleId="BodyTextChar">
    <w:name w:val="Body Text Char"/>
    <w:basedOn w:val="DefaultParagraphFont"/>
    <w:link w:val="BodyText"/>
    <w:rsid w:val="00CA1FB9"/>
    <w:rPr>
      <w:rFonts w:ascii="Helvetica" w:eastAsia="MS Mincho" w:hAnsi="Helvetica" w:cs="Helvetica"/>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9734/ajeba/2020/v14i13018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9734/sajsse/2023/v20i474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E:\ICFAI%20Tripura%202025\MBB%20College%20Internship%202025\Primary%20Survey%20Details\Data%20Sheet\Combined%20Data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ICFAI%20Tripura%202025\MBB%20College%20Internship%202025\Primary%20Survey%20Details\Data%20Sheet\Combined%20Data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ICFAI%20Tripura%202025\MBB%20College%20Internship%202025\Primary%20Survey%20Details\Data%20Sheet\Combined%20Data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ICFAI%20Tripura%202025\MBB%20College%20Internship%202025\Primary%20Survey%20Details\Data%20Sheet\Combined%20DataShee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 &amp; Figures'!$CE$13</c:f>
              <c:strCache>
                <c:ptCount val="1"/>
                <c:pt idx="0">
                  <c:v>English</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Figures'!$CF$12</c:f>
              <c:strCache>
                <c:ptCount val="1"/>
                <c:pt idx="0">
                  <c:v>Average Household Out-of-Pocket Expenditure on Education per Year (₹)</c:v>
                </c:pt>
              </c:strCache>
            </c:strRef>
          </c:cat>
          <c:val>
            <c:numRef>
              <c:f>'Tables &amp; Figures'!$CF$13</c:f>
              <c:numCache>
                <c:formatCode>0</c:formatCode>
                <c:ptCount val="1"/>
                <c:pt idx="0">
                  <c:v>16431.57894736842</c:v>
                </c:pt>
              </c:numCache>
            </c:numRef>
          </c:val>
          <c:extLst>
            <c:ext xmlns:c16="http://schemas.microsoft.com/office/drawing/2014/chart" uri="{C3380CC4-5D6E-409C-BE32-E72D297353CC}">
              <c16:uniqueId val="{00000000-13CE-4EE9-920C-0EC48F3B8D5A}"/>
            </c:ext>
          </c:extLst>
        </c:ser>
        <c:ser>
          <c:idx val="1"/>
          <c:order val="1"/>
          <c:tx>
            <c:strRef>
              <c:f>'Tables &amp; Figures'!$CE$14</c:f>
              <c:strCache>
                <c:ptCount val="1"/>
                <c:pt idx="0">
                  <c:v>Bengali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Figures'!$CF$12</c:f>
              <c:strCache>
                <c:ptCount val="1"/>
                <c:pt idx="0">
                  <c:v>Average Household Out-of-Pocket Expenditure on Education per Year (₹)</c:v>
                </c:pt>
              </c:strCache>
            </c:strRef>
          </c:cat>
          <c:val>
            <c:numRef>
              <c:f>'Tables &amp; Figures'!$CF$14</c:f>
              <c:numCache>
                <c:formatCode>0</c:formatCode>
                <c:ptCount val="1"/>
                <c:pt idx="0">
                  <c:v>10939.130434782608</c:v>
                </c:pt>
              </c:numCache>
            </c:numRef>
          </c:val>
          <c:extLst>
            <c:ext xmlns:c16="http://schemas.microsoft.com/office/drawing/2014/chart" uri="{C3380CC4-5D6E-409C-BE32-E72D297353CC}">
              <c16:uniqueId val="{00000001-13CE-4EE9-920C-0EC48F3B8D5A}"/>
            </c:ext>
          </c:extLst>
        </c:ser>
        <c:dLbls>
          <c:showLegendKey val="0"/>
          <c:showVal val="0"/>
          <c:showCatName val="0"/>
          <c:showSerName val="0"/>
          <c:showPercent val="0"/>
          <c:showBubbleSize val="0"/>
        </c:dLbls>
        <c:gapWidth val="100"/>
        <c:overlap val="-24"/>
        <c:axId val="1906016271"/>
        <c:axId val="1906007151"/>
      </c:barChart>
      <c:catAx>
        <c:axId val="1906016271"/>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crossAx val="1906007151"/>
        <c:crosses val="autoZero"/>
        <c:auto val="1"/>
        <c:lblAlgn val="ctr"/>
        <c:lblOffset val="100"/>
        <c:noMultiLvlLbl val="0"/>
      </c:catAx>
      <c:valAx>
        <c:axId val="1906007151"/>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mn-lt"/>
                    <a:ea typeface="+mn-ea"/>
                    <a:cs typeface="+mn-cs"/>
                  </a:defRPr>
                </a:pPr>
                <a:r>
                  <a:rPr lang="en-IN"/>
                  <a:t>(₹)</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crossAx val="1906016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 &amp; Figures'!$CP$12</c:f>
              <c:strCache>
                <c:ptCount val="1"/>
                <c:pt idx="0">
                  <c:v>Urban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Figures'!$CQ$11</c:f>
              <c:strCache>
                <c:ptCount val="1"/>
                <c:pt idx="0">
                  <c:v>Average Household Out-of-Pocket Expenditure on Education per Year (₹)</c:v>
                </c:pt>
              </c:strCache>
            </c:strRef>
          </c:cat>
          <c:val>
            <c:numRef>
              <c:f>'Tables &amp; Figures'!$CQ$12</c:f>
              <c:numCache>
                <c:formatCode>0</c:formatCode>
                <c:ptCount val="1"/>
                <c:pt idx="0">
                  <c:v>16556.09756097561</c:v>
                </c:pt>
              </c:numCache>
            </c:numRef>
          </c:val>
          <c:extLst>
            <c:ext xmlns:c16="http://schemas.microsoft.com/office/drawing/2014/chart" uri="{C3380CC4-5D6E-409C-BE32-E72D297353CC}">
              <c16:uniqueId val="{00000000-7B1E-49BF-BD21-D29F2743557A}"/>
            </c:ext>
          </c:extLst>
        </c:ser>
        <c:ser>
          <c:idx val="1"/>
          <c:order val="1"/>
          <c:tx>
            <c:strRef>
              <c:f>'Tables &amp; Figures'!$CP$13</c:f>
              <c:strCache>
                <c:ptCount val="1"/>
                <c:pt idx="0">
                  <c:v>Rural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Figures'!$CQ$11</c:f>
              <c:strCache>
                <c:ptCount val="1"/>
                <c:pt idx="0">
                  <c:v>Average Household Out-of-Pocket Expenditure on Education per Year (₹)</c:v>
                </c:pt>
              </c:strCache>
            </c:strRef>
          </c:cat>
          <c:val>
            <c:numRef>
              <c:f>'Tables &amp; Figures'!$CQ$13</c:f>
              <c:numCache>
                <c:formatCode>0</c:formatCode>
                <c:ptCount val="1"/>
                <c:pt idx="0">
                  <c:v>13061.538461538461</c:v>
                </c:pt>
              </c:numCache>
            </c:numRef>
          </c:val>
          <c:extLst>
            <c:ext xmlns:c16="http://schemas.microsoft.com/office/drawing/2014/chart" uri="{C3380CC4-5D6E-409C-BE32-E72D297353CC}">
              <c16:uniqueId val="{00000001-7B1E-49BF-BD21-D29F2743557A}"/>
            </c:ext>
          </c:extLst>
        </c:ser>
        <c:dLbls>
          <c:showLegendKey val="0"/>
          <c:showVal val="0"/>
          <c:showCatName val="0"/>
          <c:showSerName val="0"/>
          <c:showPercent val="0"/>
          <c:showBubbleSize val="0"/>
        </c:dLbls>
        <c:gapWidth val="100"/>
        <c:overlap val="-24"/>
        <c:axId val="1906052271"/>
        <c:axId val="1906051311"/>
      </c:barChart>
      <c:catAx>
        <c:axId val="1906052271"/>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endParaRPr lang="en-US"/>
          </a:p>
        </c:txPr>
        <c:crossAx val="1906051311"/>
        <c:crosses val="autoZero"/>
        <c:auto val="1"/>
        <c:lblAlgn val="ctr"/>
        <c:lblOffset val="100"/>
        <c:noMultiLvlLbl val="0"/>
      </c:catAx>
      <c:valAx>
        <c:axId val="1906051311"/>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lgn="ctr" rtl="0">
                  <a:defRPr sz="900" b="1" i="0" u="none" strike="noStrike" kern="1200" baseline="0">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r>
                  <a:rPr lang="en-IN"/>
                  <a:t>(₹)</a:t>
                </a:r>
              </a:p>
            </c:rich>
          </c:tx>
          <c:overlay val="0"/>
          <c:spPr>
            <a:noFill/>
            <a:ln>
              <a:noFill/>
            </a:ln>
            <a:effectLst/>
          </c:spPr>
          <c:txPr>
            <a:bodyPr rot="-5400000" spcFirstLastPara="1" vertOverflow="ellipsis" vert="horz" wrap="square" anchor="ctr" anchorCtr="1"/>
            <a:lstStyle/>
            <a:p>
              <a:pPr algn="ctr" rtl="0">
                <a:defRPr sz="900" b="1" i="0" u="none" strike="noStrike" kern="1200" baseline="0">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endParaRPr lang="en-US"/>
          </a:p>
        </c:txPr>
        <c:crossAx val="1906052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 &amp; Figures'!$DA$11</c:f>
              <c:strCache>
                <c:ptCount val="1"/>
                <c:pt idx="0">
                  <c:v>Govt. Job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Figures'!$DB$10</c:f>
              <c:strCache>
                <c:ptCount val="1"/>
                <c:pt idx="0">
                  <c:v>Average Household Out-of-Pocket Expenditure on Education per Year (₹)</c:v>
                </c:pt>
              </c:strCache>
            </c:strRef>
          </c:cat>
          <c:val>
            <c:numRef>
              <c:f>'Tables &amp; Figures'!$DB$11</c:f>
              <c:numCache>
                <c:formatCode>General</c:formatCode>
                <c:ptCount val="1"/>
                <c:pt idx="0">
                  <c:v>33150</c:v>
                </c:pt>
              </c:numCache>
            </c:numRef>
          </c:val>
          <c:extLst>
            <c:ext xmlns:c16="http://schemas.microsoft.com/office/drawing/2014/chart" uri="{C3380CC4-5D6E-409C-BE32-E72D297353CC}">
              <c16:uniqueId val="{00000000-D99F-44A1-A545-1291E9085B02}"/>
            </c:ext>
          </c:extLst>
        </c:ser>
        <c:ser>
          <c:idx val="1"/>
          <c:order val="1"/>
          <c:tx>
            <c:strRef>
              <c:f>'Tables &amp; Figures'!$DA$12</c:f>
              <c:strCache>
                <c:ptCount val="1"/>
                <c:pt idx="0">
                  <c:v>Private Job</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Figures'!$DB$10</c:f>
              <c:strCache>
                <c:ptCount val="1"/>
                <c:pt idx="0">
                  <c:v>Average Household Out-of-Pocket Expenditure on Education per Year (₹)</c:v>
                </c:pt>
              </c:strCache>
            </c:strRef>
          </c:cat>
          <c:val>
            <c:numRef>
              <c:f>'Tables &amp; Figures'!$DB$12</c:f>
              <c:numCache>
                <c:formatCode>General</c:formatCode>
                <c:ptCount val="1"/>
                <c:pt idx="0">
                  <c:v>15600</c:v>
                </c:pt>
              </c:numCache>
            </c:numRef>
          </c:val>
          <c:extLst>
            <c:ext xmlns:c16="http://schemas.microsoft.com/office/drawing/2014/chart" uri="{C3380CC4-5D6E-409C-BE32-E72D297353CC}">
              <c16:uniqueId val="{00000001-D99F-44A1-A545-1291E9085B02}"/>
            </c:ext>
          </c:extLst>
        </c:ser>
        <c:ser>
          <c:idx val="2"/>
          <c:order val="2"/>
          <c:tx>
            <c:strRef>
              <c:f>'Tables &amp; Figures'!$DA$13</c:f>
              <c:strCache>
                <c:ptCount val="1"/>
                <c:pt idx="0">
                  <c:v>Self Employed</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2-D99F-44A1-A545-1291E9085B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Figures'!$DB$10</c:f>
              <c:strCache>
                <c:ptCount val="1"/>
                <c:pt idx="0">
                  <c:v>Average Household Out-of-Pocket Expenditure on Education per Year (₹)</c:v>
                </c:pt>
              </c:strCache>
            </c:strRef>
          </c:cat>
          <c:val>
            <c:numRef>
              <c:f>'Tables &amp; Figures'!$DB$13</c:f>
              <c:numCache>
                <c:formatCode>General</c:formatCode>
                <c:ptCount val="1"/>
                <c:pt idx="0">
                  <c:v>25000</c:v>
                </c:pt>
              </c:numCache>
            </c:numRef>
          </c:val>
          <c:extLst>
            <c:ext xmlns:c16="http://schemas.microsoft.com/office/drawing/2014/chart" uri="{C3380CC4-5D6E-409C-BE32-E72D297353CC}">
              <c16:uniqueId val="{00000003-D99F-44A1-A545-1291E9085B02}"/>
            </c:ext>
          </c:extLst>
        </c:ser>
        <c:ser>
          <c:idx val="3"/>
          <c:order val="3"/>
          <c:tx>
            <c:strRef>
              <c:f>'Tables &amp; Figures'!$DA$14</c:f>
              <c:strCache>
                <c:ptCount val="1"/>
                <c:pt idx="0">
                  <c:v>Housewife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Figures'!$DB$10</c:f>
              <c:strCache>
                <c:ptCount val="1"/>
                <c:pt idx="0">
                  <c:v>Average Household Out-of-Pocket Expenditure on Education per Year (₹)</c:v>
                </c:pt>
              </c:strCache>
            </c:strRef>
          </c:cat>
          <c:val>
            <c:numRef>
              <c:f>'Tables &amp; Figures'!$DB$14</c:f>
              <c:numCache>
                <c:formatCode>0</c:formatCode>
                <c:ptCount val="1"/>
                <c:pt idx="0">
                  <c:v>13608.571428571429</c:v>
                </c:pt>
              </c:numCache>
            </c:numRef>
          </c:val>
          <c:extLst>
            <c:ext xmlns:c16="http://schemas.microsoft.com/office/drawing/2014/chart" uri="{C3380CC4-5D6E-409C-BE32-E72D297353CC}">
              <c16:uniqueId val="{00000004-D99F-44A1-A545-1291E9085B02}"/>
            </c:ext>
          </c:extLst>
        </c:ser>
        <c:dLbls>
          <c:showLegendKey val="0"/>
          <c:showVal val="0"/>
          <c:showCatName val="0"/>
          <c:showSerName val="0"/>
          <c:showPercent val="0"/>
          <c:showBubbleSize val="0"/>
        </c:dLbls>
        <c:gapWidth val="100"/>
        <c:overlap val="-24"/>
        <c:axId val="1906053231"/>
        <c:axId val="1906054191"/>
      </c:barChart>
      <c:catAx>
        <c:axId val="1906053231"/>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1906054191"/>
        <c:crosses val="autoZero"/>
        <c:auto val="1"/>
        <c:lblAlgn val="ctr"/>
        <c:lblOffset val="100"/>
        <c:noMultiLvlLbl val="0"/>
      </c:catAx>
      <c:valAx>
        <c:axId val="1906054191"/>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44546A"/>
                    </a:solidFill>
                    <a:latin typeface="+mn-lt"/>
                    <a:ea typeface="+mn-ea"/>
                    <a:cs typeface="+mn-cs"/>
                  </a:defRPr>
                </a:pPr>
                <a:r>
                  <a:rPr lang="en-IN" sz="900" b="1" i="0" u="none" strike="noStrike" kern="1200" baseline="0">
                    <a:solidFill>
                      <a:srgbClr val="44546A"/>
                    </a:solidFill>
                    <a:effectLst/>
                  </a:rPr>
                  <a:t>(₹)</a:t>
                </a:r>
                <a:endParaRPr lang="en-IN" sz="900" b="1" i="0" u="none" strike="noStrike" kern="1200" baseline="0">
                  <a:solidFill>
                    <a:srgbClr val="44546A"/>
                  </a:solidFill>
                </a:endParaRP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44546A"/>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en-US"/>
          </a:p>
        </c:txPr>
        <c:crossAx val="1906053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 &amp; Figures'!$DI$11</c:f>
              <c:strCache>
                <c:ptCount val="1"/>
                <c:pt idx="0">
                  <c:v>No Private Tuition Taken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'Tables &amp; Figures'!$DJ$10</c:f>
              <c:strCache>
                <c:ptCount val="1"/>
                <c:pt idx="0">
                  <c:v>Average Household Out-of-Pocket Expenditure on Education per Year (₹)</c:v>
                </c:pt>
              </c:strCache>
            </c:strRef>
          </c:cat>
          <c:val>
            <c:numRef>
              <c:f>'Tables &amp; Figures'!$DJ$11</c:f>
              <c:numCache>
                <c:formatCode>General</c:formatCode>
                <c:ptCount val="1"/>
                <c:pt idx="0">
                  <c:v>17800</c:v>
                </c:pt>
              </c:numCache>
            </c:numRef>
          </c:val>
          <c:extLst>
            <c:ext xmlns:c16="http://schemas.microsoft.com/office/drawing/2014/chart" uri="{C3380CC4-5D6E-409C-BE32-E72D297353CC}">
              <c16:uniqueId val="{00000000-8155-424D-9F34-12A84F678675}"/>
            </c:ext>
          </c:extLst>
        </c:ser>
        <c:ser>
          <c:idx val="1"/>
          <c:order val="1"/>
          <c:tx>
            <c:strRef>
              <c:f>'Tables &amp; Figures'!$DI$12</c:f>
              <c:strCache>
                <c:ptCount val="1"/>
                <c:pt idx="0">
                  <c:v>Private Tuition Taken</c:v>
                </c:pt>
              </c:strCache>
            </c:strRef>
          </c:tx>
          <c:spPr>
            <a:solidFill>
              <a:schemeClr val="accent2"/>
            </a:solidFill>
            <a:ln>
              <a:noFill/>
            </a:ln>
            <a:effectLst/>
          </c:spPr>
          <c:invertIfNegative val="0"/>
          <c:dLbls>
            <c:dLbl>
              <c:idx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1-8155-424D-9F34-12A84F678675}"/>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'Tables &amp; Figures'!$DJ$10</c:f>
              <c:strCache>
                <c:ptCount val="1"/>
                <c:pt idx="0">
                  <c:v>Average Household Out-of-Pocket Expenditure on Education per Year (₹)</c:v>
                </c:pt>
              </c:strCache>
            </c:strRef>
          </c:cat>
          <c:val>
            <c:numRef>
              <c:f>'Tables &amp; Figures'!$DJ$12</c:f>
              <c:numCache>
                <c:formatCode>0</c:formatCode>
                <c:ptCount val="1"/>
                <c:pt idx="0">
                  <c:v>14613.513513513513</c:v>
                </c:pt>
              </c:numCache>
            </c:numRef>
          </c:val>
          <c:extLst>
            <c:ext xmlns:c16="http://schemas.microsoft.com/office/drawing/2014/chart" uri="{C3380CC4-5D6E-409C-BE32-E72D297353CC}">
              <c16:uniqueId val="{00000002-8155-424D-9F34-12A84F678675}"/>
            </c:ext>
          </c:extLst>
        </c:ser>
        <c:dLbls>
          <c:showLegendKey val="0"/>
          <c:showVal val="0"/>
          <c:showCatName val="0"/>
          <c:showSerName val="0"/>
          <c:showPercent val="0"/>
          <c:showBubbleSize val="0"/>
        </c:dLbls>
        <c:gapWidth val="267"/>
        <c:overlap val="-43"/>
        <c:axId val="2038351871"/>
        <c:axId val="2038352351"/>
      </c:barChart>
      <c:catAx>
        <c:axId val="203835187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solidFill>
                <a:latin typeface="+mn-lt"/>
                <a:ea typeface="+mn-ea"/>
                <a:cs typeface="+mn-cs"/>
              </a:defRPr>
            </a:pPr>
            <a:endParaRPr lang="en-US"/>
          </a:p>
        </c:txPr>
        <c:crossAx val="2038352351"/>
        <c:crosses val="autoZero"/>
        <c:auto val="1"/>
        <c:lblAlgn val="ctr"/>
        <c:lblOffset val="100"/>
        <c:noMultiLvlLbl val="0"/>
      </c:catAx>
      <c:valAx>
        <c:axId val="2038352351"/>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lgn="ctr" rtl="0">
                  <a:defRPr sz="900" b="1" i="0" u="none" strike="noStrike" kern="1200" baseline="0">
                    <a:solidFill>
                      <a:schemeClr val="dk1"/>
                    </a:solidFill>
                    <a:latin typeface="+mn-lt"/>
                    <a:ea typeface="+mn-ea"/>
                    <a:cs typeface="+mn-cs"/>
                  </a:defRPr>
                </a:pPr>
                <a:r>
                  <a:rPr lang="en-IN"/>
                  <a:t>(₹)</a:t>
                </a:r>
              </a:p>
            </c:rich>
          </c:tx>
          <c:overlay val="0"/>
          <c:spPr>
            <a:noFill/>
            <a:ln>
              <a:noFill/>
            </a:ln>
            <a:effectLst/>
          </c:spPr>
          <c:txPr>
            <a:bodyPr rot="-5400000" spcFirstLastPara="1" vertOverflow="ellipsis" vert="horz" wrap="square" anchor="ctr" anchorCtr="1"/>
            <a:lstStyle/>
            <a:p>
              <a:pPr algn="ctr" rtl="0">
                <a:defRPr sz="900" b="1"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crossAx val="2038351871"/>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851</TotalTime>
  <Pages>17</Pages>
  <Words>6977</Words>
  <Characters>39771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Pranjit Kr Paul</dc:creator>
  <cp:keywords/>
  <dc:description/>
  <cp:lastModifiedBy>Pranjit Kr Paul</cp:lastModifiedBy>
  <cp:revision>119</cp:revision>
  <dcterms:created xsi:type="dcterms:W3CDTF">2026-02-05T10:06:00Z</dcterms:created>
  <dcterms:modified xsi:type="dcterms:W3CDTF">2026-02-19T16:04:00Z</dcterms:modified>
</cp:coreProperties>
</file>