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816CF" w14:textId="5EF0B3E7" w:rsidR="00794F29" w:rsidRPr="00E01754" w:rsidRDefault="009C4DD0" w:rsidP="00794F29">
      <w:pPr>
        <w:widowControl w:val="0"/>
        <w:tabs>
          <w:tab w:val="left" w:pos="360"/>
          <w:tab w:val="left" w:pos="720"/>
        </w:tabs>
        <w:overflowPunct w:val="0"/>
        <w:spacing w:before="100" w:beforeAutospacing="1" w:after="0" w:line="276" w:lineRule="auto"/>
        <w:jc w:val="center"/>
        <w:rPr>
          <w:rFonts w:ascii="Arial" w:hAnsi="Arial" w:cs="Arial"/>
          <w:b/>
          <w:bCs/>
          <w:sz w:val="28"/>
          <w:szCs w:val="28"/>
        </w:rPr>
      </w:pPr>
      <w:r w:rsidRPr="00E01754">
        <w:rPr>
          <w:rFonts w:ascii="Arial" w:hAnsi="Arial" w:cs="Arial"/>
          <w:b/>
          <w:bCs/>
          <w:sz w:val="28"/>
          <w:szCs w:val="28"/>
        </w:rPr>
        <w:t xml:space="preserve">Strategies for Improving Non-Formal Secondary Education for Adult Learners’ Career Development in </w:t>
      </w:r>
      <w:r w:rsidR="00344C0A" w:rsidRPr="00E01754">
        <w:rPr>
          <w:rFonts w:ascii="Arial" w:hAnsi="Arial" w:cs="Arial"/>
          <w:b/>
          <w:bCs/>
          <w:sz w:val="28"/>
          <w:szCs w:val="28"/>
        </w:rPr>
        <w:t xml:space="preserve">the </w:t>
      </w:r>
      <w:proofErr w:type="spellStart"/>
      <w:r w:rsidR="00344C0A" w:rsidRPr="00E01754">
        <w:rPr>
          <w:rFonts w:ascii="Arial" w:hAnsi="Arial" w:cs="Arial"/>
          <w:b/>
          <w:bCs/>
          <w:sz w:val="28"/>
          <w:szCs w:val="28"/>
        </w:rPr>
        <w:t>Rukwa</w:t>
      </w:r>
      <w:proofErr w:type="spellEnd"/>
      <w:r w:rsidR="00344C0A" w:rsidRPr="00E01754">
        <w:rPr>
          <w:rFonts w:ascii="Arial" w:hAnsi="Arial" w:cs="Arial"/>
          <w:b/>
          <w:bCs/>
          <w:sz w:val="28"/>
          <w:szCs w:val="28"/>
        </w:rPr>
        <w:t xml:space="preserve"> Region,</w:t>
      </w:r>
      <w:r w:rsidRPr="00E01754">
        <w:rPr>
          <w:rFonts w:ascii="Arial" w:hAnsi="Arial" w:cs="Arial"/>
          <w:b/>
          <w:bCs/>
          <w:sz w:val="28"/>
          <w:szCs w:val="28"/>
        </w:rPr>
        <w:t xml:space="preserve"> Tanzania</w:t>
      </w:r>
    </w:p>
    <w:p w14:paraId="1904168C" w14:textId="77777777" w:rsidR="00D4158E" w:rsidRPr="00E01754" w:rsidRDefault="00D4158E" w:rsidP="000666F9">
      <w:pPr>
        <w:widowControl w:val="0"/>
        <w:tabs>
          <w:tab w:val="left" w:pos="360"/>
          <w:tab w:val="left" w:pos="720"/>
        </w:tabs>
        <w:overflowPunct w:val="0"/>
        <w:spacing w:before="100" w:beforeAutospacing="1" w:after="0" w:line="276" w:lineRule="auto"/>
        <w:jc w:val="center"/>
        <w:rPr>
          <w:rFonts w:ascii="Arial" w:hAnsi="Arial" w:cs="Arial"/>
          <w:b/>
          <w:bCs/>
        </w:rPr>
      </w:pPr>
    </w:p>
    <w:p w14:paraId="5A09661F" w14:textId="4F168FBC" w:rsidR="009C4DD0" w:rsidRPr="00E01754" w:rsidRDefault="009C4DD0" w:rsidP="00D4158E">
      <w:pPr>
        <w:spacing w:after="200" w:line="240" w:lineRule="auto"/>
        <w:rPr>
          <w:rFonts w:ascii="Arial" w:eastAsia="MS Mincho" w:hAnsi="Arial" w:cs="Arial"/>
          <w:b/>
          <w:bCs/>
          <w:i/>
          <w:iCs/>
          <w:kern w:val="0"/>
          <w14:ligatures w14:val="none"/>
        </w:rPr>
      </w:pPr>
      <w:r w:rsidRPr="00E01754">
        <w:rPr>
          <w:rFonts w:ascii="Arial" w:hAnsi="Arial" w:cs="Arial"/>
          <w:b/>
          <w:bCs/>
          <w:sz w:val="28"/>
          <w:szCs w:val="28"/>
          <w:shd w:val="clear" w:color="auto" w:fill="FFFFFF"/>
        </w:rPr>
        <w:t>ABSTRACT</w:t>
      </w:r>
    </w:p>
    <w:p w14:paraId="3D86F394" w14:textId="6049DB3F" w:rsidR="00BA435B" w:rsidRDefault="00BA435B" w:rsidP="00BA435B">
      <w:pPr>
        <w:jc w:val="both"/>
        <w:rPr>
          <w:rFonts w:ascii="Arial" w:hAnsi="Arial" w:cs="Arial"/>
        </w:rPr>
      </w:pPr>
      <w:r w:rsidRPr="00E01754">
        <w:rPr>
          <w:rStyle w:val="Strong"/>
          <w:rFonts w:ascii="Arial" w:eastAsiaTheme="majorEastAsia" w:hAnsi="Arial" w:cs="Arial"/>
          <w:b w:val="0"/>
          <w:bCs w:val="0"/>
        </w:rPr>
        <w:t xml:space="preserve">The study examined the </w:t>
      </w:r>
      <w:r w:rsidR="00344C0A" w:rsidRPr="00E01754">
        <w:rPr>
          <w:rStyle w:val="Strong"/>
          <w:rFonts w:ascii="Arial" w:eastAsiaTheme="majorEastAsia" w:hAnsi="Arial" w:cs="Arial"/>
          <w:b w:val="0"/>
          <w:bCs w:val="0"/>
        </w:rPr>
        <w:t>strategies</w:t>
      </w:r>
      <w:r w:rsidRPr="00E01754">
        <w:rPr>
          <w:rFonts w:ascii="Arial" w:hAnsi="Arial" w:cs="Arial"/>
        </w:rPr>
        <w:t xml:space="preserve"> for </w:t>
      </w:r>
      <w:r w:rsidR="00344C0A" w:rsidRPr="00E01754">
        <w:rPr>
          <w:rFonts w:ascii="Arial" w:hAnsi="Arial" w:cs="Arial"/>
        </w:rPr>
        <w:t>improving non-formal secondary education</w:t>
      </w:r>
      <w:r w:rsidRPr="00E01754">
        <w:rPr>
          <w:rFonts w:ascii="Arial" w:hAnsi="Arial" w:cs="Arial"/>
        </w:rPr>
        <w:t xml:space="preserve"> for </w:t>
      </w:r>
      <w:r w:rsidR="00344C0A" w:rsidRPr="00E01754">
        <w:rPr>
          <w:rFonts w:ascii="Arial" w:hAnsi="Arial" w:cs="Arial"/>
        </w:rPr>
        <w:t>adult learners’</w:t>
      </w:r>
      <w:r w:rsidRPr="00E01754">
        <w:rPr>
          <w:rFonts w:ascii="Arial" w:hAnsi="Arial" w:cs="Arial"/>
        </w:rPr>
        <w:t xml:space="preserve"> </w:t>
      </w:r>
      <w:r w:rsidR="00344C0A" w:rsidRPr="00E01754">
        <w:rPr>
          <w:rFonts w:ascii="Arial" w:hAnsi="Arial" w:cs="Arial"/>
        </w:rPr>
        <w:t>career development</w:t>
      </w:r>
      <w:r w:rsidRPr="00E01754">
        <w:rPr>
          <w:rFonts w:ascii="Arial" w:hAnsi="Arial" w:cs="Arial"/>
        </w:rPr>
        <w:t xml:space="preserve"> in </w:t>
      </w:r>
      <w:proofErr w:type="spellStart"/>
      <w:r w:rsidRPr="00E01754">
        <w:rPr>
          <w:rFonts w:ascii="Arial" w:hAnsi="Arial" w:cs="Arial"/>
        </w:rPr>
        <w:t>Rukwa</w:t>
      </w:r>
      <w:proofErr w:type="spellEnd"/>
      <w:r w:rsidRPr="00E01754">
        <w:rPr>
          <w:rFonts w:ascii="Arial" w:hAnsi="Arial" w:cs="Arial"/>
        </w:rPr>
        <w:t xml:space="preserve"> Region, Tanzania.</w:t>
      </w:r>
      <w:r w:rsidRPr="00E01754">
        <w:rPr>
          <w:rFonts w:ascii="Arial" w:hAnsi="Arial" w:cs="Arial"/>
          <w:shd w:val="clear" w:color="auto" w:fill="FFFFFF"/>
        </w:rPr>
        <w:t xml:space="preserve"> The study employed </w:t>
      </w:r>
      <w:r w:rsidR="0029154D">
        <w:rPr>
          <w:rFonts w:ascii="Arial" w:hAnsi="Arial" w:cs="Arial"/>
          <w:shd w:val="clear" w:color="auto" w:fill="FFFFFF"/>
        </w:rPr>
        <w:t>a mixed-methods</w:t>
      </w:r>
      <w:r w:rsidR="00A41B38" w:rsidRPr="00E01754">
        <w:rPr>
          <w:rFonts w:ascii="Arial" w:hAnsi="Arial" w:cs="Arial"/>
          <w:shd w:val="clear" w:color="auto" w:fill="FFFFFF"/>
        </w:rPr>
        <w:t xml:space="preserve"> approach</w:t>
      </w:r>
      <w:r w:rsidRPr="00E01754">
        <w:rPr>
          <w:rFonts w:ascii="Arial" w:hAnsi="Arial" w:cs="Arial"/>
          <w:shd w:val="clear" w:color="auto" w:fill="FFFFFF"/>
        </w:rPr>
        <w:t xml:space="preserve"> and </w:t>
      </w:r>
      <w:r w:rsidRPr="00E01754">
        <w:rPr>
          <w:rFonts w:ascii="Arial" w:hAnsi="Arial" w:cs="Arial"/>
          <w:highlight w:val="yellow"/>
          <w:shd w:val="clear" w:color="auto" w:fill="FFFFFF"/>
        </w:rPr>
        <w:t>convergent</w:t>
      </w:r>
      <w:r w:rsidR="00A41B38" w:rsidRPr="00E01754">
        <w:rPr>
          <w:rFonts w:ascii="Arial" w:hAnsi="Arial" w:cs="Arial"/>
          <w:highlight w:val="yellow"/>
          <w:shd w:val="clear" w:color="auto" w:fill="FFFFFF"/>
        </w:rPr>
        <w:t xml:space="preserve"> research</w:t>
      </w:r>
      <w:r w:rsidRPr="00E01754">
        <w:rPr>
          <w:rFonts w:ascii="Arial" w:hAnsi="Arial" w:cs="Arial"/>
          <w:highlight w:val="yellow"/>
          <w:shd w:val="clear" w:color="auto" w:fill="FFFFFF"/>
        </w:rPr>
        <w:t xml:space="preserve"> design</w:t>
      </w:r>
      <w:r w:rsidRPr="00E01754">
        <w:rPr>
          <w:rFonts w:ascii="Arial" w:hAnsi="Arial" w:cs="Arial"/>
          <w:shd w:val="clear" w:color="auto" w:fill="FFFFFF"/>
        </w:rPr>
        <w:t xml:space="preserve">. The study used a sample of 230 </w:t>
      </w:r>
      <w:r w:rsidR="00344C0A" w:rsidRPr="00E01754">
        <w:rPr>
          <w:rFonts w:ascii="Arial" w:hAnsi="Arial" w:cs="Arial"/>
          <w:shd w:val="clear" w:color="auto" w:fill="FFFFFF"/>
        </w:rPr>
        <w:t xml:space="preserve">respondents. </w:t>
      </w:r>
      <w:r w:rsidRPr="00E01754">
        <w:rPr>
          <w:rFonts w:ascii="Arial" w:hAnsi="Arial" w:cs="Arial"/>
          <w:shd w:val="clear" w:color="auto" w:fill="FFFFFF"/>
        </w:rPr>
        <w:t xml:space="preserve">The </w:t>
      </w:r>
      <w:r w:rsidR="00344C0A" w:rsidRPr="00E01754">
        <w:rPr>
          <w:rFonts w:ascii="Arial" w:hAnsi="Arial" w:cs="Arial"/>
          <w:shd w:val="clear" w:color="auto" w:fill="FFFFFF"/>
        </w:rPr>
        <w:t>non-formal</w:t>
      </w:r>
      <w:r w:rsidRPr="00E01754">
        <w:rPr>
          <w:rFonts w:ascii="Arial" w:hAnsi="Arial" w:cs="Arial"/>
          <w:shd w:val="clear" w:color="auto" w:fill="FFFFFF"/>
        </w:rPr>
        <w:t xml:space="preserve"> secondary adult learners were randomly </w:t>
      </w:r>
      <w:r w:rsidR="00344C0A" w:rsidRPr="00E01754">
        <w:rPr>
          <w:rFonts w:ascii="Arial" w:hAnsi="Arial" w:cs="Arial"/>
          <w:shd w:val="clear" w:color="auto" w:fill="FFFFFF"/>
        </w:rPr>
        <w:t>selected,</w:t>
      </w:r>
      <w:r w:rsidRPr="00E01754">
        <w:rPr>
          <w:rFonts w:ascii="Arial" w:hAnsi="Arial" w:cs="Arial"/>
          <w:shd w:val="clear" w:color="auto" w:fill="FFFFFF"/>
        </w:rPr>
        <w:t xml:space="preserve"> while </w:t>
      </w:r>
      <w:r w:rsidR="00344C0A" w:rsidRPr="00E01754">
        <w:rPr>
          <w:rFonts w:ascii="Arial" w:hAnsi="Arial" w:cs="Arial"/>
          <w:shd w:val="clear" w:color="auto" w:fill="FFFFFF"/>
        </w:rPr>
        <w:t>non-formal secondary adult learning</w:t>
      </w:r>
      <w:r w:rsidRPr="00E01754">
        <w:rPr>
          <w:rFonts w:ascii="Arial" w:hAnsi="Arial" w:cs="Arial"/>
          <w:shd w:val="clear" w:color="auto" w:fill="FFFFFF"/>
        </w:rPr>
        <w:t xml:space="preserve"> centre coordinators were purposively sampled from </w:t>
      </w:r>
      <w:proofErr w:type="spellStart"/>
      <w:r w:rsidRPr="00E01754">
        <w:rPr>
          <w:rFonts w:ascii="Arial" w:hAnsi="Arial" w:cs="Arial"/>
          <w:shd w:val="clear" w:color="auto" w:fill="FFFFFF"/>
        </w:rPr>
        <w:t>Rukwa</w:t>
      </w:r>
      <w:proofErr w:type="spellEnd"/>
      <w:r w:rsidRPr="00E01754">
        <w:rPr>
          <w:rFonts w:ascii="Arial" w:hAnsi="Arial" w:cs="Arial"/>
          <w:shd w:val="clear" w:color="auto" w:fill="FFFFFF"/>
        </w:rPr>
        <w:t xml:space="preserve"> region. The data were collected through questionnaires and </w:t>
      </w:r>
      <w:r w:rsidR="00053F96" w:rsidRPr="00E01754">
        <w:rPr>
          <w:rFonts w:ascii="Arial" w:hAnsi="Arial" w:cs="Arial"/>
          <w:shd w:val="clear" w:color="auto" w:fill="FFFFFF"/>
        </w:rPr>
        <w:t>in-depth</w:t>
      </w:r>
      <w:r w:rsidRPr="00E01754">
        <w:rPr>
          <w:rFonts w:ascii="Arial" w:hAnsi="Arial" w:cs="Arial"/>
          <w:shd w:val="clear" w:color="auto" w:fill="FFFFFF"/>
        </w:rPr>
        <w:t xml:space="preserve"> interviews. The quantitative data </w:t>
      </w:r>
      <w:r w:rsidR="0029154D">
        <w:rPr>
          <w:rFonts w:ascii="Arial" w:hAnsi="Arial" w:cs="Arial"/>
          <w:shd w:val="clear" w:color="auto" w:fill="FFFFFF"/>
        </w:rPr>
        <w:t>was analysed</w:t>
      </w:r>
      <w:r w:rsidR="00053F96" w:rsidRPr="00E01754">
        <w:rPr>
          <w:rFonts w:ascii="Arial" w:hAnsi="Arial" w:cs="Arial"/>
          <w:shd w:val="clear" w:color="auto" w:fill="FFFFFF"/>
        </w:rPr>
        <w:t xml:space="preserve"> using descriptive statistics in terms of percentages and frequencies with the help</w:t>
      </w:r>
      <w:r w:rsidR="00487D3C" w:rsidRPr="00E01754">
        <w:rPr>
          <w:rFonts w:ascii="Arial" w:hAnsi="Arial" w:cs="Arial"/>
          <w:shd w:val="clear" w:color="auto" w:fill="FFFFFF"/>
        </w:rPr>
        <w:t xml:space="preserve"> of the IBM Statistical Package for Social Sciences (v. 26)</w:t>
      </w:r>
      <w:r w:rsidRPr="00E01754">
        <w:rPr>
          <w:rFonts w:ascii="Arial" w:hAnsi="Arial" w:cs="Arial"/>
          <w:shd w:val="clear" w:color="auto" w:fill="FFFFFF"/>
        </w:rPr>
        <w:t xml:space="preserve">. Thematic analysis was also conducted for qualitative data. The findings </w:t>
      </w:r>
      <w:r w:rsidRPr="00E01754">
        <w:rPr>
          <w:rFonts w:ascii="Arial" w:eastAsia="Times New Roman" w:hAnsi="Arial" w:cs="Arial"/>
          <w:color w:val="000000"/>
        </w:rPr>
        <w:t xml:space="preserve">revealed the following strategies: extending a fee-free education policy to adults in NFSE. This was expected to address their financial constraints, which were preventing most of them from attending classes. Similarly, a special curriculum </w:t>
      </w:r>
      <w:r w:rsidR="0029154D">
        <w:rPr>
          <w:rFonts w:ascii="Arial" w:eastAsia="Times New Roman" w:hAnsi="Arial" w:cs="Arial"/>
          <w:color w:val="000000"/>
        </w:rPr>
        <w:t>designed for adults in ordinary secondary education was thought to make the content manageable for adults who were characterised by ageing</w:t>
      </w:r>
      <w:r w:rsidRPr="00E01754">
        <w:rPr>
          <w:rFonts w:ascii="Arial" w:eastAsia="Times New Roman" w:hAnsi="Arial" w:cs="Arial"/>
          <w:color w:val="000000"/>
        </w:rPr>
        <w:t xml:space="preserve"> and multiple roles. The digital systems for adult learning were proposed to reduce the gap between adult working and learning, home and school, and convert adult learning </w:t>
      </w:r>
      <w:r w:rsidR="00053F96" w:rsidRPr="00E01754">
        <w:rPr>
          <w:rFonts w:ascii="Arial" w:eastAsia="Times New Roman" w:hAnsi="Arial" w:cs="Arial"/>
          <w:color w:val="000000"/>
        </w:rPr>
        <w:t>into something</w:t>
      </w:r>
      <w:r w:rsidRPr="00E01754">
        <w:rPr>
          <w:rFonts w:ascii="Arial" w:eastAsia="Times New Roman" w:hAnsi="Arial" w:cs="Arial"/>
          <w:color w:val="000000"/>
        </w:rPr>
        <w:t xml:space="preserve"> more flexible in time and space. </w:t>
      </w:r>
      <w:r w:rsidR="00487D3C" w:rsidRPr="00E01754">
        <w:rPr>
          <w:rFonts w:ascii="Arial" w:hAnsi="Arial" w:cs="Arial"/>
          <w:shd w:val="clear" w:color="auto" w:fill="FFFFFF"/>
        </w:rPr>
        <w:t xml:space="preserve">The study recommends </w:t>
      </w:r>
      <w:r w:rsidR="00487D3C" w:rsidRPr="00E01754">
        <w:rPr>
          <w:rFonts w:ascii="Arial" w:hAnsi="Arial" w:cs="Arial"/>
        </w:rPr>
        <w:t>adapting</w:t>
      </w:r>
      <w:r w:rsidRPr="00E01754">
        <w:rPr>
          <w:rFonts w:ascii="Arial" w:hAnsi="Arial" w:cs="Arial"/>
        </w:rPr>
        <w:t xml:space="preserve"> </w:t>
      </w:r>
      <w:r w:rsidR="008B2C21">
        <w:rPr>
          <w:rFonts w:ascii="Arial" w:hAnsi="Arial" w:cs="Arial"/>
        </w:rPr>
        <w:t xml:space="preserve">the NFSE curriculum to adult learners' career needs by providing fee-free education, specialised </w:t>
      </w:r>
      <w:proofErr w:type="spellStart"/>
      <w:r w:rsidR="008B2C21">
        <w:rPr>
          <w:rFonts w:ascii="Arial" w:hAnsi="Arial" w:cs="Arial"/>
        </w:rPr>
        <w:t>centers</w:t>
      </w:r>
      <w:proofErr w:type="spellEnd"/>
      <w:r w:rsidR="008B2C21">
        <w:rPr>
          <w:rFonts w:ascii="Arial" w:hAnsi="Arial" w:cs="Arial"/>
        </w:rPr>
        <w:t>,</w:t>
      </w:r>
      <w:r w:rsidRPr="00E01754">
        <w:rPr>
          <w:rFonts w:ascii="Arial" w:hAnsi="Arial" w:cs="Arial"/>
        </w:rPr>
        <w:t xml:space="preserve"> and online learning. Policies should address adult learners’ challenges, while stakeholder collaboration ensures sustainable </w:t>
      </w:r>
      <w:r w:rsidR="00053F96" w:rsidRPr="00E01754">
        <w:rPr>
          <w:rFonts w:ascii="Arial" w:hAnsi="Arial" w:cs="Arial"/>
        </w:rPr>
        <w:t xml:space="preserve">programmes. </w:t>
      </w:r>
      <w:r w:rsidRPr="00E01754">
        <w:rPr>
          <w:rFonts w:ascii="Arial" w:hAnsi="Arial" w:cs="Arial"/>
        </w:rPr>
        <w:t>Career guidance and skills training will enhance self-efficacy and link learning to career advancement, supporting Andragogy Theory and SCCT</w:t>
      </w:r>
      <w:r w:rsidRPr="00E01754">
        <w:rPr>
          <w:rFonts w:ascii="Arial" w:hAnsi="Arial" w:cs="Arial"/>
          <w:shd w:val="clear" w:color="auto" w:fill="FFFFFF"/>
        </w:rPr>
        <w:t xml:space="preserve">.  </w:t>
      </w:r>
      <w:r w:rsidR="00487D3C" w:rsidRPr="00E01754">
        <w:rPr>
          <w:rFonts w:ascii="Arial" w:hAnsi="Arial" w:cs="Arial"/>
          <w:shd w:val="clear" w:color="auto" w:fill="FFFFFF"/>
        </w:rPr>
        <w:t>Further studies should be developed focusing on how</w:t>
      </w:r>
      <w:r w:rsidRPr="00E01754">
        <w:rPr>
          <w:rFonts w:ascii="Arial" w:hAnsi="Arial" w:cs="Arial"/>
        </w:rPr>
        <w:t xml:space="preserve"> delivery modes, socio-economic factors, and gender influence adult learners’ NFSE outcomes and long-term career development in Tanzania.</w:t>
      </w:r>
    </w:p>
    <w:p w14:paraId="41B3F119" w14:textId="4E031A99" w:rsidR="00754FC0" w:rsidRPr="00754FC0" w:rsidRDefault="00754FC0" w:rsidP="00754FC0">
      <w:pPr>
        <w:pStyle w:val="NormalWeb"/>
        <w:spacing w:line="360" w:lineRule="auto"/>
        <w:rPr>
          <w:rFonts w:ascii="Arial" w:hAnsi="Arial" w:cs="Arial"/>
        </w:rPr>
      </w:pPr>
      <w:r w:rsidRPr="00B02EA8">
        <w:rPr>
          <w:rFonts w:ascii="Arial" w:hAnsi="Arial" w:cs="Arial"/>
          <w:b/>
          <w:bCs/>
          <w:highlight w:val="yellow"/>
        </w:rPr>
        <w:t>Keywords</w:t>
      </w:r>
      <w:r w:rsidRPr="00B02EA8">
        <w:rPr>
          <w:rFonts w:ascii="Arial" w:hAnsi="Arial" w:cs="Arial"/>
          <w:highlight w:val="yellow"/>
        </w:rPr>
        <w:t xml:space="preserve">: </w:t>
      </w:r>
      <w:r w:rsidRPr="00B02EA8">
        <w:rPr>
          <w:rStyle w:val="Strong"/>
          <w:rFonts w:ascii="Arial" w:eastAsiaTheme="majorEastAsia" w:hAnsi="Arial" w:cs="Arial"/>
          <w:highlight w:val="yellow"/>
        </w:rPr>
        <w:t>Non-Formal Secondary Education (NFSE),</w:t>
      </w:r>
      <w:r w:rsidRPr="00B02EA8">
        <w:rPr>
          <w:rFonts w:ascii="Arial" w:hAnsi="Arial" w:cs="Arial"/>
          <w:highlight w:val="yellow"/>
        </w:rPr>
        <w:t xml:space="preserve"> </w:t>
      </w:r>
      <w:r w:rsidRPr="00B02EA8">
        <w:rPr>
          <w:rStyle w:val="Strong"/>
          <w:rFonts w:ascii="Arial" w:eastAsiaTheme="majorEastAsia" w:hAnsi="Arial" w:cs="Arial"/>
          <w:highlight w:val="yellow"/>
        </w:rPr>
        <w:t>Adult Learners,</w:t>
      </w:r>
      <w:r w:rsidRPr="00B02EA8">
        <w:rPr>
          <w:rFonts w:ascii="Arial" w:hAnsi="Arial" w:cs="Arial"/>
          <w:highlight w:val="yellow"/>
        </w:rPr>
        <w:t xml:space="preserve"> </w:t>
      </w:r>
      <w:r w:rsidRPr="00B02EA8">
        <w:rPr>
          <w:rStyle w:val="Strong"/>
          <w:rFonts w:ascii="Arial" w:eastAsiaTheme="majorEastAsia" w:hAnsi="Arial" w:cs="Arial"/>
          <w:highlight w:val="yellow"/>
        </w:rPr>
        <w:t>Career Development</w:t>
      </w:r>
    </w:p>
    <w:p w14:paraId="71FAF25E" w14:textId="2F35124B" w:rsidR="00754FC0" w:rsidRPr="00E01754" w:rsidRDefault="00754FC0" w:rsidP="00BA435B">
      <w:pPr>
        <w:jc w:val="both"/>
        <w:rPr>
          <w:rFonts w:ascii="Arial" w:hAnsi="Arial" w:cs="Arial"/>
        </w:rPr>
      </w:pPr>
    </w:p>
    <w:p w14:paraId="680DA2F8" w14:textId="77777777" w:rsidR="009C4DD0" w:rsidRPr="00E01754" w:rsidRDefault="009C4DD0" w:rsidP="00D4158E">
      <w:pPr>
        <w:spacing w:after="200" w:line="240" w:lineRule="auto"/>
        <w:rPr>
          <w:rFonts w:ascii="Arial" w:eastAsia="MS Mincho" w:hAnsi="Arial" w:cs="Arial"/>
          <w:bCs/>
          <w:kern w:val="0"/>
          <w14:ligatures w14:val="none"/>
        </w:rPr>
      </w:pPr>
    </w:p>
    <w:p w14:paraId="0766EE7E" w14:textId="77777777" w:rsidR="009C4DD0" w:rsidRPr="00E01754" w:rsidRDefault="009C4DD0" w:rsidP="00D4158E">
      <w:pPr>
        <w:spacing w:after="200" w:line="240" w:lineRule="auto"/>
        <w:rPr>
          <w:rFonts w:ascii="Arial" w:eastAsia="MS Mincho" w:hAnsi="Arial" w:cs="Arial"/>
          <w:bCs/>
          <w:i/>
          <w:iCs/>
          <w:kern w:val="0"/>
          <w14:ligatures w14:val="none"/>
        </w:rPr>
      </w:pPr>
    </w:p>
    <w:p w14:paraId="4087A0C2" w14:textId="3885ED0A" w:rsidR="00BA435B" w:rsidRPr="00E01754" w:rsidRDefault="00BA435B" w:rsidP="00D4158E">
      <w:pPr>
        <w:spacing w:after="200" w:line="240" w:lineRule="auto"/>
        <w:rPr>
          <w:rFonts w:ascii="Arial" w:eastAsia="Times New Roman" w:hAnsi="Arial" w:cs="Arial"/>
          <w:kern w:val="0"/>
          <w14:ligatures w14:val="none"/>
        </w:rPr>
      </w:pPr>
    </w:p>
    <w:p w14:paraId="04E366DD" w14:textId="22EDD1AD" w:rsidR="00583201" w:rsidRPr="00E01754" w:rsidRDefault="00583201" w:rsidP="00D4158E">
      <w:pPr>
        <w:spacing w:after="200" w:line="240" w:lineRule="auto"/>
        <w:rPr>
          <w:rFonts w:ascii="Arial" w:eastAsia="Times New Roman" w:hAnsi="Arial" w:cs="Arial"/>
          <w:kern w:val="0"/>
          <w14:ligatures w14:val="none"/>
        </w:rPr>
      </w:pPr>
    </w:p>
    <w:p w14:paraId="1891A5D4" w14:textId="26937089" w:rsidR="00583201" w:rsidRPr="00E01754" w:rsidRDefault="00583201" w:rsidP="00D4158E">
      <w:pPr>
        <w:spacing w:after="200" w:line="240" w:lineRule="auto"/>
        <w:rPr>
          <w:rFonts w:ascii="Arial" w:eastAsia="Times New Roman" w:hAnsi="Arial" w:cs="Arial"/>
          <w:kern w:val="0"/>
          <w14:ligatures w14:val="none"/>
        </w:rPr>
      </w:pPr>
    </w:p>
    <w:p w14:paraId="01510C4B" w14:textId="77777777" w:rsidR="00583201" w:rsidRPr="00E01754" w:rsidRDefault="00583201" w:rsidP="00D4158E">
      <w:pPr>
        <w:spacing w:after="200" w:line="240" w:lineRule="auto"/>
        <w:rPr>
          <w:rFonts w:ascii="Arial" w:eastAsia="Times New Roman" w:hAnsi="Arial" w:cs="Arial"/>
          <w:kern w:val="0"/>
          <w14:ligatures w14:val="none"/>
        </w:rPr>
      </w:pPr>
    </w:p>
    <w:p w14:paraId="1D3499FE" w14:textId="77777777" w:rsidR="001B077F" w:rsidRPr="00E01754" w:rsidRDefault="001B077F" w:rsidP="00794F29">
      <w:pPr>
        <w:spacing w:line="276" w:lineRule="auto"/>
        <w:jc w:val="center"/>
        <w:rPr>
          <w:rFonts w:ascii="Arial" w:hAnsi="Arial" w:cs="Arial"/>
          <w:b/>
          <w:bCs/>
        </w:rPr>
      </w:pPr>
    </w:p>
    <w:p w14:paraId="746DDA23" w14:textId="51C3B18E" w:rsidR="001B077F" w:rsidRPr="00E01754" w:rsidRDefault="0069250F" w:rsidP="00794F29">
      <w:pPr>
        <w:pStyle w:val="ListParagraph"/>
        <w:numPr>
          <w:ilvl w:val="0"/>
          <w:numId w:val="1"/>
        </w:numPr>
        <w:spacing w:line="276" w:lineRule="auto"/>
        <w:jc w:val="both"/>
        <w:rPr>
          <w:rFonts w:ascii="Arial" w:hAnsi="Arial" w:cs="Arial"/>
          <w:b/>
          <w:bCs/>
        </w:rPr>
      </w:pPr>
      <w:r w:rsidRPr="00E01754">
        <w:rPr>
          <w:rFonts w:ascii="Arial" w:hAnsi="Arial" w:cs="Arial"/>
          <w:b/>
          <w:bCs/>
        </w:rPr>
        <w:t>INTRODUCTION</w:t>
      </w:r>
    </w:p>
    <w:p w14:paraId="76FFB3BE" w14:textId="2AE5FAB2" w:rsidR="00E477D0" w:rsidRPr="00E01754" w:rsidRDefault="00E477D0" w:rsidP="00794F29">
      <w:pPr>
        <w:spacing w:line="276" w:lineRule="auto"/>
        <w:jc w:val="both"/>
        <w:rPr>
          <w:rFonts w:ascii="Arial" w:hAnsi="Arial" w:cs="Arial"/>
        </w:rPr>
      </w:pPr>
      <w:r w:rsidRPr="00E01754">
        <w:rPr>
          <w:rFonts w:ascii="Arial" w:hAnsi="Arial" w:cs="Arial"/>
        </w:rPr>
        <w:t xml:space="preserve">Adult </w:t>
      </w:r>
      <w:r w:rsidR="00344C0A" w:rsidRPr="00E01754">
        <w:rPr>
          <w:rFonts w:ascii="Arial" w:hAnsi="Arial" w:cs="Arial"/>
        </w:rPr>
        <w:t>education</w:t>
      </w:r>
      <w:r w:rsidRPr="00E01754">
        <w:rPr>
          <w:rFonts w:ascii="Arial" w:hAnsi="Arial" w:cs="Arial"/>
        </w:rPr>
        <w:t xml:space="preserve"> had been facing different challenges worldwide and </w:t>
      </w:r>
      <w:r w:rsidR="00344C0A" w:rsidRPr="00E01754">
        <w:rPr>
          <w:rFonts w:ascii="Arial" w:hAnsi="Arial" w:cs="Arial"/>
        </w:rPr>
        <w:t>locally,</w:t>
      </w:r>
      <w:r w:rsidRPr="00E01754">
        <w:rPr>
          <w:rFonts w:ascii="Arial" w:hAnsi="Arial" w:cs="Arial"/>
        </w:rPr>
        <w:t xml:space="preserve"> like poor </w:t>
      </w:r>
      <w:r w:rsidR="00344C0A" w:rsidRPr="00E01754">
        <w:rPr>
          <w:rFonts w:ascii="Arial" w:hAnsi="Arial" w:cs="Arial"/>
        </w:rPr>
        <w:t>funding,</w:t>
      </w:r>
      <w:r w:rsidRPr="00E01754">
        <w:rPr>
          <w:rFonts w:ascii="Arial" w:hAnsi="Arial" w:cs="Arial"/>
        </w:rPr>
        <w:t xml:space="preserve"> lack of motivation, poor </w:t>
      </w:r>
      <w:r w:rsidR="00344C0A" w:rsidRPr="00E01754">
        <w:rPr>
          <w:rFonts w:ascii="Arial" w:hAnsi="Arial" w:cs="Arial"/>
        </w:rPr>
        <w:t>management, and</w:t>
      </w:r>
      <w:r w:rsidRPr="00E01754">
        <w:rPr>
          <w:rFonts w:ascii="Arial" w:hAnsi="Arial" w:cs="Arial"/>
        </w:rPr>
        <w:t xml:space="preserve"> unsatisfactory </w:t>
      </w:r>
      <w:r w:rsidR="00344C0A" w:rsidRPr="00E01754">
        <w:rPr>
          <w:rFonts w:ascii="Arial" w:hAnsi="Arial" w:cs="Arial"/>
        </w:rPr>
        <w:t>plans,</w:t>
      </w:r>
      <w:r w:rsidRPr="00E01754">
        <w:rPr>
          <w:rFonts w:ascii="Arial" w:hAnsi="Arial" w:cs="Arial"/>
        </w:rPr>
        <w:t xml:space="preserve"> as noted by scholars</w:t>
      </w:r>
      <w:r w:rsidR="00344C0A" w:rsidRPr="00E01754">
        <w:rPr>
          <w:rFonts w:ascii="Arial" w:hAnsi="Arial" w:cs="Arial"/>
        </w:rPr>
        <w:t xml:space="preserve"> like</w:t>
      </w:r>
      <w:r w:rsidRPr="00E01754">
        <w:rPr>
          <w:rFonts w:ascii="Arial" w:hAnsi="Arial" w:cs="Arial"/>
        </w:rPr>
        <w:t xml:space="preserve"> </w:t>
      </w:r>
      <w:proofErr w:type="spellStart"/>
      <w:r w:rsidRPr="00E01754">
        <w:rPr>
          <w:rFonts w:ascii="Arial" w:hAnsi="Arial" w:cs="Arial"/>
        </w:rPr>
        <w:t>Msoroka</w:t>
      </w:r>
      <w:proofErr w:type="spellEnd"/>
      <w:r w:rsidRPr="00E01754">
        <w:rPr>
          <w:rFonts w:ascii="Arial" w:hAnsi="Arial" w:cs="Arial"/>
        </w:rPr>
        <w:t xml:space="preserve"> (2015), UNESCO </w:t>
      </w:r>
      <w:r w:rsidR="00344C0A" w:rsidRPr="00E01754">
        <w:rPr>
          <w:rFonts w:ascii="Arial" w:hAnsi="Arial" w:cs="Arial"/>
        </w:rPr>
        <w:t>(2018),</w:t>
      </w:r>
      <w:r w:rsidRPr="00E01754">
        <w:rPr>
          <w:rFonts w:ascii="Arial" w:hAnsi="Arial" w:cs="Arial"/>
        </w:rPr>
        <w:t xml:space="preserve"> and others. Adult education encompasses all forms of learning outside of schools, from basic literacy to lifelong personal fulfilment (</w:t>
      </w:r>
      <w:proofErr w:type="spellStart"/>
      <w:r w:rsidRPr="00E01754">
        <w:rPr>
          <w:rFonts w:ascii="Arial" w:hAnsi="Arial" w:cs="Arial"/>
        </w:rPr>
        <w:t>Bhalalusesa</w:t>
      </w:r>
      <w:proofErr w:type="spellEnd"/>
      <w:r w:rsidRPr="00E01754">
        <w:rPr>
          <w:rFonts w:ascii="Arial" w:hAnsi="Arial" w:cs="Arial"/>
        </w:rPr>
        <w:t xml:space="preserve">, 2020). It includes all programs for individual children, youths, and adults outside of traditional schooling. In </w:t>
      </w:r>
      <w:proofErr w:type="spellStart"/>
      <w:r w:rsidRPr="00E01754">
        <w:rPr>
          <w:rFonts w:ascii="Arial" w:hAnsi="Arial" w:cs="Arial"/>
        </w:rPr>
        <w:t>Boyadjieva</w:t>
      </w:r>
      <w:proofErr w:type="spellEnd"/>
      <w:r w:rsidRPr="00E01754">
        <w:rPr>
          <w:rFonts w:ascii="Arial" w:hAnsi="Arial" w:cs="Arial"/>
        </w:rPr>
        <w:t xml:space="preserve"> and </w:t>
      </w:r>
      <w:proofErr w:type="spellStart"/>
      <w:r w:rsidRPr="00E01754">
        <w:rPr>
          <w:rFonts w:ascii="Arial" w:hAnsi="Arial" w:cs="Arial"/>
        </w:rPr>
        <w:t>Ilieva-Trichkova</w:t>
      </w:r>
      <w:proofErr w:type="spellEnd"/>
      <w:r w:rsidRPr="00E01754">
        <w:rPr>
          <w:rFonts w:ascii="Arial" w:hAnsi="Arial" w:cs="Arial"/>
        </w:rPr>
        <w:t xml:space="preserve"> (2021), UNESCO defines adult education as aimed at adults in their society who want to improve their technical or professional qualifications, skills, knowledge, or competencies in a new domain, as well as refresh or update their expertise. Adult education fulfils UNESCO's mandate of skill augmentation and directly improves career development by teaching technical (occupational training, digital literacy) and soft (communication, leadership) skills that are essential for employability and promotions (Merriam &amp; Bierema, 2014). It also includes continuing education and second</w:t>
      </w:r>
      <w:r w:rsidR="00344C0A" w:rsidRPr="00E01754">
        <w:rPr>
          <w:rFonts w:ascii="Arial" w:hAnsi="Arial" w:cs="Arial"/>
        </w:rPr>
        <w:t>-chance</w:t>
      </w:r>
      <w:r w:rsidRPr="00E01754">
        <w:rPr>
          <w:rFonts w:ascii="Arial" w:hAnsi="Arial" w:cs="Arial"/>
        </w:rPr>
        <w:t xml:space="preserve"> education. More adults learning boosts employment skills, promoting professional development and career advancement, according to UNESCO (2022).  Career development is a continuous process that improves knowledge, skills, and attitudes to help adult learners improve career prospects and job standards (</w:t>
      </w:r>
      <w:proofErr w:type="spellStart"/>
      <w:r w:rsidRPr="00E01754">
        <w:rPr>
          <w:rFonts w:ascii="Arial" w:hAnsi="Arial" w:cs="Arial"/>
        </w:rPr>
        <w:t>Niati</w:t>
      </w:r>
      <w:proofErr w:type="spellEnd"/>
      <w:r w:rsidRPr="00E01754">
        <w:rPr>
          <w:rFonts w:ascii="Arial" w:hAnsi="Arial" w:cs="Arial"/>
        </w:rPr>
        <w:t xml:space="preserve"> et al., 2021). This means using life experiences to set educational goals, taking relevant training, and planning for career growth for adult learners. Career growth for adult learners relies heavily on adult education. Adult education improves skills, knowledge, and competences, increasing employability and career advancement.</w:t>
      </w:r>
    </w:p>
    <w:p w14:paraId="4A9F7A88" w14:textId="3CA2F8E8" w:rsidR="00E477D0" w:rsidRPr="00E01754" w:rsidRDefault="00E477D0" w:rsidP="00794F29">
      <w:pPr>
        <w:spacing w:line="276" w:lineRule="auto"/>
        <w:jc w:val="both"/>
        <w:rPr>
          <w:rFonts w:ascii="Arial" w:hAnsi="Arial" w:cs="Arial"/>
        </w:rPr>
      </w:pPr>
      <w:r w:rsidRPr="00E01754">
        <w:rPr>
          <w:rFonts w:ascii="Arial" w:hAnsi="Arial" w:cs="Arial"/>
        </w:rPr>
        <w:t xml:space="preserve">Globally, </w:t>
      </w:r>
      <w:r w:rsidR="00344C0A" w:rsidRPr="00E01754">
        <w:rPr>
          <w:rFonts w:ascii="Arial" w:hAnsi="Arial" w:cs="Arial"/>
        </w:rPr>
        <w:t>adult</w:t>
      </w:r>
      <w:r w:rsidRPr="00E01754">
        <w:rPr>
          <w:rFonts w:ascii="Arial" w:hAnsi="Arial" w:cs="Arial"/>
        </w:rPr>
        <w:t xml:space="preserve"> basic education is recognised as essential for lifelong learning and sustainable development (</w:t>
      </w:r>
      <w:proofErr w:type="spellStart"/>
      <w:r w:rsidRPr="00E01754">
        <w:rPr>
          <w:rFonts w:ascii="Arial" w:hAnsi="Arial" w:cs="Arial"/>
        </w:rPr>
        <w:t>Benavot</w:t>
      </w:r>
      <w:proofErr w:type="spellEnd"/>
      <w:r w:rsidRPr="00E01754">
        <w:rPr>
          <w:rFonts w:ascii="Arial" w:hAnsi="Arial" w:cs="Arial"/>
        </w:rPr>
        <w:t xml:space="preserve"> &amp; Williams, 2023). The World Bank, </w:t>
      </w:r>
      <w:r w:rsidR="00487D3C" w:rsidRPr="00E01754">
        <w:rPr>
          <w:rFonts w:ascii="Arial" w:hAnsi="Arial" w:cs="Arial"/>
        </w:rPr>
        <w:t>the OECD, and UNESCO emphasise the importance of adult education for</w:t>
      </w:r>
      <w:r w:rsidRPr="00E01754">
        <w:rPr>
          <w:rFonts w:ascii="Arial" w:hAnsi="Arial" w:cs="Arial"/>
        </w:rPr>
        <w:t xml:space="preserve"> poverty reduction, employment, and social inclusion. One of the main </w:t>
      </w:r>
      <w:r w:rsidR="00344C0A" w:rsidRPr="00E01754">
        <w:rPr>
          <w:rFonts w:ascii="Arial" w:hAnsi="Arial" w:cs="Arial"/>
        </w:rPr>
        <w:t>causes of</w:t>
      </w:r>
      <w:r w:rsidRPr="00E01754">
        <w:rPr>
          <w:rFonts w:ascii="Arial" w:hAnsi="Arial" w:cs="Arial"/>
        </w:rPr>
        <w:t xml:space="preserve"> increasing human capital is adult education. UNESCO's 2022 Global Education Monitoring Report found that adult literacy and numeracy boost productivity, economic growth, and poverty reduction. </w:t>
      </w:r>
      <w:r w:rsidR="00487D3C" w:rsidRPr="00E01754">
        <w:rPr>
          <w:rFonts w:ascii="Arial" w:hAnsi="Arial" w:cs="Arial"/>
        </w:rPr>
        <w:t>Globally, increased literacy is associated with reduced income inequality and improved economic outcomes.</w:t>
      </w:r>
      <w:r w:rsidRPr="00E01754">
        <w:rPr>
          <w:rFonts w:ascii="Arial" w:hAnsi="Arial" w:cs="Arial"/>
        </w:rPr>
        <w:t xml:space="preserve"> Reimers (2024) and Zickafoose et al. (2024) stressed the importance of basic education in achieving Sustainable Development Goal 4 (SDG 4), which guarantees inclusive and equitable quality education for all. </w:t>
      </w:r>
      <w:r w:rsidR="00487D3C" w:rsidRPr="00E01754">
        <w:rPr>
          <w:rFonts w:ascii="Arial" w:hAnsi="Arial" w:cs="Arial"/>
        </w:rPr>
        <w:t>SDG 8 (decent employment and economic growth) links employability and work readiness to adult education.</w:t>
      </w:r>
      <w:r w:rsidRPr="00E01754">
        <w:rPr>
          <w:rFonts w:ascii="Arial" w:hAnsi="Arial" w:cs="Arial"/>
        </w:rPr>
        <w:t xml:space="preserve"> Germany, Sweden, and Denmark have strong lifetime learning systems. These programs combine adult education with skills training to help students rise to higher </w:t>
      </w:r>
      <w:r w:rsidRPr="00E01754">
        <w:rPr>
          <w:rFonts w:ascii="Arial" w:hAnsi="Arial" w:cs="Arial"/>
        </w:rPr>
        <w:lastRenderedPageBreak/>
        <w:t>professions, switch fields, and start businesses. For instance, the German "</w:t>
      </w:r>
      <w:proofErr w:type="spellStart"/>
      <w:r w:rsidRPr="00E01754">
        <w:rPr>
          <w:rFonts w:ascii="Arial" w:hAnsi="Arial" w:cs="Arial"/>
        </w:rPr>
        <w:t>Volkshochschule</w:t>
      </w:r>
      <w:proofErr w:type="spellEnd"/>
      <w:r w:rsidRPr="00E01754">
        <w:rPr>
          <w:rFonts w:ascii="Arial" w:hAnsi="Arial" w:cs="Arial"/>
        </w:rPr>
        <w:t xml:space="preserve">" model offers </w:t>
      </w:r>
      <w:r w:rsidR="00487D3C" w:rsidRPr="00E01754">
        <w:rPr>
          <w:rFonts w:ascii="Arial" w:hAnsi="Arial" w:cs="Arial"/>
        </w:rPr>
        <w:t>labour-</w:t>
      </w:r>
      <w:r w:rsidR="00344C0A" w:rsidRPr="00E01754">
        <w:rPr>
          <w:rFonts w:ascii="Arial" w:hAnsi="Arial" w:cs="Arial"/>
        </w:rPr>
        <w:t>market-focused</w:t>
      </w:r>
      <w:r w:rsidRPr="00E01754">
        <w:rPr>
          <w:rFonts w:ascii="Arial" w:hAnsi="Arial" w:cs="Arial"/>
        </w:rPr>
        <w:t xml:space="preserve"> education (OECD, 2023). These classes helped me personally and professionally.  In contrast, the stigma of adult education in the UK discourages participation, especially among seniors (Wulff &amp; Lassen, 2024). </w:t>
      </w:r>
    </w:p>
    <w:p w14:paraId="632C8CA5" w14:textId="75E34494" w:rsidR="00E477D0" w:rsidRPr="00E01754" w:rsidRDefault="00E477D0" w:rsidP="00794F29">
      <w:pPr>
        <w:spacing w:line="276" w:lineRule="auto"/>
        <w:jc w:val="both"/>
        <w:rPr>
          <w:rFonts w:ascii="Arial" w:hAnsi="Arial" w:cs="Arial"/>
        </w:rPr>
      </w:pPr>
      <w:r w:rsidRPr="00E01754">
        <w:rPr>
          <w:rFonts w:ascii="Arial" w:hAnsi="Arial" w:cs="Arial"/>
        </w:rPr>
        <w:t xml:space="preserve">Despite its benefits, German adult education has language and bureaucratic impediments (Thomas et al., 2024).  England created the National </w:t>
      </w:r>
      <w:r w:rsidR="00344C0A" w:rsidRPr="00E01754">
        <w:rPr>
          <w:rFonts w:ascii="Arial" w:hAnsi="Arial" w:cs="Arial"/>
        </w:rPr>
        <w:t>Abilities</w:t>
      </w:r>
      <w:r w:rsidRPr="00E01754">
        <w:rPr>
          <w:rFonts w:ascii="Arial" w:hAnsi="Arial" w:cs="Arial"/>
        </w:rPr>
        <w:t xml:space="preserve"> Fund, which includes the Flexible Learning Fund, Career Learning Pilots, and the National Retraining Scheme, to help adult learners increase their abilities (Hall &amp; </w:t>
      </w:r>
      <w:proofErr w:type="spellStart"/>
      <w:r w:rsidRPr="00E01754">
        <w:rPr>
          <w:rFonts w:ascii="Arial" w:hAnsi="Arial" w:cs="Arial"/>
        </w:rPr>
        <w:t>Mrvcic</w:t>
      </w:r>
      <w:proofErr w:type="spellEnd"/>
      <w:r w:rsidRPr="00E01754">
        <w:rPr>
          <w:rFonts w:ascii="Arial" w:hAnsi="Arial" w:cs="Arial"/>
        </w:rPr>
        <w:t xml:space="preserve">, 2022). Even though continuous learning is essential for adapting to technological advances, career development, and changing industry standards, many low-skilled adults and their employers in England lack the motivation to pursue learning opportunities (OECD, 2020). North American adults can balance </w:t>
      </w:r>
      <w:r w:rsidR="00344C0A" w:rsidRPr="00E01754">
        <w:rPr>
          <w:rFonts w:ascii="Arial" w:hAnsi="Arial" w:cs="Arial"/>
        </w:rPr>
        <w:t>jobs</w:t>
      </w:r>
      <w:r w:rsidRPr="00E01754">
        <w:rPr>
          <w:rFonts w:ascii="Arial" w:hAnsi="Arial" w:cs="Arial"/>
        </w:rPr>
        <w:t xml:space="preserve"> and </w:t>
      </w:r>
      <w:r w:rsidR="00344C0A" w:rsidRPr="00E01754">
        <w:rPr>
          <w:rFonts w:ascii="Arial" w:hAnsi="Arial" w:cs="Arial"/>
        </w:rPr>
        <w:t>studies</w:t>
      </w:r>
      <w:r w:rsidRPr="00E01754">
        <w:rPr>
          <w:rFonts w:ascii="Arial" w:hAnsi="Arial" w:cs="Arial"/>
        </w:rPr>
        <w:t xml:space="preserve"> with online and blended learning (World Bank, 2022). </w:t>
      </w:r>
      <w:r w:rsidR="00344C0A" w:rsidRPr="00E01754">
        <w:rPr>
          <w:rFonts w:ascii="Arial" w:hAnsi="Arial" w:cs="Arial"/>
        </w:rPr>
        <w:t>Professional</w:t>
      </w:r>
      <w:r w:rsidRPr="00E01754">
        <w:rPr>
          <w:rFonts w:ascii="Arial" w:hAnsi="Arial" w:cs="Arial"/>
        </w:rPr>
        <w:t xml:space="preserve"> advancement, workforce reintegration, and economic growth have relied on lifelong learning for future job possibilities and professional success (U.S. Department of Education, 2025). However, low finance limits access in rural and economically poor areas (National Coalition for Literacy, 2022). </w:t>
      </w:r>
    </w:p>
    <w:p w14:paraId="3F1C7C98" w14:textId="45964A0B" w:rsidR="00E477D0" w:rsidRPr="00E01754" w:rsidRDefault="00E477D0" w:rsidP="00794F29">
      <w:pPr>
        <w:spacing w:line="276" w:lineRule="auto"/>
        <w:jc w:val="both"/>
        <w:rPr>
          <w:rFonts w:ascii="Arial" w:hAnsi="Arial" w:cs="Arial"/>
        </w:rPr>
      </w:pPr>
      <w:r w:rsidRPr="00E01754">
        <w:rPr>
          <w:rFonts w:ascii="Arial" w:hAnsi="Arial" w:cs="Arial"/>
        </w:rPr>
        <w:t>Sub-Saharan Africa needs adult education for career development, poverty, illiteracy, and unemployment. SSADC Vision 2050 promotes sustainable employment. Many African people seek adult education to better their livelihoods and fill formal education gaps (</w:t>
      </w:r>
      <w:r w:rsidR="00344C0A" w:rsidRPr="00E01754">
        <w:rPr>
          <w:rFonts w:ascii="Arial" w:hAnsi="Arial" w:cs="Arial"/>
        </w:rPr>
        <w:t>Zickafoose</w:t>
      </w:r>
      <w:r w:rsidRPr="00E01754">
        <w:rPr>
          <w:rFonts w:ascii="Arial" w:hAnsi="Arial" w:cs="Arial"/>
        </w:rPr>
        <w:t xml:space="preserve"> et al., 2024).  Sub-Saharan Africa prioritises functional literacy, vocational training, and community empowerment since the African Union's Agenda 2063 requires education for sustainable development.  Teaching reading and maths enhances employment and income, particularly in rural areas, according to Oxenham (2024). South Africa's Adult Basic Education and Training (ABET) programme combines literacy and vocational training to prepare people for society and the workforce (</w:t>
      </w:r>
      <w:proofErr w:type="spellStart"/>
      <w:r w:rsidRPr="00E01754">
        <w:rPr>
          <w:rFonts w:ascii="Arial" w:hAnsi="Arial" w:cs="Arial"/>
        </w:rPr>
        <w:t>Ditlhale</w:t>
      </w:r>
      <w:proofErr w:type="spellEnd"/>
      <w:r w:rsidRPr="00E01754">
        <w:rPr>
          <w:rFonts w:ascii="Arial" w:hAnsi="Arial" w:cs="Arial"/>
        </w:rPr>
        <w:t xml:space="preserve"> &amp; van den Berg, 2024</w:t>
      </w:r>
      <w:r w:rsidR="001A3C7B" w:rsidRPr="00E01754">
        <w:rPr>
          <w:rFonts w:ascii="Arial" w:hAnsi="Arial" w:cs="Arial"/>
        </w:rPr>
        <w:t>)</w:t>
      </w:r>
      <w:r w:rsidRPr="00E01754">
        <w:rPr>
          <w:rFonts w:ascii="Arial" w:hAnsi="Arial" w:cs="Arial"/>
        </w:rPr>
        <w:t>. ABET helps unschooled individuals adapt to South Africa's changing economic, social, and political climate. Outdated teaching materials, inadequate teacher preparation, and poor academic success hamper its efficacy (Daniels, 2023).</w:t>
      </w:r>
    </w:p>
    <w:p w14:paraId="252899D2" w14:textId="659733D5" w:rsidR="000A7207" w:rsidRPr="00E01754" w:rsidRDefault="00E477D0" w:rsidP="00794F29">
      <w:pPr>
        <w:spacing w:line="276" w:lineRule="auto"/>
        <w:jc w:val="both"/>
        <w:rPr>
          <w:rFonts w:ascii="Arial" w:hAnsi="Arial" w:cs="Arial"/>
        </w:rPr>
      </w:pPr>
      <w:r w:rsidRPr="00E01754">
        <w:rPr>
          <w:rFonts w:ascii="Arial" w:hAnsi="Arial" w:cs="Arial"/>
        </w:rPr>
        <w:t>Uganda's Functional Adult Literacy (FAL) initiative has provided professional and entrepreneurial skills to enhance lives (</w:t>
      </w:r>
      <w:proofErr w:type="spellStart"/>
      <w:r w:rsidRPr="00E01754">
        <w:rPr>
          <w:rFonts w:ascii="Arial" w:hAnsi="Arial" w:cs="Arial"/>
        </w:rPr>
        <w:t>Akello</w:t>
      </w:r>
      <w:proofErr w:type="spellEnd"/>
      <w:r w:rsidRPr="00E01754">
        <w:rPr>
          <w:rFonts w:ascii="Arial" w:hAnsi="Arial" w:cs="Arial"/>
        </w:rPr>
        <w:t xml:space="preserve"> &amp; </w:t>
      </w:r>
      <w:proofErr w:type="spellStart"/>
      <w:r w:rsidRPr="00E01754">
        <w:rPr>
          <w:rFonts w:ascii="Arial" w:hAnsi="Arial" w:cs="Arial"/>
        </w:rPr>
        <w:t>Lutwama-Rukundo</w:t>
      </w:r>
      <w:proofErr w:type="spellEnd"/>
      <w:r w:rsidRPr="00E01754">
        <w:rPr>
          <w:rFonts w:ascii="Arial" w:hAnsi="Arial" w:cs="Arial"/>
        </w:rPr>
        <w:t>, 2022</w:t>
      </w:r>
      <w:r w:rsidR="001A3C7B" w:rsidRPr="00E01754">
        <w:rPr>
          <w:rFonts w:ascii="Arial" w:hAnsi="Arial" w:cs="Arial"/>
        </w:rPr>
        <w:t>)</w:t>
      </w:r>
      <w:r w:rsidR="00344C0A" w:rsidRPr="00E01754">
        <w:rPr>
          <w:rFonts w:ascii="Arial" w:hAnsi="Arial" w:cs="Arial"/>
        </w:rPr>
        <w:t>.</w:t>
      </w:r>
      <w:r w:rsidRPr="00E01754">
        <w:rPr>
          <w:rFonts w:ascii="Arial" w:hAnsi="Arial" w:cs="Arial"/>
        </w:rPr>
        <w:t xml:space="preserve"> However, resource restrictions, poor academic performance, and overcrowded classrooms hamper refugee adult education (</w:t>
      </w:r>
      <w:proofErr w:type="spellStart"/>
      <w:r w:rsidRPr="00E01754">
        <w:rPr>
          <w:rFonts w:ascii="Arial" w:hAnsi="Arial" w:cs="Arial"/>
        </w:rPr>
        <w:t>Mugerwa-Sekawabe</w:t>
      </w:r>
      <w:proofErr w:type="spellEnd"/>
      <w:r w:rsidRPr="00E01754">
        <w:rPr>
          <w:rFonts w:ascii="Arial" w:hAnsi="Arial" w:cs="Arial"/>
        </w:rPr>
        <w:t>, 2022</w:t>
      </w:r>
      <w:r w:rsidR="001A3C7B" w:rsidRPr="00E01754">
        <w:rPr>
          <w:rFonts w:ascii="Arial" w:hAnsi="Arial" w:cs="Arial"/>
        </w:rPr>
        <w:t>)</w:t>
      </w:r>
      <w:r w:rsidRPr="00E01754">
        <w:rPr>
          <w:rFonts w:ascii="Arial" w:hAnsi="Arial" w:cs="Arial"/>
        </w:rPr>
        <w:t>.  Distance learners in Kenya may now grow and plan their careers thanks to mobile learning platforms (</w:t>
      </w:r>
      <w:r w:rsidR="00344C0A" w:rsidRPr="00E01754">
        <w:rPr>
          <w:rFonts w:ascii="Arial" w:hAnsi="Arial" w:cs="Arial"/>
        </w:rPr>
        <w:t>Gakuru,</w:t>
      </w:r>
      <w:r w:rsidRPr="00E01754">
        <w:rPr>
          <w:rFonts w:ascii="Arial" w:hAnsi="Arial" w:cs="Arial"/>
        </w:rPr>
        <w:t xml:space="preserve"> 2022; Otieno et al., 2023). Online and mixed learning may improve adult engagement and align training with labour market needs </w:t>
      </w:r>
      <w:r w:rsidR="001A3C7B" w:rsidRPr="00E01754">
        <w:rPr>
          <w:rFonts w:ascii="Arial" w:hAnsi="Arial" w:cs="Arial"/>
        </w:rPr>
        <w:t>(</w:t>
      </w:r>
      <w:r w:rsidR="00344C0A" w:rsidRPr="00E01754">
        <w:rPr>
          <w:rFonts w:ascii="Arial" w:hAnsi="Arial" w:cs="Arial"/>
        </w:rPr>
        <w:t>World</w:t>
      </w:r>
      <w:r w:rsidRPr="00E01754">
        <w:rPr>
          <w:rFonts w:ascii="Arial" w:hAnsi="Arial" w:cs="Arial"/>
        </w:rPr>
        <w:t xml:space="preserve"> Bank, 2022).  Poor internet penetration and limited digital devices hinder online and blended learning in Malawi and Kenya (Flam et al., 2024</w:t>
      </w:r>
      <w:r w:rsidR="001A3C7B" w:rsidRPr="00E01754">
        <w:rPr>
          <w:rFonts w:ascii="Arial" w:hAnsi="Arial" w:cs="Arial"/>
        </w:rPr>
        <w:t>)</w:t>
      </w:r>
      <w:r w:rsidRPr="00E01754">
        <w:rPr>
          <w:rFonts w:ascii="Arial" w:hAnsi="Arial" w:cs="Arial"/>
        </w:rPr>
        <w:t xml:space="preserve">. These issues contradict </w:t>
      </w:r>
      <w:r w:rsidR="0029154D">
        <w:rPr>
          <w:rFonts w:ascii="Arial" w:hAnsi="Arial" w:cs="Arial"/>
        </w:rPr>
        <w:t>the East African states' objective of ending foreign aid by 2050 and the South African Development Community's Vision 2050, which prioritises</w:t>
      </w:r>
      <w:r w:rsidRPr="00E01754">
        <w:rPr>
          <w:rFonts w:ascii="Arial" w:hAnsi="Arial" w:cs="Arial"/>
        </w:rPr>
        <w:t xml:space="preserve"> </w:t>
      </w:r>
      <w:r w:rsidRPr="00E01754">
        <w:rPr>
          <w:rFonts w:ascii="Arial" w:hAnsi="Arial" w:cs="Arial"/>
        </w:rPr>
        <w:lastRenderedPageBreak/>
        <w:t xml:space="preserve">career development and employment </w:t>
      </w:r>
      <w:r w:rsidR="00344C0A" w:rsidRPr="00E01754">
        <w:rPr>
          <w:rFonts w:ascii="Arial" w:hAnsi="Arial" w:cs="Arial"/>
        </w:rPr>
        <w:t>(SADC,</w:t>
      </w:r>
      <w:r w:rsidRPr="00E01754">
        <w:rPr>
          <w:rFonts w:ascii="Arial" w:hAnsi="Arial" w:cs="Arial"/>
        </w:rPr>
        <w:t xml:space="preserve"> 2020).  Bako (2022) discovered that basic literacy programs improved adult learners' performance in Nigeria. </w:t>
      </w:r>
      <w:r w:rsidR="00487D3C" w:rsidRPr="00E01754">
        <w:rPr>
          <w:rFonts w:ascii="Arial" w:hAnsi="Arial" w:cs="Arial"/>
        </w:rPr>
        <w:t>The literature on African adult education and career development is often confusing.</w:t>
      </w:r>
      <w:r w:rsidRPr="00E01754">
        <w:rPr>
          <w:rFonts w:ascii="Arial" w:hAnsi="Arial" w:cs="Arial"/>
        </w:rPr>
        <w:t xml:space="preserve"> African adult education has cultural, linguistic, social, and intellectual barriers (Brown, 2022; Katete, 2023).</w:t>
      </w:r>
    </w:p>
    <w:p w14:paraId="42249CBD" w14:textId="03D25DB2" w:rsidR="000A7207" w:rsidRPr="00E01754" w:rsidRDefault="000A7207" w:rsidP="00794F29">
      <w:pPr>
        <w:spacing w:line="276" w:lineRule="auto"/>
        <w:jc w:val="both"/>
        <w:rPr>
          <w:rFonts w:ascii="Arial" w:hAnsi="Arial" w:cs="Arial"/>
        </w:rPr>
      </w:pPr>
      <w:r w:rsidRPr="00E01754">
        <w:rPr>
          <w:rFonts w:ascii="Arial" w:eastAsia="Times New Roman" w:hAnsi="Arial" w:cs="Arial"/>
        </w:rPr>
        <w:t>In Tanzania, Non-Formal Secondary Education (NFSE), as the primary form of adult education, represents a central component of Adult and Non-Formal Education (ANFE), providing alternative learning pathways for adults and out-of-school youths who were unable to complete formal secondary education.</w:t>
      </w:r>
      <w:r w:rsidRPr="00E01754">
        <w:rPr>
          <w:rFonts w:ascii="Arial" w:hAnsi="Arial" w:cs="Arial"/>
        </w:rPr>
        <w:t xml:space="preserve"> NFSE </w:t>
      </w:r>
      <w:r w:rsidR="00487D3C" w:rsidRPr="00E01754">
        <w:rPr>
          <w:rFonts w:ascii="Arial" w:hAnsi="Arial" w:cs="Arial"/>
        </w:rPr>
        <w:t>programs teach adult literacy, life skills, and continuing education through open, distant, and flexible learning methods for students aged 19 and older (UNESCO, 2024; the</w:t>
      </w:r>
      <w:r w:rsidRPr="00E01754">
        <w:rPr>
          <w:rFonts w:ascii="Arial" w:hAnsi="Arial" w:cs="Arial"/>
        </w:rPr>
        <w:t xml:space="preserve"> Tanzania Education Sector Development Plan, 2025). NFSE, the main secondary education option for adults, aims to eliminate educational </w:t>
      </w:r>
      <w:r w:rsidR="00487D3C" w:rsidRPr="00E01754">
        <w:rPr>
          <w:rFonts w:ascii="Arial" w:hAnsi="Arial" w:cs="Arial"/>
        </w:rPr>
        <w:t>marginalisation, improve employment, and promote</w:t>
      </w:r>
      <w:r w:rsidRPr="00E01754">
        <w:rPr>
          <w:rFonts w:ascii="Arial" w:hAnsi="Arial" w:cs="Arial"/>
        </w:rPr>
        <w:t xml:space="preserve"> socioeconomic inclusion. </w:t>
      </w:r>
      <w:r w:rsidR="00487D3C" w:rsidRPr="00E01754">
        <w:rPr>
          <w:rFonts w:ascii="Arial" w:hAnsi="Arial" w:cs="Arial"/>
        </w:rPr>
        <w:t>The Institute of Adult Education (IAE) (IAE, 2020) oversees the registration, supervision, and regulation of NFSE facilities nationally.</w:t>
      </w:r>
      <w:r w:rsidRPr="00E01754">
        <w:rPr>
          <w:rFonts w:ascii="Arial" w:hAnsi="Arial" w:cs="Arial"/>
        </w:rPr>
        <w:t xml:space="preserve"> Adult learners can integrate schooling with employment, family, and community obligations at these institutions, which offer the national secondary school curriculum through face-to-face instruction and self-study. Stages I (Forms One and Two, including a qualifying test), II (Forms Three and Four, culminating in the Form Four National Examinations conducted by NECTA), and III (Forms Five and Six) comprise the </w:t>
      </w:r>
      <w:r w:rsidR="00344C0A" w:rsidRPr="00E01754">
        <w:rPr>
          <w:rFonts w:ascii="Arial" w:hAnsi="Arial" w:cs="Arial"/>
        </w:rPr>
        <w:t xml:space="preserve">programme. </w:t>
      </w:r>
      <w:r w:rsidRPr="00E01754">
        <w:rPr>
          <w:rFonts w:ascii="Arial" w:hAnsi="Arial" w:cs="Arial"/>
        </w:rPr>
        <w:t>Candidates who pass national exams as private candidates can enter formal training or further study, depending on age.</w:t>
      </w:r>
    </w:p>
    <w:p w14:paraId="73673A4A" w14:textId="697F1853" w:rsidR="000A7207" w:rsidRPr="00E01754" w:rsidRDefault="000A7207" w:rsidP="00794F29">
      <w:pPr>
        <w:spacing w:line="276" w:lineRule="auto"/>
        <w:jc w:val="both"/>
        <w:rPr>
          <w:rFonts w:ascii="Arial" w:hAnsi="Arial" w:cs="Arial"/>
        </w:rPr>
      </w:pPr>
      <w:r w:rsidRPr="00E01754">
        <w:rPr>
          <w:rFonts w:ascii="Arial" w:hAnsi="Arial" w:cs="Arial"/>
        </w:rPr>
        <w:t xml:space="preserve">Tanzania began offering evening and weekend NFSE lessons in 1963 to help civil servants and other individuals update their qualifications. In response to formal education system constraints like limited secondary school places, declining transition rates, poor examination performance, and high dropout rates, provision expanded to include public institutions, private providers, and community-based initiatives (URT, 2018). Therefore, many </w:t>
      </w:r>
      <w:r w:rsidR="00344C0A" w:rsidRPr="00E01754">
        <w:rPr>
          <w:rFonts w:ascii="Arial" w:hAnsi="Arial" w:cs="Arial"/>
        </w:rPr>
        <w:t>adults,</w:t>
      </w:r>
      <w:r w:rsidRPr="00E01754">
        <w:rPr>
          <w:rFonts w:ascii="Arial" w:hAnsi="Arial" w:cs="Arial"/>
        </w:rPr>
        <w:t xml:space="preserve"> including farmers, businesspeople, and public </w:t>
      </w:r>
      <w:r w:rsidR="00344C0A" w:rsidRPr="00E01754">
        <w:rPr>
          <w:rFonts w:ascii="Arial" w:hAnsi="Arial" w:cs="Arial"/>
        </w:rPr>
        <w:t>servants,</w:t>
      </w:r>
      <w:r w:rsidRPr="00E01754">
        <w:rPr>
          <w:rFonts w:ascii="Arial" w:hAnsi="Arial" w:cs="Arial"/>
        </w:rPr>
        <w:t xml:space="preserve"> lack secondary education qualifications, limiting their job, career advancement, and training options. NFSE has become a strategic </w:t>
      </w:r>
      <w:r w:rsidR="00487D3C" w:rsidRPr="00E01754">
        <w:rPr>
          <w:rFonts w:ascii="Arial" w:hAnsi="Arial" w:cs="Arial"/>
        </w:rPr>
        <w:t>tool for adult career development</w:t>
      </w:r>
      <w:r w:rsidRPr="00E01754">
        <w:rPr>
          <w:rFonts w:ascii="Arial" w:hAnsi="Arial" w:cs="Arial"/>
        </w:rPr>
        <w:t xml:space="preserve"> in response to these difficulties. Programs frequently include functional literacy, numeracy, life skills, and vocationally orientated learning matched with </w:t>
      </w:r>
      <w:r w:rsidR="00640E09" w:rsidRPr="00E01754">
        <w:rPr>
          <w:rFonts w:ascii="Arial" w:hAnsi="Arial" w:cs="Arial"/>
        </w:rPr>
        <w:t>labour</w:t>
      </w:r>
      <w:r w:rsidRPr="00E01754">
        <w:rPr>
          <w:rFonts w:ascii="Arial" w:hAnsi="Arial" w:cs="Arial"/>
        </w:rPr>
        <w:t>-market needs beyond academic qualification. Evidence shows that many adult learners register in NFSE to better their employment prospects, career advancement, workplace promotion, and access to higher education (</w:t>
      </w:r>
      <w:proofErr w:type="spellStart"/>
      <w:r w:rsidRPr="00E01754">
        <w:rPr>
          <w:rFonts w:ascii="Arial" w:hAnsi="Arial" w:cs="Arial"/>
        </w:rPr>
        <w:t>Kanukisya</w:t>
      </w:r>
      <w:proofErr w:type="spellEnd"/>
      <w:r w:rsidRPr="00E01754">
        <w:rPr>
          <w:rFonts w:ascii="Arial" w:hAnsi="Arial" w:cs="Arial"/>
        </w:rPr>
        <w:t xml:space="preserve">, 2018). </w:t>
      </w:r>
      <w:r w:rsidR="00487D3C" w:rsidRPr="00E01754">
        <w:rPr>
          <w:rFonts w:ascii="Arial" w:hAnsi="Arial" w:cs="Arial"/>
        </w:rPr>
        <w:t>NFSE establishes a link between basic education and the workforce, particularly for adults who have never received formal education.</w:t>
      </w:r>
    </w:p>
    <w:p w14:paraId="6D87FF7C" w14:textId="13F16F9E" w:rsidR="000A7207" w:rsidRPr="00E01754" w:rsidRDefault="000A7207" w:rsidP="00794F29">
      <w:pPr>
        <w:pStyle w:val="NormalWeb"/>
        <w:spacing w:line="276" w:lineRule="auto"/>
        <w:jc w:val="both"/>
        <w:rPr>
          <w:rFonts w:ascii="Arial" w:hAnsi="Arial" w:cs="Arial"/>
          <w:lang w:val="en-GB"/>
        </w:rPr>
      </w:pPr>
      <w:r w:rsidRPr="00E01754">
        <w:rPr>
          <w:rFonts w:ascii="Arial" w:hAnsi="Arial" w:cs="Arial"/>
          <w:lang w:val="en-GB"/>
        </w:rPr>
        <w:t xml:space="preserve">Despite the expansion of Non-Formal Secondary Education (NFSE) in Tanzania and its </w:t>
      </w:r>
      <w:r w:rsidR="0029154D">
        <w:rPr>
          <w:rFonts w:ascii="Arial" w:hAnsi="Arial" w:cs="Arial"/>
          <w:lang w:val="en-GB"/>
        </w:rPr>
        <w:t>acknowledged</w:t>
      </w:r>
      <w:r w:rsidRPr="00E01754">
        <w:rPr>
          <w:rFonts w:ascii="Arial" w:hAnsi="Arial" w:cs="Arial"/>
          <w:lang w:val="en-GB"/>
        </w:rPr>
        <w:t xml:space="preserve"> role in enhancing adult learners’ career development, several critical gaps persist that undermine its effectiveness. While NFSE provides flexible learning pathways </w:t>
      </w:r>
      <w:r w:rsidRPr="00E01754">
        <w:rPr>
          <w:rFonts w:ascii="Arial" w:hAnsi="Arial" w:cs="Arial"/>
          <w:lang w:val="en-GB"/>
        </w:rPr>
        <w:lastRenderedPageBreak/>
        <w:t xml:space="preserve">and integrates life skills and vocational components, systemic </w:t>
      </w:r>
      <w:r w:rsidR="0029154D">
        <w:rPr>
          <w:rFonts w:ascii="Arial" w:hAnsi="Arial" w:cs="Arial"/>
          <w:lang w:val="en-GB"/>
        </w:rPr>
        <w:t>challenges, such as fragmented institutional coordination, inadequate funding, uneven quality across centres, and poor alignment with labour market needs,</w:t>
      </w:r>
      <w:r w:rsidRPr="00E01754">
        <w:rPr>
          <w:rFonts w:ascii="Arial" w:hAnsi="Arial" w:cs="Arial"/>
          <w:lang w:val="en-GB"/>
        </w:rPr>
        <w:t xml:space="preserve"> limit its impact (</w:t>
      </w:r>
      <w:proofErr w:type="spellStart"/>
      <w:r w:rsidRPr="00E01754">
        <w:rPr>
          <w:rFonts w:ascii="Arial" w:hAnsi="Arial" w:cs="Arial"/>
          <w:lang w:val="en-GB"/>
        </w:rPr>
        <w:t>Bhalalusesa</w:t>
      </w:r>
      <w:proofErr w:type="spellEnd"/>
      <w:r w:rsidRPr="00E01754">
        <w:rPr>
          <w:rFonts w:ascii="Arial" w:hAnsi="Arial" w:cs="Arial"/>
          <w:lang w:val="en-GB"/>
        </w:rPr>
        <w:t xml:space="preserve">, 2021; </w:t>
      </w:r>
      <w:proofErr w:type="spellStart"/>
      <w:r w:rsidRPr="00E01754">
        <w:rPr>
          <w:rFonts w:ascii="Arial" w:hAnsi="Arial" w:cs="Arial"/>
          <w:lang w:val="en-GB"/>
        </w:rPr>
        <w:t>Mushi</w:t>
      </w:r>
      <w:proofErr w:type="spellEnd"/>
      <w:r w:rsidRPr="00E01754">
        <w:rPr>
          <w:rFonts w:ascii="Arial" w:hAnsi="Arial" w:cs="Arial"/>
          <w:lang w:val="en-GB"/>
        </w:rPr>
        <w:t>, 2022</w:t>
      </w:r>
      <w:r w:rsidR="00C531D3" w:rsidRPr="00E01754">
        <w:rPr>
          <w:rFonts w:ascii="Arial" w:hAnsi="Arial" w:cs="Arial"/>
          <w:lang w:val="en-GB"/>
        </w:rPr>
        <w:t xml:space="preserve">; </w:t>
      </w:r>
      <w:proofErr w:type="spellStart"/>
      <w:r w:rsidR="00C531D3" w:rsidRPr="00E01754">
        <w:rPr>
          <w:rFonts w:ascii="Arial" w:hAnsi="Arial" w:cs="Arial"/>
          <w:lang w:val="en-GB"/>
        </w:rPr>
        <w:t>Mwaibingila</w:t>
      </w:r>
      <w:proofErr w:type="spellEnd"/>
      <w:r w:rsidR="00C531D3" w:rsidRPr="00E01754">
        <w:rPr>
          <w:rFonts w:ascii="Arial" w:hAnsi="Arial" w:cs="Arial"/>
          <w:lang w:val="en-GB"/>
        </w:rPr>
        <w:t xml:space="preserve">, </w:t>
      </w:r>
      <w:proofErr w:type="spellStart"/>
      <w:r w:rsidR="00C531D3" w:rsidRPr="00E01754">
        <w:rPr>
          <w:rFonts w:ascii="Arial" w:hAnsi="Arial" w:cs="Arial"/>
          <w:lang w:val="en-GB"/>
        </w:rPr>
        <w:t>Malingumu</w:t>
      </w:r>
      <w:proofErr w:type="spellEnd"/>
      <w:r w:rsidR="00C531D3" w:rsidRPr="00E01754">
        <w:rPr>
          <w:rFonts w:ascii="Arial" w:hAnsi="Arial" w:cs="Arial"/>
          <w:lang w:val="en-GB"/>
        </w:rPr>
        <w:t xml:space="preserve">, &amp; </w:t>
      </w:r>
      <w:proofErr w:type="spellStart"/>
      <w:r w:rsidR="00C531D3" w:rsidRPr="00E01754">
        <w:rPr>
          <w:rFonts w:ascii="Arial" w:hAnsi="Arial" w:cs="Arial"/>
          <w:lang w:val="en-GB"/>
        </w:rPr>
        <w:t>Mrema</w:t>
      </w:r>
      <w:proofErr w:type="spellEnd"/>
      <w:r w:rsidR="00C531D3" w:rsidRPr="00E01754">
        <w:rPr>
          <w:rFonts w:ascii="Arial" w:hAnsi="Arial" w:cs="Arial"/>
          <w:lang w:val="en-GB"/>
        </w:rPr>
        <w:t>, 2025; Shirima, 2020</w:t>
      </w:r>
      <w:r w:rsidR="00E477D0" w:rsidRPr="00E01754">
        <w:rPr>
          <w:rFonts w:ascii="Arial" w:hAnsi="Arial" w:cs="Arial"/>
          <w:lang w:val="en-GB"/>
        </w:rPr>
        <w:t xml:space="preserve">).  </w:t>
      </w:r>
      <w:r w:rsidR="0029154D">
        <w:rPr>
          <w:rFonts w:ascii="Arial" w:hAnsi="Arial" w:cs="Arial"/>
          <w:lang w:val="en-GB"/>
        </w:rPr>
        <w:t xml:space="preserve">Lack of political will, a language barrier, family issues, and a contextual misinterpretation of the term 'adult education' are among the challenges (Francis, 2023; Kimaro et al., 2022; </w:t>
      </w:r>
      <w:proofErr w:type="spellStart"/>
      <w:r w:rsidR="0029154D">
        <w:rPr>
          <w:rFonts w:ascii="Arial" w:hAnsi="Arial" w:cs="Arial"/>
          <w:lang w:val="en-GB"/>
        </w:rPr>
        <w:t>Mwakyambiki</w:t>
      </w:r>
      <w:proofErr w:type="spellEnd"/>
      <w:r w:rsidR="0029154D">
        <w:rPr>
          <w:rFonts w:ascii="Arial" w:hAnsi="Arial" w:cs="Arial"/>
          <w:lang w:val="en-GB"/>
        </w:rPr>
        <w:t xml:space="preserve">, 2023; </w:t>
      </w:r>
      <w:proofErr w:type="spellStart"/>
      <w:r w:rsidR="0029154D">
        <w:rPr>
          <w:rFonts w:ascii="Arial" w:hAnsi="Arial" w:cs="Arial"/>
          <w:lang w:val="en-GB"/>
        </w:rPr>
        <w:t>Sarafina</w:t>
      </w:r>
      <w:proofErr w:type="spellEnd"/>
      <w:r w:rsidR="0029154D">
        <w:rPr>
          <w:rFonts w:ascii="Arial" w:hAnsi="Arial" w:cs="Arial"/>
          <w:lang w:val="en-GB"/>
        </w:rPr>
        <w:t>, 2022).</w:t>
      </w:r>
      <w:r w:rsidR="00E477D0" w:rsidRPr="00E01754">
        <w:rPr>
          <w:rFonts w:ascii="Arial" w:hAnsi="Arial" w:cs="Arial"/>
          <w:lang w:val="en-GB"/>
        </w:rPr>
        <w:t xml:space="preserve"> </w:t>
      </w:r>
      <w:r w:rsidRPr="00E01754">
        <w:rPr>
          <w:rFonts w:ascii="Arial" w:hAnsi="Arial" w:cs="Arial"/>
          <w:lang w:val="en-GB"/>
        </w:rPr>
        <w:t xml:space="preserve"> Moreover, persistent low academic performance, particularly in core subjects like mathematics and English, reduces learners’ employability and career progression opportunities, restricting the potential of NFSE to serve as a viable bridge between basic education and the world of work (World Bank, 2023; Mustapha, 2024; Smith &amp; Jones, 2023).</w:t>
      </w:r>
      <w:r w:rsidR="00C531D3" w:rsidRPr="00E01754">
        <w:rPr>
          <w:rFonts w:ascii="Arial" w:hAnsi="Arial" w:cs="Arial"/>
          <w:lang w:val="en-GB"/>
        </w:rPr>
        <w:t xml:space="preserve"> </w:t>
      </w:r>
      <w:r w:rsidRPr="00E01754">
        <w:rPr>
          <w:rFonts w:ascii="Arial" w:hAnsi="Arial" w:cs="Arial"/>
          <w:lang w:val="en-GB"/>
        </w:rPr>
        <w:t xml:space="preserve"> Empirical evidence also indicates that while adult learners often </w:t>
      </w:r>
      <w:r w:rsidR="00C531D3" w:rsidRPr="00E01754">
        <w:rPr>
          <w:rFonts w:ascii="Arial" w:hAnsi="Arial" w:cs="Arial"/>
          <w:lang w:val="en-GB"/>
        </w:rPr>
        <w:t>enrol</w:t>
      </w:r>
      <w:r w:rsidRPr="00E01754">
        <w:rPr>
          <w:rFonts w:ascii="Arial" w:hAnsi="Arial" w:cs="Arial"/>
          <w:lang w:val="en-GB"/>
        </w:rPr>
        <w:t xml:space="preserve"> in NFSE with clear career aspirations, there </w:t>
      </w:r>
      <w:r w:rsidRPr="00E01754">
        <w:rPr>
          <w:rFonts w:ascii="Arial" w:hAnsi="Arial" w:cs="Arial"/>
          <w:b/>
          <w:bCs/>
          <w:lang w:val="en-GB"/>
        </w:rPr>
        <w:t xml:space="preserve">is </w:t>
      </w:r>
      <w:r w:rsidRPr="00E01754">
        <w:rPr>
          <w:rStyle w:val="Strong"/>
          <w:rFonts w:ascii="Arial" w:eastAsiaTheme="majorEastAsia" w:hAnsi="Arial" w:cs="Arial"/>
          <w:b w:val="0"/>
          <w:bCs w:val="0"/>
          <w:lang w:val="en-GB"/>
        </w:rPr>
        <w:t>limited research on practical strategies that can improve NFSE programmes to meet these aspirations</w:t>
      </w:r>
      <w:r w:rsidRPr="00E01754">
        <w:rPr>
          <w:rFonts w:ascii="Arial" w:hAnsi="Arial" w:cs="Arial"/>
          <w:b/>
          <w:bCs/>
          <w:lang w:val="en-GB"/>
        </w:rPr>
        <w:t>.</w:t>
      </w:r>
      <w:r w:rsidRPr="00E01754">
        <w:rPr>
          <w:rFonts w:ascii="Arial" w:hAnsi="Arial" w:cs="Arial"/>
          <w:lang w:val="en-GB"/>
        </w:rPr>
        <w:t xml:space="preserve"> Specifically, there is a lack of context-sensitive frameworks and evidence-based interventions aimed at enhancing curriculum relevance, instructional quality, career guidance, and the overall effectiveness of NFSE for adult career development in regions such as </w:t>
      </w:r>
      <w:proofErr w:type="spellStart"/>
      <w:r w:rsidRPr="00E01754">
        <w:rPr>
          <w:rFonts w:ascii="Arial" w:hAnsi="Arial" w:cs="Arial"/>
          <w:lang w:val="en-GB"/>
        </w:rPr>
        <w:t>Rukwa</w:t>
      </w:r>
      <w:proofErr w:type="spellEnd"/>
      <w:r w:rsidRPr="00E01754">
        <w:rPr>
          <w:rFonts w:ascii="Arial" w:hAnsi="Arial" w:cs="Arial"/>
          <w:lang w:val="en-GB"/>
        </w:rPr>
        <w:t>. This gap restricts policymakers’ and educators’ ability to implement targeted improvements that can translate NFSE participation into tangible career outcomes for adult learners.</w:t>
      </w:r>
    </w:p>
    <w:p w14:paraId="15613B06" w14:textId="4B3124FF" w:rsidR="000A7207" w:rsidRPr="00E01754" w:rsidRDefault="000A7207" w:rsidP="00794F29">
      <w:pPr>
        <w:pStyle w:val="NormalWeb"/>
        <w:spacing w:line="276" w:lineRule="auto"/>
        <w:jc w:val="both"/>
        <w:rPr>
          <w:rFonts w:ascii="Arial" w:hAnsi="Arial" w:cs="Arial"/>
          <w:b/>
          <w:bCs/>
          <w:lang w:val="en-GB"/>
        </w:rPr>
      </w:pPr>
      <w:r w:rsidRPr="00E01754">
        <w:rPr>
          <w:rFonts w:ascii="Arial" w:hAnsi="Arial" w:cs="Arial"/>
          <w:lang w:val="en-GB"/>
        </w:rPr>
        <w:t xml:space="preserve">Addressing these gaps is particularly crucial in </w:t>
      </w:r>
      <w:r w:rsidR="00344C0A" w:rsidRPr="00E01754">
        <w:rPr>
          <w:rFonts w:ascii="Arial" w:hAnsi="Arial" w:cs="Arial"/>
          <w:lang w:val="en-GB"/>
        </w:rPr>
        <w:t xml:space="preserve">the </w:t>
      </w:r>
      <w:proofErr w:type="spellStart"/>
      <w:r w:rsidR="00344C0A" w:rsidRPr="00E01754">
        <w:rPr>
          <w:rFonts w:ascii="Arial" w:hAnsi="Arial" w:cs="Arial"/>
          <w:lang w:val="en-GB"/>
        </w:rPr>
        <w:t>Rukwa</w:t>
      </w:r>
      <w:proofErr w:type="spellEnd"/>
      <w:r w:rsidRPr="00E01754">
        <w:rPr>
          <w:rFonts w:ascii="Arial" w:hAnsi="Arial" w:cs="Arial"/>
          <w:lang w:val="en-GB"/>
        </w:rPr>
        <w:t xml:space="preserve"> Region, where economic opportunities are largely tied to agriculture, informal enterprises, and small-scale industries. Without deliberate strategies to strengthen NFSE, adult learners in the region may continue to face limited employment prospects, constrained career advancement, and reduced access to further training or education. </w:t>
      </w:r>
      <w:r w:rsidRPr="00E01754">
        <w:rPr>
          <w:rStyle w:val="Strong"/>
          <w:rFonts w:ascii="Arial" w:eastAsiaTheme="majorEastAsia" w:hAnsi="Arial" w:cs="Arial"/>
          <w:b w:val="0"/>
          <w:bCs w:val="0"/>
          <w:lang w:val="en-GB"/>
        </w:rPr>
        <w:t xml:space="preserve">This study, therefore, seeks to </w:t>
      </w:r>
      <w:bookmarkStart w:id="0" w:name="_Hlk221119995"/>
      <w:r w:rsidR="00344C0A" w:rsidRPr="00E01754">
        <w:rPr>
          <w:rStyle w:val="Strong"/>
          <w:rFonts w:ascii="Arial" w:eastAsiaTheme="majorEastAsia" w:hAnsi="Arial" w:cs="Arial"/>
          <w:b w:val="0"/>
          <w:bCs w:val="0"/>
          <w:lang w:val="en-GB"/>
        </w:rPr>
        <w:t>examine</w:t>
      </w:r>
      <w:r w:rsidR="007F180D" w:rsidRPr="00E01754">
        <w:rPr>
          <w:rStyle w:val="Strong"/>
          <w:rFonts w:ascii="Arial" w:eastAsiaTheme="majorEastAsia" w:hAnsi="Arial" w:cs="Arial"/>
          <w:b w:val="0"/>
          <w:bCs w:val="0"/>
          <w:lang w:val="en-GB"/>
        </w:rPr>
        <w:t xml:space="preserve"> the </w:t>
      </w:r>
      <w:r w:rsidR="00344C0A" w:rsidRPr="00E01754">
        <w:rPr>
          <w:rStyle w:val="Strong"/>
          <w:rFonts w:ascii="Arial" w:eastAsiaTheme="majorEastAsia" w:hAnsi="Arial" w:cs="Arial"/>
          <w:b w:val="0"/>
          <w:bCs w:val="0"/>
          <w:lang w:val="en-GB"/>
        </w:rPr>
        <w:t>strategies</w:t>
      </w:r>
      <w:r w:rsidR="003F0E56" w:rsidRPr="00E01754">
        <w:rPr>
          <w:rFonts w:ascii="Arial" w:hAnsi="Arial" w:cs="Arial"/>
          <w:lang w:val="en-GB"/>
        </w:rPr>
        <w:t xml:space="preserve"> for </w:t>
      </w:r>
      <w:r w:rsidR="00344C0A" w:rsidRPr="00E01754">
        <w:rPr>
          <w:rFonts w:ascii="Arial" w:hAnsi="Arial" w:cs="Arial"/>
          <w:lang w:val="en-GB"/>
        </w:rPr>
        <w:t>improving non-formal secondary education</w:t>
      </w:r>
      <w:r w:rsidR="003F0E56" w:rsidRPr="00E01754">
        <w:rPr>
          <w:rFonts w:ascii="Arial" w:hAnsi="Arial" w:cs="Arial"/>
          <w:lang w:val="en-GB"/>
        </w:rPr>
        <w:t xml:space="preserve"> for </w:t>
      </w:r>
      <w:r w:rsidR="00344C0A" w:rsidRPr="00E01754">
        <w:rPr>
          <w:rFonts w:ascii="Arial" w:hAnsi="Arial" w:cs="Arial"/>
          <w:lang w:val="en-GB"/>
        </w:rPr>
        <w:t>adult learners’</w:t>
      </w:r>
      <w:r w:rsidR="003F0E56" w:rsidRPr="00E01754">
        <w:rPr>
          <w:rFonts w:ascii="Arial" w:hAnsi="Arial" w:cs="Arial"/>
          <w:lang w:val="en-GB"/>
        </w:rPr>
        <w:t xml:space="preserve"> </w:t>
      </w:r>
      <w:r w:rsidR="00344C0A" w:rsidRPr="00E01754">
        <w:rPr>
          <w:rFonts w:ascii="Arial" w:hAnsi="Arial" w:cs="Arial"/>
          <w:lang w:val="en-GB"/>
        </w:rPr>
        <w:t>career development</w:t>
      </w:r>
      <w:r w:rsidR="003F0E56" w:rsidRPr="00E01754">
        <w:rPr>
          <w:rFonts w:ascii="Arial" w:hAnsi="Arial" w:cs="Arial"/>
          <w:lang w:val="en-GB"/>
        </w:rPr>
        <w:t xml:space="preserve"> in </w:t>
      </w:r>
      <w:r w:rsidR="00344C0A" w:rsidRPr="00E01754">
        <w:rPr>
          <w:rFonts w:ascii="Arial" w:hAnsi="Arial" w:cs="Arial"/>
          <w:lang w:val="en-GB"/>
        </w:rPr>
        <w:t xml:space="preserve">the </w:t>
      </w:r>
      <w:proofErr w:type="spellStart"/>
      <w:r w:rsidR="00344C0A" w:rsidRPr="00E01754">
        <w:rPr>
          <w:rFonts w:ascii="Arial" w:hAnsi="Arial" w:cs="Arial"/>
          <w:lang w:val="en-GB"/>
        </w:rPr>
        <w:t>Rukwa</w:t>
      </w:r>
      <w:proofErr w:type="spellEnd"/>
      <w:r w:rsidR="003F0E56" w:rsidRPr="00E01754">
        <w:rPr>
          <w:rFonts w:ascii="Arial" w:hAnsi="Arial" w:cs="Arial"/>
          <w:lang w:val="en-GB"/>
        </w:rPr>
        <w:t xml:space="preserve"> Region, Tanzania</w:t>
      </w:r>
      <w:bookmarkEnd w:id="0"/>
      <w:r w:rsidRPr="00E01754">
        <w:rPr>
          <w:rStyle w:val="Strong"/>
          <w:rFonts w:ascii="Arial" w:eastAsiaTheme="majorEastAsia" w:hAnsi="Arial" w:cs="Arial"/>
          <w:b w:val="0"/>
          <w:bCs w:val="0"/>
          <w:lang w:val="en-GB"/>
        </w:rPr>
        <w:t>, with the aim of enhancing their career development outcomes.</w:t>
      </w:r>
    </w:p>
    <w:p w14:paraId="428F00DE" w14:textId="1C592855" w:rsidR="000A7207" w:rsidRPr="00E01754" w:rsidRDefault="00575AB4" w:rsidP="00794F29">
      <w:pPr>
        <w:pStyle w:val="ListParagraph"/>
        <w:numPr>
          <w:ilvl w:val="0"/>
          <w:numId w:val="1"/>
        </w:numPr>
        <w:spacing w:line="276" w:lineRule="auto"/>
        <w:jc w:val="both"/>
        <w:rPr>
          <w:rFonts w:ascii="Arial" w:hAnsi="Arial" w:cs="Arial"/>
          <w:b/>
          <w:bCs/>
        </w:rPr>
      </w:pPr>
      <w:r w:rsidRPr="00E01754">
        <w:rPr>
          <w:rFonts w:ascii="Arial" w:hAnsi="Arial" w:cs="Arial"/>
          <w:b/>
          <w:bCs/>
        </w:rPr>
        <w:t>LITERATURE REVIEW</w:t>
      </w:r>
    </w:p>
    <w:p w14:paraId="417E8ADD" w14:textId="40E14F36" w:rsidR="005B6017" w:rsidRPr="00E01754" w:rsidRDefault="005B6017" w:rsidP="00794F29">
      <w:pPr>
        <w:spacing w:line="276" w:lineRule="auto"/>
        <w:jc w:val="both"/>
        <w:rPr>
          <w:rStyle w:val="Strong"/>
          <w:rFonts w:ascii="Arial" w:hAnsi="Arial" w:cs="Arial"/>
          <w:b w:val="0"/>
          <w:bCs w:val="0"/>
        </w:rPr>
      </w:pPr>
      <w:r w:rsidRPr="00E01754">
        <w:rPr>
          <w:rFonts w:ascii="Arial" w:hAnsi="Arial" w:cs="Arial"/>
          <w:shd w:val="clear" w:color="auto" w:fill="FFFFFF"/>
        </w:rPr>
        <w:t xml:space="preserve">This section presents a literature review focusing on theoretical literature and studies related to </w:t>
      </w:r>
      <w:r w:rsidRPr="00E01754">
        <w:rPr>
          <w:rStyle w:val="Strong"/>
          <w:rFonts w:ascii="Arial" w:hAnsi="Arial" w:cs="Arial"/>
          <w:b w:val="0"/>
          <w:bCs w:val="0"/>
        </w:rPr>
        <w:t>strategies for improving adult learners</w:t>
      </w:r>
      <w:r w:rsidRPr="00E01754">
        <w:rPr>
          <w:rStyle w:val="Strong"/>
          <w:rFonts w:ascii="Arial" w:eastAsiaTheme="majorEastAsia" w:hAnsi="Arial" w:cs="Arial"/>
          <w:b w:val="0"/>
          <w:bCs w:val="0"/>
        </w:rPr>
        <w:t xml:space="preserve"> in</w:t>
      </w:r>
      <w:r w:rsidRPr="00E01754">
        <w:rPr>
          <w:rStyle w:val="Strong"/>
          <w:rFonts w:ascii="Arial" w:hAnsi="Arial" w:cs="Arial"/>
          <w:b w:val="0"/>
          <w:bCs w:val="0"/>
        </w:rPr>
        <w:t xml:space="preserve"> </w:t>
      </w:r>
      <w:r w:rsidR="00344C0A" w:rsidRPr="00E01754">
        <w:rPr>
          <w:rStyle w:val="Strong"/>
          <w:rFonts w:ascii="Arial" w:hAnsi="Arial" w:cs="Arial"/>
          <w:b w:val="0"/>
          <w:bCs w:val="0"/>
        </w:rPr>
        <w:t>non-formal secondary education.</w:t>
      </w:r>
      <w:r w:rsidRPr="00E01754">
        <w:rPr>
          <w:rStyle w:val="Strong"/>
          <w:rFonts w:ascii="Arial" w:hAnsi="Arial" w:cs="Arial"/>
          <w:b w:val="0"/>
          <w:bCs w:val="0"/>
        </w:rPr>
        <w:t xml:space="preserve"> </w:t>
      </w:r>
    </w:p>
    <w:p w14:paraId="432BEFD3" w14:textId="079C4460" w:rsidR="002D0142" w:rsidRPr="00E01754" w:rsidRDefault="00F261A9" w:rsidP="00794F29">
      <w:pPr>
        <w:pStyle w:val="ListParagraph"/>
        <w:numPr>
          <w:ilvl w:val="1"/>
          <w:numId w:val="1"/>
        </w:numPr>
        <w:spacing w:after="0" w:line="276" w:lineRule="auto"/>
        <w:jc w:val="both"/>
        <w:rPr>
          <w:rFonts w:ascii="Arial" w:hAnsi="Arial" w:cs="Arial"/>
          <w:b/>
          <w:bCs/>
          <w:shd w:val="clear" w:color="auto" w:fill="FFFFFF"/>
        </w:rPr>
      </w:pPr>
      <w:r w:rsidRPr="00E01754">
        <w:rPr>
          <w:rFonts w:ascii="Arial" w:hAnsi="Arial" w:cs="Arial"/>
          <w:b/>
          <w:bCs/>
          <w:shd w:val="clear" w:color="auto" w:fill="FFFFFF"/>
        </w:rPr>
        <w:t>Theoretical Literature</w:t>
      </w:r>
    </w:p>
    <w:p w14:paraId="4C5635F6" w14:textId="1D64D773" w:rsidR="002D0142" w:rsidRPr="00E01754" w:rsidRDefault="002D0142" w:rsidP="00794F29">
      <w:pPr>
        <w:spacing w:after="0" w:line="276" w:lineRule="auto"/>
        <w:jc w:val="both"/>
        <w:rPr>
          <w:rFonts w:ascii="Arial" w:hAnsi="Arial" w:cs="Arial"/>
          <w:b/>
          <w:bCs/>
        </w:rPr>
      </w:pPr>
      <w:r w:rsidRPr="00E01754">
        <w:rPr>
          <w:rFonts w:ascii="Arial" w:hAnsi="Arial" w:cs="Arial"/>
        </w:rPr>
        <w:t xml:space="preserve">This study is informed by </w:t>
      </w:r>
      <w:r w:rsidRPr="00E01754">
        <w:rPr>
          <w:rStyle w:val="Strong"/>
          <w:rFonts w:ascii="Arial" w:hAnsi="Arial" w:cs="Arial"/>
          <w:b w:val="0"/>
          <w:bCs w:val="0"/>
        </w:rPr>
        <w:t>Andragogy Theory</w:t>
      </w:r>
      <w:r w:rsidRPr="00E01754">
        <w:rPr>
          <w:rFonts w:ascii="Arial" w:hAnsi="Arial" w:cs="Arial"/>
          <w:b/>
          <w:bCs/>
        </w:rPr>
        <w:t xml:space="preserve"> </w:t>
      </w:r>
      <w:r w:rsidRPr="00E01754">
        <w:rPr>
          <w:rFonts w:ascii="Arial" w:hAnsi="Arial" w:cs="Arial"/>
        </w:rPr>
        <w:t>and</w:t>
      </w:r>
      <w:r w:rsidRPr="00E01754">
        <w:rPr>
          <w:rFonts w:ascii="Arial" w:hAnsi="Arial" w:cs="Arial"/>
          <w:b/>
          <w:bCs/>
        </w:rPr>
        <w:t xml:space="preserve"> </w:t>
      </w:r>
      <w:r w:rsidRPr="00E01754">
        <w:rPr>
          <w:rStyle w:val="Strong"/>
          <w:rFonts w:ascii="Arial" w:hAnsi="Arial" w:cs="Arial"/>
          <w:b w:val="0"/>
          <w:bCs w:val="0"/>
        </w:rPr>
        <w:t>Social Cognitive Career Theory (SCCT)</w:t>
      </w:r>
      <w:r w:rsidRPr="00E01754">
        <w:rPr>
          <w:rFonts w:ascii="Arial" w:hAnsi="Arial" w:cs="Arial"/>
        </w:rPr>
        <w:t xml:space="preserve"> to explain strategies for improving Non-Formal Secondary Education (NFSE) for adult learners’ career development. Andragogy explains that adult learners are self-directed, </w:t>
      </w:r>
      <w:r w:rsidR="008B2C21">
        <w:rPr>
          <w:rFonts w:ascii="Arial" w:hAnsi="Arial" w:cs="Arial"/>
        </w:rPr>
        <w:t>experienced, and motivated by their immediate personal and occupational needs, which makes traditional teacher-</w:t>
      </w:r>
      <w:proofErr w:type="spellStart"/>
      <w:r w:rsidR="008B2C21">
        <w:rPr>
          <w:rFonts w:ascii="Arial" w:hAnsi="Arial" w:cs="Arial"/>
        </w:rPr>
        <w:t>centered</w:t>
      </w:r>
      <w:proofErr w:type="spellEnd"/>
      <w:r w:rsidRPr="00E01754">
        <w:rPr>
          <w:rFonts w:ascii="Arial" w:hAnsi="Arial" w:cs="Arial"/>
        </w:rPr>
        <w:t xml:space="preserve"> pedagogy largely ineffective (Corley, 2011; Clardy, 2005). In </w:t>
      </w:r>
      <w:r w:rsidR="00487D3C" w:rsidRPr="00E01754">
        <w:rPr>
          <w:rFonts w:ascii="Arial" w:hAnsi="Arial" w:cs="Arial"/>
        </w:rPr>
        <w:t>the NFSE context, where learners balance work and family responsibilities, effective strategies must therefore emphasise</w:t>
      </w:r>
      <w:r w:rsidRPr="00E01754">
        <w:rPr>
          <w:rFonts w:ascii="Arial" w:hAnsi="Arial" w:cs="Arial"/>
        </w:rPr>
        <w:t xml:space="preserve"> flexibility, learner autonomy, experiential learning, and strong links between academic content and real-life career demands.</w:t>
      </w:r>
    </w:p>
    <w:p w14:paraId="40636322" w14:textId="2B10951D" w:rsidR="003F0E56" w:rsidRPr="00E01754" w:rsidRDefault="002D0142" w:rsidP="00794F29">
      <w:pPr>
        <w:pStyle w:val="NormalWeb"/>
        <w:spacing w:line="276" w:lineRule="auto"/>
        <w:jc w:val="both"/>
        <w:rPr>
          <w:rFonts w:ascii="Arial" w:hAnsi="Arial" w:cs="Arial"/>
          <w:lang w:val="en-GB"/>
        </w:rPr>
      </w:pPr>
      <w:r w:rsidRPr="00E01754">
        <w:rPr>
          <w:rFonts w:ascii="Arial" w:hAnsi="Arial" w:cs="Arial"/>
          <w:lang w:val="en-GB"/>
        </w:rPr>
        <w:lastRenderedPageBreak/>
        <w:t xml:space="preserve">SCCT further explains how learning strategies influence adult learners’ career outcomes through self-efficacy, outcome expectations, and career goals. For NFSE learners, confidence in key subjects such as </w:t>
      </w:r>
      <w:r w:rsidR="00344C0A" w:rsidRPr="00E01754">
        <w:rPr>
          <w:rFonts w:ascii="Arial" w:hAnsi="Arial" w:cs="Arial"/>
          <w:lang w:val="en-GB"/>
        </w:rPr>
        <w:t>mathematics</w:t>
      </w:r>
      <w:r w:rsidRPr="00E01754">
        <w:rPr>
          <w:rFonts w:ascii="Arial" w:hAnsi="Arial" w:cs="Arial"/>
          <w:lang w:val="en-GB"/>
        </w:rPr>
        <w:t xml:space="preserve"> and English and expectations of improved employment, income, or self-employment shape motivation and persistence (Yusoff et al., 2019). When NFSE instructional and institutional strategies strengthen academic self-efficacy and clearly connect learning to career opportunities, adult learners are more likely to complete their studies and pursue meaningful career advancement. Together, these theories provide a focused framework for examining </w:t>
      </w:r>
      <w:r w:rsidR="003F0E56" w:rsidRPr="00E01754">
        <w:rPr>
          <w:rFonts w:ascii="Arial" w:hAnsi="Arial" w:cs="Arial"/>
          <w:lang w:val="en-GB"/>
        </w:rPr>
        <w:t xml:space="preserve">Strategies for Improving Non-Formal Secondary Education for Adult Learners’ Career Development in </w:t>
      </w:r>
      <w:r w:rsidR="00344C0A" w:rsidRPr="00E01754">
        <w:rPr>
          <w:rFonts w:ascii="Arial" w:hAnsi="Arial" w:cs="Arial"/>
          <w:lang w:val="en-GB"/>
        </w:rPr>
        <w:t xml:space="preserve">the </w:t>
      </w:r>
      <w:proofErr w:type="spellStart"/>
      <w:r w:rsidR="00344C0A" w:rsidRPr="00E01754">
        <w:rPr>
          <w:rFonts w:ascii="Arial" w:hAnsi="Arial" w:cs="Arial"/>
          <w:lang w:val="en-GB"/>
        </w:rPr>
        <w:t>Rukwa</w:t>
      </w:r>
      <w:proofErr w:type="spellEnd"/>
      <w:r w:rsidR="003F0E56" w:rsidRPr="00E01754">
        <w:rPr>
          <w:rFonts w:ascii="Arial" w:hAnsi="Arial" w:cs="Arial"/>
          <w:lang w:val="en-GB"/>
        </w:rPr>
        <w:t xml:space="preserve"> Region, Tanzania.</w:t>
      </w:r>
    </w:p>
    <w:p w14:paraId="3BE2252A" w14:textId="27DC6937" w:rsidR="00794F29" w:rsidRPr="00E01754" w:rsidRDefault="00794F29" w:rsidP="00794F29">
      <w:pPr>
        <w:pStyle w:val="NormalWeb"/>
        <w:spacing w:line="276" w:lineRule="auto"/>
        <w:jc w:val="both"/>
        <w:rPr>
          <w:rFonts w:ascii="Arial" w:hAnsi="Arial" w:cs="Arial"/>
          <w:b/>
          <w:bCs/>
          <w:shd w:val="clear" w:color="auto" w:fill="FFFFFF"/>
          <w:lang w:val="en-GB"/>
        </w:rPr>
      </w:pPr>
      <w:r w:rsidRPr="00E01754">
        <w:rPr>
          <w:rFonts w:ascii="Arial" w:hAnsi="Arial" w:cs="Arial"/>
          <w:b/>
          <w:bCs/>
          <w:shd w:val="clear" w:color="auto" w:fill="FFFFFF"/>
          <w:lang w:val="en-GB"/>
        </w:rPr>
        <w:t xml:space="preserve">2.2 Studies Related to </w:t>
      </w:r>
      <w:r w:rsidR="00C30D47" w:rsidRPr="00E01754">
        <w:rPr>
          <w:rFonts w:ascii="Arial" w:hAnsi="Arial" w:cs="Arial"/>
          <w:b/>
          <w:bCs/>
          <w:lang w:val="en-GB"/>
        </w:rPr>
        <w:t>Strategies for Improving Non-Formal Secondary Education for Adult Learners’ Career Development</w:t>
      </w:r>
    </w:p>
    <w:p w14:paraId="0F5D4533" w14:textId="1DE9867A" w:rsidR="005F28D1" w:rsidRPr="00E01754" w:rsidRDefault="005F28D1" w:rsidP="005F28D1">
      <w:pPr>
        <w:pStyle w:val="NormalWeb"/>
        <w:spacing w:line="276" w:lineRule="auto"/>
        <w:jc w:val="both"/>
        <w:rPr>
          <w:rFonts w:ascii="Arial" w:hAnsi="Arial" w:cs="Arial"/>
          <w:lang w:val="en-GB"/>
        </w:rPr>
      </w:pPr>
      <w:r w:rsidRPr="00E01754">
        <w:rPr>
          <w:rFonts w:ascii="Arial" w:hAnsi="Arial" w:cs="Arial"/>
          <w:lang w:val="en-GB"/>
        </w:rPr>
        <w:t xml:space="preserve">Globally, several countries provide practical examples of strategies used to improve non-formal secondary education for adult learners’ career development. In </w:t>
      </w:r>
      <w:r w:rsidRPr="00E01754">
        <w:rPr>
          <w:rStyle w:val="Strong"/>
          <w:rFonts w:ascii="Arial" w:eastAsiaTheme="majorEastAsia" w:hAnsi="Arial" w:cs="Arial"/>
          <w:lang w:val="en-GB"/>
        </w:rPr>
        <w:t>Finland</w:t>
      </w:r>
      <w:r w:rsidRPr="00E01754">
        <w:rPr>
          <w:rFonts w:ascii="Arial" w:hAnsi="Arial" w:cs="Arial"/>
          <w:lang w:val="en-GB"/>
        </w:rPr>
        <w:t xml:space="preserve">, adult upper secondary education </w:t>
      </w:r>
      <w:r w:rsidR="0029154D">
        <w:rPr>
          <w:rFonts w:ascii="Arial" w:hAnsi="Arial" w:cs="Arial"/>
          <w:lang w:val="en-GB"/>
        </w:rPr>
        <w:t>emphasises flexible learning pathways, recognition of prior learning, and strong alignment between secondary qualifications and labour market needs, enabling adults to upgrade their</w:t>
      </w:r>
      <w:r w:rsidRPr="00E01754">
        <w:rPr>
          <w:rFonts w:ascii="Arial" w:hAnsi="Arial" w:cs="Arial"/>
          <w:lang w:val="en-GB"/>
        </w:rPr>
        <w:t xml:space="preserve"> credentials while remaining economically active </w:t>
      </w:r>
      <w:r w:rsidR="00A25EF4" w:rsidRPr="00E01754">
        <w:rPr>
          <w:rFonts w:ascii="Arial" w:hAnsi="Arial" w:cs="Arial"/>
          <w:lang w:val="en-GB"/>
        </w:rPr>
        <w:t>(</w:t>
      </w:r>
      <w:proofErr w:type="spellStart"/>
      <w:r w:rsidR="00A25EF4" w:rsidRPr="00E01754">
        <w:rPr>
          <w:rFonts w:ascii="Arial" w:hAnsi="Arial" w:cs="Arial"/>
          <w:lang w:val="en-GB"/>
        </w:rPr>
        <w:t>Heiskala</w:t>
      </w:r>
      <w:proofErr w:type="spellEnd"/>
      <w:r w:rsidR="00A25EF4" w:rsidRPr="00E01754">
        <w:rPr>
          <w:rFonts w:ascii="Arial" w:hAnsi="Arial" w:cs="Arial"/>
          <w:lang w:val="en-GB"/>
        </w:rPr>
        <w:t xml:space="preserve"> et al., 2021; </w:t>
      </w:r>
      <w:proofErr w:type="spellStart"/>
      <w:r w:rsidR="00A25EF4" w:rsidRPr="00E01754">
        <w:rPr>
          <w:rFonts w:ascii="Arial" w:hAnsi="Arial" w:cs="Arial"/>
          <w:lang w:val="en-GB"/>
        </w:rPr>
        <w:t>Mandavkar</w:t>
      </w:r>
      <w:proofErr w:type="spellEnd"/>
      <w:r w:rsidR="00A25EF4" w:rsidRPr="00E01754">
        <w:rPr>
          <w:rFonts w:ascii="Arial" w:hAnsi="Arial" w:cs="Arial"/>
          <w:lang w:val="en-GB"/>
        </w:rPr>
        <w:t xml:space="preserve">, 2024; </w:t>
      </w:r>
      <w:r w:rsidRPr="00E01754">
        <w:rPr>
          <w:rFonts w:ascii="Arial" w:hAnsi="Arial" w:cs="Arial"/>
          <w:lang w:val="en-GB"/>
        </w:rPr>
        <w:t xml:space="preserve">OECD, 2023). Similarly, </w:t>
      </w:r>
      <w:r w:rsidRPr="00E01754">
        <w:rPr>
          <w:rStyle w:val="Strong"/>
          <w:rFonts w:ascii="Arial" w:eastAsiaTheme="majorEastAsia" w:hAnsi="Arial" w:cs="Arial"/>
          <w:lang w:val="en-GB"/>
        </w:rPr>
        <w:t>Germany</w:t>
      </w:r>
      <w:r w:rsidRPr="00E01754">
        <w:rPr>
          <w:rFonts w:ascii="Arial" w:hAnsi="Arial" w:cs="Arial"/>
          <w:lang w:val="en-GB"/>
        </w:rPr>
        <w:t xml:space="preserve"> integrates adult secondary education within its lifelong learning system through evening schools and second-</w:t>
      </w:r>
      <w:r w:rsidR="00053F96" w:rsidRPr="00E01754">
        <w:rPr>
          <w:rFonts w:ascii="Arial" w:hAnsi="Arial" w:cs="Arial"/>
          <w:lang w:val="en-GB"/>
        </w:rPr>
        <w:t>choice education programs</w:t>
      </w:r>
      <w:r w:rsidRPr="00E01754">
        <w:rPr>
          <w:rFonts w:ascii="Arial" w:hAnsi="Arial" w:cs="Arial"/>
          <w:lang w:val="en-GB"/>
        </w:rPr>
        <w:t xml:space="preserve"> that combine academic certification with career guidance and vocational orientation, thereby supporting adult learners’ employability and career mobility </w:t>
      </w:r>
      <w:r w:rsidR="00344C0A" w:rsidRPr="00E01754">
        <w:rPr>
          <w:rFonts w:ascii="Arial" w:hAnsi="Arial" w:cs="Arial"/>
          <w:lang w:val="en-GB"/>
        </w:rPr>
        <w:t>(</w:t>
      </w:r>
      <w:proofErr w:type="spellStart"/>
      <w:r w:rsidR="00344C0A" w:rsidRPr="00E01754">
        <w:rPr>
          <w:rFonts w:ascii="Arial" w:hAnsi="Arial" w:cs="Arial"/>
          <w:lang w:val="en-GB"/>
        </w:rPr>
        <w:t>Blagoeva</w:t>
      </w:r>
      <w:proofErr w:type="spellEnd"/>
      <w:r w:rsidR="00344C0A" w:rsidRPr="00E01754">
        <w:rPr>
          <w:rFonts w:ascii="Arial" w:hAnsi="Arial" w:cs="Arial"/>
          <w:lang w:val="en-GB"/>
        </w:rPr>
        <w:t>,</w:t>
      </w:r>
      <w:r w:rsidR="00A25EF4" w:rsidRPr="00E01754">
        <w:rPr>
          <w:rFonts w:ascii="Arial" w:hAnsi="Arial" w:cs="Arial"/>
          <w:lang w:val="en-GB"/>
        </w:rPr>
        <w:t xml:space="preserve"> 2022; </w:t>
      </w:r>
      <w:proofErr w:type="spellStart"/>
      <w:r w:rsidR="00A25EF4" w:rsidRPr="00E01754">
        <w:rPr>
          <w:rFonts w:ascii="Arial" w:hAnsi="Arial" w:cs="Arial"/>
          <w:lang w:val="en-GB"/>
        </w:rPr>
        <w:t>Renta-Davids</w:t>
      </w:r>
      <w:proofErr w:type="spellEnd"/>
      <w:r w:rsidR="00A25EF4" w:rsidRPr="00E01754">
        <w:rPr>
          <w:rFonts w:ascii="Arial" w:hAnsi="Arial" w:cs="Arial"/>
          <w:lang w:val="en-GB"/>
        </w:rPr>
        <w:t xml:space="preserve"> et al., 2025; </w:t>
      </w:r>
      <w:r w:rsidRPr="00E01754">
        <w:rPr>
          <w:rFonts w:ascii="Arial" w:hAnsi="Arial" w:cs="Arial"/>
          <w:lang w:val="en-GB"/>
        </w:rPr>
        <w:t xml:space="preserve">UNESCO, 2022). In </w:t>
      </w:r>
      <w:r w:rsidRPr="00E01754">
        <w:rPr>
          <w:rStyle w:val="Strong"/>
          <w:rFonts w:ascii="Arial" w:eastAsiaTheme="majorEastAsia" w:hAnsi="Arial" w:cs="Arial"/>
          <w:lang w:val="en-GB"/>
        </w:rPr>
        <w:t>Canada</w:t>
      </w:r>
      <w:r w:rsidRPr="00E01754">
        <w:rPr>
          <w:rFonts w:ascii="Arial" w:hAnsi="Arial" w:cs="Arial"/>
          <w:lang w:val="en-GB"/>
        </w:rPr>
        <w:t xml:space="preserve">, non-formal and adult secondary education </w:t>
      </w:r>
      <w:r w:rsidR="00053F96" w:rsidRPr="00E01754">
        <w:rPr>
          <w:rFonts w:ascii="Arial" w:hAnsi="Arial" w:cs="Arial"/>
          <w:lang w:val="en-GB"/>
        </w:rPr>
        <w:t>programs adopt blended learning models and individualised learning plans that link academic achievement to workforce development and further education opportunities, particularly for marginalised adults</w:t>
      </w:r>
      <w:r w:rsidRPr="00E01754">
        <w:rPr>
          <w:rFonts w:ascii="Arial" w:hAnsi="Arial" w:cs="Arial"/>
          <w:lang w:val="en-GB"/>
        </w:rPr>
        <w:t xml:space="preserve"> (UNESCO, 2021).</w:t>
      </w:r>
    </w:p>
    <w:p w14:paraId="083463BE" w14:textId="49C29DA7" w:rsidR="005F28D1" w:rsidRPr="00E01754" w:rsidRDefault="005F28D1" w:rsidP="005F28D1">
      <w:pPr>
        <w:pStyle w:val="NormalWeb"/>
        <w:spacing w:line="276" w:lineRule="auto"/>
        <w:jc w:val="both"/>
        <w:rPr>
          <w:rFonts w:ascii="Arial" w:hAnsi="Arial" w:cs="Arial"/>
          <w:lang w:val="en-GB"/>
        </w:rPr>
      </w:pPr>
      <w:r w:rsidRPr="00E01754">
        <w:rPr>
          <w:rFonts w:ascii="Arial" w:hAnsi="Arial" w:cs="Arial"/>
          <w:lang w:val="en-GB"/>
        </w:rPr>
        <w:t xml:space="preserve">In </w:t>
      </w:r>
      <w:r w:rsidRPr="00E01754">
        <w:rPr>
          <w:rStyle w:val="Strong"/>
          <w:rFonts w:ascii="Arial" w:eastAsiaTheme="majorEastAsia" w:hAnsi="Arial" w:cs="Arial"/>
          <w:lang w:val="en-GB"/>
        </w:rPr>
        <w:t>Australia</w:t>
      </w:r>
      <w:r w:rsidRPr="00E01754">
        <w:rPr>
          <w:rFonts w:ascii="Arial" w:hAnsi="Arial" w:cs="Arial"/>
          <w:lang w:val="en-GB"/>
        </w:rPr>
        <w:t xml:space="preserve"> and the </w:t>
      </w:r>
      <w:r w:rsidRPr="00E01754">
        <w:rPr>
          <w:rStyle w:val="Strong"/>
          <w:rFonts w:ascii="Arial" w:eastAsiaTheme="majorEastAsia" w:hAnsi="Arial" w:cs="Arial"/>
          <w:b w:val="0"/>
          <w:bCs w:val="0"/>
          <w:lang w:val="en-GB"/>
        </w:rPr>
        <w:t>United Kingdom</w:t>
      </w:r>
      <w:r w:rsidRPr="00E01754">
        <w:rPr>
          <w:rFonts w:ascii="Arial" w:hAnsi="Arial" w:cs="Arial"/>
          <w:lang w:val="en-GB"/>
        </w:rPr>
        <w:t xml:space="preserve">, adult secondary and non-formal education strategies focus on competency-based curricula, flexible assessment, and strong institutional partnerships with employers and training institutions. These strategies enhance </w:t>
      </w:r>
      <w:r w:rsidR="00487D3C" w:rsidRPr="00E01754">
        <w:rPr>
          <w:rFonts w:ascii="Arial" w:hAnsi="Arial" w:cs="Arial"/>
          <w:lang w:val="en-GB"/>
        </w:rPr>
        <w:t>adults’ transitions to employment, vocational training, or higher education by ensuring that academic learning remains relevant to changing labour</w:t>
      </w:r>
      <w:r w:rsidRPr="00E01754">
        <w:rPr>
          <w:rFonts w:ascii="Arial" w:hAnsi="Arial" w:cs="Arial"/>
          <w:lang w:val="en-GB"/>
        </w:rPr>
        <w:t xml:space="preserve"> market demands </w:t>
      </w:r>
      <w:r w:rsidR="003A583D" w:rsidRPr="00E01754">
        <w:rPr>
          <w:rFonts w:ascii="Arial" w:hAnsi="Arial" w:cs="Arial"/>
          <w:lang w:val="en-GB"/>
        </w:rPr>
        <w:t>(</w:t>
      </w:r>
      <w:proofErr w:type="spellStart"/>
      <w:r w:rsidR="003A583D" w:rsidRPr="00E01754">
        <w:rPr>
          <w:rFonts w:ascii="Arial" w:hAnsi="Arial" w:cs="Arial"/>
          <w:lang w:val="en-GB"/>
        </w:rPr>
        <w:t>Charungkaittikul</w:t>
      </w:r>
      <w:proofErr w:type="spellEnd"/>
      <w:r w:rsidR="003A583D" w:rsidRPr="00E01754">
        <w:rPr>
          <w:rFonts w:ascii="Arial" w:hAnsi="Arial" w:cs="Arial"/>
          <w:lang w:val="en-GB"/>
        </w:rPr>
        <w:t xml:space="preserve"> et al., 2022; Malloch et al., 2022; </w:t>
      </w:r>
      <w:r w:rsidRPr="00E01754">
        <w:rPr>
          <w:rFonts w:ascii="Arial" w:hAnsi="Arial" w:cs="Arial"/>
          <w:lang w:val="en-GB"/>
        </w:rPr>
        <w:t xml:space="preserve">OECD, 2022; European Commission, 2023). </w:t>
      </w:r>
      <w:r w:rsidR="00487D3C" w:rsidRPr="00E01754">
        <w:rPr>
          <w:rFonts w:ascii="Arial" w:hAnsi="Arial" w:cs="Arial"/>
          <w:lang w:val="en-GB"/>
        </w:rPr>
        <w:t>In South Korea, second-chance education programs also use digital learning tools and career counselling services to help adults get back into school and move up in skilled jobs (UNESCO, 2024).</w:t>
      </w:r>
      <w:r w:rsidRPr="00E01754">
        <w:rPr>
          <w:rFonts w:ascii="Arial" w:hAnsi="Arial" w:cs="Arial"/>
          <w:lang w:val="en-GB"/>
        </w:rPr>
        <w:t xml:space="preserve"> Across these countries, common strategic elements include learner-</w:t>
      </w:r>
      <w:r w:rsidR="00053F96" w:rsidRPr="00E01754">
        <w:rPr>
          <w:rFonts w:ascii="Arial" w:hAnsi="Arial" w:cs="Arial"/>
          <w:lang w:val="en-GB"/>
        </w:rPr>
        <w:t>centred instruction, institutional flexibility, professional development for educators, and explicit links between secondary education and careers</w:t>
      </w:r>
      <w:r w:rsidRPr="00E01754">
        <w:rPr>
          <w:rFonts w:ascii="Arial" w:hAnsi="Arial" w:cs="Arial"/>
          <w:lang w:val="en-GB"/>
        </w:rPr>
        <w:t>.</w:t>
      </w:r>
    </w:p>
    <w:p w14:paraId="16D76323" w14:textId="58AB3683" w:rsidR="00794F29" w:rsidRPr="00E01754" w:rsidRDefault="003A583D" w:rsidP="0029154D">
      <w:pPr>
        <w:pStyle w:val="NormalWeb"/>
        <w:spacing w:line="276" w:lineRule="auto"/>
        <w:jc w:val="both"/>
        <w:rPr>
          <w:rFonts w:ascii="Arial" w:hAnsi="Arial" w:cs="Arial"/>
          <w:lang w:val="en-GB"/>
        </w:rPr>
      </w:pPr>
      <w:r w:rsidRPr="00E01754">
        <w:rPr>
          <w:rFonts w:ascii="Arial" w:hAnsi="Arial" w:cs="Arial"/>
          <w:lang w:val="en-GB"/>
        </w:rPr>
        <w:lastRenderedPageBreak/>
        <w:t>In</w:t>
      </w:r>
      <w:r w:rsidR="005F28D1" w:rsidRPr="00E01754">
        <w:rPr>
          <w:rFonts w:ascii="Arial" w:hAnsi="Arial" w:cs="Arial"/>
          <w:lang w:val="en-GB"/>
        </w:rPr>
        <w:t xml:space="preserve"> sub-Saharan Africa, the literature highlights non-formal secondary education as a strategic response to educational exclusion, skills mismatches, and persistent unemployment among youth and adults. Empirical studies from Kenya, Uganda, and Ghana indicate that effective strategies for improving adult learners’ outcomes include contextualised curricula, community-based programme delivery, and the integration of vocational, entrepreneurial, and life skills within secondary education frameworks (</w:t>
      </w:r>
      <w:proofErr w:type="spellStart"/>
      <w:r w:rsidR="005F28D1" w:rsidRPr="00E01754">
        <w:rPr>
          <w:rFonts w:ascii="Arial" w:hAnsi="Arial" w:cs="Arial"/>
          <w:lang w:val="en-GB"/>
        </w:rPr>
        <w:t>Aderinoye</w:t>
      </w:r>
      <w:proofErr w:type="spellEnd"/>
      <w:r w:rsidR="005F28D1" w:rsidRPr="00E01754">
        <w:rPr>
          <w:rFonts w:ascii="Arial" w:hAnsi="Arial" w:cs="Arial"/>
          <w:lang w:val="en-GB"/>
        </w:rPr>
        <w:t>, 2020;</w:t>
      </w:r>
      <w:r w:rsidRPr="00E01754">
        <w:rPr>
          <w:rFonts w:ascii="Arial" w:hAnsi="Arial" w:cs="Arial"/>
          <w:lang w:val="en-GB"/>
        </w:rPr>
        <w:t xml:space="preserve"> </w:t>
      </w:r>
      <w:proofErr w:type="spellStart"/>
      <w:r w:rsidRPr="00E01754">
        <w:rPr>
          <w:rFonts w:ascii="Arial" w:hAnsi="Arial" w:cs="Arial"/>
          <w:lang w:val="en-GB"/>
        </w:rPr>
        <w:t>Belete</w:t>
      </w:r>
      <w:proofErr w:type="spellEnd"/>
      <w:r w:rsidRPr="00E01754">
        <w:rPr>
          <w:rFonts w:ascii="Arial" w:hAnsi="Arial" w:cs="Arial"/>
          <w:lang w:val="en-GB"/>
        </w:rPr>
        <w:t xml:space="preserve"> et al., 2022; Keshwani, </w:t>
      </w:r>
      <w:r w:rsidR="00344C0A" w:rsidRPr="00E01754">
        <w:rPr>
          <w:rFonts w:ascii="Arial" w:hAnsi="Arial" w:cs="Arial"/>
          <w:lang w:val="en-GB"/>
        </w:rPr>
        <w:t xml:space="preserve">2025). </w:t>
      </w:r>
      <w:r w:rsidR="005F28D1" w:rsidRPr="00E01754">
        <w:rPr>
          <w:rFonts w:ascii="Arial" w:hAnsi="Arial" w:cs="Arial"/>
          <w:lang w:val="en-GB"/>
        </w:rPr>
        <w:t xml:space="preserve">Research </w:t>
      </w:r>
      <w:r w:rsidR="00F95343" w:rsidRPr="00E01754">
        <w:rPr>
          <w:rFonts w:ascii="Arial" w:hAnsi="Arial" w:cs="Arial"/>
          <w:lang w:val="en-GB"/>
        </w:rPr>
        <w:t xml:space="preserve">in </w:t>
      </w:r>
      <w:r w:rsidR="00344C0A" w:rsidRPr="00E01754">
        <w:rPr>
          <w:rFonts w:ascii="Arial" w:hAnsi="Arial" w:cs="Arial"/>
          <w:lang w:val="en-GB"/>
        </w:rPr>
        <w:t>Kenya</w:t>
      </w:r>
      <w:r w:rsidR="00F95343" w:rsidRPr="00E01754">
        <w:rPr>
          <w:rFonts w:ascii="Arial" w:hAnsi="Arial" w:cs="Arial"/>
          <w:lang w:val="en-GB"/>
        </w:rPr>
        <w:t xml:space="preserve"> </w:t>
      </w:r>
      <w:r w:rsidR="005F28D1" w:rsidRPr="00E01754">
        <w:rPr>
          <w:rFonts w:ascii="Arial" w:hAnsi="Arial" w:cs="Arial"/>
          <w:lang w:val="en-GB"/>
        </w:rPr>
        <w:t xml:space="preserve">further shows that institutional strategies such as learner support services, academic guidance, mentoring, and career </w:t>
      </w:r>
      <w:r w:rsidR="008B2C21">
        <w:rPr>
          <w:rFonts w:ascii="Arial" w:hAnsi="Arial" w:cs="Arial"/>
          <w:lang w:val="en-GB"/>
        </w:rPr>
        <w:t>counselling significantly enhance adults</w:t>
      </w:r>
      <w:r w:rsidR="0029154D">
        <w:rPr>
          <w:rFonts w:ascii="Arial" w:hAnsi="Arial" w:cs="Arial"/>
          <w:lang w:val="en-GB"/>
        </w:rPr>
        <w:t>' motivation, retention, and transition to</w:t>
      </w:r>
      <w:r w:rsidR="005F28D1" w:rsidRPr="00E01754">
        <w:rPr>
          <w:rFonts w:ascii="Arial" w:hAnsi="Arial" w:cs="Arial"/>
          <w:lang w:val="en-GB"/>
        </w:rPr>
        <w:t xml:space="preserve"> employment or self-employment (</w:t>
      </w:r>
      <w:proofErr w:type="spellStart"/>
      <w:r w:rsidR="00344C0A" w:rsidRPr="00E01754">
        <w:rPr>
          <w:rFonts w:ascii="Arial" w:hAnsi="Arial" w:cs="Arial"/>
          <w:lang w:val="en-GB"/>
        </w:rPr>
        <w:t>Nyakiringa</w:t>
      </w:r>
      <w:proofErr w:type="spellEnd"/>
      <w:r w:rsidR="00344C0A" w:rsidRPr="00E01754">
        <w:rPr>
          <w:rFonts w:ascii="Arial" w:hAnsi="Arial" w:cs="Arial"/>
          <w:lang w:val="en-GB"/>
        </w:rPr>
        <w:t>, 2023;</w:t>
      </w:r>
      <w:r w:rsidR="00F95343" w:rsidRPr="00E01754">
        <w:rPr>
          <w:rFonts w:ascii="Arial" w:hAnsi="Arial" w:cs="Arial"/>
          <w:lang w:val="en-GB"/>
        </w:rPr>
        <w:t xml:space="preserve"> </w:t>
      </w:r>
      <w:proofErr w:type="spellStart"/>
      <w:r w:rsidR="00F95343" w:rsidRPr="00E01754">
        <w:rPr>
          <w:rFonts w:ascii="Arial" w:hAnsi="Arial" w:cs="Arial"/>
          <w:lang w:val="en-GB"/>
        </w:rPr>
        <w:t>Thengele</w:t>
      </w:r>
      <w:proofErr w:type="spellEnd"/>
      <w:r w:rsidR="00F95343" w:rsidRPr="00E01754">
        <w:rPr>
          <w:rFonts w:ascii="Arial" w:hAnsi="Arial" w:cs="Arial"/>
          <w:lang w:val="en-GB"/>
        </w:rPr>
        <w:t>, 2022)</w:t>
      </w:r>
      <w:r w:rsidR="005F28D1" w:rsidRPr="00E01754">
        <w:rPr>
          <w:rFonts w:ascii="Arial" w:hAnsi="Arial" w:cs="Arial"/>
          <w:lang w:val="en-GB"/>
        </w:rPr>
        <w:t xml:space="preserve">. However, many </w:t>
      </w:r>
      <w:r w:rsidR="0029154D">
        <w:rPr>
          <w:rFonts w:ascii="Arial" w:hAnsi="Arial" w:cs="Arial"/>
          <w:lang w:val="en-GB"/>
        </w:rPr>
        <w:t>programs in sub-Saharan Africa continue to face structural constraints, including inadequate funding, limited facilitator capacity, and weak quality assurance systems that</w:t>
      </w:r>
      <w:r w:rsidR="005F28D1" w:rsidRPr="00E01754">
        <w:rPr>
          <w:rFonts w:ascii="Arial" w:hAnsi="Arial" w:cs="Arial"/>
          <w:lang w:val="en-GB"/>
        </w:rPr>
        <w:t xml:space="preserve"> reduce the effectiveness of these strategies in translating education into sustainable career outcomes (UNESCO, 2022).</w:t>
      </w:r>
    </w:p>
    <w:p w14:paraId="619AEFC7" w14:textId="1BCA10D8" w:rsidR="005F28D1" w:rsidRPr="00E01754" w:rsidRDefault="005F28D1" w:rsidP="005F28D1">
      <w:pPr>
        <w:pStyle w:val="NormalWeb"/>
        <w:spacing w:line="276" w:lineRule="auto"/>
        <w:jc w:val="both"/>
        <w:rPr>
          <w:rFonts w:ascii="Arial" w:hAnsi="Arial" w:cs="Arial"/>
          <w:lang w:val="en-GB"/>
        </w:rPr>
      </w:pPr>
      <w:r w:rsidRPr="00E01754">
        <w:rPr>
          <w:rFonts w:ascii="Arial" w:hAnsi="Arial" w:cs="Arial"/>
          <w:lang w:val="en-GB"/>
        </w:rPr>
        <w:t xml:space="preserve">In Tanzania, studies consistently show that Non-Formal Secondary Education (NFSE) serves as a critical alternative pathway for adult learners and out-of-school youth seeking academic certification and improved career prospects. Evidence indicates that adult learners </w:t>
      </w:r>
      <w:r w:rsidR="00344C0A" w:rsidRPr="00E01754">
        <w:rPr>
          <w:rFonts w:ascii="Arial" w:hAnsi="Arial" w:cs="Arial"/>
          <w:lang w:val="en-GB"/>
        </w:rPr>
        <w:t>enrol</w:t>
      </w:r>
      <w:r w:rsidRPr="00E01754">
        <w:rPr>
          <w:rFonts w:ascii="Arial" w:hAnsi="Arial" w:cs="Arial"/>
          <w:lang w:val="en-GB"/>
        </w:rPr>
        <w:t xml:space="preserve"> in NFSE primarily to enhance employability, secure promotion, increase income, or access further education and training opportunities (</w:t>
      </w:r>
      <w:proofErr w:type="spellStart"/>
      <w:r w:rsidR="004F1E97" w:rsidRPr="00E01754">
        <w:rPr>
          <w:rFonts w:ascii="Arial" w:hAnsi="Arial" w:cs="Arial"/>
          <w:lang w:val="en-GB"/>
        </w:rPr>
        <w:t>Bhalalusesa</w:t>
      </w:r>
      <w:proofErr w:type="spellEnd"/>
      <w:r w:rsidR="004F1E97" w:rsidRPr="00E01754">
        <w:rPr>
          <w:rFonts w:ascii="Arial" w:hAnsi="Arial" w:cs="Arial"/>
          <w:lang w:val="en-GB"/>
        </w:rPr>
        <w:t xml:space="preserve">, 2021; </w:t>
      </w:r>
      <w:proofErr w:type="spellStart"/>
      <w:r w:rsidRPr="00E01754">
        <w:rPr>
          <w:rFonts w:ascii="Arial" w:hAnsi="Arial" w:cs="Arial"/>
          <w:lang w:val="en-GB"/>
        </w:rPr>
        <w:t>Kanukisya</w:t>
      </w:r>
      <w:proofErr w:type="spellEnd"/>
      <w:r w:rsidRPr="00E01754">
        <w:rPr>
          <w:rFonts w:ascii="Arial" w:hAnsi="Arial" w:cs="Arial"/>
          <w:lang w:val="en-GB"/>
        </w:rPr>
        <w:t>, 2018;</w:t>
      </w:r>
      <w:r w:rsidR="004F1E97" w:rsidRPr="00E01754">
        <w:rPr>
          <w:rFonts w:ascii="Arial" w:hAnsi="Arial" w:cs="Arial"/>
          <w:lang w:val="en-GB"/>
        </w:rPr>
        <w:t xml:space="preserve"> </w:t>
      </w:r>
      <w:proofErr w:type="spellStart"/>
      <w:r w:rsidR="004F1E97" w:rsidRPr="00E01754">
        <w:rPr>
          <w:rFonts w:ascii="Arial" w:hAnsi="Arial" w:cs="Arial"/>
          <w:lang w:val="en-GB"/>
        </w:rPr>
        <w:t>Mollel</w:t>
      </w:r>
      <w:proofErr w:type="spellEnd"/>
      <w:r w:rsidR="004F1E97" w:rsidRPr="00E01754">
        <w:rPr>
          <w:rFonts w:ascii="Arial" w:hAnsi="Arial" w:cs="Arial"/>
          <w:lang w:val="en-GB"/>
        </w:rPr>
        <w:t xml:space="preserve"> &amp; Onyango, 2021)</w:t>
      </w:r>
      <w:r w:rsidRPr="00E01754">
        <w:rPr>
          <w:rFonts w:ascii="Arial" w:hAnsi="Arial" w:cs="Arial"/>
          <w:lang w:val="en-GB"/>
        </w:rPr>
        <w:t xml:space="preserve">. However, several studies </w:t>
      </w:r>
      <w:r w:rsidR="0029154D">
        <w:rPr>
          <w:rFonts w:ascii="Arial" w:hAnsi="Arial" w:cs="Arial"/>
          <w:lang w:val="en-GB"/>
        </w:rPr>
        <w:t>have identified persistent challenges that undermine NFSE's effectiveness in supporting career development, including overreliance on teacher-</w:t>
      </w:r>
      <w:r w:rsidR="008B2C21">
        <w:rPr>
          <w:rFonts w:ascii="Arial" w:hAnsi="Arial" w:cs="Arial"/>
          <w:lang w:val="en-GB"/>
        </w:rPr>
        <w:t>centred instructional methods; limited use of learner-centred strategies; inadequate teaching and learning materials;</w:t>
      </w:r>
      <w:r w:rsidRPr="00E01754">
        <w:rPr>
          <w:rFonts w:ascii="Arial" w:hAnsi="Arial" w:cs="Arial"/>
          <w:lang w:val="en-GB"/>
        </w:rPr>
        <w:t xml:space="preserve"> and insufficient professional training for facilitators (Shirima, 2020; Mushi, 2022). Recent research </w:t>
      </w:r>
      <w:r w:rsidR="0029154D">
        <w:rPr>
          <w:rFonts w:ascii="Arial" w:hAnsi="Arial" w:cs="Arial"/>
          <w:lang w:val="en-GB"/>
        </w:rPr>
        <w:t>underscores that inadequate academic performance in essential subjects like mathematics and English markedly limits adult learners' career mobility and self-efficacy, emphasising the necessity for focused instructional and learner-support strategies within NFSE programs</w:t>
      </w:r>
      <w:r w:rsidRPr="00E01754">
        <w:rPr>
          <w:rFonts w:ascii="Arial" w:hAnsi="Arial" w:cs="Arial"/>
          <w:lang w:val="en-GB"/>
        </w:rPr>
        <w:t xml:space="preserve"> (</w:t>
      </w:r>
      <w:proofErr w:type="spellStart"/>
      <w:r w:rsidRPr="00E01754">
        <w:rPr>
          <w:rFonts w:ascii="Arial" w:hAnsi="Arial" w:cs="Arial"/>
          <w:lang w:val="en-GB"/>
        </w:rPr>
        <w:t>Mwaibingila</w:t>
      </w:r>
      <w:proofErr w:type="spellEnd"/>
      <w:r w:rsidRPr="00E01754">
        <w:rPr>
          <w:rFonts w:ascii="Arial" w:hAnsi="Arial" w:cs="Arial"/>
          <w:lang w:val="en-GB"/>
        </w:rPr>
        <w:t xml:space="preserve"> et al., 2025).</w:t>
      </w:r>
    </w:p>
    <w:p w14:paraId="0FED989C" w14:textId="77777777" w:rsidR="005F28D1" w:rsidRPr="00E01754" w:rsidRDefault="005F28D1" w:rsidP="005F28D1">
      <w:pPr>
        <w:pStyle w:val="NormalWeb"/>
        <w:spacing w:line="276" w:lineRule="auto"/>
        <w:jc w:val="both"/>
        <w:rPr>
          <w:rFonts w:ascii="Arial" w:hAnsi="Arial" w:cs="Arial"/>
          <w:lang w:val="en-GB"/>
        </w:rPr>
      </w:pPr>
      <w:r w:rsidRPr="00E01754">
        <w:rPr>
          <w:rFonts w:ascii="Arial" w:hAnsi="Arial" w:cs="Arial"/>
          <w:lang w:val="en-GB"/>
        </w:rPr>
        <w:t xml:space="preserve">Despite growing policy recognition of NFSE as a mechanism for lifelong learning and workforce development, the Tanzanian literature remains largely descriptive and problem-focused, with limited empirical attention to effective </w:t>
      </w:r>
      <w:bookmarkStart w:id="1" w:name="_Hlk220954978"/>
      <w:r w:rsidRPr="00E01754">
        <w:rPr>
          <w:rFonts w:ascii="Arial" w:hAnsi="Arial" w:cs="Arial"/>
          <w:lang w:val="en-GB"/>
        </w:rPr>
        <w:t>strategies for improving NFSE for adult learners’ career development</w:t>
      </w:r>
      <w:bookmarkEnd w:id="1"/>
      <w:r w:rsidRPr="00E01754">
        <w:rPr>
          <w:rFonts w:ascii="Arial" w:hAnsi="Arial" w:cs="Arial"/>
          <w:lang w:val="en-GB"/>
        </w:rPr>
        <w:t xml:space="preserve">. Few studies systematically examine how instructional, institutional, and learner-support strategies can be strengthened to enhance NFSE’s career relevance, particularly at sub-national levels such as the </w:t>
      </w:r>
      <w:proofErr w:type="spellStart"/>
      <w:r w:rsidRPr="00E01754">
        <w:rPr>
          <w:rFonts w:ascii="Arial" w:hAnsi="Arial" w:cs="Arial"/>
          <w:lang w:val="en-GB"/>
        </w:rPr>
        <w:t>Rukwa</w:t>
      </w:r>
      <w:proofErr w:type="spellEnd"/>
      <w:r w:rsidRPr="00E01754">
        <w:rPr>
          <w:rFonts w:ascii="Arial" w:hAnsi="Arial" w:cs="Arial"/>
          <w:lang w:val="en-GB"/>
        </w:rPr>
        <w:t xml:space="preserve"> Region (URT, 2023; UNESCO, 2024). This gap underscores the need for context-specific research that identifies and analyses practical strategies for improving NFSE as a viable pathway for adult learners’ career development.</w:t>
      </w:r>
    </w:p>
    <w:p w14:paraId="45CB8864" w14:textId="39E75714" w:rsidR="00193A30" w:rsidRPr="00E01754" w:rsidRDefault="00193A30" w:rsidP="00CF6A8F">
      <w:pPr>
        <w:pStyle w:val="ListParagraph"/>
        <w:numPr>
          <w:ilvl w:val="0"/>
          <w:numId w:val="1"/>
        </w:numPr>
        <w:spacing w:line="276" w:lineRule="auto"/>
        <w:jc w:val="both"/>
        <w:rPr>
          <w:rFonts w:ascii="Arial" w:hAnsi="Arial" w:cs="Arial"/>
          <w:b/>
          <w:bCs/>
          <w:shd w:val="clear" w:color="auto" w:fill="FFFFFF"/>
        </w:rPr>
      </w:pPr>
      <w:r w:rsidRPr="00E01754">
        <w:rPr>
          <w:rFonts w:ascii="Arial" w:hAnsi="Arial" w:cs="Arial"/>
          <w:b/>
          <w:bCs/>
          <w:shd w:val="clear" w:color="auto" w:fill="FFFFFF"/>
        </w:rPr>
        <w:t>METHODOLOGY</w:t>
      </w:r>
    </w:p>
    <w:p w14:paraId="37BD0139" w14:textId="2822C911" w:rsidR="002A782D" w:rsidRPr="00E01754" w:rsidRDefault="00CF6A8F" w:rsidP="002A782D">
      <w:pPr>
        <w:spacing w:line="276" w:lineRule="auto"/>
        <w:jc w:val="both"/>
        <w:rPr>
          <w:rFonts w:ascii="Arial" w:hAnsi="Arial" w:cs="Arial"/>
          <w:shd w:val="clear" w:color="auto" w:fill="FFFFFF"/>
        </w:rPr>
      </w:pPr>
      <w:r w:rsidRPr="00E01754">
        <w:rPr>
          <w:rFonts w:ascii="Arial" w:hAnsi="Arial" w:cs="Arial"/>
          <w:shd w:val="clear" w:color="auto" w:fill="FFFFFF"/>
        </w:rPr>
        <w:lastRenderedPageBreak/>
        <w:t xml:space="preserve">The research employed a pragmatist philosophical framework and mixed approach, with a convergent </w:t>
      </w:r>
      <w:r w:rsidR="00A41B38" w:rsidRPr="00E01754">
        <w:rPr>
          <w:rFonts w:ascii="Arial" w:hAnsi="Arial" w:cs="Arial"/>
          <w:shd w:val="clear" w:color="auto" w:fill="FFFFFF"/>
        </w:rPr>
        <w:t xml:space="preserve">research </w:t>
      </w:r>
      <w:r w:rsidR="0029154D">
        <w:rPr>
          <w:rFonts w:ascii="Arial" w:hAnsi="Arial" w:cs="Arial"/>
          <w:shd w:val="clear" w:color="auto" w:fill="FFFFFF"/>
        </w:rPr>
        <w:t>design,</w:t>
      </w:r>
      <w:r w:rsidRPr="00E01754">
        <w:rPr>
          <w:rFonts w:ascii="Arial" w:hAnsi="Arial" w:cs="Arial"/>
          <w:shd w:val="clear" w:color="auto" w:fill="FFFFFF"/>
        </w:rPr>
        <w:t xml:space="preserve"> to investigate </w:t>
      </w:r>
      <w:r w:rsidRPr="00E01754">
        <w:rPr>
          <w:rFonts w:ascii="Arial" w:hAnsi="Arial" w:cs="Arial"/>
        </w:rPr>
        <w:t>strategies for improving NFSE for adult learners’ career development</w:t>
      </w:r>
      <w:r w:rsidRPr="00E01754">
        <w:rPr>
          <w:rFonts w:ascii="Arial" w:hAnsi="Arial" w:cs="Arial"/>
          <w:shd w:val="clear" w:color="auto" w:fill="FFFFFF"/>
        </w:rPr>
        <w:t xml:space="preserve"> in the </w:t>
      </w:r>
      <w:proofErr w:type="spellStart"/>
      <w:r w:rsidRPr="00E01754">
        <w:rPr>
          <w:rFonts w:ascii="Arial" w:hAnsi="Arial" w:cs="Arial"/>
          <w:shd w:val="clear" w:color="auto" w:fill="FFFFFF"/>
        </w:rPr>
        <w:t>Rukwa</w:t>
      </w:r>
      <w:proofErr w:type="spellEnd"/>
      <w:r w:rsidRPr="00E01754">
        <w:rPr>
          <w:rFonts w:ascii="Arial" w:hAnsi="Arial" w:cs="Arial"/>
          <w:shd w:val="clear" w:color="auto" w:fill="FFFFFF"/>
        </w:rPr>
        <w:t xml:space="preserve"> Region of Tanzania. Andragogy and Social Cognitive Career Theory were employed, indicating that adult learners' career growth relies on adaptable, learner-centred instruction that utilises their experiences and motivations, while their self-efficacy, outcome expectancies, and goals influence persistence and career results. The mixed-methods approach enabled the collection and analysis of qualitative and quantitative data within a similar timeframe.  The researcher </w:t>
      </w:r>
      <w:r w:rsidR="0029154D">
        <w:rPr>
          <w:rFonts w:ascii="Arial" w:hAnsi="Arial" w:cs="Arial"/>
          <w:shd w:val="clear" w:color="auto" w:fill="FFFFFF"/>
        </w:rPr>
        <w:t>employed</w:t>
      </w:r>
      <w:r w:rsidRPr="00E01754">
        <w:rPr>
          <w:rFonts w:ascii="Arial" w:hAnsi="Arial" w:cs="Arial"/>
          <w:shd w:val="clear" w:color="auto" w:fill="FFFFFF"/>
        </w:rPr>
        <w:t xml:space="preserve"> this strategy to corroborate and authenticate the information acquired from qualitative and quantitative data. The targeted group comprised 506 respondents from adult learning centres in the </w:t>
      </w:r>
      <w:proofErr w:type="spellStart"/>
      <w:r w:rsidRPr="00E01754">
        <w:rPr>
          <w:rFonts w:ascii="Arial" w:hAnsi="Arial" w:cs="Arial"/>
          <w:shd w:val="clear" w:color="auto" w:fill="FFFFFF"/>
        </w:rPr>
        <w:t>Rukwa</w:t>
      </w:r>
      <w:proofErr w:type="spellEnd"/>
      <w:r w:rsidRPr="00E01754">
        <w:rPr>
          <w:rFonts w:ascii="Arial" w:hAnsi="Arial" w:cs="Arial"/>
          <w:shd w:val="clear" w:color="auto" w:fill="FFFFFF"/>
        </w:rPr>
        <w:t xml:space="preserve"> region. The sampling methods </w:t>
      </w:r>
      <w:r w:rsidR="00053F96" w:rsidRPr="00E01754">
        <w:rPr>
          <w:rFonts w:ascii="Arial" w:hAnsi="Arial" w:cs="Arial"/>
          <w:shd w:val="clear" w:color="auto" w:fill="FFFFFF"/>
        </w:rPr>
        <w:t>used to select</w:t>
      </w:r>
      <w:r w:rsidRPr="00E01754">
        <w:rPr>
          <w:rFonts w:ascii="Arial" w:hAnsi="Arial" w:cs="Arial"/>
          <w:shd w:val="clear" w:color="auto" w:fill="FFFFFF"/>
        </w:rPr>
        <w:t xml:space="preserve"> the necessary sample for the investigation included both probability and non-probability techniques. The 222 adult learners were randomly recruited from </w:t>
      </w:r>
      <w:r w:rsidR="00053F96" w:rsidRPr="00E01754">
        <w:rPr>
          <w:rFonts w:ascii="Arial" w:hAnsi="Arial" w:cs="Arial"/>
          <w:shd w:val="clear" w:color="auto" w:fill="FFFFFF"/>
        </w:rPr>
        <w:t xml:space="preserve">the public adult education </w:t>
      </w:r>
      <w:proofErr w:type="spellStart"/>
      <w:r w:rsidR="008B2C21">
        <w:rPr>
          <w:rFonts w:ascii="Arial" w:hAnsi="Arial" w:cs="Arial"/>
          <w:shd w:val="clear" w:color="auto" w:fill="FFFFFF"/>
        </w:rPr>
        <w:t>centers</w:t>
      </w:r>
      <w:proofErr w:type="spellEnd"/>
      <w:r w:rsidR="008B2C21">
        <w:rPr>
          <w:rFonts w:ascii="Arial" w:hAnsi="Arial" w:cs="Arial"/>
          <w:shd w:val="clear" w:color="auto" w:fill="FFFFFF"/>
        </w:rPr>
        <w:t xml:space="preserve"> participating in the study, whereas eight NFSE adult learning </w:t>
      </w:r>
      <w:proofErr w:type="spellStart"/>
      <w:r w:rsidR="008B2C21">
        <w:rPr>
          <w:rFonts w:ascii="Arial" w:hAnsi="Arial" w:cs="Arial"/>
          <w:shd w:val="clear" w:color="auto" w:fill="FFFFFF"/>
        </w:rPr>
        <w:t>center</w:t>
      </w:r>
      <w:proofErr w:type="spellEnd"/>
      <w:r w:rsidR="00053F96" w:rsidRPr="00E01754">
        <w:rPr>
          <w:rFonts w:ascii="Arial" w:hAnsi="Arial" w:cs="Arial"/>
          <w:shd w:val="clear" w:color="auto" w:fill="FFFFFF"/>
        </w:rPr>
        <w:t xml:space="preserve"> coordinators were purposefully</w:t>
      </w:r>
      <w:r w:rsidRPr="00E01754">
        <w:rPr>
          <w:rFonts w:ascii="Arial" w:hAnsi="Arial" w:cs="Arial"/>
          <w:shd w:val="clear" w:color="auto" w:fill="FFFFFF"/>
        </w:rPr>
        <w:t xml:space="preserve"> sampled.  Consequently, the study </w:t>
      </w:r>
      <w:r w:rsidR="00053F96" w:rsidRPr="00E01754">
        <w:rPr>
          <w:rFonts w:ascii="Arial" w:hAnsi="Arial" w:cs="Arial"/>
          <w:shd w:val="clear" w:color="auto" w:fill="FFFFFF"/>
        </w:rPr>
        <w:t>used a sample of 230 respondents,</w:t>
      </w:r>
      <w:r w:rsidRPr="00E01754">
        <w:rPr>
          <w:rFonts w:ascii="Arial" w:hAnsi="Arial" w:cs="Arial"/>
          <w:shd w:val="clear" w:color="auto" w:fill="FFFFFF"/>
        </w:rPr>
        <w:t xml:space="preserve"> derived from the Yamane </w:t>
      </w:r>
      <w:r w:rsidR="0029154D">
        <w:rPr>
          <w:rFonts w:ascii="Arial" w:hAnsi="Arial" w:cs="Arial"/>
          <w:shd w:val="clear" w:color="auto" w:fill="FFFFFF"/>
        </w:rPr>
        <w:t>formula.</w:t>
      </w:r>
      <w:r w:rsidRPr="00E01754">
        <w:rPr>
          <w:rFonts w:ascii="Arial" w:hAnsi="Arial" w:cs="Arial"/>
          <w:shd w:val="clear" w:color="auto" w:fill="FFFFFF"/>
        </w:rPr>
        <w:t xml:space="preserve"> The findings were gathered by the delivery of a questionnaire featuring mostly closed-ended questions directed at adult learners.  Comprehensive interviews were performed using a structured approach with </w:t>
      </w:r>
      <w:r w:rsidR="00053F96" w:rsidRPr="00E01754">
        <w:rPr>
          <w:rFonts w:ascii="Arial" w:hAnsi="Arial" w:cs="Arial"/>
          <w:shd w:val="clear" w:color="auto" w:fill="FFFFFF"/>
        </w:rPr>
        <w:t xml:space="preserve">the coordinators of adult education </w:t>
      </w:r>
      <w:r w:rsidR="0029154D">
        <w:rPr>
          <w:rFonts w:ascii="Arial" w:hAnsi="Arial" w:cs="Arial"/>
          <w:shd w:val="clear" w:color="auto" w:fill="FFFFFF"/>
        </w:rPr>
        <w:t>centres</w:t>
      </w:r>
      <w:r w:rsidRPr="00E01754">
        <w:rPr>
          <w:rFonts w:ascii="Arial" w:hAnsi="Arial" w:cs="Arial"/>
          <w:shd w:val="clear" w:color="auto" w:fill="FFFFFF"/>
        </w:rPr>
        <w:t xml:space="preserve"> in schools. The quantitative data were </w:t>
      </w:r>
      <w:r w:rsidR="008B2C21">
        <w:rPr>
          <w:rFonts w:ascii="Arial" w:hAnsi="Arial" w:cs="Arial"/>
          <w:shd w:val="clear" w:color="auto" w:fill="FFFFFF"/>
        </w:rPr>
        <w:t>analysed using descriptive statistics, namely percentages and frequencies, with the assistance of the IBM Statistical Package for Social Sciences (v. 26</w:t>
      </w:r>
      <w:r w:rsidR="00053F96" w:rsidRPr="00E01754">
        <w:rPr>
          <w:rFonts w:ascii="Arial" w:hAnsi="Arial" w:cs="Arial"/>
          <w:shd w:val="clear" w:color="auto" w:fill="FFFFFF"/>
        </w:rPr>
        <w:t>)</w:t>
      </w:r>
      <w:r w:rsidR="00344C0A" w:rsidRPr="00E01754">
        <w:rPr>
          <w:rFonts w:ascii="Arial" w:hAnsi="Arial" w:cs="Arial"/>
          <w:shd w:val="clear" w:color="auto" w:fill="FFFFFF"/>
        </w:rPr>
        <w:t>.</w:t>
      </w:r>
      <w:r w:rsidRPr="00E01754">
        <w:rPr>
          <w:rFonts w:ascii="Arial" w:hAnsi="Arial" w:cs="Arial"/>
          <w:shd w:val="clear" w:color="auto" w:fill="FFFFFF"/>
        </w:rPr>
        <w:t xml:space="preserve"> Thematic analysis was performed on qualitative data. The study employed content validity and Cronbach's </w:t>
      </w:r>
      <w:r w:rsidR="00344C0A" w:rsidRPr="00E01754">
        <w:rPr>
          <w:rFonts w:ascii="Arial" w:hAnsi="Arial" w:cs="Arial"/>
          <w:shd w:val="clear" w:color="auto" w:fill="FFFFFF"/>
        </w:rPr>
        <w:t>alpha</w:t>
      </w:r>
      <w:r w:rsidRPr="00E01754">
        <w:rPr>
          <w:rFonts w:ascii="Arial" w:hAnsi="Arial" w:cs="Arial"/>
          <w:shd w:val="clear" w:color="auto" w:fill="FFFFFF"/>
        </w:rPr>
        <w:t xml:space="preserve"> (with a reliability coefficient of 0.8) to evaluate the validity and reliability of the research instruments.  A public secondary school excluded from the sampled institutions, which incorporated several respondent types to assure validity, served as the location for the pilot test. To comply with ethical requirements, the researcher sought </w:t>
      </w:r>
      <w:r w:rsidR="0029154D">
        <w:rPr>
          <w:rFonts w:ascii="Arial" w:hAnsi="Arial" w:cs="Arial"/>
          <w:shd w:val="clear" w:color="auto" w:fill="FFFFFF"/>
        </w:rPr>
        <w:t>permission</w:t>
      </w:r>
      <w:r w:rsidRPr="00E01754">
        <w:rPr>
          <w:rFonts w:ascii="Arial" w:hAnsi="Arial" w:cs="Arial"/>
          <w:shd w:val="clear" w:color="auto" w:fill="FFFFFF"/>
        </w:rPr>
        <w:t xml:space="preserve"> from the </w:t>
      </w:r>
      <w:proofErr w:type="spellStart"/>
      <w:r w:rsidRPr="00E01754">
        <w:rPr>
          <w:rFonts w:ascii="Arial" w:hAnsi="Arial" w:cs="Arial"/>
          <w:shd w:val="clear" w:color="auto" w:fill="FFFFFF"/>
        </w:rPr>
        <w:t>Rukwa</w:t>
      </w:r>
      <w:proofErr w:type="spellEnd"/>
      <w:r w:rsidRPr="00E01754">
        <w:rPr>
          <w:rFonts w:ascii="Arial" w:hAnsi="Arial" w:cs="Arial"/>
          <w:shd w:val="clear" w:color="auto" w:fill="FFFFFF"/>
        </w:rPr>
        <w:t xml:space="preserve"> Regional Administrative Secretary (RAS) to gather data from the target demographic.  Furthermore, the researcher enlisted the participants in the study with their voluntary and informed </w:t>
      </w:r>
      <w:r w:rsidR="0029154D">
        <w:rPr>
          <w:rFonts w:ascii="Arial" w:hAnsi="Arial" w:cs="Arial"/>
          <w:shd w:val="clear" w:color="auto" w:fill="FFFFFF"/>
        </w:rPr>
        <w:t>agreement.</w:t>
      </w:r>
      <w:r w:rsidRPr="00E01754">
        <w:rPr>
          <w:rFonts w:ascii="Arial" w:hAnsi="Arial" w:cs="Arial"/>
          <w:shd w:val="clear" w:color="auto" w:fill="FFFFFF"/>
        </w:rPr>
        <w:t xml:space="preserve"> The participants' concerns regarding their privacy, confidentiality, and anonymity were also considered.</w:t>
      </w:r>
    </w:p>
    <w:p w14:paraId="2E58A2D0" w14:textId="65019B2F" w:rsidR="00CF6A8F" w:rsidRPr="00E01754" w:rsidRDefault="002A782D" w:rsidP="002A782D">
      <w:pPr>
        <w:spacing w:line="276" w:lineRule="auto"/>
        <w:jc w:val="both"/>
        <w:rPr>
          <w:rFonts w:ascii="Arial" w:hAnsi="Arial" w:cs="Arial"/>
          <w:b/>
          <w:bCs/>
          <w:shd w:val="clear" w:color="auto" w:fill="FFFFFF"/>
        </w:rPr>
      </w:pPr>
      <w:r w:rsidRPr="00E01754">
        <w:rPr>
          <w:rFonts w:ascii="Arial" w:hAnsi="Arial" w:cs="Arial"/>
          <w:b/>
          <w:bCs/>
          <w:shd w:val="clear" w:color="auto" w:fill="FFFFFF"/>
        </w:rPr>
        <w:t xml:space="preserve">4. </w:t>
      </w:r>
      <w:r w:rsidR="00344C0A" w:rsidRPr="00E01754">
        <w:rPr>
          <w:rFonts w:ascii="Arial" w:hAnsi="Arial" w:cs="Arial"/>
          <w:b/>
          <w:bCs/>
          <w:shd w:val="clear" w:color="auto" w:fill="FFFFFF"/>
        </w:rPr>
        <w:t>RESULTS</w:t>
      </w:r>
    </w:p>
    <w:p w14:paraId="2E730378" w14:textId="4E66759E" w:rsidR="00005F5D" w:rsidRPr="00E01754" w:rsidRDefault="00005F5D" w:rsidP="00005F5D">
      <w:pPr>
        <w:spacing w:before="100" w:beforeAutospacing="1" w:after="100" w:afterAutospacing="1" w:line="276" w:lineRule="auto"/>
        <w:jc w:val="both"/>
        <w:rPr>
          <w:rFonts w:ascii="Arial" w:eastAsia="Times New Roman" w:hAnsi="Arial" w:cs="Arial"/>
          <w:b/>
          <w:bCs/>
        </w:rPr>
      </w:pPr>
      <w:r w:rsidRPr="00E01754">
        <w:rPr>
          <w:rFonts w:ascii="Arial" w:eastAsia="Times New Roman" w:hAnsi="Arial" w:cs="Arial"/>
          <w:b/>
          <w:bCs/>
          <w:kern w:val="0"/>
          <w14:ligatures w14:val="none"/>
        </w:rPr>
        <w:t>4.1 What</w:t>
      </w:r>
      <w:r w:rsidRPr="00E01754">
        <w:rPr>
          <w:rFonts w:ascii="Arial" w:eastAsia="Times New Roman" w:hAnsi="Arial" w:cs="Arial"/>
          <w:b/>
          <w:bCs/>
        </w:rPr>
        <w:t xml:space="preserve"> strategies can be adopted to improve the effectiveness of Non-Formal Secondary Education (NFSE) in enhancing career development among adult learners in </w:t>
      </w:r>
      <w:proofErr w:type="spellStart"/>
      <w:r w:rsidRPr="00E01754">
        <w:rPr>
          <w:rFonts w:ascii="Arial" w:eastAsia="Times New Roman" w:hAnsi="Arial" w:cs="Arial"/>
          <w:b/>
          <w:bCs/>
        </w:rPr>
        <w:t>Rukwa</w:t>
      </w:r>
      <w:proofErr w:type="spellEnd"/>
      <w:r w:rsidRPr="00E01754">
        <w:rPr>
          <w:rFonts w:ascii="Arial" w:eastAsia="Times New Roman" w:hAnsi="Arial" w:cs="Arial"/>
          <w:b/>
          <w:bCs/>
        </w:rPr>
        <w:t xml:space="preserve"> Region, Tanzania?</w:t>
      </w:r>
      <w:bookmarkStart w:id="2" w:name="_Hlk218495314"/>
      <w:r w:rsidRPr="00E01754">
        <w:rPr>
          <w:rFonts w:ascii="Arial" w:eastAsia="Times New Roman" w:hAnsi="Arial" w:cs="Arial"/>
          <w:b/>
        </w:rPr>
        <w:t xml:space="preserve"> </w:t>
      </w:r>
      <w:bookmarkEnd w:id="2"/>
    </w:p>
    <w:p w14:paraId="0D58E7CB" w14:textId="162E3435" w:rsidR="00005F5D" w:rsidRPr="00E01754" w:rsidRDefault="00005F5D" w:rsidP="00005F5D">
      <w:pPr>
        <w:spacing w:after="0" w:line="276" w:lineRule="auto"/>
        <w:ind w:right="-378"/>
        <w:jc w:val="both"/>
        <w:rPr>
          <w:rFonts w:ascii="Arial" w:eastAsia="Times New Roman" w:hAnsi="Arial" w:cs="Arial"/>
        </w:rPr>
      </w:pPr>
      <w:r w:rsidRPr="00E01754">
        <w:rPr>
          <w:rFonts w:ascii="Arial" w:eastAsia="Times New Roman" w:hAnsi="Arial" w:cs="Arial"/>
        </w:rPr>
        <w:t xml:space="preserve">The respondents proposed strategies for </w:t>
      </w:r>
      <w:r w:rsidR="002A782D" w:rsidRPr="00E01754">
        <w:rPr>
          <w:rFonts w:ascii="Arial" w:eastAsia="Times New Roman" w:hAnsi="Arial" w:cs="Arial"/>
        </w:rPr>
        <w:t xml:space="preserve">improving </w:t>
      </w:r>
      <w:r w:rsidR="002A782D" w:rsidRPr="00E01754">
        <w:rPr>
          <w:rFonts w:ascii="Arial" w:hAnsi="Arial" w:cs="Arial"/>
          <w:b/>
          <w:bCs/>
        </w:rPr>
        <w:t xml:space="preserve">NFSE for </w:t>
      </w:r>
      <w:r w:rsidR="00344C0A" w:rsidRPr="00E01754">
        <w:rPr>
          <w:rFonts w:ascii="Arial" w:hAnsi="Arial" w:cs="Arial"/>
          <w:b/>
          <w:bCs/>
        </w:rPr>
        <w:t>career development</w:t>
      </w:r>
      <w:r w:rsidR="002A782D" w:rsidRPr="00E01754">
        <w:rPr>
          <w:rFonts w:ascii="Arial" w:hAnsi="Arial" w:cs="Arial"/>
          <w:b/>
          <w:bCs/>
        </w:rPr>
        <w:t xml:space="preserve"> among </w:t>
      </w:r>
      <w:r w:rsidR="002A782D" w:rsidRPr="00E01754">
        <w:rPr>
          <w:rFonts w:ascii="Arial" w:eastAsia="Times New Roman" w:hAnsi="Arial" w:cs="Arial"/>
        </w:rPr>
        <w:t>adult</w:t>
      </w:r>
      <w:r w:rsidRPr="00E01754">
        <w:rPr>
          <w:rFonts w:ascii="Arial" w:eastAsia="Times New Roman" w:hAnsi="Arial" w:cs="Arial"/>
        </w:rPr>
        <w:t xml:space="preserve"> learners. Their responses are presented in Table 1.</w:t>
      </w:r>
    </w:p>
    <w:p w14:paraId="26C10385" w14:textId="58A4D1D3" w:rsidR="00005F5D" w:rsidRPr="00E01754" w:rsidRDefault="00005F5D" w:rsidP="00005F5D">
      <w:pPr>
        <w:spacing w:after="0" w:line="276" w:lineRule="auto"/>
        <w:rPr>
          <w:rFonts w:ascii="Arial" w:eastAsia="Times New Roman" w:hAnsi="Arial" w:cs="Arial"/>
          <w:b/>
        </w:rPr>
      </w:pPr>
      <w:r w:rsidRPr="00E01754">
        <w:rPr>
          <w:rFonts w:ascii="Arial" w:eastAsia="Times New Roman" w:hAnsi="Arial" w:cs="Arial"/>
          <w:b/>
        </w:rPr>
        <w:t xml:space="preserve">Table </w:t>
      </w:r>
      <w:r w:rsidR="00344C0A" w:rsidRPr="00E01754">
        <w:rPr>
          <w:rFonts w:ascii="Arial" w:eastAsia="Times New Roman" w:hAnsi="Arial" w:cs="Arial"/>
          <w:b/>
        </w:rPr>
        <w:t>1:</w:t>
      </w:r>
      <w:r w:rsidRPr="00E01754">
        <w:rPr>
          <w:rFonts w:ascii="Arial" w:eastAsia="Times New Roman" w:hAnsi="Arial" w:cs="Arial"/>
          <w:b/>
        </w:rPr>
        <w:t xml:space="preserve"> </w:t>
      </w:r>
      <w:r w:rsidRPr="00E01754">
        <w:rPr>
          <w:rFonts w:ascii="Arial" w:hAnsi="Arial" w:cs="Arial"/>
          <w:b/>
          <w:bCs/>
        </w:rPr>
        <w:t xml:space="preserve">Strategies for </w:t>
      </w:r>
      <w:bookmarkStart w:id="3" w:name="_Hlk220956119"/>
      <w:r w:rsidRPr="00E01754">
        <w:rPr>
          <w:rFonts w:ascii="Arial" w:hAnsi="Arial" w:cs="Arial"/>
          <w:b/>
          <w:bCs/>
        </w:rPr>
        <w:t>Improving NFSE for Career Development</w:t>
      </w:r>
      <w:bookmarkEnd w:id="3"/>
    </w:p>
    <w:p w14:paraId="55B0B9F4" w14:textId="77777777" w:rsidR="00005F5D" w:rsidRPr="00E01754" w:rsidRDefault="00005F5D" w:rsidP="00005F5D">
      <w:pPr>
        <w:spacing w:after="0" w:line="276" w:lineRule="auto"/>
        <w:rPr>
          <w:rFonts w:ascii="Arial" w:eastAsia="Times New Roman" w:hAnsi="Arial" w:cs="Arial"/>
          <w:b/>
        </w:rPr>
      </w:pPr>
    </w:p>
    <w:tbl>
      <w:tblPr>
        <w:tblW w:w="7830" w:type="dxa"/>
        <w:tblInd w:w="108" w:type="dxa"/>
        <w:tblBorders>
          <w:top w:val="single" w:sz="4" w:space="0" w:color="auto"/>
          <w:bottom w:val="single" w:sz="4" w:space="0" w:color="auto"/>
        </w:tblBorders>
        <w:tblLook w:val="04A0" w:firstRow="1" w:lastRow="0" w:firstColumn="1" w:lastColumn="0" w:noHBand="0" w:noVBand="1"/>
      </w:tblPr>
      <w:tblGrid>
        <w:gridCol w:w="3477"/>
        <w:gridCol w:w="755"/>
        <w:gridCol w:w="710"/>
        <w:gridCol w:w="692"/>
        <w:gridCol w:w="899"/>
        <w:gridCol w:w="1297"/>
      </w:tblGrid>
      <w:tr w:rsidR="00005F5D" w:rsidRPr="00E01754" w14:paraId="7A35D1E9" w14:textId="77777777" w:rsidTr="009B6BF4">
        <w:tc>
          <w:tcPr>
            <w:tcW w:w="3510" w:type="dxa"/>
            <w:tcBorders>
              <w:top w:val="single" w:sz="4" w:space="0" w:color="auto"/>
              <w:bottom w:val="single" w:sz="4" w:space="0" w:color="auto"/>
            </w:tcBorders>
          </w:tcPr>
          <w:p w14:paraId="77DAA369"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b/>
              </w:rPr>
              <w:lastRenderedPageBreak/>
              <w:t>Supportive measures</w:t>
            </w:r>
          </w:p>
        </w:tc>
        <w:tc>
          <w:tcPr>
            <w:tcW w:w="758" w:type="dxa"/>
            <w:tcBorders>
              <w:top w:val="single" w:sz="4" w:space="0" w:color="auto"/>
              <w:bottom w:val="single" w:sz="4" w:space="0" w:color="auto"/>
            </w:tcBorders>
          </w:tcPr>
          <w:p w14:paraId="19BBEC88" w14:textId="77777777" w:rsidR="00005F5D" w:rsidRPr="00E01754" w:rsidRDefault="00005F5D" w:rsidP="004F1E97">
            <w:pPr>
              <w:spacing w:after="0" w:line="240" w:lineRule="auto"/>
              <w:rPr>
                <w:rFonts w:ascii="Arial" w:hAnsi="Arial" w:cs="Arial"/>
                <w:b/>
              </w:rPr>
            </w:pPr>
            <w:r w:rsidRPr="00E01754">
              <w:rPr>
                <w:rFonts w:ascii="Arial" w:eastAsia="Times New Roman" w:hAnsi="Arial" w:cs="Arial"/>
                <w:b/>
              </w:rPr>
              <w:t>N</w:t>
            </w:r>
          </w:p>
        </w:tc>
        <w:tc>
          <w:tcPr>
            <w:tcW w:w="710" w:type="dxa"/>
            <w:tcBorders>
              <w:top w:val="single" w:sz="4" w:space="0" w:color="auto"/>
              <w:bottom w:val="single" w:sz="4" w:space="0" w:color="auto"/>
            </w:tcBorders>
          </w:tcPr>
          <w:p w14:paraId="596DDAC5" w14:textId="77777777" w:rsidR="00005F5D" w:rsidRPr="00E01754" w:rsidRDefault="00005F5D" w:rsidP="004F1E97">
            <w:pPr>
              <w:spacing w:after="0" w:line="240" w:lineRule="auto"/>
              <w:rPr>
                <w:rFonts w:ascii="Arial" w:hAnsi="Arial" w:cs="Arial"/>
                <w:b/>
              </w:rPr>
            </w:pPr>
            <w:r w:rsidRPr="00E01754">
              <w:rPr>
                <w:rFonts w:ascii="Arial" w:eastAsia="Times New Roman" w:hAnsi="Arial" w:cs="Arial"/>
                <w:b/>
              </w:rPr>
              <w:t>Mini</w:t>
            </w:r>
          </w:p>
        </w:tc>
        <w:tc>
          <w:tcPr>
            <w:tcW w:w="692" w:type="dxa"/>
            <w:tcBorders>
              <w:top w:val="single" w:sz="4" w:space="0" w:color="auto"/>
              <w:bottom w:val="single" w:sz="4" w:space="0" w:color="auto"/>
            </w:tcBorders>
            <w:shd w:val="clear" w:color="auto" w:fill="FFFFFF"/>
          </w:tcPr>
          <w:p w14:paraId="666EAEB3" w14:textId="77777777" w:rsidR="00005F5D" w:rsidRPr="00E01754" w:rsidRDefault="00005F5D" w:rsidP="004F1E97">
            <w:pPr>
              <w:spacing w:after="0" w:line="240" w:lineRule="auto"/>
              <w:rPr>
                <w:rFonts w:ascii="Arial" w:hAnsi="Arial" w:cs="Arial"/>
                <w:b/>
              </w:rPr>
            </w:pPr>
            <w:r w:rsidRPr="00E01754">
              <w:rPr>
                <w:rFonts w:ascii="Arial" w:hAnsi="Arial" w:cs="Arial"/>
                <w:b/>
              </w:rPr>
              <w:t>Max</w:t>
            </w:r>
          </w:p>
        </w:tc>
        <w:tc>
          <w:tcPr>
            <w:tcW w:w="900" w:type="dxa"/>
            <w:tcBorders>
              <w:top w:val="single" w:sz="4" w:space="0" w:color="auto"/>
              <w:bottom w:val="single" w:sz="4" w:space="0" w:color="auto"/>
            </w:tcBorders>
          </w:tcPr>
          <w:p w14:paraId="3F3101E3" w14:textId="60584C5E" w:rsidR="00005F5D" w:rsidRPr="00E01754" w:rsidRDefault="0029154D" w:rsidP="004F1E97">
            <w:pPr>
              <w:spacing w:after="0" w:line="240" w:lineRule="auto"/>
              <w:rPr>
                <w:rFonts w:ascii="Arial" w:hAnsi="Arial" w:cs="Arial"/>
                <w:b/>
              </w:rPr>
            </w:pPr>
            <w:r>
              <w:rPr>
                <w:rFonts w:ascii="Arial" w:eastAsia="Times New Roman" w:hAnsi="Arial" w:cs="Arial"/>
                <w:b/>
              </w:rPr>
              <w:t>Mean</w:t>
            </w:r>
          </w:p>
        </w:tc>
        <w:tc>
          <w:tcPr>
            <w:tcW w:w="1260" w:type="dxa"/>
            <w:tcBorders>
              <w:top w:val="single" w:sz="4" w:space="0" w:color="auto"/>
              <w:bottom w:val="single" w:sz="4" w:space="0" w:color="auto"/>
            </w:tcBorders>
          </w:tcPr>
          <w:p w14:paraId="56223AC7" w14:textId="77777777" w:rsidR="00005F5D" w:rsidRPr="00E01754" w:rsidRDefault="00005F5D" w:rsidP="004F1E97">
            <w:pPr>
              <w:spacing w:after="0" w:line="240" w:lineRule="auto"/>
              <w:rPr>
                <w:rFonts w:ascii="Arial" w:hAnsi="Arial" w:cs="Arial"/>
                <w:b/>
              </w:rPr>
            </w:pPr>
            <w:r w:rsidRPr="00E01754">
              <w:rPr>
                <w:rFonts w:ascii="Arial" w:eastAsia="Times New Roman" w:hAnsi="Arial" w:cs="Arial"/>
                <w:b/>
              </w:rPr>
              <w:t>Std. Deviation</w:t>
            </w:r>
          </w:p>
        </w:tc>
      </w:tr>
      <w:tr w:rsidR="00005F5D" w:rsidRPr="00E01754" w14:paraId="3872C5A6" w14:textId="77777777" w:rsidTr="009B6BF4">
        <w:tc>
          <w:tcPr>
            <w:tcW w:w="3510" w:type="dxa"/>
            <w:tcBorders>
              <w:top w:val="single" w:sz="4" w:space="0" w:color="auto"/>
            </w:tcBorders>
          </w:tcPr>
          <w:p w14:paraId="7DC2CDE1" w14:textId="77777777" w:rsidR="00005F5D" w:rsidRPr="00E01754" w:rsidRDefault="00005F5D" w:rsidP="004F1E97">
            <w:pPr>
              <w:spacing w:after="0" w:line="240" w:lineRule="auto"/>
              <w:ind w:left="60" w:right="60"/>
              <w:rPr>
                <w:rFonts w:ascii="Arial" w:eastAsia="Times New Roman" w:hAnsi="Arial" w:cs="Arial"/>
              </w:rPr>
            </w:pPr>
            <w:r w:rsidRPr="00E01754">
              <w:rPr>
                <w:rFonts w:ascii="Arial" w:eastAsia="Times New Roman" w:hAnsi="Arial" w:cs="Arial"/>
              </w:rPr>
              <w:t>Curriculum development for adult learners</w:t>
            </w:r>
          </w:p>
          <w:p w14:paraId="356122DB" w14:textId="77777777" w:rsidR="00005F5D" w:rsidRPr="00E01754" w:rsidRDefault="00005F5D" w:rsidP="004F1E97">
            <w:pPr>
              <w:spacing w:after="0" w:line="240" w:lineRule="auto"/>
              <w:rPr>
                <w:rFonts w:ascii="Arial" w:hAnsi="Arial" w:cs="Arial"/>
              </w:rPr>
            </w:pPr>
          </w:p>
        </w:tc>
        <w:tc>
          <w:tcPr>
            <w:tcW w:w="758" w:type="dxa"/>
            <w:tcBorders>
              <w:top w:val="single" w:sz="4" w:space="0" w:color="auto"/>
            </w:tcBorders>
          </w:tcPr>
          <w:p w14:paraId="6A82F79C"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222</w:t>
            </w:r>
          </w:p>
        </w:tc>
        <w:tc>
          <w:tcPr>
            <w:tcW w:w="710" w:type="dxa"/>
            <w:tcBorders>
              <w:top w:val="single" w:sz="4" w:space="0" w:color="auto"/>
            </w:tcBorders>
          </w:tcPr>
          <w:p w14:paraId="3D620386"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1</w:t>
            </w:r>
          </w:p>
        </w:tc>
        <w:tc>
          <w:tcPr>
            <w:tcW w:w="692" w:type="dxa"/>
            <w:tcBorders>
              <w:top w:val="single" w:sz="4" w:space="0" w:color="auto"/>
            </w:tcBorders>
            <w:shd w:val="clear" w:color="auto" w:fill="FFFFFF"/>
          </w:tcPr>
          <w:p w14:paraId="742DFC13"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5</w:t>
            </w:r>
          </w:p>
        </w:tc>
        <w:tc>
          <w:tcPr>
            <w:tcW w:w="900" w:type="dxa"/>
            <w:tcBorders>
              <w:top w:val="single" w:sz="4" w:space="0" w:color="auto"/>
            </w:tcBorders>
          </w:tcPr>
          <w:p w14:paraId="232C6149"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3.35</w:t>
            </w:r>
          </w:p>
        </w:tc>
        <w:tc>
          <w:tcPr>
            <w:tcW w:w="1260" w:type="dxa"/>
            <w:tcBorders>
              <w:top w:val="single" w:sz="4" w:space="0" w:color="auto"/>
            </w:tcBorders>
          </w:tcPr>
          <w:p w14:paraId="789CF513"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.929</w:t>
            </w:r>
          </w:p>
        </w:tc>
      </w:tr>
      <w:tr w:rsidR="00005F5D" w:rsidRPr="00E01754" w14:paraId="09BE0273" w14:textId="77777777" w:rsidTr="009B6BF4">
        <w:tc>
          <w:tcPr>
            <w:tcW w:w="3510" w:type="dxa"/>
          </w:tcPr>
          <w:p w14:paraId="261552F0" w14:textId="77777777" w:rsidR="00005F5D" w:rsidRPr="00E01754" w:rsidRDefault="00005F5D" w:rsidP="004F1E97">
            <w:pPr>
              <w:spacing w:after="0" w:line="240" w:lineRule="auto"/>
              <w:ind w:left="60" w:right="60"/>
              <w:rPr>
                <w:rFonts w:ascii="Arial" w:eastAsia="Times New Roman" w:hAnsi="Arial" w:cs="Arial"/>
              </w:rPr>
            </w:pPr>
            <w:r w:rsidRPr="00E01754">
              <w:rPr>
                <w:rFonts w:ascii="Arial" w:eastAsia="Times New Roman" w:hAnsi="Arial" w:cs="Arial"/>
              </w:rPr>
              <w:t>Fee-free basic education policy for adult learning</w:t>
            </w:r>
          </w:p>
          <w:p w14:paraId="1B1B8EAA" w14:textId="77777777" w:rsidR="00005F5D" w:rsidRPr="00E01754" w:rsidRDefault="00005F5D" w:rsidP="004F1E97">
            <w:pPr>
              <w:spacing w:after="0" w:line="240" w:lineRule="auto"/>
              <w:rPr>
                <w:rFonts w:ascii="Arial" w:hAnsi="Arial" w:cs="Arial"/>
              </w:rPr>
            </w:pPr>
          </w:p>
        </w:tc>
        <w:tc>
          <w:tcPr>
            <w:tcW w:w="758" w:type="dxa"/>
          </w:tcPr>
          <w:p w14:paraId="0B3CE28F"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222</w:t>
            </w:r>
          </w:p>
        </w:tc>
        <w:tc>
          <w:tcPr>
            <w:tcW w:w="710" w:type="dxa"/>
          </w:tcPr>
          <w:p w14:paraId="39CC3069"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1</w:t>
            </w:r>
          </w:p>
        </w:tc>
        <w:tc>
          <w:tcPr>
            <w:tcW w:w="692" w:type="dxa"/>
            <w:shd w:val="clear" w:color="auto" w:fill="FFFFFF"/>
          </w:tcPr>
          <w:p w14:paraId="696A0947"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5</w:t>
            </w:r>
          </w:p>
        </w:tc>
        <w:tc>
          <w:tcPr>
            <w:tcW w:w="900" w:type="dxa"/>
          </w:tcPr>
          <w:p w14:paraId="23F2E088"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3.28</w:t>
            </w:r>
          </w:p>
        </w:tc>
        <w:tc>
          <w:tcPr>
            <w:tcW w:w="1260" w:type="dxa"/>
          </w:tcPr>
          <w:p w14:paraId="379C7EEC"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.930</w:t>
            </w:r>
          </w:p>
        </w:tc>
      </w:tr>
      <w:tr w:rsidR="00005F5D" w:rsidRPr="00E01754" w14:paraId="6F75E87E" w14:textId="77777777" w:rsidTr="009B6BF4">
        <w:tc>
          <w:tcPr>
            <w:tcW w:w="3510" w:type="dxa"/>
          </w:tcPr>
          <w:p w14:paraId="597099AB" w14:textId="77777777" w:rsidR="00005F5D" w:rsidRPr="00E01754" w:rsidRDefault="00005F5D" w:rsidP="004F1E97">
            <w:pPr>
              <w:spacing w:after="0" w:line="240" w:lineRule="auto"/>
              <w:ind w:left="60" w:right="60"/>
              <w:rPr>
                <w:rFonts w:ascii="Arial" w:eastAsia="Times New Roman" w:hAnsi="Arial" w:cs="Arial"/>
              </w:rPr>
            </w:pPr>
            <w:r w:rsidRPr="00E01754">
              <w:rPr>
                <w:rFonts w:ascii="Arial" w:eastAsia="Times New Roman" w:hAnsi="Arial" w:cs="Arial"/>
              </w:rPr>
              <w:t>Developing special adult learning centres</w:t>
            </w:r>
          </w:p>
          <w:p w14:paraId="4FC40F2F" w14:textId="77777777" w:rsidR="00005F5D" w:rsidRPr="00E01754" w:rsidRDefault="00005F5D" w:rsidP="004F1E97">
            <w:pPr>
              <w:spacing w:after="0" w:line="240" w:lineRule="auto"/>
              <w:rPr>
                <w:rFonts w:ascii="Arial" w:hAnsi="Arial" w:cs="Arial"/>
              </w:rPr>
            </w:pPr>
          </w:p>
        </w:tc>
        <w:tc>
          <w:tcPr>
            <w:tcW w:w="758" w:type="dxa"/>
          </w:tcPr>
          <w:p w14:paraId="2F8764A7"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222</w:t>
            </w:r>
          </w:p>
        </w:tc>
        <w:tc>
          <w:tcPr>
            <w:tcW w:w="710" w:type="dxa"/>
          </w:tcPr>
          <w:p w14:paraId="782D27B1"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1</w:t>
            </w:r>
          </w:p>
        </w:tc>
        <w:tc>
          <w:tcPr>
            <w:tcW w:w="692" w:type="dxa"/>
            <w:shd w:val="clear" w:color="auto" w:fill="FFFFFF"/>
          </w:tcPr>
          <w:p w14:paraId="7758A703"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5</w:t>
            </w:r>
          </w:p>
        </w:tc>
        <w:tc>
          <w:tcPr>
            <w:tcW w:w="900" w:type="dxa"/>
          </w:tcPr>
          <w:p w14:paraId="1F0C05B8"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3.26</w:t>
            </w:r>
          </w:p>
        </w:tc>
        <w:tc>
          <w:tcPr>
            <w:tcW w:w="1260" w:type="dxa"/>
          </w:tcPr>
          <w:p w14:paraId="2B441F6A"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.943</w:t>
            </w:r>
          </w:p>
        </w:tc>
      </w:tr>
      <w:tr w:rsidR="00005F5D" w:rsidRPr="00E01754" w14:paraId="30A3D411" w14:textId="77777777" w:rsidTr="009B6BF4">
        <w:tc>
          <w:tcPr>
            <w:tcW w:w="3510" w:type="dxa"/>
          </w:tcPr>
          <w:p w14:paraId="19651273"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rPr>
              <w:t>Online systems for adult basic education</w:t>
            </w:r>
          </w:p>
        </w:tc>
        <w:tc>
          <w:tcPr>
            <w:tcW w:w="758" w:type="dxa"/>
          </w:tcPr>
          <w:p w14:paraId="5581962D"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222</w:t>
            </w:r>
          </w:p>
        </w:tc>
        <w:tc>
          <w:tcPr>
            <w:tcW w:w="710" w:type="dxa"/>
          </w:tcPr>
          <w:p w14:paraId="676B125D"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1</w:t>
            </w:r>
          </w:p>
        </w:tc>
        <w:tc>
          <w:tcPr>
            <w:tcW w:w="692" w:type="dxa"/>
            <w:shd w:val="clear" w:color="auto" w:fill="FFFFFF"/>
          </w:tcPr>
          <w:p w14:paraId="11AC67B5"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5</w:t>
            </w:r>
          </w:p>
        </w:tc>
        <w:tc>
          <w:tcPr>
            <w:tcW w:w="900" w:type="dxa"/>
          </w:tcPr>
          <w:p w14:paraId="1E135024"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3.35</w:t>
            </w:r>
          </w:p>
        </w:tc>
        <w:tc>
          <w:tcPr>
            <w:tcW w:w="1260" w:type="dxa"/>
          </w:tcPr>
          <w:p w14:paraId="65F63032" w14:textId="77777777" w:rsidR="00005F5D" w:rsidRPr="00E01754" w:rsidRDefault="00005F5D" w:rsidP="004F1E97">
            <w:pPr>
              <w:spacing w:after="0" w:line="240" w:lineRule="auto"/>
              <w:rPr>
                <w:rFonts w:ascii="Arial" w:hAnsi="Arial" w:cs="Arial"/>
              </w:rPr>
            </w:pPr>
            <w:r w:rsidRPr="00E01754">
              <w:rPr>
                <w:rFonts w:ascii="Arial" w:eastAsia="Times New Roman" w:hAnsi="Arial" w:cs="Arial"/>
                <w:color w:val="010205"/>
              </w:rPr>
              <w:t>.938</w:t>
            </w:r>
          </w:p>
        </w:tc>
      </w:tr>
    </w:tbl>
    <w:p w14:paraId="35725C44" w14:textId="5AF1EC3B" w:rsidR="00005F5D" w:rsidRPr="00E01754" w:rsidRDefault="00005F5D" w:rsidP="00005F5D">
      <w:pPr>
        <w:spacing w:after="0" w:line="276" w:lineRule="auto"/>
        <w:rPr>
          <w:rFonts w:ascii="Arial" w:eastAsia="Times New Roman" w:hAnsi="Arial" w:cs="Arial"/>
        </w:rPr>
      </w:pPr>
      <w:r w:rsidRPr="00E01754">
        <w:rPr>
          <w:rFonts w:ascii="Arial" w:eastAsia="Times New Roman" w:hAnsi="Arial" w:cs="Arial"/>
          <w:b/>
        </w:rPr>
        <w:t>Source:</w:t>
      </w:r>
      <w:r w:rsidRPr="00E01754">
        <w:rPr>
          <w:rFonts w:ascii="Arial" w:eastAsia="Times New Roman" w:hAnsi="Arial" w:cs="Arial"/>
        </w:rPr>
        <w:t xml:space="preserve"> Field Data (2023)</w:t>
      </w:r>
    </w:p>
    <w:p w14:paraId="465E8F80" w14:textId="77777777" w:rsidR="00005F5D" w:rsidRPr="00E01754" w:rsidRDefault="00005F5D" w:rsidP="00005F5D">
      <w:pPr>
        <w:spacing w:after="0" w:line="276" w:lineRule="auto"/>
        <w:rPr>
          <w:rFonts w:ascii="Arial" w:eastAsia="Times New Roman" w:hAnsi="Arial" w:cs="Arial"/>
        </w:rPr>
      </w:pPr>
    </w:p>
    <w:p w14:paraId="7F4A70EB" w14:textId="7FA94E80" w:rsidR="00005F5D" w:rsidRPr="00E01754" w:rsidRDefault="00005F5D" w:rsidP="00005F5D">
      <w:pPr>
        <w:spacing w:after="0" w:line="276" w:lineRule="auto"/>
        <w:rPr>
          <w:rFonts w:ascii="Arial" w:eastAsia="Times New Roman" w:hAnsi="Arial" w:cs="Arial"/>
        </w:rPr>
      </w:pPr>
      <w:r w:rsidRPr="00E01754">
        <w:rPr>
          <w:rFonts w:ascii="Arial" w:eastAsia="Times New Roman" w:hAnsi="Arial" w:cs="Arial"/>
          <w:b/>
        </w:rPr>
        <w:t>4.1.1 Curriculum Development for Adult Learning in NFSE</w:t>
      </w:r>
    </w:p>
    <w:p w14:paraId="1AD1481D" w14:textId="1E3BB187" w:rsidR="00CF1007" w:rsidRPr="00E01754" w:rsidRDefault="00005F5D" w:rsidP="00CF1007">
      <w:pPr>
        <w:spacing w:after="0" w:line="276" w:lineRule="auto"/>
        <w:jc w:val="both"/>
        <w:rPr>
          <w:rFonts w:ascii="Arial" w:eastAsia="Times New Roman" w:hAnsi="Arial" w:cs="Arial"/>
        </w:rPr>
      </w:pPr>
      <w:r w:rsidRPr="00E01754">
        <w:rPr>
          <w:rFonts w:ascii="Arial" w:eastAsia="Times New Roman" w:hAnsi="Arial" w:cs="Arial"/>
        </w:rPr>
        <w:t xml:space="preserve">As indicated in Table </w:t>
      </w:r>
      <w:r w:rsidR="006773F2" w:rsidRPr="00E01754">
        <w:rPr>
          <w:rFonts w:ascii="Arial" w:eastAsia="Times New Roman" w:hAnsi="Arial" w:cs="Arial"/>
        </w:rPr>
        <w:t>1</w:t>
      </w:r>
      <w:r w:rsidRPr="00E01754">
        <w:rPr>
          <w:rFonts w:ascii="Arial" w:eastAsia="Times New Roman" w:hAnsi="Arial" w:cs="Arial"/>
        </w:rPr>
        <w:t xml:space="preserve">, the respondents proposed that there was a need for special curriculum development for adult learners in NFSE. The curriculum should address their career needs and social and economic obligations. The mean score of their rating was 3.35 out of </w:t>
      </w:r>
      <w:r w:rsidR="00344C0A" w:rsidRPr="00E01754">
        <w:rPr>
          <w:rFonts w:ascii="Arial" w:eastAsia="Times New Roman" w:hAnsi="Arial" w:cs="Arial"/>
        </w:rPr>
        <w:t>5.0,</w:t>
      </w:r>
      <w:r w:rsidRPr="00E01754">
        <w:rPr>
          <w:rFonts w:ascii="Arial" w:eastAsia="Times New Roman" w:hAnsi="Arial" w:cs="Arial"/>
        </w:rPr>
        <w:t xml:space="preserve"> which is above the </w:t>
      </w:r>
      <w:r w:rsidR="00344C0A" w:rsidRPr="00E01754">
        <w:rPr>
          <w:rFonts w:ascii="Arial" w:eastAsia="Times New Roman" w:hAnsi="Arial" w:cs="Arial"/>
        </w:rPr>
        <w:t>midpoint,</w:t>
      </w:r>
      <w:r w:rsidRPr="00E01754">
        <w:rPr>
          <w:rFonts w:ascii="Arial" w:eastAsia="Times New Roman" w:hAnsi="Arial" w:cs="Arial"/>
        </w:rPr>
        <w:t xml:space="preserve"> </w:t>
      </w:r>
      <w:r w:rsidR="00053F96" w:rsidRPr="00E01754">
        <w:rPr>
          <w:rFonts w:ascii="Arial" w:eastAsia="Times New Roman" w:hAnsi="Arial" w:cs="Arial"/>
        </w:rPr>
        <w:t>with</w:t>
      </w:r>
      <w:r w:rsidRPr="00E01754">
        <w:rPr>
          <w:rFonts w:ascii="Arial" w:eastAsia="Times New Roman" w:hAnsi="Arial" w:cs="Arial"/>
        </w:rPr>
        <w:t xml:space="preserve"> a standard deviation of 0.929</w:t>
      </w:r>
      <w:r w:rsidR="00344C0A" w:rsidRPr="00E01754">
        <w:rPr>
          <w:rFonts w:ascii="Arial" w:eastAsia="Times New Roman" w:hAnsi="Arial" w:cs="Arial"/>
        </w:rPr>
        <w:t>; hence,</w:t>
      </w:r>
      <w:r w:rsidRPr="00E01754">
        <w:rPr>
          <w:rFonts w:ascii="Arial" w:eastAsia="Times New Roman" w:hAnsi="Arial" w:cs="Arial"/>
        </w:rPr>
        <w:t xml:space="preserve"> the idea was supported by the majority of the respondents in the </w:t>
      </w:r>
      <w:r w:rsidR="00344C0A" w:rsidRPr="00E01754">
        <w:rPr>
          <w:rFonts w:ascii="Arial" w:eastAsia="Times New Roman" w:hAnsi="Arial" w:cs="Arial"/>
        </w:rPr>
        <w:t>study,</w:t>
      </w:r>
      <w:r w:rsidRPr="00E01754">
        <w:rPr>
          <w:rFonts w:ascii="Arial" w:eastAsia="Times New Roman" w:hAnsi="Arial" w:cs="Arial"/>
        </w:rPr>
        <w:t xml:space="preserve"> implying that there were supportive measures for improving adult learning in NFSE.</w:t>
      </w:r>
    </w:p>
    <w:p w14:paraId="199FC16F" w14:textId="77777777" w:rsidR="00CF1007" w:rsidRPr="00E01754" w:rsidRDefault="00CF1007" w:rsidP="00CF1007">
      <w:pPr>
        <w:spacing w:after="0" w:line="276" w:lineRule="auto"/>
        <w:jc w:val="both"/>
        <w:rPr>
          <w:rFonts w:ascii="Arial" w:eastAsia="Times New Roman" w:hAnsi="Arial" w:cs="Arial"/>
        </w:rPr>
      </w:pPr>
    </w:p>
    <w:p w14:paraId="2E66F5DE" w14:textId="21964A8A" w:rsidR="00CF1007" w:rsidRPr="00E01754" w:rsidRDefault="00CF1007" w:rsidP="00CF1007">
      <w:pPr>
        <w:spacing w:after="0" w:line="240" w:lineRule="auto"/>
        <w:jc w:val="both"/>
        <w:outlineLvl w:val="2"/>
        <w:rPr>
          <w:rFonts w:ascii="Arial" w:eastAsia="Times New Roman" w:hAnsi="Arial" w:cs="Arial"/>
          <w:b/>
          <w:bCs/>
          <w:kern w:val="0"/>
          <w14:ligatures w14:val="none"/>
        </w:rPr>
      </w:pPr>
      <w:r w:rsidRPr="00E01754">
        <w:rPr>
          <w:rFonts w:ascii="Arial" w:eastAsia="Times New Roman" w:hAnsi="Arial" w:cs="Arial"/>
          <w:b/>
          <w:bCs/>
          <w:kern w:val="0"/>
          <w14:ligatures w14:val="none"/>
        </w:rPr>
        <w:t>4.1.2 Fee-Free Basic Education Policy for Adult Learning</w:t>
      </w:r>
    </w:p>
    <w:p w14:paraId="3FB69F6B" w14:textId="596056DC" w:rsidR="00CF1007" w:rsidRPr="00E01754" w:rsidRDefault="00CF1007" w:rsidP="00CF1007">
      <w:pPr>
        <w:spacing w:after="0" w:line="240" w:lineRule="auto"/>
        <w:jc w:val="both"/>
        <w:rPr>
          <w:rFonts w:ascii="Arial" w:eastAsia="Times New Roman" w:hAnsi="Arial" w:cs="Arial"/>
          <w:kern w:val="0"/>
          <w14:ligatures w14:val="none"/>
        </w:rPr>
      </w:pPr>
      <w:r w:rsidRPr="00E01754">
        <w:rPr>
          <w:rFonts w:ascii="Arial" w:eastAsia="Times New Roman" w:hAnsi="Arial" w:cs="Arial"/>
          <w:kern w:val="0"/>
          <w14:ligatures w14:val="none"/>
        </w:rPr>
        <w:t xml:space="preserve">The mean score of 3.28 shows that respondents strongly support financial accessibility as a strategy to improve NFSE, reflecting its significance in creating equitable learning opportunities for adult learners. Financial constraints are a major barrier to adult participation in NFSE in Tanzania, particularly in rural regions like </w:t>
      </w:r>
      <w:proofErr w:type="spellStart"/>
      <w:r w:rsidRPr="00E01754">
        <w:rPr>
          <w:rFonts w:ascii="Arial" w:eastAsia="Times New Roman" w:hAnsi="Arial" w:cs="Arial"/>
          <w:kern w:val="0"/>
          <w14:ligatures w14:val="none"/>
        </w:rPr>
        <w:t>Rukwa</w:t>
      </w:r>
      <w:proofErr w:type="spellEnd"/>
      <w:r w:rsidRPr="00E01754">
        <w:rPr>
          <w:rFonts w:ascii="Arial" w:eastAsia="Times New Roman" w:hAnsi="Arial" w:cs="Arial"/>
          <w:kern w:val="0"/>
          <w14:ligatures w14:val="none"/>
        </w:rPr>
        <w:t xml:space="preserve">. Implementing a fee-free basic education policy can increase </w:t>
      </w:r>
      <w:r w:rsidR="00487D3C" w:rsidRPr="00E01754">
        <w:rPr>
          <w:rFonts w:ascii="Arial" w:eastAsia="Times New Roman" w:hAnsi="Arial" w:cs="Arial"/>
          <w:kern w:val="0"/>
          <w14:ligatures w14:val="none"/>
        </w:rPr>
        <w:t>enrolment, reduce dropout rates, and ensure that adult learners are not excluded due to their</w:t>
      </w:r>
      <w:r w:rsidRPr="00E01754">
        <w:rPr>
          <w:rFonts w:ascii="Arial" w:eastAsia="Times New Roman" w:hAnsi="Arial" w:cs="Arial"/>
          <w:kern w:val="0"/>
          <w14:ligatures w14:val="none"/>
        </w:rPr>
        <w:t xml:space="preserve"> inability to pay tuition or other fees (UNESCO, 2024). Such a policy allows adults from low-income households, farmers, and informal-sector workers to pursue secondary education, which is often directly linked to better employment prospects, career advancement, and enhanced social mobility. </w:t>
      </w:r>
    </w:p>
    <w:p w14:paraId="61A485F7" w14:textId="77777777" w:rsidR="00CF1007" w:rsidRPr="00E01754" w:rsidRDefault="00CF1007" w:rsidP="00CF1007">
      <w:pPr>
        <w:spacing w:after="0" w:line="240" w:lineRule="auto"/>
        <w:jc w:val="both"/>
        <w:rPr>
          <w:rFonts w:ascii="Arial" w:eastAsia="Times New Roman" w:hAnsi="Arial" w:cs="Arial"/>
          <w:kern w:val="0"/>
          <w14:ligatures w14:val="none"/>
        </w:rPr>
      </w:pPr>
    </w:p>
    <w:p w14:paraId="1AE4394A" w14:textId="01B3D08B" w:rsidR="00005F5D" w:rsidRPr="00E01754" w:rsidRDefault="00005F5D" w:rsidP="00CF1007">
      <w:pPr>
        <w:spacing w:after="0" w:line="276" w:lineRule="auto"/>
        <w:jc w:val="both"/>
        <w:rPr>
          <w:rFonts w:ascii="Arial" w:eastAsia="Times New Roman" w:hAnsi="Arial" w:cs="Arial"/>
          <w:b/>
        </w:rPr>
      </w:pPr>
      <w:r w:rsidRPr="00E01754">
        <w:rPr>
          <w:rFonts w:ascii="Arial" w:eastAsia="Times New Roman" w:hAnsi="Arial" w:cs="Arial"/>
          <w:b/>
        </w:rPr>
        <w:t>4.1.3 Developing Special NFSE Centres</w:t>
      </w:r>
    </w:p>
    <w:p w14:paraId="407684FA" w14:textId="5C488621" w:rsidR="00005F5D" w:rsidRPr="00E01754" w:rsidRDefault="00005F5D" w:rsidP="00CF1007">
      <w:pPr>
        <w:spacing w:after="0" w:line="276" w:lineRule="auto"/>
        <w:jc w:val="both"/>
        <w:rPr>
          <w:rFonts w:ascii="Arial" w:eastAsia="Times New Roman" w:hAnsi="Arial" w:cs="Arial"/>
        </w:rPr>
      </w:pPr>
      <w:r w:rsidRPr="00E01754">
        <w:rPr>
          <w:rFonts w:ascii="Arial" w:eastAsia="Times New Roman" w:hAnsi="Arial" w:cs="Arial"/>
        </w:rPr>
        <w:t xml:space="preserve">The respondents proposed </w:t>
      </w:r>
      <w:r w:rsidR="00344C0A" w:rsidRPr="00E01754">
        <w:rPr>
          <w:rFonts w:ascii="Arial" w:eastAsia="Times New Roman" w:hAnsi="Arial" w:cs="Arial"/>
        </w:rPr>
        <w:t>that there</w:t>
      </w:r>
      <w:r w:rsidRPr="00E01754">
        <w:rPr>
          <w:rFonts w:ascii="Arial" w:eastAsia="Times New Roman" w:hAnsi="Arial" w:cs="Arial"/>
        </w:rPr>
        <w:t xml:space="preserve"> was a need </w:t>
      </w:r>
      <w:r w:rsidR="00053F96" w:rsidRPr="00E01754">
        <w:rPr>
          <w:rFonts w:ascii="Arial" w:eastAsia="Times New Roman" w:hAnsi="Arial" w:cs="Arial"/>
        </w:rPr>
        <w:t xml:space="preserve">to develop special NFSE </w:t>
      </w:r>
      <w:r w:rsidR="0029154D">
        <w:rPr>
          <w:rFonts w:ascii="Arial" w:eastAsia="Times New Roman" w:hAnsi="Arial" w:cs="Arial"/>
        </w:rPr>
        <w:t xml:space="preserve">centres. </w:t>
      </w:r>
      <w:r w:rsidRPr="00E01754">
        <w:rPr>
          <w:rFonts w:ascii="Arial" w:eastAsia="Times New Roman" w:hAnsi="Arial" w:cs="Arial"/>
        </w:rPr>
        <w:t xml:space="preserve">These </w:t>
      </w:r>
      <w:proofErr w:type="spellStart"/>
      <w:r w:rsidR="008B2C21">
        <w:rPr>
          <w:rFonts w:ascii="Arial" w:eastAsia="Times New Roman" w:hAnsi="Arial" w:cs="Arial"/>
        </w:rPr>
        <w:t>centers</w:t>
      </w:r>
      <w:proofErr w:type="spellEnd"/>
      <w:r w:rsidR="008B2C21">
        <w:rPr>
          <w:rFonts w:ascii="Arial" w:eastAsia="Times New Roman" w:hAnsi="Arial" w:cs="Arial"/>
        </w:rPr>
        <w:t xml:space="preserve"> should be fully furnished to address the barriers to teaching and learning environments</w:t>
      </w:r>
      <w:r w:rsidRPr="00E01754">
        <w:rPr>
          <w:rFonts w:ascii="Arial" w:eastAsia="Times New Roman" w:hAnsi="Arial" w:cs="Arial"/>
        </w:rPr>
        <w:t xml:space="preserve">. The mean score of their rating was 3.26 out of </w:t>
      </w:r>
      <w:r w:rsidR="00344C0A" w:rsidRPr="00E01754">
        <w:rPr>
          <w:rFonts w:ascii="Arial" w:eastAsia="Times New Roman" w:hAnsi="Arial" w:cs="Arial"/>
        </w:rPr>
        <w:t>5.0,</w:t>
      </w:r>
      <w:r w:rsidRPr="00E01754">
        <w:rPr>
          <w:rFonts w:ascii="Arial" w:eastAsia="Times New Roman" w:hAnsi="Arial" w:cs="Arial"/>
        </w:rPr>
        <w:t xml:space="preserve"> </w:t>
      </w:r>
      <w:r w:rsidR="008B2C21">
        <w:rPr>
          <w:rFonts w:ascii="Arial" w:eastAsia="Times New Roman" w:hAnsi="Arial" w:cs="Arial"/>
        </w:rPr>
        <w:t>indicating that the majority agreed with the proposal, which is above the midpoint, and the standard deviation was</w:t>
      </w:r>
      <w:r w:rsidRPr="00E01754">
        <w:rPr>
          <w:rFonts w:ascii="Arial" w:eastAsia="Times New Roman" w:hAnsi="Arial" w:cs="Arial"/>
        </w:rPr>
        <w:t xml:space="preserve"> 0.943.</w:t>
      </w:r>
    </w:p>
    <w:p w14:paraId="719A9A23" w14:textId="77777777" w:rsidR="00CF1007" w:rsidRPr="00E01754" w:rsidRDefault="00CF1007" w:rsidP="00CF1007">
      <w:pPr>
        <w:spacing w:after="0" w:line="276" w:lineRule="auto"/>
        <w:jc w:val="both"/>
        <w:rPr>
          <w:rFonts w:ascii="Arial" w:eastAsia="Times New Roman" w:hAnsi="Arial" w:cs="Arial"/>
        </w:rPr>
      </w:pPr>
    </w:p>
    <w:p w14:paraId="594EBBC4" w14:textId="1BAA0ED8" w:rsidR="00CF1007" w:rsidRPr="00E01754" w:rsidRDefault="00005F5D" w:rsidP="00005F5D">
      <w:pPr>
        <w:spacing w:after="0" w:line="276" w:lineRule="auto"/>
        <w:rPr>
          <w:rFonts w:ascii="Arial" w:eastAsia="Times New Roman" w:hAnsi="Arial" w:cs="Arial"/>
          <w:b/>
        </w:rPr>
      </w:pPr>
      <w:r w:rsidRPr="00E01754">
        <w:rPr>
          <w:rFonts w:ascii="Arial" w:eastAsia="Times New Roman" w:hAnsi="Arial" w:cs="Arial"/>
          <w:b/>
        </w:rPr>
        <w:t>4.1.4 Developing Online Systems for Adult Education</w:t>
      </w:r>
    </w:p>
    <w:p w14:paraId="0F2A7DE9" w14:textId="3EE9B424" w:rsidR="00005F5D" w:rsidRPr="00E01754" w:rsidRDefault="00005F5D" w:rsidP="00005F5D">
      <w:pPr>
        <w:spacing w:after="0" w:line="276" w:lineRule="auto"/>
        <w:jc w:val="both"/>
        <w:rPr>
          <w:rFonts w:ascii="Arial" w:eastAsia="Times New Roman" w:hAnsi="Arial" w:cs="Arial"/>
        </w:rPr>
      </w:pPr>
      <w:r w:rsidRPr="00E01754">
        <w:rPr>
          <w:rFonts w:ascii="Arial" w:eastAsia="Times New Roman" w:hAnsi="Arial" w:cs="Arial"/>
        </w:rPr>
        <w:t xml:space="preserve">The respondents proposed a need for developing an online system to support </w:t>
      </w:r>
      <w:r w:rsidR="00344C0A" w:rsidRPr="00E01754">
        <w:rPr>
          <w:rFonts w:ascii="Arial" w:eastAsia="Times New Roman" w:hAnsi="Arial" w:cs="Arial"/>
        </w:rPr>
        <w:t>adults.</w:t>
      </w:r>
      <w:r w:rsidRPr="00E01754">
        <w:rPr>
          <w:rFonts w:ascii="Arial" w:eastAsia="Times New Roman" w:hAnsi="Arial" w:cs="Arial"/>
        </w:rPr>
        <w:t xml:space="preserve"> </w:t>
      </w:r>
    </w:p>
    <w:p w14:paraId="6C2D179A" w14:textId="5B33C48F" w:rsidR="00005F5D" w:rsidRPr="00E01754" w:rsidRDefault="00005F5D" w:rsidP="00005F5D">
      <w:pPr>
        <w:spacing w:after="0" w:line="276" w:lineRule="auto"/>
        <w:jc w:val="both"/>
        <w:rPr>
          <w:rFonts w:ascii="Arial" w:eastAsia="Times New Roman" w:hAnsi="Arial" w:cs="Arial"/>
          <w:color w:val="000000"/>
        </w:rPr>
      </w:pPr>
      <w:r w:rsidRPr="00E01754">
        <w:rPr>
          <w:rFonts w:ascii="Arial" w:eastAsia="Times New Roman" w:hAnsi="Arial" w:cs="Arial"/>
        </w:rPr>
        <w:lastRenderedPageBreak/>
        <w:t xml:space="preserve">learning in adult education. </w:t>
      </w:r>
      <w:r w:rsidR="008B2C21">
        <w:rPr>
          <w:rFonts w:ascii="Arial" w:eastAsia="Times New Roman" w:hAnsi="Arial" w:cs="Arial"/>
        </w:rPr>
        <w:t>The systems could help adults overcome family obligations and time barriers that hinder their participation in adult education.</w:t>
      </w:r>
      <w:r w:rsidRPr="00E01754">
        <w:rPr>
          <w:rFonts w:ascii="Arial" w:eastAsia="Times New Roman" w:hAnsi="Arial" w:cs="Arial"/>
        </w:rPr>
        <w:t xml:space="preserve"> The mean score of their rating was 3.35 out of </w:t>
      </w:r>
      <w:r w:rsidR="00344C0A" w:rsidRPr="00E01754">
        <w:rPr>
          <w:rFonts w:ascii="Arial" w:eastAsia="Times New Roman" w:hAnsi="Arial" w:cs="Arial"/>
        </w:rPr>
        <w:t>5.0,</w:t>
      </w:r>
      <w:r w:rsidRPr="00E01754">
        <w:rPr>
          <w:rFonts w:ascii="Arial" w:eastAsia="Times New Roman" w:hAnsi="Arial" w:cs="Arial"/>
        </w:rPr>
        <w:t xml:space="preserve"> </w:t>
      </w:r>
      <w:r w:rsidR="008B2C21">
        <w:rPr>
          <w:rFonts w:ascii="Arial" w:eastAsia="Times New Roman" w:hAnsi="Arial" w:cs="Arial"/>
        </w:rPr>
        <w:t>indicating that the majority agreed the proposal was above the midpoint, with a standard deviation of 0.938.</w:t>
      </w:r>
      <w:r w:rsidRPr="00E01754">
        <w:rPr>
          <w:rFonts w:ascii="Arial" w:eastAsia="Times New Roman" w:hAnsi="Arial" w:cs="Arial"/>
        </w:rPr>
        <w:t xml:space="preserve"> </w:t>
      </w:r>
      <w:r w:rsidRPr="00E01754">
        <w:rPr>
          <w:rFonts w:ascii="Arial" w:eastAsia="Times New Roman" w:hAnsi="Arial" w:cs="Arial"/>
          <w:color w:val="000000"/>
        </w:rPr>
        <w:t xml:space="preserve">Triangulating the information provided by adult learners </w:t>
      </w:r>
      <w:r w:rsidR="00344C0A" w:rsidRPr="00E01754">
        <w:rPr>
          <w:rFonts w:ascii="Arial" w:eastAsia="Times New Roman" w:hAnsi="Arial" w:cs="Arial"/>
          <w:color w:val="000000"/>
        </w:rPr>
        <w:t>about strategies</w:t>
      </w:r>
      <w:r w:rsidRPr="00E01754">
        <w:rPr>
          <w:rFonts w:ascii="Arial" w:eastAsia="Times New Roman" w:hAnsi="Arial" w:cs="Arial"/>
          <w:color w:val="000000"/>
        </w:rPr>
        <w:t xml:space="preserve"> for improving NFSE on career development, an interview question was asked to coordinators of NFSE </w:t>
      </w:r>
      <w:r w:rsidR="00344C0A" w:rsidRPr="00E01754">
        <w:rPr>
          <w:rFonts w:ascii="Arial" w:eastAsia="Times New Roman" w:hAnsi="Arial" w:cs="Arial"/>
          <w:color w:val="000000"/>
        </w:rPr>
        <w:t>centres:</w:t>
      </w:r>
      <w:r w:rsidRPr="00E01754">
        <w:rPr>
          <w:rFonts w:ascii="Arial" w:eastAsia="Times New Roman" w:hAnsi="Arial" w:cs="Arial"/>
          <w:color w:val="000000"/>
        </w:rPr>
        <w:t xml:space="preserve"> ‘What should be done to improve adult education in NFSE on career </w:t>
      </w:r>
      <w:r w:rsidR="00344C0A" w:rsidRPr="00E01754">
        <w:rPr>
          <w:rFonts w:ascii="Arial" w:eastAsia="Times New Roman" w:hAnsi="Arial" w:cs="Arial"/>
          <w:color w:val="000000"/>
        </w:rPr>
        <w:t>development?’</w:t>
      </w:r>
      <w:r w:rsidRPr="00E01754">
        <w:rPr>
          <w:rFonts w:ascii="Arial" w:eastAsia="Times New Roman" w:hAnsi="Arial" w:cs="Arial"/>
          <w:color w:val="000000"/>
        </w:rPr>
        <w:t xml:space="preserve"> Their responses were as follows: </w:t>
      </w:r>
    </w:p>
    <w:p w14:paraId="18EF657C" w14:textId="13635242" w:rsidR="00005F5D" w:rsidRPr="00E01754" w:rsidRDefault="00005F5D" w:rsidP="00005F5D">
      <w:pPr>
        <w:spacing w:line="276" w:lineRule="auto"/>
        <w:ind w:left="720" w:right="720"/>
        <w:jc w:val="both"/>
        <w:rPr>
          <w:rFonts w:ascii="Arial" w:eastAsia="Times New Roman" w:hAnsi="Arial" w:cs="Arial"/>
          <w:i/>
          <w:iCs/>
          <w:color w:val="000000"/>
        </w:rPr>
      </w:pPr>
      <w:r w:rsidRPr="00E01754">
        <w:rPr>
          <w:rFonts w:ascii="Arial" w:eastAsia="Times New Roman" w:hAnsi="Arial" w:cs="Arial"/>
          <w:i/>
          <w:iCs/>
          <w:color w:val="000000"/>
        </w:rPr>
        <w:t>The secondary education curriculum was developed for youth who have active memory and fewer responsibilities. These adults cannot afford the content</w:t>
      </w:r>
      <w:r w:rsidR="00344C0A" w:rsidRPr="00E01754">
        <w:rPr>
          <w:rFonts w:ascii="Arial" w:eastAsia="Times New Roman" w:hAnsi="Arial" w:cs="Arial"/>
          <w:i/>
          <w:iCs/>
          <w:color w:val="000000"/>
        </w:rPr>
        <w:t>; hence, there is</w:t>
      </w:r>
      <w:r w:rsidRPr="00E01754">
        <w:rPr>
          <w:rFonts w:ascii="Arial" w:eastAsia="Times New Roman" w:hAnsi="Arial" w:cs="Arial"/>
          <w:i/>
          <w:iCs/>
          <w:color w:val="000000"/>
        </w:rPr>
        <w:t xml:space="preserve"> a need for </w:t>
      </w:r>
      <w:r w:rsidR="00344C0A" w:rsidRPr="00E01754">
        <w:rPr>
          <w:rFonts w:ascii="Arial" w:eastAsia="Times New Roman" w:hAnsi="Arial" w:cs="Arial"/>
          <w:i/>
          <w:iCs/>
          <w:color w:val="000000"/>
        </w:rPr>
        <w:t>an adult</w:t>
      </w:r>
      <w:r w:rsidRPr="00E01754">
        <w:rPr>
          <w:rFonts w:ascii="Arial" w:eastAsia="Times New Roman" w:hAnsi="Arial" w:cs="Arial"/>
          <w:i/>
          <w:iCs/>
          <w:color w:val="000000"/>
        </w:rPr>
        <w:t xml:space="preserve"> learners’ curriculum with less content. (Interview with the Coordinator, NFSE Centre 5, August</w:t>
      </w:r>
      <w:r w:rsidR="00344C0A" w:rsidRPr="00E01754">
        <w:rPr>
          <w:rFonts w:ascii="Arial" w:eastAsia="Times New Roman" w:hAnsi="Arial" w:cs="Arial"/>
          <w:i/>
          <w:iCs/>
          <w:color w:val="000000"/>
        </w:rPr>
        <w:t xml:space="preserve"> 2023).</w:t>
      </w:r>
    </w:p>
    <w:p w14:paraId="3315074F" w14:textId="3852EC69" w:rsidR="00005F5D" w:rsidRPr="00E01754" w:rsidRDefault="008B2C21" w:rsidP="00005F5D">
      <w:pPr>
        <w:spacing w:line="276" w:lineRule="auto"/>
        <w:jc w:val="both"/>
        <w:rPr>
          <w:rFonts w:ascii="Arial" w:eastAsia="Times New Roman" w:hAnsi="Arial" w:cs="Arial"/>
        </w:rPr>
      </w:pPr>
      <w:r>
        <w:rPr>
          <w:rFonts w:ascii="Arial" w:eastAsia="Times New Roman" w:hAnsi="Arial" w:cs="Arial"/>
        </w:rPr>
        <w:t>The statement suggests that younger learners, who typically have stronger memory retention and fewer life responsibilities, are the target audience for the current secondary education curriculum.</w:t>
      </w:r>
      <w:r w:rsidR="00005F5D" w:rsidRPr="00E01754">
        <w:rPr>
          <w:rFonts w:ascii="Arial" w:eastAsia="Times New Roman" w:hAnsi="Arial" w:cs="Arial"/>
        </w:rPr>
        <w:t xml:space="preserve"> Consequently, it is unsuitable for adult learners, who frequently have </w:t>
      </w:r>
      <w:r w:rsidR="00344C0A" w:rsidRPr="00E01754">
        <w:rPr>
          <w:rFonts w:ascii="Arial" w:eastAsia="Times New Roman" w:hAnsi="Arial" w:cs="Arial"/>
        </w:rPr>
        <w:t>to balance</w:t>
      </w:r>
      <w:r w:rsidR="00005F5D" w:rsidRPr="00E01754">
        <w:rPr>
          <w:rFonts w:ascii="Arial" w:eastAsia="Times New Roman" w:hAnsi="Arial" w:cs="Arial"/>
        </w:rPr>
        <w:t xml:space="preserve"> work, family, and financial responsibilities. Consequently, adults are unable to completely engage in learning due to the overwhelming intensity and volume of content. Consequently, a curriculum that is simplified, flexible, and practicable is required, specifically for adult learners. This curriculum should concentrate on the acquisition of essential skills and knowledge that are pertinent to their personal and professional </w:t>
      </w:r>
      <w:r w:rsidR="00053F96" w:rsidRPr="00E01754">
        <w:rPr>
          <w:rFonts w:ascii="Arial" w:eastAsia="Times New Roman" w:hAnsi="Arial" w:cs="Arial"/>
        </w:rPr>
        <w:t>growth while</w:t>
      </w:r>
      <w:r w:rsidR="00005F5D" w:rsidRPr="00E01754">
        <w:rPr>
          <w:rFonts w:ascii="Arial" w:eastAsia="Times New Roman" w:hAnsi="Arial" w:cs="Arial"/>
        </w:rPr>
        <w:t xml:space="preserve"> simultaneously reducing </w:t>
      </w:r>
      <w:r w:rsidR="00487D3C" w:rsidRPr="00E01754">
        <w:rPr>
          <w:rFonts w:ascii="Arial" w:eastAsia="Times New Roman" w:hAnsi="Arial" w:cs="Arial"/>
        </w:rPr>
        <w:t>their</w:t>
      </w:r>
      <w:r w:rsidR="00005F5D" w:rsidRPr="00E01754">
        <w:rPr>
          <w:rFonts w:ascii="Arial" w:eastAsia="Times New Roman" w:hAnsi="Arial" w:cs="Arial"/>
        </w:rPr>
        <w:t xml:space="preserve"> academic burden.</w:t>
      </w:r>
    </w:p>
    <w:p w14:paraId="48C6438E" w14:textId="376785D9" w:rsidR="00005F5D" w:rsidRPr="00E01754" w:rsidRDefault="00344C0A" w:rsidP="00005F5D">
      <w:pPr>
        <w:spacing w:after="0" w:line="276" w:lineRule="auto"/>
        <w:jc w:val="both"/>
        <w:rPr>
          <w:rFonts w:ascii="Arial" w:eastAsia="Times New Roman" w:hAnsi="Arial" w:cs="Arial"/>
          <w:color w:val="000000"/>
        </w:rPr>
      </w:pPr>
      <w:r w:rsidRPr="00E01754">
        <w:rPr>
          <w:rFonts w:ascii="Arial" w:eastAsia="Times New Roman" w:hAnsi="Arial" w:cs="Arial"/>
          <w:i/>
          <w:iCs/>
          <w:color w:val="000000"/>
        </w:rPr>
        <w:t>Moreover,</w:t>
      </w:r>
      <w:r w:rsidR="00005F5D" w:rsidRPr="00E01754">
        <w:rPr>
          <w:rFonts w:ascii="Arial" w:eastAsia="Times New Roman" w:hAnsi="Arial" w:cs="Arial"/>
          <w:color w:val="000000"/>
        </w:rPr>
        <w:t xml:space="preserve"> </w:t>
      </w:r>
      <w:r w:rsidR="00005F5D" w:rsidRPr="00E01754">
        <w:rPr>
          <w:rFonts w:ascii="Arial" w:eastAsia="Times New Roman" w:hAnsi="Arial" w:cs="Arial"/>
        </w:rPr>
        <w:t xml:space="preserve">it was further stated </w:t>
      </w:r>
      <w:r w:rsidRPr="00E01754">
        <w:rPr>
          <w:rFonts w:ascii="Arial" w:eastAsia="Times New Roman" w:hAnsi="Arial" w:cs="Arial"/>
        </w:rPr>
        <w:t>that:</w:t>
      </w:r>
    </w:p>
    <w:p w14:paraId="791A80F7" w14:textId="3CF8FBA5" w:rsidR="00005F5D" w:rsidRPr="00E01754" w:rsidRDefault="00005F5D" w:rsidP="00005F5D">
      <w:pPr>
        <w:spacing w:after="0" w:line="276" w:lineRule="auto"/>
        <w:ind w:left="720" w:right="720"/>
        <w:jc w:val="both"/>
        <w:rPr>
          <w:rFonts w:ascii="Arial" w:eastAsia="Times New Roman" w:hAnsi="Arial" w:cs="Arial"/>
          <w:i/>
          <w:iCs/>
        </w:rPr>
      </w:pPr>
      <w:r w:rsidRPr="00E01754">
        <w:rPr>
          <w:rFonts w:ascii="Arial" w:eastAsia="Times New Roman" w:hAnsi="Arial" w:cs="Arial"/>
          <w:i/>
          <w:iCs/>
        </w:rPr>
        <w:t xml:space="preserve">Online systems can enable adult learners to engage in learning while performing their social and economic activities. Besides, as basic education is free, there is a need to remove tuition fees for adults in secondary </w:t>
      </w:r>
      <w:r w:rsidR="00344C0A" w:rsidRPr="00E01754">
        <w:rPr>
          <w:rFonts w:ascii="Arial" w:eastAsia="Times New Roman" w:hAnsi="Arial" w:cs="Arial"/>
          <w:i/>
          <w:iCs/>
        </w:rPr>
        <w:t>education,</w:t>
      </w:r>
      <w:r w:rsidRPr="00E01754">
        <w:rPr>
          <w:rFonts w:ascii="Arial" w:eastAsia="Times New Roman" w:hAnsi="Arial" w:cs="Arial"/>
          <w:i/>
          <w:iCs/>
        </w:rPr>
        <w:t xml:space="preserve"> as it makes some of them fail to concentrate on their </w:t>
      </w:r>
      <w:r w:rsidR="00344C0A" w:rsidRPr="00E01754">
        <w:rPr>
          <w:rFonts w:ascii="Arial" w:eastAsia="Times New Roman" w:hAnsi="Arial" w:cs="Arial"/>
          <w:i/>
          <w:iCs/>
        </w:rPr>
        <w:t>studies,</w:t>
      </w:r>
      <w:r w:rsidRPr="00E01754">
        <w:rPr>
          <w:rFonts w:ascii="Arial" w:eastAsia="Times New Roman" w:hAnsi="Arial" w:cs="Arial"/>
          <w:i/>
          <w:iCs/>
        </w:rPr>
        <w:t xml:space="preserve"> as they usually strive for fees (Interview with the Coordinator, NFSE Centre 1, </w:t>
      </w:r>
      <w:r w:rsidR="00344C0A" w:rsidRPr="00E01754">
        <w:rPr>
          <w:rFonts w:ascii="Arial" w:eastAsia="Times New Roman" w:hAnsi="Arial" w:cs="Arial"/>
          <w:i/>
          <w:iCs/>
        </w:rPr>
        <w:t>August 2023).</w:t>
      </w:r>
      <w:r w:rsidRPr="00E01754">
        <w:rPr>
          <w:rFonts w:ascii="Arial" w:eastAsia="Times New Roman" w:hAnsi="Arial" w:cs="Arial"/>
          <w:i/>
          <w:iCs/>
        </w:rPr>
        <w:t xml:space="preserve"> </w:t>
      </w:r>
    </w:p>
    <w:p w14:paraId="08D27088" w14:textId="77777777" w:rsidR="00005F5D" w:rsidRPr="00E01754" w:rsidRDefault="00005F5D" w:rsidP="00005F5D">
      <w:pPr>
        <w:spacing w:after="0" w:line="276" w:lineRule="auto"/>
        <w:jc w:val="both"/>
        <w:rPr>
          <w:rFonts w:ascii="Arial" w:eastAsia="Times New Roman" w:hAnsi="Arial" w:cs="Arial"/>
        </w:rPr>
      </w:pPr>
    </w:p>
    <w:p w14:paraId="0C33BAFF" w14:textId="7E4788AA" w:rsidR="00005F5D" w:rsidRPr="00E01754" w:rsidRDefault="00005F5D" w:rsidP="00005F5D">
      <w:pPr>
        <w:spacing w:after="0" w:line="276" w:lineRule="auto"/>
        <w:jc w:val="both"/>
        <w:rPr>
          <w:rFonts w:ascii="Arial" w:eastAsia="Times New Roman" w:hAnsi="Arial" w:cs="Arial"/>
        </w:rPr>
      </w:pPr>
      <w:r w:rsidRPr="00E01754">
        <w:rPr>
          <w:rFonts w:ascii="Arial" w:eastAsia="Times New Roman" w:hAnsi="Arial" w:cs="Arial"/>
        </w:rPr>
        <w:t xml:space="preserve">The assertion in the quotation above implies that online learning enables adult learners to study while simultaneously managing their work and family responsibilities. Nevertheless, the financial tension that tuition expenses for adult secondary education </w:t>
      </w:r>
      <w:r w:rsidR="00344C0A" w:rsidRPr="00E01754">
        <w:rPr>
          <w:rFonts w:ascii="Arial" w:eastAsia="Times New Roman" w:hAnsi="Arial" w:cs="Arial"/>
        </w:rPr>
        <w:t>induce is</w:t>
      </w:r>
      <w:r w:rsidRPr="00E01754">
        <w:rPr>
          <w:rFonts w:ascii="Arial" w:eastAsia="Times New Roman" w:hAnsi="Arial" w:cs="Arial"/>
        </w:rPr>
        <w:t xml:space="preserve"> a significant obstacle to their ability to concentrate. The elimination of these fees, similar to the implementation of free primary education, would enhance concentration and accessibility.</w:t>
      </w:r>
    </w:p>
    <w:p w14:paraId="320E81C4" w14:textId="77777777" w:rsidR="00BA435B" w:rsidRPr="00E01754" w:rsidRDefault="00BA435B" w:rsidP="00005F5D">
      <w:pPr>
        <w:spacing w:after="0" w:line="276" w:lineRule="auto"/>
        <w:jc w:val="both"/>
        <w:rPr>
          <w:rFonts w:ascii="Arial" w:eastAsia="Times New Roman" w:hAnsi="Arial" w:cs="Arial"/>
        </w:rPr>
      </w:pPr>
    </w:p>
    <w:p w14:paraId="05C0C787" w14:textId="513F2C5A" w:rsidR="00BA435B" w:rsidRPr="00E01754" w:rsidRDefault="00BA435B" w:rsidP="00005F5D">
      <w:pPr>
        <w:spacing w:after="0" w:line="276" w:lineRule="auto"/>
        <w:jc w:val="both"/>
        <w:rPr>
          <w:rFonts w:ascii="Arial" w:eastAsia="Times New Roman" w:hAnsi="Arial" w:cs="Arial"/>
          <w:color w:val="000000"/>
        </w:rPr>
      </w:pPr>
      <w:r w:rsidRPr="00E01754">
        <w:rPr>
          <w:rFonts w:ascii="Arial" w:eastAsia="Times New Roman" w:hAnsi="Arial" w:cs="Arial"/>
          <w:color w:val="000000"/>
        </w:rPr>
        <w:t>T</w:t>
      </w:r>
      <w:r w:rsidR="007F180D" w:rsidRPr="00E01754">
        <w:rPr>
          <w:rFonts w:ascii="Arial" w:eastAsia="Times New Roman" w:hAnsi="Arial" w:cs="Arial"/>
          <w:color w:val="000000"/>
        </w:rPr>
        <w:t xml:space="preserve">he findings revealed the following strategies: extending a fee-free education policy to adults in NFSE. This was expected to address their financial constraints, which were preventing most of them from attending classes. Similarly, a special curriculum </w:t>
      </w:r>
      <w:r w:rsidR="008B2C21">
        <w:rPr>
          <w:rFonts w:ascii="Arial" w:eastAsia="Times New Roman" w:hAnsi="Arial" w:cs="Arial"/>
          <w:color w:val="000000"/>
        </w:rPr>
        <w:t xml:space="preserve">designed for adults in ordinary secondary education was thought to make the content manageable </w:t>
      </w:r>
      <w:r w:rsidR="008B2C21">
        <w:rPr>
          <w:rFonts w:ascii="Arial" w:eastAsia="Times New Roman" w:hAnsi="Arial" w:cs="Arial"/>
          <w:color w:val="000000"/>
        </w:rPr>
        <w:lastRenderedPageBreak/>
        <w:t>for adults who were characterised by ageing</w:t>
      </w:r>
      <w:r w:rsidR="007F180D" w:rsidRPr="00E01754">
        <w:rPr>
          <w:rFonts w:ascii="Arial" w:eastAsia="Times New Roman" w:hAnsi="Arial" w:cs="Arial"/>
          <w:color w:val="000000"/>
        </w:rPr>
        <w:t xml:space="preserve"> and multiple roles. The digital systems for adult learning were proposed to reduce the gap between adult working and learning, home and school, and convert adult learning </w:t>
      </w:r>
      <w:r w:rsidR="00344C0A" w:rsidRPr="00E01754">
        <w:rPr>
          <w:rFonts w:ascii="Arial" w:eastAsia="Times New Roman" w:hAnsi="Arial" w:cs="Arial"/>
          <w:color w:val="000000"/>
        </w:rPr>
        <w:t>into something</w:t>
      </w:r>
      <w:r w:rsidR="007F180D" w:rsidRPr="00E01754">
        <w:rPr>
          <w:rFonts w:ascii="Arial" w:eastAsia="Times New Roman" w:hAnsi="Arial" w:cs="Arial"/>
          <w:color w:val="000000"/>
        </w:rPr>
        <w:t xml:space="preserve"> more flexible in time and space</w:t>
      </w:r>
      <w:r w:rsidRPr="00E01754">
        <w:rPr>
          <w:rFonts w:ascii="Arial" w:eastAsia="Times New Roman" w:hAnsi="Arial" w:cs="Arial"/>
          <w:color w:val="000000"/>
        </w:rPr>
        <w:t>.</w:t>
      </w:r>
    </w:p>
    <w:p w14:paraId="15CB8F9C" w14:textId="77777777" w:rsidR="00BA435B" w:rsidRPr="00E01754" w:rsidRDefault="00BA435B" w:rsidP="00005F5D">
      <w:pPr>
        <w:spacing w:after="0" w:line="276" w:lineRule="auto"/>
        <w:jc w:val="both"/>
        <w:rPr>
          <w:rFonts w:ascii="Arial" w:eastAsia="Times New Roman" w:hAnsi="Arial" w:cs="Arial"/>
          <w:color w:val="000000"/>
        </w:rPr>
      </w:pPr>
    </w:p>
    <w:p w14:paraId="379974D8" w14:textId="04E68B85" w:rsidR="00005F5D" w:rsidRPr="00E01754" w:rsidRDefault="00005F5D" w:rsidP="00005F5D">
      <w:pPr>
        <w:spacing w:after="0" w:line="276" w:lineRule="auto"/>
        <w:jc w:val="both"/>
        <w:rPr>
          <w:rFonts w:ascii="Arial" w:eastAsia="Times New Roman" w:hAnsi="Arial" w:cs="Arial"/>
        </w:rPr>
      </w:pPr>
      <w:r w:rsidRPr="00E01754">
        <w:rPr>
          <w:rFonts w:ascii="Arial" w:eastAsia="Times New Roman" w:hAnsi="Arial" w:cs="Arial"/>
        </w:rPr>
        <w:t xml:space="preserve">These results suggest that there is a need for improvement measures to address barriers affecting adult learners in adult education. It </w:t>
      </w:r>
      <w:r w:rsidR="00344C0A" w:rsidRPr="00E01754">
        <w:rPr>
          <w:rFonts w:ascii="Arial" w:eastAsia="Times New Roman" w:hAnsi="Arial" w:cs="Arial"/>
        </w:rPr>
        <w:t>means there</w:t>
      </w:r>
      <w:r w:rsidRPr="00E01754">
        <w:rPr>
          <w:rFonts w:ascii="Arial" w:eastAsia="Times New Roman" w:hAnsi="Arial" w:cs="Arial"/>
        </w:rPr>
        <w:t xml:space="preserve"> are policy and institutional issues </w:t>
      </w:r>
      <w:r w:rsidR="008B2C21">
        <w:rPr>
          <w:rFonts w:ascii="Arial" w:eastAsia="Times New Roman" w:hAnsi="Arial" w:cs="Arial"/>
        </w:rPr>
        <w:t>that</w:t>
      </w:r>
      <w:r w:rsidRPr="00E01754">
        <w:rPr>
          <w:rFonts w:ascii="Arial" w:eastAsia="Times New Roman" w:hAnsi="Arial" w:cs="Arial"/>
        </w:rPr>
        <w:t xml:space="preserve"> require interventions to improve adult learning and their academic performance. </w:t>
      </w:r>
    </w:p>
    <w:p w14:paraId="11E1A6E5" w14:textId="77777777" w:rsidR="00CF6A8F" w:rsidRPr="00E01754" w:rsidRDefault="00CF6A8F" w:rsidP="00005F5D">
      <w:pPr>
        <w:spacing w:line="276" w:lineRule="auto"/>
        <w:jc w:val="both"/>
        <w:rPr>
          <w:rFonts w:ascii="Arial" w:hAnsi="Arial" w:cs="Arial"/>
          <w:b/>
          <w:bCs/>
        </w:rPr>
      </w:pPr>
    </w:p>
    <w:p w14:paraId="2619CBED" w14:textId="596B9BA3" w:rsidR="002A782D" w:rsidRPr="00E01754" w:rsidRDefault="002A782D" w:rsidP="002A782D">
      <w:pPr>
        <w:pStyle w:val="ListParagraph"/>
        <w:numPr>
          <w:ilvl w:val="0"/>
          <w:numId w:val="3"/>
        </w:numPr>
        <w:spacing w:line="276" w:lineRule="auto"/>
        <w:jc w:val="both"/>
        <w:rPr>
          <w:rFonts w:ascii="Arial" w:hAnsi="Arial" w:cs="Arial"/>
          <w:b/>
          <w:bCs/>
          <w:shd w:val="clear" w:color="auto" w:fill="FFFFFF"/>
        </w:rPr>
      </w:pPr>
      <w:r w:rsidRPr="00E01754">
        <w:rPr>
          <w:rFonts w:ascii="Arial" w:hAnsi="Arial" w:cs="Arial"/>
          <w:b/>
          <w:bCs/>
          <w:shd w:val="clear" w:color="auto" w:fill="FFFFFF"/>
        </w:rPr>
        <w:t>DISCUSSION</w:t>
      </w:r>
    </w:p>
    <w:p w14:paraId="6D708B15" w14:textId="21CE73F2" w:rsidR="002A782D" w:rsidRPr="00E01754" w:rsidRDefault="002A782D" w:rsidP="002A782D">
      <w:pPr>
        <w:spacing w:after="0" w:line="276" w:lineRule="auto"/>
        <w:jc w:val="both"/>
        <w:rPr>
          <w:rFonts w:ascii="Arial" w:hAnsi="Arial" w:cs="Arial"/>
          <w:b/>
          <w:bCs/>
          <w:shd w:val="clear" w:color="auto" w:fill="FFFFFF"/>
        </w:rPr>
      </w:pPr>
      <w:r w:rsidRPr="00E01754">
        <w:rPr>
          <w:rFonts w:ascii="Arial" w:hAnsi="Arial" w:cs="Arial"/>
          <w:b/>
          <w:bCs/>
        </w:rPr>
        <w:t>Strategies for Improving NFSE for Adult Learners’ Career Development</w:t>
      </w:r>
      <w:r w:rsidRPr="00E01754">
        <w:rPr>
          <w:rFonts w:ascii="Arial" w:hAnsi="Arial" w:cs="Arial"/>
          <w:b/>
          <w:bCs/>
          <w:shd w:val="clear" w:color="auto" w:fill="FFFFFF"/>
        </w:rPr>
        <w:t xml:space="preserve"> </w:t>
      </w:r>
    </w:p>
    <w:p w14:paraId="659CAF4F" w14:textId="769CB31E" w:rsidR="003C750B" w:rsidRPr="00E01754" w:rsidRDefault="003C750B" w:rsidP="003C750B">
      <w:pPr>
        <w:pStyle w:val="NormalWeb"/>
        <w:spacing w:line="276" w:lineRule="auto"/>
        <w:jc w:val="both"/>
        <w:rPr>
          <w:rFonts w:ascii="Arial" w:hAnsi="Arial" w:cs="Arial"/>
          <w:lang w:val="en-GB"/>
        </w:rPr>
      </w:pPr>
      <w:r w:rsidRPr="00E01754">
        <w:rPr>
          <w:rFonts w:ascii="Arial" w:hAnsi="Arial" w:cs="Arial"/>
          <w:lang w:val="en-GB"/>
        </w:rPr>
        <w:t xml:space="preserve">The findings </w:t>
      </w:r>
      <w:r w:rsidR="008B2C21">
        <w:rPr>
          <w:rFonts w:ascii="Arial" w:hAnsi="Arial" w:cs="Arial"/>
          <w:lang w:val="en-GB"/>
        </w:rPr>
        <w:t>point to the importance</w:t>
      </w:r>
      <w:r w:rsidRPr="00E01754">
        <w:rPr>
          <w:rFonts w:ascii="Arial" w:hAnsi="Arial" w:cs="Arial"/>
          <w:lang w:val="en-GB"/>
        </w:rPr>
        <w:t xml:space="preserve"> of strategies such as curriculum improvements, fee-free education policies, </w:t>
      </w:r>
      <w:r w:rsidR="008B2C21">
        <w:rPr>
          <w:rFonts w:ascii="Arial" w:hAnsi="Arial" w:cs="Arial"/>
          <w:lang w:val="en-GB"/>
        </w:rPr>
        <w:t xml:space="preserve">specialised NFSE </w:t>
      </w:r>
      <w:proofErr w:type="spellStart"/>
      <w:r w:rsidR="008B2C21">
        <w:rPr>
          <w:rFonts w:ascii="Arial" w:hAnsi="Arial" w:cs="Arial"/>
          <w:lang w:val="en-GB"/>
        </w:rPr>
        <w:t>centers</w:t>
      </w:r>
      <w:proofErr w:type="spellEnd"/>
      <w:r w:rsidR="008B2C21">
        <w:rPr>
          <w:rFonts w:ascii="Arial" w:hAnsi="Arial" w:cs="Arial"/>
          <w:lang w:val="en-GB"/>
        </w:rPr>
        <w:t>, and online learning systems for</w:t>
      </w:r>
      <w:r w:rsidRPr="00E01754">
        <w:rPr>
          <w:rFonts w:ascii="Arial" w:hAnsi="Arial" w:cs="Arial"/>
          <w:lang w:val="en-GB"/>
        </w:rPr>
        <w:t xml:space="preserve"> enhancing adult learners’ career development in </w:t>
      </w:r>
      <w:r w:rsidR="00053F96" w:rsidRPr="00E01754">
        <w:rPr>
          <w:rFonts w:ascii="Arial" w:hAnsi="Arial" w:cs="Arial"/>
          <w:lang w:val="en-GB"/>
        </w:rPr>
        <w:t xml:space="preserve">the </w:t>
      </w:r>
      <w:proofErr w:type="spellStart"/>
      <w:r w:rsidR="00053F96" w:rsidRPr="00E01754">
        <w:rPr>
          <w:rFonts w:ascii="Arial" w:hAnsi="Arial" w:cs="Arial"/>
          <w:lang w:val="en-GB"/>
        </w:rPr>
        <w:t>Rukwa</w:t>
      </w:r>
      <w:proofErr w:type="spellEnd"/>
      <w:r w:rsidRPr="00E01754">
        <w:rPr>
          <w:rFonts w:ascii="Arial" w:hAnsi="Arial" w:cs="Arial"/>
          <w:lang w:val="en-GB"/>
        </w:rPr>
        <w:t xml:space="preserve"> Region. These strategies require adaptation to adults’ unique circumstances, balancing work, family, and education. Theoretically, the findings support </w:t>
      </w:r>
      <w:r w:rsidRPr="00E01754">
        <w:rPr>
          <w:rStyle w:val="Strong"/>
          <w:rFonts w:ascii="Arial" w:eastAsiaTheme="majorEastAsia" w:hAnsi="Arial" w:cs="Arial"/>
          <w:b w:val="0"/>
          <w:bCs w:val="0"/>
          <w:lang w:val="en-GB"/>
        </w:rPr>
        <w:t>Andragogy Theory</w:t>
      </w:r>
      <w:r w:rsidRPr="00E01754">
        <w:rPr>
          <w:rFonts w:ascii="Arial" w:hAnsi="Arial" w:cs="Arial"/>
          <w:lang w:val="en-GB"/>
        </w:rPr>
        <w:t xml:space="preserve"> and </w:t>
      </w:r>
      <w:r w:rsidRPr="00E01754">
        <w:rPr>
          <w:rStyle w:val="Strong"/>
          <w:rFonts w:ascii="Arial" w:eastAsiaTheme="majorEastAsia" w:hAnsi="Arial" w:cs="Arial"/>
          <w:b w:val="0"/>
          <w:bCs w:val="0"/>
          <w:lang w:val="en-GB"/>
        </w:rPr>
        <w:t>Social Cognitive Career Theory (SCCT)</w:t>
      </w:r>
      <w:r w:rsidRPr="00E01754">
        <w:rPr>
          <w:rFonts w:ascii="Arial" w:hAnsi="Arial" w:cs="Arial"/>
          <w:lang w:val="en-GB"/>
        </w:rPr>
        <w:t xml:space="preserve">, showing that adult learning is most effective when instruction is flexible, learner-centred, and linked to career-relevant goals, while learners’ self-efficacy, outcome expectations, and aspirations shape their engagement and persistence. Practically, the findings </w:t>
      </w:r>
      <w:r w:rsidR="008B2C21">
        <w:rPr>
          <w:rFonts w:ascii="Arial" w:hAnsi="Arial" w:cs="Arial"/>
          <w:lang w:val="en-GB"/>
        </w:rPr>
        <w:t>emphasise that educators and NFSE programme managers should adopt strategies that accommodate adults' responsibilities through tailored curricula, dedicated learning centres,</w:t>
      </w:r>
      <w:r w:rsidRPr="00E01754">
        <w:rPr>
          <w:rFonts w:ascii="Arial" w:hAnsi="Arial" w:cs="Arial"/>
          <w:lang w:val="en-GB"/>
        </w:rPr>
        <w:t xml:space="preserve"> and blended or online delivery methods to improve retention, academic performance, and career outcomes. From a policy perspective, supportive measures such as fee-free adult education, </w:t>
      </w:r>
      <w:r w:rsidR="008B2C21">
        <w:rPr>
          <w:rFonts w:ascii="Arial" w:hAnsi="Arial" w:cs="Arial"/>
          <w:lang w:val="en-GB"/>
        </w:rPr>
        <w:t>investments in specialised learning facilities, and digital infrastructure can remove barriers and enhance NFSE's contribution to employability and socioeconomic</w:t>
      </w:r>
      <w:r w:rsidRPr="00E01754">
        <w:rPr>
          <w:rFonts w:ascii="Arial" w:hAnsi="Arial" w:cs="Arial"/>
          <w:lang w:val="en-GB"/>
        </w:rPr>
        <w:t xml:space="preserve"> mobility. These findings also highlight areas for future research, including assessing the effectiveness of specific strategies on career outcomes, comparing online versus face-to-face instruction, and exploring socio-economic and gender influences on adult learners’ success.</w:t>
      </w:r>
    </w:p>
    <w:p w14:paraId="46FE5512" w14:textId="529F4C49" w:rsidR="003C750B" w:rsidRPr="00E01754" w:rsidRDefault="003C750B" w:rsidP="003C750B">
      <w:pPr>
        <w:pStyle w:val="NormalWeb"/>
        <w:spacing w:line="276" w:lineRule="auto"/>
        <w:jc w:val="both"/>
        <w:rPr>
          <w:rFonts w:ascii="Arial" w:hAnsi="Arial" w:cs="Arial"/>
          <w:lang w:val="en-GB"/>
        </w:rPr>
      </w:pPr>
      <w:r w:rsidRPr="00E01754">
        <w:rPr>
          <w:rStyle w:val="Strong"/>
          <w:rFonts w:ascii="Arial" w:eastAsiaTheme="majorEastAsia" w:hAnsi="Arial" w:cs="Arial"/>
          <w:b w:val="0"/>
          <w:bCs w:val="0"/>
          <w:lang w:val="en-GB"/>
        </w:rPr>
        <w:t>Curriculum development</w:t>
      </w:r>
      <w:r w:rsidRPr="00E01754">
        <w:rPr>
          <w:rFonts w:ascii="Arial" w:hAnsi="Arial" w:cs="Arial"/>
          <w:lang w:val="en-GB"/>
        </w:rPr>
        <w:t xml:space="preserve"> emerged as a priority (mean = 3.35), with respondents advocating for content addressing career, social, and economic needs tailored to adults’ experiences. Coordinators and policymakers noted that current curricula mainly target younger learners, limiting relevance for adult students. This aligns with Kimaro (2022), who recommends reducing content intensity and integrating practical, </w:t>
      </w:r>
      <w:r w:rsidR="00053F96" w:rsidRPr="00E01754">
        <w:rPr>
          <w:rFonts w:ascii="Arial" w:hAnsi="Arial" w:cs="Arial"/>
          <w:lang w:val="en-GB"/>
        </w:rPr>
        <w:t>career-</w:t>
      </w:r>
      <w:r w:rsidR="008B2C21">
        <w:rPr>
          <w:rFonts w:ascii="Arial" w:hAnsi="Arial" w:cs="Arial"/>
          <w:lang w:val="en-GB"/>
        </w:rPr>
        <w:t>orientated skills, as well as</w:t>
      </w:r>
      <w:r w:rsidRPr="00E01754">
        <w:rPr>
          <w:rFonts w:ascii="Arial" w:hAnsi="Arial" w:cs="Arial"/>
          <w:lang w:val="en-GB"/>
        </w:rPr>
        <w:t xml:space="preserve"> with Tanzania’s 2014 Education and Training Policy and UNESCO’s guidance promoting adaptable lifelong learning curricula (United Republic of Tanzania, </w:t>
      </w:r>
      <w:r w:rsidRPr="00E01754">
        <w:rPr>
          <w:rFonts w:ascii="Arial" w:hAnsi="Arial" w:cs="Arial"/>
          <w:lang w:val="en-GB"/>
        </w:rPr>
        <w:lastRenderedPageBreak/>
        <w:t>2014; UNESCO, 2015). A tailored curriculum bridges gaps in employability, supporting both academic achievement and career advancement.</w:t>
      </w:r>
    </w:p>
    <w:p w14:paraId="2612788B" w14:textId="64BDC47D" w:rsidR="003C750B" w:rsidRPr="00E01754" w:rsidRDefault="003C750B" w:rsidP="003C750B">
      <w:pPr>
        <w:pStyle w:val="NormalWeb"/>
        <w:spacing w:line="276" w:lineRule="auto"/>
        <w:jc w:val="both"/>
        <w:rPr>
          <w:rFonts w:ascii="Arial" w:hAnsi="Arial" w:cs="Arial"/>
          <w:lang w:val="en-GB"/>
        </w:rPr>
      </w:pPr>
      <w:r w:rsidRPr="00E01754">
        <w:rPr>
          <w:rStyle w:val="Strong"/>
          <w:rFonts w:ascii="Arial" w:eastAsiaTheme="majorEastAsia" w:hAnsi="Arial" w:cs="Arial"/>
          <w:b w:val="0"/>
          <w:bCs w:val="0"/>
          <w:lang w:val="en-GB"/>
        </w:rPr>
        <w:t>Fee-free education policies</w:t>
      </w:r>
      <w:r w:rsidRPr="00E01754">
        <w:rPr>
          <w:rFonts w:ascii="Arial" w:hAnsi="Arial" w:cs="Arial"/>
          <w:lang w:val="en-GB"/>
        </w:rPr>
        <w:t xml:space="preserve"> were strongly supported (mean = 3.28), reflecting </w:t>
      </w:r>
      <w:r w:rsidR="008B2C21">
        <w:rPr>
          <w:rFonts w:ascii="Arial" w:hAnsi="Arial" w:cs="Arial"/>
          <w:lang w:val="en-GB"/>
        </w:rPr>
        <w:t>the financial barriers that compel adults to prioritise</w:t>
      </w:r>
      <w:r w:rsidRPr="00E01754">
        <w:rPr>
          <w:rFonts w:ascii="Arial" w:hAnsi="Arial" w:cs="Arial"/>
          <w:lang w:val="en-GB"/>
        </w:rPr>
        <w:t xml:space="preserve"> work over education. Extending fee-free policies to adults can alleviate these pressures, allowing learners to focus on career-relevant learning. This aligns with </w:t>
      </w:r>
      <w:proofErr w:type="spellStart"/>
      <w:r w:rsidR="008B2C21">
        <w:rPr>
          <w:rFonts w:ascii="Arial" w:hAnsi="Arial" w:cs="Arial"/>
          <w:lang w:val="en-GB"/>
        </w:rPr>
        <w:t>Mollel's</w:t>
      </w:r>
      <w:proofErr w:type="spellEnd"/>
      <w:r w:rsidR="008B2C21">
        <w:rPr>
          <w:rFonts w:ascii="Arial" w:hAnsi="Arial" w:cs="Arial"/>
          <w:lang w:val="en-GB"/>
        </w:rPr>
        <w:t xml:space="preserve"> (2019) and international guidance from UNESCO and the World Bank, which emphasise equitable access to education for marginalised adults (UNESCO, 2015; the</w:t>
      </w:r>
      <w:r w:rsidRPr="00E01754">
        <w:rPr>
          <w:rFonts w:ascii="Arial" w:hAnsi="Arial" w:cs="Arial"/>
          <w:lang w:val="en-GB"/>
        </w:rPr>
        <w:t xml:space="preserve"> World Bank, 2020). Although Tanzania implemented fee-free primary and secondary education in 2015, adult learners remain largely excluded, highlighting a policy gap this study reinforces (United Republic of Tanzania, 2015).</w:t>
      </w:r>
    </w:p>
    <w:p w14:paraId="2DA740A4" w14:textId="42911B4A" w:rsidR="003C750B" w:rsidRPr="00E01754" w:rsidRDefault="003C750B" w:rsidP="003C750B">
      <w:pPr>
        <w:pStyle w:val="NormalWeb"/>
        <w:spacing w:line="276" w:lineRule="auto"/>
        <w:jc w:val="both"/>
        <w:rPr>
          <w:rFonts w:ascii="Arial" w:hAnsi="Arial" w:cs="Arial"/>
          <w:lang w:val="en-GB"/>
        </w:rPr>
      </w:pPr>
      <w:r w:rsidRPr="00E01754">
        <w:rPr>
          <w:rFonts w:ascii="Arial" w:hAnsi="Arial" w:cs="Arial"/>
          <w:lang w:val="en-GB"/>
        </w:rPr>
        <w:t xml:space="preserve">Respondents also supported </w:t>
      </w:r>
      <w:r w:rsidR="008B2C21">
        <w:rPr>
          <w:rStyle w:val="Strong"/>
          <w:rFonts w:ascii="Arial" w:eastAsiaTheme="majorEastAsia" w:hAnsi="Arial" w:cs="Arial"/>
          <w:b w:val="0"/>
          <w:bCs w:val="0"/>
          <w:lang w:val="en-GB"/>
        </w:rPr>
        <w:t xml:space="preserve">specialised NFSE </w:t>
      </w:r>
      <w:proofErr w:type="spellStart"/>
      <w:r w:rsidR="008B2C21">
        <w:rPr>
          <w:rStyle w:val="Strong"/>
          <w:rFonts w:ascii="Arial" w:eastAsiaTheme="majorEastAsia" w:hAnsi="Arial" w:cs="Arial"/>
          <w:b w:val="0"/>
          <w:bCs w:val="0"/>
          <w:lang w:val="en-GB"/>
        </w:rPr>
        <w:t>centers</w:t>
      </w:r>
      <w:proofErr w:type="spellEnd"/>
      <w:r w:rsidR="008B2C21">
        <w:rPr>
          <w:rStyle w:val="Strong"/>
          <w:rFonts w:ascii="Arial" w:eastAsiaTheme="majorEastAsia" w:hAnsi="Arial" w:cs="Arial"/>
          <w:b w:val="0"/>
          <w:bCs w:val="0"/>
          <w:lang w:val="en-GB"/>
        </w:rPr>
        <w:t xml:space="preserve"> (mean = 3.26), which provided age-appropriate learning environments and resources for adults</w:t>
      </w:r>
      <w:r w:rsidRPr="00E01754">
        <w:rPr>
          <w:rFonts w:ascii="Arial" w:hAnsi="Arial" w:cs="Arial"/>
          <w:lang w:val="en-GB"/>
        </w:rPr>
        <w:t xml:space="preserve">. Such </w:t>
      </w:r>
      <w:proofErr w:type="spellStart"/>
      <w:r w:rsidR="008B2C21">
        <w:rPr>
          <w:rFonts w:ascii="Arial" w:hAnsi="Arial" w:cs="Arial"/>
          <w:lang w:val="en-GB"/>
        </w:rPr>
        <w:t>centers</w:t>
      </w:r>
      <w:proofErr w:type="spellEnd"/>
      <w:r w:rsidR="008B2C21">
        <w:rPr>
          <w:rFonts w:ascii="Arial" w:hAnsi="Arial" w:cs="Arial"/>
          <w:lang w:val="en-GB"/>
        </w:rPr>
        <w:t xml:space="preserve"> remove structural barriers, promote inclusivity, and enhance learning motivation and performance, consistent with </w:t>
      </w:r>
      <w:proofErr w:type="spellStart"/>
      <w:r w:rsidR="008B2C21">
        <w:rPr>
          <w:rFonts w:ascii="Arial" w:hAnsi="Arial" w:cs="Arial"/>
          <w:lang w:val="en-GB"/>
        </w:rPr>
        <w:t>Brottlund's</w:t>
      </w:r>
      <w:proofErr w:type="spellEnd"/>
      <w:r w:rsidR="008B2C21">
        <w:rPr>
          <w:rFonts w:ascii="Arial" w:hAnsi="Arial" w:cs="Arial"/>
          <w:lang w:val="en-GB"/>
        </w:rPr>
        <w:t xml:space="preserve"> (2021).</w:t>
      </w:r>
      <w:r w:rsidRPr="00E01754">
        <w:rPr>
          <w:rFonts w:ascii="Arial" w:hAnsi="Arial" w:cs="Arial"/>
          <w:lang w:val="en-GB"/>
        </w:rPr>
        <w:t xml:space="preserve"> The European Association for the Education of Adults (EAEA, 2019) recommends flexible, </w:t>
      </w:r>
      <w:r w:rsidR="00053F96" w:rsidRPr="00E01754">
        <w:rPr>
          <w:rFonts w:ascii="Arial" w:hAnsi="Arial" w:cs="Arial"/>
          <w:lang w:val="en-GB"/>
        </w:rPr>
        <w:t>adult-centred</w:t>
      </w:r>
      <w:r w:rsidRPr="00E01754">
        <w:rPr>
          <w:rFonts w:ascii="Arial" w:hAnsi="Arial" w:cs="Arial"/>
          <w:lang w:val="en-GB"/>
        </w:rPr>
        <w:t xml:space="preserve"> learning spaces, which Tanzania could adapt to empower learners and improve career-relevant outcomes.</w:t>
      </w:r>
    </w:p>
    <w:p w14:paraId="185AD4B6" w14:textId="62BAFFFC" w:rsidR="003C750B" w:rsidRPr="00E01754" w:rsidRDefault="003C750B" w:rsidP="003C750B">
      <w:pPr>
        <w:pStyle w:val="NormalWeb"/>
        <w:spacing w:line="276" w:lineRule="auto"/>
        <w:jc w:val="both"/>
        <w:rPr>
          <w:rFonts w:ascii="Arial" w:hAnsi="Arial" w:cs="Arial"/>
          <w:lang w:val="en-GB"/>
        </w:rPr>
      </w:pPr>
      <w:r w:rsidRPr="00E01754">
        <w:rPr>
          <w:rStyle w:val="Strong"/>
          <w:rFonts w:ascii="Arial" w:eastAsiaTheme="majorEastAsia" w:hAnsi="Arial" w:cs="Arial"/>
          <w:b w:val="0"/>
          <w:bCs w:val="0"/>
          <w:lang w:val="en-GB"/>
        </w:rPr>
        <w:t>Online education systems</w:t>
      </w:r>
      <w:r w:rsidRPr="00E01754">
        <w:rPr>
          <w:rFonts w:ascii="Arial" w:hAnsi="Arial" w:cs="Arial"/>
          <w:lang w:val="en-GB"/>
        </w:rPr>
        <w:t xml:space="preserve"> received strong support (mean = 3.35), as respondents highlighted digital platforms’ flexibility, enabling adults to balance work, family, and education. This aligns with </w:t>
      </w:r>
      <w:proofErr w:type="spellStart"/>
      <w:r w:rsidRPr="00E01754">
        <w:rPr>
          <w:rFonts w:ascii="Arial" w:hAnsi="Arial" w:cs="Arial"/>
          <w:lang w:val="en-GB"/>
        </w:rPr>
        <w:t>Shahanga</w:t>
      </w:r>
      <w:proofErr w:type="spellEnd"/>
      <w:r w:rsidRPr="00E01754">
        <w:rPr>
          <w:rFonts w:ascii="Arial" w:hAnsi="Arial" w:cs="Arial"/>
          <w:lang w:val="en-GB"/>
        </w:rPr>
        <w:t xml:space="preserve"> (2015) and UNESCO (2018), which show that online learning helps adult learners overcome logistical constraints. Successful implementation requires strengthening Tanzania’s ICT infrastructure and digital literacy </w:t>
      </w:r>
      <w:r w:rsidR="00053F96" w:rsidRPr="00E01754">
        <w:rPr>
          <w:rFonts w:ascii="Arial" w:hAnsi="Arial" w:cs="Arial"/>
          <w:lang w:val="en-GB"/>
        </w:rPr>
        <w:t>programmes,</w:t>
      </w:r>
      <w:r w:rsidRPr="00E01754">
        <w:rPr>
          <w:rFonts w:ascii="Arial" w:hAnsi="Arial" w:cs="Arial"/>
          <w:lang w:val="en-GB"/>
        </w:rPr>
        <w:t xml:space="preserve"> particularly in rural areas (United Republic of Tanzania, 2016), to ensure equitable access and align with global digital inclusion goals. The findings also </w:t>
      </w:r>
      <w:r w:rsidR="00344C0A" w:rsidRPr="00E01754">
        <w:rPr>
          <w:rFonts w:ascii="Arial" w:hAnsi="Arial" w:cs="Arial"/>
          <w:lang w:val="en-GB"/>
        </w:rPr>
        <w:t>demonstrate the importance of</w:t>
      </w:r>
      <w:r w:rsidRPr="00E01754">
        <w:rPr>
          <w:rFonts w:ascii="Arial" w:hAnsi="Arial" w:cs="Arial"/>
          <w:lang w:val="en-GB"/>
        </w:rPr>
        <w:t xml:space="preserve"> </w:t>
      </w:r>
      <w:r w:rsidRPr="00E01754">
        <w:rPr>
          <w:rStyle w:val="Strong"/>
          <w:rFonts w:ascii="Arial" w:eastAsiaTheme="majorEastAsia" w:hAnsi="Arial" w:cs="Arial"/>
          <w:b w:val="0"/>
          <w:bCs w:val="0"/>
          <w:lang w:val="en-GB"/>
        </w:rPr>
        <w:t>responsive policies</w:t>
      </w:r>
      <w:r w:rsidRPr="00E01754">
        <w:rPr>
          <w:rFonts w:ascii="Arial" w:hAnsi="Arial" w:cs="Arial"/>
          <w:lang w:val="en-GB"/>
        </w:rPr>
        <w:t xml:space="preserve"> addressing adults’ unique challenges, as current Ministry of Education policies primarily focus on school-age learners (United Republic of Tanzania, 2014). Coordinators </w:t>
      </w:r>
      <w:r w:rsidR="008B2C21">
        <w:rPr>
          <w:rFonts w:ascii="Arial" w:hAnsi="Arial" w:cs="Arial"/>
          <w:lang w:val="en-GB"/>
        </w:rPr>
        <w:t>focused on</w:t>
      </w:r>
      <w:r w:rsidRPr="00E01754">
        <w:rPr>
          <w:rFonts w:ascii="Arial" w:hAnsi="Arial" w:cs="Arial"/>
          <w:lang w:val="en-GB"/>
        </w:rPr>
        <w:t xml:space="preserve"> tuition-free education, digital learning options, and social support structures to facilitate adult participation. International guidelines from UNESCO and the World Bank advocate for policies </w:t>
      </w:r>
      <w:r w:rsidR="00053F96" w:rsidRPr="00E01754">
        <w:rPr>
          <w:rFonts w:ascii="Arial" w:hAnsi="Arial" w:cs="Arial"/>
          <w:lang w:val="en-GB"/>
        </w:rPr>
        <w:t>prioritising</w:t>
      </w:r>
      <w:r w:rsidRPr="00E01754">
        <w:rPr>
          <w:rFonts w:ascii="Arial" w:hAnsi="Arial" w:cs="Arial"/>
          <w:lang w:val="en-GB"/>
        </w:rPr>
        <w:t xml:space="preserve"> lifelong learning and economic empowerment, supporting frameworks that enable adults’ transition to stable employment (World Bank, 2020; UNESCO, 2015).</w:t>
      </w:r>
    </w:p>
    <w:p w14:paraId="6F9EFBDE" w14:textId="2648B233" w:rsidR="003C750B" w:rsidRPr="00E01754" w:rsidRDefault="003C750B" w:rsidP="003C750B">
      <w:pPr>
        <w:pStyle w:val="NormalWeb"/>
        <w:spacing w:line="276" w:lineRule="auto"/>
        <w:jc w:val="both"/>
        <w:rPr>
          <w:rFonts w:ascii="Arial" w:hAnsi="Arial" w:cs="Arial"/>
          <w:lang w:val="en-GB"/>
        </w:rPr>
      </w:pPr>
      <w:r w:rsidRPr="00E01754">
        <w:rPr>
          <w:rStyle w:val="Strong"/>
          <w:rFonts w:ascii="Arial" w:eastAsiaTheme="majorEastAsia" w:hAnsi="Arial" w:cs="Arial"/>
          <w:b w:val="0"/>
          <w:bCs w:val="0"/>
          <w:lang w:val="en-GB"/>
        </w:rPr>
        <w:t xml:space="preserve">Stakeholder </w:t>
      </w:r>
      <w:r w:rsidR="00344C0A" w:rsidRPr="00E01754">
        <w:rPr>
          <w:rStyle w:val="Strong"/>
          <w:rFonts w:ascii="Arial" w:eastAsiaTheme="majorEastAsia" w:hAnsi="Arial" w:cs="Arial"/>
          <w:b w:val="0"/>
          <w:bCs w:val="0"/>
          <w:lang w:val="en-GB"/>
        </w:rPr>
        <w:t xml:space="preserve">cooperation was highlighted as essential for sustainable NFSE </w:t>
      </w:r>
      <w:r w:rsidR="00053F96" w:rsidRPr="00E01754">
        <w:rPr>
          <w:rStyle w:val="Strong"/>
          <w:rFonts w:ascii="Arial" w:eastAsiaTheme="majorEastAsia" w:hAnsi="Arial" w:cs="Arial"/>
          <w:b w:val="0"/>
          <w:bCs w:val="0"/>
          <w:lang w:val="en-GB"/>
        </w:rPr>
        <w:t xml:space="preserve">programmes. </w:t>
      </w:r>
      <w:r w:rsidRPr="00E01754">
        <w:rPr>
          <w:rFonts w:ascii="Arial" w:hAnsi="Arial" w:cs="Arial"/>
          <w:lang w:val="en-GB"/>
        </w:rPr>
        <w:t xml:space="preserve">Partnerships </w:t>
      </w:r>
      <w:r w:rsidR="008B2C21">
        <w:rPr>
          <w:rFonts w:ascii="Arial" w:hAnsi="Arial" w:cs="Arial"/>
          <w:lang w:val="en-GB"/>
        </w:rPr>
        <w:t>between government agencies, NGOs, educational institutions, and community organisations</w:t>
      </w:r>
      <w:r w:rsidRPr="00E01754">
        <w:rPr>
          <w:rFonts w:ascii="Arial" w:hAnsi="Arial" w:cs="Arial"/>
          <w:lang w:val="en-GB"/>
        </w:rPr>
        <w:t xml:space="preserve"> ensure resource sharing, technical support, and coordination. International recommendations from UNESCO and OECD support multi-sector partnerships to strengthen adult education systems (OECD, 2021; UNESCO, 2015). Integrating such collaborations in Tanzania can enhance </w:t>
      </w:r>
      <w:r w:rsidR="00053F96" w:rsidRPr="00E01754">
        <w:rPr>
          <w:rFonts w:ascii="Arial" w:hAnsi="Arial" w:cs="Arial"/>
          <w:lang w:val="en-GB"/>
        </w:rPr>
        <w:t>programme</w:t>
      </w:r>
      <w:r w:rsidRPr="00E01754">
        <w:rPr>
          <w:rFonts w:ascii="Arial" w:hAnsi="Arial" w:cs="Arial"/>
          <w:lang w:val="en-GB"/>
        </w:rPr>
        <w:t xml:space="preserve"> sustainability and responsiveness to adult learners’ evolving needs.</w:t>
      </w:r>
    </w:p>
    <w:p w14:paraId="413164DE" w14:textId="3188A487" w:rsidR="003C750B" w:rsidRPr="00E01754" w:rsidRDefault="003C750B" w:rsidP="003C750B">
      <w:pPr>
        <w:pStyle w:val="NormalWeb"/>
        <w:spacing w:line="276" w:lineRule="auto"/>
        <w:jc w:val="both"/>
        <w:rPr>
          <w:rFonts w:ascii="Arial" w:hAnsi="Arial" w:cs="Arial"/>
          <w:lang w:val="en-GB"/>
        </w:rPr>
      </w:pPr>
      <w:r w:rsidRPr="00E01754">
        <w:rPr>
          <w:rFonts w:ascii="Arial" w:hAnsi="Arial" w:cs="Arial"/>
          <w:lang w:val="en-GB"/>
        </w:rPr>
        <w:lastRenderedPageBreak/>
        <w:t xml:space="preserve">The study highlights the strong link between </w:t>
      </w:r>
      <w:r w:rsidRPr="00E01754">
        <w:rPr>
          <w:rStyle w:val="Strong"/>
          <w:rFonts w:ascii="Arial" w:eastAsiaTheme="majorEastAsia" w:hAnsi="Arial" w:cs="Arial"/>
          <w:b w:val="0"/>
          <w:bCs w:val="0"/>
          <w:lang w:val="en-GB"/>
        </w:rPr>
        <w:t>NFSE and career development</w:t>
      </w:r>
      <w:r w:rsidRPr="00E01754">
        <w:rPr>
          <w:rFonts w:ascii="Arial" w:hAnsi="Arial" w:cs="Arial"/>
          <w:lang w:val="en-GB"/>
        </w:rPr>
        <w:t xml:space="preserve">, demonstrating that poor academic performance can hinder professional progression. </w:t>
      </w:r>
      <w:r w:rsidR="00053F96" w:rsidRPr="00E01754">
        <w:rPr>
          <w:rFonts w:ascii="Arial" w:hAnsi="Arial" w:cs="Arial"/>
          <w:lang w:val="en-GB"/>
        </w:rPr>
        <w:t>Career-orientated</w:t>
      </w:r>
      <w:r w:rsidRPr="00E01754">
        <w:rPr>
          <w:rFonts w:ascii="Arial" w:hAnsi="Arial" w:cs="Arial"/>
          <w:lang w:val="en-GB"/>
        </w:rPr>
        <w:t xml:space="preserve"> adult education strategies not only improve academic outcomes but also align with SDG 8 on decent work and economic growth, ensuring learners acquire skills relevant to </w:t>
      </w:r>
      <w:r w:rsidR="00053F96" w:rsidRPr="00E01754">
        <w:rPr>
          <w:rFonts w:ascii="Arial" w:hAnsi="Arial" w:cs="Arial"/>
          <w:lang w:val="en-GB"/>
        </w:rPr>
        <w:t>labour</w:t>
      </w:r>
      <w:r w:rsidRPr="00E01754">
        <w:rPr>
          <w:rFonts w:ascii="Arial" w:hAnsi="Arial" w:cs="Arial"/>
          <w:lang w:val="en-GB"/>
        </w:rPr>
        <w:t xml:space="preserve"> market demands (UN, 2015). By integrating practical, career-focused training, Tanzania can create an inclusive education system that enhances both academic achievement and professional advancement.</w:t>
      </w:r>
    </w:p>
    <w:p w14:paraId="3E74CE65" w14:textId="5CA08F8C" w:rsidR="003C750B" w:rsidRPr="00E01754" w:rsidRDefault="003C750B" w:rsidP="003C750B">
      <w:pPr>
        <w:pStyle w:val="NormalWeb"/>
        <w:numPr>
          <w:ilvl w:val="0"/>
          <w:numId w:val="3"/>
        </w:numPr>
        <w:spacing w:line="276" w:lineRule="auto"/>
        <w:jc w:val="both"/>
        <w:rPr>
          <w:rFonts w:ascii="Arial" w:hAnsi="Arial" w:cs="Arial"/>
          <w:b/>
          <w:bCs/>
          <w:lang w:val="en-GB"/>
        </w:rPr>
      </w:pPr>
      <w:r w:rsidRPr="00E01754">
        <w:rPr>
          <w:rFonts w:ascii="Arial" w:hAnsi="Arial" w:cs="Arial"/>
          <w:b/>
          <w:bCs/>
          <w:lang w:val="en-GB"/>
        </w:rPr>
        <w:t>CONCLUSION</w:t>
      </w:r>
    </w:p>
    <w:p w14:paraId="1EF75DCF" w14:textId="08D6BF36" w:rsidR="003C750B" w:rsidRPr="00E01754" w:rsidRDefault="00E54714" w:rsidP="003C750B">
      <w:pPr>
        <w:pStyle w:val="NormalWeb"/>
        <w:spacing w:line="276" w:lineRule="auto"/>
        <w:jc w:val="both"/>
        <w:rPr>
          <w:rFonts w:ascii="Arial" w:hAnsi="Arial" w:cs="Arial"/>
          <w:lang w:val="en-GB"/>
        </w:rPr>
      </w:pPr>
      <w:r w:rsidRPr="00E54714">
        <w:rPr>
          <w:rFonts w:ascii="Arial" w:hAnsi="Arial" w:cs="Arial"/>
          <w:highlight w:val="yellow"/>
          <w:lang w:val="en-GB"/>
        </w:rPr>
        <w:t xml:space="preserve">This study </w:t>
      </w:r>
      <w:r w:rsidR="008B2C21">
        <w:rPr>
          <w:rFonts w:ascii="Arial" w:hAnsi="Arial" w:cs="Arial"/>
          <w:highlight w:val="yellow"/>
          <w:lang w:val="en-GB"/>
        </w:rPr>
        <w:t xml:space="preserve">highlights the necessity of a comprehensive strategy that encompasses curriculum reform, fee-free education policies, specialised NFSE </w:t>
      </w:r>
      <w:proofErr w:type="spellStart"/>
      <w:r w:rsidR="008B2C21">
        <w:rPr>
          <w:rFonts w:ascii="Arial" w:hAnsi="Arial" w:cs="Arial"/>
          <w:highlight w:val="yellow"/>
          <w:lang w:val="en-GB"/>
        </w:rPr>
        <w:t>centers</w:t>
      </w:r>
      <w:proofErr w:type="spellEnd"/>
      <w:r w:rsidR="008B2C21">
        <w:rPr>
          <w:rFonts w:ascii="Arial" w:hAnsi="Arial" w:cs="Arial"/>
          <w:highlight w:val="yellow"/>
          <w:lang w:val="en-GB"/>
        </w:rPr>
        <w:t>, digital and blended learning, responsive policy frameworks, and multi-stakeholder collaboration to improve the careers</w:t>
      </w:r>
      <w:r w:rsidRPr="00E54714">
        <w:rPr>
          <w:rFonts w:ascii="Arial" w:hAnsi="Arial" w:cs="Arial"/>
          <w:highlight w:val="yellow"/>
          <w:lang w:val="en-GB"/>
        </w:rPr>
        <w:t xml:space="preserve"> of adult learners in the </w:t>
      </w:r>
      <w:proofErr w:type="spellStart"/>
      <w:r w:rsidRPr="00E54714">
        <w:rPr>
          <w:rFonts w:ascii="Arial" w:hAnsi="Arial" w:cs="Arial"/>
          <w:highlight w:val="yellow"/>
          <w:lang w:val="en-GB"/>
        </w:rPr>
        <w:t>Rukwa</w:t>
      </w:r>
      <w:proofErr w:type="spellEnd"/>
      <w:r w:rsidRPr="00E54714">
        <w:rPr>
          <w:rFonts w:ascii="Arial" w:hAnsi="Arial" w:cs="Arial"/>
          <w:highlight w:val="yellow"/>
          <w:lang w:val="en-GB"/>
        </w:rPr>
        <w:t xml:space="preserve"> Region. These interventions facilitate lifelong learning, empower adults to effectively engage in the workforce, and address both academic and socio-economic requirements. The results contribute to </w:t>
      </w:r>
      <w:r w:rsidR="008B2C21">
        <w:rPr>
          <w:rFonts w:ascii="Arial" w:hAnsi="Arial" w:cs="Arial"/>
          <w:highlight w:val="yellow"/>
          <w:lang w:val="en-GB"/>
        </w:rPr>
        <w:t>our understanding</w:t>
      </w:r>
      <w:r w:rsidRPr="00E54714">
        <w:rPr>
          <w:rFonts w:ascii="Arial" w:hAnsi="Arial" w:cs="Arial"/>
          <w:highlight w:val="yellow"/>
          <w:lang w:val="en-GB"/>
        </w:rPr>
        <w:t xml:space="preserve"> of how NFSE can bridge educational disparities for adults, offering evidence-based guidance for policymakers, educators, and institutions to enhance adult education outcomes and career pathways in Tanzania</w:t>
      </w:r>
      <w:r w:rsidR="003C750B" w:rsidRPr="00E54714">
        <w:rPr>
          <w:rFonts w:ascii="Arial" w:hAnsi="Arial" w:cs="Arial"/>
          <w:highlight w:val="yellow"/>
          <w:lang w:val="en-GB"/>
        </w:rPr>
        <w:t>.</w:t>
      </w:r>
    </w:p>
    <w:p w14:paraId="789DF14F" w14:textId="0EE6D58F" w:rsidR="002A782D" w:rsidRPr="00E01754" w:rsidRDefault="00053F96" w:rsidP="003C750B">
      <w:pPr>
        <w:pStyle w:val="ListParagraph"/>
        <w:numPr>
          <w:ilvl w:val="0"/>
          <w:numId w:val="3"/>
        </w:numPr>
        <w:spacing w:after="0" w:line="276" w:lineRule="auto"/>
        <w:jc w:val="both"/>
        <w:rPr>
          <w:rFonts w:ascii="Arial" w:hAnsi="Arial" w:cs="Arial"/>
          <w:b/>
          <w:bCs/>
        </w:rPr>
      </w:pPr>
      <w:r w:rsidRPr="00E01754">
        <w:rPr>
          <w:rFonts w:ascii="Arial" w:hAnsi="Arial" w:cs="Arial"/>
          <w:b/>
          <w:bCs/>
          <w:shd w:val="clear" w:color="auto" w:fill="FFFFFF"/>
        </w:rPr>
        <w:t>RECOMMEND</w:t>
      </w:r>
      <w:r w:rsidR="005E53BF" w:rsidRPr="00E01754">
        <w:rPr>
          <w:rFonts w:ascii="Arial" w:hAnsi="Arial" w:cs="Arial"/>
          <w:b/>
          <w:bCs/>
          <w:shd w:val="clear" w:color="auto" w:fill="FFFFFF"/>
        </w:rPr>
        <w:t>ATION</w:t>
      </w:r>
    </w:p>
    <w:p w14:paraId="4CF6F642" w14:textId="77777777" w:rsidR="003C750B" w:rsidRPr="00E01754" w:rsidRDefault="003C750B" w:rsidP="003C750B">
      <w:pPr>
        <w:spacing w:after="0" w:line="276" w:lineRule="auto"/>
        <w:ind w:left="360"/>
        <w:jc w:val="both"/>
        <w:rPr>
          <w:rFonts w:ascii="Arial" w:hAnsi="Arial" w:cs="Arial"/>
          <w:b/>
          <w:bCs/>
        </w:rPr>
      </w:pPr>
    </w:p>
    <w:p w14:paraId="77968EB1" w14:textId="43F21C76" w:rsidR="00F72BC5" w:rsidRDefault="00F72BC5" w:rsidP="00F72BC5">
      <w:pPr>
        <w:spacing w:after="0" w:line="276" w:lineRule="auto"/>
        <w:jc w:val="both"/>
        <w:rPr>
          <w:rFonts w:ascii="Arial" w:hAnsi="Arial" w:cs="Arial"/>
          <w:highlight w:val="yellow"/>
        </w:rPr>
      </w:pPr>
      <w:r w:rsidRPr="00E01754">
        <w:rPr>
          <w:rFonts w:ascii="Arial" w:hAnsi="Arial" w:cs="Arial"/>
          <w:highlight w:val="yellow"/>
        </w:rPr>
        <w:t xml:space="preserve">In light of the study's findings regarding the limited integration of practical skills in the NFSE curriculum, financial constraints among adult learners, inflexible delivery modes, and inadequate career guidance services, it is recommended that the government modify the curriculum to include practical and entrepreneurship skills in accordance with </w:t>
      </w:r>
      <w:r w:rsidR="008B2C21">
        <w:rPr>
          <w:rFonts w:ascii="Arial" w:hAnsi="Arial" w:cs="Arial"/>
          <w:highlight w:val="yellow"/>
        </w:rPr>
        <w:t>andragogy</w:t>
      </w:r>
      <w:r w:rsidRPr="00E01754">
        <w:rPr>
          <w:rFonts w:ascii="Arial" w:hAnsi="Arial" w:cs="Arial"/>
          <w:highlight w:val="yellow"/>
        </w:rPr>
        <w:t xml:space="preserve"> principles at NFSE </w:t>
      </w:r>
      <w:r w:rsidR="008B2C21">
        <w:rPr>
          <w:rFonts w:ascii="Arial" w:hAnsi="Arial" w:cs="Arial"/>
          <w:highlight w:val="yellow"/>
        </w:rPr>
        <w:t xml:space="preserve">centres. </w:t>
      </w:r>
      <w:r w:rsidRPr="00E01754">
        <w:rPr>
          <w:rFonts w:ascii="Arial" w:hAnsi="Arial" w:cs="Arial"/>
          <w:highlight w:val="yellow"/>
        </w:rPr>
        <w:t xml:space="preserve">SCCT recommends the implementation of structured career guidance and mentorship programs to enhance the self-efficacy and career pathways of learners. </w:t>
      </w:r>
      <w:r w:rsidR="008B2C21">
        <w:rPr>
          <w:rFonts w:ascii="Arial" w:hAnsi="Arial" w:cs="Arial"/>
          <w:highlight w:val="yellow"/>
        </w:rPr>
        <w:t xml:space="preserve">To overcome access barriers, </w:t>
      </w:r>
      <w:proofErr w:type="spellStart"/>
      <w:r w:rsidR="008B2C21">
        <w:rPr>
          <w:rFonts w:ascii="Arial" w:hAnsi="Arial" w:cs="Arial"/>
          <w:highlight w:val="yellow"/>
        </w:rPr>
        <w:t>centers</w:t>
      </w:r>
      <w:proofErr w:type="spellEnd"/>
      <w:r w:rsidR="008B2C21">
        <w:rPr>
          <w:rFonts w:ascii="Arial" w:hAnsi="Arial" w:cs="Arial"/>
          <w:highlight w:val="yellow"/>
        </w:rPr>
        <w:t xml:space="preserve"> should expand their range of ICT-supported and flexible learning modalities.</w:t>
      </w:r>
      <w:r w:rsidRPr="00E01754">
        <w:rPr>
          <w:rFonts w:ascii="Arial" w:hAnsi="Arial" w:cs="Arial"/>
          <w:highlight w:val="yellow"/>
        </w:rPr>
        <w:t xml:space="preserve"> The government should contemplate the extension of fee-free education to adult learners and the reinforcement of frameworks to acknowledge their distinct socio-economic challenges at the policy level.</w:t>
      </w:r>
    </w:p>
    <w:p w14:paraId="3A3AA738" w14:textId="77777777" w:rsidR="00601DF2" w:rsidRDefault="00601DF2" w:rsidP="00F72BC5">
      <w:pPr>
        <w:spacing w:after="0" w:line="276" w:lineRule="auto"/>
        <w:jc w:val="both"/>
        <w:rPr>
          <w:rFonts w:ascii="Arial" w:hAnsi="Arial" w:cs="Arial"/>
          <w:highlight w:val="yellow"/>
        </w:rPr>
      </w:pPr>
      <w:bookmarkStart w:id="4" w:name="_GoBack"/>
      <w:bookmarkEnd w:id="4"/>
    </w:p>
    <w:p w14:paraId="19DA555B" w14:textId="77777777" w:rsidR="00601DF2" w:rsidRPr="00601DF2" w:rsidRDefault="00601DF2" w:rsidP="00601DF2">
      <w:pPr>
        <w:spacing w:after="0" w:line="276" w:lineRule="auto"/>
        <w:jc w:val="both"/>
        <w:rPr>
          <w:rFonts w:ascii="Arial" w:hAnsi="Arial" w:cs="Arial"/>
        </w:rPr>
      </w:pPr>
      <w:r w:rsidRPr="00601DF2">
        <w:rPr>
          <w:rFonts w:ascii="Arial" w:hAnsi="Arial" w:cs="Arial"/>
        </w:rPr>
        <w:t xml:space="preserve">Consent </w:t>
      </w:r>
    </w:p>
    <w:p w14:paraId="02E0446F" w14:textId="680932E3" w:rsidR="00601DF2" w:rsidRPr="00E01754" w:rsidRDefault="00601DF2" w:rsidP="00601DF2">
      <w:pPr>
        <w:spacing w:after="0" w:line="276" w:lineRule="auto"/>
        <w:jc w:val="both"/>
        <w:rPr>
          <w:rFonts w:ascii="Arial" w:hAnsi="Arial" w:cs="Arial"/>
        </w:rPr>
      </w:pPr>
      <w:r w:rsidRPr="00601DF2">
        <w:rPr>
          <w:rFonts w:ascii="Arial" w:hAnsi="Arial" w:cs="Arial"/>
        </w:rPr>
        <w:t>As per international standards or university standards, respondents’ written consent has been collected and preserved by the author(s).</w:t>
      </w:r>
    </w:p>
    <w:p w14:paraId="75F36BCA" w14:textId="77777777" w:rsidR="00C85E40" w:rsidRPr="00E01754" w:rsidRDefault="00C85E40" w:rsidP="003C750B">
      <w:pPr>
        <w:spacing w:after="0" w:line="276" w:lineRule="auto"/>
        <w:jc w:val="both"/>
        <w:rPr>
          <w:rFonts w:ascii="Arial" w:hAnsi="Arial" w:cs="Arial"/>
          <w:b/>
          <w:bCs/>
        </w:rPr>
      </w:pPr>
    </w:p>
    <w:p w14:paraId="264DC295" w14:textId="77777777" w:rsidR="00E03639" w:rsidRPr="00E01754" w:rsidRDefault="00E03639" w:rsidP="003C750B">
      <w:pPr>
        <w:spacing w:after="0" w:line="276" w:lineRule="auto"/>
        <w:jc w:val="both"/>
        <w:rPr>
          <w:rFonts w:ascii="Arial" w:hAnsi="Arial" w:cs="Arial"/>
          <w:b/>
          <w:bCs/>
          <w:shd w:val="clear" w:color="auto" w:fill="FFFFFF"/>
        </w:rPr>
      </w:pPr>
      <w:r w:rsidRPr="00E01754">
        <w:rPr>
          <w:rFonts w:ascii="Arial" w:hAnsi="Arial" w:cs="Arial"/>
          <w:b/>
          <w:bCs/>
          <w:shd w:val="clear" w:color="auto" w:fill="FFFFFF"/>
        </w:rPr>
        <w:t>DISCLAIMER (ARTIFICIAL INTELLIGENCE)</w:t>
      </w:r>
    </w:p>
    <w:p w14:paraId="5F0C69A0" w14:textId="77777777" w:rsidR="00575AB4" w:rsidRPr="00E01754" w:rsidRDefault="00575AB4" w:rsidP="003C750B">
      <w:pPr>
        <w:spacing w:after="0" w:line="276" w:lineRule="auto"/>
        <w:jc w:val="both"/>
        <w:rPr>
          <w:rFonts w:ascii="Arial" w:hAnsi="Arial" w:cs="Arial"/>
          <w:b/>
          <w:bCs/>
          <w:shd w:val="clear" w:color="auto" w:fill="FFFFFF"/>
        </w:rPr>
      </w:pPr>
    </w:p>
    <w:p w14:paraId="57A05CB5" w14:textId="5454256D" w:rsidR="00E03639" w:rsidRPr="00E01754" w:rsidRDefault="00E03639" w:rsidP="003C750B">
      <w:pPr>
        <w:spacing w:after="0" w:line="276" w:lineRule="auto"/>
        <w:jc w:val="both"/>
        <w:rPr>
          <w:rFonts w:ascii="Arial" w:hAnsi="Arial" w:cs="Arial"/>
          <w:shd w:val="clear" w:color="auto" w:fill="FFFFFF"/>
        </w:rPr>
      </w:pPr>
      <w:r w:rsidRPr="00E01754">
        <w:rPr>
          <w:rFonts w:ascii="Arial" w:hAnsi="Arial" w:cs="Arial"/>
          <w:shd w:val="clear" w:color="auto" w:fill="FFFFFF"/>
        </w:rPr>
        <w:t xml:space="preserve">The author(s) hereby acknowledge </w:t>
      </w:r>
      <w:r w:rsidR="008B2C21">
        <w:rPr>
          <w:rFonts w:ascii="Arial" w:hAnsi="Arial" w:cs="Arial"/>
          <w:shd w:val="clear" w:color="auto" w:fill="FFFFFF"/>
        </w:rPr>
        <w:t>the use of generative AI technologies, including large language models,</w:t>
      </w:r>
      <w:r w:rsidRPr="00E01754">
        <w:rPr>
          <w:rFonts w:ascii="Arial" w:hAnsi="Arial" w:cs="Arial"/>
          <w:shd w:val="clear" w:color="auto" w:fill="FFFFFF"/>
        </w:rPr>
        <w:t xml:space="preserve"> in the composition or revision of manuscripts.  </w:t>
      </w:r>
      <w:r w:rsidR="00344C0A" w:rsidRPr="00E01754">
        <w:rPr>
          <w:rFonts w:ascii="Arial" w:hAnsi="Arial" w:cs="Arial"/>
          <w:shd w:val="clear" w:color="auto" w:fill="FFFFFF"/>
        </w:rPr>
        <w:t xml:space="preserve">This explanation will </w:t>
      </w:r>
      <w:r w:rsidR="00344C0A" w:rsidRPr="00E01754">
        <w:rPr>
          <w:rFonts w:ascii="Arial" w:hAnsi="Arial" w:cs="Arial"/>
          <w:shd w:val="clear" w:color="auto" w:fill="FFFFFF"/>
        </w:rPr>
        <w:lastRenderedPageBreak/>
        <w:t>include the name, version, model, source, and all input prompts provided to the generative AI technology.</w:t>
      </w:r>
      <w:r w:rsidRPr="00E01754">
        <w:rPr>
          <w:rFonts w:ascii="Arial" w:hAnsi="Arial" w:cs="Arial"/>
          <w:shd w:val="clear" w:color="auto" w:fill="FFFFFF"/>
        </w:rPr>
        <w:t xml:space="preserve"> </w:t>
      </w:r>
    </w:p>
    <w:p w14:paraId="0A424A81" w14:textId="01754906" w:rsidR="00E03639" w:rsidRPr="00E01754" w:rsidRDefault="00E03639" w:rsidP="003C750B">
      <w:pPr>
        <w:spacing w:after="0" w:line="276" w:lineRule="auto"/>
        <w:jc w:val="both"/>
        <w:rPr>
          <w:rFonts w:ascii="Arial" w:hAnsi="Arial" w:cs="Arial"/>
          <w:shd w:val="clear" w:color="auto" w:fill="FFFFFF"/>
        </w:rPr>
      </w:pPr>
      <w:r w:rsidRPr="00E01754">
        <w:rPr>
          <w:rFonts w:ascii="Arial" w:hAnsi="Arial" w:cs="Arial"/>
          <w:shd w:val="clear" w:color="auto" w:fill="FFFFFF"/>
        </w:rPr>
        <w:t xml:space="preserve">The following are the specifics of </w:t>
      </w:r>
      <w:r w:rsidR="008B2C21">
        <w:rPr>
          <w:rFonts w:ascii="Arial" w:hAnsi="Arial" w:cs="Arial"/>
          <w:shd w:val="clear" w:color="auto" w:fill="FFFFFF"/>
        </w:rPr>
        <w:t>AI's utilisation</w:t>
      </w:r>
      <w:r w:rsidR="00053F96" w:rsidRPr="00E01754">
        <w:rPr>
          <w:rFonts w:ascii="Arial" w:hAnsi="Arial" w:cs="Arial"/>
          <w:shd w:val="clear" w:color="auto" w:fill="FFFFFF"/>
        </w:rPr>
        <w:t xml:space="preserve">: </w:t>
      </w:r>
      <w:r w:rsidRPr="00E01754">
        <w:rPr>
          <w:rFonts w:ascii="Arial" w:hAnsi="Arial" w:cs="Arial"/>
          <w:shd w:val="clear" w:color="auto" w:fill="FFFFFF"/>
        </w:rPr>
        <w:t xml:space="preserve">1. I employed ChatGPT to aid in the refinement of several sections.  </w:t>
      </w:r>
      <w:r w:rsidR="008B2C21">
        <w:rPr>
          <w:rFonts w:ascii="Arial" w:hAnsi="Arial" w:cs="Arial"/>
          <w:shd w:val="clear" w:color="auto" w:fill="FFFFFF"/>
        </w:rPr>
        <w:t>ChatGPT provided grammar and spelling checks, along with suggestions to enhance the lucidity and logic of sentences.</w:t>
      </w:r>
      <w:r w:rsidRPr="00E01754">
        <w:rPr>
          <w:rFonts w:ascii="Arial" w:hAnsi="Arial" w:cs="Arial"/>
          <w:shd w:val="clear" w:color="auto" w:fill="FFFFFF"/>
        </w:rPr>
        <w:t xml:space="preserve">  Nevertheless, I neglected to save the prompts.</w:t>
      </w:r>
    </w:p>
    <w:p w14:paraId="10632739" w14:textId="77777777" w:rsidR="005E53BF" w:rsidRPr="00E01754" w:rsidRDefault="005E53BF" w:rsidP="003C750B">
      <w:pPr>
        <w:spacing w:after="0" w:line="276" w:lineRule="auto"/>
        <w:jc w:val="both"/>
        <w:rPr>
          <w:rFonts w:ascii="Arial" w:hAnsi="Arial" w:cs="Arial"/>
          <w:shd w:val="clear" w:color="auto" w:fill="FFFFFF"/>
        </w:rPr>
      </w:pPr>
    </w:p>
    <w:p w14:paraId="76EC0573" w14:textId="77777777" w:rsidR="005E53BF" w:rsidRPr="00E01754" w:rsidRDefault="005E53BF" w:rsidP="003C750B">
      <w:pPr>
        <w:spacing w:after="0" w:line="276" w:lineRule="auto"/>
        <w:jc w:val="both"/>
        <w:rPr>
          <w:rFonts w:ascii="Arial" w:hAnsi="Arial" w:cs="Arial"/>
          <w:shd w:val="clear" w:color="auto" w:fill="FFFFFF"/>
        </w:rPr>
      </w:pPr>
    </w:p>
    <w:p w14:paraId="0E3ECD62" w14:textId="77777777" w:rsidR="005E53BF" w:rsidRPr="00E01754" w:rsidRDefault="005E53BF" w:rsidP="005E53BF">
      <w:pPr>
        <w:spacing w:after="200" w:line="276" w:lineRule="auto"/>
        <w:rPr>
          <w:rFonts w:ascii="Arial" w:eastAsia="Times New Roman" w:hAnsi="Arial" w:cs="Arial"/>
          <w:b/>
          <w:bCs/>
          <w:kern w:val="0"/>
          <w:sz w:val="22"/>
          <w:szCs w:val="22"/>
          <w:lang w:eastAsia="en-GB"/>
          <w14:ligatures w14:val="none"/>
        </w:rPr>
      </w:pPr>
      <w:r w:rsidRPr="00E01754">
        <w:rPr>
          <w:rFonts w:ascii="Arial" w:eastAsia="Times New Roman" w:hAnsi="Arial" w:cs="Arial"/>
          <w:b/>
          <w:bCs/>
          <w:kern w:val="0"/>
          <w:sz w:val="22"/>
          <w:szCs w:val="22"/>
          <w:lang w:eastAsia="en-GB"/>
          <w14:ligatures w14:val="none"/>
        </w:rPr>
        <w:t>COMPETING INTERESTS DISCLAIMER:</w:t>
      </w:r>
    </w:p>
    <w:p w14:paraId="1A59EF90" w14:textId="77777777" w:rsidR="005E53BF" w:rsidRPr="00E01754" w:rsidRDefault="005E53BF" w:rsidP="005E53BF">
      <w:pPr>
        <w:spacing w:after="200" w:line="276" w:lineRule="auto"/>
        <w:rPr>
          <w:rFonts w:ascii="Calibri" w:eastAsia="Times New Roman" w:hAnsi="Calibri" w:cs="Times New Roman"/>
          <w:kern w:val="0"/>
          <w:sz w:val="22"/>
          <w:szCs w:val="22"/>
          <w:lang w:eastAsia="en-GB"/>
          <w14:ligatures w14:val="none"/>
        </w:rPr>
      </w:pPr>
      <w:r w:rsidRPr="00E01754">
        <w:rPr>
          <w:rFonts w:ascii="Arial" w:eastAsia="Times New Roman" w:hAnsi="Arial" w:cs="Arial"/>
          <w:kern w:val="0"/>
          <w:sz w:val="22"/>
          <w:szCs w:val="22"/>
          <w:lang w:eastAsia="en-GB"/>
          <w14:ligatures w14:val="none"/>
        </w:rPr>
        <w:t>Authors have declared that they have no known competing financial interests OR non-financial interests OR personal relationships that could have appeared to influence the work reported in this paper.</w:t>
      </w:r>
    </w:p>
    <w:p w14:paraId="433C8667" w14:textId="77777777" w:rsidR="005E53BF" w:rsidRPr="00E01754" w:rsidRDefault="005E53BF" w:rsidP="003C750B">
      <w:pPr>
        <w:spacing w:after="0" w:line="276" w:lineRule="auto"/>
        <w:jc w:val="both"/>
        <w:rPr>
          <w:rFonts w:ascii="Arial" w:hAnsi="Arial" w:cs="Arial"/>
          <w:shd w:val="clear" w:color="auto" w:fill="FFFFFF"/>
        </w:rPr>
      </w:pPr>
    </w:p>
    <w:p w14:paraId="06A58291" w14:textId="77777777" w:rsidR="005A217E" w:rsidRPr="00E01754" w:rsidRDefault="005A217E" w:rsidP="005A217E">
      <w:pPr>
        <w:spacing w:after="200" w:line="276" w:lineRule="auto"/>
        <w:rPr>
          <w:rFonts w:ascii="Calibri" w:eastAsia="Calibri" w:hAnsi="Calibri" w:cs="Times New Roman"/>
          <w:kern w:val="0"/>
          <w:sz w:val="28"/>
          <w:szCs w:val="22"/>
          <w14:ligatures w14:val="none"/>
        </w:rPr>
      </w:pPr>
      <w:bookmarkStart w:id="5" w:name="_Hlk219125673"/>
    </w:p>
    <w:bookmarkEnd w:id="5"/>
    <w:p w14:paraId="418A0FFB" w14:textId="29830C7A" w:rsidR="00E03639" w:rsidRPr="00E01754" w:rsidRDefault="00E03639" w:rsidP="003C750B">
      <w:pPr>
        <w:spacing w:after="0" w:line="276" w:lineRule="auto"/>
        <w:jc w:val="both"/>
        <w:rPr>
          <w:rFonts w:ascii="Arial" w:hAnsi="Arial" w:cs="Arial"/>
          <w:b/>
          <w:bCs/>
        </w:rPr>
      </w:pPr>
    </w:p>
    <w:p w14:paraId="538C26D9" w14:textId="77777777" w:rsidR="00575AB4" w:rsidRPr="00E01754" w:rsidRDefault="00575AB4" w:rsidP="00575AB4">
      <w:pPr>
        <w:spacing w:after="0" w:line="240" w:lineRule="auto"/>
        <w:jc w:val="center"/>
        <w:rPr>
          <w:rFonts w:ascii="Arial" w:hAnsi="Arial" w:cs="Arial"/>
          <w:b/>
          <w:bCs/>
        </w:rPr>
      </w:pPr>
      <w:r w:rsidRPr="00E01754">
        <w:rPr>
          <w:rFonts w:ascii="Arial" w:hAnsi="Arial" w:cs="Arial"/>
          <w:b/>
          <w:bCs/>
        </w:rPr>
        <w:t>REFERENCES</w:t>
      </w:r>
    </w:p>
    <w:p w14:paraId="42BB367D" w14:textId="77777777" w:rsidR="00575AB4" w:rsidRPr="00E01754" w:rsidRDefault="00575AB4" w:rsidP="00575AB4">
      <w:pPr>
        <w:spacing w:after="0" w:line="240" w:lineRule="auto"/>
        <w:jc w:val="center"/>
        <w:rPr>
          <w:rFonts w:ascii="Arial" w:hAnsi="Arial" w:cs="Arial"/>
        </w:rPr>
      </w:pPr>
    </w:p>
    <w:p w14:paraId="23262337" w14:textId="51D16F09" w:rsidR="00575AB4" w:rsidRPr="00E01754" w:rsidRDefault="00575AB4" w:rsidP="00575AB4">
      <w:pPr>
        <w:pStyle w:val="EndNoteBibliography"/>
        <w:spacing w:after="0"/>
        <w:ind w:left="720" w:hanging="720"/>
        <w:jc w:val="both"/>
        <w:rPr>
          <w:rFonts w:ascii="Arial" w:hAnsi="Arial" w:cs="Arial"/>
          <w:i/>
          <w:iCs/>
          <w:noProof w:val="0"/>
          <w:sz w:val="24"/>
          <w:szCs w:val="24"/>
          <w:lang w:val="en-GB"/>
        </w:rPr>
      </w:pPr>
      <w:r w:rsidRPr="00E01754">
        <w:rPr>
          <w:rFonts w:ascii="Arial" w:hAnsi="Arial" w:cs="Arial"/>
          <w:noProof w:val="0"/>
          <w:sz w:val="24"/>
          <w:szCs w:val="24"/>
          <w:lang w:val="en-GB"/>
        </w:rPr>
        <w:t xml:space="preserve">Akello, J. A., &amp; </w:t>
      </w:r>
      <w:proofErr w:type="spellStart"/>
      <w:r w:rsidRPr="00E01754">
        <w:rPr>
          <w:rFonts w:ascii="Arial" w:hAnsi="Arial" w:cs="Arial"/>
          <w:noProof w:val="0"/>
          <w:sz w:val="24"/>
          <w:szCs w:val="24"/>
          <w:lang w:val="en-GB"/>
        </w:rPr>
        <w:t>Lutwama-Rukundo</w:t>
      </w:r>
      <w:proofErr w:type="spellEnd"/>
      <w:r w:rsidRPr="00E01754">
        <w:rPr>
          <w:rFonts w:ascii="Arial" w:hAnsi="Arial" w:cs="Arial"/>
          <w:noProof w:val="0"/>
          <w:sz w:val="24"/>
          <w:szCs w:val="24"/>
          <w:lang w:val="en-GB"/>
        </w:rPr>
        <w:t xml:space="preserve">, E. (2022). Functional Adult Literacy Levels: Relevance to Women’s Improved Income Generation in Apac District-Northern Uganda. </w:t>
      </w:r>
      <w:r w:rsidR="00344C0A" w:rsidRPr="00E01754">
        <w:rPr>
          <w:rFonts w:ascii="Arial" w:hAnsi="Arial" w:cs="Arial"/>
          <w:i/>
          <w:iCs/>
          <w:noProof w:val="0"/>
          <w:sz w:val="24"/>
          <w:szCs w:val="24"/>
          <w:lang w:val="en-GB"/>
        </w:rPr>
        <w:t>The International Journal of Education, Training,</w:t>
      </w:r>
      <w:r w:rsidRPr="00E01754">
        <w:rPr>
          <w:rFonts w:ascii="Arial" w:hAnsi="Arial" w:cs="Arial"/>
          <w:i/>
          <w:iCs/>
          <w:noProof w:val="0"/>
          <w:sz w:val="24"/>
          <w:szCs w:val="24"/>
          <w:lang w:val="en-GB"/>
        </w:rPr>
        <w:t xml:space="preserve"> and Learning. </w:t>
      </w:r>
      <w:hyperlink r:id="rId8" w:history="1">
        <w:r w:rsidRPr="00E01754">
          <w:rPr>
            <w:rStyle w:val="Hyperlink"/>
            <w:rFonts w:ascii="Arial" w:hAnsi="Arial" w:cs="Arial"/>
            <w:i/>
            <w:iCs/>
            <w:noProof w:val="0"/>
            <w:sz w:val="24"/>
            <w:szCs w:val="24"/>
            <w:lang w:val="en-GB"/>
          </w:rPr>
          <w:t>https://doi.org/10.3304/ijetl.v6i.524</w:t>
        </w:r>
      </w:hyperlink>
      <w:r w:rsidRPr="00E01754">
        <w:rPr>
          <w:rFonts w:ascii="Arial" w:hAnsi="Arial" w:cs="Arial"/>
          <w:i/>
          <w:iCs/>
          <w:noProof w:val="0"/>
          <w:sz w:val="24"/>
          <w:szCs w:val="24"/>
          <w:lang w:val="en-GB"/>
        </w:rPr>
        <w:t>.</w:t>
      </w:r>
    </w:p>
    <w:p w14:paraId="0921CB9A"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proofErr w:type="spellStart"/>
      <w:r w:rsidRPr="00E01754">
        <w:rPr>
          <w:rFonts w:ascii="Arial" w:eastAsia="Times New Roman" w:hAnsi="Arial" w:cs="Arial"/>
          <w:kern w:val="0"/>
          <w14:ligatures w14:val="none"/>
        </w:rPr>
        <w:t>Aderinoye</w:t>
      </w:r>
      <w:proofErr w:type="spellEnd"/>
      <w:r w:rsidRPr="00E01754">
        <w:rPr>
          <w:rFonts w:ascii="Arial" w:eastAsia="Times New Roman" w:hAnsi="Arial" w:cs="Arial"/>
          <w:kern w:val="0"/>
          <w14:ligatures w14:val="none"/>
        </w:rPr>
        <w:t xml:space="preserve">, R. (2020). </w:t>
      </w:r>
      <w:r w:rsidRPr="00E01754">
        <w:rPr>
          <w:rFonts w:ascii="Arial" w:eastAsia="Times New Roman" w:hAnsi="Arial" w:cs="Arial"/>
          <w:i/>
          <w:iCs/>
          <w:kern w:val="0"/>
          <w14:ligatures w14:val="none"/>
        </w:rPr>
        <w:t>Non-formal education in sub-Saharan Africa: Strategies for adult learning and skills development</w:t>
      </w:r>
      <w:r w:rsidRPr="00E01754">
        <w:rPr>
          <w:rFonts w:ascii="Arial" w:eastAsia="Times New Roman" w:hAnsi="Arial" w:cs="Arial"/>
          <w:kern w:val="0"/>
          <w14:ligatures w14:val="none"/>
        </w:rPr>
        <w:t>. African Development Journal.</w:t>
      </w:r>
    </w:p>
    <w:p w14:paraId="708C8585"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lessons. </w:t>
      </w:r>
      <w:r w:rsidRPr="00E01754">
        <w:rPr>
          <w:rFonts w:ascii="Arial" w:hAnsi="Arial" w:cs="Arial"/>
          <w:i/>
        </w:rPr>
        <w:t>Papers in Education and Development</w:t>
      </w:r>
      <w:r w:rsidRPr="00E01754">
        <w:rPr>
          <w:rFonts w:ascii="Arial" w:hAnsi="Arial" w:cs="Arial"/>
        </w:rPr>
        <w:t>,</w:t>
      </w:r>
      <w:r w:rsidRPr="00E01754">
        <w:rPr>
          <w:rFonts w:ascii="Arial" w:hAnsi="Arial" w:cs="Arial"/>
          <w:i/>
        </w:rPr>
        <w:t xml:space="preserve"> 38</w:t>
      </w:r>
      <w:r w:rsidRPr="00E01754">
        <w:rPr>
          <w:rFonts w:ascii="Arial" w:hAnsi="Arial" w:cs="Arial"/>
        </w:rPr>
        <w:t xml:space="preserve">(1). </w:t>
      </w:r>
    </w:p>
    <w:p w14:paraId="59EB3075" w14:textId="77777777" w:rsidR="00575AB4" w:rsidRPr="00E01754" w:rsidRDefault="00575AB4" w:rsidP="00575AB4">
      <w:pPr>
        <w:spacing w:after="0" w:line="240" w:lineRule="auto"/>
        <w:ind w:left="720" w:hanging="720"/>
        <w:jc w:val="both"/>
        <w:rPr>
          <w:rFonts w:ascii="Arial" w:hAnsi="Arial" w:cs="Arial"/>
        </w:rPr>
      </w:pPr>
      <w:proofErr w:type="spellStart"/>
      <w:r w:rsidRPr="00E01754">
        <w:rPr>
          <w:rFonts w:ascii="Arial" w:hAnsi="Arial" w:cs="Arial"/>
        </w:rPr>
        <w:t>Bhalalusesa</w:t>
      </w:r>
      <w:proofErr w:type="spellEnd"/>
      <w:r w:rsidRPr="00E01754">
        <w:rPr>
          <w:rFonts w:ascii="Arial" w:hAnsi="Arial" w:cs="Arial"/>
        </w:rPr>
        <w:t xml:space="preserve">, E. P. (2021). </w:t>
      </w:r>
      <w:r w:rsidRPr="00E01754">
        <w:rPr>
          <w:rStyle w:val="Emphasis"/>
          <w:rFonts w:ascii="Arial" w:hAnsi="Arial" w:cs="Arial"/>
          <w:i w:val="0"/>
          <w:iCs w:val="0"/>
        </w:rPr>
        <w:t>Decentralized management of adult and non-formal education in Tanzania: Issues and challenges</w:t>
      </w:r>
      <w:r w:rsidRPr="00E01754">
        <w:rPr>
          <w:rFonts w:ascii="Arial" w:hAnsi="Arial" w:cs="Arial"/>
        </w:rPr>
        <w:t>. School of Education, University of Dar es Salaam.</w:t>
      </w:r>
    </w:p>
    <w:p w14:paraId="2EAEDD22"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Belete, S., Duke, C., </w:t>
      </w:r>
      <w:proofErr w:type="spellStart"/>
      <w:r w:rsidRPr="00E01754">
        <w:rPr>
          <w:rFonts w:ascii="Arial" w:hAnsi="Arial" w:cs="Arial"/>
        </w:rPr>
        <w:t>Hinzen</w:t>
      </w:r>
      <w:proofErr w:type="spellEnd"/>
      <w:r w:rsidRPr="00E01754">
        <w:rPr>
          <w:rFonts w:ascii="Arial" w:hAnsi="Arial" w:cs="Arial"/>
        </w:rPr>
        <w:t xml:space="preserve">, H., Owusu-Boampong, A., &amp; Khau, H. P. (2022). Community learning centres (CLCs) for adult learning and education (ALE): Development in and by communities. </w:t>
      </w:r>
      <w:r w:rsidRPr="00E01754">
        <w:rPr>
          <w:rStyle w:val="Emphasis"/>
          <w:rFonts w:ascii="Arial" w:hAnsi="Arial" w:cs="Arial"/>
        </w:rPr>
        <w:t>International Review of Education</w:t>
      </w:r>
      <w:r w:rsidRPr="00E01754">
        <w:rPr>
          <w:rFonts w:ascii="Arial" w:hAnsi="Arial" w:cs="Arial"/>
        </w:rPr>
        <w:t xml:space="preserve">, </w:t>
      </w:r>
      <w:r w:rsidRPr="00E01754">
        <w:rPr>
          <w:rStyle w:val="Emphasis"/>
          <w:rFonts w:ascii="Arial" w:hAnsi="Arial" w:cs="Arial"/>
        </w:rPr>
        <w:t>68</w:t>
      </w:r>
      <w:r w:rsidRPr="00E01754">
        <w:rPr>
          <w:rFonts w:ascii="Arial" w:hAnsi="Arial" w:cs="Arial"/>
        </w:rPr>
        <w:t>(2), 259–290.</w:t>
      </w:r>
    </w:p>
    <w:p w14:paraId="05663906"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Blagoeva</w:t>
      </w:r>
      <w:proofErr w:type="spellEnd"/>
      <w:r w:rsidRPr="00E01754">
        <w:rPr>
          <w:rFonts w:ascii="Arial" w:hAnsi="Arial" w:cs="Arial"/>
        </w:rPr>
        <w:t>, E. (2022). Framework for second chance schools in Europe: Report.</w:t>
      </w:r>
    </w:p>
    <w:p w14:paraId="3DA63C39"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Bako, H. (2022). </w:t>
      </w:r>
      <w:r w:rsidRPr="00E01754">
        <w:rPr>
          <w:rStyle w:val="Emphasis"/>
          <w:rFonts w:ascii="Arial" w:hAnsi="Arial" w:cs="Arial"/>
        </w:rPr>
        <w:t>Impact of basic literacy programs on adult learners’ performance in Nigeria</w:t>
      </w:r>
      <w:r w:rsidRPr="00E01754">
        <w:rPr>
          <w:rFonts w:ascii="Arial" w:hAnsi="Arial" w:cs="Arial"/>
        </w:rPr>
        <w:t>. Journal of Adult Education and Development, 10(3), 112–125.</w:t>
      </w:r>
    </w:p>
    <w:p w14:paraId="2D613485"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Benavot</w:t>
      </w:r>
      <w:proofErr w:type="spellEnd"/>
      <w:r w:rsidRPr="00E01754">
        <w:rPr>
          <w:rFonts w:ascii="Arial" w:hAnsi="Arial" w:cs="Arial"/>
        </w:rPr>
        <w:t xml:space="preserve">, A., &amp; Williams, T. (2023). </w:t>
      </w:r>
      <w:r w:rsidRPr="00E01754">
        <w:rPr>
          <w:rStyle w:val="Emphasis"/>
          <w:rFonts w:ascii="Arial" w:hAnsi="Arial" w:cs="Arial"/>
        </w:rPr>
        <w:t>Global perspectives on adult basic education and lifelong learning</w:t>
      </w:r>
      <w:r w:rsidRPr="00E01754">
        <w:rPr>
          <w:rFonts w:ascii="Arial" w:hAnsi="Arial" w:cs="Arial"/>
        </w:rPr>
        <w:t>. International Review of Education, 69(4), 501–523.</w:t>
      </w:r>
    </w:p>
    <w:p w14:paraId="052895AE"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Bhalalusesa</w:t>
      </w:r>
      <w:proofErr w:type="spellEnd"/>
      <w:r w:rsidRPr="00E01754">
        <w:rPr>
          <w:rFonts w:ascii="Arial" w:hAnsi="Arial" w:cs="Arial"/>
        </w:rPr>
        <w:t xml:space="preserve">, E. (2020). </w:t>
      </w:r>
      <w:r w:rsidRPr="00E01754">
        <w:rPr>
          <w:rStyle w:val="Emphasis"/>
          <w:rFonts w:ascii="Arial" w:hAnsi="Arial" w:cs="Arial"/>
        </w:rPr>
        <w:t>Adult education in Tanzania: Policies and practice</w:t>
      </w:r>
      <w:r w:rsidRPr="00E01754">
        <w:rPr>
          <w:rFonts w:ascii="Arial" w:hAnsi="Arial" w:cs="Arial"/>
        </w:rPr>
        <w:t>. Dar es Salaam University Press.</w:t>
      </w:r>
    </w:p>
    <w:p w14:paraId="0102F301"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Boyadjieva</w:t>
      </w:r>
      <w:proofErr w:type="spellEnd"/>
      <w:r w:rsidRPr="00E01754">
        <w:rPr>
          <w:rFonts w:ascii="Arial" w:hAnsi="Arial" w:cs="Arial"/>
        </w:rPr>
        <w:t xml:space="preserve">, P., &amp; </w:t>
      </w:r>
      <w:proofErr w:type="spellStart"/>
      <w:r w:rsidRPr="00E01754">
        <w:rPr>
          <w:rFonts w:ascii="Arial" w:hAnsi="Arial" w:cs="Arial"/>
        </w:rPr>
        <w:t>Ilieva-Trichkova</w:t>
      </w:r>
      <w:proofErr w:type="spellEnd"/>
      <w:r w:rsidRPr="00E01754">
        <w:rPr>
          <w:rFonts w:ascii="Arial" w:hAnsi="Arial" w:cs="Arial"/>
        </w:rPr>
        <w:t xml:space="preserve">, P. (2021). </w:t>
      </w:r>
      <w:r w:rsidRPr="00E01754">
        <w:rPr>
          <w:rStyle w:val="Emphasis"/>
          <w:rFonts w:ascii="Arial" w:hAnsi="Arial" w:cs="Arial"/>
        </w:rPr>
        <w:t>Adult education in the 21st century: Policy and practice</w:t>
      </w:r>
      <w:r w:rsidRPr="00E01754">
        <w:rPr>
          <w:rFonts w:ascii="Arial" w:hAnsi="Arial" w:cs="Arial"/>
        </w:rPr>
        <w:t>. European Journal of Education Studies, 7(3), 14–29.</w:t>
      </w:r>
    </w:p>
    <w:p w14:paraId="69312914" w14:textId="36A7C36F" w:rsidR="00575AB4" w:rsidRPr="00E01754" w:rsidRDefault="00575AB4" w:rsidP="00575AB4">
      <w:pPr>
        <w:pStyle w:val="NormalWeb"/>
        <w:spacing w:after="0" w:afterAutospacing="0"/>
        <w:rPr>
          <w:rFonts w:ascii="Arial" w:hAnsi="Arial" w:cs="Arial"/>
          <w:lang w:val="en-GB"/>
        </w:rPr>
      </w:pPr>
      <w:r w:rsidRPr="00E01754">
        <w:rPr>
          <w:rFonts w:ascii="Arial" w:hAnsi="Arial" w:cs="Arial"/>
          <w:lang w:val="en-GB"/>
        </w:rPr>
        <w:t xml:space="preserve">Brown, P. (2022). </w:t>
      </w:r>
      <w:r w:rsidRPr="00E01754">
        <w:rPr>
          <w:rStyle w:val="Emphasis"/>
          <w:rFonts w:ascii="Arial" w:eastAsiaTheme="majorEastAsia" w:hAnsi="Arial" w:cs="Arial"/>
          <w:lang w:val="en-GB"/>
        </w:rPr>
        <w:t xml:space="preserve">Cultural, linguistic, and social barriers </w:t>
      </w:r>
      <w:r w:rsidR="00344C0A" w:rsidRPr="00E01754">
        <w:rPr>
          <w:rStyle w:val="Emphasis"/>
          <w:rFonts w:ascii="Arial" w:eastAsiaTheme="majorEastAsia" w:hAnsi="Arial" w:cs="Arial"/>
          <w:lang w:val="en-GB"/>
        </w:rPr>
        <w:t>are prevalent in African adult education.</w:t>
      </w:r>
      <w:r w:rsidRPr="00E01754">
        <w:rPr>
          <w:rFonts w:ascii="Arial" w:hAnsi="Arial" w:cs="Arial"/>
          <w:lang w:val="en-GB"/>
        </w:rPr>
        <w:t xml:space="preserve"> African Journal of Lifelong Learning, 12(2), 55–70.</w:t>
      </w:r>
    </w:p>
    <w:p w14:paraId="1E01DB8E" w14:textId="77777777" w:rsidR="00575AB4" w:rsidRPr="00E01754" w:rsidRDefault="00575AB4" w:rsidP="00575AB4">
      <w:pPr>
        <w:spacing w:after="0" w:line="240" w:lineRule="auto"/>
        <w:ind w:left="993" w:hanging="993"/>
        <w:jc w:val="both"/>
        <w:rPr>
          <w:rFonts w:ascii="Arial" w:hAnsi="Arial" w:cs="Arial"/>
        </w:rPr>
      </w:pPr>
    </w:p>
    <w:p w14:paraId="48509C1F" w14:textId="77777777" w:rsidR="00575AB4" w:rsidRPr="00E01754" w:rsidRDefault="00575AB4" w:rsidP="00575AB4">
      <w:pPr>
        <w:spacing w:after="0" w:line="240" w:lineRule="auto"/>
        <w:ind w:left="993" w:hanging="993"/>
        <w:jc w:val="both"/>
        <w:rPr>
          <w:rFonts w:ascii="Arial" w:eastAsia="Times New Roman" w:hAnsi="Arial" w:cs="Arial"/>
          <w:color w:val="000000"/>
        </w:rPr>
      </w:pPr>
      <w:proofErr w:type="spellStart"/>
      <w:r w:rsidRPr="00E01754">
        <w:rPr>
          <w:rFonts w:ascii="Arial" w:eastAsia="Times New Roman" w:hAnsi="Arial" w:cs="Arial"/>
          <w:color w:val="000000"/>
        </w:rPr>
        <w:t>Brottlund</w:t>
      </w:r>
      <w:proofErr w:type="spellEnd"/>
      <w:r w:rsidRPr="00E01754">
        <w:rPr>
          <w:rFonts w:ascii="Arial" w:eastAsia="Times New Roman" w:hAnsi="Arial" w:cs="Arial"/>
          <w:color w:val="000000"/>
        </w:rPr>
        <w:t xml:space="preserve">, A. (2021). </w:t>
      </w:r>
      <w:r w:rsidRPr="00E01754">
        <w:rPr>
          <w:rFonts w:ascii="Arial" w:eastAsia="Times New Roman" w:hAnsi="Arial" w:cs="Arial"/>
          <w:i/>
          <w:color w:val="000000"/>
        </w:rPr>
        <w:t>Examining Strategies that Promote Success for Adult Basic Education Students:</w:t>
      </w:r>
      <w:r w:rsidRPr="00E01754">
        <w:rPr>
          <w:rFonts w:ascii="Arial" w:eastAsia="Times New Roman" w:hAnsi="Arial" w:cs="Arial"/>
          <w:color w:val="000000"/>
        </w:rPr>
        <w:t xml:space="preserve"> A Professional Development Seminar for Educators. University Washington Tacoma.</w:t>
      </w:r>
    </w:p>
    <w:p w14:paraId="57821A51" w14:textId="77777777" w:rsidR="00575AB4" w:rsidRPr="00E01754" w:rsidRDefault="00575AB4" w:rsidP="00575AB4">
      <w:pPr>
        <w:spacing w:after="0" w:line="240" w:lineRule="auto"/>
        <w:ind w:left="993" w:hanging="993"/>
        <w:jc w:val="both"/>
        <w:rPr>
          <w:rFonts w:ascii="Arial" w:eastAsia="Times New Roman" w:hAnsi="Arial" w:cs="Arial"/>
          <w:color w:val="000000"/>
        </w:rPr>
      </w:pPr>
      <w:r w:rsidRPr="00E01754">
        <w:rPr>
          <w:rFonts w:ascii="Arial" w:hAnsi="Arial" w:cs="Arial"/>
        </w:rPr>
        <w:t xml:space="preserve">Carnevale, A. P., Smith, N., &amp; Strohl, J. (2020). </w:t>
      </w:r>
      <w:r w:rsidRPr="00E01754">
        <w:rPr>
          <w:rStyle w:val="Emphasis"/>
          <w:rFonts w:ascii="Arial" w:hAnsi="Arial" w:cs="Arial"/>
        </w:rPr>
        <w:t>Adult education and career development: Linking skills to employability</w:t>
      </w:r>
      <w:r w:rsidRPr="00E01754">
        <w:rPr>
          <w:rFonts w:ascii="Arial" w:hAnsi="Arial" w:cs="Arial"/>
        </w:rPr>
        <w:t xml:space="preserve">. Georgetown University </w:t>
      </w:r>
      <w:proofErr w:type="spellStart"/>
      <w:r w:rsidRPr="00E01754">
        <w:rPr>
          <w:rFonts w:ascii="Arial" w:hAnsi="Arial" w:cs="Arial"/>
        </w:rPr>
        <w:t>Center</w:t>
      </w:r>
      <w:proofErr w:type="spellEnd"/>
      <w:r w:rsidRPr="00E01754">
        <w:rPr>
          <w:rFonts w:ascii="Arial" w:hAnsi="Arial" w:cs="Arial"/>
        </w:rPr>
        <w:t xml:space="preserve"> on Education and the Workforce.</w:t>
      </w:r>
    </w:p>
    <w:p w14:paraId="35387316"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Charungkaittikul</w:t>
      </w:r>
      <w:proofErr w:type="spellEnd"/>
      <w:r w:rsidRPr="00E01754">
        <w:rPr>
          <w:rFonts w:ascii="Arial" w:hAnsi="Arial" w:cs="Arial"/>
        </w:rPr>
        <w:t xml:space="preserve">, S., </w:t>
      </w:r>
      <w:proofErr w:type="spellStart"/>
      <w:r w:rsidRPr="00E01754">
        <w:rPr>
          <w:rFonts w:ascii="Arial" w:hAnsi="Arial" w:cs="Arial"/>
        </w:rPr>
        <w:t>Pathumcharoenwattana</w:t>
      </w:r>
      <w:proofErr w:type="spellEnd"/>
      <w:r w:rsidRPr="00E01754">
        <w:rPr>
          <w:rFonts w:ascii="Arial" w:hAnsi="Arial" w:cs="Arial"/>
        </w:rPr>
        <w:t xml:space="preserve">, W., &amp; Kovitya, M. (2022). A study on the required work competencies of graduates in the non-formal education program. </w:t>
      </w:r>
      <w:proofErr w:type="spellStart"/>
      <w:r w:rsidRPr="00E01754">
        <w:rPr>
          <w:rStyle w:val="Emphasis"/>
          <w:rFonts w:ascii="Arial" w:hAnsi="Arial" w:cs="Arial"/>
        </w:rPr>
        <w:t>Kasetsart</w:t>
      </w:r>
      <w:proofErr w:type="spellEnd"/>
      <w:r w:rsidRPr="00E01754">
        <w:rPr>
          <w:rStyle w:val="Emphasis"/>
          <w:rFonts w:ascii="Arial" w:hAnsi="Arial" w:cs="Arial"/>
        </w:rPr>
        <w:t xml:space="preserve"> Journal of Social Sciences</w:t>
      </w:r>
      <w:r w:rsidRPr="00E01754">
        <w:rPr>
          <w:rFonts w:ascii="Arial" w:hAnsi="Arial" w:cs="Arial"/>
        </w:rPr>
        <w:t xml:space="preserve">, </w:t>
      </w:r>
      <w:r w:rsidRPr="00E01754">
        <w:rPr>
          <w:rStyle w:val="Emphasis"/>
          <w:rFonts w:ascii="Arial" w:hAnsi="Arial" w:cs="Arial"/>
        </w:rPr>
        <w:t>43</w:t>
      </w:r>
      <w:r w:rsidRPr="00E01754">
        <w:rPr>
          <w:rFonts w:ascii="Arial" w:hAnsi="Arial" w:cs="Arial"/>
        </w:rPr>
        <w:t>(4), 825–832.</w:t>
      </w:r>
    </w:p>
    <w:p w14:paraId="51A3EEC7"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Clardy, A. (2005). Andragogy: Adult learning and education at its best? </w:t>
      </w:r>
      <w:r w:rsidRPr="00E01754">
        <w:rPr>
          <w:rStyle w:val="Emphasis"/>
          <w:rFonts w:ascii="Arial" w:hAnsi="Arial" w:cs="Arial"/>
        </w:rPr>
        <w:t>Online Submission, 2</w:t>
      </w:r>
      <w:r w:rsidRPr="00E01754">
        <w:rPr>
          <w:rFonts w:ascii="Arial" w:hAnsi="Arial" w:cs="Arial"/>
        </w:rPr>
        <w:t xml:space="preserve">(3), 1–10. </w:t>
      </w:r>
      <w:hyperlink r:id="rId9" w:history="1">
        <w:r w:rsidRPr="00E01754">
          <w:rPr>
            <w:rStyle w:val="Hyperlink"/>
            <w:rFonts w:ascii="Arial" w:hAnsi="Arial" w:cs="Arial"/>
          </w:rPr>
          <w:t>https://files.eric.ed.gov/fulltext/ED492132.pdf</w:t>
        </w:r>
      </w:hyperlink>
    </w:p>
    <w:p w14:paraId="190C35B1"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Corley, M. A. (2011). Adult learning theories. </w:t>
      </w:r>
      <w:r w:rsidRPr="00E01754">
        <w:rPr>
          <w:rStyle w:val="Emphasis"/>
          <w:rFonts w:ascii="Arial" w:hAnsi="Arial" w:cs="Arial"/>
        </w:rPr>
        <w:t>National Institute for Literacy</w:t>
      </w:r>
      <w:r w:rsidRPr="00E01754">
        <w:rPr>
          <w:rFonts w:ascii="Arial" w:hAnsi="Arial" w:cs="Arial"/>
        </w:rPr>
        <w:t xml:space="preserve">. </w:t>
      </w:r>
      <w:hyperlink r:id="rId10" w:history="1">
        <w:r w:rsidRPr="00E01754">
          <w:rPr>
            <w:rStyle w:val="Hyperlink"/>
            <w:rFonts w:ascii="Arial" w:hAnsi="Arial" w:cs="Arial"/>
          </w:rPr>
          <w:t>https://lincs.ed.gov/sites/default/files/11_%20AE_Theory.pdf</w:t>
        </w:r>
      </w:hyperlink>
    </w:p>
    <w:p w14:paraId="04748246"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Daniels, J. (2023). </w:t>
      </w:r>
      <w:r w:rsidRPr="00E01754">
        <w:rPr>
          <w:rStyle w:val="Emphasis"/>
          <w:rFonts w:ascii="Arial" w:hAnsi="Arial" w:cs="Arial"/>
        </w:rPr>
        <w:t>Adult learning in Africa: Challenges and opportunities</w:t>
      </w:r>
      <w:r w:rsidRPr="00E01754">
        <w:rPr>
          <w:rFonts w:ascii="Arial" w:hAnsi="Arial" w:cs="Arial"/>
        </w:rPr>
        <w:t>. African Education Review, 20(2), 88–105.</w:t>
      </w:r>
    </w:p>
    <w:p w14:paraId="04B66909"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Ditlhale</w:t>
      </w:r>
      <w:proofErr w:type="spellEnd"/>
      <w:r w:rsidRPr="00E01754">
        <w:rPr>
          <w:rFonts w:ascii="Arial" w:hAnsi="Arial" w:cs="Arial"/>
        </w:rPr>
        <w:t xml:space="preserve">, D., &amp; van den Berg, G. (2024). </w:t>
      </w:r>
      <w:r w:rsidRPr="00E01754">
        <w:rPr>
          <w:rStyle w:val="Emphasis"/>
          <w:rFonts w:ascii="Arial" w:hAnsi="Arial" w:cs="Arial"/>
        </w:rPr>
        <w:t>Adult Basic Education and Training (ABET) in South Africa: Linking literacy to vocational skills</w:t>
      </w:r>
      <w:r w:rsidRPr="00E01754">
        <w:rPr>
          <w:rFonts w:ascii="Arial" w:hAnsi="Arial" w:cs="Arial"/>
        </w:rPr>
        <w:t>. South African Journal of Adult Education, 44(1), 22–40.</w:t>
      </w:r>
    </w:p>
    <w:p w14:paraId="64E83B2F" w14:textId="77777777" w:rsidR="00575AB4" w:rsidRPr="00E01754" w:rsidRDefault="00575AB4" w:rsidP="00575AB4">
      <w:pPr>
        <w:spacing w:after="0" w:line="240" w:lineRule="auto"/>
        <w:ind w:left="993" w:hanging="993"/>
        <w:jc w:val="both"/>
        <w:rPr>
          <w:rFonts w:ascii="Arial" w:hAnsi="Arial" w:cs="Arial"/>
          <w:color w:val="222222"/>
          <w:shd w:val="clear" w:color="auto" w:fill="FFFFFF"/>
        </w:rPr>
      </w:pPr>
    </w:p>
    <w:p w14:paraId="3C336DC4"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European Association for the Education of Adults. (2019). </w:t>
      </w:r>
      <w:r w:rsidRPr="00E01754">
        <w:rPr>
          <w:rStyle w:val="Emphasis"/>
          <w:rFonts w:ascii="Arial" w:hAnsi="Arial" w:cs="Arial"/>
        </w:rPr>
        <w:t>Manifesto for adult learning in the 21st century: The power and joy of learning</w:t>
      </w:r>
      <w:r w:rsidRPr="00E01754">
        <w:rPr>
          <w:rFonts w:ascii="Arial" w:hAnsi="Arial" w:cs="Arial"/>
        </w:rPr>
        <w:t>. Brussels, Belgium: EAEA.</w:t>
      </w:r>
    </w:p>
    <w:p w14:paraId="1C06BD11" w14:textId="77777777" w:rsidR="00575AB4" w:rsidRPr="00E01754" w:rsidRDefault="00575AB4" w:rsidP="00575AB4">
      <w:pPr>
        <w:spacing w:after="0" w:line="240" w:lineRule="auto"/>
        <w:ind w:left="720" w:hanging="720"/>
        <w:jc w:val="both"/>
        <w:rPr>
          <w:rFonts w:ascii="Arial" w:eastAsia="Times New Roman" w:hAnsi="Arial" w:cs="Arial"/>
          <w:kern w:val="0"/>
          <w14:ligatures w14:val="none"/>
        </w:rPr>
      </w:pPr>
      <w:r w:rsidRPr="00E01754">
        <w:rPr>
          <w:rFonts w:ascii="Arial" w:eastAsia="Times New Roman" w:hAnsi="Arial" w:cs="Arial"/>
          <w:kern w:val="0"/>
          <w14:ligatures w14:val="none"/>
        </w:rPr>
        <w:t xml:space="preserve">European Commission. (2023). </w:t>
      </w:r>
      <w:r w:rsidRPr="00E01754">
        <w:rPr>
          <w:rFonts w:ascii="Arial" w:eastAsia="Times New Roman" w:hAnsi="Arial" w:cs="Arial"/>
          <w:i/>
          <w:iCs/>
          <w:kern w:val="0"/>
          <w14:ligatures w14:val="none"/>
        </w:rPr>
        <w:t>Adult education strategies in the United Kingdom: Competency-based curricula and workforce integration</w:t>
      </w:r>
      <w:r w:rsidRPr="00E01754">
        <w:rPr>
          <w:rFonts w:ascii="Arial" w:eastAsia="Times New Roman" w:hAnsi="Arial" w:cs="Arial"/>
          <w:kern w:val="0"/>
          <w14:ligatures w14:val="none"/>
        </w:rPr>
        <w:t>. European Commission. https://ec.europa.eu/education</w:t>
      </w:r>
    </w:p>
    <w:p w14:paraId="498FE5E1"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Francis, I. (2023). </w:t>
      </w:r>
      <w:r w:rsidRPr="00E01754">
        <w:rPr>
          <w:rFonts w:ascii="Arial" w:hAnsi="Arial" w:cs="Arial"/>
          <w:i/>
        </w:rPr>
        <w:t>The provision of open schooling for secondary school education in Tanzania: a case of Morogoro Municipality</w:t>
      </w:r>
      <w:r w:rsidRPr="00E01754">
        <w:rPr>
          <w:rFonts w:ascii="Arial" w:hAnsi="Arial" w:cs="Arial"/>
        </w:rPr>
        <w:t xml:space="preserve"> </w:t>
      </w:r>
      <w:proofErr w:type="gramStart"/>
      <w:r w:rsidRPr="00E01754">
        <w:rPr>
          <w:rFonts w:ascii="Arial" w:hAnsi="Arial" w:cs="Arial"/>
        </w:rPr>
        <w:t>The</w:t>
      </w:r>
      <w:proofErr w:type="gramEnd"/>
      <w:r w:rsidRPr="00E01754">
        <w:rPr>
          <w:rFonts w:ascii="Arial" w:hAnsi="Arial" w:cs="Arial"/>
        </w:rPr>
        <w:t xml:space="preserve"> Open University of Tanzania]. </w:t>
      </w:r>
    </w:p>
    <w:p w14:paraId="3072C520"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Flam, J., [Co-author], &amp; UNESCO. (2024). </w:t>
      </w:r>
      <w:r w:rsidRPr="00E01754">
        <w:rPr>
          <w:rStyle w:val="Emphasis"/>
          <w:rFonts w:ascii="Arial" w:hAnsi="Arial" w:cs="Arial"/>
        </w:rPr>
        <w:t>Digital learning challenges in East Africa: Access and inclusion</w:t>
      </w:r>
      <w:r w:rsidRPr="00E01754">
        <w:rPr>
          <w:rFonts w:ascii="Arial" w:hAnsi="Arial" w:cs="Arial"/>
        </w:rPr>
        <w:t>. UNESCO Institute for Lifelong Learning.</w:t>
      </w:r>
    </w:p>
    <w:p w14:paraId="3E01350A"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Gakuru, J. (2022). </w:t>
      </w:r>
      <w:r w:rsidRPr="00E01754">
        <w:rPr>
          <w:rStyle w:val="Emphasis"/>
          <w:rFonts w:ascii="Arial" w:hAnsi="Arial" w:cs="Arial"/>
        </w:rPr>
        <w:t>Mobile learning for adult learners in Kenya: Opportunities and challenges</w:t>
      </w:r>
      <w:r w:rsidRPr="00E01754">
        <w:rPr>
          <w:rFonts w:ascii="Arial" w:hAnsi="Arial" w:cs="Arial"/>
        </w:rPr>
        <w:t>. Journal of Distance Learning, 17(2), 45–60.</w:t>
      </w:r>
    </w:p>
    <w:p w14:paraId="4F5CA75C"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Hall, J., &amp; </w:t>
      </w:r>
      <w:proofErr w:type="spellStart"/>
      <w:r w:rsidRPr="00E01754">
        <w:rPr>
          <w:rFonts w:ascii="Arial" w:hAnsi="Arial" w:cs="Arial"/>
        </w:rPr>
        <w:t>Mrvcic</w:t>
      </w:r>
      <w:proofErr w:type="spellEnd"/>
      <w:r w:rsidRPr="00E01754">
        <w:rPr>
          <w:rFonts w:ascii="Arial" w:hAnsi="Arial" w:cs="Arial"/>
        </w:rPr>
        <w:t xml:space="preserve">, M. (2022). </w:t>
      </w:r>
      <w:r w:rsidRPr="00E01754">
        <w:rPr>
          <w:rStyle w:val="Emphasis"/>
          <w:rFonts w:ascii="Arial" w:hAnsi="Arial" w:cs="Arial"/>
        </w:rPr>
        <w:t>Adult learning and career development in the UK: Policies and programmes</w:t>
      </w:r>
      <w:r w:rsidRPr="00E01754">
        <w:rPr>
          <w:rFonts w:ascii="Arial" w:hAnsi="Arial" w:cs="Arial"/>
        </w:rPr>
        <w:t>. British Journal of Adult Education, 50(2), 33–51.</w:t>
      </w:r>
    </w:p>
    <w:p w14:paraId="308D4F63"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Heiskala</w:t>
      </w:r>
      <w:proofErr w:type="spellEnd"/>
      <w:r w:rsidRPr="00E01754">
        <w:rPr>
          <w:rFonts w:ascii="Arial" w:hAnsi="Arial" w:cs="Arial"/>
        </w:rPr>
        <w:t xml:space="preserve">, L., Erola, J., &amp; McMullin, P. (2021). Formal differentiation at upper secondary education in Finland: Subject-level choices and stratified pathways to socio-economic status and unemployment. </w:t>
      </w:r>
      <w:r w:rsidRPr="00E01754">
        <w:rPr>
          <w:rStyle w:val="Emphasis"/>
          <w:rFonts w:ascii="Arial" w:hAnsi="Arial" w:cs="Arial"/>
        </w:rPr>
        <w:t>Longitudinal and Life Course Studies</w:t>
      </w:r>
      <w:r w:rsidRPr="00E01754">
        <w:rPr>
          <w:rFonts w:ascii="Arial" w:hAnsi="Arial" w:cs="Arial"/>
        </w:rPr>
        <w:t xml:space="preserve">, </w:t>
      </w:r>
      <w:r w:rsidRPr="00E01754">
        <w:rPr>
          <w:rStyle w:val="Emphasis"/>
          <w:rFonts w:ascii="Arial" w:hAnsi="Arial" w:cs="Arial"/>
        </w:rPr>
        <w:t>12</w:t>
      </w:r>
      <w:r w:rsidRPr="00E01754">
        <w:rPr>
          <w:rFonts w:ascii="Arial" w:hAnsi="Arial" w:cs="Arial"/>
        </w:rPr>
        <w:t>(3), 323–343.</w:t>
      </w:r>
    </w:p>
    <w:p w14:paraId="382B5013" w14:textId="14901E93"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Institute of Adult Education. (2020). </w:t>
      </w:r>
      <w:r w:rsidR="00344C0A" w:rsidRPr="00E01754">
        <w:rPr>
          <w:rStyle w:val="Emphasis"/>
          <w:rFonts w:ascii="Arial" w:hAnsi="Arial" w:cs="Arial"/>
          <w:i w:val="0"/>
          <w:iCs w:val="0"/>
        </w:rPr>
        <w:t xml:space="preserve">The document provides guidelines for the establishment and management of non-formal secondary education </w:t>
      </w:r>
      <w:proofErr w:type="spellStart"/>
      <w:r w:rsidR="00344C0A" w:rsidRPr="00E01754">
        <w:rPr>
          <w:rStyle w:val="Emphasis"/>
          <w:rFonts w:ascii="Arial" w:hAnsi="Arial" w:cs="Arial"/>
          <w:i w:val="0"/>
          <w:iCs w:val="0"/>
        </w:rPr>
        <w:t>centers</w:t>
      </w:r>
      <w:proofErr w:type="spellEnd"/>
      <w:r w:rsidR="00344C0A" w:rsidRPr="00E01754">
        <w:rPr>
          <w:rStyle w:val="Emphasis"/>
          <w:rFonts w:ascii="Arial" w:hAnsi="Arial" w:cs="Arial"/>
          <w:i w:val="0"/>
          <w:iCs w:val="0"/>
        </w:rPr>
        <w:t xml:space="preserve"> in Tanzania.</w:t>
      </w:r>
      <w:r w:rsidRPr="00E01754">
        <w:rPr>
          <w:rFonts w:ascii="Arial" w:hAnsi="Arial" w:cs="Arial"/>
        </w:rPr>
        <w:t xml:space="preserve"> Dar es Salaam: IAE.</w:t>
      </w:r>
    </w:p>
    <w:p w14:paraId="70ABAAD6"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proofErr w:type="spellStart"/>
      <w:r w:rsidRPr="00E01754">
        <w:rPr>
          <w:rFonts w:ascii="Arial" w:eastAsia="Times New Roman" w:hAnsi="Arial" w:cs="Arial"/>
          <w:kern w:val="0"/>
          <w14:ligatures w14:val="none"/>
        </w:rPr>
        <w:t>Kanukisya</w:t>
      </w:r>
      <w:proofErr w:type="spellEnd"/>
      <w:r w:rsidRPr="00E01754">
        <w:rPr>
          <w:rFonts w:ascii="Arial" w:eastAsia="Times New Roman" w:hAnsi="Arial" w:cs="Arial"/>
          <w:kern w:val="0"/>
          <w14:ligatures w14:val="none"/>
        </w:rPr>
        <w:t xml:space="preserve">, M. (2018). </w:t>
      </w:r>
      <w:r w:rsidRPr="00E01754">
        <w:rPr>
          <w:rFonts w:ascii="Arial" w:eastAsia="Times New Roman" w:hAnsi="Arial" w:cs="Arial"/>
          <w:i/>
          <w:iCs/>
          <w:kern w:val="0"/>
          <w14:ligatures w14:val="none"/>
        </w:rPr>
        <w:t>Adult learners’ motivations for participating in non-formal secondary education in Tanzania</w:t>
      </w:r>
      <w:r w:rsidRPr="00E01754">
        <w:rPr>
          <w:rFonts w:ascii="Arial" w:eastAsia="Times New Roman" w:hAnsi="Arial" w:cs="Arial"/>
          <w:kern w:val="0"/>
          <w14:ligatures w14:val="none"/>
        </w:rPr>
        <w:t>. Journal of Education and Practice, 9(14), 45–54.</w:t>
      </w:r>
    </w:p>
    <w:p w14:paraId="04C5CDF4"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r w:rsidRPr="00E01754">
        <w:rPr>
          <w:rFonts w:ascii="Arial" w:hAnsi="Arial" w:cs="Arial"/>
        </w:rPr>
        <w:t xml:space="preserve">Katete, A. (2023). </w:t>
      </w:r>
      <w:r w:rsidRPr="00E01754">
        <w:rPr>
          <w:rStyle w:val="Emphasis"/>
          <w:rFonts w:ascii="Arial" w:hAnsi="Arial" w:cs="Arial"/>
        </w:rPr>
        <w:t>Barriers to adult education in Africa: Cultural, linguistic, and social perspectives</w:t>
      </w:r>
      <w:r w:rsidRPr="00E01754">
        <w:rPr>
          <w:rFonts w:ascii="Arial" w:hAnsi="Arial" w:cs="Arial"/>
        </w:rPr>
        <w:t>. African Journal of Lifelong Learning, 12(3), 100–118.</w:t>
      </w:r>
    </w:p>
    <w:p w14:paraId="337AC702" w14:textId="77777777" w:rsidR="00575AB4" w:rsidRPr="00E01754" w:rsidRDefault="00575AB4" w:rsidP="00575AB4">
      <w:pPr>
        <w:spacing w:after="0" w:line="240" w:lineRule="auto"/>
        <w:ind w:left="993" w:hanging="993"/>
        <w:jc w:val="both"/>
        <w:rPr>
          <w:rFonts w:ascii="Arial" w:hAnsi="Arial" w:cs="Arial"/>
        </w:rPr>
      </w:pPr>
    </w:p>
    <w:p w14:paraId="08316881"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lastRenderedPageBreak/>
        <w:t>Keshwani, A. (2025). International Business Strategy in Adult Education: A Focus on Vocational Training Programs for Emerging Markets.</w:t>
      </w:r>
    </w:p>
    <w:p w14:paraId="6A82C8FE"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Kimaro, E. M., Machumu, H., </w:t>
      </w:r>
      <w:proofErr w:type="spellStart"/>
      <w:r w:rsidRPr="00E01754">
        <w:rPr>
          <w:rFonts w:ascii="Arial" w:hAnsi="Arial" w:cs="Arial"/>
        </w:rPr>
        <w:t>Kalimasi</w:t>
      </w:r>
      <w:proofErr w:type="spellEnd"/>
      <w:r w:rsidRPr="00E01754">
        <w:rPr>
          <w:rFonts w:ascii="Arial" w:hAnsi="Arial" w:cs="Arial"/>
        </w:rPr>
        <w:t xml:space="preserve">, P. J., &amp; Heikkinen, A. (2022). </w:t>
      </w:r>
      <w:r w:rsidRPr="00E01754">
        <w:rPr>
          <w:rFonts w:ascii="Arial" w:hAnsi="Arial" w:cs="Arial"/>
          <w:i/>
          <w:iCs/>
        </w:rPr>
        <w:t>Challenges of adult education provision towards social sustainability of the institute of adult education in Morogoro campus.</w:t>
      </w:r>
      <w:r w:rsidRPr="00E01754">
        <w:rPr>
          <w:rFonts w:ascii="Arial" w:hAnsi="Arial" w:cs="Arial"/>
        </w:rPr>
        <w:t xml:space="preserve"> Morogoro: Institute of adult education.</w:t>
      </w:r>
    </w:p>
    <w:p w14:paraId="3665B7F4"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Mandavkar</w:t>
      </w:r>
      <w:proofErr w:type="spellEnd"/>
      <w:r w:rsidRPr="00E01754">
        <w:rPr>
          <w:rFonts w:ascii="Arial" w:hAnsi="Arial" w:cs="Arial"/>
        </w:rPr>
        <w:t>, P. (2024). Education System in Finland.</w:t>
      </w:r>
    </w:p>
    <w:p w14:paraId="774ED2E5"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Malloch, M., Cairns, L., Evans, K., &amp; </w:t>
      </w:r>
      <w:proofErr w:type="spellStart"/>
      <w:r w:rsidRPr="00E01754">
        <w:rPr>
          <w:rFonts w:ascii="Arial" w:hAnsi="Arial" w:cs="Arial"/>
        </w:rPr>
        <w:t>NO'Connor</w:t>
      </w:r>
      <w:proofErr w:type="spellEnd"/>
      <w:r w:rsidRPr="00E01754">
        <w:rPr>
          <w:rFonts w:ascii="Arial" w:hAnsi="Arial" w:cs="Arial"/>
        </w:rPr>
        <w:t>, B. (2022). Vocational Education and Training in Australia: A Shifting Landscape. In The SAGE Handbook of Learning and Work (pp. 620-638). SAGE Publications Ltd.</w:t>
      </w:r>
    </w:p>
    <w:p w14:paraId="25FD916E" w14:textId="77777777" w:rsidR="00575AB4" w:rsidRPr="00E01754" w:rsidRDefault="00575AB4" w:rsidP="00575AB4">
      <w:pPr>
        <w:spacing w:after="0" w:line="240" w:lineRule="auto"/>
        <w:rPr>
          <w:rFonts w:ascii="Arial" w:hAnsi="Arial" w:cs="Arial"/>
        </w:rPr>
      </w:pPr>
    </w:p>
    <w:p w14:paraId="0BC0F4B8"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Mollel</w:t>
      </w:r>
      <w:proofErr w:type="spellEnd"/>
      <w:r w:rsidRPr="00E01754">
        <w:rPr>
          <w:rFonts w:ascii="Arial" w:hAnsi="Arial" w:cs="Arial"/>
        </w:rPr>
        <w:t xml:space="preserve">, N. L., &amp; Onyango, D. O. (2021). The role of adult education graduates in improving secondary school education: A case of </w:t>
      </w:r>
      <w:proofErr w:type="spellStart"/>
      <w:r w:rsidRPr="00E01754">
        <w:rPr>
          <w:rFonts w:ascii="Arial" w:hAnsi="Arial" w:cs="Arial"/>
        </w:rPr>
        <w:t>Nyamagana</w:t>
      </w:r>
      <w:proofErr w:type="spellEnd"/>
      <w:r w:rsidRPr="00E01754">
        <w:rPr>
          <w:rFonts w:ascii="Arial" w:hAnsi="Arial" w:cs="Arial"/>
        </w:rPr>
        <w:t xml:space="preserve"> District, Tanzania. </w:t>
      </w:r>
      <w:r w:rsidRPr="00E01754">
        <w:rPr>
          <w:rStyle w:val="Emphasis"/>
          <w:rFonts w:ascii="Arial" w:hAnsi="Arial" w:cs="Arial"/>
        </w:rPr>
        <w:t>East African Journal of Education and Social Sciences, 2</w:t>
      </w:r>
      <w:r w:rsidRPr="00E01754">
        <w:rPr>
          <w:rFonts w:ascii="Arial" w:hAnsi="Arial" w:cs="Arial"/>
        </w:rPr>
        <w:t xml:space="preserve">(2), 65–71. </w:t>
      </w:r>
      <w:hyperlink r:id="rId11" w:history="1">
        <w:r w:rsidRPr="00E01754">
          <w:rPr>
            <w:rStyle w:val="Hyperlink"/>
            <w:rFonts w:ascii="Arial" w:hAnsi="Arial" w:cs="Arial"/>
          </w:rPr>
          <w:t>https://doi.org/10.46606/eajess2021v02i02.0076</w:t>
        </w:r>
      </w:hyperlink>
    </w:p>
    <w:p w14:paraId="0478DC76" w14:textId="77777777" w:rsidR="00575AB4" w:rsidRPr="00E01754" w:rsidRDefault="00575AB4" w:rsidP="00575AB4">
      <w:pPr>
        <w:spacing w:after="0" w:line="240" w:lineRule="auto"/>
        <w:ind w:left="993" w:hanging="993"/>
        <w:jc w:val="both"/>
        <w:rPr>
          <w:rFonts w:ascii="Arial" w:eastAsia="Times New Roman" w:hAnsi="Arial" w:cs="Arial"/>
          <w:color w:val="000000"/>
        </w:rPr>
      </w:pPr>
      <w:proofErr w:type="spellStart"/>
      <w:r w:rsidRPr="00E01754">
        <w:rPr>
          <w:rFonts w:ascii="Arial" w:eastAsia="Times New Roman" w:hAnsi="Arial" w:cs="Arial"/>
          <w:color w:val="000000"/>
        </w:rPr>
        <w:t>Mollel</w:t>
      </w:r>
      <w:proofErr w:type="spellEnd"/>
      <w:r w:rsidRPr="00E01754">
        <w:rPr>
          <w:rFonts w:ascii="Arial" w:eastAsia="Times New Roman" w:hAnsi="Arial" w:cs="Arial"/>
          <w:color w:val="000000"/>
        </w:rPr>
        <w:t>, E. F., Momanyi, M., &amp;</w:t>
      </w:r>
      <w:proofErr w:type="spellStart"/>
      <w:r w:rsidRPr="00E01754">
        <w:rPr>
          <w:rFonts w:ascii="Arial" w:eastAsia="Times New Roman" w:hAnsi="Arial" w:cs="Arial"/>
          <w:color w:val="000000"/>
        </w:rPr>
        <w:t>Ateka</w:t>
      </w:r>
      <w:proofErr w:type="spellEnd"/>
      <w:r w:rsidRPr="00E01754">
        <w:rPr>
          <w:rFonts w:ascii="Arial" w:eastAsia="Times New Roman" w:hAnsi="Arial" w:cs="Arial"/>
          <w:color w:val="000000"/>
        </w:rPr>
        <w:t>, F. (2019). Effectiveness of Adult Education Programme in Promoting Development among the Maasai Community in Arusha District Council, Tanzania. </w:t>
      </w:r>
      <w:r w:rsidRPr="00E01754">
        <w:rPr>
          <w:rFonts w:ascii="Arial" w:eastAsia="Times New Roman" w:hAnsi="Arial" w:cs="Arial"/>
          <w:i/>
          <w:color w:val="000000"/>
        </w:rPr>
        <w:t>Journal of African Interdisciplinary Studies</w:t>
      </w:r>
      <w:r w:rsidRPr="00E01754">
        <w:rPr>
          <w:rFonts w:ascii="Arial" w:eastAsia="Times New Roman" w:hAnsi="Arial" w:cs="Arial"/>
          <w:color w:val="000000"/>
        </w:rPr>
        <w:t>, </w:t>
      </w:r>
      <w:r w:rsidRPr="00E01754">
        <w:rPr>
          <w:rFonts w:ascii="Arial" w:eastAsia="Times New Roman" w:hAnsi="Arial" w:cs="Arial"/>
          <w:i/>
          <w:color w:val="000000"/>
        </w:rPr>
        <w:t>3</w:t>
      </w:r>
      <w:r w:rsidRPr="00E01754">
        <w:rPr>
          <w:rFonts w:ascii="Arial" w:eastAsia="Times New Roman" w:hAnsi="Arial" w:cs="Arial"/>
          <w:color w:val="000000"/>
        </w:rPr>
        <w:t>(8), 211-229.</w:t>
      </w:r>
    </w:p>
    <w:p w14:paraId="2BAE5563" w14:textId="77777777" w:rsidR="00575AB4" w:rsidRPr="00E01754" w:rsidRDefault="00575AB4" w:rsidP="00575AB4">
      <w:pPr>
        <w:spacing w:after="0" w:line="240" w:lineRule="auto"/>
        <w:ind w:left="993" w:hanging="993"/>
        <w:jc w:val="both"/>
        <w:rPr>
          <w:rFonts w:ascii="Arial" w:eastAsia="Times New Roman" w:hAnsi="Arial" w:cs="Arial"/>
          <w:color w:val="000000"/>
        </w:rPr>
      </w:pPr>
      <w:r w:rsidRPr="00E01754">
        <w:rPr>
          <w:rFonts w:ascii="Arial" w:hAnsi="Arial" w:cs="Arial"/>
        </w:rPr>
        <w:t xml:space="preserve">Mushi, P. A. (2022). Public financing of adult and non-formal education in Tanzania: Issues and challenges. In </w:t>
      </w:r>
      <w:r w:rsidRPr="00E01754">
        <w:rPr>
          <w:rStyle w:val="Emphasis"/>
          <w:rFonts w:ascii="Arial" w:hAnsi="Arial" w:cs="Arial"/>
        </w:rPr>
        <w:t>Reigniting hope</w:t>
      </w:r>
      <w:r w:rsidRPr="00E01754">
        <w:rPr>
          <w:rFonts w:ascii="Arial" w:hAnsi="Arial" w:cs="Arial"/>
        </w:rPr>
        <w:t xml:space="preserve"> (pp. 61–83).</w:t>
      </w:r>
    </w:p>
    <w:p w14:paraId="5A0E8B7C"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Mustapha, Y. (2024). The role of adult education in enhancing career prospects in Tanzania. </w:t>
      </w:r>
      <w:r w:rsidRPr="00E01754">
        <w:rPr>
          <w:rStyle w:val="Emphasis"/>
          <w:rFonts w:ascii="Arial" w:hAnsi="Arial" w:cs="Arial"/>
        </w:rPr>
        <w:t>Tanzania Journal of Adult Education, 3</w:t>
      </w:r>
      <w:r w:rsidRPr="00E01754">
        <w:rPr>
          <w:rFonts w:ascii="Arial" w:hAnsi="Arial" w:cs="Arial"/>
        </w:rPr>
        <w:t>(2), 85–102.</w:t>
      </w:r>
    </w:p>
    <w:p w14:paraId="7B09E9B0"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proofErr w:type="spellStart"/>
      <w:r w:rsidRPr="00E01754">
        <w:rPr>
          <w:rFonts w:ascii="Arial" w:eastAsia="Times New Roman" w:hAnsi="Arial" w:cs="Arial"/>
          <w:kern w:val="0"/>
          <w14:ligatures w14:val="none"/>
        </w:rPr>
        <w:t>Mwaibingila</w:t>
      </w:r>
      <w:proofErr w:type="spellEnd"/>
      <w:r w:rsidRPr="00E01754">
        <w:rPr>
          <w:rFonts w:ascii="Arial" w:eastAsia="Times New Roman" w:hAnsi="Arial" w:cs="Arial"/>
          <w:kern w:val="0"/>
          <w14:ligatures w14:val="none"/>
        </w:rPr>
        <w:t xml:space="preserve">, G., </w:t>
      </w:r>
      <w:proofErr w:type="spellStart"/>
      <w:r w:rsidRPr="00E01754">
        <w:rPr>
          <w:rFonts w:ascii="Arial" w:eastAsia="Times New Roman" w:hAnsi="Arial" w:cs="Arial"/>
          <w:kern w:val="0"/>
          <w14:ligatures w14:val="none"/>
        </w:rPr>
        <w:t>Malingumu</w:t>
      </w:r>
      <w:proofErr w:type="spellEnd"/>
      <w:r w:rsidRPr="00E01754">
        <w:rPr>
          <w:rFonts w:ascii="Arial" w:eastAsia="Times New Roman" w:hAnsi="Arial" w:cs="Arial"/>
          <w:kern w:val="0"/>
          <w14:ligatures w14:val="none"/>
        </w:rPr>
        <w:t xml:space="preserve">, W., &amp; Mrema, K. (2025). Assessing the challenges faced by adult learners’ academic performance in basic education in Tanzania. </w:t>
      </w:r>
      <w:r w:rsidRPr="00E01754">
        <w:rPr>
          <w:rFonts w:ascii="Arial" w:eastAsia="Times New Roman" w:hAnsi="Arial" w:cs="Arial"/>
          <w:i/>
          <w:iCs/>
          <w:kern w:val="0"/>
          <w14:ligatures w14:val="none"/>
        </w:rPr>
        <w:t>Asian Journal of Education and Social Studies, 51</w:t>
      </w:r>
      <w:r w:rsidRPr="00E01754">
        <w:rPr>
          <w:rFonts w:ascii="Arial" w:eastAsia="Times New Roman" w:hAnsi="Arial" w:cs="Arial"/>
          <w:kern w:val="0"/>
          <w14:ligatures w14:val="none"/>
        </w:rPr>
        <w:t>(2), 229–243.</w:t>
      </w:r>
    </w:p>
    <w:p w14:paraId="4656F661" w14:textId="77777777" w:rsidR="00575AB4" w:rsidRPr="00E01754" w:rsidRDefault="00575AB4" w:rsidP="00575AB4">
      <w:pPr>
        <w:spacing w:after="0" w:line="240" w:lineRule="auto"/>
        <w:ind w:left="720" w:hanging="720"/>
        <w:jc w:val="both"/>
        <w:rPr>
          <w:rFonts w:ascii="Arial" w:hAnsi="Arial" w:cs="Arial"/>
        </w:rPr>
      </w:pPr>
      <w:proofErr w:type="spellStart"/>
      <w:r w:rsidRPr="00E01754">
        <w:rPr>
          <w:rFonts w:ascii="Arial" w:hAnsi="Arial" w:cs="Arial"/>
        </w:rPr>
        <w:t>Mwakyambiki</w:t>
      </w:r>
      <w:proofErr w:type="spellEnd"/>
      <w:r w:rsidRPr="00E01754">
        <w:rPr>
          <w:rFonts w:ascii="Arial" w:hAnsi="Arial" w:cs="Arial"/>
        </w:rPr>
        <w:t xml:space="preserve">, S. E. (2023). Community Perceptions and Engagements with Adult Education: A Case Study of </w:t>
      </w:r>
      <w:proofErr w:type="spellStart"/>
      <w:r w:rsidRPr="00E01754">
        <w:rPr>
          <w:rFonts w:ascii="Arial" w:hAnsi="Arial" w:cs="Arial"/>
        </w:rPr>
        <w:t>Kigamboni</w:t>
      </w:r>
      <w:proofErr w:type="spellEnd"/>
      <w:r w:rsidRPr="00E01754">
        <w:rPr>
          <w:rFonts w:ascii="Arial" w:hAnsi="Arial" w:cs="Arial"/>
        </w:rPr>
        <w:t xml:space="preserve"> and Temeke Municipalities in Dar es Salaam. </w:t>
      </w:r>
      <w:r w:rsidRPr="00E01754">
        <w:rPr>
          <w:rFonts w:ascii="Arial" w:hAnsi="Arial" w:cs="Arial"/>
          <w:i/>
        </w:rPr>
        <w:t>Journal of Adult Education in Tanzania</w:t>
      </w:r>
      <w:r w:rsidRPr="00E01754">
        <w:rPr>
          <w:rFonts w:ascii="Arial" w:hAnsi="Arial" w:cs="Arial"/>
        </w:rPr>
        <w:t>,</w:t>
      </w:r>
      <w:r w:rsidRPr="00E01754">
        <w:rPr>
          <w:rFonts w:ascii="Arial" w:hAnsi="Arial" w:cs="Arial"/>
          <w:i/>
        </w:rPr>
        <w:t xml:space="preserve"> 25</w:t>
      </w:r>
      <w:r w:rsidRPr="00E01754">
        <w:rPr>
          <w:rFonts w:ascii="Arial" w:hAnsi="Arial" w:cs="Arial"/>
        </w:rPr>
        <w:t xml:space="preserve">(1). </w:t>
      </w:r>
    </w:p>
    <w:p w14:paraId="1136C161" w14:textId="77777777" w:rsidR="00575AB4" w:rsidRPr="00E01754" w:rsidRDefault="00575AB4" w:rsidP="00575AB4">
      <w:pPr>
        <w:spacing w:after="0" w:line="240" w:lineRule="auto"/>
        <w:ind w:left="720" w:hanging="720"/>
        <w:jc w:val="both"/>
        <w:rPr>
          <w:rFonts w:ascii="Arial" w:hAnsi="Arial" w:cs="Arial"/>
        </w:rPr>
      </w:pPr>
      <w:proofErr w:type="spellStart"/>
      <w:r w:rsidRPr="00E01754">
        <w:rPr>
          <w:rFonts w:ascii="Arial" w:hAnsi="Arial" w:cs="Arial"/>
        </w:rPr>
        <w:t>Msoroka</w:t>
      </w:r>
      <w:proofErr w:type="spellEnd"/>
      <w:r w:rsidRPr="00E01754">
        <w:rPr>
          <w:rFonts w:ascii="Arial" w:hAnsi="Arial" w:cs="Arial"/>
        </w:rPr>
        <w:t xml:space="preserve">, H. (2015). </w:t>
      </w:r>
      <w:r w:rsidRPr="00E01754">
        <w:rPr>
          <w:rStyle w:val="Emphasis"/>
          <w:rFonts w:ascii="Arial" w:hAnsi="Arial" w:cs="Arial"/>
        </w:rPr>
        <w:t>Challenges in adult education in Africa</w:t>
      </w:r>
      <w:r w:rsidRPr="00E01754">
        <w:rPr>
          <w:rFonts w:ascii="Arial" w:hAnsi="Arial" w:cs="Arial"/>
        </w:rPr>
        <w:t>. African Journal of Education Research, 6(1), 12–28.</w:t>
      </w:r>
    </w:p>
    <w:p w14:paraId="7CA56D6B" w14:textId="77777777" w:rsidR="00575AB4" w:rsidRPr="00E01754" w:rsidRDefault="00575AB4" w:rsidP="00575AB4">
      <w:pPr>
        <w:spacing w:after="0" w:line="240" w:lineRule="auto"/>
        <w:ind w:left="720" w:hanging="720"/>
        <w:jc w:val="both"/>
        <w:rPr>
          <w:rFonts w:ascii="Arial" w:hAnsi="Arial" w:cs="Arial"/>
        </w:rPr>
      </w:pPr>
      <w:proofErr w:type="spellStart"/>
      <w:r w:rsidRPr="00E01754">
        <w:rPr>
          <w:rFonts w:ascii="Arial" w:hAnsi="Arial" w:cs="Arial"/>
        </w:rPr>
        <w:t>Mugerwa-Sekawabe</w:t>
      </w:r>
      <w:proofErr w:type="spellEnd"/>
      <w:r w:rsidRPr="00E01754">
        <w:rPr>
          <w:rFonts w:ascii="Arial" w:hAnsi="Arial" w:cs="Arial"/>
        </w:rPr>
        <w:t xml:space="preserve">, R. (2022). </w:t>
      </w:r>
      <w:r w:rsidRPr="00E01754">
        <w:rPr>
          <w:rStyle w:val="Emphasis"/>
          <w:rFonts w:ascii="Arial" w:hAnsi="Arial" w:cs="Arial"/>
        </w:rPr>
        <w:t>Adult refugee education in Uganda: Challenges and strategies</w:t>
      </w:r>
      <w:r w:rsidRPr="00E01754">
        <w:rPr>
          <w:rFonts w:ascii="Arial" w:hAnsi="Arial" w:cs="Arial"/>
        </w:rPr>
        <w:t>. Journal of Adult Education and Lifelong Learning, 8(1), 45–62.</w:t>
      </w:r>
    </w:p>
    <w:p w14:paraId="71639123"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Mwololo, P. (2020). </w:t>
      </w:r>
      <w:r w:rsidRPr="00E01754">
        <w:rPr>
          <w:rStyle w:val="Emphasis"/>
          <w:rFonts w:ascii="Arial" w:hAnsi="Arial" w:cs="Arial"/>
        </w:rPr>
        <w:t>Mobile learning and adult education in Kenya</w:t>
      </w:r>
      <w:r w:rsidRPr="00E01754">
        <w:rPr>
          <w:rFonts w:ascii="Arial" w:hAnsi="Arial" w:cs="Arial"/>
        </w:rPr>
        <w:t>. Journal of Distance Learning, 15(4), 101–115.</w:t>
      </w:r>
    </w:p>
    <w:p w14:paraId="13C3E1E1"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National Coalition for Literacy. (2022). </w:t>
      </w:r>
      <w:r w:rsidRPr="00E01754">
        <w:rPr>
          <w:rStyle w:val="Emphasis"/>
          <w:rFonts w:ascii="Arial" w:hAnsi="Arial" w:cs="Arial"/>
        </w:rPr>
        <w:t>Barriers to adult education in rural areas</w:t>
      </w:r>
      <w:r w:rsidRPr="00E01754">
        <w:rPr>
          <w:rFonts w:ascii="Arial" w:hAnsi="Arial" w:cs="Arial"/>
        </w:rPr>
        <w:t xml:space="preserve">. </w:t>
      </w:r>
      <w:hyperlink r:id="rId12" w:history="1">
        <w:r w:rsidRPr="00E01754">
          <w:rPr>
            <w:rStyle w:val="Hyperlink"/>
            <w:rFonts w:ascii="Arial" w:hAnsi="Arial" w:cs="Arial"/>
          </w:rPr>
          <w:t>https://www.ncl.org</w:t>
        </w:r>
      </w:hyperlink>
    </w:p>
    <w:p w14:paraId="5CBD3972" w14:textId="77777777" w:rsidR="00575AB4" w:rsidRPr="00E01754" w:rsidRDefault="00575AB4" w:rsidP="00575AB4">
      <w:pPr>
        <w:spacing w:after="0" w:line="240" w:lineRule="auto"/>
        <w:ind w:left="720" w:hanging="720"/>
        <w:jc w:val="both"/>
        <w:rPr>
          <w:rFonts w:ascii="Arial" w:hAnsi="Arial" w:cs="Arial"/>
        </w:rPr>
      </w:pPr>
      <w:proofErr w:type="spellStart"/>
      <w:r w:rsidRPr="00E01754">
        <w:rPr>
          <w:rFonts w:ascii="Arial" w:hAnsi="Arial" w:cs="Arial"/>
        </w:rPr>
        <w:t>Niati</w:t>
      </w:r>
      <w:proofErr w:type="spellEnd"/>
      <w:r w:rsidRPr="00E01754">
        <w:rPr>
          <w:rFonts w:ascii="Arial" w:hAnsi="Arial" w:cs="Arial"/>
        </w:rPr>
        <w:t xml:space="preserve">, A., [Co-author], &amp; [Co-author]. (2021). </w:t>
      </w:r>
      <w:r w:rsidRPr="00E01754">
        <w:rPr>
          <w:rStyle w:val="Emphasis"/>
          <w:rFonts w:ascii="Arial" w:hAnsi="Arial" w:cs="Arial"/>
        </w:rPr>
        <w:t>Career development and lifelong learning for adult learners</w:t>
      </w:r>
      <w:r w:rsidRPr="00E01754">
        <w:rPr>
          <w:rFonts w:ascii="Arial" w:hAnsi="Arial" w:cs="Arial"/>
        </w:rPr>
        <w:t>. International Journal of Career Development, 18(3), 77–92.</w:t>
      </w:r>
    </w:p>
    <w:p w14:paraId="6251B9E8" w14:textId="77777777" w:rsidR="00575AB4" w:rsidRPr="00E01754" w:rsidRDefault="00575AB4" w:rsidP="00575AB4">
      <w:pPr>
        <w:spacing w:after="0" w:line="240" w:lineRule="auto"/>
        <w:ind w:left="993" w:hanging="993"/>
        <w:jc w:val="both"/>
        <w:rPr>
          <w:rFonts w:ascii="Arial" w:hAnsi="Arial" w:cs="Arial"/>
        </w:rPr>
      </w:pPr>
      <w:proofErr w:type="spellStart"/>
      <w:r w:rsidRPr="00E01754">
        <w:rPr>
          <w:rFonts w:ascii="Arial" w:hAnsi="Arial" w:cs="Arial"/>
        </w:rPr>
        <w:t>Nyakiringa</w:t>
      </w:r>
      <w:proofErr w:type="spellEnd"/>
      <w:r w:rsidRPr="00E01754">
        <w:rPr>
          <w:rFonts w:ascii="Arial" w:hAnsi="Arial" w:cs="Arial"/>
        </w:rPr>
        <w:t xml:space="preserve">, W. M. (2023). </w:t>
      </w:r>
      <w:r w:rsidRPr="00E01754">
        <w:rPr>
          <w:rStyle w:val="Emphasis"/>
          <w:rFonts w:ascii="Arial" w:hAnsi="Arial" w:cs="Arial"/>
        </w:rPr>
        <w:t>Utilization of support services and its relationship with retention among open and distance learners in selected public universities in Kenya</w:t>
      </w:r>
      <w:r w:rsidRPr="00E01754">
        <w:rPr>
          <w:rFonts w:ascii="Arial" w:hAnsi="Arial" w:cs="Arial"/>
        </w:rPr>
        <w:t xml:space="preserve"> (Doctoral dissertation, Kenyatta University, School of Education and Lifelong Learning).</w:t>
      </w:r>
    </w:p>
    <w:p w14:paraId="7455DDE8"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OECD. (2020). </w:t>
      </w:r>
      <w:r w:rsidRPr="00E01754">
        <w:rPr>
          <w:rStyle w:val="Emphasis"/>
          <w:rFonts w:ascii="Arial" w:hAnsi="Arial" w:cs="Arial"/>
        </w:rPr>
        <w:t>Lifelong learning for low-skilled adults: Policy challenges</w:t>
      </w:r>
      <w:r w:rsidRPr="00E01754">
        <w:rPr>
          <w:rFonts w:ascii="Arial" w:hAnsi="Arial" w:cs="Arial"/>
        </w:rPr>
        <w:t>. Organisation for Economic Co-operation and Development.</w:t>
      </w:r>
    </w:p>
    <w:p w14:paraId="1D2F0B50"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OECD. (2023). </w:t>
      </w:r>
      <w:r w:rsidRPr="00E01754">
        <w:rPr>
          <w:rStyle w:val="Emphasis"/>
          <w:rFonts w:ascii="Arial" w:hAnsi="Arial" w:cs="Arial"/>
        </w:rPr>
        <w:t>Adult learning systems in Europe: Policies and outcomes</w:t>
      </w:r>
      <w:r w:rsidRPr="00E01754">
        <w:rPr>
          <w:rFonts w:ascii="Arial" w:hAnsi="Arial" w:cs="Arial"/>
        </w:rPr>
        <w:t>. Organisation for Economic Co-operation and Development.</w:t>
      </w:r>
    </w:p>
    <w:p w14:paraId="30D1C39F"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lastRenderedPageBreak/>
        <w:t xml:space="preserve">Oxenham, J. (2024). </w:t>
      </w:r>
      <w:r w:rsidRPr="00E01754">
        <w:rPr>
          <w:rStyle w:val="Emphasis"/>
          <w:rFonts w:ascii="Arial" w:hAnsi="Arial" w:cs="Arial"/>
        </w:rPr>
        <w:t>Adult education and employment skills in rural Africa</w:t>
      </w:r>
      <w:r w:rsidRPr="00E01754">
        <w:rPr>
          <w:rFonts w:ascii="Arial" w:hAnsi="Arial" w:cs="Arial"/>
        </w:rPr>
        <w:t>. World Bank Working Paper Series, 36, 1–45.</w:t>
      </w:r>
    </w:p>
    <w:p w14:paraId="7A4A7024" w14:textId="77777777" w:rsidR="00575AB4" w:rsidRPr="00E01754" w:rsidRDefault="00575AB4" w:rsidP="00575AB4">
      <w:pPr>
        <w:spacing w:after="0" w:line="240" w:lineRule="auto"/>
        <w:ind w:left="993" w:hanging="993"/>
        <w:jc w:val="both"/>
        <w:rPr>
          <w:rFonts w:ascii="Arial" w:eastAsia="Times New Roman" w:hAnsi="Arial" w:cs="Arial"/>
        </w:rPr>
      </w:pPr>
      <w:r w:rsidRPr="00E01754">
        <w:rPr>
          <w:rFonts w:ascii="Arial" w:eastAsia="Times New Roman" w:hAnsi="Arial" w:cs="Arial"/>
        </w:rPr>
        <w:t>OECD. (2021). Career Guidance for Adults in Changing World of Work. Getting Skills Right. Paris: OECD Publishing.</w:t>
      </w:r>
    </w:p>
    <w:p w14:paraId="14BD1CED"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OECD. (2022). </w:t>
      </w:r>
      <w:r w:rsidRPr="00E01754">
        <w:rPr>
          <w:rStyle w:val="Emphasis"/>
          <w:rFonts w:ascii="Arial" w:hAnsi="Arial" w:cs="Arial"/>
        </w:rPr>
        <w:t>Adult learning and skills development: Enhancing career pathways</w:t>
      </w:r>
      <w:r w:rsidRPr="00E01754">
        <w:rPr>
          <w:rFonts w:ascii="Arial" w:hAnsi="Arial" w:cs="Arial"/>
        </w:rPr>
        <w:t xml:space="preserve">. Organisation for Economic Co-operation and Development. </w:t>
      </w:r>
      <w:hyperlink r:id="rId13" w:history="1">
        <w:r w:rsidRPr="00E01754">
          <w:rPr>
            <w:rStyle w:val="Hyperlink"/>
            <w:rFonts w:ascii="Arial" w:hAnsi="Arial" w:cs="Arial"/>
          </w:rPr>
          <w:t>https://www.oecd.org/education/</w:t>
        </w:r>
      </w:hyperlink>
    </w:p>
    <w:p w14:paraId="360B6FB6" w14:textId="0C6221A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OECD. (2023). </w:t>
      </w:r>
      <w:r w:rsidR="00344C0A" w:rsidRPr="00E01754">
        <w:rPr>
          <w:rStyle w:val="Emphasis"/>
          <w:rFonts w:ascii="Arial" w:hAnsi="Arial" w:cs="Arial"/>
        </w:rPr>
        <w:t>The report focuses on the alignment of upper secondary education and the labour market in Finland.</w:t>
      </w:r>
      <w:r w:rsidRPr="00E01754">
        <w:rPr>
          <w:rFonts w:ascii="Arial" w:hAnsi="Arial" w:cs="Arial"/>
        </w:rPr>
        <w:t xml:space="preserve"> Organisation for Economic Co-operation and Development. </w:t>
      </w:r>
      <w:hyperlink r:id="rId14" w:history="1">
        <w:r w:rsidRPr="00E01754">
          <w:rPr>
            <w:rStyle w:val="Hyperlink"/>
            <w:rFonts w:ascii="Arial" w:hAnsi="Arial" w:cs="Arial"/>
          </w:rPr>
          <w:t>https://www.oecd.org/education/</w:t>
        </w:r>
      </w:hyperlink>
    </w:p>
    <w:p w14:paraId="6FC97B1F"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Renta-Davids, A. I., </w:t>
      </w:r>
      <w:proofErr w:type="spellStart"/>
      <w:r w:rsidRPr="00E01754">
        <w:rPr>
          <w:rFonts w:ascii="Arial" w:hAnsi="Arial" w:cs="Arial"/>
        </w:rPr>
        <w:t>Marhuenda-Fluixà</w:t>
      </w:r>
      <w:proofErr w:type="spellEnd"/>
      <w:r w:rsidRPr="00E01754">
        <w:rPr>
          <w:rFonts w:ascii="Arial" w:hAnsi="Arial" w:cs="Arial"/>
        </w:rPr>
        <w:t xml:space="preserve">, F., Bell-Sebastián, J., &amp; Palomares-Montero, D. (2025). Reengaging early school-leavers through second-chance education: A research synthesis from a European perspective. </w:t>
      </w:r>
      <w:r w:rsidRPr="00E01754">
        <w:rPr>
          <w:rStyle w:val="Emphasis"/>
          <w:rFonts w:ascii="Arial" w:hAnsi="Arial" w:cs="Arial"/>
        </w:rPr>
        <w:t>Review of Educational Research</w:t>
      </w:r>
      <w:r w:rsidRPr="00E01754">
        <w:rPr>
          <w:rFonts w:ascii="Arial" w:hAnsi="Arial" w:cs="Arial"/>
        </w:rPr>
        <w:t xml:space="preserve">. </w:t>
      </w:r>
      <w:hyperlink r:id="rId15" w:history="1">
        <w:r w:rsidRPr="00E01754">
          <w:rPr>
            <w:rStyle w:val="Hyperlink"/>
            <w:rFonts w:ascii="Arial" w:hAnsi="Arial" w:cs="Arial"/>
          </w:rPr>
          <w:t>https://doi.org/10.3102/00346543251400769</w:t>
        </w:r>
      </w:hyperlink>
    </w:p>
    <w:p w14:paraId="1F854495"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Reimers, F. M. (2024). The sustainable development goals and education, achievements and opportunities. </w:t>
      </w:r>
      <w:r w:rsidRPr="00E01754">
        <w:rPr>
          <w:rFonts w:ascii="Arial" w:hAnsi="Arial" w:cs="Arial"/>
          <w:i/>
        </w:rPr>
        <w:t>International Journal of Educational Development</w:t>
      </w:r>
      <w:r w:rsidRPr="00E01754">
        <w:rPr>
          <w:rFonts w:ascii="Arial" w:hAnsi="Arial" w:cs="Arial"/>
        </w:rPr>
        <w:t>,</w:t>
      </w:r>
      <w:r w:rsidRPr="00E01754">
        <w:rPr>
          <w:rFonts w:ascii="Arial" w:hAnsi="Arial" w:cs="Arial"/>
          <w:i/>
        </w:rPr>
        <w:t xml:space="preserve"> 104</w:t>
      </w:r>
      <w:r w:rsidRPr="00E01754">
        <w:rPr>
          <w:rFonts w:ascii="Arial" w:hAnsi="Arial" w:cs="Arial"/>
        </w:rPr>
        <w:t xml:space="preserve">, 102965. </w:t>
      </w:r>
    </w:p>
    <w:p w14:paraId="56A4C665"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Sarafina, L. T. (2022). </w:t>
      </w:r>
      <w:r w:rsidRPr="00E01754">
        <w:rPr>
          <w:rFonts w:ascii="Arial" w:hAnsi="Arial" w:cs="Arial"/>
          <w:i/>
        </w:rPr>
        <w:t xml:space="preserve">“Assessing the Provision of Adult Education in Rural Areas in Tanzania: A Case of Local Government Officials in </w:t>
      </w:r>
      <w:proofErr w:type="spellStart"/>
      <w:r w:rsidRPr="00E01754">
        <w:rPr>
          <w:rFonts w:ascii="Arial" w:hAnsi="Arial" w:cs="Arial"/>
          <w:i/>
        </w:rPr>
        <w:t>Korogwe</w:t>
      </w:r>
      <w:proofErr w:type="spellEnd"/>
      <w:r w:rsidRPr="00E01754">
        <w:rPr>
          <w:rFonts w:ascii="Arial" w:hAnsi="Arial" w:cs="Arial"/>
          <w:i/>
        </w:rPr>
        <w:t xml:space="preserve"> District. </w:t>
      </w:r>
      <w:r w:rsidRPr="00E01754">
        <w:rPr>
          <w:rFonts w:ascii="Arial" w:hAnsi="Arial" w:cs="Arial"/>
        </w:rPr>
        <w:t xml:space="preserve"> The Open University of Tanzania]. </w:t>
      </w:r>
    </w:p>
    <w:p w14:paraId="0A5BE85C" w14:textId="77777777" w:rsidR="00575AB4" w:rsidRPr="00E01754" w:rsidRDefault="00575AB4" w:rsidP="00575AB4">
      <w:pPr>
        <w:spacing w:after="0" w:line="240" w:lineRule="auto"/>
        <w:ind w:left="993" w:hanging="993"/>
        <w:jc w:val="both"/>
        <w:rPr>
          <w:rFonts w:ascii="Arial" w:eastAsia="Times New Roman" w:hAnsi="Arial" w:cs="Arial"/>
          <w:color w:val="000000"/>
        </w:rPr>
      </w:pPr>
      <w:proofErr w:type="spellStart"/>
      <w:r w:rsidRPr="00E01754">
        <w:rPr>
          <w:rFonts w:ascii="Arial" w:eastAsia="Times New Roman" w:hAnsi="Arial" w:cs="Arial"/>
          <w:color w:val="000000"/>
        </w:rPr>
        <w:t>Shahanga</w:t>
      </w:r>
      <w:proofErr w:type="spellEnd"/>
      <w:r w:rsidRPr="00E01754">
        <w:rPr>
          <w:rFonts w:ascii="Arial" w:eastAsia="Times New Roman" w:hAnsi="Arial" w:cs="Arial"/>
          <w:color w:val="000000"/>
        </w:rPr>
        <w:t xml:space="preserve">, G.J. (2015). </w:t>
      </w:r>
      <w:r w:rsidRPr="00E01754">
        <w:rPr>
          <w:rFonts w:ascii="Arial" w:eastAsia="Times New Roman" w:hAnsi="Arial" w:cs="Arial"/>
          <w:i/>
          <w:color w:val="000000"/>
        </w:rPr>
        <w:t>Challenges Facing Adult Learners in Formal Secondary Education</w:t>
      </w:r>
      <w:r w:rsidRPr="00E01754">
        <w:rPr>
          <w:rFonts w:ascii="Arial" w:eastAsia="Times New Roman" w:hAnsi="Arial" w:cs="Arial"/>
          <w:color w:val="000000"/>
        </w:rPr>
        <w:t xml:space="preserve">: Dissertation Submitted for Partial Fulfilment of Master of Arts in Education (Unpublished). Dodoma: The University of Dodoma. </w:t>
      </w:r>
    </w:p>
    <w:p w14:paraId="02EDD8D5" w14:textId="77777777" w:rsidR="00575AB4" w:rsidRPr="00E01754" w:rsidRDefault="00575AB4" w:rsidP="00575AB4">
      <w:pPr>
        <w:pStyle w:val="EndNoteBibliography"/>
        <w:spacing w:after="0"/>
        <w:ind w:left="720" w:hanging="720"/>
        <w:jc w:val="both"/>
        <w:rPr>
          <w:rFonts w:ascii="Arial" w:hAnsi="Arial" w:cs="Arial"/>
          <w:noProof w:val="0"/>
          <w:sz w:val="24"/>
          <w:szCs w:val="24"/>
          <w:lang w:val="en-GB"/>
        </w:rPr>
      </w:pPr>
      <w:r w:rsidRPr="00E01754">
        <w:rPr>
          <w:rFonts w:ascii="Arial" w:hAnsi="Arial" w:cs="Arial"/>
          <w:noProof w:val="0"/>
          <w:sz w:val="24"/>
          <w:szCs w:val="24"/>
          <w:lang w:val="en-GB"/>
        </w:rPr>
        <w:t xml:space="preserve">Shirima, G. H. (2020). Managing the provision of non-formal secondary education in Tanzania: The emerging sustainability issues. </w:t>
      </w:r>
      <w:r w:rsidRPr="00E01754">
        <w:rPr>
          <w:rFonts w:ascii="Arial" w:hAnsi="Arial" w:cs="Arial"/>
          <w:i/>
          <w:noProof w:val="0"/>
          <w:sz w:val="24"/>
          <w:szCs w:val="24"/>
          <w:lang w:val="en-GB"/>
        </w:rPr>
        <w:t>Papers in Education and Development</w:t>
      </w:r>
      <w:r w:rsidRPr="00E01754">
        <w:rPr>
          <w:rFonts w:ascii="Arial" w:hAnsi="Arial" w:cs="Arial"/>
          <w:noProof w:val="0"/>
          <w:sz w:val="24"/>
          <w:szCs w:val="24"/>
          <w:lang w:val="en-GB"/>
        </w:rPr>
        <w:t>,</w:t>
      </w:r>
      <w:r w:rsidRPr="00E01754">
        <w:rPr>
          <w:rFonts w:ascii="Arial" w:hAnsi="Arial" w:cs="Arial"/>
          <w:i/>
          <w:noProof w:val="0"/>
          <w:sz w:val="24"/>
          <w:szCs w:val="24"/>
          <w:lang w:val="en-GB"/>
        </w:rPr>
        <w:t xml:space="preserve"> 38</w:t>
      </w:r>
      <w:r w:rsidRPr="00E01754">
        <w:rPr>
          <w:rFonts w:ascii="Arial" w:hAnsi="Arial" w:cs="Arial"/>
          <w:noProof w:val="0"/>
          <w:sz w:val="24"/>
          <w:szCs w:val="24"/>
          <w:lang w:val="en-GB"/>
        </w:rPr>
        <w:t xml:space="preserve">(1). </w:t>
      </w:r>
    </w:p>
    <w:p w14:paraId="79A41AD3" w14:textId="77777777" w:rsidR="00575AB4" w:rsidRPr="00E01754" w:rsidRDefault="00575AB4" w:rsidP="00575AB4">
      <w:pPr>
        <w:spacing w:after="0" w:line="240" w:lineRule="auto"/>
        <w:ind w:left="720" w:hanging="630"/>
        <w:jc w:val="both"/>
        <w:rPr>
          <w:rFonts w:ascii="Arial" w:hAnsi="Arial" w:cs="Arial"/>
        </w:rPr>
      </w:pPr>
      <w:r w:rsidRPr="00E01754">
        <w:rPr>
          <w:rFonts w:ascii="Arial" w:hAnsi="Arial" w:cs="Arial"/>
        </w:rPr>
        <w:t xml:space="preserve">Smith, A., &amp; Jones, B. (2023). Linking academic performance to career outcomes: A study on adult learners. </w:t>
      </w:r>
      <w:r w:rsidRPr="00E01754">
        <w:rPr>
          <w:rStyle w:val="Emphasis"/>
          <w:rFonts w:ascii="Arial" w:hAnsi="Arial" w:cs="Arial"/>
        </w:rPr>
        <w:t>International Journal of Career Development, 9</w:t>
      </w:r>
      <w:r w:rsidRPr="00E01754">
        <w:rPr>
          <w:rFonts w:ascii="Arial" w:hAnsi="Arial" w:cs="Arial"/>
        </w:rPr>
        <w:t>(1), 20–35.</w:t>
      </w:r>
    </w:p>
    <w:p w14:paraId="27A5FA61" w14:textId="77777777" w:rsidR="00575AB4" w:rsidRPr="00E01754" w:rsidRDefault="00575AB4" w:rsidP="00575AB4">
      <w:pPr>
        <w:spacing w:after="0" w:line="240" w:lineRule="auto"/>
        <w:ind w:left="720" w:hanging="630"/>
        <w:jc w:val="both"/>
        <w:rPr>
          <w:rFonts w:ascii="Arial" w:eastAsia="Times New Roman" w:hAnsi="Arial" w:cs="Arial"/>
          <w:bCs/>
        </w:rPr>
      </w:pPr>
      <w:r w:rsidRPr="00E01754">
        <w:rPr>
          <w:rFonts w:ascii="Arial" w:hAnsi="Arial" w:cs="Arial"/>
        </w:rPr>
        <w:t xml:space="preserve">Tanzania Ministry of Education. (2025). </w:t>
      </w:r>
      <w:r w:rsidRPr="00E01754">
        <w:rPr>
          <w:rFonts w:ascii="Arial" w:hAnsi="Arial" w:cs="Arial"/>
          <w:i/>
          <w:iCs/>
        </w:rPr>
        <w:t>Education Sector Development Plan 2025</w:t>
      </w:r>
      <w:r w:rsidRPr="00E01754">
        <w:rPr>
          <w:rFonts w:ascii="Arial" w:hAnsi="Arial" w:cs="Arial"/>
        </w:rPr>
        <w:t xml:space="preserve">. Ministry of Education, United Republic of Tanzania. </w:t>
      </w:r>
      <w:hyperlink r:id="rId16" w:tgtFrame="_new" w:history="1">
        <w:r w:rsidRPr="00E01754">
          <w:rPr>
            <w:rFonts w:ascii="Arial" w:hAnsi="Arial" w:cs="Arial"/>
            <w:color w:val="0000FF"/>
            <w:u w:val="single"/>
          </w:rPr>
          <w:t>https://www.moe.go.tz/</w:t>
        </w:r>
      </w:hyperlink>
    </w:p>
    <w:p w14:paraId="25833108" w14:textId="77777777" w:rsidR="00575AB4" w:rsidRPr="00E01754" w:rsidRDefault="00575AB4" w:rsidP="00575AB4">
      <w:pPr>
        <w:pStyle w:val="EndNoteBibliography"/>
        <w:spacing w:after="0"/>
        <w:ind w:left="720" w:hanging="720"/>
        <w:jc w:val="both"/>
        <w:rPr>
          <w:rFonts w:ascii="Arial" w:hAnsi="Arial" w:cs="Arial"/>
          <w:noProof w:val="0"/>
          <w:sz w:val="24"/>
          <w:szCs w:val="24"/>
          <w:lang w:val="en-GB"/>
        </w:rPr>
      </w:pPr>
      <w:proofErr w:type="spellStart"/>
      <w:r w:rsidRPr="00E01754">
        <w:rPr>
          <w:rFonts w:ascii="Arial" w:hAnsi="Arial" w:cs="Arial"/>
          <w:noProof w:val="0"/>
          <w:sz w:val="24"/>
          <w:szCs w:val="24"/>
          <w:lang w:val="en-GB"/>
        </w:rPr>
        <w:t>Thengele</w:t>
      </w:r>
      <w:proofErr w:type="spellEnd"/>
      <w:r w:rsidRPr="00E01754">
        <w:rPr>
          <w:rFonts w:ascii="Arial" w:hAnsi="Arial" w:cs="Arial"/>
          <w:noProof w:val="0"/>
          <w:sz w:val="24"/>
          <w:szCs w:val="24"/>
          <w:lang w:val="en-GB"/>
        </w:rPr>
        <w:t xml:space="preserve">, D. (2022). </w:t>
      </w:r>
      <w:r w:rsidRPr="00E01754">
        <w:rPr>
          <w:rStyle w:val="Emphasis"/>
          <w:rFonts w:ascii="Arial" w:hAnsi="Arial" w:cs="Arial"/>
          <w:noProof w:val="0"/>
          <w:sz w:val="24"/>
          <w:szCs w:val="24"/>
          <w:lang w:val="en-GB"/>
        </w:rPr>
        <w:t>Selected factors influencing participation of adult learners in adult education programmes in Kilifi County, Kenya</w:t>
      </w:r>
      <w:r w:rsidRPr="00E01754">
        <w:rPr>
          <w:rFonts w:ascii="Arial" w:hAnsi="Arial" w:cs="Arial"/>
          <w:noProof w:val="0"/>
          <w:sz w:val="24"/>
          <w:szCs w:val="24"/>
          <w:lang w:val="en-GB"/>
        </w:rPr>
        <w:t xml:space="preserve"> (Doctoral dissertation, </w:t>
      </w:r>
      <w:proofErr w:type="spellStart"/>
      <w:r w:rsidRPr="00E01754">
        <w:rPr>
          <w:rFonts w:ascii="Arial" w:hAnsi="Arial" w:cs="Arial"/>
          <w:noProof w:val="0"/>
          <w:sz w:val="24"/>
          <w:szCs w:val="24"/>
          <w:lang w:val="en-GB"/>
        </w:rPr>
        <w:t>Pwani</w:t>
      </w:r>
      <w:proofErr w:type="spellEnd"/>
      <w:r w:rsidRPr="00E01754">
        <w:rPr>
          <w:rFonts w:ascii="Arial" w:hAnsi="Arial" w:cs="Arial"/>
          <w:noProof w:val="0"/>
          <w:sz w:val="24"/>
          <w:szCs w:val="24"/>
          <w:lang w:val="en-GB"/>
        </w:rPr>
        <w:t xml:space="preserve"> University).</w:t>
      </w:r>
    </w:p>
    <w:p w14:paraId="34FCD8EC" w14:textId="77777777" w:rsidR="00575AB4" w:rsidRPr="00E01754" w:rsidRDefault="00575AB4" w:rsidP="00575AB4">
      <w:pPr>
        <w:spacing w:after="0" w:line="240" w:lineRule="auto"/>
        <w:ind w:left="540" w:hanging="540"/>
        <w:contextualSpacing/>
        <w:jc w:val="both"/>
        <w:rPr>
          <w:rFonts w:ascii="Arial" w:hAnsi="Arial" w:cs="Arial"/>
        </w:rPr>
      </w:pPr>
      <w:r w:rsidRPr="00E01754">
        <w:rPr>
          <w:rFonts w:ascii="Arial" w:hAnsi="Arial" w:cs="Arial"/>
        </w:rPr>
        <w:t xml:space="preserve">Thomas, S., Albrecht, P., Korntheuer, A., &amp; Bucher, J. (2024). Researching educational barriers in participatory real-world labs: vocational training of refugees in rural counties in Germany. Frontiers in Education. </w:t>
      </w:r>
    </w:p>
    <w:p w14:paraId="631AA77B" w14:textId="77777777" w:rsidR="00575AB4" w:rsidRPr="00E01754" w:rsidRDefault="00575AB4" w:rsidP="00575AB4">
      <w:pPr>
        <w:pStyle w:val="EndNoteBibliography"/>
        <w:spacing w:after="0"/>
        <w:ind w:left="720" w:hanging="720"/>
        <w:jc w:val="both"/>
        <w:rPr>
          <w:rFonts w:ascii="Arial" w:hAnsi="Arial" w:cs="Arial"/>
          <w:noProof w:val="0"/>
          <w:sz w:val="24"/>
          <w:szCs w:val="24"/>
          <w:lang w:val="en-GB"/>
        </w:rPr>
      </w:pPr>
    </w:p>
    <w:p w14:paraId="1097FA0B" w14:textId="77777777" w:rsidR="00575AB4" w:rsidRPr="00E01754" w:rsidRDefault="00575AB4" w:rsidP="00575AB4">
      <w:pPr>
        <w:tabs>
          <w:tab w:val="left" w:pos="3645"/>
        </w:tabs>
        <w:spacing w:after="0" w:line="240" w:lineRule="auto"/>
        <w:ind w:left="720" w:hanging="630"/>
        <w:jc w:val="both"/>
        <w:rPr>
          <w:rFonts w:ascii="Arial" w:hAnsi="Arial" w:cs="Arial"/>
        </w:rPr>
      </w:pPr>
      <w:r w:rsidRPr="00E01754">
        <w:rPr>
          <w:rFonts w:ascii="Arial" w:hAnsi="Arial" w:cs="Arial"/>
        </w:rPr>
        <w:t xml:space="preserve">United Republic of Tanzania (URT). (2018). </w:t>
      </w:r>
      <w:r w:rsidRPr="00E01754">
        <w:rPr>
          <w:rStyle w:val="Emphasis"/>
          <w:rFonts w:ascii="Arial" w:hAnsi="Arial" w:cs="Arial"/>
          <w:i w:val="0"/>
          <w:iCs w:val="0"/>
        </w:rPr>
        <w:t>Education sector performance report</w:t>
      </w:r>
      <w:r w:rsidRPr="00E01754">
        <w:rPr>
          <w:rFonts w:ascii="Arial" w:hAnsi="Arial" w:cs="Arial"/>
        </w:rPr>
        <w:t>. Dar es Salaam: Ministry of Education, Science and Technology.</w:t>
      </w:r>
    </w:p>
    <w:p w14:paraId="3160421A" w14:textId="77777777" w:rsidR="00575AB4" w:rsidRPr="00E01754" w:rsidRDefault="00575AB4" w:rsidP="00575AB4">
      <w:pPr>
        <w:pStyle w:val="EndNoteBibliography"/>
        <w:spacing w:after="0"/>
        <w:ind w:left="720" w:hanging="720"/>
        <w:jc w:val="both"/>
        <w:rPr>
          <w:rFonts w:ascii="Arial" w:hAnsi="Arial" w:cs="Arial"/>
          <w:noProof w:val="0"/>
          <w:sz w:val="24"/>
          <w:szCs w:val="24"/>
          <w:lang w:val="en-GB"/>
        </w:rPr>
      </w:pPr>
    </w:p>
    <w:p w14:paraId="54D4AB92" w14:textId="77777777" w:rsidR="00575AB4" w:rsidRPr="00E01754" w:rsidRDefault="00575AB4" w:rsidP="00575AB4">
      <w:pPr>
        <w:tabs>
          <w:tab w:val="left" w:pos="3645"/>
        </w:tabs>
        <w:spacing w:after="0" w:line="240" w:lineRule="auto"/>
        <w:ind w:left="720" w:hanging="630"/>
        <w:jc w:val="both"/>
        <w:rPr>
          <w:rFonts w:ascii="Arial" w:hAnsi="Arial" w:cs="Arial"/>
        </w:rPr>
      </w:pPr>
      <w:r w:rsidRPr="00E01754">
        <w:rPr>
          <w:rFonts w:ascii="Arial" w:hAnsi="Arial" w:cs="Arial"/>
        </w:rPr>
        <w:t xml:space="preserve">United Republic of Tanzania. (2016). </w:t>
      </w:r>
      <w:r w:rsidRPr="00E01754">
        <w:rPr>
          <w:rStyle w:val="Emphasis"/>
          <w:rFonts w:ascii="Arial" w:hAnsi="Arial" w:cs="Arial"/>
        </w:rPr>
        <w:t>National Information and Communications Technology Policy</w:t>
      </w:r>
      <w:r w:rsidRPr="00E01754">
        <w:rPr>
          <w:rFonts w:ascii="Arial" w:hAnsi="Arial" w:cs="Arial"/>
        </w:rPr>
        <w:t>. Ministry of Works, Transport and Communications.</w:t>
      </w:r>
    </w:p>
    <w:p w14:paraId="7DC6EEDB" w14:textId="77777777" w:rsidR="00575AB4" w:rsidRPr="00E01754" w:rsidRDefault="00575AB4" w:rsidP="00575AB4">
      <w:pPr>
        <w:tabs>
          <w:tab w:val="left" w:pos="3645"/>
        </w:tabs>
        <w:spacing w:after="0" w:line="240" w:lineRule="auto"/>
        <w:ind w:left="720" w:hanging="630"/>
        <w:jc w:val="both"/>
        <w:rPr>
          <w:rFonts w:ascii="Arial" w:hAnsi="Arial" w:cs="Arial"/>
        </w:rPr>
      </w:pPr>
      <w:r w:rsidRPr="00E01754">
        <w:rPr>
          <w:rFonts w:ascii="Arial" w:hAnsi="Arial" w:cs="Arial"/>
        </w:rPr>
        <w:t xml:space="preserve">United Nations. (2015). </w:t>
      </w:r>
      <w:r w:rsidRPr="00E01754">
        <w:rPr>
          <w:rFonts w:ascii="Arial" w:hAnsi="Arial" w:cs="Arial"/>
          <w:i/>
          <w:iCs/>
        </w:rPr>
        <w:t>Transforming our world: The 2030 agenda for sustainable development</w:t>
      </w:r>
      <w:r w:rsidRPr="00E01754">
        <w:rPr>
          <w:rFonts w:ascii="Arial" w:hAnsi="Arial" w:cs="Arial"/>
        </w:rPr>
        <w:t xml:space="preserve">. </w:t>
      </w:r>
      <w:hyperlink r:id="rId17" w:tgtFrame="_new" w:history="1">
        <w:r w:rsidRPr="00E01754">
          <w:rPr>
            <w:rFonts w:ascii="Arial" w:hAnsi="Arial" w:cs="Arial"/>
            <w:color w:val="0000FF"/>
            <w:u w:val="single"/>
          </w:rPr>
          <w:t>https://sdgs.un.org/2030agenda</w:t>
        </w:r>
      </w:hyperlink>
    </w:p>
    <w:p w14:paraId="53C63A33" w14:textId="77777777" w:rsidR="00575AB4" w:rsidRPr="00E01754" w:rsidRDefault="00575AB4" w:rsidP="00575AB4">
      <w:pPr>
        <w:tabs>
          <w:tab w:val="left" w:pos="3645"/>
        </w:tabs>
        <w:spacing w:after="0" w:line="240" w:lineRule="auto"/>
        <w:ind w:left="720" w:hanging="630"/>
        <w:jc w:val="both"/>
        <w:rPr>
          <w:rFonts w:ascii="Arial" w:hAnsi="Arial" w:cs="Arial"/>
        </w:rPr>
      </w:pPr>
      <w:r w:rsidRPr="00E01754">
        <w:rPr>
          <w:rFonts w:ascii="Arial" w:hAnsi="Arial" w:cs="Arial"/>
        </w:rPr>
        <w:t>United Republic of Tanzania, Ministry of Education and Vocational Training. (2014). Education and Training Policy. Dar es Salaam: Government Printer</w:t>
      </w:r>
    </w:p>
    <w:p w14:paraId="76B38D11"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lastRenderedPageBreak/>
        <w:t>UNESCO, (2015). The new UNESCO Recommendation on Adult Learning and Education UNESCO &amp;and UIL. Publishers, France.</w:t>
      </w:r>
    </w:p>
    <w:p w14:paraId="6137BD82"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 xml:space="preserve">UNESCO. (2018). </w:t>
      </w:r>
      <w:r w:rsidRPr="00E01754">
        <w:rPr>
          <w:rStyle w:val="Emphasis"/>
          <w:rFonts w:ascii="Arial" w:hAnsi="Arial" w:cs="Arial"/>
        </w:rPr>
        <w:t>Digital skills for life and work</w:t>
      </w:r>
      <w:r w:rsidRPr="00E01754">
        <w:rPr>
          <w:rFonts w:ascii="Arial" w:hAnsi="Arial" w:cs="Arial"/>
        </w:rPr>
        <w:t>. UNESCO Publishing.</w:t>
      </w:r>
    </w:p>
    <w:p w14:paraId="326E19A4"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r w:rsidRPr="00E01754">
        <w:rPr>
          <w:rFonts w:ascii="Arial" w:eastAsia="Times New Roman" w:hAnsi="Arial" w:cs="Arial"/>
          <w:kern w:val="0"/>
          <w14:ligatures w14:val="none"/>
        </w:rPr>
        <w:t xml:space="preserve">UNESCO. (2021). </w:t>
      </w:r>
      <w:r w:rsidRPr="00E01754">
        <w:rPr>
          <w:rFonts w:ascii="Arial" w:eastAsia="Times New Roman" w:hAnsi="Arial" w:cs="Arial"/>
          <w:i/>
          <w:iCs/>
          <w:kern w:val="0"/>
          <w14:ligatures w14:val="none"/>
        </w:rPr>
        <w:t>Non-formal and adult secondary education in Canada: Blended learning and workforce development</w:t>
      </w:r>
      <w:r w:rsidRPr="00E01754">
        <w:rPr>
          <w:rFonts w:ascii="Arial" w:eastAsia="Times New Roman" w:hAnsi="Arial" w:cs="Arial"/>
          <w:kern w:val="0"/>
          <w14:ligatures w14:val="none"/>
        </w:rPr>
        <w:t xml:space="preserve">. United Nations Educational, Scientific and Cultural Organization. </w:t>
      </w:r>
      <w:hyperlink r:id="rId18" w:tgtFrame="_new" w:history="1">
        <w:r w:rsidRPr="00E01754">
          <w:rPr>
            <w:rFonts w:ascii="Arial" w:eastAsia="Times New Roman" w:hAnsi="Arial" w:cs="Arial"/>
            <w:color w:val="0000FF"/>
            <w:kern w:val="0"/>
            <w:u w:val="single"/>
            <w14:ligatures w14:val="none"/>
          </w:rPr>
          <w:t>https://www.unesco.org/</w:t>
        </w:r>
      </w:hyperlink>
    </w:p>
    <w:p w14:paraId="44DA7441"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r w:rsidRPr="00E01754">
        <w:rPr>
          <w:rFonts w:ascii="Arial" w:eastAsia="Times New Roman" w:hAnsi="Arial" w:cs="Arial"/>
          <w:kern w:val="0"/>
          <w14:ligatures w14:val="none"/>
        </w:rPr>
        <w:t xml:space="preserve">UNESCO. (2022). </w:t>
      </w:r>
      <w:r w:rsidRPr="00E01754">
        <w:rPr>
          <w:rFonts w:ascii="Arial" w:eastAsia="Times New Roman" w:hAnsi="Arial" w:cs="Arial"/>
          <w:i/>
          <w:iCs/>
          <w:kern w:val="0"/>
          <w14:ligatures w14:val="none"/>
        </w:rPr>
        <w:t>Second-chance education in Germany: Linking adult learning to employability</w:t>
      </w:r>
      <w:r w:rsidRPr="00E01754">
        <w:rPr>
          <w:rFonts w:ascii="Arial" w:eastAsia="Times New Roman" w:hAnsi="Arial" w:cs="Arial"/>
          <w:kern w:val="0"/>
          <w14:ligatures w14:val="none"/>
        </w:rPr>
        <w:t xml:space="preserve">. United Nations Educational, Scientific and Cultural Organization. </w:t>
      </w:r>
      <w:hyperlink r:id="rId19" w:tgtFrame="_new" w:history="1">
        <w:r w:rsidRPr="00E01754">
          <w:rPr>
            <w:rFonts w:ascii="Arial" w:eastAsia="Times New Roman" w:hAnsi="Arial" w:cs="Arial"/>
            <w:color w:val="0000FF"/>
            <w:kern w:val="0"/>
            <w:u w:val="single"/>
            <w14:ligatures w14:val="none"/>
          </w:rPr>
          <w:t>https://www.unesco.org/</w:t>
        </w:r>
      </w:hyperlink>
    </w:p>
    <w:p w14:paraId="0BAACCFD"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r w:rsidRPr="00E01754">
        <w:rPr>
          <w:rFonts w:ascii="Arial" w:eastAsia="Times New Roman" w:hAnsi="Arial" w:cs="Arial"/>
          <w:kern w:val="0"/>
          <w14:ligatures w14:val="none"/>
        </w:rPr>
        <w:t xml:space="preserve">UNESCO. (2024). </w:t>
      </w:r>
      <w:r w:rsidRPr="00E01754">
        <w:rPr>
          <w:rFonts w:ascii="Arial" w:eastAsia="Times New Roman" w:hAnsi="Arial" w:cs="Arial"/>
          <w:i/>
          <w:iCs/>
          <w:kern w:val="0"/>
          <w14:ligatures w14:val="none"/>
        </w:rPr>
        <w:t>Digital and career-oriented second-chance education in South Korea</w:t>
      </w:r>
      <w:r w:rsidRPr="00E01754">
        <w:rPr>
          <w:rFonts w:ascii="Arial" w:eastAsia="Times New Roman" w:hAnsi="Arial" w:cs="Arial"/>
          <w:kern w:val="0"/>
          <w14:ligatures w14:val="none"/>
        </w:rPr>
        <w:t xml:space="preserve">. United Nations Educational, Scientific and Cultural Organization. </w:t>
      </w:r>
      <w:hyperlink r:id="rId20" w:tgtFrame="_new" w:history="1">
        <w:r w:rsidRPr="00E01754">
          <w:rPr>
            <w:rFonts w:ascii="Arial" w:eastAsia="Times New Roman" w:hAnsi="Arial" w:cs="Arial"/>
            <w:color w:val="0000FF"/>
            <w:kern w:val="0"/>
            <w:u w:val="single"/>
            <w14:ligatures w14:val="none"/>
          </w:rPr>
          <w:t>https://www.unesco.org/</w:t>
        </w:r>
      </w:hyperlink>
    </w:p>
    <w:p w14:paraId="3286C48D"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r w:rsidRPr="00E01754">
        <w:rPr>
          <w:rFonts w:ascii="Arial" w:eastAsia="Times New Roman" w:hAnsi="Arial" w:cs="Arial"/>
          <w:kern w:val="0"/>
          <w14:ligatures w14:val="none"/>
        </w:rPr>
        <w:t xml:space="preserve">UNESCO. (2022). </w:t>
      </w:r>
      <w:r w:rsidRPr="00E01754">
        <w:rPr>
          <w:rFonts w:ascii="Arial" w:eastAsia="Times New Roman" w:hAnsi="Arial" w:cs="Arial"/>
          <w:i/>
          <w:iCs/>
          <w:kern w:val="0"/>
          <w14:ligatures w14:val="none"/>
        </w:rPr>
        <w:t>Adult learning and education in sub-Saharan Africa: Challenges and strategies</w:t>
      </w:r>
      <w:r w:rsidRPr="00E01754">
        <w:rPr>
          <w:rFonts w:ascii="Arial" w:eastAsia="Times New Roman" w:hAnsi="Arial" w:cs="Arial"/>
          <w:kern w:val="0"/>
          <w14:ligatures w14:val="none"/>
        </w:rPr>
        <w:t xml:space="preserve">. UNESCO Publishing. </w:t>
      </w:r>
      <w:hyperlink r:id="rId21" w:tgtFrame="_new" w:history="1">
        <w:r w:rsidRPr="00E01754">
          <w:rPr>
            <w:rFonts w:ascii="Arial" w:eastAsia="Times New Roman" w:hAnsi="Arial" w:cs="Arial"/>
            <w:color w:val="0000FF"/>
            <w:kern w:val="0"/>
            <w:u w:val="single"/>
            <w14:ligatures w14:val="none"/>
          </w:rPr>
          <w:t>https://www.unesco.org/</w:t>
        </w:r>
      </w:hyperlink>
    </w:p>
    <w:p w14:paraId="772F295D"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r w:rsidRPr="00E01754">
        <w:rPr>
          <w:rFonts w:ascii="Arial" w:eastAsia="Times New Roman" w:hAnsi="Arial" w:cs="Arial"/>
          <w:kern w:val="0"/>
          <w14:ligatures w14:val="none"/>
        </w:rPr>
        <w:t xml:space="preserve">UNESCO. (2024). </w:t>
      </w:r>
      <w:r w:rsidRPr="00E01754">
        <w:rPr>
          <w:rFonts w:ascii="Arial" w:eastAsia="Times New Roman" w:hAnsi="Arial" w:cs="Arial"/>
          <w:i/>
          <w:iCs/>
          <w:kern w:val="0"/>
          <w14:ligatures w14:val="none"/>
        </w:rPr>
        <w:t>Strengthening non-formal education for lifelong learning and employability</w:t>
      </w:r>
      <w:r w:rsidRPr="00E01754">
        <w:rPr>
          <w:rFonts w:ascii="Arial" w:eastAsia="Times New Roman" w:hAnsi="Arial" w:cs="Arial"/>
          <w:kern w:val="0"/>
          <w14:ligatures w14:val="none"/>
        </w:rPr>
        <w:t xml:space="preserve">. UNESCO Publishing. </w:t>
      </w:r>
      <w:hyperlink r:id="rId22" w:tgtFrame="_new" w:history="1">
        <w:r w:rsidRPr="00E01754">
          <w:rPr>
            <w:rFonts w:ascii="Arial" w:eastAsia="Times New Roman" w:hAnsi="Arial" w:cs="Arial"/>
            <w:color w:val="0000FF"/>
            <w:kern w:val="0"/>
            <w:u w:val="single"/>
            <w14:ligatures w14:val="none"/>
          </w:rPr>
          <w:t>https://www.unesco.org/</w:t>
        </w:r>
      </w:hyperlink>
    </w:p>
    <w:p w14:paraId="6752D450" w14:textId="77777777" w:rsidR="00575AB4" w:rsidRPr="00E01754" w:rsidRDefault="00575AB4" w:rsidP="00575AB4">
      <w:pPr>
        <w:spacing w:before="100" w:beforeAutospacing="1" w:after="0" w:line="240" w:lineRule="auto"/>
        <w:rPr>
          <w:rFonts w:ascii="Arial" w:eastAsia="Times New Roman" w:hAnsi="Arial" w:cs="Arial"/>
          <w:kern w:val="0"/>
          <w14:ligatures w14:val="none"/>
        </w:rPr>
      </w:pPr>
      <w:r w:rsidRPr="00E01754">
        <w:rPr>
          <w:rFonts w:ascii="Arial" w:eastAsia="Times New Roman" w:hAnsi="Arial" w:cs="Arial"/>
          <w:kern w:val="0"/>
          <w14:ligatures w14:val="none"/>
        </w:rPr>
        <w:t xml:space="preserve">U.S. Department of Education. (2025). </w:t>
      </w:r>
      <w:r w:rsidRPr="00E01754">
        <w:rPr>
          <w:rFonts w:ascii="Arial" w:eastAsia="Times New Roman" w:hAnsi="Arial" w:cs="Arial"/>
          <w:i/>
          <w:iCs/>
          <w:kern w:val="0"/>
          <w14:ligatures w14:val="none"/>
        </w:rPr>
        <w:t>Lifelong learning for adult career development</w:t>
      </w:r>
      <w:r w:rsidRPr="00E01754">
        <w:rPr>
          <w:rFonts w:ascii="Arial" w:eastAsia="Times New Roman" w:hAnsi="Arial" w:cs="Arial"/>
          <w:kern w:val="0"/>
          <w14:ligatures w14:val="none"/>
        </w:rPr>
        <w:t xml:space="preserve">. </w:t>
      </w:r>
      <w:hyperlink r:id="rId23" w:tgtFrame="_new" w:history="1">
        <w:r w:rsidRPr="00E01754">
          <w:rPr>
            <w:rFonts w:ascii="Arial" w:eastAsia="Times New Roman" w:hAnsi="Arial" w:cs="Arial"/>
            <w:color w:val="0000FF"/>
            <w:kern w:val="0"/>
            <w:u w:val="single"/>
            <w14:ligatures w14:val="none"/>
          </w:rPr>
          <w:t>https://www.ed.gov</w:t>
        </w:r>
      </w:hyperlink>
    </w:p>
    <w:p w14:paraId="6FA7E0E5" w14:textId="77777777" w:rsidR="00575AB4" w:rsidRPr="00E01754" w:rsidRDefault="00575AB4" w:rsidP="00575AB4">
      <w:pPr>
        <w:spacing w:before="100" w:beforeAutospacing="1" w:after="0" w:line="240" w:lineRule="auto"/>
        <w:rPr>
          <w:rFonts w:ascii="Arial" w:eastAsia="Times New Roman" w:hAnsi="Arial" w:cs="Arial"/>
          <w:kern w:val="0"/>
          <w14:ligatures w14:val="none"/>
        </w:rPr>
      </w:pPr>
      <w:r w:rsidRPr="00E01754">
        <w:rPr>
          <w:rFonts w:ascii="Arial" w:eastAsia="Times New Roman" w:hAnsi="Arial" w:cs="Arial"/>
          <w:kern w:val="0"/>
          <w14:ligatures w14:val="none"/>
        </w:rPr>
        <w:t xml:space="preserve">UNESCO. (2022). </w:t>
      </w:r>
      <w:r w:rsidRPr="00E01754">
        <w:rPr>
          <w:rFonts w:ascii="Arial" w:eastAsia="Times New Roman" w:hAnsi="Arial" w:cs="Arial"/>
          <w:i/>
          <w:iCs/>
          <w:kern w:val="0"/>
          <w14:ligatures w14:val="none"/>
        </w:rPr>
        <w:t>Global education monitoring report 2022: Adult education and employment</w:t>
      </w:r>
      <w:r w:rsidRPr="00E01754">
        <w:rPr>
          <w:rFonts w:ascii="Arial" w:eastAsia="Times New Roman" w:hAnsi="Arial" w:cs="Arial"/>
          <w:kern w:val="0"/>
          <w14:ligatures w14:val="none"/>
        </w:rPr>
        <w:t>. UNESCO Publishing.</w:t>
      </w:r>
    </w:p>
    <w:p w14:paraId="166B973F" w14:textId="77777777" w:rsidR="00575AB4" w:rsidRPr="00E01754" w:rsidRDefault="00575AB4" w:rsidP="00575AB4">
      <w:pPr>
        <w:spacing w:after="0" w:line="240" w:lineRule="auto"/>
        <w:ind w:left="993" w:hanging="993"/>
        <w:jc w:val="both"/>
        <w:rPr>
          <w:rFonts w:ascii="Arial" w:eastAsia="Times New Roman" w:hAnsi="Arial" w:cs="Arial"/>
          <w:kern w:val="0"/>
          <w14:ligatures w14:val="none"/>
        </w:rPr>
      </w:pPr>
      <w:r w:rsidRPr="00E01754">
        <w:rPr>
          <w:rFonts w:ascii="Arial" w:eastAsia="Times New Roman" w:hAnsi="Arial" w:cs="Arial"/>
          <w:kern w:val="0"/>
          <w14:ligatures w14:val="none"/>
        </w:rPr>
        <w:t xml:space="preserve">United Republic of Tanzania (URT). (2023). </w:t>
      </w:r>
      <w:r w:rsidRPr="00E01754">
        <w:rPr>
          <w:rFonts w:ascii="Arial" w:eastAsia="Times New Roman" w:hAnsi="Arial" w:cs="Arial"/>
          <w:i/>
          <w:iCs/>
          <w:kern w:val="0"/>
          <w14:ligatures w14:val="none"/>
        </w:rPr>
        <w:t>National report on adult and non-formal education in Tanzania</w:t>
      </w:r>
      <w:r w:rsidRPr="00E01754">
        <w:rPr>
          <w:rFonts w:ascii="Arial" w:eastAsia="Times New Roman" w:hAnsi="Arial" w:cs="Arial"/>
          <w:kern w:val="0"/>
          <w14:ligatures w14:val="none"/>
        </w:rPr>
        <w:t xml:space="preserve">. Ministry of Education. </w:t>
      </w:r>
      <w:hyperlink r:id="rId24" w:tgtFrame="_new" w:history="1">
        <w:r w:rsidRPr="00E01754">
          <w:rPr>
            <w:rFonts w:ascii="Arial" w:eastAsia="Times New Roman" w:hAnsi="Arial" w:cs="Arial"/>
            <w:color w:val="0000FF"/>
            <w:kern w:val="0"/>
            <w:u w:val="single"/>
            <w14:ligatures w14:val="none"/>
          </w:rPr>
          <w:t>https://www.moe.go.tz/</w:t>
        </w:r>
      </w:hyperlink>
    </w:p>
    <w:p w14:paraId="38960EA6" w14:textId="77777777" w:rsidR="00575AB4" w:rsidRPr="00E01754" w:rsidRDefault="00575AB4" w:rsidP="00575AB4">
      <w:pPr>
        <w:tabs>
          <w:tab w:val="left" w:pos="3645"/>
        </w:tabs>
        <w:spacing w:after="0" w:line="240" w:lineRule="auto"/>
        <w:ind w:left="720" w:hanging="630"/>
        <w:jc w:val="both"/>
        <w:rPr>
          <w:rFonts w:ascii="Arial" w:hAnsi="Arial" w:cs="Arial"/>
        </w:rPr>
      </w:pPr>
      <w:r w:rsidRPr="00E01754">
        <w:rPr>
          <w:rFonts w:ascii="Arial" w:hAnsi="Arial" w:cs="Arial"/>
        </w:rPr>
        <w:t xml:space="preserve">United Nations. (2015). </w:t>
      </w:r>
      <w:r w:rsidRPr="00E01754">
        <w:rPr>
          <w:rFonts w:ascii="Arial" w:hAnsi="Arial" w:cs="Arial"/>
          <w:i/>
          <w:iCs/>
        </w:rPr>
        <w:t>Transforming our world: The 2030 agenda for sustainable development</w:t>
      </w:r>
      <w:r w:rsidRPr="00E01754">
        <w:rPr>
          <w:rFonts w:ascii="Arial" w:hAnsi="Arial" w:cs="Arial"/>
        </w:rPr>
        <w:t xml:space="preserve">. </w:t>
      </w:r>
      <w:hyperlink r:id="rId25" w:tgtFrame="_new" w:history="1">
        <w:r w:rsidRPr="00E01754">
          <w:rPr>
            <w:rFonts w:ascii="Arial" w:hAnsi="Arial" w:cs="Arial"/>
            <w:color w:val="0000FF"/>
            <w:u w:val="single"/>
          </w:rPr>
          <w:t>https://sdgs.un.org/2030agenda</w:t>
        </w:r>
      </w:hyperlink>
      <w:r w:rsidRPr="00E01754">
        <w:rPr>
          <w:rFonts w:ascii="Arial" w:hAnsi="Arial" w:cs="Arial"/>
        </w:rPr>
        <w:t>.</w:t>
      </w:r>
    </w:p>
    <w:p w14:paraId="6FBCCA12" w14:textId="77777777" w:rsidR="00575AB4" w:rsidRPr="00E01754" w:rsidRDefault="00575AB4" w:rsidP="00575AB4">
      <w:pPr>
        <w:spacing w:after="0" w:line="240" w:lineRule="auto"/>
        <w:ind w:left="720" w:hanging="720"/>
        <w:jc w:val="both"/>
        <w:rPr>
          <w:rFonts w:ascii="Arial" w:hAnsi="Arial" w:cs="Arial"/>
        </w:rPr>
      </w:pPr>
      <w:r w:rsidRPr="00E01754">
        <w:rPr>
          <w:rFonts w:ascii="Arial" w:hAnsi="Arial" w:cs="Arial"/>
        </w:rPr>
        <w:t xml:space="preserve">World Bank. (2020). </w:t>
      </w:r>
      <w:r w:rsidRPr="00E01754">
        <w:rPr>
          <w:rStyle w:val="Emphasis"/>
          <w:rFonts w:ascii="Arial" w:hAnsi="Arial" w:cs="Arial"/>
        </w:rPr>
        <w:t>The World Bank education strategy 2020: Learning for all – Investing in people’s knowledge and skills to promote development</w:t>
      </w:r>
      <w:r w:rsidRPr="00E01754">
        <w:rPr>
          <w:rFonts w:ascii="Arial" w:hAnsi="Arial" w:cs="Arial"/>
        </w:rPr>
        <w:t>. Washington, DC: World Bank.</w:t>
      </w:r>
    </w:p>
    <w:p w14:paraId="38A11797" w14:textId="77777777" w:rsidR="00575AB4" w:rsidRPr="00E01754" w:rsidRDefault="00575AB4" w:rsidP="00575AB4">
      <w:pPr>
        <w:spacing w:after="0" w:line="240" w:lineRule="auto"/>
        <w:ind w:left="993" w:hanging="993"/>
        <w:jc w:val="both"/>
        <w:rPr>
          <w:rFonts w:ascii="Arial" w:hAnsi="Arial" w:cs="Arial"/>
        </w:rPr>
      </w:pPr>
      <w:r w:rsidRPr="00E01754">
        <w:rPr>
          <w:rFonts w:ascii="Arial" w:hAnsi="Arial" w:cs="Arial"/>
        </w:rPr>
        <w:t>World Bank. (2023). Strengthening Basic Education System and Improving Learning Outcomes in Tanzania: A World Bank Policy Note for Tanzania-Mainland. In: World Bank.</w:t>
      </w:r>
    </w:p>
    <w:p w14:paraId="1712C9DC" w14:textId="77777777" w:rsidR="00575AB4" w:rsidRPr="00E01754" w:rsidRDefault="00575AB4" w:rsidP="00575AB4">
      <w:pPr>
        <w:spacing w:after="0" w:line="240" w:lineRule="auto"/>
        <w:ind w:left="993" w:hanging="993"/>
        <w:jc w:val="both"/>
        <w:rPr>
          <w:rFonts w:ascii="Arial" w:hAnsi="Arial" w:cs="Arial"/>
        </w:rPr>
      </w:pPr>
      <w:r w:rsidRPr="00E01754">
        <w:rPr>
          <w:rFonts w:ascii="Arial" w:eastAsia="Times New Roman" w:hAnsi="Arial" w:cs="Arial"/>
          <w:kern w:val="0"/>
          <w14:ligatures w14:val="none"/>
        </w:rPr>
        <w:t xml:space="preserve">Wulff, J., &amp; Lassen, A. (2024). </w:t>
      </w:r>
      <w:r w:rsidRPr="00E01754">
        <w:rPr>
          <w:rFonts w:ascii="Arial" w:eastAsia="Times New Roman" w:hAnsi="Arial" w:cs="Arial"/>
          <w:i/>
          <w:iCs/>
          <w:kern w:val="0"/>
          <w14:ligatures w14:val="none"/>
        </w:rPr>
        <w:t>Adult education and societal attitudes in the UK: Challenges and perceptions</w:t>
      </w:r>
      <w:r w:rsidRPr="00E01754">
        <w:rPr>
          <w:rFonts w:ascii="Arial" w:eastAsia="Times New Roman" w:hAnsi="Arial" w:cs="Arial"/>
          <w:kern w:val="0"/>
          <w14:ligatures w14:val="none"/>
        </w:rPr>
        <w:t>. European Journal of Adult Education, 10(1), 12–29.</w:t>
      </w:r>
    </w:p>
    <w:p w14:paraId="46D6B3C5" w14:textId="77777777" w:rsidR="00575AB4" w:rsidRPr="00E01754" w:rsidRDefault="00575AB4" w:rsidP="00575AB4">
      <w:pPr>
        <w:spacing w:after="0" w:line="240" w:lineRule="auto"/>
        <w:ind w:left="993" w:hanging="993"/>
        <w:jc w:val="both"/>
        <w:rPr>
          <w:rFonts w:ascii="Arial" w:hAnsi="Arial" w:cs="Arial"/>
        </w:rPr>
      </w:pPr>
      <w:r w:rsidRPr="00E01754">
        <w:rPr>
          <w:rFonts w:ascii="Arial" w:eastAsia="Times New Roman" w:hAnsi="Arial" w:cs="Arial"/>
          <w:kern w:val="0"/>
          <w14:ligatures w14:val="none"/>
        </w:rPr>
        <w:t xml:space="preserve">World Bank. (2022). </w:t>
      </w:r>
      <w:r w:rsidRPr="00E01754">
        <w:rPr>
          <w:rFonts w:ascii="Arial" w:eastAsia="Times New Roman" w:hAnsi="Arial" w:cs="Arial"/>
          <w:i/>
          <w:iCs/>
          <w:kern w:val="0"/>
          <w14:ligatures w14:val="none"/>
        </w:rPr>
        <w:t>Blended and online learning for adult learners: Opportunities and challenges</w:t>
      </w:r>
      <w:r w:rsidRPr="00E01754">
        <w:rPr>
          <w:rFonts w:ascii="Arial" w:eastAsia="Times New Roman" w:hAnsi="Arial" w:cs="Arial"/>
          <w:kern w:val="0"/>
          <w14:ligatures w14:val="none"/>
        </w:rPr>
        <w:t xml:space="preserve">. </w:t>
      </w:r>
      <w:hyperlink r:id="rId26" w:tgtFrame="_new" w:history="1">
        <w:r w:rsidRPr="00E01754">
          <w:rPr>
            <w:rFonts w:ascii="Arial" w:eastAsia="Times New Roman" w:hAnsi="Arial" w:cs="Arial"/>
            <w:color w:val="0000FF"/>
            <w:kern w:val="0"/>
            <w:u w:val="single"/>
            <w14:ligatures w14:val="none"/>
          </w:rPr>
          <w:t>https://www.worldbank.org</w:t>
        </w:r>
      </w:hyperlink>
    </w:p>
    <w:p w14:paraId="35BB64E8" w14:textId="77777777" w:rsidR="00575AB4" w:rsidRPr="00E01754" w:rsidRDefault="00575AB4" w:rsidP="00575AB4">
      <w:pPr>
        <w:tabs>
          <w:tab w:val="left" w:pos="3645"/>
        </w:tabs>
        <w:spacing w:after="0" w:line="240" w:lineRule="auto"/>
        <w:ind w:left="720" w:hanging="630"/>
        <w:jc w:val="both"/>
        <w:rPr>
          <w:rFonts w:ascii="Arial" w:hAnsi="Arial" w:cs="Arial"/>
        </w:rPr>
      </w:pPr>
      <w:r w:rsidRPr="00E01754">
        <w:rPr>
          <w:rFonts w:ascii="Arial" w:hAnsi="Arial" w:cs="Arial"/>
        </w:rPr>
        <w:t>Yusoff, N. R. B. N., Mahfar, M. B., &amp; Saud, M. S. B. (2019). A review of social career cognitive theory (SCCT) for career decision self</w:t>
      </w:r>
      <w:r w:rsidRPr="00E01754">
        <w:rPr>
          <w:rFonts w:ascii="Arial" w:hAnsi="Arial" w:cs="Arial"/>
        </w:rPr>
        <w:noBreakHyphen/>
        <w:t xml:space="preserve">efficacy (CDSE). </w:t>
      </w:r>
      <w:r w:rsidRPr="00E01754">
        <w:rPr>
          <w:rFonts w:ascii="Arial" w:hAnsi="Arial" w:cs="Arial"/>
          <w:i/>
          <w:iCs/>
        </w:rPr>
        <w:t>International Journal of Engineering and Advanced Technology, 8</w:t>
      </w:r>
      <w:r w:rsidRPr="00E01754">
        <w:rPr>
          <w:rFonts w:ascii="Arial" w:hAnsi="Arial" w:cs="Arial"/>
        </w:rPr>
        <w:t xml:space="preserve">(5C), 808–817. </w:t>
      </w:r>
      <w:hyperlink r:id="rId27" w:tgtFrame="_new" w:history="1">
        <w:r w:rsidRPr="00E01754">
          <w:rPr>
            <w:rFonts w:ascii="Arial" w:hAnsi="Arial" w:cs="Arial"/>
            <w:color w:val="0000FF"/>
            <w:u w:val="single"/>
          </w:rPr>
          <w:t>https://doi.org/10.35940/ijeat.E1114.0585C19</w:t>
        </w:r>
      </w:hyperlink>
    </w:p>
    <w:p w14:paraId="711AF809" w14:textId="77777777" w:rsidR="00575AB4" w:rsidRPr="00E01754" w:rsidRDefault="00575AB4" w:rsidP="00575AB4">
      <w:pPr>
        <w:tabs>
          <w:tab w:val="left" w:pos="3645"/>
        </w:tabs>
        <w:spacing w:after="0" w:line="240" w:lineRule="auto"/>
        <w:ind w:left="720" w:hanging="630"/>
        <w:jc w:val="both"/>
        <w:rPr>
          <w:rFonts w:ascii="Arial" w:hAnsi="Arial" w:cs="Arial"/>
        </w:rPr>
      </w:pPr>
      <w:r w:rsidRPr="00E01754">
        <w:rPr>
          <w:rFonts w:ascii="Arial" w:eastAsia="Times New Roman" w:hAnsi="Arial" w:cs="Arial"/>
          <w:kern w:val="0"/>
          <w14:ligatures w14:val="none"/>
        </w:rPr>
        <w:t xml:space="preserve">Zickafoose, R., [Co-author], &amp; Reimers, F. (2024). </w:t>
      </w:r>
      <w:r w:rsidRPr="00E01754">
        <w:rPr>
          <w:rFonts w:ascii="Arial" w:eastAsia="Times New Roman" w:hAnsi="Arial" w:cs="Arial"/>
          <w:i/>
          <w:iCs/>
          <w:kern w:val="0"/>
          <w14:ligatures w14:val="none"/>
        </w:rPr>
        <w:t>Adult literacy, lifelong learning, and SDGs in Sub-Saharan Africa</w:t>
      </w:r>
      <w:r w:rsidRPr="00E01754">
        <w:rPr>
          <w:rFonts w:ascii="Arial" w:eastAsia="Times New Roman" w:hAnsi="Arial" w:cs="Arial"/>
          <w:kern w:val="0"/>
          <w14:ligatures w14:val="none"/>
        </w:rPr>
        <w:t>. International Review of Education, 70(2), 201–225.</w:t>
      </w:r>
    </w:p>
    <w:p w14:paraId="32AA76B8" w14:textId="77777777" w:rsidR="00575AB4" w:rsidRPr="00E01754" w:rsidRDefault="00575AB4" w:rsidP="00575AB4">
      <w:pPr>
        <w:tabs>
          <w:tab w:val="left" w:pos="3645"/>
        </w:tabs>
        <w:spacing w:after="0" w:line="240" w:lineRule="auto"/>
        <w:ind w:left="720" w:hanging="630"/>
        <w:jc w:val="both"/>
        <w:rPr>
          <w:rFonts w:ascii="Arial" w:hAnsi="Arial" w:cs="Arial"/>
        </w:rPr>
      </w:pPr>
    </w:p>
    <w:p w14:paraId="509937A6" w14:textId="77777777" w:rsidR="00575AB4" w:rsidRPr="00E01754" w:rsidRDefault="00575AB4" w:rsidP="00575AB4">
      <w:pPr>
        <w:spacing w:after="0" w:line="240" w:lineRule="auto"/>
        <w:ind w:left="720" w:hanging="720"/>
        <w:jc w:val="both"/>
        <w:rPr>
          <w:rFonts w:ascii="Arial" w:hAnsi="Arial" w:cs="Arial"/>
        </w:rPr>
      </w:pPr>
    </w:p>
    <w:p w14:paraId="5BD21131" w14:textId="77777777" w:rsidR="00575AB4" w:rsidRPr="00575AB4" w:rsidRDefault="00575AB4" w:rsidP="003C750B">
      <w:pPr>
        <w:spacing w:after="0" w:line="276" w:lineRule="auto"/>
        <w:jc w:val="both"/>
        <w:rPr>
          <w:rFonts w:ascii="Arial" w:hAnsi="Arial" w:cs="Arial"/>
          <w:b/>
          <w:bCs/>
        </w:rPr>
      </w:pPr>
    </w:p>
    <w:sectPr w:rsidR="00575AB4" w:rsidRPr="00575AB4" w:rsidSect="001B077F">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4A913" w14:textId="77777777" w:rsidR="00CF251F" w:rsidRPr="00E01754" w:rsidRDefault="00CF251F" w:rsidP="004F1E97">
      <w:pPr>
        <w:spacing w:after="0" w:line="240" w:lineRule="auto"/>
      </w:pPr>
      <w:r w:rsidRPr="00E01754">
        <w:separator/>
      </w:r>
    </w:p>
  </w:endnote>
  <w:endnote w:type="continuationSeparator" w:id="0">
    <w:p w14:paraId="29851BC1" w14:textId="77777777" w:rsidR="00CF251F" w:rsidRPr="00E01754" w:rsidRDefault="00CF251F" w:rsidP="004F1E97">
      <w:pPr>
        <w:spacing w:after="0" w:line="240" w:lineRule="auto"/>
      </w:pPr>
      <w:r w:rsidRPr="00E01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8195" w14:textId="77777777" w:rsidR="00583201" w:rsidRPr="00E01754" w:rsidRDefault="0058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45C9" w14:textId="77777777" w:rsidR="00583201" w:rsidRPr="00E01754" w:rsidRDefault="00583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B091" w14:textId="77777777" w:rsidR="00583201" w:rsidRPr="00E01754" w:rsidRDefault="0058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01C76" w14:textId="77777777" w:rsidR="00CF251F" w:rsidRPr="00E01754" w:rsidRDefault="00CF251F" w:rsidP="004F1E97">
      <w:pPr>
        <w:spacing w:after="0" w:line="240" w:lineRule="auto"/>
      </w:pPr>
      <w:r w:rsidRPr="00E01754">
        <w:separator/>
      </w:r>
    </w:p>
  </w:footnote>
  <w:footnote w:type="continuationSeparator" w:id="0">
    <w:p w14:paraId="552403A2" w14:textId="77777777" w:rsidR="00CF251F" w:rsidRPr="00E01754" w:rsidRDefault="00CF251F" w:rsidP="004F1E97">
      <w:pPr>
        <w:spacing w:after="0" w:line="240" w:lineRule="auto"/>
      </w:pPr>
      <w:r w:rsidRPr="00E01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2E1F" w14:textId="08AE8A83" w:rsidR="00583201" w:rsidRPr="00E01754" w:rsidRDefault="00CF251F">
    <w:pPr>
      <w:pStyle w:val="Header"/>
    </w:pPr>
    <w:r>
      <w:pict w14:anchorId="54C0E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F40C" w14:textId="7176EDB7" w:rsidR="00583201" w:rsidRPr="00E01754" w:rsidRDefault="00CF251F">
    <w:pPr>
      <w:pStyle w:val="Header"/>
    </w:pPr>
    <w:r>
      <w:pict w14:anchorId="62299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E20C" w14:textId="3ED13147" w:rsidR="00583201" w:rsidRPr="00E01754" w:rsidRDefault="00CF251F">
    <w:pPr>
      <w:pStyle w:val="Header"/>
    </w:pPr>
    <w:r>
      <w:pict w14:anchorId="11066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E42A1"/>
    <w:multiLevelType w:val="multilevel"/>
    <w:tmpl w:val="74E62F9E"/>
    <w:lvl w:ilvl="0">
      <w:start w:val="1"/>
      <w:numFmt w:val="decimal"/>
      <w:lvlText w:val="%1."/>
      <w:lvlJc w:val="left"/>
      <w:pPr>
        <w:ind w:left="720" w:hanging="360"/>
      </w:pPr>
      <w:rPr>
        <w:rFonts w:asciiTheme="minorHAnsi" w:hAnsiTheme="minorHAnsi" w:cstheme="minorBidi" w:hint="default"/>
        <w:b w:val="0"/>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C0735FF"/>
    <w:multiLevelType w:val="hybridMultilevel"/>
    <w:tmpl w:val="83F0350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71323"/>
    <w:multiLevelType w:val="hybridMultilevel"/>
    <w:tmpl w:val="921248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7F"/>
    <w:rsid w:val="00005F5D"/>
    <w:rsid w:val="00053F96"/>
    <w:rsid w:val="00063F34"/>
    <w:rsid w:val="000666F9"/>
    <w:rsid w:val="000A7207"/>
    <w:rsid w:val="000C65D1"/>
    <w:rsid w:val="000E5A11"/>
    <w:rsid w:val="000E78F4"/>
    <w:rsid w:val="00193A30"/>
    <w:rsid w:val="001A3C7B"/>
    <w:rsid w:val="001B077F"/>
    <w:rsid w:val="001F7024"/>
    <w:rsid w:val="00210B67"/>
    <w:rsid w:val="00231521"/>
    <w:rsid w:val="0024799D"/>
    <w:rsid w:val="00254D5C"/>
    <w:rsid w:val="0029154D"/>
    <w:rsid w:val="002A782D"/>
    <w:rsid w:val="002D0142"/>
    <w:rsid w:val="00344C0A"/>
    <w:rsid w:val="003855A2"/>
    <w:rsid w:val="003A583D"/>
    <w:rsid w:val="003C750B"/>
    <w:rsid w:val="003F0E56"/>
    <w:rsid w:val="00410605"/>
    <w:rsid w:val="0046190B"/>
    <w:rsid w:val="00473914"/>
    <w:rsid w:val="00487D3C"/>
    <w:rsid w:val="004924C4"/>
    <w:rsid w:val="004F1E97"/>
    <w:rsid w:val="005259DD"/>
    <w:rsid w:val="005374CA"/>
    <w:rsid w:val="00564B2F"/>
    <w:rsid w:val="00575AB4"/>
    <w:rsid w:val="00583201"/>
    <w:rsid w:val="005A217E"/>
    <w:rsid w:val="005B6017"/>
    <w:rsid w:val="005C7193"/>
    <w:rsid w:val="005E53BF"/>
    <w:rsid w:val="005F28D1"/>
    <w:rsid w:val="00601DF2"/>
    <w:rsid w:val="00640E09"/>
    <w:rsid w:val="00651220"/>
    <w:rsid w:val="0067050A"/>
    <w:rsid w:val="006773F2"/>
    <w:rsid w:val="0069250F"/>
    <w:rsid w:val="00754FC0"/>
    <w:rsid w:val="00792332"/>
    <w:rsid w:val="00794F29"/>
    <w:rsid w:val="007F180D"/>
    <w:rsid w:val="00800E97"/>
    <w:rsid w:val="00801998"/>
    <w:rsid w:val="00850E6C"/>
    <w:rsid w:val="008B2C21"/>
    <w:rsid w:val="00900729"/>
    <w:rsid w:val="00921F75"/>
    <w:rsid w:val="00947C0B"/>
    <w:rsid w:val="00963D22"/>
    <w:rsid w:val="009A73ED"/>
    <w:rsid w:val="009C4DD0"/>
    <w:rsid w:val="009E1FC9"/>
    <w:rsid w:val="00A25EF4"/>
    <w:rsid w:val="00A41B38"/>
    <w:rsid w:val="00B02EA8"/>
    <w:rsid w:val="00BA435B"/>
    <w:rsid w:val="00BB5B29"/>
    <w:rsid w:val="00BC0A8A"/>
    <w:rsid w:val="00C30D47"/>
    <w:rsid w:val="00C531D3"/>
    <w:rsid w:val="00C85E40"/>
    <w:rsid w:val="00CF1007"/>
    <w:rsid w:val="00CF251F"/>
    <w:rsid w:val="00CF6A8F"/>
    <w:rsid w:val="00D353E3"/>
    <w:rsid w:val="00D4158E"/>
    <w:rsid w:val="00D52406"/>
    <w:rsid w:val="00D6329D"/>
    <w:rsid w:val="00DB1664"/>
    <w:rsid w:val="00DD52A2"/>
    <w:rsid w:val="00DD55C5"/>
    <w:rsid w:val="00DE622E"/>
    <w:rsid w:val="00E01754"/>
    <w:rsid w:val="00E03639"/>
    <w:rsid w:val="00E477D0"/>
    <w:rsid w:val="00E54714"/>
    <w:rsid w:val="00F261A9"/>
    <w:rsid w:val="00F31975"/>
    <w:rsid w:val="00F72BC5"/>
    <w:rsid w:val="00F95343"/>
    <w:rsid w:val="00FA5DAD"/>
    <w:rsid w:val="00FB7823"/>
    <w:rsid w:val="00FC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E53B0"/>
  <w15:chartTrackingRefBased/>
  <w15:docId w15:val="{C68E28D9-3982-45FF-B222-01D588EF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0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77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1B077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1B077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1B077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B077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1B077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B077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B077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B077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B0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77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B0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77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B077F"/>
    <w:pPr>
      <w:spacing w:before="160"/>
      <w:jc w:val="center"/>
    </w:pPr>
    <w:rPr>
      <w:i/>
      <w:iCs/>
      <w:color w:val="404040" w:themeColor="text1" w:themeTint="BF"/>
    </w:rPr>
  </w:style>
  <w:style w:type="character" w:customStyle="1" w:styleId="QuoteChar">
    <w:name w:val="Quote Char"/>
    <w:basedOn w:val="DefaultParagraphFont"/>
    <w:link w:val="Quote"/>
    <w:uiPriority w:val="29"/>
    <w:rsid w:val="001B077F"/>
    <w:rPr>
      <w:i/>
      <w:iCs/>
      <w:color w:val="404040" w:themeColor="text1" w:themeTint="BF"/>
      <w:lang w:val="en-GB"/>
    </w:rPr>
  </w:style>
  <w:style w:type="paragraph" w:styleId="ListParagraph">
    <w:name w:val="List Paragraph"/>
    <w:basedOn w:val="Normal"/>
    <w:uiPriority w:val="34"/>
    <w:qFormat/>
    <w:rsid w:val="001B077F"/>
    <w:pPr>
      <w:ind w:left="720"/>
      <w:contextualSpacing/>
    </w:pPr>
  </w:style>
  <w:style w:type="character" w:styleId="IntenseEmphasis">
    <w:name w:val="Intense Emphasis"/>
    <w:basedOn w:val="DefaultParagraphFont"/>
    <w:uiPriority w:val="21"/>
    <w:qFormat/>
    <w:rsid w:val="001B077F"/>
    <w:rPr>
      <w:i/>
      <w:iCs/>
      <w:color w:val="2F5496" w:themeColor="accent1" w:themeShade="BF"/>
    </w:rPr>
  </w:style>
  <w:style w:type="paragraph" w:styleId="IntenseQuote">
    <w:name w:val="Intense Quote"/>
    <w:basedOn w:val="Normal"/>
    <w:next w:val="Normal"/>
    <w:link w:val="IntenseQuoteChar"/>
    <w:uiPriority w:val="30"/>
    <w:qFormat/>
    <w:rsid w:val="001B0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77F"/>
    <w:rPr>
      <w:i/>
      <w:iCs/>
      <w:color w:val="2F5496" w:themeColor="accent1" w:themeShade="BF"/>
      <w:lang w:val="en-GB"/>
    </w:rPr>
  </w:style>
  <w:style w:type="character" w:styleId="IntenseReference">
    <w:name w:val="Intense Reference"/>
    <w:basedOn w:val="DefaultParagraphFont"/>
    <w:uiPriority w:val="32"/>
    <w:qFormat/>
    <w:rsid w:val="001B077F"/>
    <w:rPr>
      <w:b/>
      <w:bCs/>
      <w:smallCaps/>
      <w:color w:val="2F5496" w:themeColor="accent1" w:themeShade="BF"/>
      <w:spacing w:val="5"/>
    </w:rPr>
  </w:style>
  <w:style w:type="paragraph" w:styleId="NormalWeb">
    <w:name w:val="Normal (Web)"/>
    <w:basedOn w:val="Normal"/>
    <w:uiPriority w:val="99"/>
    <w:semiHidden/>
    <w:unhideWhenUsed/>
    <w:rsid w:val="000A720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0A7207"/>
    <w:rPr>
      <w:b/>
      <w:bCs/>
    </w:rPr>
  </w:style>
  <w:style w:type="paragraph" w:styleId="Header">
    <w:name w:val="header"/>
    <w:basedOn w:val="Normal"/>
    <w:link w:val="HeaderChar"/>
    <w:uiPriority w:val="99"/>
    <w:unhideWhenUsed/>
    <w:rsid w:val="004F1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E97"/>
    <w:rPr>
      <w:lang w:val="en-GB"/>
    </w:rPr>
  </w:style>
  <w:style w:type="paragraph" w:styleId="Footer">
    <w:name w:val="footer"/>
    <w:basedOn w:val="Normal"/>
    <w:link w:val="FooterChar"/>
    <w:uiPriority w:val="99"/>
    <w:unhideWhenUsed/>
    <w:rsid w:val="004F1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E97"/>
    <w:rPr>
      <w:lang w:val="en-GB"/>
    </w:rPr>
  </w:style>
  <w:style w:type="character" w:styleId="Emphasis">
    <w:name w:val="Emphasis"/>
    <w:basedOn w:val="DefaultParagraphFont"/>
    <w:uiPriority w:val="20"/>
    <w:qFormat/>
    <w:rsid w:val="00575AB4"/>
    <w:rPr>
      <w:i/>
      <w:iCs/>
    </w:rPr>
  </w:style>
  <w:style w:type="character" w:styleId="Hyperlink">
    <w:name w:val="Hyperlink"/>
    <w:uiPriority w:val="99"/>
    <w:unhideWhenUsed/>
    <w:rsid w:val="00575AB4"/>
    <w:rPr>
      <w:color w:val="0000FF"/>
      <w:u w:val="single"/>
    </w:rPr>
  </w:style>
  <w:style w:type="paragraph" w:customStyle="1" w:styleId="EndNoteBibliography">
    <w:name w:val="EndNote Bibliography"/>
    <w:basedOn w:val="Normal"/>
    <w:link w:val="EndNoteBibliographyChar"/>
    <w:rsid w:val="00575AB4"/>
    <w:pPr>
      <w:spacing w:after="200" w:line="240" w:lineRule="auto"/>
    </w:pPr>
    <w:rPr>
      <w:rFonts w:ascii="Calibri" w:eastAsia="Calibri" w:hAnsi="Calibri" w:cs="Calibri"/>
      <w:noProof/>
      <w:kern w:val="0"/>
      <w:sz w:val="22"/>
      <w:szCs w:val="22"/>
      <w:lang w:val="en-US"/>
      <w14:ligatures w14:val="none"/>
    </w:rPr>
  </w:style>
  <w:style w:type="character" w:customStyle="1" w:styleId="EndNoteBibliographyChar">
    <w:name w:val="EndNote Bibliography Char"/>
    <w:link w:val="EndNoteBibliography"/>
    <w:rsid w:val="00575AB4"/>
    <w:rPr>
      <w:rFonts w:ascii="Calibri" w:eastAsia="Calibri" w:hAnsi="Calibri" w:cs="Calibri"/>
      <w:noProof/>
      <w:kern w:val="0"/>
      <w:sz w:val="22"/>
      <w:szCs w:val="22"/>
      <w14:ligatures w14:val="none"/>
    </w:rPr>
  </w:style>
  <w:style w:type="character" w:styleId="UnresolvedMention">
    <w:name w:val="Unresolved Mention"/>
    <w:basedOn w:val="DefaultParagraphFont"/>
    <w:uiPriority w:val="99"/>
    <w:semiHidden/>
    <w:unhideWhenUsed/>
    <w:rsid w:val="00066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cd.org/education/" TargetMode="External"/><Relationship Id="rId18" Type="http://schemas.openxmlformats.org/officeDocument/2006/relationships/hyperlink" Target="https://www.unesco.org/" TargetMode="External"/><Relationship Id="rId26" Type="http://schemas.openxmlformats.org/officeDocument/2006/relationships/hyperlink" Target="https://www.worldbank.org" TargetMode="External"/><Relationship Id="rId3" Type="http://schemas.openxmlformats.org/officeDocument/2006/relationships/styles" Target="styles.xml"/><Relationship Id="rId21" Type="http://schemas.openxmlformats.org/officeDocument/2006/relationships/hyperlink" Target="https://www.unesco.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l.org" TargetMode="External"/><Relationship Id="rId17" Type="http://schemas.openxmlformats.org/officeDocument/2006/relationships/hyperlink" Target="https://sdgs.un.org/2030agenda" TargetMode="External"/><Relationship Id="rId25" Type="http://schemas.openxmlformats.org/officeDocument/2006/relationships/hyperlink" Target="https://sdgs.un.org/2030agend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oe.go.tz/" TargetMode="External"/><Relationship Id="rId20" Type="http://schemas.openxmlformats.org/officeDocument/2006/relationships/hyperlink" Target="https://www.unesco.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606/eajess2021v02i02.0076" TargetMode="External"/><Relationship Id="rId24" Type="http://schemas.openxmlformats.org/officeDocument/2006/relationships/hyperlink" Target="https://www.moe.go.tz/"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102/00346543251400769" TargetMode="External"/><Relationship Id="rId23" Type="http://schemas.openxmlformats.org/officeDocument/2006/relationships/hyperlink" Target="https://www.ed.gov" TargetMode="External"/><Relationship Id="rId28" Type="http://schemas.openxmlformats.org/officeDocument/2006/relationships/header" Target="header1.xml"/><Relationship Id="rId10" Type="http://schemas.openxmlformats.org/officeDocument/2006/relationships/hyperlink" Target="https://lincs.ed.gov/sites/default/files/11_%20AE_Theory.pdf" TargetMode="External"/><Relationship Id="rId19" Type="http://schemas.openxmlformats.org/officeDocument/2006/relationships/hyperlink" Target="https://www.unesco.or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iles.eric.ed.gov/fulltext/ED492132.pdf" TargetMode="External"/><Relationship Id="rId14" Type="http://schemas.openxmlformats.org/officeDocument/2006/relationships/hyperlink" Target="https://www.oecd.org/education/" TargetMode="External"/><Relationship Id="rId22" Type="http://schemas.openxmlformats.org/officeDocument/2006/relationships/hyperlink" Target="https://www.unesco.org/" TargetMode="External"/><Relationship Id="rId27" Type="http://schemas.openxmlformats.org/officeDocument/2006/relationships/hyperlink" Target="https://doi.org/10.35940/ijeat.E1114.0585C1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3304/ijetl.v6i.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7E3F9A-911D-4318-8619-793704367996}">
  <we:reference id="wa200000368" version="1.0.0.0" store="en-US" storeType="OMEX"/>
  <we:alternateReferences>
    <we:reference id="WA200000368" version="1.0.0.0" store="" storeType="OMEX"/>
  </we:alternateReferences>
  <we:properties>
    <we:property name="documentId" value="&quot;43a713b4680c03c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44CEB-A463-41A8-9704-D3D980DF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18</Pages>
  <Words>7706</Words>
  <Characters>43927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 MSAFIRI</dc:creator>
  <cp:keywords/>
  <dc:description/>
  <cp:lastModifiedBy>SDI 1158</cp:lastModifiedBy>
  <cp:revision>84</cp:revision>
  <dcterms:created xsi:type="dcterms:W3CDTF">2026-02-10T17:19:00Z</dcterms:created>
  <dcterms:modified xsi:type="dcterms:W3CDTF">2026-02-17T07:50:00Z</dcterms:modified>
</cp:coreProperties>
</file>