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80" w:rsidRDefault="00A97955" w:rsidP="00A97955">
      <w:pPr>
        <w:jc w:val="center"/>
        <w:rPr>
          <w:rFonts w:ascii="Times New Roman" w:hAnsi="Times New Roman" w:cs="Times New Roman"/>
          <w:b/>
          <w:bCs/>
          <w:sz w:val="28"/>
          <w:szCs w:val="36"/>
          <w:lang w:val="en-IN"/>
        </w:rPr>
      </w:pPr>
      <w:r w:rsidRPr="00A97955">
        <w:rPr>
          <w:rFonts w:ascii="Times New Roman" w:hAnsi="Times New Roman" w:cs="Times New Roman"/>
          <w:b/>
          <w:bCs/>
          <w:sz w:val="28"/>
          <w:szCs w:val="36"/>
          <w:lang w:val="en-IN"/>
        </w:rPr>
        <w:t>Perception of Pre-Service Teachers toward Inte</w:t>
      </w:r>
      <w:r>
        <w:rPr>
          <w:rFonts w:ascii="Times New Roman" w:hAnsi="Times New Roman" w:cs="Times New Roman"/>
          <w:b/>
          <w:bCs/>
          <w:sz w:val="28"/>
          <w:szCs w:val="36"/>
          <w:lang w:val="en-IN"/>
        </w:rPr>
        <w:t>grating Arts in STEM Education</w:t>
      </w:r>
    </w:p>
    <w:p w:rsidR="00DB0B11" w:rsidRDefault="00DB0B11" w:rsidP="00582D29">
      <w:pPr>
        <w:jc w:val="center"/>
        <w:rPr>
          <w:rFonts w:ascii="Times New Roman" w:hAnsi="Times New Roman" w:cs="Times New Roman"/>
          <w:b/>
          <w:bCs/>
          <w:sz w:val="28"/>
          <w:szCs w:val="36"/>
          <w:lang w:val="en-IN"/>
        </w:rPr>
      </w:pPr>
    </w:p>
    <w:p w:rsidR="00A97955" w:rsidRPr="00A97955" w:rsidRDefault="00A97955" w:rsidP="00A97955">
      <w:pPr>
        <w:jc w:val="center"/>
        <w:rPr>
          <w:rFonts w:ascii="Times New Roman" w:hAnsi="Times New Roman" w:cs="Times New Roman"/>
          <w:b/>
          <w:bCs/>
          <w:sz w:val="28"/>
          <w:szCs w:val="36"/>
          <w:lang w:val="en-IN"/>
        </w:rPr>
      </w:pP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Abstract</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Integrating Arts into Science, Technology, Engineering, and Mathematics (also known as STEM) education or, simply put, STEAM education has received growing popularity as a way of promoting creativity, critical thinking, and holistic learning. The effective introduction of STEAM pedagogy is heavily based on the perception, attitude and readiness of the teachers, especially at the pre-service level. The current </w:t>
      </w:r>
      <w:r w:rsidR="005862F6">
        <w:rPr>
          <w:rFonts w:ascii="Times New Roman" w:hAnsi="Times New Roman" w:cs="Times New Roman"/>
          <w:sz w:val="24"/>
          <w:szCs w:val="24"/>
          <w:lang w:val="en-IN"/>
        </w:rPr>
        <w:t>study</w:t>
      </w:r>
      <w:r w:rsidRPr="00CC46A6">
        <w:rPr>
          <w:rFonts w:ascii="Times New Roman" w:hAnsi="Times New Roman" w:cs="Times New Roman"/>
          <w:sz w:val="24"/>
          <w:szCs w:val="24"/>
          <w:lang w:val="en-IN"/>
        </w:rPr>
        <w:t xml:space="preserve"> was set to </w:t>
      </w:r>
      <w:r w:rsidR="005862F6">
        <w:rPr>
          <w:rFonts w:ascii="Times New Roman" w:hAnsi="Times New Roman" w:cs="Times New Roman"/>
          <w:sz w:val="24"/>
          <w:szCs w:val="24"/>
          <w:lang w:val="en-IN"/>
        </w:rPr>
        <w:t>understand</w:t>
      </w:r>
      <w:r w:rsidRPr="00CC46A6">
        <w:rPr>
          <w:rFonts w:ascii="Times New Roman" w:hAnsi="Times New Roman" w:cs="Times New Roman"/>
          <w:sz w:val="24"/>
          <w:szCs w:val="24"/>
          <w:lang w:val="en-IN"/>
        </w:rPr>
        <w:t xml:space="preserve"> the perceptions of</w:t>
      </w:r>
      <w:r w:rsidR="005862F6">
        <w:rPr>
          <w:rFonts w:ascii="Times New Roman" w:hAnsi="Times New Roman" w:cs="Times New Roman"/>
          <w:sz w:val="24"/>
          <w:szCs w:val="24"/>
          <w:lang w:val="en-IN"/>
        </w:rPr>
        <w:t xml:space="preserve"> 100</w:t>
      </w:r>
      <w:r w:rsidRPr="00CC46A6">
        <w:rPr>
          <w:rFonts w:ascii="Times New Roman" w:hAnsi="Times New Roman" w:cs="Times New Roman"/>
          <w:sz w:val="24"/>
          <w:szCs w:val="24"/>
          <w:lang w:val="en-IN"/>
        </w:rPr>
        <w:t xml:space="preserve"> pre-service teachers on the integration of Arts in STEM education with special attention on their attitudes, perceived readiness and the challenges in implementation. The study employed a descriptive survey design, and pre-service teachers were </w:t>
      </w:r>
      <w:r w:rsidR="005862F6">
        <w:rPr>
          <w:rFonts w:ascii="Times New Roman" w:hAnsi="Times New Roman" w:cs="Times New Roman"/>
          <w:sz w:val="24"/>
          <w:szCs w:val="24"/>
          <w:lang w:val="en-IN"/>
        </w:rPr>
        <w:t xml:space="preserve">using a </w:t>
      </w:r>
      <w:r w:rsidRPr="00CC46A6">
        <w:rPr>
          <w:rFonts w:ascii="Times New Roman" w:hAnsi="Times New Roman" w:cs="Times New Roman"/>
          <w:sz w:val="24"/>
          <w:szCs w:val="24"/>
          <w:lang w:val="en-IN"/>
        </w:rPr>
        <w:t>questionnaire based to provide information on the study. The gathered data were processed with the descriptive and inferential statistics analysis methods. The results showed that the pre-service teachers usually have a positive perception and a positive attitude towards Arts-integrated STEM education. Nevertheless, their willingness to apply STEAM pedagogy was rated as an average one, which showed the lack of competence in training and assessment practices. Professional training, time, resource constraint, and curriculum rigidity were found to be the biggest challenges. The analysis finds that pre-service teachers are generally conceptually enthusiastic about STEAM education, but need systematic curriculum-based support and practical exposure to increase the implementation readiness. The</w:t>
      </w:r>
      <w:r w:rsidR="005862F6">
        <w:rPr>
          <w:rFonts w:ascii="Times New Roman" w:hAnsi="Times New Roman" w:cs="Times New Roman"/>
          <w:sz w:val="24"/>
          <w:szCs w:val="24"/>
          <w:lang w:val="en-IN"/>
        </w:rPr>
        <w:t xml:space="preserve"> study has recommended that</w:t>
      </w:r>
      <w:r w:rsidRPr="00CC46A6">
        <w:rPr>
          <w:rFonts w:ascii="Times New Roman" w:hAnsi="Times New Roman" w:cs="Times New Roman"/>
          <w:sz w:val="24"/>
          <w:szCs w:val="24"/>
          <w:lang w:val="en-IN"/>
        </w:rPr>
        <w:t xml:space="preserve"> </w:t>
      </w:r>
      <w:r w:rsidR="005862F6">
        <w:rPr>
          <w:rFonts w:ascii="Times New Roman" w:hAnsi="Times New Roman" w:cs="Times New Roman"/>
          <w:sz w:val="24"/>
          <w:szCs w:val="24"/>
          <w:lang w:val="en-IN"/>
        </w:rPr>
        <w:t xml:space="preserve">the </w:t>
      </w:r>
      <w:r w:rsidRPr="00CC46A6">
        <w:rPr>
          <w:rFonts w:ascii="Times New Roman" w:hAnsi="Times New Roman" w:cs="Times New Roman"/>
          <w:sz w:val="24"/>
          <w:szCs w:val="24"/>
          <w:lang w:val="en-IN"/>
        </w:rPr>
        <w:t>results are useful in reinforcing the teacher education programs that are based on STEAM.</w:t>
      </w:r>
      <w:r w:rsidR="005862F6">
        <w:rPr>
          <w:rFonts w:ascii="Times New Roman" w:hAnsi="Times New Roman" w:cs="Times New Roman"/>
          <w:sz w:val="24"/>
          <w:szCs w:val="24"/>
          <w:lang w:val="en-IN"/>
        </w:rPr>
        <w:t xml:space="preserve">  </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b/>
          <w:bCs/>
          <w:sz w:val="24"/>
          <w:szCs w:val="24"/>
          <w:lang w:val="en-IN"/>
        </w:rPr>
        <w:t>Keywords:</w:t>
      </w:r>
      <w:r w:rsidRPr="00CC46A6">
        <w:rPr>
          <w:rFonts w:ascii="Times New Roman" w:hAnsi="Times New Roman" w:cs="Times New Roman"/>
          <w:sz w:val="24"/>
          <w:szCs w:val="24"/>
          <w:lang w:val="en-IN"/>
        </w:rPr>
        <w:t xml:space="preserve"> STEAM education, pre-service teachers, arts integration, teacher education, perception study.</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Introduction</w:t>
      </w:r>
    </w:p>
    <w:p w:rsidR="00CC46A6" w:rsidRPr="00CC46A6" w:rsidRDefault="005862F6" w:rsidP="00CC46A6">
      <w:pPr>
        <w:jc w:val="both"/>
        <w:rPr>
          <w:rFonts w:ascii="Times New Roman" w:hAnsi="Times New Roman" w:cs="Times New Roman"/>
          <w:sz w:val="24"/>
          <w:szCs w:val="24"/>
          <w:lang w:val="en-IN"/>
        </w:rPr>
      </w:pPr>
      <w:r w:rsidRPr="005862F6">
        <w:rPr>
          <w:rFonts w:ascii="Times New Roman" w:hAnsi="Times New Roman" w:cs="Times New Roman"/>
          <w:sz w:val="24"/>
          <w:szCs w:val="24"/>
          <w:lang w:val="en-IN"/>
        </w:rPr>
        <w:t>Currently, in the dynamic technological era</w:t>
      </w:r>
      <w:r w:rsidR="00CC46A6" w:rsidRPr="00CC46A6">
        <w:rPr>
          <w:rFonts w:ascii="Times New Roman" w:hAnsi="Times New Roman" w:cs="Times New Roman"/>
          <w:sz w:val="24"/>
          <w:szCs w:val="24"/>
          <w:lang w:val="en-IN"/>
        </w:rPr>
        <w:t xml:space="preserve">, the education systems </w:t>
      </w:r>
      <w:r>
        <w:rPr>
          <w:rFonts w:ascii="Times New Roman" w:hAnsi="Times New Roman" w:cs="Times New Roman"/>
          <w:sz w:val="24"/>
          <w:szCs w:val="24"/>
          <w:lang w:val="en-IN"/>
        </w:rPr>
        <w:t>in</w:t>
      </w:r>
      <w:r w:rsidR="00CC46A6" w:rsidRPr="00CC46A6">
        <w:rPr>
          <w:rFonts w:ascii="Times New Roman" w:hAnsi="Times New Roman" w:cs="Times New Roman"/>
          <w:sz w:val="24"/>
          <w:szCs w:val="24"/>
          <w:lang w:val="en-IN"/>
        </w:rPr>
        <w:t xml:space="preserve"> </w:t>
      </w:r>
      <w:r>
        <w:rPr>
          <w:rFonts w:ascii="Times New Roman" w:hAnsi="Times New Roman" w:cs="Times New Roman"/>
          <w:sz w:val="24"/>
          <w:szCs w:val="24"/>
          <w:lang w:val="en-IN"/>
        </w:rPr>
        <w:t>the world has</w:t>
      </w:r>
      <w:r w:rsidR="00CC46A6" w:rsidRPr="00CC46A6">
        <w:rPr>
          <w:rFonts w:ascii="Times New Roman" w:hAnsi="Times New Roman" w:cs="Times New Roman"/>
          <w:sz w:val="24"/>
          <w:szCs w:val="24"/>
          <w:lang w:val="en-IN"/>
        </w:rPr>
        <w:t xml:space="preserve"> focused on interdisciplinary methods in both teaching and learning as a result of the increasing need to have skills in creativity, innovation and problem solving in the 21 </w:t>
      </w:r>
      <w:proofErr w:type="spellStart"/>
      <w:r w:rsidR="00CC46A6" w:rsidRPr="00CC46A6">
        <w:rPr>
          <w:rFonts w:ascii="Times New Roman" w:hAnsi="Times New Roman" w:cs="Times New Roman"/>
          <w:sz w:val="24"/>
          <w:szCs w:val="24"/>
          <w:lang w:val="en-IN"/>
        </w:rPr>
        <w:t>st</w:t>
      </w:r>
      <w:proofErr w:type="spellEnd"/>
      <w:r w:rsidR="00CC46A6" w:rsidRPr="00CC46A6">
        <w:rPr>
          <w:rFonts w:ascii="Times New Roman" w:hAnsi="Times New Roman" w:cs="Times New Roman"/>
          <w:sz w:val="24"/>
          <w:szCs w:val="24"/>
          <w:lang w:val="en-IN"/>
        </w:rPr>
        <w:t xml:space="preserve"> century. An example of such approaches that has elicited great interest is the STEAM education where Arts is incorporated into the original STEM subjects, Science, Technology, Engineering, and Mathematics. Integration of Arts also aims at stimulating creativity, imagination, critical thinking and emotional involvement, therefore, making learning more holistic and significant (</w:t>
      </w:r>
      <w:proofErr w:type="spellStart"/>
      <w:r w:rsidR="00CC46A6" w:rsidRPr="00CC46A6">
        <w:rPr>
          <w:rFonts w:ascii="Times New Roman" w:hAnsi="Times New Roman" w:cs="Times New Roman"/>
          <w:sz w:val="24"/>
          <w:szCs w:val="24"/>
          <w:lang w:val="en-IN"/>
        </w:rPr>
        <w:t>Yakman</w:t>
      </w:r>
      <w:proofErr w:type="spellEnd"/>
      <w:r w:rsidR="00CC46A6" w:rsidRPr="00CC46A6">
        <w:rPr>
          <w:rFonts w:ascii="Times New Roman" w:hAnsi="Times New Roman" w:cs="Times New Roman"/>
          <w:sz w:val="24"/>
          <w:szCs w:val="24"/>
          <w:lang w:val="en-IN"/>
        </w:rPr>
        <w:t xml:space="preserve"> and Lee, 2012). Instead of considering Arts as an appendage, the STEAM education aligns artistic </w:t>
      </w:r>
      <w:r w:rsidR="00CC46A6" w:rsidRPr="00CC46A6">
        <w:rPr>
          <w:rFonts w:ascii="Times New Roman" w:hAnsi="Times New Roman" w:cs="Times New Roman"/>
          <w:sz w:val="24"/>
          <w:szCs w:val="24"/>
          <w:lang w:val="en-IN"/>
        </w:rPr>
        <w:lastRenderedPageBreak/>
        <w:t>practices as a fundamental element that promotes conceptual learning, and learner interest in various subjects.</w:t>
      </w:r>
    </w:p>
    <w:p w:rsidR="00CC46A6" w:rsidRPr="00CC46A6" w:rsidRDefault="005862F6" w:rsidP="00CC46A6">
      <w:pPr>
        <w:jc w:val="both"/>
        <w:rPr>
          <w:rFonts w:ascii="Times New Roman" w:hAnsi="Times New Roman" w:cs="Times New Roman"/>
          <w:sz w:val="24"/>
          <w:szCs w:val="24"/>
          <w:lang w:val="en-IN"/>
        </w:rPr>
      </w:pPr>
      <w:r>
        <w:rPr>
          <w:rFonts w:ascii="Times New Roman" w:hAnsi="Times New Roman" w:cs="Times New Roman"/>
          <w:sz w:val="24"/>
          <w:szCs w:val="24"/>
          <w:lang w:val="en-IN"/>
        </w:rPr>
        <w:t>Arts has</w:t>
      </w:r>
      <w:r w:rsidR="00CC46A6" w:rsidRPr="00CC46A6">
        <w:rPr>
          <w:rFonts w:ascii="Times New Roman" w:hAnsi="Times New Roman" w:cs="Times New Roman"/>
          <w:sz w:val="24"/>
          <w:szCs w:val="24"/>
          <w:lang w:val="en-IN"/>
        </w:rPr>
        <w:t xml:space="preserve"> been found to enhance deeper learning by integrating multiple points of view and encouraging students to use creative thinking and connect abstract learning to real-world experiences (</w:t>
      </w:r>
      <w:r>
        <w:rPr>
          <w:rFonts w:ascii="Times New Roman" w:hAnsi="Times New Roman" w:cs="Times New Roman"/>
          <w:sz w:val="24"/>
          <w:szCs w:val="24"/>
          <w:lang w:val="en-IN"/>
        </w:rPr>
        <w:t>Raza, A., 2023</w:t>
      </w:r>
      <w:r w:rsidR="00CC46A6" w:rsidRPr="00CC46A6">
        <w:rPr>
          <w:rFonts w:ascii="Times New Roman" w:hAnsi="Times New Roman" w:cs="Times New Roman"/>
          <w:sz w:val="24"/>
          <w:szCs w:val="24"/>
          <w:lang w:val="en-IN"/>
        </w:rPr>
        <w:t>). Visual representation, drama, music, and design represent the arts-based strategies that help learners communicate in a variety of ways and build cognitive flexibility. Consequently, STEAM education has been suggested in more curriculum reforms and teacher education courses across the globe (Land, 2013).</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Among the most important participants in the effective adoption of STEAM education, pre-service teachers can be considered since their beliefs, attitudes, and perceptions are critical factors in the classroom. The attitude of teachers to interdisciplinary teaching practices determines their readiness to use innovative methods of teaching and to integrate Arts into the teaching of STEM in a significant way (Thibault et al., 2018). Nonetheless, the study shows that most pre-service teachers have a low experience with STEAM structures in the context of their professional training, which results in confusion and inadequate confidence regarding the implementation of Arts in STEM courses (</w:t>
      </w:r>
      <w:proofErr w:type="spellStart"/>
      <w:r w:rsidRPr="00CC46A6">
        <w:rPr>
          <w:rFonts w:ascii="Times New Roman" w:hAnsi="Times New Roman" w:cs="Times New Roman"/>
          <w:sz w:val="24"/>
          <w:szCs w:val="24"/>
          <w:lang w:val="en-IN"/>
        </w:rPr>
        <w:t>Herro</w:t>
      </w:r>
      <w:proofErr w:type="spellEnd"/>
      <w:r w:rsidRPr="00CC46A6">
        <w:rPr>
          <w:rFonts w:ascii="Times New Roman" w:hAnsi="Times New Roman" w:cs="Times New Roman"/>
          <w:sz w:val="24"/>
          <w:szCs w:val="24"/>
          <w:lang w:val="en-IN"/>
        </w:rPr>
        <w:t xml:space="preserve"> and Quigley, 2017). These perceptions are thus important in understanding the gap in teacher preparation and developing good initiatives of professional development.</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When discussing the perceptions of pre-service teachers towards the process of integrating Arts in STEM education, it is possible to identify relevant information about their preparation, beliefs about the process, and their perceived obstacles. This knowledge can guide curriculum planners and teacher educators to enhance the training programs related to STEAM orientation and interdisciplinary teaching skills. Since there is growing focus on the importance of innovation-based education and learner holistic development, the current research aims to investigate how pre-service teachers see the inclusion of the Arts in STEM teaching and learning, thus adding to the existing research on STEAM learning and teacher education.</w:t>
      </w:r>
    </w:p>
    <w:p w:rsidR="00B66748" w:rsidRPr="00CC46A6" w:rsidRDefault="00B66748" w:rsidP="00B66748">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Objectives of the Study</w:t>
      </w:r>
    </w:p>
    <w:p w:rsidR="00B66748" w:rsidRPr="00CC46A6" w:rsidRDefault="00B66748" w:rsidP="00B66748">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study aims to:</w:t>
      </w:r>
    </w:p>
    <w:p w:rsidR="00B66748" w:rsidRPr="00CC46A6" w:rsidRDefault="00B66748" w:rsidP="00B66748">
      <w:pPr>
        <w:pStyle w:val="ListParagraph"/>
        <w:numPr>
          <w:ilvl w:val="0"/>
          <w:numId w:val="4"/>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analyse general perception of pre-service teachers with regards to incorporating Arts in STEM education;</w:t>
      </w:r>
    </w:p>
    <w:p w:rsidR="00B66748" w:rsidRPr="00CC46A6" w:rsidRDefault="00B66748" w:rsidP="00B66748">
      <w:pPr>
        <w:pStyle w:val="ListParagraph"/>
        <w:numPr>
          <w:ilvl w:val="0"/>
          <w:numId w:val="4"/>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To examine the pre-service </w:t>
      </w:r>
      <w:proofErr w:type="gramStart"/>
      <w:r w:rsidRPr="00CC46A6">
        <w:rPr>
          <w:rFonts w:ascii="Times New Roman" w:hAnsi="Times New Roman" w:cs="Times New Roman"/>
          <w:sz w:val="24"/>
          <w:szCs w:val="24"/>
          <w:lang w:val="en-IN"/>
        </w:rPr>
        <w:t>teachers</w:t>
      </w:r>
      <w:proofErr w:type="gramEnd"/>
      <w:r w:rsidRPr="00CC46A6">
        <w:rPr>
          <w:rFonts w:ascii="Times New Roman" w:hAnsi="Times New Roman" w:cs="Times New Roman"/>
          <w:sz w:val="24"/>
          <w:szCs w:val="24"/>
          <w:lang w:val="en-IN"/>
        </w:rPr>
        <w:t xml:space="preserve"> attitude towards Arts as part of STEM teaching and learning;</w:t>
      </w:r>
    </w:p>
    <w:p w:rsidR="00B66748" w:rsidRPr="00CC46A6" w:rsidRDefault="00B66748" w:rsidP="00B66748">
      <w:pPr>
        <w:pStyle w:val="ListParagraph"/>
        <w:numPr>
          <w:ilvl w:val="0"/>
          <w:numId w:val="4"/>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determine the perceived confidence and willingness of pre-service teachers to use STEAM-based instruction;</w:t>
      </w:r>
    </w:p>
    <w:p w:rsidR="00B66748" w:rsidRPr="00CC46A6" w:rsidRDefault="00B66748" w:rsidP="00B66748">
      <w:pPr>
        <w:pStyle w:val="ListParagraph"/>
        <w:numPr>
          <w:ilvl w:val="0"/>
          <w:numId w:val="4"/>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determine the perceived difficulties by pre-service teachers in incorporating Arts in STEM subjects.</w:t>
      </w:r>
    </w:p>
    <w:p w:rsidR="00B66748" w:rsidRPr="00CC46A6" w:rsidRDefault="00B66748" w:rsidP="00B66748">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lastRenderedPageBreak/>
        <w:t>Hypotheses of the Study</w:t>
      </w:r>
    </w:p>
    <w:p w:rsidR="00B66748" w:rsidRPr="00CC46A6" w:rsidRDefault="00B66748" w:rsidP="00B66748">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hypotheses of the study are the following null hypotheses:</w:t>
      </w:r>
    </w:p>
    <w:p w:rsidR="00B66748" w:rsidRPr="00A97955" w:rsidRDefault="00B66748" w:rsidP="00B66748">
      <w:pPr>
        <w:pStyle w:val="ListParagraph"/>
        <w:numPr>
          <w:ilvl w:val="0"/>
          <w:numId w:val="5"/>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difference in pre-service teachers’ perceptions toward integrating Arts in STEM education based on selected demographic variables.</w:t>
      </w:r>
    </w:p>
    <w:p w:rsidR="00B66748" w:rsidRPr="00A97955" w:rsidRDefault="00B66748" w:rsidP="00B66748">
      <w:pPr>
        <w:pStyle w:val="ListParagraph"/>
        <w:numPr>
          <w:ilvl w:val="0"/>
          <w:numId w:val="5"/>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relationship between pre-service teachers’ attitudes toward STEAM education and their perceived readiness to implement Arts-integrated STEM instruction.</w:t>
      </w:r>
    </w:p>
    <w:p w:rsidR="00B66748" w:rsidRPr="00A97955" w:rsidRDefault="00B66748" w:rsidP="00B66748">
      <w:pPr>
        <w:pStyle w:val="ListParagraph"/>
        <w:numPr>
          <w:ilvl w:val="0"/>
          <w:numId w:val="5"/>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association between perceived challenges and confidence levels of pre-service teachers in integrating Arts within STEM education.</w:t>
      </w:r>
    </w:p>
    <w:p w:rsidR="005862F6" w:rsidRDefault="005862F6"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Review of Literature </w:t>
      </w:r>
      <w:r w:rsidR="00CC46A6" w:rsidRPr="00CC46A6">
        <w:rPr>
          <w:rFonts w:ascii="Times New Roman" w:hAnsi="Times New Roman" w:cs="Times New Roman"/>
          <w:b/>
          <w:bCs/>
          <w:sz w:val="24"/>
          <w:szCs w:val="24"/>
          <w:lang w:val="en-IN"/>
        </w:rPr>
        <w:t xml:space="preserve"> </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Despite the growing academic interest in STEAM education at the beginning of the last decade, the current body of work demonstrates that the concept has some major gaps, especially when it comes to pre-service teacher education. Many studies related to STEAM have been aimed at the classroom usage, curriculum development, and student achievement at the learning institution (Henriksen, 2014; Land, 2013). Although these studies are insightful regarding the pedagogical value of Arts integration in STEM, they do not give much insight on how future teachers conceptualize and perceive the idea of Arts integration in STEM in the process of professional preparation.</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attitudes and teaching practices of teachers working in-service in STEAM education are studied in many empirical studies (</w:t>
      </w:r>
      <w:proofErr w:type="spellStart"/>
      <w:r w:rsidRPr="00CC46A6">
        <w:rPr>
          <w:rFonts w:ascii="Times New Roman" w:hAnsi="Times New Roman" w:cs="Times New Roman"/>
          <w:sz w:val="24"/>
          <w:szCs w:val="24"/>
          <w:lang w:val="en-IN"/>
        </w:rPr>
        <w:t>Herro</w:t>
      </w:r>
      <w:proofErr w:type="spellEnd"/>
      <w:r w:rsidRPr="00CC46A6">
        <w:rPr>
          <w:rFonts w:ascii="Times New Roman" w:hAnsi="Times New Roman" w:cs="Times New Roman"/>
          <w:sz w:val="24"/>
          <w:szCs w:val="24"/>
          <w:lang w:val="en-IN"/>
        </w:rPr>
        <w:t xml:space="preserve"> and Quigley, 2017; Thibaut et al., 2018). But relatively less research has investigated the perceptions, readiness, and beliefs of pre-service teachers, who are an important stakeholder group to the sustainability of STEAM pedagogy in the long term. Such narrow attention span on pre-service teachers limits the knowledge on how teacher education programs equip future teachers to use interdisciplinary approaches in an effective manner.</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Moreover, despite the current literature, the study usually focuses on STEAM education within highly technologically developed or western educational systems, and little emphasis is made on the various educational systems and teacher training community. Due to this, situational drivers like the curriculum, institutional provision, and cultural views of Arts and STEM integration are underestimated. This context insensitivity of research restricts the generalizability of the current results to diverse teacher education contexts.</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other gap that is notable is the methodology of the previous research. Qualitative or </w:t>
      </w:r>
      <w:proofErr w:type="gramStart"/>
      <w:r w:rsidRPr="00CC46A6">
        <w:rPr>
          <w:rFonts w:ascii="Times New Roman" w:hAnsi="Times New Roman" w:cs="Times New Roman"/>
          <w:sz w:val="24"/>
          <w:szCs w:val="24"/>
          <w:lang w:val="en-IN"/>
        </w:rPr>
        <w:t>intervention based</w:t>
      </w:r>
      <w:proofErr w:type="gramEnd"/>
      <w:r w:rsidRPr="00CC46A6">
        <w:rPr>
          <w:rFonts w:ascii="Times New Roman" w:hAnsi="Times New Roman" w:cs="Times New Roman"/>
          <w:sz w:val="24"/>
          <w:szCs w:val="24"/>
          <w:lang w:val="en-IN"/>
        </w:rPr>
        <w:t xml:space="preserve"> designs are adopted in many studies, systematic survey based investigations testing various dimensions of perception attitudes, confidence, perceived challenges, and pedagogical readiness are not very numerous. Empirical evidence of comprehensive survey </w:t>
      </w:r>
      <w:r w:rsidRPr="00CC46A6">
        <w:rPr>
          <w:rFonts w:ascii="Times New Roman" w:hAnsi="Times New Roman" w:cs="Times New Roman"/>
          <w:sz w:val="24"/>
          <w:szCs w:val="24"/>
          <w:lang w:val="en-IN"/>
        </w:rPr>
        <w:lastRenderedPageBreak/>
        <w:t xml:space="preserve">studies </w:t>
      </w:r>
      <w:proofErr w:type="gramStart"/>
      <w:r w:rsidRPr="00CC46A6">
        <w:rPr>
          <w:rFonts w:ascii="Times New Roman" w:hAnsi="Times New Roman" w:cs="Times New Roman"/>
          <w:sz w:val="24"/>
          <w:szCs w:val="24"/>
          <w:lang w:val="en-IN"/>
        </w:rPr>
        <w:t>are</w:t>
      </w:r>
      <w:proofErr w:type="gramEnd"/>
      <w:r w:rsidRPr="00CC46A6">
        <w:rPr>
          <w:rFonts w:ascii="Times New Roman" w:hAnsi="Times New Roman" w:cs="Times New Roman"/>
          <w:sz w:val="24"/>
          <w:szCs w:val="24"/>
          <w:lang w:val="en-IN"/>
        </w:rPr>
        <w:t xml:space="preserve"> capable of providing a wider scope of empirical evidence and guide curriculum reform in teacher education programs.</w:t>
      </w:r>
    </w:p>
    <w:p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Thus, a specific survey research that investigates the perception of pre-service teachers toward the inclusion of Arts in STEM education is obviously required. The gaps will be addressed to help in the better understanding of the preparedness of pre-service teachers and the formulation of effective practices of teacher education based on STEAM.  </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Need of the Study</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increasing focus on interdisciplinary education has put STEAM in a good standing as a potentially effective pedagogical model to promote creativity, innovation, and the holistic learning process. Although it has been stated that the Arts into STEM education is an integration approach that is widely recommended, its effective delivery is heavily reliant on pedagogical beliefs, readiness, and acceptance of the interdisciplinary methodologies of teachers (Henriksen, 2014). At this, the pre-service teachers are the very important category because their attitudes and perceptions developed in the course of the teacher education contribute greatly to the practices of the teacher in the classroom in the future.</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Although the literature on STEAM education is growing, teacher education courses tend to offer little systematic experience of Arts-based STEM pedagogies, which leads to disjointed advocacy and practice (</w:t>
      </w:r>
      <w:proofErr w:type="spellStart"/>
      <w:r w:rsidRPr="00CC46A6">
        <w:rPr>
          <w:rFonts w:ascii="Times New Roman" w:hAnsi="Times New Roman" w:cs="Times New Roman"/>
          <w:sz w:val="24"/>
          <w:szCs w:val="24"/>
          <w:lang w:val="en-IN"/>
        </w:rPr>
        <w:t>Herro</w:t>
      </w:r>
      <w:proofErr w:type="spellEnd"/>
      <w:r w:rsidRPr="00CC46A6">
        <w:rPr>
          <w:rFonts w:ascii="Times New Roman" w:hAnsi="Times New Roman" w:cs="Times New Roman"/>
          <w:sz w:val="24"/>
          <w:szCs w:val="24"/>
          <w:lang w:val="en-IN"/>
        </w:rPr>
        <w:t xml:space="preserve"> and Quigley, 2017). Subject-specific training is also introduced into the profession by many pre-service teachers and might limit their confidence and competence in applying interdisciplinary instructional strategies. It is therefore necessary to understand how they perceive their integration of Arts in STEM so as to comprehend which areas need to be strengthened in the curricula and which areas need to be supported in terms of pedagogy.</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In addition, existing empirical findings, which are pegged on systematic survey research on perception of pre-service teachers, are limited especially in varied teacher education settings. This is the evidence required to inform a curriculum developer, teacher educator, and policymaker of how ready the future teacher is to embrace STEAM-oriented practices (Thibaut et al., 2018). Therefore, the current research is required to investigate the attitudes of pre-service teachers toward the introduction of Arts in STEM education and to make the insights that will contribute to the successful implementation of STEAM frameworks in the teacher preparation programs.</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Methodology</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Research Design</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current research took a descriptive survey research to investigate the perception of pre-service teachers towards the incorporation of Arts in STEM education. The use of survey research is suitable when conducting research on a large population to explain the attitudes, </w:t>
      </w:r>
      <w:r w:rsidRPr="00CC46A6">
        <w:rPr>
          <w:rFonts w:ascii="Times New Roman" w:hAnsi="Times New Roman" w:cs="Times New Roman"/>
          <w:sz w:val="24"/>
          <w:szCs w:val="24"/>
          <w:lang w:val="en-IN"/>
        </w:rPr>
        <w:lastRenderedPageBreak/>
        <w:t>beliefs, and perceptions in terms of educational practices (Creswell and Creswell, 2018). This structure helped the researcher to receive measurable results of the perceptions of pre-service teachers concerning Arts integration, perceived preparedness, and obstacles that relate to STEAM pedagogy.</w:t>
      </w:r>
      <w:r w:rsidR="006C5D70">
        <w:rPr>
          <w:rFonts w:ascii="Times New Roman" w:hAnsi="Times New Roman" w:cs="Times New Roman"/>
          <w:sz w:val="24"/>
          <w:szCs w:val="24"/>
          <w:lang w:val="en-IN"/>
        </w:rPr>
        <w:t xml:space="preserve"> </w:t>
      </w:r>
      <w:r w:rsidR="006C5D70" w:rsidRPr="006C5D70">
        <w:rPr>
          <w:rFonts w:ascii="Times New Roman" w:hAnsi="Times New Roman" w:cs="Times New Roman"/>
          <w:sz w:val="24"/>
          <w:szCs w:val="24"/>
          <w:lang w:val="en-IN"/>
        </w:rPr>
        <w:t>The present study employed a descriptive survey design to systematically gather data on pre-service teachers’ perceptions of integrating Arts in STEM education. A descriptive survey design was chosen because it enables researchers to quantify attitudes, beliefs, and practices of a target population at a given point in time.</w:t>
      </w:r>
      <w:r w:rsidR="006C5D70">
        <w:rPr>
          <w:rFonts w:ascii="Times New Roman" w:hAnsi="Times New Roman" w:cs="Times New Roman"/>
          <w:sz w:val="24"/>
          <w:szCs w:val="24"/>
          <w:lang w:val="en-IN"/>
        </w:rPr>
        <w:t xml:space="preserve">  </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Population and Sample</w:t>
      </w:r>
    </w:p>
    <w:p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study population consisted of pre-service teachers who were enrolled in teacher education programs.</w:t>
      </w:r>
      <w:r w:rsidR="00B66748">
        <w:rPr>
          <w:rFonts w:ascii="Times New Roman" w:hAnsi="Times New Roman" w:cs="Times New Roman"/>
          <w:sz w:val="24"/>
          <w:szCs w:val="24"/>
          <w:lang w:val="en-IN"/>
        </w:rPr>
        <w:t xml:space="preserve"> </w:t>
      </w:r>
      <w:r w:rsidR="00B66748" w:rsidRPr="00B66748">
        <w:rPr>
          <w:rFonts w:ascii="Times New Roman" w:hAnsi="Times New Roman" w:cs="Times New Roman"/>
          <w:sz w:val="24"/>
          <w:szCs w:val="24"/>
          <w:lang w:val="en-IN"/>
        </w:rPr>
        <w:t>The population of the present study consisted of pre-service teachers enrolled in teacher education programmes, as they represent future educators who will be responsible for implementing interdisciplinary pedagogies such as STEAM in school settings. Pre-service teachers were deliberately chosen because their perceptions, attitudes, and preparedness developed during training significantly influence their future classroom practices and adoption of innovative teaching approaches. Examining this group provides early insights into the effectiveness of teacher preparation programmes in supporting Arts integration within STEM education.</w:t>
      </w:r>
      <w:r w:rsidRPr="00CC46A6">
        <w:rPr>
          <w:rFonts w:ascii="Times New Roman" w:hAnsi="Times New Roman" w:cs="Times New Roman"/>
          <w:sz w:val="24"/>
          <w:szCs w:val="24"/>
          <w:lang w:val="en-IN"/>
        </w:rPr>
        <w:t xml:space="preserve"> Simple random sampling technique was used to select the representative sample because it ensures the equal opportunity of participation and reduces the sampling bias. The survey sample was chosen according to the accessibility and sufficiency of the survey data and survey research on education (Cohen, Manion, and Morrison, 2018).</w:t>
      </w:r>
      <w:r w:rsidR="00B66748">
        <w:rPr>
          <w:rFonts w:ascii="Times New Roman" w:hAnsi="Times New Roman" w:cs="Times New Roman"/>
          <w:sz w:val="24"/>
          <w:szCs w:val="24"/>
          <w:lang w:val="en-IN"/>
        </w:rPr>
        <w:t xml:space="preserve"> </w:t>
      </w:r>
    </w:p>
    <w:p w:rsidR="006C5D70" w:rsidRDefault="00B66748" w:rsidP="00B66748">
      <w:pPr>
        <w:jc w:val="both"/>
        <w:rPr>
          <w:rFonts w:ascii="Times New Roman" w:hAnsi="Times New Roman" w:cs="Times New Roman"/>
          <w:sz w:val="24"/>
          <w:szCs w:val="24"/>
          <w:lang w:val="en-IN"/>
        </w:rPr>
      </w:pPr>
      <w:r w:rsidRPr="00B66748">
        <w:rPr>
          <w:rFonts w:ascii="Times New Roman" w:hAnsi="Times New Roman" w:cs="Times New Roman"/>
          <w:sz w:val="24"/>
          <w:szCs w:val="24"/>
          <w:lang w:val="en-IN"/>
        </w:rPr>
        <w:t xml:space="preserve">From this population, a sample of </w:t>
      </w:r>
      <w:r>
        <w:rPr>
          <w:rFonts w:ascii="Times New Roman" w:hAnsi="Times New Roman" w:cs="Times New Roman"/>
          <w:sz w:val="24"/>
          <w:szCs w:val="24"/>
          <w:lang w:val="en-IN"/>
        </w:rPr>
        <w:t>100</w:t>
      </w:r>
      <w:r w:rsidRPr="00B66748">
        <w:rPr>
          <w:rFonts w:ascii="Times New Roman" w:hAnsi="Times New Roman" w:cs="Times New Roman"/>
          <w:sz w:val="24"/>
          <w:szCs w:val="24"/>
          <w:lang w:val="en-IN"/>
        </w:rPr>
        <w:t xml:space="preserve"> pre-service teachers was selected using a simple random sampling technique to ensure equal representation and to minimize sampling bias. The selected sample size is considered adequate and statistically meaningful for a descriptive survey study, as it allows for reliable estimation of population characteristics and meaningful comparison across perception, attitude, readiness, and challenge variables. According to established educational research guidelines, such a sample size is sufficient to generate valid and generalizable findings when measuring perceptions through survey instruments. Therefore, the chosen population and sample size were appropriate and significant for achieving the objectives of the present study.</w:t>
      </w:r>
    </w:p>
    <w:p w:rsidR="0059416D" w:rsidRPr="0059416D" w:rsidRDefault="0059416D" w:rsidP="0059416D">
      <w:pPr>
        <w:jc w:val="both"/>
        <w:rPr>
          <w:rFonts w:ascii="Times New Roman" w:hAnsi="Times New Roman" w:cs="Times New Roman"/>
          <w:b/>
          <w:bCs/>
          <w:sz w:val="24"/>
          <w:szCs w:val="24"/>
          <w:lang w:val="en-IN"/>
        </w:rPr>
      </w:pPr>
      <w:r w:rsidRPr="0059416D">
        <w:rPr>
          <w:rFonts w:ascii="Times New Roman" w:hAnsi="Times New Roman" w:cs="Times New Roman"/>
          <w:b/>
          <w:bCs/>
          <w:sz w:val="24"/>
          <w:szCs w:val="24"/>
          <w:lang w:val="en-IN"/>
        </w:rPr>
        <w:t>Ethical Considerations</w:t>
      </w:r>
    </w:p>
    <w:p w:rsidR="0059416D" w:rsidRPr="0059416D" w:rsidRDefault="0059416D" w:rsidP="0059416D">
      <w:pPr>
        <w:jc w:val="both"/>
        <w:rPr>
          <w:rFonts w:ascii="Times New Roman" w:hAnsi="Times New Roman" w:cs="Times New Roman"/>
          <w:sz w:val="24"/>
          <w:szCs w:val="24"/>
          <w:lang w:val="en-IN"/>
        </w:rPr>
      </w:pPr>
      <w:r w:rsidRPr="0059416D">
        <w:rPr>
          <w:rFonts w:ascii="Times New Roman" w:hAnsi="Times New Roman" w:cs="Times New Roman"/>
          <w:sz w:val="24"/>
          <w:szCs w:val="24"/>
          <w:lang w:val="en-IN"/>
        </w:rPr>
        <w:t>The present study was conducted in accordance with established ethical standards for educational research involving human participants. Prior to data collection, permission was obtained from the concerned authorities to administer the questionnaire. All participants were informed about the purpose of the study and the nature of their participation. Participation was strictly voluntary, and informed consent was obtained from all respondents.</w:t>
      </w:r>
    </w:p>
    <w:p w:rsidR="0059416D" w:rsidRPr="00CC46A6" w:rsidRDefault="0059416D" w:rsidP="0059416D">
      <w:pPr>
        <w:jc w:val="both"/>
        <w:rPr>
          <w:rFonts w:ascii="Times New Roman" w:hAnsi="Times New Roman" w:cs="Times New Roman"/>
          <w:sz w:val="24"/>
          <w:szCs w:val="24"/>
          <w:lang w:val="en-IN"/>
        </w:rPr>
      </w:pPr>
      <w:r w:rsidRPr="0059416D">
        <w:rPr>
          <w:rFonts w:ascii="Times New Roman" w:hAnsi="Times New Roman" w:cs="Times New Roman"/>
          <w:sz w:val="24"/>
          <w:szCs w:val="24"/>
          <w:lang w:val="en-IN"/>
        </w:rPr>
        <w:t xml:space="preserve">Participants were assured of complete anonymity and confidentiality, and no personal identifying information was collected at any stage of the research. The data obtained were used solely for academic and research purposes. Respondents were given the freedom to withdraw from the </w:t>
      </w:r>
      <w:r w:rsidRPr="0059416D">
        <w:rPr>
          <w:rFonts w:ascii="Times New Roman" w:hAnsi="Times New Roman" w:cs="Times New Roman"/>
          <w:sz w:val="24"/>
          <w:szCs w:val="24"/>
          <w:lang w:val="en-IN"/>
        </w:rPr>
        <w:lastRenderedPageBreak/>
        <w:t>study at any time without any negative consequences. All procedures followed in the study were designed to respect the dignity, rights, and well-being of the participants, ensuring that no ethical issues arose during the conduct of the research.</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Data Collection</w:t>
      </w:r>
    </w:p>
    <w:p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structured questionnaire that was utilized in order to capture the data was created by the researcher with the assistance of the analysis of the literature on STEAM education. The questionnaire would be divided into several parts assessing perceptions of Arts integration in STEM, attitude to STEAM pedagogy, perceived preparedness and confidence, and perceived challenges. The responses were registered on a five-point Likert scale between the strong disagreements and </w:t>
      </w:r>
      <w:proofErr w:type="gramStart"/>
      <w:r w:rsidRPr="00CC46A6">
        <w:rPr>
          <w:rFonts w:ascii="Times New Roman" w:hAnsi="Times New Roman" w:cs="Times New Roman"/>
          <w:sz w:val="24"/>
          <w:szCs w:val="24"/>
          <w:lang w:val="en-IN"/>
        </w:rPr>
        <w:t>strong</w:t>
      </w:r>
      <w:proofErr w:type="gramEnd"/>
      <w:r w:rsidRPr="00CC46A6">
        <w:rPr>
          <w:rFonts w:ascii="Times New Roman" w:hAnsi="Times New Roman" w:cs="Times New Roman"/>
          <w:sz w:val="24"/>
          <w:szCs w:val="24"/>
          <w:lang w:val="en-IN"/>
        </w:rPr>
        <w:t xml:space="preserve"> agree, which is common in measuring attitudes and perceptions in studies about education (Likert, 1932).</w:t>
      </w:r>
    </w:p>
    <w:p w:rsidR="00B66748" w:rsidRPr="00B66748" w:rsidRDefault="00B66748" w:rsidP="00B66748">
      <w:pPr>
        <w:jc w:val="both"/>
        <w:rPr>
          <w:rFonts w:ascii="Times New Roman" w:hAnsi="Times New Roman" w:cs="Times New Roman"/>
          <w:sz w:val="24"/>
          <w:szCs w:val="24"/>
          <w:lang w:val="en-IN"/>
        </w:rPr>
      </w:pPr>
      <w:r w:rsidRPr="00B66748">
        <w:rPr>
          <w:rFonts w:ascii="Times New Roman" w:hAnsi="Times New Roman" w:cs="Times New Roman"/>
          <w:sz w:val="24"/>
          <w:szCs w:val="24"/>
          <w:lang w:val="en-IN"/>
        </w:rPr>
        <w:t>The questionnaire used in the present study was structured and self-developed, based on an extensive review of literature related to STEAM education and teacher perceptions. It consisted of four major sections. Section I collected demographic information of the pre-service teachers, including variables such as gender, academic background, and level of teacher education. Section II focused on measuring overall perceptions and attitudes toward integrating Arts in STEM education. Section III assessed perceived readiness and confidence, covering aspects such as lesson planning, instructional strategies, and assessment in STEAM contexts. Section IV addressed perceived challenges related to Arts integration, including training needs, time constraints, resource availability, and curriculum rigidity.</w:t>
      </w:r>
    </w:p>
    <w:p w:rsidR="00B66748" w:rsidRPr="00CC46A6" w:rsidRDefault="00B66748" w:rsidP="00B66748">
      <w:pPr>
        <w:jc w:val="both"/>
        <w:rPr>
          <w:rFonts w:ascii="Times New Roman" w:hAnsi="Times New Roman" w:cs="Times New Roman"/>
          <w:sz w:val="24"/>
          <w:szCs w:val="24"/>
          <w:lang w:val="en-IN"/>
        </w:rPr>
      </w:pPr>
      <w:r w:rsidRPr="00B66748">
        <w:rPr>
          <w:rFonts w:ascii="Times New Roman" w:hAnsi="Times New Roman" w:cs="Times New Roman"/>
          <w:sz w:val="24"/>
          <w:szCs w:val="24"/>
          <w:lang w:val="en-IN"/>
        </w:rPr>
        <w:t>All perception-related items were framed on a five-point Likert scale, ranging from Strongly Disagree to Strongly Agree, which is widely accepted for measuring attitudes and beliefs in educational research. The questionnaire was considered suitable for the present study as it allowed for systematic, quantitative measurement of multiple dimensions aligned with the study objectives. Furthermore, its structured format facilitated ease of administration, consistency in responses, and appropriate statistical analysis, making it an effective instrument for a descriptive survey research design.</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Validity and Reliability</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teacher educators and subject specialists also reviewed the content of the tool to ensure content validity. They made required adjustments and refined them according to their recommendations to be clearer and more relevant. Internal consistency techniques were used to determine the reliability of the questionnaire, and the reliability coefficient received showed that the instrument was appropriate in the collection of data (Fraenkel, Wallen, and Hyun, 2019).</w:t>
      </w:r>
    </w:p>
    <w:p w:rsidR="00CC46A6" w:rsidRPr="00CC46A6" w:rsidRDefault="00CC46A6"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Data Collection P</w:t>
      </w:r>
      <w:r w:rsidRPr="00CC46A6">
        <w:rPr>
          <w:rFonts w:ascii="Times New Roman" w:hAnsi="Times New Roman" w:cs="Times New Roman"/>
          <w:b/>
          <w:bCs/>
          <w:sz w:val="24"/>
          <w:szCs w:val="24"/>
          <w:lang w:val="en-IN"/>
        </w:rPr>
        <w:t>rocedure</w:t>
      </w:r>
    </w:p>
    <w:p w:rsidR="00B66748" w:rsidRPr="00B66748" w:rsidRDefault="00CC46A6" w:rsidP="00B66748">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lastRenderedPageBreak/>
        <w:t>The selected pre-service teachers were given the questionnaire with a given informed consent. The study was also briefed on its purpose to the participants and assurances of confidentiality were given. Sufficiency in time was also given to fill out the questionnaire and the answers were obtained in a systematic manner.</w:t>
      </w:r>
      <w:r w:rsidR="00B66748">
        <w:rPr>
          <w:rFonts w:ascii="Times New Roman" w:hAnsi="Times New Roman" w:cs="Times New Roman"/>
          <w:sz w:val="24"/>
          <w:szCs w:val="24"/>
          <w:lang w:val="en-IN"/>
        </w:rPr>
        <w:t xml:space="preserve"> </w:t>
      </w:r>
      <w:r w:rsidR="00B66748" w:rsidRPr="00B66748">
        <w:rPr>
          <w:rFonts w:ascii="Times New Roman" w:hAnsi="Times New Roman" w:cs="Times New Roman"/>
          <w:sz w:val="24"/>
          <w:szCs w:val="24"/>
          <w:lang w:val="en-IN"/>
        </w:rPr>
        <w:t>Data for the present study were collected using a structured questionnaire designed to examine pre-service teachers’ perceptions toward integrating Arts in STEM education. Prior to data collection, the purpose of the study was clearly explained to the participants, and their informed consent was obtained. Participation was entirely voluntary, and respondents were assured that their responses would be kept confidential and anonymous and used only for academic research purposes.</w:t>
      </w:r>
    </w:p>
    <w:p w:rsidR="00B66748" w:rsidRPr="00CC46A6" w:rsidRDefault="00B66748" w:rsidP="00B66748">
      <w:pPr>
        <w:jc w:val="both"/>
        <w:rPr>
          <w:rFonts w:ascii="Times New Roman" w:hAnsi="Times New Roman" w:cs="Times New Roman"/>
          <w:sz w:val="24"/>
          <w:szCs w:val="24"/>
          <w:lang w:val="en-IN"/>
        </w:rPr>
      </w:pPr>
      <w:r w:rsidRPr="00B66748">
        <w:rPr>
          <w:rFonts w:ascii="Times New Roman" w:hAnsi="Times New Roman" w:cs="Times New Roman"/>
          <w:sz w:val="24"/>
          <w:szCs w:val="24"/>
          <w:lang w:val="en-IN"/>
        </w:rPr>
        <w:t>The questionnaire was administered to the selected pre-service teachers during regular academic sessions with prior permission from the concerned authorities. Clear instructions were provided to ensure that participants understood how to respond to each item. Adequate time was given to complete the questionnaire, and any clarifications required by the participants were addressed by the researcher without influencing their responses. The completed questionnaires were collected immediately to ensure a high response rate and to avoid data loss. This systematic procedure ensured the accuracy, completeness, and reliability of the data collected for the study.</w:t>
      </w:r>
    </w:p>
    <w:p w:rsidR="00B66748" w:rsidRPr="00B66748" w:rsidRDefault="00B66748" w:rsidP="00B66748">
      <w:pPr>
        <w:jc w:val="both"/>
        <w:rPr>
          <w:rFonts w:ascii="Times New Roman" w:hAnsi="Times New Roman" w:cs="Times New Roman"/>
          <w:b/>
          <w:bCs/>
          <w:sz w:val="24"/>
          <w:szCs w:val="24"/>
          <w:lang w:val="en-IN"/>
        </w:rPr>
      </w:pPr>
      <w:r w:rsidRPr="00B66748">
        <w:rPr>
          <w:rFonts w:ascii="Times New Roman" w:hAnsi="Times New Roman" w:cs="Times New Roman"/>
          <w:b/>
          <w:bCs/>
          <w:sz w:val="24"/>
          <w:szCs w:val="24"/>
          <w:lang w:val="en-IN"/>
        </w:rPr>
        <w:t>Data Analysis</w:t>
      </w:r>
    </w:p>
    <w:p w:rsidR="00B66748" w:rsidRPr="00B66748" w:rsidRDefault="00B66748" w:rsidP="00B66748">
      <w:pPr>
        <w:jc w:val="both"/>
        <w:rPr>
          <w:rFonts w:ascii="Times New Roman" w:hAnsi="Times New Roman" w:cs="Times New Roman"/>
          <w:sz w:val="24"/>
          <w:szCs w:val="24"/>
          <w:lang w:val="en-IN"/>
        </w:rPr>
      </w:pPr>
      <w:r w:rsidRPr="00B66748">
        <w:rPr>
          <w:rFonts w:ascii="Times New Roman" w:hAnsi="Times New Roman" w:cs="Times New Roman"/>
          <w:sz w:val="24"/>
          <w:szCs w:val="24"/>
          <w:lang w:val="en-IN"/>
        </w:rPr>
        <w:t>After data collection, the responses were carefully screened, coded, and entered into a statistical software package for analysis. The data analysis was carried out in accordance with the objectives and hypotheses of the study. Descriptive statistical techniques, including percentage analysis, mean, and standard deviation, were used to summarize and interpret pre-service teachers’ perceptions, attitudes, readiness, and perceived challenges toward integrating Arts in STEM education.</w:t>
      </w:r>
    </w:p>
    <w:p w:rsidR="00B66748" w:rsidRPr="00B66748" w:rsidRDefault="00B66748" w:rsidP="00B66748">
      <w:pPr>
        <w:jc w:val="both"/>
        <w:rPr>
          <w:rFonts w:ascii="Times New Roman" w:hAnsi="Times New Roman" w:cs="Times New Roman"/>
          <w:sz w:val="24"/>
          <w:szCs w:val="24"/>
          <w:lang w:val="en-IN"/>
        </w:rPr>
      </w:pPr>
      <w:r w:rsidRPr="00B66748">
        <w:rPr>
          <w:rFonts w:ascii="Times New Roman" w:hAnsi="Times New Roman" w:cs="Times New Roman"/>
          <w:sz w:val="24"/>
          <w:szCs w:val="24"/>
          <w:lang w:val="en-IN"/>
        </w:rPr>
        <w:t>To test the formulated hypotheses, appropriate inferential statistical techniques were applied. These analyses helped determine differences and relationships among the study variables. The level of significance was fixed at 0.05, which is commonly accepted in educational research. The results obtained from the statistical analysis were presented in tabular form and interpreted systematically to draw meaningful conclusions. This analytical approach enabled the researcher to examine trends, test hypotheses, and provide empirical support for the findings of the study.</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Statistical Techniques</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Data gathered were computed using descriptive and inferential statistics. The overall perceptions were described using the mean, standard deviation, and percentage analysis, whereas the formulated hypotheses were tested by using the appropriate inferential tests. The significance level was set to 0.05.</w:t>
      </w:r>
    </w:p>
    <w:p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Findings of the Study</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lastRenderedPageBreak/>
        <w:t>The current paper examined the attitudes of pre-service educators regarding the inclusion of Arts in STEM education. The collected data based on structured questionnaire was analyzed by the descriptive and inferential statistics in order to answer the research questions. This is because the presented major findings are categorized into thematic sub-headings.</w:t>
      </w:r>
    </w:p>
    <w:p w:rsidR="00CC46A6" w:rsidRPr="00A97955" w:rsidRDefault="00A97955"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Overall Perception toward Integrating Arts in STEM Education</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scores analysis showed that pre-service teachers had a positive perception in respect of integrating Arts in STEM education. The average score received was higher than the average level, which means a general adherence to STEAM as something meaningful and innovative in pedagogy.</w:t>
      </w:r>
    </w:p>
    <w:p w:rsidR="00B66748" w:rsidRDefault="00B66748" w:rsidP="00A97955">
      <w:pPr>
        <w:jc w:val="center"/>
        <w:rPr>
          <w:rFonts w:ascii="Times New Roman" w:hAnsi="Times New Roman" w:cs="Times New Roman"/>
          <w:b/>
          <w:bCs/>
          <w:sz w:val="24"/>
          <w:szCs w:val="24"/>
          <w:lang w:val="en-IN"/>
        </w:rPr>
      </w:pPr>
    </w:p>
    <w:p w:rsidR="00B66748" w:rsidRDefault="00B66748" w:rsidP="00A97955">
      <w:pPr>
        <w:jc w:val="center"/>
        <w:rPr>
          <w:rFonts w:ascii="Times New Roman" w:hAnsi="Times New Roman" w:cs="Times New Roman"/>
          <w:b/>
          <w:bCs/>
          <w:sz w:val="24"/>
          <w:szCs w:val="24"/>
          <w:lang w:val="en-IN"/>
        </w:rPr>
      </w:pPr>
    </w:p>
    <w:p w:rsidR="00B66748" w:rsidRDefault="00B66748" w:rsidP="00A97955">
      <w:pPr>
        <w:jc w:val="center"/>
        <w:rPr>
          <w:rFonts w:ascii="Times New Roman" w:hAnsi="Times New Roman" w:cs="Times New Roman"/>
          <w:b/>
          <w:bCs/>
          <w:sz w:val="24"/>
          <w:szCs w:val="24"/>
          <w:lang w:val="en-IN"/>
        </w:rPr>
      </w:pPr>
    </w:p>
    <w:p w:rsidR="00A97955" w:rsidRPr="00A97955" w:rsidRDefault="00A97955" w:rsidP="00A97955">
      <w:pPr>
        <w:jc w:val="center"/>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Table – 1</w:t>
      </w:r>
    </w:p>
    <w:p w:rsidR="00A97955" w:rsidRPr="00A97955" w:rsidRDefault="00A97955" w:rsidP="00A97955">
      <w:pPr>
        <w:jc w:val="center"/>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Overall Perception of Pre-Service Teachers toward STEAM Education</w:t>
      </w:r>
    </w:p>
    <w:tbl>
      <w:tblPr>
        <w:tblStyle w:val="TableGrid"/>
        <w:tblW w:w="0" w:type="auto"/>
        <w:jc w:val="center"/>
        <w:tblLook w:val="04A0" w:firstRow="1" w:lastRow="0" w:firstColumn="1" w:lastColumn="0" w:noHBand="0" w:noVBand="1"/>
      </w:tblPr>
      <w:tblGrid>
        <w:gridCol w:w="2578"/>
        <w:gridCol w:w="2578"/>
        <w:gridCol w:w="2578"/>
      </w:tblGrid>
      <w:tr w:rsidR="00A97955" w:rsidTr="00A97955">
        <w:trPr>
          <w:trHeight w:val="417"/>
          <w:jc w:val="center"/>
        </w:trPr>
        <w:tc>
          <w:tcPr>
            <w:tcW w:w="2578" w:type="dxa"/>
          </w:tcPr>
          <w:p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Dimension</w:t>
            </w:r>
          </w:p>
        </w:tc>
        <w:tc>
          <w:tcPr>
            <w:tcW w:w="2578" w:type="dxa"/>
          </w:tcPr>
          <w:p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Mean</w:t>
            </w:r>
          </w:p>
        </w:tc>
        <w:tc>
          <w:tcPr>
            <w:tcW w:w="2578" w:type="dxa"/>
          </w:tcPr>
          <w:p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SD</w:t>
            </w:r>
          </w:p>
        </w:tc>
      </w:tr>
      <w:tr w:rsidR="00A97955" w:rsidTr="00A97955">
        <w:trPr>
          <w:trHeight w:val="417"/>
          <w:jc w:val="center"/>
        </w:trPr>
        <w:tc>
          <w:tcPr>
            <w:tcW w:w="2578" w:type="dxa"/>
          </w:tcPr>
          <w:p w:rsidR="00A97955" w:rsidRPr="008D2BC2" w:rsidRDefault="00A97955" w:rsidP="00A97955">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Overall Perception</w:t>
            </w:r>
          </w:p>
        </w:tc>
        <w:tc>
          <w:tcPr>
            <w:tcW w:w="2578" w:type="dxa"/>
          </w:tcPr>
          <w:p w:rsidR="00A97955" w:rsidRDefault="00A97955" w:rsidP="00A97955">
            <w:pPr>
              <w:jc w:val="center"/>
              <w:rPr>
                <w:rFonts w:ascii="Times New Roman" w:hAnsi="Times New Roman" w:cs="Times New Roman"/>
                <w:sz w:val="24"/>
                <w:szCs w:val="24"/>
                <w:lang w:val="en-IN"/>
              </w:rPr>
            </w:pPr>
            <w:r>
              <w:rPr>
                <w:rFonts w:ascii="Times New Roman" w:hAnsi="Times New Roman" w:cs="Times New Roman"/>
                <w:sz w:val="24"/>
                <w:szCs w:val="24"/>
                <w:lang w:val="en-IN"/>
              </w:rPr>
              <w:t>3.92</w:t>
            </w:r>
          </w:p>
        </w:tc>
        <w:tc>
          <w:tcPr>
            <w:tcW w:w="2578" w:type="dxa"/>
          </w:tcPr>
          <w:p w:rsidR="00A97955" w:rsidRDefault="00A97955" w:rsidP="00A97955">
            <w:pPr>
              <w:jc w:val="center"/>
              <w:rPr>
                <w:rFonts w:ascii="Times New Roman" w:hAnsi="Times New Roman" w:cs="Times New Roman"/>
                <w:sz w:val="24"/>
                <w:szCs w:val="24"/>
                <w:lang w:val="en-IN"/>
              </w:rPr>
            </w:pPr>
            <w:r>
              <w:rPr>
                <w:rFonts w:ascii="Times New Roman" w:hAnsi="Times New Roman" w:cs="Times New Roman"/>
                <w:sz w:val="24"/>
                <w:szCs w:val="24"/>
                <w:lang w:val="en-IN"/>
              </w:rPr>
              <w:t>0.61</w:t>
            </w:r>
          </w:p>
        </w:tc>
      </w:tr>
    </w:tbl>
    <w:p w:rsidR="00A97955" w:rsidRDefault="00A97955" w:rsidP="00A97955">
      <w:pPr>
        <w:jc w:val="center"/>
        <w:rPr>
          <w:rFonts w:ascii="Times New Roman" w:hAnsi="Times New Roman" w:cs="Times New Roman"/>
          <w:sz w:val="24"/>
          <w:szCs w:val="24"/>
          <w:lang w:val="en-IN"/>
        </w:rPr>
      </w:pP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1 shows the general perception of pre-service teachers on the issue of integrating Arts in STEM education. The mean score (M = 3.92 SD = 0.61) obtained is greater than the average of the scale suggesting that the respondents have a positive perception of the scale. This finding indicates that the pre-service teachers tend to recognize the value of Arts integration in improving creativity, interest, and theoretical knowledge in STEM education. The standard deviation is fairly low, which implies uniformity in the responses and thus the majority of the pre-service teachers have similar attitudes toward the value of STEAM education. The present result indicates the increasing knowledge about interdisciplinary pedagogical strategies in teacher educators and confirms previous studies that have underlined the importance of Arts in enhancing STEM educational experiences (Henriksen, 2014).</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As it can be seen that the differences in the perception were observed across the demographic variables, the presented hypothesis that states that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difference in pre-service teachers’ perceptions toward integrating Arts in STEM education based on selected demographic variables</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is rejected. This finding implies that the perception of pre-service teachers about STEAM education differs considerably depending on the demographic factors.</w:t>
      </w:r>
    </w:p>
    <w:p w:rsidR="00CC46A6" w:rsidRPr="00A97955" w:rsidRDefault="008D2BC2"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Attitude toward</w:t>
      </w:r>
      <w:r w:rsidR="00CC46A6" w:rsidRPr="00A97955">
        <w:rPr>
          <w:rFonts w:ascii="Times New Roman" w:hAnsi="Times New Roman" w:cs="Times New Roman"/>
          <w:b/>
          <w:bCs/>
          <w:sz w:val="24"/>
          <w:szCs w:val="24"/>
          <w:lang w:val="en-IN"/>
        </w:rPr>
        <w:t xml:space="preserve"> Ar</w:t>
      </w:r>
      <w:r w:rsidR="00A97955">
        <w:rPr>
          <w:rFonts w:ascii="Times New Roman" w:hAnsi="Times New Roman" w:cs="Times New Roman"/>
          <w:b/>
          <w:bCs/>
          <w:sz w:val="24"/>
          <w:szCs w:val="24"/>
          <w:lang w:val="en-IN"/>
        </w:rPr>
        <w:t>ts Integration in STEM Teaching</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lastRenderedPageBreak/>
        <w:t>There was an analysis of attitude related items wherein the respondents indicated that they were predominantly positive when it comes to the integration of Arts in STEM subjects. Pre-service teachers said that Arts-based activities including drawing, drama and design could help to make STEM learning more available and interesting.</w:t>
      </w:r>
    </w:p>
    <w:p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2</w:t>
      </w:r>
    </w:p>
    <w:p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Attitude toward</w:t>
      </w:r>
      <w:r w:rsidRPr="00A97955">
        <w:rPr>
          <w:rFonts w:ascii="Times New Roman" w:hAnsi="Times New Roman" w:cs="Times New Roman"/>
          <w:b/>
          <w:bCs/>
          <w:sz w:val="24"/>
          <w:szCs w:val="24"/>
          <w:lang w:val="en-IN"/>
        </w:rPr>
        <w:t xml:space="preserve"> Ar</w:t>
      </w:r>
      <w:r>
        <w:rPr>
          <w:rFonts w:ascii="Times New Roman" w:hAnsi="Times New Roman" w:cs="Times New Roman"/>
          <w:b/>
          <w:bCs/>
          <w:sz w:val="24"/>
          <w:szCs w:val="24"/>
          <w:lang w:val="en-IN"/>
        </w:rPr>
        <w:t>ts Integration in STEM</w:t>
      </w:r>
    </w:p>
    <w:tbl>
      <w:tblPr>
        <w:tblStyle w:val="TableGrid"/>
        <w:tblW w:w="0" w:type="auto"/>
        <w:jc w:val="center"/>
        <w:tblLook w:val="04A0" w:firstRow="1" w:lastRow="0" w:firstColumn="1" w:lastColumn="0" w:noHBand="0" w:noVBand="1"/>
      </w:tblPr>
      <w:tblGrid>
        <w:gridCol w:w="3530"/>
        <w:gridCol w:w="3530"/>
      </w:tblGrid>
      <w:tr w:rsidR="008D2BC2" w:rsidTr="008D2BC2">
        <w:trPr>
          <w:trHeight w:val="379"/>
          <w:jc w:val="center"/>
        </w:trPr>
        <w:tc>
          <w:tcPr>
            <w:tcW w:w="3530" w:type="dxa"/>
          </w:tcPr>
          <w:p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Attitude Level</w:t>
            </w:r>
          </w:p>
        </w:tc>
        <w:tc>
          <w:tcPr>
            <w:tcW w:w="3530" w:type="dxa"/>
          </w:tcPr>
          <w:p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Percentage (%)</w:t>
            </w:r>
          </w:p>
        </w:tc>
      </w:tr>
      <w:tr w:rsidR="008D2BC2" w:rsidTr="008D2BC2">
        <w:trPr>
          <w:trHeight w:val="403"/>
          <w:jc w:val="center"/>
        </w:trPr>
        <w:tc>
          <w:tcPr>
            <w:tcW w:w="3530"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High</w:t>
            </w:r>
          </w:p>
        </w:tc>
        <w:tc>
          <w:tcPr>
            <w:tcW w:w="3530"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58.4</w:t>
            </w:r>
          </w:p>
        </w:tc>
      </w:tr>
      <w:tr w:rsidR="008D2BC2" w:rsidTr="008D2BC2">
        <w:trPr>
          <w:trHeight w:val="403"/>
          <w:jc w:val="center"/>
        </w:trPr>
        <w:tc>
          <w:tcPr>
            <w:tcW w:w="3530"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Moderate</w:t>
            </w:r>
          </w:p>
        </w:tc>
        <w:tc>
          <w:tcPr>
            <w:tcW w:w="3530"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32.1</w:t>
            </w:r>
          </w:p>
        </w:tc>
      </w:tr>
      <w:tr w:rsidR="008D2BC2" w:rsidTr="008D2BC2">
        <w:trPr>
          <w:trHeight w:val="403"/>
          <w:jc w:val="center"/>
        </w:trPr>
        <w:tc>
          <w:tcPr>
            <w:tcW w:w="3530"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Low</w:t>
            </w:r>
          </w:p>
        </w:tc>
        <w:tc>
          <w:tcPr>
            <w:tcW w:w="3530"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9.5</w:t>
            </w:r>
          </w:p>
        </w:tc>
      </w:tr>
    </w:tbl>
    <w:p w:rsidR="008D2BC2" w:rsidRDefault="008D2BC2" w:rsidP="008D2BC2">
      <w:pPr>
        <w:jc w:val="center"/>
        <w:rPr>
          <w:rFonts w:ascii="Times New Roman" w:hAnsi="Times New Roman" w:cs="Times New Roman"/>
          <w:sz w:val="24"/>
          <w:szCs w:val="24"/>
          <w:lang w:val="en-IN"/>
        </w:rPr>
      </w:pP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2 indicates the attitude of pre-service teachers on Arts integration in STEM education. The results indicate that 58.4 per cent of the respondents have high level of attitude and 32.1 per cent of them are under moderate level. A low attitude towards Arts integration is only shown by a low percentage (9.5%). This distribution shows that most of the pre-service teachers have positive attitudes towards STEAM pedagogy. Attitudes are essential in implementing new pedagogical approaches since the beliefs of teachers tend to determine the choice of instruction and classroom behaviour. As the findings indicate, pre-service teachers are theoretically receptive to interdisciplinary teaching, without which the successful attainment of STEAM education cannot occur (Land, 2013).</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Since a positive correlation between attitude and readiness was found, the hypothesis formulated is rejected: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relationship between pre-service teachers’ attitudes toward STEAM education and their perceived readiness to implement Arts-integrated STEM instruction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This result corroborates the notion that positive attitudes towards STEAM teaching are </w:t>
      </w:r>
      <w:r w:rsidR="00A97955" w:rsidRPr="00CC46A6">
        <w:rPr>
          <w:rFonts w:ascii="Times New Roman" w:hAnsi="Times New Roman" w:cs="Times New Roman"/>
          <w:sz w:val="24"/>
          <w:szCs w:val="24"/>
          <w:lang w:val="en-IN"/>
        </w:rPr>
        <w:t>a major factor that helps</w:t>
      </w:r>
      <w:r w:rsidRPr="00CC46A6">
        <w:rPr>
          <w:rFonts w:ascii="Times New Roman" w:hAnsi="Times New Roman" w:cs="Times New Roman"/>
          <w:sz w:val="24"/>
          <w:szCs w:val="24"/>
          <w:lang w:val="en-IN"/>
        </w:rPr>
        <w:t xml:space="preserve"> to increase perceived readiness levels among pre-service teachers.</w:t>
      </w:r>
    </w:p>
    <w:p w:rsidR="00CC46A6" w:rsidRPr="00A97955" w:rsidRDefault="00CC46A6" w:rsidP="00CC46A6">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Perceived </w:t>
      </w:r>
      <w:r w:rsidR="008D2BC2">
        <w:rPr>
          <w:rFonts w:ascii="Times New Roman" w:hAnsi="Times New Roman" w:cs="Times New Roman"/>
          <w:b/>
          <w:bCs/>
          <w:sz w:val="24"/>
          <w:szCs w:val="24"/>
          <w:lang w:val="en-IN"/>
        </w:rPr>
        <w:t>Readiness and Confidence in</w:t>
      </w:r>
      <w:r w:rsidR="00B66748">
        <w:rPr>
          <w:rFonts w:ascii="Times New Roman" w:hAnsi="Times New Roman" w:cs="Times New Roman"/>
          <w:b/>
          <w:bCs/>
          <w:sz w:val="24"/>
          <w:szCs w:val="24"/>
          <w:lang w:val="en-IN"/>
        </w:rPr>
        <w:t xml:space="preserve"> </w:t>
      </w:r>
      <w:r w:rsidR="008D2BC2">
        <w:rPr>
          <w:rFonts w:ascii="Times New Roman" w:hAnsi="Times New Roman" w:cs="Times New Roman"/>
          <w:b/>
          <w:bCs/>
          <w:sz w:val="24"/>
          <w:szCs w:val="24"/>
          <w:lang w:val="en-IN"/>
        </w:rPr>
        <w:t>I</w:t>
      </w:r>
      <w:r w:rsidRPr="00A97955">
        <w:rPr>
          <w:rFonts w:ascii="Times New Roman" w:hAnsi="Times New Roman" w:cs="Times New Roman"/>
          <w:b/>
          <w:bCs/>
          <w:sz w:val="24"/>
          <w:szCs w:val="24"/>
          <w:lang w:val="en-IN"/>
        </w:rPr>
        <w:t>mplement</w:t>
      </w:r>
      <w:r w:rsidR="008D2BC2">
        <w:rPr>
          <w:rFonts w:ascii="Times New Roman" w:hAnsi="Times New Roman" w:cs="Times New Roman"/>
          <w:b/>
          <w:bCs/>
          <w:sz w:val="24"/>
          <w:szCs w:val="24"/>
          <w:lang w:val="en-IN"/>
        </w:rPr>
        <w:t>ing</w:t>
      </w:r>
      <w:r w:rsidRPr="00A97955">
        <w:rPr>
          <w:rFonts w:ascii="Times New Roman" w:hAnsi="Times New Roman" w:cs="Times New Roman"/>
          <w:b/>
          <w:bCs/>
          <w:sz w:val="24"/>
          <w:szCs w:val="24"/>
          <w:lang w:val="en-IN"/>
        </w:rPr>
        <w:t xml:space="preserve"> STEAM</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results connected with preparedness and confidence demonstrated a relatively middle level in spite of positive perceptions and attitudes. Most of the pre-service teachers indicated that they did not have a clear idea about lesson planning, assessment strategies, and classroom management in a STEAM setting.</w:t>
      </w:r>
    </w:p>
    <w:p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3</w:t>
      </w:r>
    </w:p>
    <w:p w:rsid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Perceived Readiness to Implement STEAM</w:t>
      </w:r>
    </w:p>
    <w:tbl>
      <w:tblPr>
        <w:tblStyle w:val="TableGrid"/>
        <w:tblW w:w="0" w:type="auto"/>
        <w:jc w:val="center"/>
        <w:tblLook w:val="04A0" w:firstRow="1" w:lastRow="0" w:firstColumn="1" w:lastColumn="0" w:noHBand="0" w:noVBand="1"/>
      </w:tblPr>
      <w:tblGrid>
        <w:gridCol w:w="2757"/>
        <w:gridCol w:w="2757"/>
        <w:gridCol w:w="2757"/>
      </w:tblGrid>
      <w:tr w:rsidR="008D2BC2" w:rsidTr="008D2BC2">
        <w:trPr>
          <w:trHeight w:val="369"/>
          <w:jc w:val="center"/>
        </w:trPr>
        <w:tc>
          <w:tcPr>
            <w:tcW w:w="2757" w:type="dxa"/>
          </w:tcPr>
          <w:p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Readiness Level</w:t>
            </w:r>
          </w:p>
        </w:tc>
        <w:tc>
          <w:tcPr>
            <w:tcW w:w="2757" w:type="dxa"/>
          </w:tcPr>
          <w:p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Mean</w:t>
            </w:r>
          </w:p>
        </w:tc>
        <w:tc>
          <w:tcPr>
            <w:tcW w:w="2757" w:type="dxa"/>
          </w:tcPr>
          <w:p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SD</w:t>
            </w:r>
          </w:p>
        </w:tc>
      </w:tr>
      <w:tr w:rsidR="008D2BC2" w:rsidTr="008D2BC2">
        <w:trPr>
          <w:trHeight w:val="392"/>
          <w:jc w:val="center"/>
        </w:trPr>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lastRenderedPageBreak/>
              <w:t>Teaching Skills</w:t>
            </w:r>
          </w:p>
        </w:tc>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3.41</w:t>
            </w:r>
          </w:p>
        </w:tc>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0.68</w:t>
            </w:r>
          </w:p>
        </w:tc>
      </w:tr>
      <w:tr w:rsidR="008D2BC2" w:rsidTr="008D2BC2">
        <w:trPr>
          <w:trHeight w:val="369"/>
          <w:jc w:val="center"/>
        </w:trPr>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Lesson Planning</w:t>
            </w:r>
          </w:p>
        </w:tc>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3.36</w:t>
            </w:r>
          </w:p>
        </w:tc>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0.71</w:t>
            </w:r>
          </w:p>
        </w:tc>
      </w:tr>
      <w:tr w:rsidR="008D2BC2" w:rsidTr="008D2BC2">
        <w:trPr>
          <w:trHeight w:val="413"/>
          <w:jc w:val="center"/>
        </w:trPr>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Assessment</w:t>
            </w:r>
          </w:p>
        </w:tc>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3.29</w:t>
            </w:r>
          </w:p>
        </w:tc>
        <w:tc>
          <w:tcPr>
            <w:tcW w:w="2757" w:type="dxa"/>
          </w:tcPr>
          <w:p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0.74</w:t>
            </w:r>
          </w:p>
        </w:tc>
      </w:tr>
    </w:tbl>
    <w:p w:rsidR="008D2BC2" w:rsidRPr="008D2BC2" w:rsidRDefault="008D2BC2" w:rsidP="008D2BC2">
      <w:pPr>
        <w:jc w:val="center"/>
        <w:rPr>
          <w:rFonts w:ascii="Times New Roman" w:hAnsi="Times New Roman" w:cs="Times New Roman"/>
          <w:b/>
          <w:bCs/>
          <w:sz w:val="24"/>
          <w:szCs w:val="24"/>
          <w:lang w:val="en-IN"/>
        </w:rPr>
      </w:pP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3 brings out the perceived readiness of pre-service teachers in regard to teaching skills, lesson planning, and assessment as in a STEAM framework. The average of all three dimensions is in the mediocre scale, in which teaching skills (M = 3.41), lesson planning (M = 3.36), and assessment (M = 3.29). These results mean that despite having positive views and attitudes towards STEAM education, pre-service teachers have low confidence and readiness in teaching Arts-integrated STEM education. The relatively poor average score of assessment indicates the doubt of assessing student learning in interdisciplinary settings. Such disconnect can be explained by the lack of practical exposure and opportunity to train during the course of teacher education, as reported by prior research (</w:t>
      </w:r>
      <w:proofErr w:type="spellStart"/>
      <w:r w:rsidRPr="00CC46A6">
        <w:rPr>
          <w:rFonts w:ascii="Times New Roman" w:hAnsi="Times New Roman" w:cs="Times New Roman"/>
          <w:sz w:val="24"/>
          <w:szCs w:val="24"/>
          <w:lang w:val="en-IN"/>
        </w:rPr>
        <w:t>Herro</w:t>
      </w:r>
      <w:proofErr w:type="spellEnd"/>
      <w:r w:rsidRPr="00CC46A6">
        <w:rPr>
          <w:rFonts w:ascii="Times New Roman" w:hAnsi="Times New Roman" w:cs="Times New Roman"/>
          <w:sz w:val="24"/>
          <w:szCs w:val="24"/>
          <w:lang w:val="en-IN"/>
        </w:rPr>
        <w:t xml:space="preserve"> and Quigley, 2017).</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As the readiness levels can be also strongly related to the attitude towards STEAM education, the initial choice to reject Hypothesis </w:t>
      </w:r>
      <w:proofErr w:type="spellStart"/>
      <w:r w:rsidRPr="00CC46A6">
        <w:rPr>
          <w:rFonts w:ascii="Times New Roman" w:hAnsi="Times New Roman" w:cs="Times New Roman"/>
          <w:sz w:val="24"/>
          <w:szCs w:val="24"/>
          <w:lang w:val="en-IN"/>
        </w:rPr>
        <w:t>statementwhich</w:t>
      </w:r>
      <w:proofErr w:type="spellEnd"/>
      <w:r w:rsidRPr="00CC46A6">
        <w:rPr>
          <w:rFonts w:ascii="Times New Roman" w:hAnsi="Times New Roman" w:cs="Times New Roman"/>
          <w:sz w:val="24"/>
          <w:szCs w:val="24"/>
          <w:lang w:val="en-IN"/>
        </w:rPr>
        <w:t xml:space="preserve"> said that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relationship between pre-service teachers’ attitudes toward STEAM education and their perceived readiness to implement Arts-integrated STEM instruction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is justified once again.</w:t>
      </w:r>
    </w:p>
    <w:p w:rsidR="00CC46A6" w:rsidRPr="00A97955" w:rsidRDefault="008D2BC2"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Perceived C</w:t>
      </w:r>
      <w:r w:rsidRPr="008D2BC2">
        <w:rPr>
          <w:rFonts w:ascii="Times New Roman" w:hAnsi="Times New Roman" w:cs="Times New Roman"/>
          <w:b/>
          <w:bCs/>
          <w:sz w:val="24"/>
          <w:szCs w:val="24"/>
          <w:lang w:val="en-IN"/>
        </w:rPr>
        <w:t>hallenges</w:t>
      </w:r>
      <w:r>
        <w:rPr>
          <w:rFonts w:ascii="Times New Roman" w:hAnsi="Times New Roman" w:cs="Times New Roman"/>
          <w:b/>
          <w:bCs/>
          <w:sz w:val="24"/>
          <w:szCs w:val="24"/>
          <w:lang w:val="en-IN"/>
        </w:rPr>
        <w:t xml:space="preserve"> in Integrating Arts in STEM Education</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Perceived challenges analysis indicated that there are a number of constraints that can limit effective implementation of STEAM. The most common issues reported were lack of training, inadequate time to instruct, inadequate resources and strict curriculum designs.</w:t>
      </w:r>
    </w:p>
    <w:p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4</w:t>
      </w:r>
    </w:p>
    <w:p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Perceived C</w:t>
      </w:r>
      <w:r w:rsidRPr="008D2BC2">
        <w:rPr>
          <w:rFonts w:ascii="Times New Roman" w:hAnsi="Times New Roman" w:cs="Times New Roman"/>
          <w:b/>
          <w:bCs/>
          <w:sz w:val="24"/>
          <w:szCs w:val="24"/>
          <w:lang w:val="en-IN"/>
        </w:rPr>
        <w:t>hallenges</w:t>
      </w:r>
      <w:r>
        <w:rPr>
          <w:rFonts w:ascii="Times New Roman" w:hAnsi="Times New Roman" w:cs="Times New Roman"/>
          <w:b/>
          <w:bCs/>
          <w:sz w:val="24"/>
          <w:szCs w:val="24"/>
          <w:lang w:val="en-IN"/>
        </w:rPr>
        <w:t xml:space="preserve"> in Arts Integration </w:t>
      </w:r>
    </w:p>
    <w:tbl>
      <w:tblPr>
        <w:tblStyle w:val="TableGrid"/>
        <w:tblW w:w="0" w:type="auto"/>
        <w:jc w:val="center"/>
        <w:tblLook w:val="04A0" w:firstRow="1" w:lastRow="0" w:firstColumn="1" w:lastColumn="0" w:noHBand="0" w:noVBand="1"/>
      </w:tblPr>
      <w:tblGrid>
        <w:gridCol w:w="3506"/>
        <w:gridCol w:w="2126"/>
        <w:gridCol w:w="1949"/>
      </w:tblGrid>
      <w:tr w:rsidR="008D2BC2" w:rsidTr="008D2BC2">
        <w:trPr>
          <w:trHeight w:val="312"/>
          <w:jc w:val="center"/>
        </w:trPr>
        <w:tc>
          <w:tcPr>
            <w:tcW w:w="3506" w:type="dxa"/>
          </w:tcPr>
          <w:p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Challenge Factor</w:t>
            </w:r>
          </w:p>
        </w:tc>
        <w:tc>
          <w:tcPr>
            <w:tcW w:w="2126" w:type="dxa"/>
          </w:tcPr>
          <w:p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Mean</w:t>
            </w:r>
          </w:p>
        </w:tc>
        <w:tc>
          <w:tcPr>
            <w:tcW w:w="1949" w:type="dxa"/>
          </w:tcPr>
          <w:p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Rank</w:t>
            </w:r>
          </w:p>
        </w:tc>
      </w:tr>
      <w:tr w:rsidR="008D2BC2" w:rsidTr="008D2BC2">
        <w:trPr>
          <w:trHeight w:val="312"/>
          <w:jc w:val="center"/>
        </w:trPr>
        <w:tc>
          <w:tcPr>
            <w:tcW w:w="350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Lack of Professional Training</w:t>
            </w:r>
          </w:p>
        </w:tc>
        <w:tc>
          <w:tcPr>
            <w:tcW w:w="212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4.12</w:t>
            </w:r>
          </w:p>
        </w:tc>
        <w:tc>
          <w:tcPr>
            <w:tcW w:w="1949"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w:t>
            </w:r>
          </w:p>
        </w:tc>
      </w:tr>
      <w:tr w:rsidR="008D2BC2" w:rsidTr="008D2BC2">
        <w:trPr>
          <w:trHeight w:val="312"/>
          <w:jc w:val="center"/>
        </w:trPr>
        <w:tc>
          <w:tcPr>
            <w:tcW w:w="350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Time Constraints</w:t>
            </w:r>
          </w:p>
        </w:tc>
        <w:tc>
          <w:tcPr>
            <w:tcW w:w="212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3.98</w:t>
            </w:r>
          </w:p>
        </w:tc>
        <w:tc>
          <w:tcPr>
            <w:tcW w:w="1949"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II</w:t>
            </w:r>
          </w:p>
        </w:tc>
      </w:tr>
      <w:tr w:rsidR="008D2BC2" w:rsidTr="008D2BC2">
        <w:trPr>
          <w:trHeight w:val="312"/>
          <w:jc w:val="center"/>
        </w:trPr>
        <w:tc>
          <w:tcPr>
            <w:tcW w:w="350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Limited Resources</w:t>
            </w:r>
          </w:p>
        </w:tc>
        <w:tc>
          <w:tcPr>
            <w:tcW w:w="212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3.84</w:t>
            </w:r>
          </w:p>
        </w:tc>
        <w:tc>
          <w:tcPr>
            <w:tcW w:w="1949"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III</w:t>
            </w:r>
          </w:p>
        </w:tc>
      </w:tr>
      <w:tr w:rsidR="008D2BC2" w:rsidTr="008D2BC2">
        <w:trPr>
          <w:trHeight w:val="312"/>
          <w:jc w:val="center"/>
        </w:trPr>
        <w:tc>
          <w:tcPr>
            <w:tcW w:w="350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Curriculum Rigidity</w:t>
            </w:r>
          </w:p>
        </w:tc>
        <w:tc>
          <w:tcPr>
            <w:tcW w:w="2126"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3.76</w:t>
            </w:r>
          </w:p>
        </w:tc>
        <w:tc>
          <w:tcPr>
            <w:tcW w:w="1949" w:type="dxa"/>
          </w:tcPr>
          <w:p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IV</w:t>
            </w:r>
          </w:p>
        </w:tc>
      </w:tr>
    </w:tbl>
    <w:p w:rsidR="008D2BC2" w:rsidRDefault="008D2BC2" w:rsidP="008D2BC2">
      <w:pPr>
        <w:jc w:val="center"/>
        <w:rPr>
          <w:rFonts w:ascii="Times New Roman" w:hAnsi="Times New Roman" w:cs="Times New Roman"/>
          <w:sz w:val="24"/>
          <w:szCs w:val="24"/>
          <w:lang w:val="en-IN"/>
        </w:rPr>
      </w:pP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Table 4 determines that the key challenges that pre-service teachers think they face when incorporating Arts into STEM education are these. The most critical challenge is the absence of professional training (M = 4.12), time constraints (M = 3.98), limited resources (M = 3.84), and rigidity of the curriculum (M = 3.76). Such a preponderance of training-related issues shows an evident difference between the theoretical and the practical approach to the application of </w:t>
      </w:r>
      <w:r w:rsidRPr="00CC46A6">
        <w:rPr>
          <w:rFonts w:ascii="Times New Roman" w:hAnsi="Times New Roman" w:cs="Times New Roman"/>
          <w:sz w:val="24"/>
          <w:szCs w:val="24"/>
          <w:lang w:val="en-IN"/>
        </w:rPr>
        <w:lastRenderedPageBreak/>
        <w:t>STEAM pedagogy. The results highlight the importance of systematic coursework, practical workshops and curriculum flexibility in teacher education programmes. These are the same obstacles that have been described in the previous research in STEAM, where interdisciplinary teaching is shown to be hindered by systemic problems (Thibaut et al., 2018).</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Since it was established that perceived challenges have negative effect on the level of confidence, the hypothesized statement is rejected, which is as follows: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association between perceived challenges and confidence levels of pre-service teachers in integrating Arts within STEM education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This finding proves that perceived obstacles have a significant effect on pre-service teachers and contribute to their low confidence in the implementation of STEAM education.</w:t>
      </w:r>
    </w:p>
    <w:p w:rsidR="00CC46A6" w:rsidRPr="00A97955" w:rsidRDefault="00CC46A6" w:rsidP="00CC46A6">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Interaction</w:t>
      </w:r>
      <w:r w:rsidR="00A97955" w:rsidRPr="00A97955">
        <w:rPr>
          <w:rFonts w:ascii="Times New Roman" w:hAnsi="Times New Roman" w:cs="Times New Roman"/>
          <w:b/>
          <w:bCs/>
          <w:sz w:val="24"/>
          <w:szCs w:val="24"/>
          <w:lang w:val="en-IN"/>
        </w:rPr>
        <w:t xml:space="preserve"> between Attitude and Readiness</w:t>
      </w:r>
    </w:p>
    <w:p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positive correlation between the attitude of pre-service teachers toward STEAM education and their perceived readiness to teach Arts-integrated STEM instruction were found through the inferential analysis. This indicates that positive attitudes could influence the level of readiness to embrace new pedagogies in case of proper support.</w:t>
      </w:r>
    </w:p>
    <w:p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This observation aligns with the educational research where the opinion and attitude of teachers play a significant role in determining the choice of instruction and the practices in the classroom (Creswell and Creswell, 2018).</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On the whole, the results of the research show that pre-service teachers have the positive vision and attitude toward the implementation of Arts in STEM education. Nonetheless, there are still loopholes in the areas of preparedness, confidence, and institutional backing. The findings highlight how STEAM-focused coursework, experience, and resource provisions should be implemented into a teacher-training program systematically. The resolution of these gaps will be able to enhance the ability of future teachers to apply the interdisciplinary pedagogies in terms of their effectiveness and sustainability.</w:t>
      </w:r>
    </w:p>
    <w:p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Discussion</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The </w:t>
      </w:r>
      <w:r w:rsidR="00B66748">
        <w:rPr>
          <w:rFonts w:ascii="Times New Roman" w:hAnsi="Times New Roman" w:cs="Times New Roman"/>
          <w:sz w:val="24"/>
          <w:szCs w:val="24"/>
          <w:lang w:val="en-IN"/>
        </w:rPr>
        <w:t>finding</w:t>
      </w:r>
      <w:r w:rsidR="00B66748" w:rsidRPr="00A97955">
        <w:rPr>
          <w:rFonts w:ascii="Times New Roman" w:hAnsi="Times New Roman" w:cs="Times New Roman"/>
          <w:sz w:val="24"/>
          <w:szCs w:val="24"/>
          <w:lang w:val="en-IN"/>
        </w:rPr>
        <w:t xml:space="preserve"> of the current paper suggests</w:t>
      </w:r>
      <w:r w:rsidRPr="00A97955">
        <w:rPr>
          <w:rFonts w:ascii="Times New Roman" w:hAnsi="Times New Roman" w:cs="Times New Roman"/>
          <w:sz w:val="24"/>
          <w:szCs w:val="24"/>
          <w:lang w:val="en-IN"/>
        </w:rPr>
        <w:t xml:space="preserve"> that, mostly, pre-service teachers have positive perceptions and attitudes towards incorporating Arts in STEM education. This indicates an increased acknowledgment of STEAM as a significant interdisciplinary method, which promotes innovativeness, involvement, and complete education. These positive associations are consistent with the previous studies that have focused on the importance of Arts integration in improving conceptual knowledge and learner motivation in STEM (Henriksen, 2014; Land, 2013).</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Although these images are positive, the researcher found out that among pre-service teachers, there were only moderate readiness and confidence levels to use STEAM-based instruction. This difference between theoretical approval and the real readiness shows a very serious problem in </w:t>
      </w:r>
      <w:r w:rsidRPr="00A97955">
        <w:rPr>
          <w:rFonts w:ascii="Times New Roman" w:hAnsi="Times New Roman" w:cs="Times New Roman"/>
          <w:sz w:val="24"/>
          <w:szCs w:val="24"/>
          <w:lang w:val="en-IN"/>
        </w:rPr>
        <w:lastRenderedPageBreak/>
        <w:t>teacher education programs. Previous research has also identified the same, claiming that the lack of practical experience and pedagogical training may prevent teachers in their quest to transform the STEAM theory into practice in the classroom (</w:t>
      </w:r>
      <w:proofErr w:type="spellStart"/>
      <w:r w:rsidRPr="00A97955">
        <w:rPr>
          <w:rFonts w:ascii="Times New Roman" w:hAnsi="Times New Roman" w:cs="Times New Roman"/>
          <w:sz w:val="24"/>
          <w:szCs w:val="24"/>
          <w:lang w:val="en-IN"/>
        </w:rPr>
        <w:t>Herro</w:t>
      </w:r>
      <w:proofErr w:type="spellEnd"/>
      <w:r w:rsidRPr="00A97955">
        <w:rPr>
          <w:rFonts w:ascii="Times New Roman" w:hAnsi="Times New Roman" w:cs="Times New Roman"/>
          <w:sz w:val="24"/>
          <w:szCs w:val="24"/>
          <w:lang w:val="en-IN"/>
        </w:rPr>
        <w:t xml:space="preserve"> and Quigley, 2017). Specifically, the issues associated with assessment and design of lessons imply that during pre-service training, there should be guided instructions and learning experiences.</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lack of professional training identified as the most crucial issue also helps to emphasize the role of institutional support in supporting the process of effective STEAM implementation. Time limitations, resource scarcity, and strict curriculum frameworks were also identified to affect the confidence of pre-service teachers indicating that systems factors are very critical in preparing teachers to teach. The findings are aligned with previous studies that have seen a structural impediment to interdisciplinary teaching (Thibaut et al., 2018).</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In general, the findings support the importance of incorporating the multifaceted STEAM-based course work, hands-on exposure, and pedagogical support into a teacher education course. The empowering of such areas can contribute positively to the confidence and willingness of pre-service teachers and help to facilitate the sustainable use of the Arts-integrated STEM education.</w:t>
      </w:r>
    </w:p>
    <w:p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Educational Implementation </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Using the data of the current research, various educational recommendations can be outlined in order to enhance the incorporation of Arts in STEM education at the pre-service teacher level. There should be structured STEAM-oriented coursework in teacher education institutions which specifically address interdisciplinary lesson planning, assessment strategies and implementation in classrooms. The courses will have the ability to equip pre-service teachers with both practical skills and theoretical knowledge (Henriksen, 2014).</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During teacher preparation programs, special focus should be made on the provisions of experiential learning, such as project-based learning, collaborative teaching modules, and micro-teaching sessions relying on STEAM-based pedagogy. With the help of these experiences, it is possible to develop confidence and preparedness, enabling pre-service teachers to use Arts-integrated STEM strategies in real learning situations (</w:t>
      </w:r>
      <w:proofErr w:type="spellStart"/>
      <w:r w:rsidRPr="00A97955">
        <w:rPr>
          <w:rFonts w:ascii="Times New Roman" w:hAnsi="Times New Roman" w:cs="Times New Roman"/>
          <w:sz w:val="24"/>
          <w:szCs w:val="24"/>
          <w:lang w:val="en-IN"/>
        </w:rPr>
        <w:t>Herro</w:t>
      </w:r>
      <w:proofErr w:type="spellEnd"/>
      <w:r w:rsidRPr="00A97955">
        <w:rPr>
          <w:rFonts w:ascii="Times New Roman" w:hAnsi="Times New Roman" w:cs="Times New Roman"/>
          <w:sz w:val="24"/>
          <w:szCs w:val="24"/>
          <w:lang w:val="en-IN"/>
        </w:rPr>
        <w:t xml:space="preserve"> and Quigley, 2017). Also, assessment training is to be reformulated to respond to the evaluation of creativity, problem-solving, and interdisciplinary learning outcomes.</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Workshops and mentoring as well as interdisciplinary faculty cooperation are other ways of supporting professional development to promote effective STEAM implementation. Curriculum planners are also advised to make teacher education programs very flexible so as to facilitate new teaching practices and minimize the congestion of content. The meaningful Arts integration requires adequate access to instructional resources, digital tools, and creative materials (Thibaut et al., 2018).</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lastRenderedPageBreak/>
        <w:t>And lastly, teacher education programs should incorporate continuous reflection and feedback programs to promote reflective practice and long-term professional development. All these actions can contribute to the creation of efficient and self-confident future educators who will be able to apply STEAM education to its full potential.</w:t>
      </w:r>
    </w:p>
    <w:p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Conclusion</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current analysis has explored the perceptions of pre-service teachers on incorporating Arts in STEM education and has given significant information about their attitude, willingness, and perceived difficulties. The results show that pre-service teachers tend to have neutral or positive perceptions and positive attitudes toward STEAM education which shows that they are not aversive to the interdisciplinary and innovative pedagogy. This implies that the introduction of Arts-integrated STEM teaching in the classroom has a solid theoretical basis in the future.</w:t>
      </w:r>
    </w:p>
    <w:p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Nevertheless, the research also found that the willingness of pre-service teachers to apply STEAM pedagogy is at a moderate level. Poor faith in lesson planning, assessment and classroom performance points to the discrepancy between theoretical allegiance and practical expertise. The lack of professional training as one of the primary problems raises the point of systematic and organized STEAM preparation through the teacher education programs. As well, institutional factors including time constraints and availability of resources and curriculum inflexibility were determined to affect implementation preparedness.</w:t>
      </w:r>
    </w:p>
    <w:p w:rsidR="00D31B32"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The fact that all the null </w:t>
      </w:r>
      <w:r w:rsidR="00630803" w:rsidRPr="00A97955">
        <w:rPr>
          <w:rFonts w:ascii="Times New Roman" w:hAnsi="Times New Roman" w:cs="Times New Roman"/>
          <w:sz w:val="24"/>
          <w:szCs w:val="24"/>
          <w:lang w:val="en-IN"/>
        </w:rPr>
        <w:t>hypothesis was</w:t>
      </w:r>
      <w:r w:rsidRPr="00A97955">
        <w:rPr>
          <w:rFonts w:ascii="Times New Roman" w:hAnsi="Times New Roman" w:cs="Times New Roman"/>
          <w:sz w:val="24"/>
          <w:szCs w:val="24"/>
          <w:lang w:val="en-IN"/>
        </w:rPr>
        <w:t xml:space="preserve"> rejected also proves that demographic factors, attitude, and perceived challenges have a significant influence on the readiness of pre-service teachers to STEAM education. The findings provide strength to the idea that curriculum in teacher education needs to be reinforced with interdisciplinary courses, hands-on learning activities, and ongoing professional assistance. In general, the research concludes that successful implementation of Arts in STEM education involves not just positive perception of teachers, but long-term institutional devotion to the development of pedagogical competence. These needs can help in successful and sustainable implementation of STEAM education in the </w:t>
      </w:r>
      <w:r w:rsidR="00B66748">
        <w:rPr>
          <w:rFonts w:ascii="Times New Roman" w:hAnsi="Times New Roman" w:cs="Times New Roman"/>
          <w:sz w:val="24"/>
          <w:szCs w:val="24"/>
          <w:lang w:val="en-IN"/>
        </w:rPr>
        <w:t>institute</w:t>
      </w:r>
      <w:r w:rsidRPr="00A97955">
        <w:rPr>
          <w:rFonts w:ascii="Times New Roman" w:hAnsi="Times New Roman" w:cs="Times New Roman"/>
          <w:sz w:val="24"/>
          <w:szCs w:val="24"/>
          <w:lang w:val="en-IN"/>
        </w:rPr>
        <w:t>.</w:t>
      </w:r>
      <w:r w:rsidR="00B66748">
        <w:rPr>
          <w:rFonts w:ascii="Times New Roman" w:hAnsi="Times New Roman" w:cs="Times New Roman"/>
          <w:sz w:val="24"/>
          <w:szCs w:val="24"/>
          <w:lang w:val="en-IN"/>
        </w:rPr>
        <w:t xml:space="preserve"> </w:t>
      </w:r>
    </w:p>
    <w:p w:rsidR="00D31B32" w:rsidRPr="00D31B32" w:rsidRDefault="00D31B32" w:rsidP="00D31B32">
      <w:pPr>
        <w:jc w:val="both"/>
        <w:rPr>
          <w:rFonts w:ascii="Times New Roman" w:hAnsi="Times New Roman" w:cs="Times New Roman"/>
          <w:b/>
          <w:sz w:val="24"/>
          <w:szCs w:val="24"/>
          <w:lang w:val="en-IN"/>
        </w:rPr>
      </w:pPr>
      <w:r w:rsidRPr="00D31B32">
        <w:rPr>
          <w:rFonts w:ascii="Times New Roman" w:hAnsi="Times New Roman" w:cs="Times New Roman"/>
          <w:b/>
          <w:sz w:val="24"/>
          <w:szCs w:val="24"/>
          <w:lang w:val="en-IN"/>
        </w:rPr>
        <w:t>Ethical Approval</w:t>
      </w:r>
    </w:p>
    <w:p w:rsidR="00D31B32" w:rsidRDefault="00D31B32" w:rsidP="00D31B32">
      <w:pPr>
        <w:jc w:val="both"/>
        <w:rPr>
          <w:rFonts w:ascii="Times New Roman" w:hAnsi="Times New Roman" w:cs="Times New Roman"/>
          <w:sz w:val="24"/>
          <w:szCs w:val="24"/>
          <w:lang w:val="en-IN"/>
        </w:rPr>
      </w:pPr>
      <w:r w:rsidRPr="00D31B32">
        <w:rPr>
          <w:rFonts w:ascii="Times New Roman" w:hAnsi="Times New Roman" w:cs="Times New Roman"/>
          <w:sz w:val="24"/>
          <w:szCs w:val="24"/>
          <w:lang w:val="en-IN"/>
        </w:rPr>
        <w:t>As per international standards or university standards written ethical approval has been collected and preserved by the author(s).</w:t>
      </w:r>
    </w:p>
    <w:p w:rsidR="00D31B32" w:rsidRPr="00D31B32" w:rsidRDefault="00D31B32" w:rsidP="00D31B32">
      <w:pPr>
        <w:jc w:val="both"/>
        <w:rPr>
          <w:rFonts w:ascii="Times New Roman" w:hAnsi="Times New Roman" w:cs="Times New Roman"/>
          <w:b/>
          <w:sz w:val="24"/>
          <w:szCs w:val="24"/>
          <w:lang w:val="en-IN"/>
        </w:rPr>
      </w:pPr>
      <w:r w:rsidRPr="00D31B32">
        <w:rPr>
          <w:rFonts w:ascii="Times New Roman" w:hAnsi="Times New Roman" w:cs="Times New Roman"/>
          <w:b/>
          <w:sz w:val="24"/>
          <w:szCs w:val="24"/>
          <w:lang w:val="en-IN"/>
        </w:rPr>
        <w:t xml:space="preserve">Consent </w:t>
      </w:r>
    </w:p>
    <w:p w:rsidR="00D31B32" w:rsidRDefault="00D31B32" w:rsidP="00D31B32">
      <w:pPr>
        <w:jc w:val="both"/>
        <w:rPr>
          <w:rFonts w:ascii="Times New Roman" w:hAnsi="Times New Roman" w:cs="Times New Roman"/>
          <w:sz w:val="24"/>
          <w:szCs w:val="24"/>
          <w:lang w:val="en-IN"/>
        </w:rPr>
      </w:pPr>
      <w:r w:rsidRPr="00D31B32">
        <w:rPr>
          <w:rFonts w:ascii="Times New Roman" w:hAnsi="Times New Roman" w:cs="Times New Roman"/>
          <w:sz w:val="24"/>
          <w:szCs w:val="24"/>
          <w:lang w:val="en-IN"/>
        </w:rPr>
        <w:t>As per international standards or university standards, Participants’ written consent has been collected and preserved by the author(s).</w:t>
      </w:r>
      <w:bookmarkStart w:id="0" w:name="_GoBack"/>
      <w:bookmarkEnd w:id="0"/>
    </w:p>
    <w:p w:rsidR="00EB0224" w:rsidRPr="00630803" w:rsidRDefault="00EB0224" w:rsidP="00EB0224">
      <w:pPr>
        <w:rPr>
          <w:rFonts w:ascii="Times New Roman" w:eastAsia="Calibri" w:hAnsi="Times New Roman" w:cs="Times New Roman"/>
          <w:b/>
          <w:bCs/>
          <w:color w:val="000000" w:themeColor="text1"/>
          <w:kern w:val="2"/>
          <w:sz w:val="24"/>
          <w:szCs w:val="24"/>
          <w:lang w:bidi="ar-SA"/>
        </w:rPr>
      </w:pPr>
      <w:r w:rsidRPr="00630803">
        <w:rPr>
          <w:rFonts w:ascii="Times New Roman" w:eastAsia="Calibri" w:hAnsi="Times New Roman" w:cs="Times New Roman"/>
          <w:b/>
          <w:bCs/>
          <w:color w:val="000000" w:themeColor="text1"/>
          <w:kern w:val="2"/>
          <w:sz w:val="24"/>
          <w:szCs w:val="24"/>
          <w:lang w:bidi="ar-SA"/>
        </w:rPr>
        <w:t>Disclaimer (Artificial intelligence)</w:t>
      </w:r>
    </w:p>
    <w:p w:rsidR="00EB0224" w:rsidRPr="00630803" w:rsidRDefault="00EB0224" w:rsidP="006C5D70">
      <w:pPr>
        <w:jc w:val="both"/>
        <w:rPr>
          <w:rFonts w:ascii="Times New Roman" w:eastAsia="Calibri" w:hAnsi="Times New Roman" w:cs="Times New Roman"/>
          <w:color w:val="000000" w:themeColor="text1"/>
          <w:kern w:val="2"/>
          <w:sz w:val="24"/>
          <w:szCs w:val="24"/>
          <w:lang w:bidi="ar-SA"/>
        </w:rPr>
      </w:pPr>
      <w:r w:rsidRPr="00630803">
        <w:rPr>
          <w:rFonts w:ascii="Times New Roman" w:eastAsia="Calibri" w:hAnsi="Times New Roman" w:cs="Times New Roman"/>
          <w:color w:val="000000" w:themeColor="text1"/>
          <w:kern w:val="2"/>
          <w:sz w:val="24"/>
          <w:szCs w:val="24"/>
          <w:lang w:bidi="ar-SA"/>
        </w:rPr>
        <w:lastRenderedPageBreak/>
        <w:t>Author(s) hereby declare that NO generative AI technologies such as Large Language Models (</w:t>
      </w:r>
      <w:proofErr w:type="spellStart"/>
      <w:r w:rsidRPr="00630803">
        <w:rPr>
          <w:rFonts w:ascii="Times New Roman" w:eastAsia="Calibri" w:hAnsi="Times New Roman" w:cs="Times New Roman"/>
          <w:color w:val="000000" w:themeColor="text1"/>
          <w:kern w:val="2"/>
          <w:sz w:val="24"/>
          <w:szCs w:val="24"/>
          <w:lang w:bidi="ar-SA"/>
        </w:rPr>
        <w:t>ChatGPT</w:t>
      </w:r>
      <w:proofErr w:type="spellEnd"/>
      <w:r w:rsidRPr="00630803">
        <w:rPr>
          <w:rFonts w:ascii="Times New Roman" w:eastAsia="Calibri" w:hAnsi="Times New Roman" w:cs="Times New Roman"/>
          <w:color w:val="000000" w:themeColor="text1"/>
          <w:kern w:val="2"/>
          <w:sz w:val="24"/>
          <w:szCs w:val="24"/>
          <w:lang w:bidi="ar-SA"/>
        </w:rPr>
        <w:t xml:space="preserve">, COPILOT, etc.) and text-to-image generators have been used during the writing or editing of this manuscript. </w:t>
      </w:r>
      <w:r w:rsidR="00630803">
        <w:rPr>
          <w:rFonts w:ascii="Times New Roman" w:eastAsia="Calibri" w:hAnsi="Times New Roman" w:cs="Times New Roman"/>
          <w:color w:val="000000" w:themeColor="text1"/>
          <w:kern w:val="2"/>
          <w:sz w:val="24"/>
          <w:szCs w:val="24"/>
          <w:lang w:bidi="ar-SA"/>
        </w:rPr>
        <w:t xml:space="preserve"> </w:t>
      </w:r>
    </w:p>
    <w:p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 References</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Amanova</w:t>
      </w:r>
      <w:proofErr w:type="spellEnd"/>
      <w:r w:rsidRPr="0017620E">
        <w:rPr>
          <w:rFonts w:ascii="Times New Roman" w:hAnsi="Times New Roman" w:cs="Times New Roman"/>
          <w:sz w:val="24"/>
          <w:szCs w:val="24"/>
          <w:lang w:val="en-IN"/>
        </w:rPr>
        <w:t xml:space="preserve">, A. K., </w:t>
      </w:r>
      <w:proofErr w:type="spellStart"/>
      <w:r w:rsidRPr="0017620E">
        <w:rPr>
          <w:rFonts w:ascii="Times New Roman" w:hAnsi="Times New Roman" w:cs="Times New Roman"/>
          <w:sz w:val="24"/>
          <w:szCs w:val="24"/>
          <w:lang w:val="en-IN"/>
        </w:rPr>
        <w:t>Butabayeva</w:t>
      </w:r>
      <w:proofErr w:type="spellEnd"/>
      <w:r w:rsidRPr="0017620E">
        <w:rPr>
          <w:rFonts w:ascii="Times New Roman" w:hAnsi="Times New Roman" w:cs="Times New Roman"/>
          <w:sz w:val="24"/>
          <w:szCs w:val="24"/>
          <w:lang w:val="en-IN"/>
        </w:rPr>
        <w:t xml:space="preserve">, L. A., </w:t>
      </w:r>
      <w:proofErr w:type="spellStart"/>
      <w:r w:rsidRPr="0017620E">
        <w:rPr>
          <w:rFonts w:ascii="Times New Roman" w:hAnsi="Times New Roman" w:cs="Times New Roman"/>
          <w:sz w:val="24"/>
          <w:szCs w:val="24"/>
          <w:lang w:val="en-IN"/>
        </w:rPr>
        <w:t>Abayeva</w:t>
      </w:r>
      <w:proofErr w:type="spellEnd"/>
      <w:r w:rsidRPr="0017620E">
        <w:rPr>
          <w:rFonts w:ascii="Times New Roman" w:hAnsi="Times New Roman" w:cs="Times New Roman"/>
          <w:sz w:val="24"/>
          <w:szCs w:val="24"/>
          <w:lang w:val="en-IN"/>
        </w:rPr>
        <w:t xml:space="preserve">, G. A., </w:t>
      </w:r>
      <w:proofErr w:type="spellStart"/>
      <w:r w:rsidRPr="0017620E">
        <w:rPr>
          <w:rFonts w:ascii="Times New Roman" w:hAnsi="Times New Roman" w:cs="Times New Roman"/>
          <w:sz w:val="24"/>
          <w:szCs w:val="24"/>
          <w:lang w:val="en-IN"/>
        </w:rPr>
        <w:t>Umirbekova</w:t>
      </w:r>
      <w:proofErr w:type="spellEnd"/>
      <w:r w:rsidRPr="0017620E">
        <w:rPr>
          <w:rFonts w:ascii="Times New Roman" w:hAnsi="Times New Roman" w:cs="Times New Roman"/>
          <w:sz w:val="24"/>
          <w:szCs w:val="24"/>
          <w:lang w:val="en-IN"/>
        </w:rPr>
        <w:t xml:space="preserve">, A. N., </w:t>
      </w:r>
      <w:proofErr w:type="spellStart"/>
      <w:r w:rsidRPr="0017620E">
        <w:rPr>
          <w:rFonts w:ascii="Times New Roman" w:hAnsi="Times New Roman" w:cs="Times New Roman"/>
          <w:sz w:val="24"/>
          <w:szCs w:val="24"/>
          <w:lang w:val="en-IN"/>
        </w:rPr>
        <w:t>Abildina</w:t>
      </w:r>
      <w:proofErr w:type="spellEnd"/>
      <w:r w:rsidRPr="0017620E">
        <w:rPr>
          <w:rFonts w:ascii="Times New Roman" w:hAnsi="Times New Roman" w:cs="Times New Roman"/>
          <w:sz w:val="24"/>
          <w:szCs w:val="24"/>
          <w:lang w:val="en-IN"/>
        </w:rPr>
        <w:t xml:space="preserve">, S. K., &amp; </w:t>
      </w:r>
      <w:proofErr w:type="spellStart"/>
      <w:r w:rsidRPr="0017620E">
        <w:rPr>
          <w:rFonts w:ascii="Times New Roman" w:hAnsi="Times New Roman" w:cs="Times New Roman"/>
          <w:sz w:val="24"/>
          <w:szCs w:val="24"/>
          <w:lang w:val="en-IN"/>
        </w:rPr>
        <w:t>Makhmetova</w:t>
      </w:r>
      <w:proofErr w:type="spellEnd"/>
      <w:r w:rsidRPr="0017620E">
        <w:rPr>
          <w:rFonts w:ascii="Times New Roman" w:hAnsi="Times New Roman" w:cs="Times New Roman"/>
          <w:sz w:val="24"/>
          <w:szCs w:val="24"/>
          <w:lang w:val="en-IN"/>
        </w:rPr>
        <w:t xml:space="preserve">, A. A. (2025). A systematic review of the implementation of STEAM education in schools: Emerging trends and impacts on attitudes and learning outcomes. Eurasia Journal of Mathematics, Science and Technology Education, 21(1), em2568. </w:t>
      </w:r>
      <w:hyperlink r:id="rId7" w:history="1">
        <w:r w:rsidRPr="0017620E">
          <w:rPr>
            <w:rStyle w:val="Hyperlink"/>
            <w:rFonts w:ascii="Times New Roman" w:hAnsi="Times New Roman" w:cs="Times New Roman"/>
            <w:sz w:val="24"/>
            <w:szCs w:val="24"/>
            <w:lang w:val="en-IN"/>
          </w:rPr>
          <w:t>https://doi.org/10.29333/ejmste/15894</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Boice</w:t>
      </w:r>
      <w:proofErr w:type="spellEnd"/>
      <w:r w:rsidRPr="0017620E">
        <w:rPr>
          <w:rFonts w:ascii="Times New Roman" w:hAnsi="Times New Roman" w:cs="Times New Roman"/>
          <w:sz w:val="24"/>
          <w:szCs w:val="24"/>
          <w:lang w:val="en-IN"/>
        </w:rPr>
        <w:t xml:space="preserve">, K. L., </w:t>
      </w:r>
      <w:proofErr w:type="spellStart"/>
      <w:r w:rsidRPr="0017620E">
        <w:rPr>
          <w:rFonts w:ascii="Times New Roman" w:hAnsi="Times New Roman" w:cs="Times New Roman"/>
          <w:sz w:val="24"/>
          <w:szCs w:val="24"/>
          <w:lang w:val="en-IN"/>
        </w:rPr>
        <w:t>Alemdar</w:t>
      </w:r>
      <w:proofErr w:type="spellEnd"/>
      <w:r w:rsidRPr="0017620E">
        <w:rPr>
          <w:rFonts w:ascii="Times New Roman" w:hAnsi="Times New Roman" w:cs="Times New Roman"/>
          <w:sz w:val="24"/>
          <w:szCs w:val="24"/>
          <w:lang w:val="en-IN"/>
        </w:rPr>
        <w:t xml:space="preserve">, M., Jackson, J. R., Kessler, T. C., Choi, J., Grossman, S., &amp; </w:t>
      </w:r>
      <w:proofErr w:type="spellStart"/>
      <w:r w:rsidRPr="0017620E">
        <w:rPr>
          <w:rFonts w:ascii="Times New Roman" w:hAnsi="Times New Roman" w:cs="Times New Roman"/>
          <w:sz w:val="24"/>
          <w:szCs w:val="24"/>
          <w:lang w:val="en-IN"/>
        </w:rPr>
        <w:t>Usselman</w:t>
      </w:r>
      <w:proofErr w:type="spellEnd"/>
      <w:r w:rsidRPr="0017620E">
        <w:rPr>
          <w:rFonts w:ascii="Times New Roman" w:hAnsi="Times New Roman" w:cs="Times New Roman"/>
          <w:sz w:val="24"/>
          <w:szCs w:val="24"/>
          <w:lang w:val="en-IN"/>
        </w:rPr>
        <w:t xml:space="preserve">, M. (2024). Exploring teachers’ understanding and implementation of STEAM: One size does not fit all. Frontiers in Education, 9, Article 1401191. </w:t>
      </w:r>
      <w:hyperlink r:id="rId8" w:history="1">
        <w:r w:rsidRPr="0017620E">
          <w:rPr>
            <w:rStyle w:val="Hyperlink"/>
            <w:rFonts w:ascii="Times New Roman" w:hAnsi="Times New Roman" w:cs="Times New Roman"/>
            <w:sz w:val="24"/>
            <w:szCs w:val="24"/>
            <w:lang w:val="en-IN"/>
          </w:rPr>
          <w:t>https://doi.org/10.3389/feduc.2024.1401191</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Cohen, L., Manion, L., &amp; Morrison, K. (2018). Research methods in education (8th ed.). Routledge. </w:t>
      </w:r>
      <w:hyperlink r:id="rId9" w:history="1">
        <w:r w:rsidRPr="0017620E">
          <w:rPr>
            <w:rStyle w:val="Hyperlink"/>
            <w:rFonts w:ascii="Times New Roman" w:hAnsi="Times New Roman" w:cs="Times New Roman"/>
            <w:sz w:val="24"/>
            <w:szCs w:val="24"/>
            <w:lang w:val="en-IN"/>
          </w:rPr>
          <w:t>https://doi.org/10.4324/9781315456539</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Creswell, J. W., &amp; Creswell, J. D. (2018). Research design: Qualitative, quantitative, and mixed methods approaches (5th ed.). Sage Publications. </w:t>
      </w:r>
      <w:hyperlink r:id="rId10" w:history="1">
        <w:r w:rsidRPr="0017620E">
          <w:rPr>
            <w:rStyle w:val="Hyperlink"/>
            <w:rFonts w:ascii="Times New Roman" w:hAnsi="Times New Roman" w:cs="Times New Roman"/>
            <w:sz w:val="24"/>
            <w:szCs w:val="24"/>
            <w:lang w:val="en-IN"/>
          </w:rPr>
          <w:t>https://doi.org/10.4135/9781506386700</w:t>
        </w:r>
      </w:hyperlink>
      <w:r w:rsidRPr="0017620E">
        <w:rPr>
          <w:rFonts w:ascii="Times New Roman" w:hAnsi="Times New Roman" w:cs="Times New Roman"/>
          <w:sz w:val="24"/>
          <w:szCs w:val="24"/>
          <w:lang w:val="en-IN"/>
        </w:rPr>
        <w:t xml:space="preserve"> </w:t>
      </w:r>
    </w:p>
    <w:p w:rsidR="00201F7C" w:rsidRPr="0017620E" w:rsidRDefault="00201F7C"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Malini Subramanian,</w:t>
      </w:r>
      <w:r w:rsidR="00484E00" w:rsidRPr="0017620E">
        <w:rPr>
          <w:rFonts w:ascii="Times New Roman" w:hAnsi="Times New Roman" w:cs="Times New Roman"/>
          <w:sz w:val="24"/>
          <w:szCs w:val="24"/>
          <w:lang w:val="en-IN"/>
        </w:rPr>
        <w:t xml:space="preserve"> </w:t>
      </w:r>
      <w:proofErr w:type="spellStart"/>
      <w:r w:rsidRPr="0017620E">
        <w:rPr>
          <w:rFonts w:ascii="Times New Roman" w:hAnsi="Times New Roman" w:cs="Times New Roman"/>
          <w:sz w:val="24"/>
          <w:szCs w:val="24"/>
          <w:lang w:val="en-IN"/>
        </w:rPr>
        <w:t>Portia.R</w:t>
      </w:r>
      <w:proofErr w:type="spellEnd"/>
      <w:r w:rsidRPr="0017620E">
        <w:rPr>
          <w:rFonts w:ascii="Times New Roman" w:hAnsi="Times New Roman" w:cs="Times New Roman"/>
          <w:sz w:val="24"/>
          <w:szCs w:val="24"/>
          <w:lang w:val="en-IN"/>
        </w:rPr>
        <w:t>,</w:t>
      </w:r>
      <w:r w:rsidR="00484E00" w:rsidRPr="0017620E">
        <w:rPr>
          <w:rFonts w:ascii="Times New Roman" w:hAnsi="Times New Roman" w:cs="Times New Roman"/>
          <w:sz w:val="24"/>
          <w:szCs w:val="24"/>
          <w:lang w:val="en-IN"/>
        </w:rPr>
        <w:t xml:space="preserve"> </w:t>
      </w:r>
      <w:proofErr w:type="spellStart"/>
      <w:proofErr w:type="gramStart"/>
      <w:r w:rsidRPr="0017620E">
        <w:rPr>
          <w:rFonts w:ascii="Times New Roman" w:hAnsi="Times New Roman" w:cs="Times New Roman"/>
          <w:sz w:val="24"/>
          <w:szCs w:val="24"/>
          <w:lang w:val="en-IN"/>
        </w:rPr>
        <w:t>Mishra.B.R</w:t>
      </w:r>
      <w:proofErr w:type="spellEnd"/>
      <w:proofErr w:type="gramEnd"/>
      <w:r w:rsidRPr="0017620E">
        <w:rPr>
          <w:rFonts w:ascii="Times New Roman" w:hAnsi="Times New Roman" w:cs="Times New Roman"/>
          <w:sz w:val="24"/>
          <w:szCs w:val="24"/>
          <w:lang w:val="en-IN"/>
        </w:rPr>
        <w:t>,</w:t>
      </w:r>
      <w:r w:rsidR="00484E00" w:rsidRPr="0017620E">
        <w:rPr>
          <w:rFonts w:ascii="Times New Roman" w:hAnsi="Times New Roman" w:cs="Times New Roman"/>
          <w:sz w:val="24"/>
          <w:szCs w:val="24"/>
          <w:lang w:val="en-IN"/>
        </w:rPr>
        <w:t xml:space="preserve"> </w:t>
      </w:r>
      <w:proofErr w:type="spellStart"/>
      <w:r w:rsidRPr="0017620E">
        <w:rPr>
          <w:rFonts w:ascii="Times New Roman" w:hAnsi="Times New Roman" w:cs="Times New Roman"/>
          <w:sz w:val="24"/>
          <w:szCs w:val="24"/>
          <w:lang w:val="en-IN"/>
        </w:rPr>
        <w:t>Selvakumar.p</w:t>
      </w:r>
      <w:proofErr w:type="spellEnd"/>
      <w:r w:rsidR="00484E00" w:rsidRPr="0017620E">
        <w:rPr>
          <w:rFonts w:ascii="Times New Roman" w:hAnsi="Times New Roman" w:cs="Times New Roman"/>
          <w:sz w:val="24"/>
          <w:szCs w:val="24"/>
          <w:lang w:val="en-IN"/>
        </w:rPr>
        <w:t xml:space="preserve"> </w:t>
      </w:r>
      <w:r w:rsidRPr="0017620E">
        <w:rPr>
          <w:rFonts w:ascii="Times New Roman" w:hAnsi="Times New Roman" w:cs="Times New Roman"/>
          <w:sz w:val="24"/>
          <w:szCs w:val="24"/>
          <w:lang w:val="en-IN"/>
        </w:rPr>
        <w:t>(2025), Assessment and Evaluation in Personalised STEAM Education.</w:t>
      </w:r>
      <w:r w:rsidR="00484E00" w:rsidRPr="0017620E">
        <w:rPr>
          <w:rFonts w:ascii="Times New Roman" w:hAnsi="Times New Roman" w:cs="Times New Roman"/>
          <w:sz w:val="24"/>
          <w:szCs w:val="24"/>
          <w:lang w:val="en-IN"/>
        </w:rPr>
        <w:t xml:space="preserve"> </w:t>
      </w:r>
      <w:r w:rsidRPr="0017620E">
        <w:rPr>
          <w:rFonts w:ascii="Times New Roman" w:hAnsi="Times New Roman" w:cs="Times New Roman"/>
          <w:sz w:val="24"/>
          <w:szCs w:val="24"/>
          <w:lang w:val="en-IN"/>
        </w:rPr>
        <w:t>In</w:t>
      </w:r>
      <w:r w:rsidR="00484E00" w:rsidRPr="0017620E">
        <w:rPr>
          <w:rFonts w:ascii="Times New Roman" w:hAnsi="Times New Roman" w:cs="Times New Roman"/>
          <w:sz w:val="24"/>
          <w:szCs w:val="24"/>
          <w:lang w:val="en-IN"/>
        </w:rPr>
        <w:t xml:space="preserve"> </w:t>
      </w:r>
      <w:r w:rsidRPr="0017620E">
        <w:rPr>
          <w:rFonts w:ascii="Times New Roman" w:hAnsi="Times New Roman" w:cs="Times New Roman"/>
          <w:sz w:val="24"/>
          <w:szCs w:val="24"/>
          <w:lang w:val="en-IN"/>
        </w:rPr>
        <w:t xml:space="preserve">N </w:t>
      </w:r>
      <w:proofErr w:type="gramStart"/>
      <w:r w:rsidRPr="0017620E">
        <w:rPr>
          <w:rFonts w:ascii="Times New Roman" w:hAnsi="Times New Roman" w:cs="Times New Roman"/>
          <w:sz w:val="24"/>
          <w:szCs w:val="24"/>
          <w:lang w:val="en-IN"/>
        </w:rPr>
        <w:t>Son(</w:t>
      </w:r>
      <w:proofErr w:type="gramEnd"/>
      <w:r w:rsidRPr="0017620E">
        <w:rPr>
          <w:rFonts w:ascii="Times New Roman" w:hAnsi="Times New Roman" w:cs="Times New Roman"/>
          <w:sz w:val="24"/>
          <w:szCs w:val="24"/>
          <w:lang w:val="en-IN"/>
        </w:rPr>
        <w:t xml:space="preserve">Ed)Integrating Personalised Learning Methods into  STEAM Education(pP.103-122)IGI Scientific </w:t>
      </w:r>
      <w:r w:rsidR="00484E00" w:rsidRPr="0017620E">
        <w:rPr>
          <w:rFonts w:ascii="Times New Roman" w:hAnsi="Times New Roman" w:cs="Times New Roman"/>
          <w:sz w:val="24"/>
          <w:szCs w:val="24"/>
          <w:lang w:val="en-IN"/>
        </w:rPr>
        <w:t>Publishing</w:t>
      </w:r>
      <w:r w:rsidRPr="0017620E">
        <w:rPr>
          <w:rFonts w:ascii="Times New Roman" w:hAnsi="Times New Roman" w:cs="Times New Roman"/>
          <w:sz w:val="24"/>
          <w:szCs w:val="24"/>
          <w:lang w:val="en-IN"/>
        </w:rPr>
        <w:t>,</w:t>
      </w:r>
    </w:p>
    <w:p w:rsidR="00981810" w:rsidRPr="0017620E" w:rsidRDefault="00981810" w:rsidP="0017620E">
      <w:pPr>
        <w:pStyle w:val="ListParagraph"/>
        <w:numPr>
          <w:ilvl w:val="0"/>
          <w:numId w:val="6"/>
        </w:numPr>
        <w:jc w:val="both"/>
        <w:rPr>
          <w:rFonts w:ascii="Arial" w:hAnsi="Arial" w:cs="Arial"/>
          <w:color w:val="333333"/>
          <w:sz w:val="17"/>
          <w:szCs w:val="17"/>
          <w:shd w:val="clear" w:color="auto" w:fill="FFFFFF"/>
        </w:rPr>
      </w:pPr>
      <w:r w:rsidRPr="0017620E">
        <w:rPr>
          <w:rFonts w:ascii="Times New Roman" w:hAnsi="Times New Roman" w:cs="Times New Roman"/>
          <w:sz w:val="24"/>
          <w:szCs w:val="24"/>
          <w:lang w:val="en-IN"/>
        </w:rPr>
        <w:t>Fraenkel, J. R., Wallen, N. E., &amp; Hyun, H. H. (2019). How to design and evaluate research in education (10th ed.). McGraw-Hill Education.</w:t>
      </w:r>
      <w:r w:rsidR="00201F7C" w:rsidRPr="0017620E">
        <w:rPr>
          <w:rFonts w:ascii="Arial" w:hAnsi="Arial" w:cs="Arial"/>
          <w:color w:val="737373"/>
          <w:sz w:val="17"/>
          <w:szCs w:val="17"/>
          <w:shd w:val="clear" w:color="auto" w:fill="FFFFFF"/>
        </w:rPr>
        <w:t xml:space="preserve"> </w:t>
      </w:r>
      <w:r w:rsidR="00484E00" w:rsidRPr="0017620E">
        <w:rPr>
          <w:rFonts w:ascii="Arial" w:hAnsi="Arial" w:cs="Arial"/>
          <w:color w:val="737373"/>
          <w:sz w:val="17"/>
          <w:szCs w:val="17"/>
          <w:shd w:val="clear" w:color="auto" w:fill="FFFFFF"/>
        </w:rPr>
        <w:t xml:space="preserve"> </w:t>
      </w:r>
      <w:r w:rsidR="00201F7C" w:rsidRPr="0017620E">
        <w:rPr>
          <w:rFonts w:ascii="Arial" w:hAnsi="Arial" w:cs="Arial"/>
          <w:color w:val="737373"/>
          <w:sz w:val="17"/>
          <w:szCs w:val="17"/>
          <w:shd w:val="clear" w:color="auto" w:fill="FFFFFF"/>
        </w:rPr>
        <w:t>DOI: </w:t>
      </w:r>
      <w:r w:rsidR="00201F7C" w:rsidRPr="0017620E">
        <w:rPr>
          <w:rFonts w:ascii="Arial" w:hAnsi="Arial" w:cs="Arial"/>
          <w:color w:val="333333"/>
          <w:sz w:val="17"/>
          <w:szCs w:val="17"/>
          <w:shd w:val="clear" w:color="auto" w:fill="FFFFFF"/>
        </w:rPr>
        <w:t>10.4018/979-8-3693-7718-5.ch005</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Frentescu</w:t>
      </w:r>
      <w:proofErr w:type="spellEnd"/>
      <w:r w:rsidRPr="0017620E">
        <w:rPr>
          <w:rFonts w:ascii="Times New Roman" w:hAnsi="Times New Roman" w:cs="Times New Roman"/>
          <w:sz w:val="24"/>
          <w:szCs w:val="24"/>
          <w:lang w:val="en-IN"/>
        </w:rPr>
        <w:t xml:space="preserve"> </w:t>
      </w:r>
      <w:proofErr w:type="spellStart"/>
      <w:r w:rsidRPr="0017620E">
        <w:rPr>
          <w:rFonts w:ascii="Times New Roman" w:hAnsi="Times New Roman" w:cs="Times New Roman"/>
          <w:sz w:val="24"/>
          <w:szCs w:val="24"/>
          <w:lang w:val="en-IN"/>
        </w:rPr>
        <w:t>Tordai</w:t>
      </w:r>
      <w:proofErr w:type="spellEnd"/>
      <w:r w:rsidRPr="0017620E">
        <w:rPr>
          <w:rFonts w:ascii="Times New Roman" w:hAnsi="Times New Roman" w:cs="Times New Roman"/>
          <w:sz w:val="24"/>
          <w:szCs w:val="24"/>
          <w:lang w:val="en-IN"/>
        </w:rPr>
        <w:t xml:space="preserve">, L., </w:t>
      </w:r>
      <w:proofErr w:type="spellStart"/>
      <w:r w:rsidRPr="0017620E">
        <w:rPr>
          <w:rFonts w:ascii="Times New Roman" w:hAnsi="Times New Roman" w:cs="Times New Roman"/>
          <w:sz w:val="24"/>
          <w:szCs w:val="24"/>
          <w:lang w:val="en-IN"/>
        </w:rPr>
        <w:t>Cretu</w:t>
      </w:r>
      <w:proofErr w:type="spellEnd"/>
      <w:r w:rsidRPr="0017620E">
        <w:rPr>
          <w:rFonts w:ascii="Times New Roman" w:hAnsi="Times New Roman" w:cs="Times New Roman"/>
          <w:sz w:val="24"/>
          <w:szCs w:val="24"/>
          <w:lang w:val="en-IN"/>
        </w:rPr>
        <w:t xml:space="preserve">, C., &amp; </w:t>
      </w:r>
      <w:proofErr w:type="spellStart"/>
      <w:r w:rsidRPr="0017620E">
        <w:rPr>
          <w:rFonts w:ascii="Times New Roman" w:hAnsi="Times New Roman" w:cs="Times New Roman"/>
          <w:sz w:val="24"/>
          <w:szCs w:val="24"/>
          <w:lang w:val="en-IN"/>
        </w:rPr>
        <w:t>Lavicza</w:t>
      </w:r>
      <w:proofErr w:type="spellEnd"/>
      <w:r w:rsidRPr="0017620E">
        <w:rPr>
          <w:rFonts w:ascii="Times New Roman" w:hAnsi="Times New Roman" w:cs="Times New Roman"/>
          <w:sz w:val="24"/>
          <w:szCs w:val="24"/>
          <w:lang w:val="en-IN"/>
        </w:rPr>
        <w:t xml:space="preserve">, Z. (2026). Teachers’ perceptions and beliefs about STEAM education: A repeated cross-sectional survey (2020 vs. 2024). Canadian Journal of Science, Mathematics and Technology Education.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Henriksen, D. (2014). Full STEAM ahead: Creativity in excellent STEM teaching practices. The STEAM Journal, 1(2), 1–7. </w:t>
      </w:r>
      <w:hyperlink r:id="rId11" w:history="1">
        <w:r w:rsidRPr="0017620E">
          <w:rPr>
            <w:rStyle w:val="Hyperlink"/>
            <w:rFonts w:ascii="Times New Roman" w:hAnsi="Times New Roman" w:cs="Times New Roman"/>
            <w:sz w:val="24"/>
            <w:szCs w:val="24"/>
            <w:lang w:val="en-IN"/>
          </w:rPr>
          <w:t>https://doi.org/10.5642/steam.20140102.15</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Herro</w:t>
      </w:r>
      <w:proofErr w:type="spellEnd"/>
      <w:r w:rsidRPr="0017620E">
        <w:rPr>
          <w:rFonts w:ascii="Times New Roman" w:hAnsi="Times New Roman" w:cs="Times New Roman"/>
          <w:sz w:val="24"/>
          <w:szCs w:val="24"/>
          <w:lang w:val="en-IN"/>
        </w:rPr>
        <w:t xml:space="preserve">, D., &amp; Quigley, C. (2017). Exploring teachers’ perceptions of STEAM teaching through professional development: Implications for teacher educators. Professional Development in Education, 43(3), 416–438. </w:t>
      </w:r>
      <w:hyperlink r:id="rId12" w:history="1">
        <w:r w:rsidRPr="0017620E">
          <w:rPr>
            <w:rStyle w:val="Hyperlink"/>
            <w:rFonts w:ascii="Times New Roman" w:hAnsi="Times New Roman" w:cs="Times New Roman"/>
            <w:sz w:val="24"/>
            <w:szCs w:val="24"/>
            <w:lang w:val="en-IN"/>
          </w:rPr>
          <w:t>https://doi.org/10.1080/19415257.2016.1205507</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Hristova</w:t>
      </w:r>
      <w:proofErr w:type="spellEnd"/>
      <w:r w:rsidRPr="0017620E">
        <w:rPr>
          <w:rFonts w:ascii="Times New Roman" w:hAnsi="Times New Roman" w:cs="Times New Roman"/>
          <w:sz w:val="24"/>
          <w:szCs w:val="24"/>
          <w:lang w:val="en-IN"/>
        </w:rPr>
        <w:t xml:space="preserve">, M. P. (2026). Role of teacher and student in the context of STEM education: A review. Asian Journal of Advanced Research and Reports, 20(1), 107–119. </w:t>
      </w:r>
      <w:hyperlink r:id="rId13" w:history="1">
        <w:r w:rsidRPr="0017620E">
          <w:rPr>
            <w:rStyle w:val="Hyperlink"/>
            <w:rFonts w:ascii="Times New Roman" w:hAnsi="Times New Roman" w:cs="Times New Roman"/>
            <w:sz w:val="24"/>
            <w:szCs w:val="24"/>
            <w:lang w:val="en-IN"/>
          </w:rPr>
          <w:t>https://doi.org/10.9734/ajarr/2026/v20i11254</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Land, M. H. (2013). Full STEAM ahead: The benefits of integrating the arts into STEM. Procedia Computer Science, 20, 547–552. </w:t>
      </w:r>
      <w:hyperlink r:id="rId14" w:history="1">
        <w:r w:rsidRPr="0017620E">
          <w:rPr>
            <w:rStyle w:val="Hyperlink"/>
            <w:rFonts w:ascii="Times New Roman" w:hAnsi="Times New Roman" w:cs="Times New Roman"/>
            <w:sz w:val="24"/>
            <w:szCs w:val="24"/>
            <w:lang w:val="en-IN"/>
          </w:rPr>
          <w:t>https://doi.org/10.1016/j.procs.2013.09.317</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lastRenderedPageBreak/>
        <w:t>Likert, R. (1932). A technique for the measurement of attitudes. Archives of Psychology, 140, 1–55.</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Nandi, A., </w:t>
      </w:r>
      <w:proofErr w:type="spellStart"/>
      <w:r w:rsidRPr="0017620E">
        <w:rPr>
          <w:rFonts w:ascii="Times New Roman" w:hAnsi="Times New Roman" w:cs="Times New Roman"/>
          <w:sz w:val="24"/>
          <w:szCs w:val="24"/>
          <w:lang w:val="en-IN"/>
        </w:rPr>
        <w:t>Bala</w:t>
      </w:r>
      <w:proofErr w:type="spellEnd"/>
      <w:r w:rsidRPr="0017620E">
        <w:rPr>
          <w:rFonts w:ascii="Times New Roman" w:hAnsi="Times New Roman" w:cs="Times New Roman"/>
          <w:sz w:val="24"/>
          <w:szCs w:val="24"/>
          <w:lang w:val="en-IN"/>
        </w:rPr>
        <w:t xml:space="preserve">, A., Halder, T., &amp; Das, T. (2023). Trend of female enrolment in STEM at higher education level in India. Asian Research Journal of Arts &amp; Social Sciences, 21(4), 72–84. </w:t>
      </w:r>
      <w:hyperlink r:id="rId15" w:history="1">
        <w:r w:rsidRPr="0017620E">
          <w:rPr>
            <w:rStyle w:val="Hyperlink"/>
            <w:rFonts w:ascii="Times New Roman" w:hAnsi="Times New Roman" w:cs="Times New Roman"/>
            <w:sz w:val="24"/>
            <w:szCs w:val="24"/>
            <w:lang w:val="en-IN"/>
          </w:rPr>
          <w:t>https://doi.org/10.9734/arjass/2023/v21i4494</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Raza, A. (2023). Art and education: Fostering creativity and critical thinking in humanity. Journal of Religion and Society, 1(1), 13–25.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Spyropoulou</w:t>
      </w:r>
      <w:proofErr w:type="spellEnd"/>
      <w:r w:rsidRPr="0017620E">
        <w:rPr>
          <w:rFonts w:ascii="Times New Roman" w:hAnsi="Times New Roman" w:cs="Times New Roman"/>
          <w:sz w:val="24"/>
          <w:szCs w:val="24"/>
          <w:lang w:val="en-IN"/>
        </w:rPr>
        <w:t xml:space="preserve">, N., &amp; </w:t>
      </w:r>
      <w:proofErr w:type="spellStart"/>
      <w:r w:rsidRPr="0017620E">
        <w:rPr>
          <w:rFonts w:ascii="Times New Roman" w:hAnsi="Times New Roman" w:cs="Times New Roman"/>
          <w:sz w:val="24"/>
          <w:szCs w:val="24"/>
          <w:lang w:val="en-IN"/>
        </w:rPr>
        <w:t>Kameas</w:t>
      </w:r>
      <w:proofErr w:type="spellEnd"/>
      <w:r w:rsidRPr="0017620E">
        <w:rPr>
          <w:rFonts w:ascii="Times New Roman" w:hAnsi="Times New Roman" w:cs="Times New Roman"/>
          <w:sz w:val="24"/>
          <w:szCs w:val="24"/>
          <w:lang w:val="en-IN"/>
        </w:rPr>
        <w:t xml:space="preserve">, A. (2025). “We believe in STEAM education, but we need support”: Educators’ perspectives on opportunities and challenges. Education Sciences, 15(10), Article 1300. </w:t>
      </w:r>
      <w:hyperlink r:id="rId16" w:history="1">
        <w:r w:rsidRPr="0017620E">
          <w:rPr>
            <w:rStyle w:val="Hyperlink"/>
            <w:rFonts w:ascii="Times New Roman" w:hAnsi="Times New Roman" w:cs="Times New Roman"/>
            <w:sz w:val="24"/>
            <w:szCs w:val="24"/>
            <w:lang w:val="en-IN"/>
          </w:rPr>
          <w:t>https://doi.org/10.3390/educsci15101300</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r w:rsidRPr="0017620E">
        <w:rPr>
          <w:rFonts w:ascii="Times New Roman" w:hAnsi="Times New Roman" w:cs="Times New Roman"/>
          <w:sz w:val="24"/>
          <w:szCs w:val="24"/>
          <w:lang w:val="en-IN"/>
        </w:rPr>
        <w:t xml:space="preserve">Thibaut, L., </w:t>
      </w:r>
      <w:proofErr w:type="spellStart"/>
      <w:r w:rsidRPr="0017620E">
        <w:rPr>
          <w:rFonts w:ascii="Times New Roman" w:hAnsi="Times New Roman" w:cs="Times New Roman"/>
          <w:sz w:val="24"/>
          <w:szCs w:val="24"/>
          <w:lang w:val="en-IN"/>
        </w:rPr>
        <w:t>Ceuppens</w:t>
      </w:r>
      <w:proofErr w:type="spellEnd"/>
      <w:r w:rsidRPr="0017620E">
        <w:rPr>
          <w:rFonts w:ascii="Times New Roman" w:hAnsi="Times New Roman" w:cs="Times New Roman"/>
          <w:sz w:val="24"/>
          <w:szCs w:val="24"/>
          <w:lang w:val="en-IN"/>
        </w:rPr>
        <w:t xml:space="preserve">, S., De </w:t>
      </w:r>
      <w:proofErr w:type="spellStart"/>
      <w:r w:rsidRPr="0017620E">
        <w:rPr>
          <w:rFonts w:ascii="Times New Roman" w:hAnsi="Times New Roman" w:cs="Times New Roman"/>
          <w:sz w:val="24"/>
          <w:szCs w:val="24"/>
          <w:lang w:val="en-IN"/>
        </w:rPr>
        <w:t>Loof</w:t>
      </w:r>
      <w:proofErr w:type="spellEnd"/>
      <w:r w:rsidRPr="0017620E">
        <w:rPr>
          <w:rFonts w:ascii="Times New Roman" w:hAnsi="Times New Roman" w:cs="Times New Roman"/>
          <w:sz w:val="24"/>
          <w:szCs w:val="24"/>
          <w:lang w:val="en-IN"/>
        </w:rPr>
        <w:t xml:space="preserve">, H., De </w:t>
      </w:r>
      <w:proofErr w:type="spellStart"/>
      <w:r w:rsidRPr="0017620E">
        <w:rPr>
          <w:rFonts w:ascii="Times New Roman" w:hAnsi="Times New Roman" w:cs="Times New Roman"/>
          <w:sz w:val="24"/>
          <w:szCs w:val="24"/>
          <w:lang w:val="en-IN"/>
        </w:rPr>
        <w:t>Meester</w:t>
      </w:r>
      <w:proofErr w:type="spellEnd"/>
      <w:r w:rsidRPr="0017620E">
        <w:rPr>
          <w:rFonts w:ascii="Times New Roman" w:hAnsi="Times New Roman" w:cs="Times New Roman"/>
          <w:sz w:val="24"/>
          <w:szCs w:val="24"/>
          <w:lang w:val="en-IN"/>
        </w:rPr>
        <w:t xml:space="preserve">, J., </w:t>
      </w:r>
      <w:proofErr w:type="spellStart"/>
      <w:r w:rsidRPr="0017620E">
        <w:rPr>
          <w:rFonts w:ascii="Times New Roman" w:hAnsi="Times New Roman" w:cs="Times New Roman"/>
          <w:sz w:val="24"/>
          <w:szCs w:val="24"/>
          <w:lang w:val="en-IN"/>
        </w:rPr>
        <w:t>Goovaerts</w:t>
      </w:r>
      <w:proofErr w:type="spellEnd"/>
      <w:r w:rsidRPr="0017620E">
        <w:rPr>
          <w:rFonts w:ascii="Times New Roman" w:hAnsi="Times New Roman" w:cs="Times New Roman"/>
          <w:sz w:val="24"/>
          <w:szCs w:val="24"/>
          <w:lang w:val="en-IN"/>
        </w:rPr>
        <w:t xml:space="preserve">, L., </w:t>
      </w:r>
      <w:proofErr w:type="spellStart"/>
      <w:r w:rsidRPr="0017620E">
        <w:rPr>
          <w:rFonts w:ascii="Times New Roman" w:hAnsi="Times New Roman" w:cs="Times New Roman"/>
          <w:sz w:val="24"/>
          <w:szCs w:val="24"/>
          <w:lang w:val="en-IN"/>
        </w:rPr>
        <w:t>Struyf</w:t>
      </w:r>
      <w:proofErr w:type="spellEnd"/>
      <w:r w:rsidRPr="0017620E">
        <w:rPr>
          <w:rFonts w:ascii="Times New Roman" w:hAnsi="Times New Roman" w:cs="Times New Roman"/>
          <w:sz w:val="24"/>
          <w:szCs w:val="24"/>
          <w:lang w:val="en-IN"/>
        </w:rPr>
        <w:t xml:space="preserve">, A., Van </w:t>
      </w:r>
      <w:proofErr w:type="spellStart"/>
      <w:r w:rsidRPr="0017620E">
        <w:rPr>
          <w:rFonts w:ascii="Times New Roman" w:hAnsi="Times New Roman" w:cs="Times New Roman"/>
          <w:sz w:val="24"/>
          <w:szCs w:val="24"/>
          <w:lang w:val="en-IN"/>
        </w:rPr>
        <w:t>Petegem</w:t>
      </w:r>
      <w:proofErr w:type="spellEnd"/>
      <w:r w:rsidRPr="0017620E">
        <w:rPr>
          <w:rFonts w:ascii="Times New Roman" w:hAnsi="Times New Roman" w:cs="Times New Roman"/>
          <w:sz w:val="24"/>
          <w:szCs w:val="24"/>
          <w:lang w:val="en-IN"/>
        </w:rPr>
        <w:t xml:space="preserve">, P., &amp; </w:t>
      </w:r>
      <w:proofErr w:type="spellStart"/>
      <w:r w:rsidRPr="0017620E">
        <w:rPr>
          <w:rFonts w:ascii="Times New Roman" w:hAnsi="Times New Roman" w:cs="Times New Roman"/>
          <w:sz w:val="24"/>
          <w:szCs w:val="24"/>
          <w:lang w:val="en-IN"/>
        </w:rPr>
        <w:t>Depaepe</w:t>
      </w:r>
      <w:proofErr w:type="spellEnd"/>
      <w:r w:rsidRPr="0017620E">
        <w:rPr>
          <w:rFonts w:ascii="Times New Roman" w:hAnsi="Times New Roman" w:cs="Times New Roman"/>
          <w:sz w:val="24"/>
          <w:szCs w:val="24"/>
          <w:lang w:val="en-IN"/>
        </w:rPr>
        <w:t xml:space="preserve">, F. (2018). Integrated STEM education: A systematic review of instructional practices in secondary education. European Journal of STEM Education, 3(1), 1–12. </w:t>
      </w:r>
      <w:hyperlink r:id="rId17" w:history="1">
        <w:r w:rsidRPr="0017620E">
          <w:rPr>
            <w:rStyle w:val="Hyperlink"/>
            <w:rFonts w:ascii="Times New Roman" w:hAnsi="Times New Roman" w:cs="Times New Roman"/>
            <w:sz w:val="24"/>
            <w:szCs w:val="24"/>
            <w:lang w:val="en-IN"/>
          </w:rPr>
          <w:t>https://doi.org/10.20897/ejsteme/85525</w:t>
        </w:r>
      </w:hyperlink>
      <w:r w:rsidRPr="0017620E">
        <w:rPr>
          <w:rFonts w:ascii="Times New Roman" w:hAnsi="Times New Roman" w:cs="Times New Roman"/>
          <w:sz w:val="24"/>
          <w:szCs w:val="24"/>
          <w:lang w:val="en-IN"/>
        </w:rPr>
        <w:t xml:space="preserve"> </w:t>
      </w:r>
    </w:p>
    <w:p w:rsidR="00981810"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Tytler</w:t>
      </w:r>
      <w:proofErr w:type="spellEnd"/>
      <w:r w:rsidRPr="0017620E">
        <w:rPr>
          <w:rFonts w:ascii="Times New Roman" w:hAnsi="Times New Roman" w:cs="Times New Roman"/>
          <w:sz w:val="24"/>
          <w:szCs w:val="24"/>
          <w:lang w:val="en-IN"/>
        </w:rPr>
        <w:t xml:space="preserve">, R. (2020). STEM education for the twenty-first century. In Integrated approaches to STEM education: An international perspective (pp. 21–43). Routledge. </w:t>
      </w:r>
    </w:p>
    <w:p w:rsidR="00A97955" w:rsidRPr="0017620E" w:rsidRDefault="00981810" w:rsidP="0017620E">
      <w:pPr>
        <w:pStyle w:val="ListParagraph"/>
        <w:numPr>
          <w:ilvl w:val="0"/>
          <w:numId w:val="6"/>
        </w:numPr>
        <w:jc w:val="both"/>
        <w:rPr>
          <w:rFonts w:ascii="Times New Roman" w:hAnsi="Times New Roman" w:cs="Times New Roman"/>
          <w:sz w:val="24"/>
          <w:szCs w:val="24"/>
          <w:lang w:val="en-IN"/>
        </w:rPr>
      </w:pPr>
      <w:proofErr w:type="spellStart"/>
      <w:r w:rsidRPr="0017620E">
        <w:rPr>
          <w:rFonts w:ascii="Times New Roman" w:hAnsi="Times New Roman" w:cs="Times New Roman"/>
          <w:sz w:val="24"/>
          <w:szCs w:val="24"/>
          <w:lang w:val="en-IN"/>
        </w:rPr>
        <w:t>Yakman</w:t>
      </w:r>
      <w:proofErr w:type="spellEnd"/>
      <w:r w:rsidRPr="0017620E">
        <w:rPr>
          <w:rFonts w:ascii="Times New Roman" w:hAnsi="Times New Roman" w:cs="Times New Roman"/>
          <w:sz w:val="24"/>
          <w:szCs w:val="24"/>
          <w:lang w:val="en-IN"/>
        </w:rPr>
        <w:t xml:space="preserve">, G., &amp; Lee, H. (2012). Exploring the exemplary STEAM education in the U.S. as a practical educational framework for Korea. Journal of the Korean Association for Science Education, 32(6), 1072–1086. </w:t>
      </w:r>
    </w:p>
    <w:sectPr w:rsidR="00A97955" w:rsidRPr="0017620E" w:rsidSect="00B4098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703" w:rsidRDefault="00025703" w:rsidP="00761BF3">
      <w:pPr>
        <w:spacing w:after="0" w:line="240" w:lineRule="auto"/>
      </w:pPr>
      <w:r>
        <w:separator/>
      </w:r>
    </w:p>
  </w:endnote>
  <w:endnote w:type="continuationSeparator" w:id="0">
    <w:p w:rsidR="00025703" w:rsidRDefault="00025703" w:rsidP="0076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F3" w:rsidRDefault="00761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F3" w:rsidRDefault="00761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F3" w:rsidRDefault="0076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703" w:rsidRDefault="00025703" w:rsidP="00761BF3">
      <w:pPr>
        <w:spacing w:after="0" w:line="240" w:lineRule="auto"/>
      </w:pPr>
      <w:r>
        <w:separator/>
      </w:r>
    </w:p>
  </w:footnote>
  <w:footnote w:type="continuationSeparator" w:id="0">
    <w:p w:rsidR="00025703" w:rsidRDefault="00025703" w:rsidP="0076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F3" w:rsidRDefault="00025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29"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F3" w:rsidRDefault="00025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3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F3" w:rsidRDefault="00025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28"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1E64"/>
    <w:multiLevelType w:val="hybridMultilevel"/>
    <w:tmpl w:val="502CF9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3614429"/>
    <w:multiLevelType w:val="hybridMultilevel"/>
    <w:tmpl w:val="1B5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E3DCA"/>
    <w:multiLevelType w:val="hybridMultilevel"/>
    <w:tmpl w:val="6C267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85E40"/>
    <w:multiLevelType w:val="hybridMultilevel"/>
    <w:tmpl w:val="1764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C09B6"/>
    <w:multiLevelType w:val="hybridMultilevel"/>
    <w:tmpl w:val="906CE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B5D20"/>
    <w:multiLevelType w:val="hybridMultilevel"/>
    <w:tmpl w:val="C12E8D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46A6"/>
    <w:rsid w:val="00025703"/>
    <w:rsid w:val="000D5EB3"/>
    <w:rsid w:val="0017620E"/>
    <w:rsid w:val="00201F7C"/>
    <w:rsid w:val="00262D3F"/>
    <w:rsid w:val="002C7C78"/>
    <w:rsid w:val="00313EDB"/>
    <w:rsid w:val="003E65E8"/>
    <w:rsid w:val="00484E00"/>
    <w:rsid w:val="004852A9"/>
    <w:rsid w:val="00514F61"/>
    <w:rsid w:val="005162B4"/>
    <w:rsid w:val="00582D29"/>
    <w:rsid w:val="005862F6"/>
    <w:rsid w:val="0059416D"/>
    <w:rsid w:val="00630803"/>
    <w:rsid w:val="006945E7"/>
    <w:rsid w:val="006C5D70"/>
    <w:rsid w:val="00761BF3"/>
    <w:rsid w:val="007667AB"/>
    <w:rsid w:val="00784A43"/>
    <w:rsid w:val="0083194F"/>
    <w:rsid w:val="008D2BC2"/>
    <w:rsid w:val="008F1316"/>
    <w:rsid w:val="00971981"/>
    <w:rsid w:val="00972724"/>
    <w:rsid w:val="00981810"/>
    <w:rsid w:val="00A70F2A"/>
    <w:rsid w:val="00A97955"/>
    <w:rsid w:val="00B04CB9"/>
    <w:rsid w:val="00B40980"/>
    <w:rsid w:val="00B62207"/>
    <w:rsid w:val="00B66748"/>
    <w:rsid w:val="00BA1C8F"/>
    <w:rsid w:val="00C74DCB"/>
    <w:rsid w:val="00CA00E6"/>
    <w:rsid w:val="00CC46A6"/>
    <w:rsid w:val="00D31B32"/>
    <w:rsid w:val="00D32147"/>
    <w:rsid w:val="00DB0B11"/>
    <w:rsid w:val="00E567DE"/>
    <w:rsid w:val="00EB0224"/>
    <w:rsid w:val="00ED7BFF"/>
    <w:rsid w:val="00F14156"/>
    <w:rsid w:val="00F3344A"/>
    <w:rsid w:val="00F846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EC48B"/>
  <w15:docId w15:val="{4A370ACC-77FD-4CB2-BA69-CE1C7C85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A6"/>
    <w:pPr>
      <w:ind w:left="720"/>
      <w:contextualSpacing/>
    </w:pPr>
  </w:style>
  <w:style w:type="table" w:styleId="TableGrid">
    <w:name w:val="Table Grid"/>
    <w:basedOn w:val="TableNormal"/>
    <w:uiPriority w:val="59"/>
    <w:rsid w:val="00A97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2BC2"/>
    <w:rPr>
      <w:color w:val="0000FF" w:themeColor="hyperlink"/>
      <w:u w:val="single"/>
    </w:rPr>
  </w:style>
  <w:style w:type="character" w:customStyle="1" w:styleId="UnresolvedMention1">
    <w:name w:val="Unresolved Mention1"/>
    <w:basedOn w:val="DefaultParagraphFont"/>
    <w:uiPriority w:val="99"/>
    <w:semiHidden/>
    <w:unhideWhenUsed/>
    <w:rsid w:val="00DB0B11"/>
    <w:rPr>
      <w:color w:val="605E5C"/>
      <w:shd w:val="clear" w:color="auto" w:fill="E1DFDD"/>
    </w:rPr>
  </w:style>
  <w:style w:type="paragraph" w:styleId="Header">
    <w:name w:val="header"/>
    <w:basedOn w:val="Normal"/>
    <w:link w:val="HeaderChar"/>
    <w:uiPriority w:val="99"/>
    <w:unhideWhenUsed/>
    <w:rsid w:val="0076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F3"/>
  </w:style>
  <w:style w:type="paragraph" w:styleId="Footer">
    <w:name w:val="footer"/>
    <w:basedOn w:val="Normal"/>
    <w:link w:val="FooterChar"/>
    <w:uiPriority w:val="99"/>
    <w:unhideWhenUsed/>
    <w:rsid w:val="0076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24.1401191" TargetMode="External"/><Relationship Id="rId13" Type="http://schemas.openxmlformats.org/officeDocument/2006/relationships/hyperlink" Target="https://doi.org/10.9734/ajarr/2026/v20i1125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29333/ejmste/15894" TargetMode="External"/><Relationship Id="rId12" Type="http://schemas.openxmlformats.org/officeDocument/2006/relationships/hyperlink" Target="https://doi.org/10.1080/19415257.2016.1205507" TargetMode="External"/><Relationship Id="rId17" Type="http://schemas.openxmlformats.org/officeDocument/2006/relationships/hyperlink" Target="https://doi.org/10.20897/ejsteme/855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educsci151013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42/steam.20140102.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rjass/2023/v21i4494" TargetMode="External"/><Relationship Id="rId23" Type="http://schemas.openxmlformats.org/officeDocument/2006/relationships/footer" Target="footer3.xml"/><Relationship Id="rId10" Type="http://schemas.openxmlformats.org/officeDocument/2006/relationships/hyperlink" Target="https://doi.org/10.4135/978150638670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4324/9781315456539" TargetMode="External"/><Relationship Id="rId14" Type="http://schemas.openxmlformats.org/officeDocument/2006/relationships/hyperlink" Target="https://doi.org/10.1016/j.procs.2013.09.31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1158</cp:lastModifiedBy>
  <cp:revision>9</cp:revision>
  <dcterms:created xsi:type="dcterms:W3CDTF">2026-01-22T06:00:00Z</dcterms:created>
  <dcterms:modified xsi:type="dcterms:W3CDTF">2026-02-10T10:44:00Z</dcterms:modified>
</cp:coreProperties>
</file>