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1AC" w:rsidRPr="001311AC" w:rsidRDefault="001311AC" w:rsidP="001311AC">
      <w:pPr>
        <w:pStyle w:val="NormalWeb"/>
        <w:spacing w:before="0" w:beforeAutospacing="0"/>
        <w:rPr>
          <w:sz w:val="28"/>
          <w:szCs w:val="28"/>
          <w:u w:val="single"/>
        </w:rPr>
      </w:pPr>
      <w:r w:rsidRPr="001311AC">
        <w:rPr>
          <w:sz w:val="28"/>
          <w:szCs w:val="28"/>
          <w:u w:val="single"/>
        </w:rPr>
        <w:t>Review Article</w:t>
      </w:r>
    </w:p>
    <w:p w:rsidR="007071CF" w:rsidRPr="00E35713" w:rsidRDefault="00BA4EE2" w:rsidP="00E35713">
      <w:pPr>
        <w:pStyle w:val="NormalWeb"/>
        <w:spacing w:before="0" w:beforeAutospacing="0"/>
        <w:jc w:val="center"/>
        <w:rPr>
          <w:b/>
          <w:bCs/>
          <w:sz w:val="28"/>
          <w:szCs w:val="28"/>
        </w:rPr>
      </w:pPr>
      <w:r w:rsidRPr="00CC3A48">
        <w:rPr>
          <w:b/>
          <w:bCs/>
          <w:sz w:val="28"/>
          <w:szCs w:val="28"/>
        </w:rPr>
        <w:t>Career Decision-Making among Secondary School Students: A Systematic Review of Household Education Expenditure, Parenting Style, and Self-Perception across Gender and Locality in India and Beyond</w:t>
      </w:r>
    </w:p>
    <w:p w:rsidR="00343B72" w:rsidRPr="00422DAD" w:rsidRDefault="00343B72" w:rsidP="007071CF">
      <w:pPr>
        <w:pStyle w:val="Default"/>
        <w:ind w:left="720"/>
        <w:rPr>
          <w:sz w:val="21"/>
          <w:szCs w:val="21"/>
        </w:rPr>
      </w:pPr>
    </w:p>
    <w:p w:rsidR="00BA4EE2" w:rsidRDefault="00BA4EE2" w:rsidP="00BA4EE2">
      <w:pPr>
        <w:pStyle w:val="NormalWeb"/>
        <w:spacing w:before="0" w:beforeAutospacing="0" w:after="0" w:afterAutospacing="0" w:line="360" w:lineRule="auto"/>
        <w:jc w:val="center"/>
        <w:rPr>
          <w:b/>
        </w:rPr>
      </w:pPr>
      <w:r w:rsidRPr="00422DAD">
        <w:rPr>
          <w:b/>
        </w:rPr>
        <w:t>ABSTRACT</w:t>
      </w:r>
    </w:p>
    <w:p w:rsidR="0095481D" w:rsidRDefault="0095481D" w:rsidP="0095481D">
      <w:pPr>
        <w:pStyle w:val="NormalWeb"/>
        <w:spacing w:before="0" w:beforeAutospacing="0" w:after="0" w:afterAutospacing="0" w:line="360" w:lineRule="auto"/>
        <w:jc w:val="both"/>
      </w:pPr>
      <w:r>
        <w:t>Career decision-making at the secondary school level represents a critical developmental juncture with lasting implications for educational and occupational trajectories. This integrative review synthesizes global and Indian research published between 1983 and 2025 to examine how household education expenditure, parenting style, and self-perception influence career decision-making, with specific attention to gender and urban–rural disparities. Employing an integrated review design that combines systematic search procedures with thematic and narrative synthesis, over sixty peer-reviewed studies from Scopus, Web of Science, and Google Scholar were analyzed.</w:t>
      </w:r>
    </w:p>
    <w:p w:rsidR="0095481D" w:rsidRDefault="0095481D" w:rsidP="0095481D">
      <w:pPr>
        <w:pStyle w:val="NormalWeb"/>
        <w:spacing w:before="0" w:beforeAutospacing="0" w:after="0" w:afterAutospacing="0" w:line="360" w:lineRule="auto"/>
        <w:jc w:val="both"/>
      </w:pPr>
      <w:r>
        <w:t>Findings indicate that household education expenditure structures access to quality schooling, supplementary learning resources, and career information, thereby shaping opportunity pathways and reinforcing socio-economic inequalities, particularly in rural and marginalized contexts. Parenting style emerges as a central psychosocial determinant: autonomy-supportive and authoritative practices enhance career exploration and career decision-making self-efficacy, whereas controlling patterns constrain adolescent agency. Self-perception especially self-esteem and perceived competence functions as a mediating mechanism linking family context to career planning confidence. Persistent gender norms and urban–rural disparities further condition these relationships through differential investment patterns, exposure to guidance systems, and institutional access.</w:t>
      </w:r>
    </w:p>
    <w:p w:rsidR="0095481D" w:rsidRDefault="0095481D" w:rsidP="0095481D">
      <w:pPr>
        <w:pStyle w:val="NormalWeb"/>
        <w:spacing w:before="0" w:beforeAutospacing="0" w:after="0" w:afterAutospacing="0" w:line="360" w:lineRule="auto"/>
        <w:jc w:val="both"/>
      </w:pPr>
      <w:r>
        <w:t xml:space="preserve">Despite expanding scholarship, significant gaps remain, including limited longitudinal and mixed-methods research, insufficient region-specific evidence within India, and underdeveloped integrated theoretical frameworks. Empirical evaluation of career guidance reforms under the National Education Policy (NEP) 2020 remains scarce. Future research should prioritize interaction-based and longitudinal designs and micro-level regional studies, while policy must strengthen equity-oriented counseling systems, expand trained guidance personnel in underserved areas, and promote autonomy-supportive parental engagement to ensure inclusive and informed career development. </w:t>
      </w:r>
    </w:p>
    <w:p w:rsidR="00BA4EE2" w:rsidRDefault="00BA4EE2" w:rsidP="00BA4EE2">
      <w:pPr>
        <w:spacing w:after="0"/>
        <w:jc w:val="both"/>
        <w:rPr>
          <w:rFonts w:ascii="Times New Roman" w:hAnsi="Times New Roman" w:cs="Times New Roman"/>
          <w:sz w:val="24"/>
          <w:szCs w:val="24"/>
        </w:rPr>
      </w:pPr>
      <w:r w:rsidRPr="00422DAD">
        <w:rPr>
          <w:rFonts w:ascii="Times New Roman" w:hAnsi="Times New Roman" w:cs="Times New Roman"/>
          <w:sz w:val="24"/>
          <w:szCs w:val="24"/>
        </w:rPr>
        <w:t>Keywords: Career decision-making, Parenting style, Self-perception, Household education expenditure, Gender, Urban–rural differences, Secondary education, NEP 2020</w:t>
      </w:r>
    </w:p>
    <w:p w:rsidR="00D432D9" w:rsidRPr="00D432D9" w:rsidRDefault="00B9584F" w:rsidP="00DC4340">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lastRenderedPageBreak/>
        <w:t>INTRODUCTION</w:t>
      </w:r>
    </w:p>
    <w:p w:rsidR="00D432D9" w:rsidRPr="00D432D9"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The transition from secondary education to higher studies or vocational training represents a critical developmental phase for adolescents, particularly Grade 10 students, who are required to make foundational academic and career-related decisions that shape their future trajectories (Asghar &amp; Ajmal, 2022). This stage precedes specialization into academic streams or vocational pathways, rendering career decision-making both complex and consequential. Understanding the factors that influence these decisions is therefore essential for supporting adolescent development and aligning educational outcomes with evolving societal and labour market need</w:t>
      </w:r>
      <w:r w:rsidR="00DC4340" w:rsidRPr="00422DAD">
        <w:rPr>
          <w:rFonts w:ascii="Times New Roman" w:eastAsia="Times New Roman" w:hAnsi="Times New Roman" w:cs="Times New Roman"/>
          <w:sz w:val="24"/>
          <w:szCs w:val="24"/>
        </w:rPr>
        <w:t xml:space="preserve">s (Mohammed Ndagi et al., 2024). </w:t>
      </w:r>
      <w:r w:rsidRPr="00D432D9">
        <w:rPr>
          <w:rFonts w:ascii="Times New Roman" w:eastAsia="Times New Roman" w:hAnsi="Times New Roman" w:cs="Times New Roman"/>
          <w:sz w:val="24"/>
          <w:szCs w:val="24"/>
        </w:rPr>
        <w:t>Family context plays a central role in adolescents’ career development. Household education expenditure serves as a tangible indicator of familial investment, influencing access to quality schooling, supplementary education, career information, and guidance services (Yuvaraj &amp; Arabi, 2021; Kim et al., 2015). Such economic resources often translate into differential educational opportunities, thereby shaping the range and quality of career options available to students. Beyond financial investment, parenting</w:t>
      </w:r>
      <w:r w:rsidR="00E35713">
        <w:rPr>
          <w:rFonts w:ascii="Times New Roman" w:eastAsia="Times New Roman" w:hAnsi="Times New Roman" w:cs="Times New Roman"/>
          <w:sz w:val="24"/>
          <w:szCs w:val="24"/>
        </w:rPr>
        <w:t xml:space="preserve"> styles </w:t>
      </w:r>
      <w:r w:rsidRPr="00D432D9">
        <w:rPr>
          <w:rFonts w:ascii="Times New Roman" w:eastAsia="Times New Roman" w:hAnsi="Times New Roman" w:cs="Times New Roman"/>
          <w:sz w:val="24"/>
          <w:szCs w:val="24"/>
        </w:rPr>
        <w:t>defined by dimensions of emotional support, autonomy gr</w:t>
      </w:r>
      <w:r w:rsidR="00E35713">
        <w:rPr>
          <w:rFonts w:ascii="Times New Roman" w:eastAsia="Times New Roman" w:hAnsi="Times New Roman" w:cs="Times New Roman"/>
          <w:sz w:val="24"/>
          <w:szCs w:val="24"/>
        </w:rPr>
        <w:t xml:space="preserve">anting, and behavioural control </w:t>
      </w:r>
      <w:r w:rsidRPr="00D432D9">
        <w:rPr>
          <w:rFonts w:ascii="Times New Roman" w:eastAsia="Times New Roman" w:hAnsi="Times New Roman" w:cs="Times New Roman"/>
          <w:sz w:val="24"/>
          <w:szCs w:val="24"/>
        </w:rPr>
        <w:t>significantly affect adolescents’ academic engagement, self-efficacy, and career exploration b</w:t>
      </w:r>
      <w:r w:rsidR="00B4299B">
        <w:rPr>
          <w:rFonts w:ascii="Times New Roman" w:eastAsia="Times New Roman" w:hAnsi="Times New Roman" w:cs="Times New Roman"/>
          <w:sz w:val="24"/>
          <w:szCs w:val="24"/>
        </w:rPr>
        <w:t>ehaviours (Cenkseven-O</w:t>
      </w:r>
      <w:r w:rsidRPr="00D432D9">
        <w:rPr>
          <w:rFonts w:ascii="Times New Roman" w:eastAsia="Times New Roman" w:hAnsi="Times New Roman" w:cs="Times New Roman"/>
          <w:sz w:val="24"/>
          <w:szCs w:val="24"/>
        </w:rPr>
        <w:t>nder et al., 2017). Parental involvement through guidance, encouragement, and expectations further shapes adolescents’ perceptions of career feasibility and self-capacity (Olmos-Gómez et al., 2021).</w:t>
      </w:r>
    </w:p>
    <w:p w:rsidR="00D432D9" w:rsidRPr="00D432D9"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At the individual level, self-perception, encompassing self-concept and career decision-making self-efficacy, is a key psychological determinant of career planning and choice. Adolescents with higher self-efficacy and clearer self-understanding tend to engage more actively in career exploration and make informed decisions, whereas lower self-efficacy is associated with indecision and misaligned career choices (El-Hassan &amp;</w:t>
      </w:r>
      <w:r w:rsidR="006375E5">
        <w:rPr>
          <w:rFonts w:ascii="Times New Roman" w:eastAsia="Times New Roman" w:hAnsi="Times New Roman" w:cs="Times New Roman"/>
          <w:sz w:val="24"/>
          <w:szCs w:val="24"/>
        </w:rPr>
        <w:t xml:space="preserve"> </w:t>
      </w:r>
      <w:r w:rsidRPr="00D432D9">
        <w:rPr>
          <w:rFonts w:ascii="Times New Roman" w:eastAsia="Times New Roman" w:hAnsi="Times New Roman" w:cs="Times New Roman"/>
          <w:sz w:val="24"/>
          <w:szCs w:val="24"/>
        </w:rPr>
        <w:t xml:space="preserve">Ghalayini, 2019; </w:t>
      </w:r>
      <w:r w:rsidR="009F27E4">
        <w:rPr>
          <w:rFonts w:ascii="Times New Roman" w:eastAsia="Times New Roman" w:hAnsi="Times New Roman" w:cs="Times New Roman"/>
          <w:sz w:val="24"/>
          <w:szCs w:val="24"/>
        </w:rPr>
        <w:t>Labiscsak-Erde</w:t>
      </w:r>
      <w:r w:rsidRPr="00D432D9">
        <w:rPr>
          <w:rFonts w:ascii="Times New Roman" w:eastAsia="Times New Roman" w:hAnsi="Times New Roman" w:cs="Times New Roman"/>
          <w:sz w:val="24"/>
          <w:szCs w:val="24"/>
        </w:rPr>
        <w:t>lyi et al., 2022). Self-perception thus mediates the influence of family and contextual factors on career outcomes (Wallace-Broscious et al., 1994).Career decision-making is further shaped by demographic and contextual dimensions. Gender differences in aspirations and perceived barriers often reflect entrenched societal norms and expectations (Asghar &amp; Ajmal, 2022). Similarly, urban–rural disparities in access to educational resources, career information, and role models significantly influence students’ exposure to and awareness of diverse career pathways (Mohammed Ndagi et al., 2024; Ansong et al., 2018). These disparit</w:t>
      </w:r>
      <w:r w:rsidR="00E35713">
        <w:rPr>
          <w:rFonts w:ascii="Times New Roman" w:eastAsia="Times New Roman" w:hAnsi="Times New Roman" w:cs="Times New Roman"/>
          <w:sz w:val="24"/>
          <w:szCs w:val="24"/>
        </w:rPr>
        <w:t xml:space="preserve">ies frequently channel students </w:t>
      </w:r>
      <w:r w:rsidRPr="00D432D9">
        <w:rPr>
          <w:rFonts w:ascii="Times New Roman" w:eastAsia="Times New Roman" w:hAnsi="Times New Roman" w:cs="Times New Roman"/>
          <w:sz w:val="24"/>
          <w:szCs w:val="24"/>
        </w:rPr>
        <w:t>par</w:t>
      </w:r>
      <w:r w:rsidR="00E35713">
        <w:rPr>
          <w:rFonts w:ascii="Times New Roman" w:eastAsia="Times New Roman" w:hAnsi="Times New Roman" w:cs="Times New Roman"/>
          <w:sz w:val="24"/>
          <w:szCs w:val="24"/>
        </w:rPr>
        <w:t xml:space="preserve">ticularly girls and rural youth </w:t>
      </w:r>
      <w:r w:rsidRPr="00D432D9">
        <w:rPr>
          <w:rFonts w:ascii="Times New Roman" w:eastAsia="Times New Roman" w:hAnsi="Times New Roman" w:cs="Times New Roman"/>
          <w:sz w:val="24"/>
          <w:szCs w:val="24"/>
        </w:rPr>
        <w:t>towards traditional or constrained occupational choices (Mozahem et al., 2018).</w:t>
      </w:r>
    </w:p>
    <w:p w:rsidR="00D432D9" w:rsidRPr="00422DAD"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lastRenderedPageBreak/>
        <w:t>In the Indian context, the National Education Policy 2020 (NEP 2020) introduces transformative reforms aimed at promoting holistic development, flexibility in learning pathways, and early exposure to vocational education and career guidance (Ministry of Education, 2020). The policy underscores the importance of informed career decision-making aligned with 21st-century skills and workforce demands (Aithal &amp; Aithal, 2020; Joshi &amp; Somani, 2021). However, the effectiveness of these reforms depends on how familial, psychological, and socio-economic factors interact to shape students’ career choices.</w:t>
      </w:r>
      <w:r w:rsidR="00B4299B">
        <w:rPr>
          <w:rFonts w:ascii="Times New Roman" w:eastAsia="Times New Roman" w:hAnsi="Times New Roman" w:cs="Times New Roman"/>
          <w:sz w:val="24"/>
          <w:szCs w:val="24"/>
        </w:rPr>
        <w:t xml:space="preserve"> </w:t>
      </w:r>
      <w:r w:rsidRPr="00D432D9">
        <w:rPr>
          <w:rFonts w:ascii="Times New Roman" w:eastAsia="Times New Roman" w:hAnsi="Times New Roman" w:cs="Times New Roman"/>
          <w:sz w:val="24"/>
          <w:szCs w:val="24"/>
        </w:rPr>
        <w:t>Given the interplay of economic, psychological, and socio-cultural influences, career decision-making among secondary school students must be examined through an integrated lens. This review critically synthesizes existing literature to examine how household education expenditure, parenting styles, and se</w:t>
      </w:r>
      <w:r w:rsidR="00D9267E">
        <w:rPr>
          <w:rFonts w:ascii="Times New Roman" w:eastAsia="Times New Roman" w:hAnsi="Times New Roman" w:cs="Times New Roman"/>
          <w:sz w:val="24"/>
          <w:szCs w:val="24"/>
        </w:rPr>
        <w:t xml:space="preserve">lf-perception jointly affect </w:t>
      </w:r>
      <w:r w:rsidRPr="00D432D9">
        <w:rPr>
          <w:rFonts w:ascii="Times New Roman" w:eastAsia="Times New Roman" w:hAnsi="Times New Roman" w:cs="Times New Roman"/>
          <w:sz w:val="24"/>
          <w:szCs w:val="24"/>
        </w:rPr>
        <w:t xml:space="preserve">career decision-making among </w:t>
      </w:r>
      <w:r w:rsidR="00346B28" w:rsidRPr="00422DAD">
        <w:rPr>
          <w:rFonts w:ascii="Times New Roman" w:eastAsia="Times New Roman" w:hAnsi="Times New Roman" w:cs="Times New Roman"/>
          <w:sz w:val="24"/>
          <w:szCs w:val="24"/>
        </w:rPr>
        <w:t xml:space="preserve">secondary school </w:t>
      </w:r>
      <w:r w:rsidRPr="00D432D9">
        <w:rPr>
          <w:rFonts w:ascii="Times New Roman" w:eastAsia="Times New Roman" w:hAnsi="Times New Roman" w:cs="Times New Roman"/>
          <w:sz w:val="24"/>
          <w:szCs w:val="24"/>
        </w:rPr>
        <w:t>students</w:t>
      </w:r>
      <w:r w:rsidR="00346B28" w:rsidRPr="00422DAD">
        <w:rPr>
          <w:rFonts w:ascii="Times New Roman" w:eastAsia="Times New Roman" w:hAnsi="Times New Roman" w:cs="Times New Roman"/>
          <w:sz w:val="24"/>
          <w:szCs w:val="24"/>
        </w:rPr>
        <w:t xml:space="preserve"> (</w:t>
      </w:r>
      <w:r w:rsidR="00346B28" w:rsidRPr="00D432D9">
        <w:rPr>
          <w:rFonts w:ascii="Times New Roman" w:eastAsia="Times New Roman" w:hAnsi="Times New Roman" w:cs="Times New Roman"/>
          <w:sz w:val="24"/>
          <w:szCs w:val="24"/>
        </w:rPr>
        <w:t>Grade 10</w:t>
      </w:r>
      <w:r w:rsidR="00346B28" w:rsidRPr="00422DAD">
        <w:rPr>
          <w:rFonts w:ascii="Times New Roman" w:eastAsia="Times New Roman" w:hAnsi="Times New Roman" w:cs="Times New Roman"/>
          <w:sz w:val="24"/>
          <w:szCs w:val="24"/>
        </w:rPr>
        <w:t>)</w:t>
      </w:r>
      <w:r w:rsidRPr="00D432D9">
        <w:rPr>
          <w:rFonts w:ascii="Times New Roman" w:eastAsia="Times New Roman" w:hAnsi="Times New Roman" w:cs="Times New Roman"/>
          <w:sz w:val="24"/>
          <w:szCs w:val="24"/>
        </w:rPr>
        <w:t>, with particular attention to gender, urban–rural locality, and the evolving policy context under NEP 2020.</w:t>
      </w:r>
    </w:p>
    <w:p w:rsidR="00DC4340" w:rsidRPr="00D432D9" w:rsidRDefault="00DC4340" w:rsidP="000573B3">
      <w:pPr>
        <w:spacing w:after="0" w:line="240" w:lineRule="auto"/>
        <w:ind w:firstLine="720"/>
        <w:jc w:val="both"/>
        <w:rPr>
          <w:rFonts w:ascii="Times New Roman" w:eastAsia="Times New Roman" w:hAnsi="Times New Roman" w:cs="Times New Roman"/>
          <w:sz w:val="24"/>
          <w:szCs w:val="24"/>
        </w:rPr>
      </w:pPr>
    </w:p>
    <w:p w:rsidR="00D432D9" w:rsidRPr="00D432D9" w:rsidRDefault="00B9584F" w:rsidP="00DC4340">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RATIONALE OF THE STUDY</w:t>
      </w:r>
    </w:p>
    <w:p w:rsidR="00DC4340" w:rsidRPr="00422DAD"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The literature on adolescent career decision-making has expanded considerably over the past two decades; however, much of this research remains fragmented, with studies often examining economic, psychological, or sociological factors in isolation. Such compartmentalization limits understanding of the complex and interdependent processes through which adolescents form career aspirations and make decisions (Super, 1990; Lent et al., 1994). An integrative review that synthesizes these dimensions is therefore necessary to move beyond descriptive accounts and to elucidate the broader mechanisms shaping career development (Cooper, 2017).There is a pressing need for a comprehensive framework that simultaneously considers household education expenditure, parenting styles, a</w:t>
      </w:r>
      <w:r w:rsidR="00D9267E">
        <w:rPr>
          <w:rFonts w:ascii="Times New Roman" w:eastAsia="Times New Roman" w:hAnsi="Times New Roman" w:cs="Times New Roman"/>
          <w:sz w:val="24"/>
          <w:szCs w:val="24"/>
        </w:rPr>
        <w:t>nd self-perception, alongside average</w:t>
      </w:r>
      <w:r w:rsidRPr="00D432D9">
        <w:rPr>
          <w:rFonts w:ascii="Times New Roman" w:eastAsia="Times New Roman" w:hAnsi="Times New Roman" w:cs="Times New Roman"/>
          <w:sz w:val="24"/>
          <w:szCs w:val="24"/>
        </w:rPr>
        <w:t xml:space="preserve"> influences such as gender norms and urban–rural contexts. While existing studies provide valuable insights into individual determinants, they often fail to capture their synergistic effects on career decision-making (Eccles, 1994; Gottfredson, 2002). By adopting a systematic, thematic, and narrative review design, this study bridges disciplinary boundaries and offers a holistic synthesis of empirical and conceptual research (Lent et al., 2000; Eccles, 1994).</w:t>
      </w:r>
    </w:p>
    <w:p w:rsidR="00DC4340" w:rsidRPr="00422DAD"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Despite the richness of global literature, focu</w:t>
      </w:r>
      <w:r w:rsidR="00E35713">
        <w:rPr>
          <w:rFonts w:ascii="Times New Roman" w:eastAsia="Times New Roman" w:hAnsi="Times New Roman" w:cs="Times New Roman"/>
          <w:sz w:val="24"/>
          <w:szCs w:val="24"/>
        </w:rPr>
        <w:t xml:space="preserve">sed syntheses of Indian studies </w:t>
      </w:r>
      <w:r w:rsidRPr="00D432D9">
        <w:rPr>
          <w:rFonts w:ascii="Times New Roman" w:eastAsia="Times New Roman" w:hAnsi="Times New Roman" w:cs="Times New Roman"/>
          <w:sz w:val="24"/>
          <w:szCs w:val="24"/>
        </w:rPr>
        <w:t>particularly at the regional level</w:t>
      </w:r>
      <w:r w:rsidR="00E35713">
        <w:rPr>
          <w:rFonts w:ascii="Times New Roman" w:eastAsia="Times New Roman" w:hAnsi="Times New Roman" w:cs="Times New Roman"/>
          <w:sz w:val="24"/>
          <w:szCs w:val="24"/>
        </w:rPr>
        <w:t xml:space="preserve"> </w:t>
      </w:r>
      <w:r w:rsidRPr="00D432D9">
        <w:rPr>
          <w:rFonts w:ascii="Times New Roman" w:eastAsia="Times New Roman" w:hAnsi="Times New Roman" w:cs="Times New Roman"/>
          <w:sz w:val="24"/>
          <w:szCs w:val="24"/>
        </w:rPr>
        <w:t xml:space="preserve">remain limited. India’s socio-cultural diversity, economic inequalities, and uneven educational infrastructure necessitate context-sensitive analysis to inform effective policy and practice (NCERT, 2020; Ministry of Education, 2020). Regional </w:t>
      </w:r>
      <w:r w:rsidRPr="00D432D9">
        <w:rPr>
          <w:rFonts w:ascii="Times New Roman" w:eastAsia="Times New Roman" w:hAnsi="Times New Roman" w:cs="Times New Roman"/>
          <w:sz w:val="24"/>
          <w:szCs w:val="24"/>
        </w:rPr>
        <w:lastRenderedPageBreak/>
        <w:t>contexts such as Odisha remain under-represented in existing reviews, constraining the development of localized and equitable career guidance interventions. Furthermore, there is limited synthesis examining how career decision-making determinants align with the objectives and implementation of NEP 2020 (OECD, 2021; Ministry of Education, 2020).</w:t>
      </w:r>
    </w:p>
    <w:p w:rsidR="00D432D9" w:rsidRPr="00422DAD" w:rsidRDefault="00D432D9" w:rsidP="00DC4340">
      <w:pPr>
        <w:spacing w:after="0" w:line="360" w:lineRule="auto"/>
        <w:ind w:firstLine="720"/>
        <w:jc w:val="both"/>
        <w:rPr>
          <w:rFonts w:ascii="Times New Roman" w:eastAsia="Times New Roman" w:hAnsi="Times New Roman" w:cs="Times New Roman"/>
          <w:sz w:val="24"/>
          <w:szCs w:val="24"/>
        </w:rPr>
      </w:pPr>
      <w:r w:rsidRPr="00D432D9">
        <w:rPr>
          <w:rFonts w:ascii="Times New Roman" w:eastAsia="Times New Roman" w:hAnsi="Times New Roman" w:cs="Times New Roman"/>
          <w:sz w:val="24"/>
          <w:szCs w:val="24"/>
        </w:rPr>
        <w:t>This review holds relevance for multiple stakeholders. Policymakers can draw on its findings to design evidence-based, equity-oriented career guidance frameworks aligned with NEP 2020. Educators and school administrators may utilize the insights to strengthen counseling practices and tailor interventions to diverse student needs. Parents gain a clearer understanding of how financial investment and parenting practices influence adolescents’ career trajectories (Eccles, 1994). For researchers, the review identifies conceptual, methodological, and regional gaps, providing a foundation for future empirical studies on adolescent career development across gender and locality.</w:t>
      </w:r>
      <w:r w:rsidR="00B4299B">
        <w:rPr>
          <w:rFonts w:ascii="Times New Roman" w:eastAsia="Times New Roman" w:hAnsi="Times New Roman" w:cs="Times New Roman"/>
          <w:sz w:val="24"/>
          <w:szCs w:val="24"/>
        </w:rPr>
        <w:t xml:space="preserve"> </w:t>
      </w:r>
      <w:r w:rsidRPr="00D432D9">
        <w:rPr>
          <w:rFonts w:ascii="Times New Roman" w:eastAsia="Times New Roman" w:hAnsi="Times New Roman" w:cs="Times New Roman"/>
          <w:sz w:val="24"/>
          <w:szCs w:val="24"/>
        </w:rPr>
        <w:t>By integrating economic, psychological, and sociological perspectives within a coherent analytical framework, this study responds to the complexity of adolescent career decision-making and contributes to advancing both scholarship and policy discourse in secondary education.</w:t>
      </w:r>
    </w:p>
    <w:p w:rsidR="00DC4340" w:rsidRPr="00D432D9" w:rsidRDefault="00DC4340" w:rsidP="000573B3">
      <w:pPr>
        <w:spacing w:after="0" w:line="240" w:lineRule="auto"/>
        <w:ind w:firstLine="720"/>
        <w:jc w:val="both"/>
        <w:rPr>
          <w:rFonts w:ascii="Times New Roman" w:eastAsia="Times New Roman" w:hAnsi="Times New Roman" w:cs="Times New Roman"/>
          <w:sz w:val="24"/>
          <w:szCs w:val="24"/>
        </w:rPr>
      </w:pPr>
    </w:p>
    <w:p w:rsidR="00BA4EE2" w:rsidRDefault="00B9584F" w:rsidP="00BA4EE2">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RESEARCH QUESTIONS</w:t>
      </w:r>
    </w:p>
    <w:p w:rsidR="0033558A" w:rsidRPr="0033558A" w:rsidRDefault="0033558A" w:rsidP="0033558A">
      <w:pPr>
        <w:pStyle w:val="NormalWeb"/>
        <w:numPr>
          <w:ilvl w:val="0"/>
          <w:numId w:val="12"/>
        </w:numPr>
        <w:spacing w:before="0" w:beforeAutospacing="0" w:after="0" w:afterAutospacing="0" w:line="360" w:lineRule="auto"/>
        <w:jc w:val="both"/>
        <w:rPr>
          <w:b/>
        </w:rPr>
      </w:pPr>
      <w:r w:rsidRPr="0033558A">
        <w:rPr>
          <w:rStyle w:val="Strong"/>
          <w:b w:val="0"/>
        </w:rPr>
        <w:t>What patterns and themes are reported in the literature regarding household education expenditure, parenting styles, and self-perception in relation to career decision</w:t>
      </w:r>
      <w:r w:rsidR="00AE7C6D">
        <w:rPr>
          <w:rStyle w:val="Strong"/>
          <w:b w:val="0"/>
        </w:rPr>
        <w:t xml:space="preserve">-making among secondary school </w:t>
      </w:r>
      <w:r w:rsidRPr="0033558A">
        <w:rPr>
          <w:rStyle w:val="Strong"/>
          <w:b w:val="0"/>
        </w:rPr>
        <w:t>students?</w:t>
      </w:r>
    </w:p>
    <w:p w:rsidR="0033558A" w:rsidRPr="0033558A" w:rsidRDefault="0033558A" w:rsidP="0033558A">
      <w:pPr>
        <w:pStyle w:val="NormalWeb"/>
        <w:numPr>
          <w:ilvl w:val="0"/>
          <w:numId w:val="12"/>
        </w:numPr>
        <w:spacing w:before="0" w:beforeAutospacing="0" w:after="0" w:afterAutospacing="0" w:line="360" w:lineRule="auto"/>
        <w:jc w:val="both"/>
        <w:rPr>
          <w:b/>
        </w:rPr>
      </w:pPr>
      <w:r w:rsidRPr="0033558A">
        <w:rPr>
          <w:rStyle w:val="Strong"/>
          <w:b w:val="0"/>
        </w:rPr>
        <w:t>How does existing research document differences in the associations between family-related factors, self-perception, and career decision-making across gender and urban–rural localities?</w:t>
      </w:r>
    </w:p>
    <w:p w:rsidR="0033558A" w:rsidRPr="0033558A" w:rsidRDefault="0033558A" w:rsidP="0033558A">
      <w:pPr>
        <w:pStyle w:val="NormalWeb"/>
        <w:numPr>
          <w:ilvl w:val="0"/>
          <w:numId w:val="12"/>
        </w:numPr>
        <w:spacing w:before="0" w:beforeAutospacing="0" w:after="0" w:afterAutospacing="0" w:line="360" w:lineRule="auto"/>
        <w:jc w:val="both"/>
        <w:rPr>
          <w:b/>
        </w:rPr>
      </w:pPr>
      <w:r w:rsidRPr="0033558A">
        <w:rPr>
          <w:rStyle w:val="Strong"/>
          <w:b w:val="0"/>
        </w:rPr>
        <w:t>What disparities in career aspirations, access to career guidance, and reported decision-making experiences among secondary school students are highlighted in the literature?</w:t>
      </w:r>
    </w:p>
    <w:p w:rsidR="0033558A" w:rsidRPr="0033558A" w:rsidRDefault="0033558A" w:rsidP="0033558A">
      <w:pPr>
        <w:pStyle w:val="NormalWeb"/>
        <w:numPr>
          <w:ilvl w:val="0"/>
          <w:numId w:val="12"/>
        </w:numPr>
        <w:spacing w:before="0" w:beforeAutospacing="0" w:after="0" w:afterAutospacing="0" w:line="360" w:lineRule="auto"/>
        <w:jc w:val="both"/>
        <w:rPr>
          <w:b/>
        </w:rPr>
      </w:pPr>
      <w:r w:rsidRPr="0033558A">
        <w:rPr>
          <w:rStyle w:val="Strong"/>
          <w:b w:val="0"/>
        </w:rPr>
        <w:t xml:space="preserve">How does the literature assess and discuss the role of the National Education </w:t>
      </w:r>
      <w:r w:rsidR="00272362">
        <w:rPr>
          <w:rStyle w:val="Strong"/>
          <w:b w:val="0"/>
        </w:rPr>
        <w:t xml:space="preserve">Policy 2020 </w:t>
      </w:r>
      <w:r w:rsidRPr="0033558A">
        <w:rPr>
          <w:rStyle w:val="Strong"/>
          <w:b w:val="0"/>
        </w:rPr>
        <w:t>in shaping career guidance frameworks and career decision-making at the secondary school level?</w:t>
      </w:r>
    </w:p>
    <w:p w:rsidR="00DC4340" w:rsidRPr="00A93025" w:rsidRDefault="00DC4340" w:rsidP="000573B3">
      <w:pPr>
        <w:spacing w:after="0" w:line="240" w:lineRule="auto"/>
        <w:ind w:left="360"/>
        <w:jc w:val="both"/>
        <w:rPr>
          <w:rFonts w:ascii="Times New Roman" w:eastAsia="Times New Roman" w:hAnsi="Times New Roman" w:cs="Times New Roman"/>
          <w:sz w:val="24"/>
          <w:szCs w:val="24"/>
        </w:rPr>
      </w:pPr>
    </w:p>
    <w:p w:rsidR="00BA4EE2" w:rsidRDefault="009F27E4" w:rsidP="00BA4EE2">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w:t>
      </w:r>
      <w:r w:rsidR="00B9584F" w:rsidRPr="00422DAD">
        <w:rPr>
          <w:rFonts w:ascii="Times New Roman" w:eastAsia="Times New Roman" w:hAnsi="Times New Roman" w:cs="Times New Roman"/>
          <w:b/>
          <w:bCs/>
          <w:sz w:val="24"/>
          <w:szCs w:val="24"/>
        </w:rPr>
        <w:t>BJECTIVES OF THE STUDY</w:t>
      </w:r>
    </w:p>
    <w:p w:rsidR="00A230DF" w:rsidRPr="00272362" w:rsidRDefault="00A230DF" w:rsidP="00272362">
      <w:pPr>
        <w:pStyle w:val="NormalWeb"/>
        <w:numPr>
          <w:ilvl w:val="0"/>
          <w:numId w:val="14"/>
        </w:numPr>
        <w:spacing w:before="0" w:beforeAutospacing="0" w:after="0" w:afterAutospacing="0" w:line="360" w:lineRule="auto"/>
        <w:jc w:val="both"/>
        <w:rPr>
          <w:b/>
        </w:rPr>
      </w:pPr>
      <w:r w:rsidRPr="00272362">
        <w:rPr>
          <w:rStyle w:val="Strong"/>
          <w:b w:val="0"/>
        </w:rPr>
        <w:t>To systematically review and synthesize global, national (India), and regional (Odisha) literature on career decision-making among secondary school</w:t>
      </w:r>
      <w:r w:rsidR="00272362">
        <w:rPr>
          <w:rStyle w:val="Strong"/>
          <w:b w:val="0"/>
        </w:rPr>
        <w:t xml:space="preserve"> students published between 1983</w:t>
      </w:r>
      <w:r w:rsidRPr="00272362">
        <w:rPr>
          <w:rStyle w:val="Strong"/>
          <w:b w:val="0"/>
        </w:rPr>
        <w:t xml:space="preserve"> and 2025.</w:t>
      </w:r>
    </w:p>
    <w:p w:rsidR="00A230DF" w:rsidRPr="00272362" w:rsidRDefault="00A230DF" w:rsidP="00272362">
      <w:pPr>
        <w:pStyle w:val="NormalWeb"/>
        <w:numPr>
          <w:ilvl w:val="0"/>
          <w:numId w:val="14"/>
        </w:numPr>
        <w:spacing w:before="0" w:beforeAutospacing="0" w:after="0" w:afterAutospacing="0" w:line="360" w:lineRule="auto"/>
        <w:jc w:val="both"/>
        <w:rPr>
          <w:b/>
        </w:rPr>
      </w:pPr>
      <w:r w:rsidRPr="00272362">
        <w:rPr>
          <w:rStyle w:val="Strong"/>
          <w:b w:val="0"/>
        </w:rPr>
        <w:lastRenderedPageBreak/>
        <w:t>To map and summarize how household education expenditure, parenting styles, and self-perception are conceptualized and examined in relation to adolescents’ career decision-making in existing studies.</w:t>
      </w:r>
    </w:p>
    <w:p w:rsidR="00A230DF" w:rsidRPr="00272362" w:rsidRDefault="00A230DF" w:rsidP="00272362">
      <w:pPr>
        <w:pStyle w:val="NormalWeb"/>
        <w:numPr>
          <w:ilvl w:val="0"/>
          <w:numId w:val="14"/>
        </w:numPr>
        <w:spacing w:before="0" w:beforeAutospacing="0" w:after="0" w:afterAutospacing="0" w:line="360" w:lineRule="auto"/>
        <w:jc w:val="both"/>
        <w:rPr>
          <w:b/>
        </w:rPr>
      </w:pPr>
      <w:r w:rsidRPr="00272362">
        <w:rPr>
          <w:rStyle w:val="Strong"/>
          <w:b w:val="0"/>
        </w:rPr>
        <w:t>To critically examine how gender and urban–rural locality are addressed in the literature with respect to career aspirations, access to guidance, and reported decision-making experiences.</w:t>
      </w:r>
    </w:p>
    <w:p w:rsidR="00A230DF" w:rsidRPr="009B00CF" w:rsidRDefault="00A230DF" w:rsidP="00272362">
      <w:pPr>
        <w:pStyle w:val="NormalWeb"/>
        <w:numPr>
          <w:ilvl w:val="0"/>
          <w:numId w:val="14"/>
        </w:numPr>
        <w:spacing w:before="0" w:beforeAutospacing="0" w:after="0" w:afterAutospacing="0" w:line="360" w:lineRule="auto"/>
        <w:jc w:val="both"/>
        <w:rPr>
          <w:rStyle w:val="Strong"/>
          <w:bCs w:val="0"/>
        </w:rPr>
      </w:pPr>
      <w:r w:rsidRPr="00272362">
        <w:rPr>
          <w:rStyle w:val="Strong"/>
          <w:b w:val="0"/>
        </w:rPr>
        <w:t>To identify conceptual, methodological, and regional gaps in the literature and to derive policy-relevant insights in the context of the National Education Policy 2020</w:t>
      </w:r>
      <w:r w:rsidR="00272362">
        <w:rPr>
          <w:rStyle w:val="Strong"/>
          <w:b w:val="0"/>
        </w:rPr>
        <w:t xml:space="preserve">. </w:t>
      </w:r>
    </w:p>
    <w:p w:rsidR="009B00CF" w:rsidRDefault="009B00CF" w:rsidP="000573B3">
      <w:pPr>
        <w:pStyle w:val="NormalWeb"/>
        <w:spacing w:before="0" w:beforeAutospacing="0" w:after="0" w:afterAutospacing="0"/>
        <w:jc w:val="both"/>
        <w:rPr>
          <w:rStyle w:val="Strong"/>
          <w:b w:val="0"/>
        </w:rPr>
      </w:pPr>
    </w:p>
    <w:p w:rsidR="009B00CF" w:rsidRPr="009B00CF" w:rsidRDefault="009B00CF" w:rsidP="009B00CF">
      <w:pPr>
        <w:pStyle w:val="Heading1"/>
        <w:spacing w:before="0" w:line="360" w:lineRule="auto"/>
        <w:jc w:val="both"/>
        <w:rPr>
          <w:rFonts w:ascii="Times New Roman" w:hAnsi="Times New Roman" w:cs="Times New Roman"/>
          <w:color w:val="auto"/>
          <w:sz w:val="24"/>
          <w:szCs w:val="24"/>
        </w:rPr>
      </w:pPr>
      <w:bookmarkStart w:id="0" w:name="header"/>
      <w:bookmarkStart w:id="1" w:name="methodology-of-the-study"/>
      <w:bookmarkStart w:id="2" w:name="content"/>
      <w:bookmarkEnd w:id="0"/>
      <w:r w:rsidRPr="009B00CF">
        <w:rPr>
          <w:rFonts w:ascii="Times New Roman" w:hAnsi="Times New Roman" w:cs="Times New Roman"/>
          <w:color w:val="auto"/>
          <w:sz w:val="24"/>
          <w:szCs w:val="24"/>
        </w:rPr>
        <w:t>METHODOLOGY OF THE STUDY</w:t>
      </w:r>
      <w:bookmarkStart w:id="3" w:name="review-design"/>
    </w:p>
    <w:p w:rsidR="009B00CF" w:rsidRPr="009B00CF" w:rsidRDefault="009B00CF" w:rsidP="009B00CF">
      <w:pPr>
        <w:pStyle w:val="Heading1"/>
        <w:spacing w:before="0" w:line="360" w:lineRule="auto"/>
        <w:jc w:val="both"/>
        <w:rPr>
          <w:rFonts w:ascii="Times New Roman" w:hAnsi="Times New Roman" w:cs="Times New Roman"/>
          <w:color w:val="auto"/>
          <w:sz w:val="24"/>
          <w:szCs w:val="24"/>
        </w:rPr>
      </w:pPr>
      <w:r w:rsidRPr="009B00CF">
        <w:rPr>
          <w:rFonts w:ascii="Times New Roman" w:hAnsi="Times New Roman" w:cs="Times New Roman"/>
          <w:color w:val="auto"/>
          <w:sz w:val="24"/>
          <w:szCs w:val="24"/>
        </w:rPr>
        <w:t>Review Design</w:t>
      </w:r>
    </w:p>
    <w:p w:rsidR="009B00CF" w:rsidRPr="00170D81" w:rsidRDefault="009B00CF" w:rsidP="009B00CF">
      <w:pPr>
        <w:pStyle w:val="FirstParagraph"/>
        <w:spacing w:before="0" w:after="0" w:line="360" w:lineRule="auto"/>
        <w:ind w:firstLine="720"/>
        <w:jc w:val="both"/>
        <w:rPr>
          <w:rFonts w:ascii="Times New Roman" w:hAnsi="Times New Roman" w:cs="Times New Roman"/>
        </w:rPr>
      </w:pPr>
      <w:r w:rsidRPr="00170D81">
        <w:rPr>
          <w:rFonts w:ascii="Times New Roman" w:hAnsi="Times New Roman" w:cs="Times New Roman"/>
        </w:rPr>
        <w:t xml:space="preserve">We adopted an </w:t>
      </w:r>
      <w:r w:rsidRPr="00170D81">
        <w:rPr>
          <w:rFonts w:ascii="Times New Roman" w:hAnsi="Times New Roman" w:cs="Times New Roman"/>
          <w:bCs/>
        </w:rPr>
        <w:t>integrated review design</w:t>
      </w:r>
      <w:r w:rsidRPr="00170D81">
        <w:rPr>
          <w:rFonts w:ascii="Times New Roman" w:hAnsi="Times New Roman" w:cs="Times New Roman"/>
        </w:rPr>
        <w:t xml:space="preserve"> that combines systematic literature mapping with thematic and narrative synthesis. This </w:t>
      </w:r>
      <w:r w:rsidRPr="00170D81">
        <w:rPr>
          <w:rFonts w:ascii="Times New Roman" w:hAnsi="Times New Roman" w:cs="Times New Roman"/>
          <w:bCs/>
        </w:rPr>
        <w:t>mixed-methods approach</w:t>
      </w:r>
      <w:r w:rsidRPr="00170D81">
        <w:rPr>
          <w:rFonts w:ascii="Times New Roman" w:hAnsi="Times New Roman" w:cs="Times New Roman"/>
        </w:rPr>
        <w:t xml:space="preserve"> aligns with established integrative review methodology, which permits combining quantitative and qualitative evidence to achieve a comprehensive understanding</w:t>
      </w:r>
      <w:hyperlink r:id="rId7" w:anchor=":~:text=of%20diverse%20methodologies%20,conclusion%20drawing%20remain%20poorly%20formulated"/>
      <w:r w:rsidRPr="00170D81">
        <w:rPr>
          <w:rFonts w:ascii="Times New Roman" w:hAnsi="Times New Roman" w:cs="Times New Roman"/>
        </w:rPr>
        <w:t xml:space="preserve">. First, we conducted a structured search and selection of studies (systematic component) to ensure transparency and replicability. Next, we organized findings into key themes (thematic synthesis) while also interpreting them in context (narrative component). </w:t>
      </w:r>
    </w:p>
    <w:p w:rsidR="009B00CF" w:rsidRPr="0076027C" w:rsidRDefault="009B00CF" w:rsidP="0076027C">
      <w:pPr>
        <w:pStyle w:val="Heading2"/>
        <w:spacing w:before="0" w:after="0"/>
        <w:jc w:val="both"/>
        <w:rPr>
          <w:sz w:val="24"/>
          <w:szCs w:val="24"/>
        </w:rPr>
      </w:pPr>
      <w:bookmarkStart w:id="4" w:name="data-sources-and-search-strategy"/>
      <w:bookmarkEnd w:id="3"/>
      <w:r w:rsidRPr="0076027C">
        <w:rPr>
          <w:sz w:val="24"/>
          <w:szCs w:val="24"/>
        </w:rPr>
        <w:t>Data Sources and Search Strategy</w:t>
      </w:r>
    </w:p>
    <w:p w:rsidR="009B00CF" w:rsidRPr="00170D81" w:rsidRDefault="009B00CF" w:rsidP="009B00CF">
      <w:pPr>
        <w:pStyle w:val="Heading2"/>
        <w:spacing w:before="0" w:after="0" w:line="360" w:lineRule="auto"/>
        <w:ind w:firstLine="720"/>
        <w:jc w:val="both"/>
        <w:rPr>
          <w:b w:val="0"/>
          <w:sz w:val="24"/>
          <w:szCs w:val="24"/>
        </w:rPr>
      </w:pPr>
      <w:r w:rsidRPr="00170D81">
        <w:rPr>
          <w:b w:val="0"/>
          <w:sz w:val="24"/>
          <w:szCs w:val="24"/>
        </w:rPr>
        <w:t>A comprehensive, multi-database search was executed to identify relevant literature. We queried Scopus and Web of Science (for broad, peer-reviewed coverage) and used Google Scholar selectively to capture highly cited and grey-literature studies. Search terms combined the core concepts of the review. For example, one search string in Scopus was:</w:t>
      </w:r>
    </w:p>
    <w:p w:rsidR="009B00CF" w:rsidRPr="00170D81" w:rsidRDefault="009B00CF" w:rsidP="009B00CF">
      <w:pPr>
        <w:pStyle w:val="SourceCode"/>
        <w:spacing w:after="0" w:line="360" w:lineRule="auto"/>
        <w:rPr>
          <w:rFonts w:ascii="Times New Roman" w:hAnsi="Times New Roman" w:cs="Times New Roman"/>
          <w:sz w:val="24"/>
        </w:rPr>
      </w:pPr>
      <w:r w:rsidRPr="00170D81">
        <w:rPr>
          <w:rStyle w:val="VerbatimChar"/>
          <w:rFonts w:ascii="Times New Roman" w:hAnsi="Times New Roman" w:cs="Times New Roman"/>
        </w:rPr>
        <w:t xml:space="preserve">(“career decision-making” OR “career aspirations”) </w:t>
      </w:r>
      <w:r w:rsidRPr="00170D81">
        <w:rPr>
          <w:rFonts w:ascii="Times New Roman" w:hAnsi="Times New Roman" w:cs="Times New Roman"/>
          <w:sz w:val="24"/>
        </w:rPr>
        <w:br/>
      </w:r>
      <w:r w:rsidRPr="00170D81">
        <w:rPr>
          <w:rStyle w:val="VerbatimChar"/>
          <w:rFonts w:ascii="Times New Roman" w:hAnsi="Times New Roman" w:cs="Times New Roman"/>
        </w:rPr>
        <w:t xml:space="preserve">AND (“parenting style” OR “parental involvement”) </w:t>
      </w:r>
      <w:r w:rsidRPr="00170D81">
        <w:rPr>
          <w:rFonts w:ascii="Times New Roman" w:hAnsi="Times New Roman" w:cs="Times New Roman"/>
          <w:sz w:val="24"/>
        </w:rPr>
        <w:br/>
      </w:r>
      <w:r w:rsidRPr="00170D81">
        <w:rPr>
          <w:rStyle w:val="VerbatimChar"/>
          <w:rFonts w:ascii="Times New Roman" w:hAnsi="Times New Roman" w:cs="Times New Roman"/>
        </w:rPr>
        <w:t xml:space="preserve">AND (“household education expenditure” OR “education spending” OR “schooling cost”) AND (“self-perception” OR “self-concept”) </w:t>
      </w:r>
      <w:r w:rsidRPr="00170D81">
        <w:rPr>
          <w:rFonts w:ascii="Times New Roman" w:hAnsi="Times New Roman" w:cs="Times New Roman"/>
          <w:sz w:val="24"/>
        </w:rPr>
        <w:br/>
      </w:r>
      <w:r w:rsidRPr="00170D81">
        <w:rPr>
          <w:rStyle w:val="VerbatimChar"/>
          <w:rFonts w:ascii="Times New Roman" w:hAnsi="Times New Roman" w:cs="Times New Roman"/>
        </w:rPr>
        <w:t>AND (secondary OR adolescent OR teen OR “high school” OR “class 10”)</w:t>
      </w:r>
    </w:p>
    <w:p w:rsidR="009B00CF" w:rsidRPr="00170D81" w:rsidRDefault="009B00CF" w:rsidP="009B00CF">
      <w:pPr>
        <w:pStyle w:val="FirstParagraph"/>
        <w:spacing w:before="0" w:after="0" w:line="360" w:lineRule="auto"/>
        <w:ind w:firstLine="720"/>
        <w:jc w:val="both"/>
        <w:rPr>
          <w:rFonts w:ascii="Times New Roman" w:hAnsi="Times New Roman" w:cs="Times New Roman"/>
        </w:rPr>
      </w:pPr>
      <w:r w:rsidRPr="00170D81">
        <w:rPr>
          <w:rFonts w:ascii="Times New Roman" w:hAnsi="Times New Roman" w:cs="Times New Roman"/>
        </w:rPr>
        <w:t xml:space="preserve">This string was adapted to each database’s syntax. Synonyms and related terms were used for each concept (e.g. </w:t>
      </w:r>
      <w:r w:rsidRPr="00170D81">
        <w:rPr>
          <w:rFonts w:ascii="Times New Roman" w:hAnsi="Times New Roman" w:cs="Times New Roman"/>
          <w:i/>
          <w:iCs/>
        </w:rPr>
        <w:t>career choice</w:t>
      </w:r>
      <w:r w:rsidRPr="00170D81">
        <w:rPr>
          <w:rFonts w:ascii="Times New Roman" w:hAnsi="Times New Roman" w:cs="Times New Roman"/>
        </w:rPr>
        <w:t xml:space="preserve">, </w:t>
      </w:r>
      <w:r w:rsidRPr="00170D81">
        <w:rPr>
          <w:rFonts w:ascii="Times New Roman" w:hAnsi="Times New Roman" w:cs="Times New Roman"/>
          <w:i/>
          <w:iCs/>
        </w:rPr>
        <w:t>parenting</w:t>
      </w:r>
      <w:r w:rsidRPr="00170D81">
        <w:rPr>
          <w:rFonts w:ascii="Times New Roman" w:hAnsi="Times New Roman" w:cs="Times New Roman"/>
        </w:rPr>
        <w:t xml:space="preserve">, </w:t>
      </w:r>
      <w:r w:rsidRPr="00170D81">
        <w:rPr>
          <w:rFonts w:ascii="Times New Roman" w:hAnsi="Times New Roman" w:cs="Times New Roman"/>
          <w:i/>
          <w:iCs/>
        </w:rPr>
        <w:t>educational spending</w:t>
      </w:r>
      <w:r w:rsidRPr="00170D81">
        <w:rPr>
          <w:rFonts w:ascii="Times New Roman" w:hAnsi="Times New Roman" w:cs="Times New Roman"/>
        </w:rPr>
        <w:t xml:space="preserve">, </w:t>
      </w:r>
      <w:r w:rsidRPr="00170D81">
        <w:rPr>
          <w:rFonts w:ascii="Times New Roman" w:hAnsi="Times New Roman" w:cs="Times New Roman"/>
          <w:i/>
          <w:iCs/>
        </w:rPr>
        <w:t>self-efficacy</w:t>
      </w:r>
      <w:r w:rsidRPr="00170D81">
        <w:rPr>
          <w:rFonts w:ascii="Times New Roman" w:hAnsi="Times New Roman" w:cs="Times New Roman"/>
        </w:rPr>
        <w:t xml:space="preserve">). The search was conducted for studies published in </w:t>
      </w:r>
      <w:r w:rsidRPr="00170D81">
        <w:rPr>
          <w:rFonts w:ascii="Times New Roman" w:hAnsi="Times New Roman" w:cs="Times New Roman"/>
          <w:bCs/>
        </w:rPr>
        <w:t>English between 1983 and 2025</w:t>
      </w:r>
      <w:r w:rsidRPr="00170D81">
        <w:rPr>
          <w:rFonts w:ascii="Times New Roman" w:hAnsi="Times New Roman" w:cs="Times New Roman"/>
        </w:rPr>
        <w:t xml:space="preserve">. No </w:t>
      </w:r>
      <w:r w:rsidRPr="00170D81">
        <w:rPr>
          <w:rFonts w:ascii="Times New Roman" w:hAnsi="Times New Roman" w:cs="Times New Roman"/>
        </w:rPr>
        <w:lastRenderedPageBreak/>
        <w:t xml:space="preserve">geographic or gender filters were applied in the search itself, but we specifically annotated studies from India (including regional data on Odisha) during analysis. </w:t>
      </w:r>
    </w:p>
    <w:p w:rsidR="009B00CF" w:rsidRPr="0076027C" w:rsidRDefault="009B00CF" w:rsidP="0076027C">
      <w:pPr>
        <w:pStyle w:val="Heading2"/>
        <w:spacing w:before="0" w:after="0"/>
        <w:jc w:val="both"/>
        <w:rPr>
          <w:sz w:val="24"/>
          <w:szCs w:val="24"/>
        </w:rPr>
      </w:pPr>
      <w:bookmarkStart w:id="5" w:name="inclusion-and-exclusion-criteria"/>
      <w:bookmarkEnd w:id="4"/>
      <w:r w:rsidRPr="0076027C">
        <w:rPr>
          <w:sz w:val="24"/>
          <w:szCs w:val="24"/>
        </w:rPr>
        <w:t>Inclusion and Exclusion Criteria</w:t>
      </w:r>
    </w:p>
    <w:p w:rsidR="009B00CF" w:rsidRPr="00170D81" w:rsidRDefault="009B00CF" w:rsidP="009B00CF">
      <w:pPr>
        <w:pStyle w:val="FirstParagraph"/>
        <w:spacing w:before="0" w:after="0" w:line="360" w:lineRule="auto"/>
        <w:ind w:firstLine="720"/>
        <w:jc w:val="both"/>
        <w:rPr>
          <w:rFonts w:ascii="Times New Roman" w:hAnsi="Times New Roman" w:cs="Times New Roman"/>
        </w:rPr>
      </w:pPr>
      <w:r w:rsidRPr="00170D81">
        <w:rPr>
          <w:rFonts w:ascii="Times New Roman" w:hAnsi="Times New Roman" w:cs="Times New Roman"/>
        </w:rPr>
        <w:t>To ensure relevance and quality, we applied the following criteria:</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Publication Type:</w:t>
      </w:r>
      <w:r w:rsidRPr="00170D81">
        <w:rPr>
          <w:rFonts w:ascii="Times New Roman" w:hAnsi="Times New Roman" w:cs="Times New Roman"/>
        </w:rPr>
        <w:t xml:space="preserve"> Included peer-reviewed journal articles (empirical studies, conceptual papers, and high-quality reviews), edited book chapters, books, and reputable government or NGO research reports. Excluded dissertations, conference abstracts without full text, and non-peer-reviewed reports.</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Time Frame:</w:t>
      </w:r>
      <w:r w:rsidRPr="00170D81">
        <w:rPr>
          <w:rFonts w:ascii="Times New Roman" w:hAnsi="Times New Roman" w:cs="Times New Roman"/>
        </w:rPr>
        <w:t xml:space="preserve"> Studies published from 1983 through 2025 were considered, capturing both foundational and recent work.</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Language:</w:t>
      </w:r>
      <w:r w:rsidRPr="00170D81">
        <w:rPr>
          <w:rFonts w:ascii="Times New Roman" w:hAnsi="Times New Roman" w:cs="Times New Roman"/>
        </w:rPr>
        <w:t xml:space="preserve"> Only English-language publications were included for consistency of interpretation.</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Topical Relevance:</w:t>
      </w:r>
      <w:r w:rsidRPr="00170D81">
        <w:rPr>
          <w:rFonts w:ascii="Times New Roman" w:hAnsi="Times New Roman" w:cs="Times New Roman"/>
        </w:rPr>
        <w:t xml:space="preserve"> Included studies had to examine </w:t>
      </w:r>
      <w:r w:rsidRPr="00170D81">
        <w:rPr>
          <w:rFonts w:ascii="Times New Roman" w:hAnsi="Times New Roman" w:cs="Times New Roman"/>
          <w:bCs/>
        </w:rPr>
        <w:t>at least one</w:t>
      </w:r>
      <w:r w:rsidRPr="00170D81">
        <w:rPr>
          <w:rFonts w:ascii="Times New Roman" w:hAnsi="Times New Roman" w:cs="Times New Roman"/>
        </w:rPr>
        <w:t xml:space="preserve"> of the core variables (household education expenditure, parenting style, self-perception) in relation to secondary-school students’ career decision-making. Studies focusing exclusively on early childhood or tertiary (college) education were excluded, unless they offered theoretical insights directly applicable to the secondary school context.</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Geographic Focus:</w:t>
      </w:r>
      <w:r w:rsidRPr="00170D81">
        <w:rPr>
          <w:rFonts w:ascii="Times New Roman" w:hAnsi="Times New Roman" w:cs="Times New Roman"/>
        </w:rPr>
        <w:t xml:space="preserve"> Global studies were included, but we emphasized literature from India (and specifically, Odisha) to enhance contextual relevance.</w:t>
      </w:r>
    </w:p>
    <w:p w:rsidR="009B00CF" w:rsidRPr="0076027C" w:rsidRDefault="009B00CF" w:rsidP="0076027C">
      <w:pPr>
        <w:pStyle w:val="Heading2"/>
        <w:spacing w:before="0" w:after="0"/>
        <w:jc w:val="both"/>
        <w:rPr>
          <w:sz w:val="24"/>
          <w:szCs w:val="24"/>
        </w:rPr>
      </w:pPr>
      <w:bookmarkStart w:id="6" w:name="study-selection-and-screening"/>
      <w:bookmarkEnd w:id="5"/>
      <w:r w:rsidRPr="0076027C">
        <w:rPr>
          <w:sz w:val="24"/>
          <w:szCs w:val="24"/>
        </w:rPr>
        <w:t>Study Selection and Screening</w:t>
      </w:r>
    </w:p>
    <w:p w:rsidR="009B00CF" w:rsidRPr="00170D81" w:rsidRDefault="009B00CF" w:rsidP="009B00CF">
      <w:pPr>
        <w:pStyle w:val="FirstParagraph"/>
        <w:spacing w:before="0" w:after="0" w:line="360" w:lineRule="auto"/>
        <w:ind w:firstLine="720"/>
        <w:jc w:val="both"/>
        <w:rPr>
          <w:rFonts w:ascii="Times New Roman" w:hAnsi="Times New Roman" w:cs="Times New Roman"/>
        </w:rPr>
      </w:pPr>
      <w:r w:rsidRPr="00170D81">
        <w:rPr>
          <w:rFonts w:ascii="Times New Roman" w:hAnsi="Times New Roman" w:cs="Times New Roman"/>
        </w:rPr>
        <w:t xml:space="preserve">All records identified by the searches were collated in a reference manager and deduplicated. The screening process followed a </w:t>
      </w:r>
      <w:r w:rsidRPr="00170D81">
        <w:rPr>
          <w:rFonts w:ascii="Times New Roman" w:hAnsi="Times New Roman" w:cs="Times New Roman"/>
          <w:bCs/>
        </w:rPr>
        <w:t>two-stage approach</w:t>
      </w:r>
      <w:r w:rsidRPr="00170D81">
        <w:rPr>
          <w:rFonts w:ascii="Times New Roman" w:hAnsi="Times New Roman" w:cs="Times New Roman"/>
        </w:rPr>
        <w:t>, as recommended by systematic review guidelines: first by titles/abstracts, then by full-text reviews. Two reviewers independently screened each record at both stages, in accordance with standards from Cochrane and other authorities. This independent dual screening minimizes bias and reduces the chance of missing relevant studies. Disagreements at either stage were resolved through discussion and, when necessary, by consulting a third reviewer. We documented the number of records at each step, in line with PRISMA reporting standards.</w:t>
      </w:r>
    </w:p>
    <w:p w:rsidR="009B00CF" w:rsidRPr="00170D81" w:rsidRDefault="009B00CF" w:rsidP="009B00CF">
      <w:pPr>
        <w:pStyle w:val="BodyText"/>
        <w:spacing w:before="0" w:after="0" w:line="360" w:lineRule="auto"/>
        <w:ind w:firstLine="720"/>
        <w:jc w:val="both"/>
        <w:rPr>
          <w:rFonts w:ascii="Times New Roman" w:hAnsi="Times New Roman" w:cs="Times New Roman"/>
        </w:rPr>
      </w:pPr>
      <w:r w:rsidRPr="00170D81">
        <w:rPr>
          <w:rFonts w:ascii="Times New Roman" w:hAnsi="Times New Roman" w:cs="Times New Roman"/>
        </w:rPr>
        <w:t xml:space="preserve">The initial search yielded </w:t>
      </w:r>
      <w:r w:rsidRPr="00170D81">
        <w:rPr>
          <w:rFonts w:ascii="Times New Roman" w:hAnsi="Times New Roman" w:cs="Times New Roman"/>
          <w:i/>
          <w:iCs/>
        </w:rPr>
        <w:t>X</w:t>
      </w:r>
      <w:r w:rsidRPr="00170D81">
        <w:rPr>
          <w:rFonts w:ascii="Times New Roman" w:hAnsi="Times New Roman" w:cs="Times New Roman"/>
        </w:rPr>
        <w:t xml:space="preserve"> records (e.g. </w:t>
      </w:r>
      <w:r w:rsidRPr="00170D81">
        <w:rPr>
          <w:rFonts w:ascii="Times New Roman" w:hAnsi="Times New Roman" w:cs="Times New Roman"/>
          <w:i/>
          <w:iCs/>
        </w:rPr>
        <w:t>Y</w:t>
      </w:r>
      <w:r w:rsidRPr="00170D81">
        <w:rPr>
          <w:rFonts w:ascii="Times New Roman" w:hAnsi="Times New Roman" w:cs="Times New Roman"/>
        </w:rPr>
        <w:t xml:space="preserve"> from Scopus, </w:t>
      </w:r>
      <w:r w:rsidRPr="00170D81">
        <w:rPr>
          <w:rFonts w:ascii="Times New Roman" w:hAnsi="Times New Roman" w:cs="Times New Roman"/>
          <w:i/>
          <w:iCs/>
        </w:rPr>
        <w:t>Z</w:t>
      </w:r>
      <w:r w:rsidRPr="00170D81">
        <w:rPr>
          <w:rFonts w:ascii="Times New Roman" w:hAnsi="Times New Roman" w:cs="Times New Roman"/>
        </w:rPr>
        <w:t xml:space="preserve"> from Web of Science, etc.). After removing duplicates, </w:t>
      </w:r>
      <w:r w:rsidRPr="00170D81">
        <w:rPr>
          <w:rFonts w:ascii="Times New Roman" w:hAnsi="Times New Roman" w:cs="Times New Roman"/>
          <w:i/>
          <w:iCs/>
        </w:rPr>
        <w:t>A</w:t>
      </w:r>
      <w:r w:rsidRPr="00170D81">
        <w:rPr>
          <w:rFonts w:ascii="Times New Roman" w:hAnsi="Times New Roman" w:cs="Times New Roman"/>
        </w:rPr>
        <w:t xml:space="preserve"> unique records remained. Title/abstract screening excluded </w:t>
      </w:r>
      <w:r w:rsidRPr="00170D81">
        <w:rPr>
          <w:rFonts w:ascii="Times New Roman" w:hAnsi="Times New Roman" w:cs="Times New Roman"/>
          <w:i/>
          <w:iCs/>
        </w:rPr>
        <w:t>B</w:t>
      </w:r>
      <w:r w:rsidRPr="00170D81">
        <w:rPr>
          <w:rFonts w:ascii="Times New Roman" w:hAnsi="Times New Roman" w:cs="Times New Roman"/>
        </w:rPr>
        <w:t xml:space="preserve"> records (not meeting relevance or design criteria), leaving </w:t>
      </w:r>
      <w:r w:rsidRPr="00170D81">
        <w:rPr>
          <w:rFonts w:ascii="Times New Roman" w:hAnsi="Times New Roman" w:cs="Times New Roman"/>
          <w:i/>
          <w:iCs/>
        </w:rPr>
        <w:t>C</w:t>
      </w:r>
      <w:r w:rsidRPr="00170D81">
        <w:rPr>
          <w:rFonts w:ascii="Times New Roman" w:hAnsi="Times New Roman" w:cs="Times New Roman"/>
        </w:rPr>
        <w:t xml:space="preserve"> studies for full-text review. Of those, </w:t>
      </w:r>
      <w:r w:rsidRPr="00170D81">
        <w:rPr>
          <w:rFonts w:ascii="Times New Roman" w:hAnsi="Times New Roman" w:cs="Times New Roman"/>
          <w:i/>
          <w:iCs/>
        </w:rPr>
        <w:t>D</w:t>
      </w:r>
      <w:r w:rsidRPr="00170D81">
        <w:rPr>
          <w:rFonts w:ascii="Times New Roman" w:hAnsi="Times New Roman" w:cs="Times New Roman"/>
        </w:rPr>
        <w:t xml:space="preserve"> studies met all inclusion criteria and were retained for analysis </w:t>
      </w:r>
      <w:r w:rsidRPr="00170D81">
        <w:rPr>
          <w:rFonts w:ascii="Times New Roman" w:hAnsi="Times New Roman" w:cs="Times New Roman"/>
        </w:rPr>
        <w:lastRenderedPageBreak/>
        <w:t>(Mentioned in PRISMA flow diagram). This detailed reporting of identification, screening, and inclusion aligns with PRISMA 2020 recommendations for transparency.</w:t>
      </w:r>
    </w:p>
    <w:p w:rsidR="009B00CF" w:rsidRPr="0076027C" w:rsidRDefault="009B00CF" w:rsidP="0076027C">
      <w:pPr>
        <w:pStyle w:val="Heading2"/>
        <w:spacing w:before="0" w:after="0"/>
        <w:jc w:val="both"/>
        <w:rPr>
          <w:sz w:val="24"/>
          <w:szCs w:val="24"/>
        </w:rPr>
      </w:pPr>
      <w:bookmarkStart w:id="7" w:name="data-extraction"/>
      <w:bookmarkEnd w:id="6"/>
      <w:r w:rsidRPr="0076027C">
        <w:rPr>
          <w:sz w:val="24"/>
          <w:szCs w:val="24"/>
        </w:rPr>
        <w:t>Data Extraction</w:t>
      </w:r>
    </w:p>
    <w:p w:rsidR="009B00CF" w:rsidRPr="00170D81" w:rsidRDefault="009B00CF" w:rsidP="009B00CF">
      <w:pPr>
        <w:pStyle w:val="FirstParagraph"/>
        <w:spacing w:before="0" w:after="0" w:line="360" w:lineRule="auto"/>
        <w:ind w:firstLine="720"/>
        <w:jc w:val="both"/>
        <w:rPr>
          <w:rFonts w:ascii="Times New Roman" w:hAnsi="Times New Roman" w:cs="Times New Roman"/>
        </w:rPr>
      </w:pPr>
      <w:r w:rsidRPr="00170D81">
        <w:rPr>
          <w:rFonts w:ascii="Times New Roman" w:hAnsi="Times New Roman" w:cs="Times New Roman"/>
        </w:rPr>
        <w:t>For each included study, two reviewers extracted data into a structured matrix. Extracted information included: publication details (authors, year, journal), country/region of study, study design and sample characteristics (age, gender breakdown, urban/rural setting), measures of parenting style, household education spending, and self-perception used, as well as key findings related to career decision-making. We also noted any theoretical frameworks or policy contexts discussed. This process ensured that all relevant information was systematically captured for synthesis.</w:t>
      </w:r>
    </w:p>
    <w:p w:rsidR="009B00CF" w:rsidRPr="00193FE1" w:rsidRDefault="009B00CF" w:rsidP="0076027C">
      <w:pPr>
        <w:pStyle w:val="Heading2"/>
        <w:spacing w:before="0" w:after="0"/>
        <w:jc w:val="both"/>
        <w:rPr>
          <w:sz w:val="24"/>
          <w:szCs w:val="24"/>
        </w:rPr>
      </w:pPr>
      <w:bookmarkStart w:id="8" w:name="data-analysis-and-synthesis"/>
      <w:bookmarkEnd w:id="7"/>
      <w:r w:rsidRPr="00193FE1">
        <w:rPr>
          <w:sz w:val="24"/>
          <w:szCs w:val="24"/>
        </w:rPr>
        <w:t>Data Analysis and Synthesis</w:t>
      </w:r>
    </w:p>
    <w:p w:rsidR="009B00CF" w:rsidRPr="00170D81" w:rsidRDefault="009B00CF" w:rsidP="009B00CF">
      <w:pPr>
        <w:pStyle w:val="FirstParagraph"/>
        <w:spacing w:before="0" w:after="0" w:line="360" w:lineRule="auto"/>
        <w:jc w:val="both"/>
        <w:rPr>
          <w:rFonts w:ascii="Times New Roman" w:hAnsi="Times New Roman" w:cs="Times New Roman"/>
        </w:rPr>
      </w:pPr>
      <w:r w:rsidRPr="00170D81">
        <w:rPr>
          <w:rFonts w:ascii="Times New Roman" w:hAnsi="Times New Roman" w:cs="Times New Roman"/>
        </w:rPr>
        <w:t xml:space="preserve">We combined </w:t>
      </w:r>
      <w:r w:rsidRPr="00170D81">
        <w:rPr>
          <w:rFonts w:ascii="Times New Roman" w:hAnsi="Times New Roman" w:cs="Times New Roman"/>
          <w:bCs/>
        </w:rPr>
        <w:t>bibliometric analysis</w:t>
      </w:r>
      <w:r w:rsidRPr="00170D81">
        <w:rPr>
          <w:rFonts w:ascii="Times New Roman" w:hAnsi="Times New Roman" w:cs="Times New Roman"/>
        </w:rPr>
        <w:t xml:space="preserve"> with </w:t>
      </w:r>
      <w:r w:rsidRPr="00170D81">
        <w:rPr>
          <w:rFonts w:ascii="Times New Roman" w:hAnsi="Times New Roman" w:cs="Times New Roman"/>
          <w:bCs/>
        </w:rPr>
        <w:t>thematic synthesis</w:t>
      </w:r>
      <w:r w:rsidRPr="00170D81">
        <w:rPr>
          <w:rFonts w:ascii="Times New Roman" w:hAnsi="Times New Roman" w:cs="Times New Roman"/>
        </w:rPr>
        <w:t xml:space="preserve"> to interrogate the literature.</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Publication Trends:</w:t>
      </w:r>
      <w:r w:rsidRPr="00170D81">
        <w:rPr>
          <w:rFonts w:ascii="Times New Roman" w:hAnsi="Times New Roman" w:cs="Times New Roman"/>
        </w:rPr>
        <w:t xml:space="preserve"> We charted the annual number of publications to identify growth trends and periods of accelerated research interest. A time-series graph (1983–2025) visualizes these patterns.</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Leading Authors and Journals:</w:t>
      </w:r>
      <w:r w:rsidRPr="00170D81">
        <w:rPr>
          <w:rFonts w:ascii="Times New Roman" w:hAnsi="Times New Roman" w:cs="Times New Roman"/>
        </w:rPr>
        <w:t xml:space="preserve"> We tabulated author productivity and citation counts to identify the most prolific and influential researchers. Similarly, we counted publications per journal to see which outlets are primary venues for this topic.</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Geographic Distribution:</w:t>
      </w:r>
      <w:r w:rsidRPr="00170D81">
        <w:rPr>
          <w:rFonts w:ascii="Times New Roman" w:hAnsi="Times New Roman" w:cs="Times New Roman"/>
        </w:rPr>
        <w:t xml:space="preserve"> We mapped the countries and institutions of authorship to highlight regional contributions. This analysis revealed which countries, especially developing ones like India, contribute heavily to the field.</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Keyword Co-Occurrence (Co-Word Analysis):</w:t>
      </w:r>
      <w:r w:rsidRPr="00170D81">
        <w:rPr>
          <w:rFonts w:ascii="Times New Roman" w:hAnsi="Times New Roman" w:cs="Times New Roman"/>
        </w:rPr>
        <w:t xml:space="preserve"> We analyzed author-supplied keywords across the included articles. Frequent keywords and their co-occurrence patterns were identified to uncover thematic clusters. Network diagram via VOSviewer was used to visualize how concepts such as </w:t>
      </w:r>
      <w:r w:rsidRPr="00170D81">
        <w:rPr>
          <w:rFonts w:ascii="Times New Roman" w:hAnsi="Times New Roman" w:cs="Times New Roman"/>
          <w:i/>
          <w:iCs/>
        </w:rPr>
        <w:t>gender</w:t>
      </w:r>
      <w:r w:rsidRPr="00170D81">
        <w:rPr>
          <w:rFonts w:ascii="Times New Roman" w:hAnsi="Times New Roman" w:cs="Times New Roman"/>
        </w:rPr>
        <w:t xml:space="preserve">, </w:t>
      </w:r>
      <w:r w:rsidRPr="00170D81">
        <w:rPr>
          <w:rFonts w:ascii="Times New Roman" w:hAnsi="Times New Roman" w:cs="Times New Roman"/>
          <w:i/>
          <w:iCs/>
        </w:rPr>
        <w:t>self-efficacy</w:t>
      </w:r>
      <w:r w:rsidRPr="00170D81">
        <w:rPr>
          <w:rFonts w:ascii="Times New Roman" w:hAnsi="Times New Roman" w:cs="Times New Roman"/>
        </w:rPr>
        <w:t xml:space="preserve">, </w:t>
      </w:r>
      <w:r w:rsidRPr="00170D81">
        <w:rPr>
          <w:rFonts w:ascii="Times New Roman" w:hAnsi="Times New Roman" w:cs="Times New Roman"/>
          <w:i/>
          <w:iCs/>
        </w:rPr>
        <w:t>parental influence</w:t>
      </w:r>
      <w:r w:rsidRPr="00170D81">
        <w:rPr>
          <w:rFonts w:ascii="Times New Roman" w:hAnsi="Times New Roman" w:cs="Times New Roman"/>
        </w:rPr>
        <w:t xml:space="preserve">, and </w:t>
      </w:r>
      <w:r w:rsidRPr="00170D81">
        <w:rPr>
          <w:rFonts w:ascii="Times New Roman" w:hAnsi="Times New Roman" w:cs="Times New Roman"/>
          <w:i/>
          <w:iCs/>
        </w:rPr>
        <w:t xml:space="preserve">educational expenses </w:t>
      </w:r>
      <w:r w:rsidRPr="00170D81">
        <w:rPr>
          <w:rFonts w:ascii="Times New Roman" w:hAnsi="Times New Roman" w:cs="Times New Roman"/>
        </w:rPr>
        <w:t>cluster together, indicating the structure of the research domain.</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Citation Network Analysis:</w:t>
      </w:r>
      <w:r w:rsidRPr="00170D81">
        <w:rPr>
          <w:rFonts w:ascii="Times New Roman" w:hAnsi="Times New Roman" w:cs="Times New Roman"/>
        </w:rPr>
        <w:t xml:space="preserve"> We examined how the included studies cite one another to trace the intellectual lineage of ideas. This citation mapping helped identify seminal works and show how concepts evolved over time.</w:t>
      </w:r>
    </w:p>
    <w:p w:rsidR="009B00CF" w:rsidRPr="00170D81" w:rsidRDefault="009B00CF" w:rsidP="009B00CF">
      <w:pPr>
        <w:pStyle w:val="FirstParagraph"/>
        <w:spacing w:before="0" w:after="0" w:line="360" w:lineRule="auto"/>
        <w:ind w:firstLine="720"/>
        <w:jc w:val="both"/>
        <w:rPr>
          <w:rFonts w:ascii="Times New Roman" w:hAnsi="Times New Roman" w:cs="Times New Roman"/>
        </w:rPr>
      </w:pPr>
      <w:r w:rsidRPr="00170D81">
        <w:rPr>
          <w:rFonts w:ascii="Times New Roman" w:hAnsi="Times New Roman" w:cs="Times New Roman"/>
        </w:rPr>
        <w:t>Together, these bibliometric analyses provided a quantitative mapping of the research landscape (authors, journals, geography, keyword clusters, citations).</w:t>
      </w:r>
    </w:p>
    <w:p w:rsidR="009B00CF" w:rsidRPr="00170D81" w:rsidRDefault="009B00CF" w:rsidP="009B00CF">
      <w:pPr>
        <w:pStyle w:val="BodyText"/>
        <w:spacing w:before="0" w:after="0"/>
        <w:rPr>
          <w:rFonts w:ascii="Times New Roman" w:hAnsi="Times New Roman" w:cs="Times New Roman"/>
        </w:rPr>
      </w:pPr>
      <w:r w:rsidRPr="00170D81">
        <w:rPr>
          <w:rFonts w:ascii="Times New Roman" w:hAnsi="Times New Roman" w:cs="Times New Roman"/>
        </w:rPr>
        <w:tab/>
      </w:r>
    </w:p>
    <w:p w:rsidR="009B00CF" w:rsidRPr="00170D81" w:rsidRDefault="009B00CF" w:rsidP="009B00CF">
      <w:pPr>
        <w:pStyle w:val="BodyText"/>
        <w:spacing w:before="0" w:after="0" w:line="360" w:lineRule="auto"/>
        <w:jc w:val="both"/>
        <w:rPr>
          <w:rFonts w:ascii="Times New Roman" w:hAnsi="Times New Roman" w:cs="Times New Roman"/>
        </w:rPr>
      </w:pPr>
      <w:r w:rsidRPr="00170D81">
        <w:rPr>
          <w:rFonts w:ascii="Times New Roman" w:hAnsi="Times New Roman" w:cs="Times New Roman"/>
        </w:rPr>
        <w:lastRenderedPageBreak/>
        <w:t xml:space="preserve">In parallel, we conducted a </w:t>
      </w:r>
      <w:r w:rsidRPr="00170D81">
        <w:rPr>
          <w:rFonts w:ascii="Times New Roman" w:hAnsi="Times New Roman" w:cs="Times New Roman"/>
          <w:bCs/>
        </w:rPr>
        <w:t>thematic analysis</w:t>
      </w:r>
      <w:r w:rsidRPr="00170D81">
        <w:rPr>
          <w:rFonts w:ascii="Times New Roman" w:hAnsi="Times New Roman" w:cs="Times New Roman"/>
        </w:rPr>
        <w:t xml:space="preserve"> of the study content, proceeding in stages:</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Coding:</w:t>
      </w:r>
      <w:r w:rsidRPr="00170D81">
        <w:rPr>
          <w:rFonts w:ascii="Times New Roman" w:hAnsi="Times New Roman" w:cs="Times New Roman"/>
        </w:rPr>
        <w:t xml:space="preserve"> Each article was read in full, and relevant passages were coded. We used both deductive codes (based on our research focus, e.g. “gender differences,” “rural context,” “parental expectations”) and inductive codes that emerged from the data. This combined approach ensured that predefined interests and novel themes were both captured.</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Theme Development:</w:t>
      </w:r>
      <w:r w:rsidRPr="00170D81">
        <w:rPr>
          <w:rFonts w:ascii="Times New Roman" w:hAnsi="Times New Roman" w:cs="Times New Roman"/>
        </w:rPr>
        <w:t xml:space="preserve"> Codes were iteratively grouped into broader themes and subthemes. For example, codes related to financial constraints, resource availability, and educational spending were grouped under a theme like </w:t>
      </w:r>
      <w:r w:rsidRPr="00170D81">
        <w:rPr>
          <w:rFonts w:ascii="Times New Roman" w:hAnsi="Times New Roman" w:cs="Times New Roman"/>
          <w:i/>
          <w:iCs/>
        </w:rPr>
        <w:t>“Household Educational Expenditure”</w:t>
      </w:r>
      <w:r w:rsidRPr="00170D81">
        <w:rPr>
          <w:rFonts w:ascii="Times New Roman" w:hAnsi="Times New Roman" w:cs="Times New Roman"/>
        </w:rPr>
        <w:t>. We refined themes through team discussion to ensure they accurately reflected the data.</w:t>
      </w:r>
    </w:p>
    <w:p w:rsidR="009B00CF" w:rsidRPr="00170D81" w:rsidRDefault="009B00CF" w:rsidP="009B00CF">
      <w:pPr>
        <w:pStyle w:val="Compact"/>
        <w:spacing w:before="0" w:after="0" w:line="360" w:lineRule="auto"/>
        <w:jc w:val="both"/>
        <w:rPr>
          <w:rFonts w:ascii="Times New Roman" w:hAnsi="Times New Roman" w:cs="Times New Roman"/>
        </w:rPr>
      </w:pPr>
      <w:r w:rsidRPr="00170D81">
        <w:rPr>
          <w:rFonts w:ascii="Times New Roman" w:hAnsi="Times New Roman" w:cs="Times New Roman"/>
          <w:b/>
          <w:bCs/>
        </w:rPr>
        <w:t>Cross-Comparison:</w:t>
      </w:r>
      <w:r w:rsidRPr="00170D81">
        <w:rPr>
          <w:rFonts w:ascii="Times New Roman" w:hAnsi="Times New Roman" w:cs="Times New Roman"/>
        </w:rPr>
        <w:t xml:space="preserve"> We systematically compared themes across key subgroups. Specifically, we examined how themes differed by student </w:t>
      </w:r>
      <w:r w:rsidRPr="00170D81">
        <w:rPr>
          <w:rFonts w:ascii="Times New Roman" w:hAnsi="Times New Roman" w:cs="Times New Roman"/>
          <w:bCs/>
        </w:rPr>
        <w:t>gender</w:t>
      </w:r>
      <w:r w:rsidRPr="00170D81">
        <w:rPr>
          <w:rFonts w:ascii="Times New Roman" w:hAnsi="Times New Roman" w:cs="Times New Roman"/>
        </w:rPr>
        <w:t xml:space="preserve"> (male vs. female) and by </w:t>
      </w:r>
      <w:r w:rsidRPr="00170D81">
        <w:rPr>
          <w:rFonts w:ascii="Times New Roman" w:hAnsi="Times New Roman" w:cs="Times New Roman"/>
          <w:bCs/>
        </w:rPr>
        <w:t>locality</w:t>
      </w:r>
      <w:r w:rsidRPr="00170D81">
        <w:rPr>
          <w:rFonts w:ascii="Times New Roman" w:hAnsi="Times New Roman" w:cs="Times New Roman"/>
        </w:rPr>
        <w:t xml:space="preserve"> (urban vs. rural). This cross-demographic analysis highlighted differences (and similarities) in career decision-making influences; for example, whether parental education expectations had different impacts for boys versus girls, or in urban versus rural schools.</w:t>
      </w:r>
    </w:p>
    <w:p w:rsidR="009B00CF" w:rsidRPr="00170D81" w:rsidRDefault="009B00CF" w:rsidP="009B00CF">
      <w:pPr>
        <w:pStyle w:val="Compact"/>
        <w:spacing w:before="0" w:after="0"/>
        <w:ind w:left="360"/>
        <w:jc w:val="both"/>
        <w:rPr>
          <w:rFonts w:ascii="Times New Roman" w:hAnsi="Times New Roman" w:cs="Times New Roman"/>
        </w:rPr>
      </w:pPr>
    </w:p>
    <w:p w:rsidR="009B00CF" w:rsidRDefault="009B00CF" w:rsidP="006B2871">
      <w:pPr>
        <w:pStyle w:val="FirstParagraph"/>
        <w:spacing w:before="0" w:after="0" w:line="360" w:lineRule="auto"/>
        <w:ind w:firstLine="720"/>
        <w:jc w:val="both"/>
        <w:rPr>
          <w:rFonts w:ascii="Times New Roman" w:hAnsi="Times New Roman" w:cs="Times New Roman"/>
        </w:rPr>
      </w:pPr>
      <w:r w:rsidRPr="00170D81">
        <w:rPr>
          <w:rFonts w:ascii="Times New Roman" w:hAnsi="Times New Roman" w:cs="Times New Roman"/>
        </w:rPr>
        <w:t>Finally, we synthesized the findings narratively. This involved weaving together the thematic insights with contextual interpretation. We paid particular attention to how the identified themes intersect with cultural and policy factors (e.g. gender norms in education, regional economic conditions). Through this narrative synthesis, we explored areas of consensus and divergence in the literature, and discussed the implications of family education expenditure, parenting style, and self-perception on career choices in context.</w:t>
      </w:r>
      <w:r w:rsidR="006B2871">
        <w:rPr>
          <w:rFonts w:ascii="Times New Roman" w:hAnsi="Times New Roman" w:cs="Times New Roman"/>
        </w:rPr>
        <w:t xml:space="preserve"> </w:t>
      </w:r>
      <w:r w:rsidRPr="00170D81">
        <w:rPr>
          <w:rFonts w:ascii="Times New Roman" w:hAnsi="Times New Roman" w:cs="Times New Roman"/>
        </w:rPr>
        <w:t xml:space="preserve">By integrating systematic search, bibliometric mapping, and thematic/narrative interpretation, this methodology provides a comprehensive and nuanced synthesis of the literature on adolescent career decision-making.  </w:t>
      </w:r>
    </w:p>
    <w:p w:rsidR="00193FE1" w:rsidRDefault="00193FE1" w:rsidP="009B00CF">
      <w:pPr>
        <w:pStyle w:val="BodyText"/>
        <w:spacing w:before="0" w:after="0" w:line="360" w:lineRule="auto"/>
        <w:ind w:firstLine="720"/>
        <w:jc w:val="both"/>
        <w:rPr>
          <w:rFonts w:ascii="Times New Roman" w:hAnsi="Times New Roman" w:cs="Times New Roman"/>
        </w:rPr>
      </w:pPr>
    </w:p>
    <w:p w:rsidR="00193FE1" w:rsidRDefault="00193FE1" w:rsidP="009B00CF">
      <w:pPr>
        <w:pStyle w:val="BodyText"/>
        <w:spacing w:before="0" w:after="0" w:line="360" w:lineRule="auto"/>
        <w:ind w:firstLine="720"/>
        <w:jc w:val="both"/>
        <w:rPr>
          <w:rFonts w:ascii="Times New Roman" w:hAnsi="Times New Roman" w:cs="Times New Roman"/>
        </w:rPr>
      </w:pPr>
    </w:p>
    <w:p w:rsidR="0076027C" w:rsidRDefault="0076027C" w:rsidP="009B00CF">
      <w:pPr>
        <w:pStyle w:val="BodyText"/>
        <w:spacing w:before="0" w:after="0" w:line="360" w:lineRule="auto"/>
        <w:ind w:firstLine="720"/>
        <w:jc w:val="both"/>
        <w:rPr>
          <w:rFonts w:ascii="Times New Roman" w:hAnsi="Times New Roman" w:cs="Times New Roman"/>
        </w:rPr>
      </w:pPr>
    </w:p>
    <w:p w:rsidR="0076027C" w:rsidRDefault="0076027C" w:rsidP="009B00CF">
      <w:pPr>
        <w:pStyle w:val="BodyText"/>
        <w:spacing w:before="0" w:after="0" w:line="360" w:lineRule="auto"/>
        <w:ind w:firstLine="720"/>
        <w:jc w:val="both"/>
        <w:rPr>
          <w:rFonts w:ascii="Times New Roman" w:hAnsi="Times New Roman" w:cs="Times New Roman"/>
        </w:rPr>
      </w:pPr>
    </w:p>
    <w:p w:rsidR="0076027C" w:rsidRDefault="0076027C" w:rsidP="009B00CF">
      <w:pPr>
        <w:pStyle w:val="BodyText"/>
        <w:spacing w:before="0" w:after="0" w:line="360" w:lineRule="auto"/>
        <w:ind w:firstLine="720"/>
        <w:jc w:val="both"/>
        <w:rPr>
          <w:rFonts w:ascii="Times New Roman" w:hAnsi="Times New Roman" w:cs="Times New Roman"/>
        </w:rPr>
      </w:pPr>
    </w:p>
    <w:p w:rsidR="0076027C" w:rsidRDefault="0076027C" w:rsidP="009B00CF">
      <w:pPr>
        <w:pStyle w:val="BodyText"/>
        <w:spacing w:before="0" w:after="0" w:line="360" w:lineRule="auto"/>
        <w:ind w:firstLine="720"/>
        <w:jc w:val="both"/>
        <w:rPr>
          <w:rFonts w:ascii="Times New Roman" w:hAnsi="Times New Roman" w:cs="Times New Roman"/>
        </w:rPr>
      </w:pPr>
    </w:p>
    <w:p w:rsidR="0076027C" w:rsidRDefault="0076027C" w:rsidP="009B00CF">
      <w:pPr>
        <w:pStyle w:val="BodyText"/>
        <w:spacing w:before="0" w:after="0" w:line="360" w:lineRule="auto"/>
        <w:ind w:firstLine="720"/>
        <w:jc w:val="both"/>
        <w:rPr>
          <w:rFonts w:ascii="Times New Roman" w:hAnsi="Times New Roman" w:cs="Times New Roman"/>
        </w:rPr>
      </w:pPr>
    </w:p>
    <w:p w:rsidR="00193FE1" w:rsidRDefault="00193FE1" w:rsidP="009B00CF">
      <w:pPr>
        <w:pStyle w:val="BodyText"/>
        <w:spacing w:before="0" w:after="0" w:line="360" w:lineRule="auto"/>
        <w:ind w:firstLine="720"/>
        <w:jc w:val="both"/>
        <w:rPr>
          <w:rFonts w:ascii="Times New Roman" w:hAnsi="Times New Roman" w:cs="Times New Roman"/>
        </w:rPr>
      </w:pPr>
    </w:p>
    <w:p w:rsidR="00193FE1" w:rsidRPr="00170D81" w:rsidRDefault="00193FE1" w:rsidP="009B00CF">
      <w:pPr>
        <w:pStyle w:val="BodyText"/>
        <w:spacing w:before="0" w:after="0" w:line="360" w:lineRule="auto"/>
        <w:ind w:firstLine="720"/>
        <w:jc w:val="both"/>
        <w:rPr>
          <w:rFonts w:ascii="Times New Roman" w:hAnsi="Times New Roman" w:cs="Times New Roman"/>
        </w:rPr>
      </w:pPr>
    </w:p>
    <w:bookmarkEnd w:id="1"/>
    <w:bookmarkEnd w:id="2"/>
    <w:bookmarkEnd w:id="8"/>
    <w:p w:rsidR="009B00CF" w:rsidRPr="00170D81" w:rsidRDefault="009B00CF" w:rsidP="009B00CF">
      <w:pPr>
        <w:pStyle w:val="BodyText"/>
        <w:spacing w:before="0" w:after="0"/>
        <w:ind w:firstLine="720"/>
        <w:jc w:val="both"/>
        <w:rPr>
          <w:rFonts w:ascii="Times New Roman" w:hAnsi="Times New Roman" w:cs="Times New Roman"/>
        </w:rPr>
      </w:pPr>
    </w:p>
    <w:p w:rsidR="009B00CF" w:rsidRPr="00170D81" w:rsidRDefault="009B00CF" w:rsidP="009B00CF">
      <w:pPr>
        <w:spacing w:after="0" w:line="240" w:lineRule="auto"/>
        <w:jc w:val="center"/>
        <w:rPr>
          <w:rFonts w:ascii="Times New Roman" w:hAnsi="Times New Roman" w:cs="Times New Roman"/>
          <w:b/>
        </w:rPr>
      </w:pPr>
      <w:r w:rsidRPr="00170D81">
        <w:rPr>
          <w:rFonts w:ascii="Times New Roman" w:hAnsi="Times New Roman" w:cs="Times New Roman"/>
          <w:b/>
        </w:rPr>
        <w:lastRenderedPageBreak/>
        <w:t>Figure-1: PRISMA 2020 Flow Diagram</w:t>
      </w:r>
    </w:p>
    <w:p w:rsidR="009B00CF" w:rsidRPr="00170D81" w:rsidRDefault="009B00CF" w:rsidP="009B00CF">
      <w:pPr>
        <w:pStyle w:val="NormalWeb"/>
        <w:jc w:val="center"/>
      </w:pPr>
      <w:r w:rsidRPr="00170D81">
        <w:rPr>
          <w:noProof/>
        </w:rPr>
        <w:drawing>
          <wp:inline distT="0" distB="0" distL="0" distR="0">
            <wp:extent cx="5057775" cy="3371850"/>
            <wp:effectExtent l="19050" t="19050" r="28575" b="19050"/>
            <wp:docPr id="11" name="Picture 3" descr="C:\Users\CUO\Downloads\PRISMA_2020_Flow_Diagram_With_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UO\Downloads\PRISMA_2020_Flow_Diagram_With_Title.png"/>
                    <pic:cNvPicPr>
                      <a:picLocks noChangeAspect="1" noChangeArrowheads="1"/>
                    </pic:cNvPicPr>
                  </pic:nvPicPr>
                  <pic:blipFill>
                    <a:blip r:embed="rId8"/>
                    <a:srcRect/>
                    <a:stretch>
                      <a:fillRect/>
                    </a:stretch>
                  </pic:blipFill>
                  <pic:spPr bwMode="auto">
                    <a:xfrm>
                      <a:off x="0" y="0"/>
                      <a:ext cx="5059911" cy="3373274"/>
                    </a:xfrm>
                    <a:prstGeom prst="rect">
                      <a:avLst/>
                    </a:prstGeom>
                    <a:noFill/>
                    <a:ln w="9525">
                      <a:solidFill>
                        <a:schemeClr val="tx1"/>
                      </a:solidFill>
                      <a:miter lim="800000"/>
                      <a:headEnd/>
                      <a:tailEnd/>
                    </a:ln>
                  </pic:spPr>
                </pic:pic>
              </a:graphicData>
            </a:graphic>
          </wp:inline>
        </w:drawing>
      </w:r>
    </w:p>
    <w:p w:rsidR="009B00CF" w:rsidRPr="00170D81" w:rsidRDefault="009B00CF" w:rsidP="009B00CF">
      <w:pPr>
        <w:spacing w:after="0" w:line="360" w:lineRule="auto"/>
        <w:jc w:val="both"/>
        <w:rPr>
          <w:rFonts w:ascii="Times New Roman" w:hAnsi="Times New Roman" w:cs="Times New Roman"/>
        </w:rPr>
      </w:pPr>
    </w:p>
    <w:p w:rsidR="009B00CF" w:rsidRPr="00170D81" w:rsidRDefault="009B00CF" w:rsidP="009B00CF">
      <w:pPr>
        <w:spacing w:after="0"/>
        <w:jc w:val="center"/>
        <w:rPr>
          <w:rFonts w:ascii="Times New Roman" w:hAnsi="Times New Roman" w:cs="Times New Roman"/>
          <w:b/>
        </w:rPr>
      </w:pPr>
      <w:r w:rsidRPr="00170D81">
        <w:rPr>
          <w:rFonts w:ascii="Times New Roman" w:hAnsi="Times New Roman" w:cs="Times New Roman"/>
          <w:b/>
        </w:rPr>
        <w:t>Figure-2: VOSviewer-style Network Diagram</w:t>
      </w:r>
    </w:p>
    <w:p w:rsidR="009B00CF" w:rsidRPr="00170D81" w:rsidRDefault="009B00CF" w:rsidP="009B00CF">
      <w:pPr>
        <w:spacing w:after="0" w:line="240" w:lineRule="auto"/>
        <w:jc w:val="both"/>
        <w:rPr>
          <w:rFonts w:ascii="Times New Roman" w:hAnsi="Times New Roman" w:cs="Times New Roman"/>
        </w:rPr>
      </w:pPr>
    </w:p>
    <w:p w:rsidR="009B00CF" w:rsidRPr="00170D81" w:rsidRDefault="009B00CF" w:rsidP="009B00CF">
      <w:pPr>
        <w:spacing w:after="0" w:line="360" w:lineRule="auto"/>
        <w:jc w:val="center"/>
        <w:rPr>
          <w:rFonts w:ascii="Times New Roman" w:hAnsi="Times New Roman" w:cs="Times New Roman"/>
        </w:rPr>
      </w:pPr>
      <w:r w:rsidRPr="00170D81">
        <w:rPr>
          <w:rFonts w:ascii="Times New Roman" w:hAnsi="Times New Roman" w:cs="Times New Roman"/>
          <w:noProof/>
        </w:rPr>
        <w:drawing>
          <wp:inline distT="0" distB="0" distL="0" distR="0">
            <wp:extent cx="4822190" cy="3548358"/>
            <wp:effectExtent l="19050" t="19050" r="16510" b="13992"/>
            <wp:docPr id="14" name="Picture 12" descr="C:\Users\CUO\Downloads\VOSviewer_Keyword_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UO\Downloads\VOSviewer_Keyword_Network.jpg"/>
                    <pic:cNvPicPr>
                      <a:picLocks noChangeAspect="1" noChangeArrowheads="1"/>
                    </pic:cNvPicPr>
                  </pic:nvPicPr>
                  <pic:blipFill>
                    <a:blip r:embed="rId9" cstate="print"/>
                    <a:srcRect/>
                    <a:stretch>
                      <a:fillRect/>
                    </a:stretch>
                  </pic:blipFill>
                  <pic:spPr bwMode="auto">
                    <a:xfrm>
                      <a:off x="0" y="0"/>
                      <a:ext cx="4821301" cy="3547704"/>
                    </a:xfrm>
                    <a:prstGeom prst="rect">
                      <a:avLst/>
                    </a:prstGeom>
                    <a:noFill/>
                    <a:ln w="9525">
                      <a:solidFill>
                        <a:schemeClr val="tx1"/>
                      </a:solidFill>
                      <a:miter lim="800000"/>
                      <a:headEnd/>
                      <a:tailEnd/>
                    </a:ln>
                  </pic:spPr>
                </pic:pic>
              </a:graphicData>
            </a:graphic>
          </wp:inline>
        </w:drawing>
      </w:r>
    </w:p>
    <w:p w:rsidR="009B00CF" w:rsidRDefault="009B00CF" w:rsidP="009B00CF">
      <w:pPr>
        <w:spacing w:after="0" w:line="360" w:lineRule="auto"/>
        <w:jc w:val="center"/>
        <w:rPr>
          <w:rFonts w:ascii="Times New Roman" w:hAnsi="Times New Roman" w:cs="Times New Roman"/>
        </w:rPr>
      </w:pPr>
    </w:p>
    <w:p w:rsidR="0076027C" w:rsidRDefault="0076027C" w:rsidP="009B00CF">
      <w:pPr>
        <w:spacing w:after="0" w:line="360" w:lineRule="auto"/>
        <w:jc w:val="center"/>
        <w:rPr>
          <w:rFonts w:ascii="Times New Roman" w:hAnsi="Times New Roman" w:cs="Times New Roman"/>
        </w:rPr>
      </w:pPr>
    </w:p>
    <w:p w:rsidR="00193FE1" w:rsidRPr="00170D81" w:rsidRDefault="00193FE1" w:rsidP="009B00CF">
      <w:pPr>
        <w:spacing w:after="0" w:line="360" w:lineRule="auto"/>
        <w:jc w:val="center"/>
        <w:rPr>
          <w:rFonts w:ascii="Times New Roman" w:hAnsi="Times New Roman" w:cs="Times New Roman"/>
        </w:rPr>
      </w:pPr>
    </w:p>
    <w:p w:rsidR="009B00CF" w:rsidRPr="00170D81" w:rsidRDefault="009B00CF" w:rsidP="009B00CF">
      <w:pPr>
        <w:spacing w:after="0"/>
        <w:jc w:val="center"/>
        <w:rPr>
          <w:rFonts w:ascii="Times New Roman" w:hAnsi="Times New Roman" w:cs="Times New Roman"/>
          <w:b/>
        </w:rPr>
      </w:pPr>
      <w:r w:rsidRPr="00170D81">
        <w:rPr>
          <w:rFonts w:ascii="Times New Roman" w:hAnsi="Times New Roman" w:cs="Times New Roman"/>
          <w:b/>
        </w:rPr>
        <w:lastRenderedPageBreak/>
        <w:t>Figure-3: Bibliometric Mapping Diagram</w:t>
      </w:r>
    </w:p>
    <w:p w:rsidR="009B00CF" w:rsidRPr="00170D81" w:rsidRDefault="009B00CF" w:rsidP="009B00CF">
      <w:pPr>
        <w:spacing w:after="0" w:line="240" w:lineRule="auto"/>
        <w:jc w:val="center"/>
        <w:rPr>
          <w:rFonts w:ascii="Times New Roman" w:hAnsi="Times New Roman" w:cs="Times New Roman"/>
        </w:rPr>
      </w:pPr>
    </w:p>
    <w:p w:rsidR="009B00CF" w:rsidRPr="00170D81" w:rsidRDefault="009B00CF" w:rsidP="009B00CF">
      <w:pPr>
        <w:spacing w:after="0" w:line="360" w:lineRule="auto"/>
        <w:jc w:val="center"/>
        <w:rPr>
          <w:rFonts w:ascii="Times New Roman" w:hAnsi="Times New Roman" w:cs="Times New Roman"/>
          <w:sz w:val="24"/>
          <w:szCs w:val="24"/>
        </w:rPr>
      </w:pPr>
      <w:r w:rsidRPr="00170D81">
        <w:rPr>
          <w:rFonts w:ascii="Times New Roman" w:hAnsi="Times New Roman" w:cs="Times New Roman"/>
          <w:noProof/>
        </w:rPr>
        <w:drawing>
          <wp:inline distT="0" distB="0" distL="0" distR="0">
            <wp:extent cx="4622800" cy="3652520"/>
            <wp:effectExtent l="19050" t="19050" r="25400" b="24130"/>
            <wp:docPr id="15" name="Picture 13" descr="C:\Users\CUO\Downloads\Bibliometric_Keyword_Cooccurrence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UO\Downloads\Bibliometric_Keyword_Cooccurrence_Map.jpg"/>
                    <pic:cNvPicPr>
                      <a:picLocks noChangeAspect="1" noChangeArrowheads="1"/>
                    </pic:cNvPicPr>
                  </pic:nvPicPr>
                  <pic:blipFill>
                    <a:blip r:embed="rId10" cstate="print"/>
                    <a:srcRect/>
                    <a:stretch>
                      <a:fillRect/>
                    </a:stretch>
                  </pic:blipFill>
                  <pic:spPr bwMode="auto">
                    <a:xfrm>
                      <a:off x="0" y="0"/>
                      <a:ext cx="4625502" cy="3654655"/>
                    </a:xfrm>
                    <a:prstGeom prst="rect">
                      <a:avLst/>
                    </a:prstGeom>
                    <a:noFill/>
                    <a:ln w="9525">
                      <a:solidFill>
                        <a:schemeClr val="tx1"/>
                      </a:solidFill>
                      <a:miter lim="800000"/>
                      <a:headEnd/>
                      <a:tailEnd/>
                    </a:ln>
                  </pic:spPr>
                </pic:pic>
              </a:graphicData>
            </a:graphic>
          </wp:inline>
        </w:drawing>
      </w:r>
    </w:p>
    <w:p w:rsidR="00BA4EE2" w:rsidRPr="00422DAD" w:rsidRDefault="00193FE1" w:rsidP="00BA4EE2">
      <w:pPr>
        <w:pStyle w:val="Heading1"/>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T</w:t>
      </w:r>
      <w:r w:rsidR="00B9584F" w:rsidRPr="00422DAD">
        <w:rPr>
          <w:rStyle w:val="Strong"/>
          <w:rFonts w:ascii="Times New Roman" w:hAnsi="Times New Roman" w:cs="Times New Roman"/>
          <w:b/>
          <w:bCs/>
          <w:color w:val="auto"/>
          <w:sz w:val="24"/>
          <w:szCs w:val="24"/>
        </w:rPr>
        <w:t>HEMATIC LITERATURE REVIEW</w:t>
      </w:r>
    </w:p>
    <w:p w:rsidR="00C31D84" w:rsidRPr="00422DAD" w:rsidRDefault="00C31D84" w:rsidP="00DC4340">
      <w:pPr>
        <w:spacing w:after="0" w:line="360" w:lineRule="auto"/>
        <w:ind w:firstLine="720"/>
        <w:jc w:val="both"/>
        <w:rPr>
          <w:rFonts w:ascii="Times New Roman" w:hAnsi="Times New Roman" w:cs="Times New Roman"/>
          <w:sz w:val="24"/>
          <w:szCs w:val="24"/>
        </w:rPr>
      </w:pPr>
      <w:r w:rsidRPr="00422DAD">
        <w:rPr>
          <w:rFonts w:ascii="Times New Roman" w:hAnsi="Times New Roman" w:cs="Times New Roman"/>
          <w:sz w:val="24"/>
          <w:szCs w:val="24"/>
        </w:rPr>
        <w:t>This section presents a structured synthesis of the reviewed literature through a thematic lens, organizing evidence around core determinants of career decision-making among secondary school students. The thematic approach enables systematic comparison across individual, familial, and contextual factors, while maintaining alignment with the study’s research questions and objectives. Each theme consolidates findings from global, national, and regional studies to highlight patterns, contextual variations, and emerging insights relevant to gender, locality, and socio-economic conditions.</w:t>
      </w:r>
    </w:p>
    <w:p w:rsidR="00BA4EE2" w:rsidRPr="00422DAD" w:rsidRDefault="00B9584F" w:rsidP="00C31D84">
      <w:pPr>
        <w:pStyle w:val="Heading2"/>
        <w:spacing w:after="0" w:afterAutospacing="0" w:line="360" w:lineRule="auto"/>
        <w:jc w:val="both"/>
        <w:rPr>
          <w:sz w:val="24"/>
          <w:szCs w:val="24"/>
        </w:rPr>
      </w:pPr>
      <w:r w:rsidRPr="00422DAD">
        <w:rPr>
          <w:rStyle w:val="Strong"/>
          <w:b/>
          <w:bCs/>
          <w:sz w:val="24"/>
          <w:szCs w:val="24"/>
        </w:rPr>
        <w:t>THEME 1: CAREER DECISION-MAKING AND GENDER (MALE–FEMALE)</w:t>
      </w:r>
    </w:p>
    <w:p w:rsidR="00DC4340" w:rsidRPr="00422DAD" w:rsidRDefault="00BA4EE2" w:rsidP="00DC4340">
      <w:pPr>
        <w:pStyle w:val="NormalWeb"/>
        <w:spacing w:before="0" w:beforeAutospacing="0" w:after="0" w:afterAutospacing="0" w:line="360" w:lineRule="auto"/>
        <w:ind w:firstLine="720"/>
        <w:jc w:val="both"/>
      </w:pPr>
      <w:r w:rsidRPr="00422DAD">
        <w:t xml:space="preserve">Gender significantly shapes career decision-making among secondary school students by influencing aspirations, perceived barriers, self-efficacy, and external expectations. Evidence shows that adolescents’ preferences often align with traditional gender roles, with females tending toward education, healthcare, and humanities, while males more frequently favour engineering, technology, and business (Olmos-Gómez et al., 2021; Asghar &amp; Ajmal, 2022). These patterns are reinforced by societal norms, parental conditioning, and institutional pathways (OECD, 2019), and may emerge early through Grade 10 subject </w:t>
      </w:r>
      <w:r w:rsidRPr="00422DAD">
        <w:lastRenderedPageBreak/>
        <w:t>selection (Lundberg, 2020).Gendered differences in self-perception and self-efficacy further affect career trajectories. Males commonly report higher academic self-confidence, whereas females may demonstrate stronger general well-being, shaping willingness to consider non-traditional fields (Bandura, 1997; Eccles, 2011). Research also indicates domain-specific self-efficacy patterns: males express greater confidence in traditionally male-dominated fields even when ability is comparable, while females show higher self-efficacy in gender-congruent domains (Lent et al., 2005). Females may experience greater career indecision, shaped by perceived options and work–life balance expectations, while males face pressures toward high-earning occupations (Buser De, 2021; Lent et al., 2005).</w:t>
      </w:r>
    </w:p>
    <w:p w:rsidR="00BA4EE2" w:rsidRPr="00422DAD" w:rsidRDefault="00BA4EE2" w:rsidP="00DC4340">
      <w:pPr>
        <w:pStyle w:val="NormalWeb"/>
        <w:spacing w:before="0" w:beforeAutospacing="0" w:after="0" w:afterAutospacing="0" w:line="360" w:lineRule="auto"/>
        <w:ind w:firstLine="720"/>
        <w:jc w:val="both"/>
      </w:pPr>
      <w:r w:rsidRPr="00422DAD">
        <w:t>Parental influence is frequently gendered, including differential educational investment favouring boys in some contexts, which can shape long-term aspirations and opportunities (Kingdon, 2005; Datta &amp; Kingdon, 2019). Although gender gaps in attainment have narrowed, disparities in career choices remain persistent (NCERT, 2020). Cross-cultural evidence suggests that collectivistic societies enforce more rigid gender</w:t>
      </w:r>
      <w:r w:rsidR="00D9267E">
        <w:t xml:space="preserve"> norms, with stronger familial effect</w:t>
      </w:r>
      <w:r w:rsidRPr="00422DAD">
        <w:t xml:space="preserve"> than individualistic cultures (Fouad et al., 2015; Kim et al., 2015), underscoring the need for equity-oriented career guidance. Broader disruptions, including COVID-19, have amplified gendered inequalities in labour and domestic roles, potentially influencing adolescents’ career outlooks (UNESCO, 2021). Context-dependent patterns are evident: in Kenya, gender differences appear in career priorities though parental influence may not differ significantly (Edwards &amp; Quinter, 2011), while in China and Iran gender </w:t>
      </w:r>
      <w:r w:rsidR="00D9267E">
        <w:t>controls</w:t>
      </w:r>
      <w:r w:rsidRPr="00422DAD">
        <w:t xml:space="preserve"> the effects of parenting on self-concept and self-efficacy (Keshavarz &amp; Mounts, 2017; Wang, 2025).</w:t>
      </w:r>
    </w:p>
    <w:p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2: CAREER DECISION-MAKING AND LOCALITY (URBAN–RURAL)</w:t>
      </w:r>
    </w:p>
    <w:p w:rsidR="00DC4340" w:rsidRPr="00422DAD" w:rsidRDefault="00BA4EE2" w:rsidP="00DC4340">
      <w:pPr>
        <w:pStyle w:val="NormalWeb"/>
        <w:spacing w:before="0" w:beforeAutospacing="0" w:after="0" w:afterAutospacing="0" w:line="360" w:lineRule="auto"/>
        <w:ind w:firstLine="720"/>
        <w:jc w:val="both"/>
      </w:pPr>
      <w:r w:rsidRPr="00422DAD">
        <w:t xml:space="preserve">Locality shapes career decision-making by influencing access to educational resources, career information, and role models. Urban students typically benefit from exposure to diverse institutions, specialized subjects, and more comprehensive counseling support, which broadens aspirations and facilitates informed decision-making (Kumar &amp; Sharma, 2022; Ministry of Education, 2021). Proximity to higher education institutions and wider labour markets further expands perceived opportunities (OECD, 2020).In contrast, rural students often face constrained infrastructure, limited advanced study options, and fewer professional role models, narrowing awareness of career possibilities (Singh &amp; Verma, 2021). Rural career choices are frequently shaped by local labour markets, family occupations, and socio-economic constraints, with parental expectations sometimes oriented toward early </w:t>
      </w:r>
      <w:r w:rsidRPr="00422DAD">
        <w:lastRenderedPageBreak/>
        <w:t>employment rather than extended education (NCERT, 2020). Socio-economic status intensifies locality-based inequality, as rural households tend to have lower income and education levels, limiting investment in schooling and guidance (World Bank, 2022).</w:t>
      </w:r>
    </w:p>
    <w:p w:rsidR="00BA4EE2" w:rsidRPr="00422DAD" w:rsidRDefault="00BA4EE2" w:rsidP="00DC4340">
      <w:pPr>
        <w:pStyle w:val="NormalWeb"/>
        <w:spacing w:before="0" w:beforeAutospacing="0" w:after="0" w:afterAutospacing="0" w:line="360" w:lineRule="auto"/>
        <w:ind w:firstLine="720"/>
        <w:jc w:val="both"/>
      </w:pPr>
      <w:r w:rsidRPr="00422DAD">
        <w:t>Policy initiatives such as NEP 2020 aim to reduce these disparities by promoting equitable access and vocational training across regions (NEP, 2020). However, persistent differences in educational quality, teacher availability, guidance services, and digital access continue to produce divergent academic and career trajectories across urban and rural contexts (Kumar &amp; Sharma, 2022; Singh &amp; Verma, 2021; OECD, 2020). The literature also remains urban-centric, with rural students underrepresented despite distinctive contextual challenges (Tilak, 2002; Petrin, Schafft, &amp;</w:t>
      </w:r>
      <w:r w:rsidR="009F27E4">
        <w:t xml:space="preserve"> </w:t>
      </w:r>
      <w:r w:rsidRPr="00422DAD">
        <w:t>Meece, 2014).</w:t>
      </w:r>
    </w:p>
    <w:p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3: CAREER DECISION-MAKING AND PARENTING STYLE</w:t>
      </w:r>
    </w:p>
    <w:p w:rsidR="00DC4340" w:rsidRPr="00422DAD" w:rsidRDefault="00BA4EE2" w:rsidP="00DC4340">
      <w:pPr>
        <w:pStyle w:val="NormalWeb"/>
        <w:spacing w:before="0" w:beforeAutospacing="0" w:after="0" w:afterAutospacing="0" w:line="360" w:lineRule="auto"/>
        <w:ind w:firstLine="720"/>
        <w:jc w:val="both"/>
      </w:pPr>
      <w:r w:rsidRPr="00422DAD">
        <w:t>Parenting style is a key influence on adolescents’ career decision-making through its impact on self-efficacy, academic engagement, and career exploration. The literature commonly categorizes parenting into authoritative, authoritarian, permissive, and uninvolved styles, each associated with distinct developmental outcomes (Baumrind, 1991; Darling &amp; Steinberg</w:t>
      </w:r>
      <w:r w:rsidR="00E35713">
        <w:t xml:space="preserve">, 1993).Authoritative parenting </w:t>
      </w:r>
      <w:r w:rsidRPr="00422DAD">
        <w:t>high wa</w:t>
      </w:r>
      <w:r w:rsidR="00E35713">
        <w:t xml:space="preserve">rmth combined with firm control </w:t>
      </w:r>
      <w:r w:rsidRPr="00422DAD">
        <w:t>consistently supports positive academic outcomes, autonomy, higher self-esteem, and confident career decision-making (Pinquart</w:t>
      </w:r>
      <w:r w:rsidR="009F27E4">
        <w:t xml:space="preserve"> </w:t>
      </w:r>
      <w:r w:rsidRPr="00422DAD">
        <w:t>&amp;</w:t>
      </w:r>
      <w:r w:rsidR="009F27E4">
        <w:t xml:space="preserve"> </w:t>
      </w:r>
      <w:r w:rsidRPr="00422DAD">
        <w:t>Silbereisen, 2004; Schultheiss, 2006). These parents provide guidance through clear expectations, open communication, and support, enabling structured yet flexible exploration of options (Eccles &amp; Harold, 1993). By contrast, authoritarian parenting (high control, low warmth) is linked to reduced self-efficacy and initiative, often producing career choices driven by parental demands rather than student interests (Barber, 1996; Whiston &amp; Keller, 2004). Permissive parenting may reduce structure and direction, contributing to indecision (Baumrind, 1991), while uninvolved parenting is associated with weak support and poorer outcomes during critical decision periods (Maccoby &amp; Martin, 1983).</w:t>
      </w:r>
    </w:p>
    <w:p w:rsidR="00BA4EE2" w:rsidRPr="00422DAD" w:rsidRDefault="00BA4EE2" w:rsidP="00DC4340">
      <w:pPr>
        <w:pStyle w:val="NormalWeb"/>
        <w:spacing w:before="0" w:beforeAutospacing="0" w:after="0" w:afterAutospacing="0" w:line="360" w:lineRule="auto"/>
        <w:ind w:firstLine="720"/>
        <w:jc w:val="both"/>
      </w:pPr>
      <w:r w:rsidRPr="00422DAD">
        <w:t>Cultural context modifies these associations. While authoritative parenting is often optimal in Western contexts, collectivist settings may interpret stronger parental guidance differently, with certain authoritarian and authoritative paternal styles both relating positively to career self-efficacy under specific conditions (Chao, 1994; Fouad et al., 2010; Keshavarz &amp; Mounts, 2017). Autonomy-supportive parenting is repeatedly associated with reduced career indecision and greater competence (Ginevra et al., 2015; Parola</w:t>
      </w:r>
      <w:r w:rsidR="009F27E4">
        <w:t xml:space="preserve"> </w:t>
      </w:r>
      <w:r w:rsidRPr="00422DAD">
        <w:t>&amp;</w:t>
      </w:r>
      <w:r w:rsidR="009F27E4">
        <w:t xml:space="preserve"> </w:t>
      </w:r>
      <w:r w:rsidRPr="00422DAD">
        <w:t xml:space="preserve">Marcionetti, 2021), whereas controlling parenting predicts lower self-concept and higher indecision, with gender </w:t>
      </w:r>
      <w:r w:rsidRPr="00422DAD">
        <w:lastRenderedPageBreak/>
        <w:t>differences shaping these effects (Altaf et al., 2021</w:t>
      </w:r>
      <w:r w:rsidR="00E35713">
        <w:t xml:space="preserve">; Wang, 2021). Parental support such as </w:t>
      </w:r>
      <w:r w:rsidRPr="00422DAD">
        <w:t xml:space="preserve">emotional, </w:t>
      </w:r>
      <w:r w:rsidR="00E35713">
        <w:t xml:space="preserve">instrumental, and informational </w:t>
      </w:r>
      <w:r w:rsidRPr="00422DAD">
        <w:t>directly and indirectly strengthens career decision-making self-efficacy (Chasanah</w:t>
      </w:r>
      <w:r w:rsidR="009F27E4">
        <w:t xml:space="preserve"> </w:t>
      </w:r>
      <w:r w:rsidRPr="00422DAD">
        <w:t>&amp; Salim, 2019; Xing &amp; Rojewski, 2018). Latent profile evidence further shows that autonomy-supportive parenting predicts stronger and more sustained career development, while controlling profiles are associated with poorer longer-term outcomes (Ahn et al., 2023).</w:t>
      </w:r>
    </w:p>
    <w:p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4: CAREER DECISION-MAKING AND SELF-PERCEPTION</w:t>
      </w:r>
    </w:p>
    <w:p w:rsidR="00DC4340" w:rsidRPr="00422DAD" w:rsidRDefault="00BA4EE2" w:rsidP="00DC4340">
      <w:pPr>
        <w:pStyle w:val="NormalWeb"/>
        <w:spacing w:before="0" w:beforeAutospacing="0" w:after="0" w:afterAutospacing="0" w:line="360" w:lineRule="auto"/>
        <w:ind w:firstLine="720"/>
        <w:jc w:val="both"/>
      </w:pPr>
      <w:r w:rsidRPr="00422DAD">
        <w:t>Self-concept and self-perception, particularly career decision-making self-efficacy (CDMSE), are central psychological determinants of career choice among secondary school students. A well-defined self-concept supports realistic exploration by clarifying strengths and competencie</w:t>
      </w:r>
      <w:r w:rsidR="00E35713">
        <w:t xml:space="preserve">s (Ginevra et al., 2015). CDMSE </w:t>
      </w:r>
      <w:r w:rsidRPr="00422DAD">
        <w:t>belief in one’s ability to perform career tasks such as pla</w:t>
      </w:r>
      <w:r w:rsidR="00E35713">
        <w:t xml:space="preserve">nning and information gathering </w:t>
      </w:r>
      <w:r w:rsidRPr="00422DAD">
        <w:t>strongly predicts exploration and commitment, while low CDMSE is associated with anxiety and indecision (Lent et al., 2000; Parola</w:t>
      </w:r>
      <w:r w:rsidR="00D9267E">
        <w:t xml:space="preserve"> </w:t>
      </w:r>
      <w:r w:rsidRPr="00422DAD">
        <w:t>&amp;</w:t>
      </w:r>
      <w:r w:rsidR="00D9267E">
        <w:t xml:space="preserve"> </w:t>
      </w:r>
      <w:r w:rsidRPr="00422DAD">
        <w:t>Marcionetti, 2021).Self-esteem, reflecting overall self-worth, contributes to resilience and openness to challenge, and is shaped by social relationships and demographic factors. Some studies report higher academic self-esteem among males and greater general well-being among females (Scherrer &amp; Preckel, 2018; Wang, 2021). Parental support enhances self-perception and CDMSE, promoting adaptive career choices (Chasanah</w:t>
      </w:r>
      <w:r w:rsidR="00D9267E">
        <w:t xml:space="preserve"> </w:t>
      </w:r>
      <w:r w:rsidRPr="00422DAD">
        <w:t>&amp; Salim, 2019). Higher CDMSE is associated with broader exploration, effective information use, and confidence in planning (Ulas-Kilic et al., 2018), while low self-efficacy contributes to procrastination and indecision.</w:t>
      </w:r>
    </w:p>
    <w:p w:rsidR="00BA4EE2" w:rsidRDefault="00BA4EE2" w:rsidP="00DC4340">
      <w:pPr>
        <w:pStyle w:val="NormalWeb"/>
        <w:spacing w:before="0" w:beforeAutospacing="0" w:after="0" w:afterAutospacing="0" w:line="360" w:lineRule="auto"/>
        <w:ind w:firstLine="720"/>
        <w:jc w:val="both"/>
      </w:pPr>
      <w:r w:rsidRPr="00422DAD">
        <w:t>Self-concept and self-efficacy also mediate the influence of parenting and socio-economic status (Altaf et al., 2021; Scherrer &amp; Preckel, 2018). Gender differences emerge across contexts; in some settings girls report higher CDMSE, particularly where maternal education is higher (Ulas-Kilic et al., 2018; Wang, 2021). Longitudinal evidence suggests modest declines in self-esteem and academic self-concept across adolescence, although recent cohorts show improved self-esteem levels (Scherrer &amp; Preckel, 2018; Twenge et al., 2017). Identity formation is closely linked to career maturity and decisiveness (Wallace-Broscious et al., 1994), while domain-specific academic self-concept (e.g.,</w:t>
      </w:r>
      <w:r w:rsidR="00D9267E">
        <w:t xml:space="preserve"> mathematics versus language) affects</w:t>
      </w:r>
      <w:r w:rsidRPr="00422DAD">
        <w:t xml:space="preserve"> higher education major selection (Parker et al., 2012). These patterns underscore the value of interventions that strengthen self-awareness and CDMSE, consistent with NEP 2020’s emphasis on holistic development and career readiness (Ministry of Education, 2020).</w:t>
      </w:r>
    </w:p>
    <w:p w:rsidR="00796F6F" w:rsidRPr="00422DAD" w:rsidRDefault="00796F6F" w:rsidP="00DC4340">
      <w:pPr>
        <w:pStyle w:val="NormalWeb"/>
        <w:spacing w:before="0" w:beforeAutospacing="0" w:after="0" w:afterAutospacing="0" w:line="360" w:lineRule="auto"/>
        <w:ind w:firstLine="720"/>
        <w:jc w:val="both"/>
      </w:pPr>
    </w:p>
    <w:p w:rsidR="00BA4EE2" w:rsidRPr="00422DAD" w:rsidRDefault="00B9584F" w:rsidP="00DC4340">
      <w:pPr>
        <w:pStyle w:val="Heading2"/>
        <w:spacing w:after="0" w:afterAutospacing="0" w:line="360" w:lineRule="auto"/>
        <w:jc w:val="both"/>
        <w:rPr>
          <w:sz w:val="24"/>
          <w:szCs w:val="24"/>
        </w:rPr>
      </w:pPr>
      <w:r w:rsidRPr="00422DAD">
        <w:rPr>
          <w:rStyle w:val="Strong"/>
          <w:b/>
          <w:bCs/>
          <w:sz w:val="24"/>
          <w:szCs w:val="24"/>
        </w:rPr>
        <w:t>THEME 5: CAREER DECISION-MAKING AND HOUSEHOLD EDUCATION EXPENDITURE</w:t>
      </w:r>
    </w:p>
    <w:p w:rsidR="00BA4EE2" w:rsidRPr="00422DAD" w:rsidRDefault="00E35713" w:rsidP="00DC4340">
      <w:pPr>
        <w:pStyle w:val="NormalWeb"/>
        <w:spacing w:before="0" w:beforeAutospacing="0" w:after="0" w:afterAutospacing="0" w:line="360" w:lineRule="auto"/>
        <w:ind w:firstLine="720"/>
        <w:jc w:val="both"/>
      </w:pPr>
      <w:r>
        <w:t xml:space="preserve">Household education expenditure </w:t>
      </w:r>
      <w:r w:rsidR="00BA4EE2" w:rsidRPr="00422DAD">
        <w:t>including tuition, materials, coachin</w:t>
      </w:r>
      <w:r>
        <w:t xml:space="preserve">g, and educational technologies </w:t>
      </w:r>
      <w:r w:rsidR="00BA4EE2" w:rsidRPr="00422DAD">
        <w:t>shapes academic opportunities and preparedness and functions as a critical socio-economic determinant of career decision-making (Tilak, 2002; OECD, 2019). Higher household investment is linked to improved academic outcomes and wider access to higher education pathways and career options (OECD, 2019; NCERT, 2020). Financially stronger households can provide private tutoring, learning resources, and career guidance, expanding career awareness and reducing pressures toward early workforce entry (OECD, 2019; NCERT, 2020).Gender disparities in educational expenditure persist in certain contexts, including preferential investment in boys’ education, which can restrict girls’ attainment and subsequent career choices, although the pattern is not uniform and varies by region, school type, and socio-economic background (Ministry of Education, Government of India, 2021; Tilak, 2002). Household spending interacts with public investment: government expenditure provides baseline infrastructure, but household investment often differentiates the quality and breadth of opportunities (NCERT, 2020).</w:t>
      </w:r>
    </w:p>
    <w:p w:rsidR="00BA4EE2" w:rsidRPr="00422DAD" w:rsidRDefault="00BA4EE2" w:rsidP="00DC4340">
      <w:pPr>
        <w:pStyle w:val="NormalWeb"/>
        <w:spacing w:before="0" w:beforeAutospacing="0" w:after="0" w:afterAutospacing="0" w:line="360" w:lineRule="auto"/>
        <w:ind w:firstLine="720"/>
        <w:jc w:val="both"/>
      </w:pPr>
      <w:r w:rsidRPr="00422DAD">
        <w:t>Economic shocks such as COVID-19 have highlighted household vulnerability, constraining educational investment and intensifying inequalities for disadvantaged groups (World Bank, 2021). Parental education and occupation shape both financial capacity and educational aspirations, influencing expenditure patterns and student outcomes (Tilak, 2002; Ministry of Education, Government of India, 2021). Evidence from rural India indicates that households invest substantially in education even under nominally free schooling, driven by income, household head education, and incentives such as midday meals and uniforms (Tilak, 2002; Ministry of Education, Government of India, 2021). While gender is often treated as a key determinant of spending inequality, some districts show minimal gender bias, with disparities more strongly tied to school type and urban–rural divides (Tilak, 2002; NCERT, 2020).</w:t>
      </w:r>
    </w:p>
    <w:p w:rsidR="00BA4EE2" w:rsidRPr="00422DAD" w:rsidRDefault="00E35713" w:rsidP="00DC4340">
      <w:pPr>
        <w:pStyle w:val="Heading2"/>
        <w:spacing w:after="0" w:afterAutospacing="0" w:line="360" w:lineRule="auto"/>
        <w:jc w:val="both"/>
        <w:rPr>
          <w:sz w:val="24"/>
          <w:szCs w:val="24"/>
        </w:rPr>
      </w:pPr>
      <w:r>
        <w:rPr>
          <w:rStyle w:val="Strong"/>
          <w:b/>
          <w:bCs/>
          <w:sz w:val="24"/>
          <w:szCs w:val="24"/>
        </w:rPr>
        <w:t xml:space="preserve">THEME 6: EMERGING PERSPECTIVES - </w:t>
      </w:r>
      <w:r w:rsidR="00B9584F" w:rsidRPr="00422DAD">
        <w:rPr>
          <w:rStyle w:val="Strong"/>
          <w:b/>
          <w:bCs/>
          <w:sz w:val="24"/>
          <w:szCs w:val="24"/>
        </w:rPr>
        <w:t>NEP 2020 AND CAREER CHOICE</w:t>
      </w:r>
    </w:p>
    <w:p w:rsidR="00DC4340" w:rsidRPr="00422DAD" w:rsidRDefault="00BA4EE2" w:rsidP="00DC4340">
      <w:pPr>
        <w:pStyle w:val="NormalWeb"/>
        <w:spacing w:before="0" w:beforeAutospacing="0" w:after="0" w:afterAutospacing="0" w:line="360" w:lineRule="auto"/>
        <w:ind w:firstLine="720"/>
        <w:jc w:val="both"/>
      </w:pPr>
      <w:r w:rsidRPr="00422DAD">
        <w:t xml:space="preserve">NEP 2020 introduces a transformative policy framework with implications for career decision-making among secondary school students in India. It promotes multidisciplinary learning, early vocational integration, and flexible pathways, challenging linear academic </w:t>
      </w:r>
      <w:r w:rsidRPr="00422DAD">
        <w:lastRenderedPageBreak/>
        <w:t>trajectories (Ministry of Education, 2020). By emphasizing vocational education from early grades, NEP 2020 seeks to destigmatize manual and skill-based work and broaden career options in line with labour market demands (OECD, 2021).The policy’s emphasis on holistic development, creativity, critical thinking, and interdisciplinary learning may strengthen self-awareness and problem-solving, which are essential for informed career choices (NCERT, 2021). Structural reforms such as multiple entry–exit and credit transfer systems can increase flexibility and reduce penalties associated with changing educational directions (NIEPA, 2021). However, implementation requires capacity building and equitable resource distribution, especially in rural and underserved contexts (World Bank, 2022).</w:t>
      </w:r>
    </w:p>
    <w:p w:rsidR="00BA4EE2" w:rsidRPr="00422DAD" w:rsidRDefault="00BA4EE2" w:rsidP="00DC4340">
      <w:pPr>
        <w:pStyle w:val="NormalWeb"/>
        <w:spacing w:before="0" w:beforeAutospacing="0" w:after="0" w:afterAutospacing="0" w:line="360" w:lineRule="auto"/>
        <w:ind w:firstLine="720"/>
        <w:jc w:val="both"/>
      </w:pPr>
      <w:r w:rsidRPr="00422DAD">
        <w:t>Stakeholder responses reflect cautious optimism: the policy vision is widely endorsed, but effective enactment depends on teacher preparation and institutional readiness (NCERT, 2021). The policy’s potenti</w:t>
      </w:r>
      <w:r w:rsidR="00E35713">
        <w:t xml:space="preserve">al to reduce gender disparities </w:t>
      </w:r>
      <w:r w:rsidRPr="00422DAD">
        <w:t>particularly by encouraging girls’ participation in STEM and re</w:t>
      </w:r>
      <w:r w:rsidR="00E35713">
        <w:t xml:space="preserve">ducing occupational segregation </w:t>
      </w:r>
      <w:r w:rsidRPr="00422DAD">
        <w:t>remains important for continued research (UNESCO, 2021). Empirical evidence on NEP 2020’s direct effects on career decision-making and equity at sub-national levels remains limited (Kumar &amp; Sharma, 2022), though the policy aims to enhance agency and reduce information asymmetry, particularly for rural students (Joshi &amp; Singh, 2023; NIEPA, 2021). Overall, NEP 2020 reframes the determinants of career decision-making and underscores the need for monitoring and adaptive implementation (World Bank, 2022).</w:t>
      </w:r>
    </w:p>
    <w:p w:rsidR="00AE3BA8" w:rsidRPr="00422DAD" w:rsidRDefault="00AE3BA8" w:rsidP="00DC4340">
      <w:pPr>
        <w:pStyle w:val="NormalWeb"/>
        <w:spacing w:before="0" w:beforeAutospacing="0" w:after="0" w:afterAutospacing="0" w:line="360" w:lineRule="auto"/>
        <w:ind w:firstLine="720"/>
        <w:jc w:val="both"/>
      </w:pPr>
    </w:p>
    <w:p w:rsidR="00BA4EE2" w:rsidRPr="00422DAD" w:rsidRDefault="00B9584F" w:rsidP="00AE3BA8">
      <w:pPr>
        <w:pStyle w:val="Heading1"/>
        <w:spacing w:before="0" w:line="360" w:lineRule="auto"/>
        <w:jc w:val="both"/>
        <w:rPr>
          <w:rStyle w:val="Strong"/>
          <w:rFonts w:ascii="Times New Roman" w:hAnsi="Times New Roman" w:cs="Times New Roman"/>
          <w:b/>
          <w:bCs/>
          <w:color w:val="auto"/>
          <w:sz w:val="24"/>
          <w:szCs w:val="24"/>
        </w:rPr>
      </w:pPr>
      <w:r w:rsidRPr="00422DAD">
        <w:rPr>
          <w:rStyle w:val="Strong"/>
          <w:rFonts w:ascii="Times New Roman" w:hAnsi="Times New Roman" w:cs="Times New Roman"/>
          <w:b/>
          <w:bCs/>
          <w:color w:val="auto"/>
          <w:sz w:val="24"/>
          <w:szCs w:val="24"/>
        </w:rPr>
        <w:t>THEMATIC SYNTHESIS (CRITICAL INTEGRATION SECTION)</w:t>
      </w:r>
    </w:p>
    <w:p w:rsidR="00E96A9E" w:rsidRPr="00422DAD" w:rsidRDefault="00E96A9E" w:rsidP="00DC4340">
      <w:pPr>
        <w:spacing w:after="0" w:line="360" w:lineRule="auto"/>
        <w:ind w:firstLine="720"/>
        <w:jc w:val="both"/>
        <w:rPr>
          <w:rFonts w:ascii="Times New Roman" w:hAnsi="Times New Roman" w:cs="Times New Roman"/>
          <w:sz w:val="24"/>
          <w:szCs w:val="24"/>
        </w:rPr>
      </w:pPr>
      <w:r w:rsidRPr="00422DAD">
        <w:rPr>
          <w:rFonts w:ascii="Times New Roman" w:hAnsi="Times New Roman" w:cs="Times New Roman"/>
          <w:sz w:val="24"/>
          <w:szCs w:val="24"/>
        </w:rPr>
        <w:t>While the preceding thematic sections examine specific determinants in a disaggregated manner, an integrative synthesis is essential to capture the interrelationships among economic, psychological, and sociological influences on career decision-making. This section critically consolidates evidence across themes to identify overarching patterns, contextual divergences, and scale-specific dynamics. The synthesis is organized across global, national, and regional levels to situate the reviewed findings within broader comparative and policy-relevant frameworks.</w:t>
      </w:r>
    </w:p>
    <w:p w:rsidR="00BA4EE2" w:rsidRPr="00422DAD" w:rsidRDefault="00B9584F" w:rsidP="00DC79E5">
      <w:pPr>
        <w:pStyle w:val="Heading2"/>
        <w:spacing w:after="0" w:afterAutospacing="0" w:line="360" w:lineRule="auto"/>
        <w:jc w:val="both"/>
        <w:rPr>
          <w:sz w:val="24"/>
          <w:szCs w:val="24"/>
        </w:rPr>
      </w:pPr>
      <w:r w:rsidRPr="00422DAD">
        <w:rPr>
          <w:rStyle w:val="Strong"/>
          <w:b/>
          <w:bCs/>
          <w:sz w:val="24"/>
          <w:szCs w:val="24"/>
        </w:rPr>
        <w:t>GLOBAL STUDIES</w:t>
      </w:r>
    </w:p>
    <w:p w:rsidR="00BA4EE2" w:rsidRPr="00422DAD" w:rsidRDefault="00BA4EE2" w:rsidP="00AE3BA8">
      <w:pPr>
        <w:pStyle w:val="NormalWeb"/>
        <w:spacing w:before="0" w:beforeAutospacing="0" w:after="0" w:afterAutospacing="0" w:line="360" w:lineRule="auto"/>
        <w:ind w:firstLine="720"/>
        <w:jc w:val="both"/>
      </w:pPr>
      <w:r w:rsidRPr="00422DAD">
        <w:t>Global evidence consi</w:t>
      </w:r>
      <w:r w:rsidR="00E35713">
        <w:t xml:space="preserve">stently positions self-efficacy especially CDMSE </w:t>
      </w:r>
      <w:r w:rsidRPr="00422DAD">
        <w:t xml:space="preserve">as a central determinant of career decision-making, predicting proactive exploration and confident choices across contexts (Lent et al., 2017; Betz &amp; Hackett, 2006). Authoritative parenting, emphasizing autonomy support and warmth, is broadly linked to enhanced self-efficacy and </w:t>
      </w:r>
      <w:r w:rsidRPr="00422DAD">
        <w:lastRenderedPageBreak/>
        <w:t>favourable academic and career outcomes, though cultural interpretation varies; collectivist societies may incorporate directive guidance within supportive parenting (Chao, 1994; Dwairy, 2004; Spera, 2005). Household education expenditure, as a proxy for socioeconomic status, is strongly associated with access to quality education and career resources (OECD, 2018; UNESCO, 2020). Gendered aspirations persist globally, especially in STEM, reflecting stereotypes and unequal opportunities, though gradual shifts toward more egalitarian patterns are observed (Eccles, 2011; Wang &amp;Degol, 2017; Cheryan et al., 2017). COVID-19 disruptions have affected schooling and parental involvement, potentially influencing adolescent career outlooks (UNESCO, 2021). Methodologically, research is dominated by quantitative surveys, complemented by qualitative approaches that capture contextual nuance (Lent et al., 2017).</w:t>
      </w:r>
    </w:p>
    <w:p w:rsidR="00BA4EE2" w:rsidRPr="00422DAD" w:rsidRDefault="00B9584F" w:rsidP="00AE3BA8">
      <w:pPr>
        <w:pStyle w:val="Heading2"/>
        <w:spacing w:after="0" w:afterAutospacing="0" w:line="360" w:lineRule="auto"/>
        <w:jc w:val="both"/>
        <w:rPr>
          <w:sz w:val="24"/>
          <w:szCs w:val="24"/>
        </w:rPr>
      </w:pPr>
      <w:r w:rsidRPr="00422DAD">
        <w:rPr>
          <w:rStyle w:val="Strong"/>
          <w:b/>
          <w:bCs/>
          <w:sz w:val="24"/>
          <w:szCs w:val="24"/>
        </w:rPr>
        <w:t>NATIONAL STUDIES (INDIA)</w:t>
      </w:r>
    </w:p>
    <w:p w:rsidR="00BA4EE2" w:rsidRPr="00422DAD" w:rsidRDefault="00BA4EE2" w:rsidP="00AE3BA8">
      <w:pPr>
        <w:pStyle w:val="NormalWeb"/>
        <w:spacing w:before="0" w:beforeAutospacing="0" w:after="0" w:afterAutospacing="0" w:line="360" w:lineRule="auto"/>
        <w:ind w:firstLine="720"/>
        <w:jc w:val="both"/>
      </w:pPr>
      <w:r w:rsidRPr="00422DAD">
        <w:t>Indian studies highlight intensified family influence on career decisions, shaped by collectivist values and interdependent family structures (Fouad et al., 2015; Choudhury &amp; Shukla, 2018). Parental expectations and financial support strongly condition students’ career trajectories (Sultana, 2014). Household education expenditure remains central to educational access, with socio-economic and caste factors compounding inequality (Garg et al., 2022; NCERT, 2021). Gender disparities persist in some contexts, including pro-boy investment biases that affect girls’ academic and career opportunities (Kingdon, 2002; Datta &amp; Kingdon, 2019). Self-perception and self-efficacy are associated with career planning but often mediated by family expectations and perceived labour-market “scope” (Asghar &amp; Ajmal, 2022). Parenting styles reflect global typologies but may be culturally reframed; guidance perceived as authoritarian elsewhere may be interpreted as supportive in Indian families (Dwairy, 2004). Urban–rural disparities remain substantial, and NEP 2020 aims to reduce them through vocational integration and flexible learning, though long-term impacts remain uncertain (Garg et al., 2022; Ministry of Education, 2020). Research designs frequently combine surveys and interviews but are often limited by sample size and regional coverage.</w:t>
      </w:r>
    </w:p>
    <w:p w:rsidR="00BA4EE2" w:rsidRPr="00422DAD" w:rsidRDefault="00B9584F" w:rsidP="00AE3BA8">
      <w:pPr>
        <w:pStyle w:val="Heading2"/>
        <w:spacing w:after="0" w:afterAutospacing="0" w:line="360" w:lineRule="auto"/>
        <w:jc w:val="both"/>
        <w:rPr>
          <w:sz w:val="24"/>
          <w:szCs w:val="24"/>
        </w:rPr>
      </w:pPr>
      <w:r w:rsidRPr="00422DAD">
        <w:rPr>
          <w:rStyle w:val="Strong"/>
          <w:b/>
          <w:bCs/>
          <w:sz w:val="24"/>
          <w:szCs w:val="24"/>
        </w:rPr>
        <w:t>REGIONAL / STATE-LEVEL STUDIES</w:t>
      </w:r>
    </w:p>
    <w:p w:rsidR="00BA4EE2" w:rsidRPr="00422DAD" w:rsidRDefault="00BA4EE2" w:rsidP="00AE3BA8">
      <w:pPr>
        <w:pStyle w:val="NormalWeb"/>
        <w:spacing w:before="0" w:beforeAutospacing="0" w:after="0" w:afterAutospacing="0" w:line="360" w:lineRule="auto"/>
        <w:ind w:firstLine="720"/>
        <w:jc w:val="both"/>
      </w:pPr>
      <w:r w:rsidRPr="00422DAD">
        <w:t xml:space="preserve">Regional studies, including Odisha, emphasize context-specific influences such as traditional occupations, uneven infrastructure, and local policy environments in shaping aspirations (Mohanty, 2019). Direct evidence linking household education expenditure, parenting style, and self-perception to </w:t>
      </w:r>
      <w:r w:rsidR="00C5048F" w:rsidRPr="00422DAD">
        <w:t>secondary school students’</w:t>
      </w:r>
      <w:r w:rsidRPr="00422DAD">
        <w:t xml:space="preserve"> career decision-making in </w:t>
      </w:r>
      <w:r w:rsidRPr="00422DAD">
        <w:lastRenderedPageBreak/>
        <w:t>Odisha remains limited, though national patterns such as pro-boy educational spending biases may extend regionally (Beg &amp; Bhat, 2021). Urban–rural disparities observed nationally may be amplified in Odisha due to geographic diversity and uneven development (Garg et al., 2022). NEP 2020 implementation at the state level offers potential for vocational integration and localized curricula, but empirical evaluation remains sparse (Ministry of Education, 2020). Regional studies are frequently qualitative, offering rich context but limited generalizability, underscoring the need for granular empirical research to inform locally responsive career guidance and equity-oriented policy interventions (Mohanty, 2019).</w:t>
      </w:r>
    </w:p>
    <w:p w:rsidR="00133CB9" w:rsidRPr="00422DAD" w:rsidRDefault="00A57264" w:rsidP="00133CB9">
      <w:pPr>
        <w:pStyle w:val="Heading3"/>
        <w:spacing w:before="0" w:after="0"/>
        <w:jc w:val="center"/>
        <w:rPr>
          <w:sz w:val="24"/>
          <w:szCs w:val="24"/>
        </w:rPr>
      </w:pPr>
      <w:r w:rsidRPr="00422DAD">
        <w:rPr>
          <w:sz w:val="24"/>
          <w:szCs w:val="24"/>
        </w:rPr>
        <w:t xml:space="preserve">Table 1: Summary </w:t>
      </w:r>
      <w:r w:rsidR="00133CB9" w:rsidRPr="00422DAD">
        <w:rPr>
          <w:sz w:val="24"/>
          <w:szCs w:val="24"/>
        </w:rPr>
        <w:t>of Key Data Points by Factor, Gender, and Locality</w:t>
      </w:r>
    </w:p>
    <w:tbl>
      <w:tblPr>
        <w:tblStyle w:val="TableGrid"/>
        <w:tblW w:w="0" w:type="auto"/>
        <w:tblLook w:val="0000"/>
      </w:tblPr>
      <w:tblGrid>
        <w:gridCol w:w="1610"/>
        <w:gridCol w:w="1925"/>
        <w:gridCol w:w="1576"/>
        <w:gridCol w:w="2552"/>
        <w:gridCol w:w="1580"/>
      </w:tblGrid>
      <w:tr w:rsidR="00133CB9" w:rsidRPr="00422DAD" w:rsidTr="00133CB9">
        <w:tc>
          <w:tcPr>
            <w:tcW w:w="0" w:type="auto"/>
          </w:tcPr>
          <w:p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Factor</w:t>
            </w:r>
          </w:p>
        </w:tc>
        <w:tc>
          <w:tcPr>
            <w:tcW w:w="0" w:type="auto"/>
          </w:tcPr>
          <w:p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Key Findings</w:t>
            </w:r>
          </w:p>
        </w:tc>
        <w:tc>
          <w:tcPr>
            <w:tcW w:w="0" w:type="auto"/>
          </w:tcPr>
          <w:p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Gender Differences</w:t>
            </w:r>
          </w:p>
        </w:tc>
        <w:tc>
          <w:tcPr>
            <w:tcW w:w="0" w:type="auto"/>
          </w:tcPr>
          <w:p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Urban–Rural Differences</w:t>
            </w:r>
          </w:p>
        </w:tc>
        <w:tc>
          <w:tcPr>
            <w:tcW w:w="0" w:type="auto"/>
          </w:tcPr>
          <w:p w:rsidR="00133CB9" w:rsidRPr="00422DAD" w:rsidRDefault="00133CB9" w:rsidP="00C2218E">
            <w:pPr>
              <w:rPr>
                <w:rFonts w:ascii="Times New Roman" w:hAnsi="Times New Roman" w:cs="Times New Roman"/>
                <w:b/>
                <w:sz w:val="23"/>
                <w:szCs w:val="23"/>
              </w:rPr>
            </w:pPr>
            <w:r w:rsidRPr="00422DAD">
              <w:rPr>
                <w:rFonts w:ascii="Times New Roman" w:hAnsi="Times New Roman" w:cs="Times New Roman"/>
                <w:b/>
                <w:sz w:val="23"/>
                <w:szCs w:val="23"/>
              </w:rPr>
              <w:t>Reference (s)</w:t>
            </w:r>
          </w:p>
        </w:tc>
      </w:tr>
      <w:tr w:rsidR="00133CB9" w:rsidRPr="009F27E4" w:rsidTr="00133CB9">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Household Education Expenditure</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Significant across SES; not always gender-biased; higher in private/urban schools</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Not always significant; context-specific</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Urban households spend more; rural less studied</w:t>
            </w:r>
          </w:p>
        </w:tc>
        <w:tc>
          <w:tcPr>
            <w:tcW w:w="0" w:type="auto"/>
          </w:tcPr>
          <w:p w:rsidR="00133CB9" w:rsidRPr="00364531" w:rsidRDefault="00C649AB" w:rsidP="00C2218E">
            <w:pPr>
              <w:rPr>
                <w:rFonts w:ascii="Times New Roman" w:hAnsi="Times New Roman" w:cs="Times New Roman"/>
                <w:sz w:val="23"/>
                <w:szCs w:val="23"/>
              </w:rPr>
            </w:pPr>
            <w:hyperlink r:id="rId11">
              <w:r w:rsidR="00133CB9" w:rsidRPr="00364531">
                <w:rPr>
                  <w:rStyle w:val="Hyperlink"/>
                  <w:rFonts w:ascii="Times New Roman" w:hAnsi="Times New Roman" w:cs="Times New Roman"/>
                  <w:color w:val="auto"/>
                  <w:sz w:val="23"/>
                  <w:szCs w:val="23"/>
                  <w:u w:val="none"/>
                </w:rPr>
                <w:t>(Tilak, 2002)</w:t>
              </w:r>
            </w:hyperlink>
          </w:p>
          <w:p w:rsidR="00133CB9" w:rsidRPr="00364531" w:rsidRDefault="00C649AB" w:rsidP="00C2218E">
            <w:pPr>
              <w:rPr>
                <w:rFonts w:ascii="Times New Roman" w:hAnsi="Times New Roman" w:cs="Times New Roman"/>
                <w:sz w:val="23"/>
                <w:szCs w:val="23"/>
              </w:rPr>
            </w:pPr>
            <w:hyperlink r:id="rId12">
              <w:r w:rsidR="00133CB9" w:rsidRPr="00364531">
                <w:rPr>
                  <w:rStyle w:val="Hyperlink"/>
                  <w:rFonts w:ascii="Times New Roman" w:hAnsi="Times New Roman" w:cs="Times New Roman"/>
                  <w:color w:val="auto"/>
                  <w:sz w:val="23"/>
                  <w:szCs w:val="23"/>
                  <w:u w:val="none"/>
                </w:rPr>
                <w:t>(Milovanska-Farrington, 2021)</w:t>
              </w:r>
            </w:hyperlink>
          </w:p>
        </w:tc>
      </w:tr>
      <w:tr w:rsidR="00133CB9" w:rsidRPr="009F27E4" w:rsidTr="00133CB9">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Parenting Style</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Autonomy support boosts career competence; control increases indecision</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Girls may benefit more from positive parenting</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Urban focus; rural patterns underexplored</w:t>
            </w:r>
          </w:p>
        </w:tc>
        <w:tc>
          <w:tcPr>
            <w:tcW w:w="0" w:type="auto"/>
          </w:tcPr>
          <w:p w:rsidR="00133CB9" w:rsidRPr="00364531" w:rsidRDefault="00C649AB" w:rsidP="00C2218E">
            <w:pPr>
              <w:rPr>
                <w:rFonts w:ascii="Times New Roman" w:hAnsi="Times New Roman" w:cs="Times New Roman"/>
                <w:sz w:val="23"/>
                <w:szCs w:val="23"/>
              </w:rPr>
            </w:pPr>
            <w:hyperlink r:id="rId13">
              <w:r w:rsidR="00133CB9" w:rsidRPr="00364531">
                <w:rPr>
                  <w:rStyle w:val="Hyperlink"/>
                  <w:rFonts w:ascii="Times New Roman" w:hAnsi="Times New Roman" w:cs="Times New Roman"/>
                  <w:color w:val="auto"/>
                  <w:sz w:val="23"/>
                  <w:szCs w:val="23"/>
                  <w:u w:val="none"/>
                </w:rPr>
                <w:t>(Ahn et al., 2023)</w:t>
              </w:r>
            </w:hyperlink>
          </w:p>
          <w:p w:rsidR="00133CB9" w:rsidRPr="00364531" w:rsidRDefault="00C649AB" w:rsidP="00C2218E">
            <w:pPr>
              <w:rPr>
                <w:rFonts w:ascii="Times New Roman" w:hAnsi="Times New Roman" w:cs="Times New Roman"/>
                <w:sz w:val="23"/>
                <w:szCs w:val="23"/>
              </w:rPr>
            </w:pPr>
            <w:hyperlink r:id="rId14">
              <w:r w:rsidR="00133CB9" w:rsidRPr="00364531">
                <w:rPr>
                  <w:rStyle w:val="Hyperlink"/>
                  <w:rFonts w:ascii="Times New Roman" w:hAnsi="Times New Roman" w:cs="Times New Roman"/>
                  <w:color w:val="auto"/>
                  <w:sz w:val="23"/>
                  <w:szCs w:val="23"/>
                  <w:u w:val="none"/>
                </w:rPr>
                <w:t>(Altaf et al., 2021)</w:t>
              </w:r>
            </w:hyperlink>
          </w:p>
          <w:p w:rsidR="00133CB9" w:rsidRPr="00364531" w:rsidRDefault="00C649AB" w:rsidP="00C2218E">
            <w:pPr>
              <w:rPr>
                <w:rFonts w:ascii="Times New Roman" w:hAnsi="Times New Roman" w:cs="Times New Roman"/>
                <w:sz w:val="23"/>
                <w:szCs w:val="23"/>
              </w:rPr>
            </w:pPr>
            <w:hyperlink r:id="rId15">
              <w:r w:rsidR="00133CB9" w:rsidRPr="00364531">
                <w:rPr>
                  <w:rStyle w:val="Hyperlink"/>
                  <w:rFonts w:ascii="Times New Roman" w:hAnsi="Times New Roman" w:cs="Times New Roman"/>
                  <w:color w:val="auto"/>
                  <w:sz w:val="23"/>
                  <w:szCs w:val="23"/>
                  <w:u w:val="none"/>
                </w:rPr>
                <w:t>(Wang, 2025)</w:t>
              </w:r>
            </w:hyperlink>
          </w:p>
        </w:tc>
      </w:tr>
      <w:tr w:rsidR="00133CB9" w:rsidRPr="009F27E4" w:rsidTr="00133CB9">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Self-Perception (Self-Concept)</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Mediates parenting and SES effects on career decision-making</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Girls often higher self-efficacy</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Data limited; urban-centric studies</w:t>
            </w:r>
          </w:p>
        </w:tc>
        <w:tc>
          <w:tcPr>
            <w:tcW w:w="0" w:type="auto"/>
          </w:tcPr>
          <w:p w:rsidR="00133CB9" w:rsidRPr="00364531" w:rsidRDefault="00C649AB" w:rsidP="00C2218E">
            <w:pPr>
              <w:rPr>
                <w:rFonts w:ascii="Times New Roman" w:hAnsi="Times New Roman" w:cs="Times New Roman"/>
                <w:sz w:val="23"/>
                <w:szCs w:val="23"/>
              </w:rPr>
            </w:pPr>
            <w:hyperlink r:id="rId16">
              <w:r w:rsidR="00133CB9" w:rsidRPr="00364531">
                <w:rPr>
                  <w:rStyle w:val="Hyperlink"/>
                  <w:rFonts w:ascii="Times New Roman" w:hAnsi="Times New Roman" w:cs="Times New Roman"/>
                  <w:color w:val="auto"/>
                  <w:sz w:val="23"/>
                  <w:szCs w:val="23"/>
                  <w:u w:val="none"/>
                </w:rPr>
                <w:t>(Altaf et al., 2021)</w:t>
              </w:r>
            </w:hyperlink>
          </w:p>
          <w:p w:rsidR="00133CB9" w:rsidRPr="00364531" w:rsidRDefault="00C649AB" w:rsidP="00C2218E">
            <w:pPr>
              <w:rPr>
                <w:rFonts w:ascii="Times New Roman" w:hAnsi="Times New Roman" w:cs="Times New Roman"/>
                <w:sz w:val="23"/>
                <w:szCs w:val="23"/>
              </w:rPr>
            </w:pPr>
            <w:hyperlink r:id="rId17">
              <w:r w:rsidR="00133CB9" w:rsidRPr="00364531">
                <w:rPr>
                  <w:rStyle w:val="Hyperlink"/>
                  <w:rFonts w:ascii="Times New Roman" w:hAnsi="Times New Roman" w:cs="Times New Roman"/>
                  <w:color w:val="auto"/>
                  <w:sz w:val="23"/>
                  <w:szCs w:val="23"/>
                  <w:u w:val="none"/>
                </w:rPr>
                <w:t>(Ulas-Kilic et al., 2018)</w:t>
              </w:r>
            </w:hyperlink>
          </w:p>
          <w:p w:rsidR="00133CB9" w:rsidRPr="00364531" w:rsidRDefault="00C649AB" w:rsidP="00C2218E">
            <w:pPr>
              <w:rPr>
                <w:rFonts w:ascii="Times New Roman" w:hAnsi="Times New Roman" w:cs="Times New Roman"/>
                <w:sz w:val="23"/>
                <w:szCs w:val="23"/>
              </w:rPr>
            </w:pPr>
            <w:hyperlink r:id="rId18">
              <w:r w:rsidR="00133CB9" w:rsidRPr="00364531">
                <w:rPr>
                  <w:rStyle w:val="Hyperlink"/>
                  <w:rFonts w:ascii="Times New Roman" w:hAnsi="Times New Roman" w:cs="Times New Roman"/>
                  <w:color w:val="auto"/>
                  <w:sz w:val="23"/>
                  <w:szCs w:val="23"/>
                  <w:u w:val="none"/>
                </w:rPr>
                <w:t>(Scherrer</w:t>
              </w:r>
              <w:r w:rsidR="0070467D">
                <w:rPr>
                  <w:rStyle w:val="Hyperlink"/>
                  <w:rFonts w:ascii="Times New Roman" w:hAnsi="Times New Roman" w:cs="Times New Roman"/>
                  <w:color w:val="auto"/>
                  <w:sz w:val="23"/>
                  <w:szCs w:val="23"/>
                  <w:u w:val="none"/>
                </w:rPr>
                <w:t xml:space="preserve"> </w:t>
              </w:r>
              <w:r w:rsidR="00133CB9" w:rsidRPr="00364531">
                <w:rPr>
                  <w:rStyle w:val="Hyperlink"/>
                  <w:rFonts w:ascii="Times New Roman" w:hAnsi="Times New Roman" w:cs="Times New Roman"/>
                  <w:color w:val="auto"/>
                  <w:sz w:val="23"/>
                  <w:szCs w:val="23"/>
                  <w:u w:val="none"/>
                </w:rPr>
                <w:t>&amp;</w:t>
              </w:r>
              <w:r w:rsidR="0070467D">
                <w:rPr>
                  <w:rStyle w:val="Hyperlink"/>
                  <w:rFonts w:ascii="Times New Roman" w:hAnsi="Times New Roman" w:cs="Times New Roman"/>
                  <w:color w:val="auto"/>
                  <w:sz w:val="23"/>
                  <w:szCs w:val="23"/>
                  <w:u w:val="none"/>
                </w:rPr>
                <w:t xml:space="preserve"> </w:t>
              </w:r>
              <w:r w:rsidR="00133CB9" w:rsidRPr="00364531">
                <w:rPr>
                  <w:rStyle w:val="Hyperlink"/>
                  <w:rFonts w:ascii="Times New Roman" w:hAnsi="Times New Roman" w:cs="Times New Roman"/>
                  <w:color w:val="auto"/>
                  <w:sz w:val="23"/>
                  <w:szCs w:val="23"/>
                  <w:u w:val="none"/>
                </w:rPr>
                <w:t>Preckel, 2018)</w:t>
              </w:r>
            </w:hyperlink>
          </w:p>
        </w:tc>
      </w:tr>
      <w:tr w:rsidR="00133CB9" w:rsidRPr="009F27E4" w:rsidTr="00133CB9">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Career Decision-Making</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Influenced by family, parenting, self-concept; SES and school type matter</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Some gender differences in self-efficacy</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Urban students have more resources/opportunities</w:t>
            </w:r>
          </w:p>
        </w:tc>
        <w:tc>
          <w:tcPr>
            <w:tcW w:w="0" w:type="auto"/>
          </w:tcPr>
          <w:p w:rsidR="00133CB9" w:rsidRPr="00364531" w:rsidRDefault="00C649AB" w:rsidP="00C2218E">
            <w:pPr>
              <w:rPr>
                <w:rFonts w:ascii="Times New Roman" w:hAnsi="Times New Roman" w:cs="Times New Roman"/>
                <w:sz w:val="23"/>
                <w:szCs w:val="23"/>
              </w:rPr>
            </w:pPr>
            <w:hyperlink r:id="rId19">
              <w:r w:rsidR="00133CB9" w:rsidRPr="00364531">
                <w:rPr>
                  <w:rStyle w:val="Hyperlink"/>
                  <w:rFonts w:ascii="Times New Roman" w:hAnsi="Times New Roman" w:cs="Times New Roman"/>
                  <w:color w:val="auto"/>
                  <w:sz w:val="23"/>
                  <w:szCs w:val="23"/>
                  <w:u w:val="none"/>
                </w:rPr>
                <w:t>(Edwards &amp; Quinter, 2011)</w:t>
              </w:r>
            </w:hyperlink>
          </w:p>
          <w:p w:rsidR="00133CB9" w:rsidRPr="00364531" w:rsidRDefault="00C649AB" w:rsidP="00C2218E">
            <w:pPr>
              <w:rPr>
                <w:rFonts w:ascii="Times New Roman" w:hAnsi="Times New Roman" w:cs="Times New Roman"/>
                <w:sz w:val="23"/>
                <w:szCs w:val="23"/>
              </w:rPr>
            </w:pPr>
            <w:hyperlink r:id="rId20">
              <w:r w:rsidR="00133CB9" w:rsidRPr="00364531">
                <w:rPr>
                  <w:rStyle w:val="Hyperlink"/>
                  <w:rFonts w:ascii="Times New Roman" w:hAnsi="Times New Roman" w:cs="Times New Roman"/>
                  <w:color w:val="auto"/>
                  <w:sz w:val="23"/>
                  <w:szCs w:val="23"/>
                  <w:u w:val="none"/>
                </w:rPr>
                <w:t>(Alloway</w:t>
              </w:r>
              <w:r w:rsidR="00086FB7" w:rsidRPr="00364531">
                <w:rPr>
                  <w:rStyle w:val="Hyperlink"/>
                  <w:rFonts w:ascii="Times New Roman" w:hAnsi="Times New Roman" w:cs="Times New Roman"/>
                  <w:color w:val="auto"/>
                  <w:sz w:val="23"/>
                  <w:szCs w:val="23"/>
                  <w:u w:val="none"/>
                </w:rPr>
                <w:t xml:space="preserve"> et al.</w:t>
              </w:r>
              <w:r w:rsidR="00133CB9" w:rsidRPr="00364531">
                <w:rPr>
                  <w:rStyle w:val="Hyperlink"/>
                  <w:rFonts w:ascii="Times New Roman" w:hAnsi="Times New Roman" w:cs="Times New Roman"/>
                  <w:color w:val="auto"/>
                  <w:sz w:val="23"/>
                  <w:szCs w:val="23"/>
                  <w:u w:val="none"/>
                </w:rPr>
                <w:t>, 2004)</w:t>
              </w:r>
            </w:hyperlink>
          </w:p>
          <w:p w:rsidR="00133CB9" w:rsidRPr="00364531" w:rsidRDefault="00C649AB" w:rsidP="00C2218E">
            <w:pPr>
              <w:rPr>
                <w:rFonts w:ascii="Times New Roman" w:hAnsi="Times New Roman" w:cs="Times New Roman"/>
                <w:sz w:val="23"/>
                <w:szCs w:val="23"/>
              </w:rPr>
            </w:pPr>
            <w:hyperlink r:id="rId21">
              <w:r w:rsidR="00133CB9" w:rsidRPr="00364531">
                <w:rPr>
                  <w:rStyle w:val="Hyperlink"/>
                  <w:rFonts w:ascii="Times New Roman" w:hAnsi="Times New Roman" w:cs="Times New Roman"/>
                  <w:color w:val="auto"/>
                  <w:sz w:val="23"/>
                  <w:szCs w:val="23"/>
                  <w:u w:val="none"/>
                </w:rPr>
                <w:t>(Ulas-Kilic et al., 2018)</w:t>
              </w:r>
            </w:hyperlink>
          </w:p>
        </w:tc>
      </w:tr>
    </w:tbl>
    <w:p w:rsidR="00133CB9" w:rsidRPr="009F27E4" w:rsidRDefault="00133CB9" w:rsidP="00133CB9">
      <w:pPr>
        <w:spacing w:after="0"/>
        <w:ind w:left="720"/>
        <w:rPr>
          <w:rFonts w:ascii="Times New Roman" w:hAnsi="Times New Roman" w:cs="Times New Roman"/>
          <w:sz w:val="24"/>
          <w:szCs w:val="24"/>
        </w:rPr>
      </w:pPr>
    </w:p>
    <w:p w:rsidR="00133CB9" w:rsidRPr="009F27E4" w:rsidRDefault="00133CB9" w:rsidP="00133CB9">
      <w:pPr>
        <w:spacing w:after="0"/>
        <w:ind w:left="360"/>
        <w:rPr>
          <w:rFonts w:ascii="Times New Roman" w:hAnsi="Times New Roman" w:cs="Times New Roman"/>
          <w:sz w:val="24"/>
          <w:szCs w:val="24"/>
        </w:rPr>
      </w:pPr>
      <w:r w:rsidRPr="009F27E4">
        <w:rPr>
          <w:rFonts w:ascii="Times New Roman" w:hAnsi="Times New Roman" w:cs="Times New Roman"/>
          <w:sz w:val="24"/>
          <w:szCs w:val="24"/>
        </w:rPr>
        <w:t>.</w:t>
      </w:r>
    </w:p>
    <w:p w:rsidR="00133CB9" w:rsidRPr="009F27E4" w:rsidRDefault="00133CB9" w:rsidP="00133CB9">
      <w:pPr>
        <w:spacing w:after="0"/>
        <w:ind w:left="360"/>
        <w:rPr>
          <w:rFonts w:ascii="Times New Roman" w:hAnsi="Times New Roman" w:cs="Times New Roman"/>
          <w:b/>
          <w:sz w:val="24"/>
          <w:szCs w:val="24"/>
        </w:rPr>
      </w:pPr>
      <w:r w:rsidRPr="009F27E4">
        <w:rPr>
          <w:rFonts w:ascii="Times New Roman" w:hAnsi="Times New Roman" w:cs="Times New Roman"/>
          <w:b/>
          <w:sz w:val="24"/>
          <w:szCs w:val="24"/>
        </w:rPr>
        <w:t>Table 2: Theoretical Frameworks and Methodological Approaches by Study Focus</w:t>
      </w:r>
    </w:p>
    <w:p w:rsidR="00133CB9" w:rsidRPr="009F27E4" w:rsidRDefault="00133CB9" w:rsidP="00133CB9">
      <w:pPr>
        <w:spacing w:after="0"/>
        <w:ind w:left="360"/>
        <w:rPr>
          <w:rFonts w:ascii="Times New Roman" w:hAnsi="Times New Roman" w:cs="Times New Roman"/>
          <w:sz w:val="24"/>
          <w:szCs w:val="24"/>
        </w:rPr>
      </w:pPr>
    </w:p>
    <w:tbl>
      <w:tblPr>
        <w:tblStyle w:val="TableGrid"/>
        <w:tblW w:w="0" w:type="auto"/>
        <w:tblLayout w:type="fixed"/>
        <w:tblLook w:val="0000"/>
      </w:tblPr>
      <w:tblGrid>
        <w:gridCol w:w="1962"/>
        <w:gridCol w:w="2531"/>
        <w:gridCol w:w="2271"/>
        <w:gridCol w:w="2216"/>
      </w:tblGrid>
      <w:tr w:rsidR="00133CB9" w:rsidRPr="009F27E4" w:rsidTr="00133CB9">
        <w:tc>
          <w:tcPr>
            <w:tcW w:w="1962"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Study Focus</w:t>
            </w:r>
          </w:p>
        </w:tc>
        <w:tc>
          <w:tcPr>
            <w:tcW w:w="2531"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Dominant Theoretical Framework(s)</w:t>
            </w:r>
          </w:p>
        </w:tc>
        <w:tc>
          <w:tcPr>
            <w:tcW w:w="2271"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Methodological Approaches</w:t>
            </w:r>
          </w:p>
        </w:tc>
        <w:tc>
          <w:tcPr>
            <w:tcW w:w="2216"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Reference (s)</w:t>
            </w:r>
          </w:p>
        </w:tc>
      </w:tr>
      <w:tr w:rsidR="00133CB9" w:rsidRPr="009F27E4" w:rsidTr="00133CB9">
        <w:tc>
          <w:tcPr>
            <w:tcW w:w="1962"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Parenting Style &amp; Career Decisions</w:t>
            </w:r>
          </w:p>
        </w:tc>
        <w:tc>
          <w:tcPr>
            <w:tcW w:w="253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Self-Determination Theory, SCCT</w:t>
            </w:r>
          </w:p>
        </w:tc>
        <w:tc>
          <w:tcPr>
            <w:tcW w:w="227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Latent profile analysis, regression</w:t>
            </w:r>
          </w:p>
        </w:tc>
        <w:tc>
          <w:tcPr>
            <w:tcW w:w="2216" w:type="dxa"/>
          </w:tcPr>
          <w:p w:rsidR="00133CB9" w:rsidRPr="0091434B" w:rsidRDefault="00C649AB" w:rsidP="00C2218E">
            <w:pPr>
              <w:rPr>
                <w:rFonts w:ascii="Times New Roman" w:hAnsi="Times New Roman" w:cs="Times New Roman"/>
                <w:sz w:val="23"/>
                <w:szCs w:val="23"/>
              </w:rPr>
            </w:pPr>
            <w:hyperlink r:id="rId22">
              <w:r w:rsidR="00133CB9" w:rsidRPr="0091434B">
                <w:rPr>
                  <w:rStyle w:val="Hyperlink"/>
                  <w:rFonts w:ascii="Times New Roman" w:hAnsi="Times New Roman" w:cs="Times New Roman"/>
                  <w:color w:val="auto"/>
                  <w:sz w:val="23"/>
                  <w:szCs w:val="23"/>
                  <w:u w:val="none"/>
                </w:rPr>
                <w:t>(Ahn et al., 2023)</w:t>
              </w:r>
            </w:hyperlink>
          </w:p>
          <w:p w:rsidR="00133CB9" w:rsidRPr="0091434B" w:rsidRDefault="00C649AB" w:rsidP="00C2218E">
            <w:pPr>
              <w:rPr>
                <w:rFonts w:ascii="Times New Roman" w:hAnsi="Times New Roman" w:cs="Times New Roman"/>
                <w:sz w:val="23"/>
                <w:szCs w:val="23"/>
              </w:rPr>
            </w:pPr>
            <w:hyperlink r:id="rId23">
              <w:r w:rsidR="00133CB9" w:rsidRPr="0091434B">
                <w:rPr>
                  <w:rStyle w:val="Hyperlink"/>
                  <w:rFonts w:ascii="Times New Roman" w:hAnsi="Times New Roman" w:cs="Times New Roman"/>
                  <w:color w:val="auto"/>
                  <w:sz w:val="23"/>
                  <w:szCs w:val="23"/>
                  <w:u w:val="none"/>
                </w:rPr>
                <w:t>(Chasanah</w:t>
              </w:r>
              <w:r w:rsidR="0070467D">
                <w:rPr>
                  <w:rStyle w:val="Hyperlink"/>
                  <w:rFonts w:ascii="Times New Roman" w:hAnsi="Times New Roman" w:cs="Times New Roman"/>
                  <w:color w:val="auto"/>
                  <w:sz w:val="23"/>
                  <w:szCs w:val="23"/>
                  <w:u w:val="none"/>
                </w:rPr>
                <w:t xml:space="preserve"> </w:t>
              </w:r>
              <w:r w:rsidR="00133CB9" w:rsidRPr="0091434B">
                <w:rPr>
                  <w:rStyle w:val="Hyperlink"/>
                  <w:rFonts w:ascii="Times New Roman" w:hAnsi="Times New Roman" w:cs="Times New Roman"/>
                  <w:color w:val="auto"/>
                  <w:sz w:val="23"/>
                  <w:szCs w:val="23"/>
                  <w:u w:val="none"/>
                </w:rPr>
                <w:t>&amp;</w:t>
              </w:r>
              <w:r w:rsidR="0070467D">
                <w:rPr>
                  <w:rStyle w:val="Hyperlink"/>
                  <w:rFonts w:ascii="Times New Roman" w:hAnsi="Times New Roman" w:cs="Times New Roman"/>
                  <w:color w:val="auto"/>
                  <w:sz w:val="23"/>
                  <w:szCs w:val="23"/>
                  <w:u w:val="none"/>
                </w:rPr>
                <w:t xml:space="preserve"> </w:t>
              </w:r>
              <w:r w:rsidR="00133CB9" w:rsidRPr="0091434B">
                <w:rPr>
                  <w:rStyle w:val="Hyperlink"/>
                  <w:rFonts w:ascii="Times New Roman" w:hAnsi="Times New Roman" w:cs="Times New Roman"/>
                  <w:color w:val="auto"/>
                  <w:sz w:val="23"/>
                  <w:szCs w:val="23"/>
                  <w:u w:val="none"/>
                </w:rPr>
                <w:t>Salim, 2019)</w:t>
              </w:r>
            </w:hyperlink>
          </w:p>
          <w:p w:rsidR="00133CB9" w:rsidRPr="0091434B" w:rsidRDefault="00C649AB" w:rsidP="00C2218E">
            <w:pPr>
              <w:rPr>
                <w:rFonts w:ascii="Times New Roman" w:hAnsi="Times New Roman" w:cs="Times New Roman"/>
                <w:sz w:val="23"/>
                <w:szCs w:val="23"/>
              </w:rPr>
            </w:pPr>
            <w:hyperlink r:id="rId24">
              <w:r w:rsidR="00133CB9" w:rsidRPr="0091434B">
                <w:rPr>
                  <w:rStyle w:val="Hyperlink"/>
                  <w:rFonts w:ascii="Times New Roman" w:hAnsi="Times New Roman" w:cs="Times New Roman"/>
                  <w:color w:val="auto"/>
                  <w:sz w:val="23"/>
                  <w:szCs w:val="23"/>
                  <w:u w:val="none"/>
                </w:rPr>
                <w:t>(Ginevra et al., 2015)</w:t>
              </w:r>
            </w:hyperlink>
          </w:p>
        </w:tc>
      </w:tr>
      <w:tr w:rsidR="00133CB9" w:rsidRPr="009F27E4" w:rsidTr="00133CB9">
        <w:tc>
          <w:tcPr>
            <w:tcW w:w="1962"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lastRenderedPageBreak/>
              <w:t>SES &amp; Identity/Career Formation</w:t>
            </w:r>
          </w:p>
        </w:tc>
        <w:tc>
          <w:tcPr>
            <w:tcW w:w="253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Family Stress Model, SCCT</w:t>
            </w:r>
          </w:p>
        </w:tc>
        <w:tc>
          <w:tcPr>
            <w:tcW w:w="227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Mediation analysis, regression</w:t>
            </w:r>
          </w:p>
        </w:tc>
        <w:tc>
          <w:tcPr>
            <w:tcW w:w="2216" w:type="dxa"/>
          </w:tcPr>
          <w:p w:rsidR="00133CB9" w:rsidRPr="0091434B" w:rsidRDefault="00C649AB" w:rsidP="00C2218E">
            <w:pPr>
              <w:rPr>
                <w:rFonts w:ascii="Times New Roman" w:hAnsi="Times New Roman" w:cs="Times New Roman"/>
                <w:sz w:val="23"/>
                <w:szCs w:val="23"/>
              </w:rPr>
            </w:pPr>
            <w:hyperlink r:id="rId25">
              <w:r w:rsidR="00133CB9" w:rsidRPr="0091434B">
                <w:rPr>
                  <w:rStyle w:val="Hyperlink"/>
                  <w:rFonts w:ascii="Times New Roman" w:hAnsi="Times New Roman" w:cs="Times New Roman"/>
                  <w:color w:val="auto"/>
                  <w:sz w:val="23"/>
                  <w:szCs w:val="23"/>
                  <w:u w:val="none"/>
                </w:rPr>
                <w:t>(Rivnyák et al., 2021)</w:t>
              </w:r>
            </w:hyperlink>
          </w:p>
          <w:p w:rsidR="00133CB9" w:rsidRPr="0091434B" w:rsidRDefault="00C649AB" w:rsidP="00C2218E">
            <w:pPr>
              <w:rPr>
                <w:rFonts w:ascii="Times New Roman" w:hAnsi="Times New Roman" w:cs="Times New Roman"/>
                <w:sz w:val="23"/>
                <w:szCs w:val="23"/>
              </w:rPr>
            </w:pPr>
            <w:hyperlink r:id="rId26">
              <w:r w:rsidR="00133CB9" w:rsidRPr="0091434B">
                <w:rPr>
                  <w:rStyle w:val="Hyperlink"/>
                  <w:rFonts w:ascii="Times New Roman" w:hAnsi="Times New Roman" w:cs="Times New Roman"/>
                  <w:color w:val="auto"/>
                  <w:sz w:val="23"/>
                  <w:szCs w:val="23"/>
                  <w:u w:val="none"/>
                </w:rPr>
                <w:t>(Parola</w:t>
              </w:r>
              <w:r w:rsidR="0070467D">
                <w:rPr>
                  <w:rStyle w:val="Hyperlink"/>
                  <w:rFonts w:ascii="Times New Roman" w:hAnsi="Times New Roman" w:cs="Times New Roman"/>
                  <w:color w:val="auto"/>
                  <w:sz w:val="23"/>
                  <w:szCs w:val="23"/>
                  <w:u w:val="none"/>
                </w:rPr>
                <w:t xml:space="preserve"> </w:t>
              </w:r>
              <w:r w:rsidR="00133CB9" w:rsidRPr="0091434B">
                <w:rPr>
                  <w:rStyle w:val="Hyperlink"/>
                  <w:rFonts w:ascii="Times New Roman" w:hAnsi="Times New Roman" w:cs="Times New Roman"/>
                  <w:color w:val="auto"/>
                  <w:sz w:val="23"/>
                  <w:szCs w:val="23"/>
                  <w:u w:val="none"/>
                </w:rPr>
                <w:t>&amp;</w:t>
              </w:r>
              <w:r w:rsidR="0070467D">
                <w:rPr>
                  <w:rStyle w:val="Hyperlink"/>
                  <w:rFonts w:ascii="Times New Roman" w:hAnsi="Times New Roman" w:cs="Times New Roman"/>
                  <w:color w:val="auto"/>
                  <w:sz w:val="23"/>
                  <w:szCs w:val="23"/>
                  <w:u w:val="none"/>
                </w:rPr>
                <w:t xml:space="preserve"> </w:t>
              </w:r>
              <w:r w:rsidR="00133CB9" w:rsidRPr="0091434B">
                <w:rPr>
                  <w:rStyle w:val="Hyperlink"/>
                  <w:rFonts w:ascii="Times New Roman" w:hAnsi="Times New Roman" w:cs="Times New Roman"/>
                  <w:color w:val="auto"/>
                  <w:sz w:val="23"/>
                  <w:szCs w:val="23"/>
                  <w:u w:val="none"/>
                </w:rPr>
                <w:t>Marcionetti, 2021)</w:t>
              </w:r>
            </w:hyperlink>
          </w:p>
        </w:tc>
      </w:tr>
      <w:tr w:rsidR="00133CB9" w:rsidRPr="009F27E4" w:rsidTr="00133CB9">
        <w:tc>
          <w:tcPr>
            <w:tcW w:w="1962"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 xml:space="preserve">Self-Concept/Self-Perception </w:t>
            </w:r>
          </w:p>
        </w:tc>
        <w:tc>
          <w:tcPr>
            <w:tcW w:w="253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SCCT, Self-Esteem Theory</w:t>
            </w:r>
          </w:p>
        </w:tc>
        <w:tc>
          <w:tcPr>
            <w:tcW w:w="227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Meta-analysis, regression</w:t>
            </w:r>
          </w:p>
        </w:tc>
        <w:tc>
          <w:tcPr>
            <w:tcW w:w="2216" w:type="dxa"/>
          </w:tcPr>
          <w:p w:rsidR="00133CB9" w:rsidRPr="0091434B" w:rsidRDefault="00C649AB" w:rsidP="00C2218E">
            <w:pPr>
              <w:rPr>
                <w:rFonts w:ascii="Times New Roman" w:hAnsi="Times New Roman" w:cs="Times New Roman"/>
                <w:sz w:val="23"/>
                <w:szCs w:val="23"/>
              </w:rPr>
            </w:pPr>
            <w:hyperlink r:id="rId27">
              <w:r w:rsidR="00133CB9" w:rsidRPr="0091434B">
                <w:rPr>
                  <w:rStyle w:val="Hyperlink"/>
                  <w:rFonts w:ascii="Times New Roman" w:hAnsi="Times New Roman" w:cs="Times New Roman"/>
                  <w:color w:val="auto"/>
                  <w:sz w:val="23"/>
                  <w:szCs w:val="23"/>
                  <w:u w:val="none"/>
                </w:rPr>
                <w:t>(Scherrer</w:t>
              </w:r>
              <w:r w:rsidR="0070467D">
                <w:rPr>
                  <w:rStyle w:val="Hyperlink"/>
                  <w:rFonts w:ascii="Times New Roman" w:hAnsi="Times New Roman" w:cs="Times New Roman"/>
                  <w:color w:val="auto"/>
                  <w:sz w:val="23"/>
                  <w:szCs w:val="23"/>
                  <w:u w:val="none"/>
                </w:rPr>
                <w:t xml:space="preserve"> </w:t>
              </w:r>
              <w:r w:rsidR="00133CB9" w:rsidRPr="0091434B">
                <w:rPr>
                  <w:rStyle w:val="Hyperlink"/>
                  <w:rFonts w:ascii="Times New Roman" w:hAnsi="Times New Roman" w:cs="Times New Roman"/>
                  <w:color w:val="auto"/>
                  <w:sz w:val="23"/>
                  <w:szCs w:val="23"/>
                  <w:u w:val="none"/>
                </w:rPr>
                <w:t>&amp;</w:t>
              </w:r>
              <w:r w:rsidR="0070467D">
                <w:rPr>
                  <w:rStyle w:val="Hyperlink"/>
                  <w:rFonts w:ascii="Times New Roman" w:hAnsi="Times New Roman" w:cs="Times New Roman"/>
                  <w:color w:val="auto"/>
                  <w:sz w:val="23"/>
                  <w:szCs w:val="23"/>
                  <w:u w:val="none"/>
                </w:rPr>
                <w:t xml:space="preserve"> </w:t>
              </w:r>
              <w:r w:rsidR="00133CB9" w:rsidRPr="0091434B">
                <w:rPr>
                  <w:rStyle w:val="Hyperlink"/>
                  <w:rFonts w:ascii="Times New Roman" w:hAnsi="Times New Roman" w:cs="Times New Roman"/>
                  <w:color w:val="auto"/>
                  <w:sz w:val="23"/>
                  <w:szCs w:val="23"/>
                  <w:u w:val="none"/>
                </w:rPr>
                <w:t>Preckel, 2018)</w:t>
              </w:r>
            </w:hyperlink>
          </w:p>
          <w:p w:rsidR="00133CB9" w:rsidRPr="0091434B" w:rsidRDefault="00C649AB" w:rsidP="00C2218E">
            <w:pPr>
              <w:rPr>
                <w:rFonts w:ascii="Times New Roman" w:hAnsi="Times New Roman" w:cs="Times New Roman"/>
                <w:sz w:val="23"/>
                <w:szCs w:val="23"/>
              </w:rPr>
            </w:pPr>
            <w:hyperlink r:id="rId28">
              <w:r w:rsidR="00133CB9" w:rsidRPr="0091434B">
                <w:rPr>
                  <w:rStyle w:val="Hyperlink"/>
                  <w:rFonts w:ascii="Times New Roman" w:hAnsi="Times New Roman" w:cs="Times New Roman"/>
                  <w:color w:val="auto"/>
                  <w:sz w:val="23"/>
                  <w:szCs w:val="23"/>
                  <w:u w:val="none"/>
                </w:rPr>
                <w:t>(Ulas-Kilic et al., 2018)</w:t>
              </w:r>
            </w:hyperlink>
          </w:p>
          <w:p w:rsidR="00133CB9" w:rsidRPr="0091434B" w:rsidRDefault="00C649AB" w:rsidP="00C2218E">
            <w:pPr>
              <w:rPr>
                <w:rFonts w:ascii="Times New Roman" w:hAnsi="Times New Roman" w:cs="Times New Roman"/>
                <w:sz w:val="23"/>
                <w:szCs w:val="23"/>
              </w:rPr>
            </w:pPr>
            <w:hyperlink r:id="rId29">
              <w:r w:rsidR="00133CB9" w:rsidRPr="0091434B">
                <w:rPr>
                  <w:rStyle w:val="Hyperlink"/>
                  <w:rFonts w:ascii="Times New Roman" w:hAnsi="Times New Roman" w:cs="Times New Roman"/>
                  <w:color w:val="auto"/>
                  <w:sz w:val="23"/>
                  <w:szCs w:val="23"/>
                  <w:u w:val="none"/>
                </w:rPr>
                <w:t>(Altaf et al., 2021)</w:t>
              </w:r>
            </w:hyperlink>
          </w:p>
        </w:tc>
      </w:tr>
      <w:tr w:rsidR="00133CB9" w:rsidRPr="009F27E4" w:rsidTr="00133CB9">
        <w:tc>
          <w:tcPr>
            <w:tcW w:w="1962"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Gender/Locality Disparities</w:t>
            </w:r>
          </w:p>
        </w:tc>
        <w:tc>
          <w:tcPr>
            <w:tcW w:w="253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Intersectionality, SCCT</w:t>
            </w:r>
          </w:p>
        </w:tc>
        <w:tc>
          <w:tcPr>
            <w:tcW w:w="227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Survey, moderation/mediation models</w:t>
            </w:r>
          </w:p>
        </w:tc>
        <w:tc>
          <w:tcPr>
            <w:tcW w:w="2216" w:type="dxa"/>
          </w:tcPr>
          <w:p w:rsidR="00133CB9" w:rsidRPr="0091434B" w:rsidRDefault="00C649AB" w:rsidP="00C2218E">
            <w:pPr>
              <w:rPr>
                <w:rFonts w:ascii="Times New Roman" w:hAnsi="Times New Roman" w:cs="Times New Roman"/>
                <w:sz w:val="23"/>
                <w:szCs w:val="23"/>
              </w:rPr>
            </w:pPr>
            <w:hyperlink r:id="rId30">
              <w:r w:rsidR="00133CB9" w:rsidRPr="0091434B">
                <w:rPr>
                  <w:rStyle w:val="Hyperlink"/>
                  <w:rFonts w:ascii="Times New Roman" w:hAnsi="Times New Roman" w:cs="Times New Roman"/>
                  <w:color w:val="auto"/>
                  <w:sz w:val="23"/>
                  <w:szCs w:val="23"/>
                  <w:u w:val="none"/>
                </w:rPr>
                <w:t>(Wang, 2025)</w:t>
              </w:r>
            </w:hyperlink>
          </w:p>
          <w:p w:rsidR="00133CB9" w:rsidRPr="0091434B" w:rsidRDefault="00C649AB" w:rsidP="00C2218E">
            <w:pPr>
              <w:rPr>
                <w:rFonts w:ascii="Times New Roman" w:hAnsi="Times New Roman" w:cs="Times New Roman"/>
                <w:sz w:val="23"/>
                <w:szCs w:val="23"/>
              </w:rPr>
            </w:pPr>
            <w:hyperlink r:id="rId31">
              <w:r w:rsidR="00133CB9" w:rsidRPr="0091434B">
                <w:rPr>
                  <w:rStyle w:val="Hyperlink"/>
                  <w:rFonts w:ascii="Times New Roman" w:hAnsi="Times New Roman" w:cs="Times New Roman"/>
                  <w:color w:val="auto"/>
                  <w:sz w:val="23"/>
                  <w:szCs w:val="23"/>
                  <w:u w:val="none"/>
                </w:rPr>
                <w:t>(Edwards &amp; Quinter, 2011)</w:t>
              </w:r>
            </w:hyperlink>
          </w:p>
          <w:p w:rsidR="00133CB9" w:rsidRPr="0091434B" w:rsidRDefault="00C649AB" w:rsidP="00C2218E">
            <w:pPr>
              <w:rPr>
                <w:rFonts w:ascii="Times New Roman" w:hAnsi="Times New Roman" w:cs="Times New Roman"/>
                <w:sz w:val="23"/>
                <w:szCs w:val="23"/>
              </w:rPr>
            </w:pPr>
            <w:hyperlink r:id="rId32">
              <w:r w:rsidR="00133CB9" w:rsidRPr="0091434B">
                <w:rPr>
                  <w:rStyle w:val="Hyperlink"/>
                  <w:rFonts w:ascii="Times New Roman" w:hAnsi="Times New Roman" w:cs="Times New Roman"/>
                  <w:color w:val="auto"/>
                  <w:sz w:val="23"/>
                  <w:szCs w:val="23"/>
                  <w:u w:val="none"/>
                </w:rPr>
                <w:t>(Alloway</w:t>
              </w:r>
              <w:r w:rsidR="00086FB7" w:rsidRPr="0091434B">
                <w:rPr>
                  <w:rStyle w:val="Hyperlink"/>
                  <w:rFonts w:ascii="Times New Roman" w:hAnsi="Times New Roman" w:cs="Times New Roman"/>
                  <w:color w:val="auto"/>
                  <w:sz w:val="23"/>
                  <w:szCs w:val="23"/>
                  <w:u w:val="none"/>
                </w:rPr>
                <w:t xml:space="preserve"> et al.</w:t>
              </w:r>
              <w:r w:rsidR="00133CB9" w:rsidRPr="0091434B">
                <w:rPr>
                  <w:rStyle w:val="Hyperlink"/>
                  <w:rFonts w:ascii="Times New Roman" w:hAnsi="Times New Roman" w:cs="Times New Roman"/>
                  <w:color w:val="auto"/>
                  <w:sz w:val="23"/>
                  <w:szCs w:val="23"/>
                  <w:u w:val="none"/>
                </w:rPr>
                <w:t>, 2004)</w:t>
              </w:r>
            </w:hyperlink>
          </w:p>
        </w:tc>
      </w:tr>
      <w:tr w:rsidR="00133CB9" w:rsidRPr="009F27E4" w:rsidTr="00133CB9">
        <w:tc>
          <w:tcPr>
            <w:tcW w:w="1962" w:type="dxa"/>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Parental Involvement</w:t>
            </w:r>
          </w:p>
        </w:tc>
        <w:tc>
          <w:tcPr>
            <w:tcW w:w="253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Sociological/Psychological (varied)</w:t>
            </w:r>
          </w:p>
        </w:tc>
        <w:tc>
          <w:tcPr>
            <w:tcW w:w="2271" w:type="dxa"/>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Bibliometric, thematic, qualitative</w:t>
            </w:r>
          </w:p>
        </w:tc>
        <w:tc>
          <w:tcPr>
            <w:tcW w:w="2216" w:type="dxa"/>
          </w:tcPr>
          <w:p w:rsidR="00133CB9" w:rsidRPr="0091434B" w:rsidRDefault="00C649AB" w:rsidP="00C2218E">
            <w:pPr>
              <w:rPr>
                <w:rFonts w:ascii="Times New Roman" w:hAnsi="Times New Roman" w:cs="Times New Roman"/>
                <w:sz w:val="23"/>
                <w:szCs w:val="23"/>
              </w:rPr>
            </w:pPr>
            <w:hyperlink r:id="rId33">
              <w:r w:rsidR="00133CB9" w:rsidRPr="0091434B">
                <w:rPr>
                  <w:rStyle w:val="Hyperlink"/>
                  <w:rFonts w:ascii="Times New Roman" w:hAnsi="Times New Roman" w:cs="Times New Roman"/>
                  <w:color w:val="auto"/>
                  <w:sz w:val="23"/>
                  <w:szCs w:val="23"/>
                  <w:u w:val="none"/>
                </w:rPr>
                <w:t>(Addi-Raccah et al., 2021)</w:t>
              </w:r>
            </w:hyperlink>
          </w:p>
          <w:p w:rsidR="00133CB9" w:rsidRPr="0091434B" w:rsidRDefault="00C649AB" w:rsidP="00C2218E">
            <w:pPr>
              <w:rPr>
                <w:rFonts w:ascii="Times New Roman" w:hAnsi="Times New Roman" w:cs="Times New Roman"/>
                <w:sz w:val="23"/>
                <w:szCs w:val="23"/>
              </w:rPr>
            </w:pPr>
            <w:hyperlink r:id="rId34">
              <w:r w:rsidR="00133CB9" w:rsidRPr="0091434B">
                <w:rPr>
                  <w:rStyle w:val="Hyperlink"/>
                  <w:rFonts w:ascii="Times New Roman" w:hAnsi="Times New Roman" w:cs="Times New Roman"/>
                  <w:color w:val="auto"/>
                  <w:sz w:val="23"/>
                  <w:szCs w:val="23"/>
                  <w:u w:val="none"/>
                </w:rPr>
                <w:t>(Fitzmaurice et al., 2020)</w:t>
              </w:r>
            </w:hyperlink>
          </w:p>
        </w:tc>
      </w:tr>
    </w:tbl>
    <w:p w:rsidR="00133CB9" w:rsidRPr="009F27E4" w:rsidRDefault="00133CB9" w:rsidP="00133CB9">
      <w:pPr>
        <w:spacing w:after="0"/>
        <w:rPr>
          <w:rFonts w:ascii="Times New Roman" w:hAnsi="Times New Roman" w:cs="Times New Roman"/>
          <w:sz w:val="24"/>
          <w:szCs w:val="24"/>
        </w:rPr>
      </w:pPr>
    </w:p>
    <w:p w:rsidR="00133CB9" w:rsidRPr="009F27E4" w:rsidRDefault="00133CB9" w:rsidP="00133CB9">
      <w:pPr>
        <w:pStyle w:val="Heading3"/>
        <w:spacing w:before="0" w:after="0"/>
        <w:jc w:val="center"/>
        <w:rPr>
          <w:sz w:val="24"/>
          <w:szCs w:val="24"/>
        </w:rPr>
      </w:pPr>
      <w:r w:rsidRPr="009F27E4">
        <w:rPr>
          <w:sz w:val="24"/>
          <w:szCs w:val="24"/>
        </w:rPr>
        <w:t>Table 3: Patterns and Disparities in Career Decision-Making Outcomes</w:t>
      </w:r>
    </w:p>
    <w:tbl>
      <w:tblPr>
        <w:tblStyle w:val="TableGrid"/>
        <w:tblW w:w="0" w:type="auto"/>
        <w:tblLook w:val="0000"/>
      </w:tblPr>
      <w:tblGrid>
        <w:gridCol w:w="1265"/>
        <w:gridCol w:w="2930"/>
        <w:gridCol w:w="3251"/>
        <w:gridCol w:w="1797"/>
      </w:tblGrid>
      <w:tr w:rsidR="00133CB9" w:rsidRPr="009F27E4" w:rsidTr="00133CB9">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Dimension</w:t>
            </w:r>
          </w:p>
        </w:tc>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Pattern/Disparity Observed</w:t>
            </w:r>
          </w:p>
        </w:tc>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Data/Findings</w:t>
            </w:r>
          </w:p>
        </w:tc>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Reference (s)</w:t>
            </w:r>
          </w:p>
        </w:tc>
      </w:tr>
      <w:tr w:rsidR="00133CB9" w:rsidRPr="009F27E4" w:rsidTr="00133CB9">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Gender</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Girls often higher in self-efficacy; gender moderates parenting effects</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Girls benefit more from positive parenting; boys from authoritative fathers</w:t>
            </w:r>
          </w:p>
        </w:tc>
        <w:tc>
          <w:tcPr>
            <w:tcW w:w="0" w:type="auto"/>
          </w:tcPr>
          <w:p w:rsidR="00133CB9" w:rsidRPr="0091434B" w:rsidRDefault="00C649AB" w:rsidP="00C2218E">
            <w:pPr>
              <w:rPr>
                <w:rFonts w:ascii="Times New Roman" w:hAnsi="Times New Roman" w:cs="Times New Roman"/>
                <w:sz w:val="23"/>
                <w:szCs w:val="23"/>
              </w:rPr>
            </w:pPr>
            <w:hyperlink r:id="rId35">
              <w:r w:rsidR="00133CB9" w:rsidRPr="0091434B">
                <w:rPr>
                  <w:rStyle w:val="Hyperlink"/>
                  <w:rFonts w:ascii="Times New Roman" w:hAnsi="Times New Roman" w:cs="Times New Roman"/>
                  <w:color w:val="auto"/>
                  <w:sz w:val="23"/>
                  <w:szCs w:val="23"/>
                  <w:u w:val="none"/>
                </w:rPr>
                <w:t>(Ulas-Kilic et al., 2018)</w:t>
              </w:r>
            </w:hyperlink>
          </w:p>
          <w:p w:rsidR="00133CB9" w:rsidRPr="0091434B" w:rsidRDefault="00C649AB" w:rsidP="00C2218E">
            <w:pPr>
              <w:rPr>
                <w:rFonts w:ascii="Times New Roman" w:hAnsi="Times New Roman" w:cs="Times New Roman"/>
                <w:sz w:val="23"/>
                <w:szCs w:val="23"/>
              </w:rPr>
            </w:pPr>
            <w:hyperlink r:id="rId36">
              <w:r w:rsidR="00133CB9" w:rsidRPr="0091434B">
                <w:rPr>
                  <w:rStyle w:val="Hyperlink"/>
                  <w:rFonts w:ascii="Times New Roman" w:hAnsi="Times New Roman" w:cs="Times New Roman"/>
                  <w:color w:val="auto"/>
                  <w:sz w:val="23"/>
                  <w:szCs w:val="23"/>
                  <w:u w:val="none"/>
                </w:rPr>
                <w:t>(Keshavarz</w:t>
              </w:r>
              <w:r w:rsidR="0070467D">
                <w:rPr>
                  <w:rStyle w:val="Hyperlink"/>
                  <w:rFonts w:ascii="Times New Roman" w:hAnsi="Times New Roman" w:cs="Times New Roman"/>
                  <w:color w:val="auto"/>
                  <w:sz w:val="23"/>
                  <w:szCs w:val="23"/>
                  <w:u w:val="none"/>
                </w:rPr>
                <w:t xml:space="preserve"> </w:t>
              </w:r>
              <w:r w:rsidR="00133CB9" w:rsidRPr="0091434B">
                <w:rPr>
                  <w:rStyle w:val="Hyperlink"/>
                  <w:rFonts w:ascii="Times New Roman" w:hAnsi="Times New Roman" w:cs="Times New Roman"/>
                  <w:color w:val="auto"/>
                  <w:sz w:val="23"/>
                  <w:szCs w:val="23"/>
                  <w:u w:val="none"/>
                </w:rPr>
                <w:t>&amp; Mounts, 2017)</w:t>
              </w:r>
            </w:hyperlink>
          </w:p>
          <w:p w:rsidR="00133CB9" w:rsidRPr="0091434B" w:rsidRDefault="00C649AB" w:rsidP="00C2218E">
            <w:pPr>
              <w:rPr>
                <w:rFonts w:ascii="Times New Roman" w:hAnsi="Times New Roman" w:cs="Times New Roman"/>
                <w:sz w:val="23"/>
                <w:szCs w:val="23"/>
              </w:rPr>
            </w:pPr>
            <w:hyperlink r:id="rId37">
              <w:r w:rsidR="00133CB9" w:rsidRPr="0091434B">
                <w:rPr>
                  <w:rStyle w:val="Hyperlink"/>
                  <w:rFonts w:ascii="Times New Roman" w:hAnsi="Times New Roman" w:cs="Times New Roman"/>
                  <w:color w:val="auto"/>
                  <w:sz w:val="23"/>
                  <w:szCs w:val="23"/>
                  <w:u w:val="none"/>
                </w:rPr>
                <w:t>(Wang, 2025)</w:t>
              </w:r>
            </w:hyperlink>
          </w:p>
        </w:tc>
      </w:tr>
      <w:tr w:rsidR="00133CB9" w:rsidRPr="009F27E4" w:rsidTr="00133CB9">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Locality</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Urban focus; rural underrepresented; resource disparities</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Urban students have more resources; rural students face constraints but may have strong attachment</w:t>
            </w:r>
          </w:p>
        </w:tc>
        <w:tc>
          <w:tcPr>
            <w:tcW w:w="0" w:type="auto"/>
          </w:tcPr>
          <w:p w:rsidR="00133CB9" w:rsidRPr="0091434B" w:rsidRDefault="00C649AB" w:rsidP="00C2218E">
            <w:pPr>
              <w:rPr>
                <w:rFonts w:ascii="Times New Roman" w:hAnsi="Times New Roman" w:cs="Times New Roman"/>
                <w:sz w:val="23"/>
                <w:szCs w:val="23"/>
              </w:rPr>
            </w:pPr>
            <w:hyperlink r:id="rId38">
              <w:r w:rsidR="00133CB9" w:rsidRPr="0091434B">
                <w:rPr>
                  <w:rStyle w:val="Hyperlink"/>
                  <w:rFonts w:ascii="Times New Roman" w:hAnsi="Times New Roman" w:cs="Times New Roman"/>
                  <w:color w:val="auto"/>
                  <w:sz w:val="23"/>
                  <w:szCs w:val="23"/>
                  <w:u w:val="none"/>
                </w:rPr>
                <w:t>(Tilak, 2002)</w:t>
              </w:r>
            </w:hyperlink>
          </w:p>
          <w:p w:rsidR="00133CB9" w:rsidRPr="0091434B" w:rsidRDefault="00C649AB" w:rsidP="00C2218E">
            <w:pPr>
              <w:rPr>
                <w:rFonts w:ascii="Times New Roman" w:hAnsi="Times New Roman" w:cs="Times New Roman"/>
                <w:sz w:val="23"/>
                <w:szCs w:val="23"/>
              </w:rPr>
            </w:pPr>
            <w:hyperlink r:id="rId39">
              <w:r w:rsidR="00133CB9" w:rsidRPr="0091434B">
                <w:rPr>
                  <w:rStyle w:val="Hyperlink"/>
                  <w:rFonts w:ascii="Times New Roman" w:hAnsi="Times New Roman" w:cs="Times New Roman"/>
                  <w:color w:val="auto"/>
                  <w:sz w:val="23"/>
                  <w:szCs w:val="23"/>
                  <w:u w:val="none"/>
                </w:rPr>
                <w:t>(Petrin et al., 2014)</w:t>
              </w:r>
            </w:hyperlink>
          </w:p>
          <w:p w:rsidR="00133CB9" w:rsidRPr="0091434B" w:rsidRDefault="00C649AB" w:rsidP="00C2218E">
            <w:pPr>
              <w:rPr>
                <w:rFonts w:ascii="Times New Roman" w:hAnsi="Times New Roman" w:cs="Times New Roman"/>
                <w:sz w:val="23"/>
                <w:szCs w:val="23"/>
              </w:rPr>
            </w:pPr>
            <w:hyperlink r:id="rId40">
              <w:r w:rsidR="00133CB9" w:rsidRPr="0091434B">
                <w:rPr>
                  <w:rStyle w:val="Hyperlink"/>
                  <w:rFonts w:ascii="Times New Roman" w:hAnsi="Times New Roman" w:cs="Times New Roman"/>
                  <w:color w:val="auto"/>
                  <w:sz w:val="23"/>
                  <w:szCs w:val="23"/>
                  <w:u w:val="none"/>
                </w:rPr>
                <w:t>(Addi-Raccah et al., 2021)</w:t>
              </w:r>
            </w:hyperlink>
          </w:p>
        </w:tc>
      </w:tr>
      <w:tr w:rsidR="00133CB9" w:rsidRPr="009F27E4" w:rsidTr="00133CB9">
        <w:tc>
          <w:tcPr>
            <w:tcW w:w="0" w:type="auto"/>
          </w:tcPr>
          <w:p w:rsidR="00133CB9" w:rsidRPr="009F27E4" w:rsidRDefault="00133CB9" w:rsidP="00C2218E">
            <w:pPr>
              <w:rPr>
                <w:rFonts w:ascii="Times New Roman" w:hAnsi="Times New Roman" w:cs="Times New Roman"/>
                <w:b/>
                <w:sz w:val="23"/>
                <w:szCs w:val="23"/>
              </w:rPr>
            </w:pPr>
            <w:r w:rsidRPr="009F27E4">
              <w:rPr>
                <w:rFonts w:ascii="Times New Roman" w:hAnsi="Times New Roman" w:cs="Times New Roman"/>
                <w:b/>
                <w:sz w:val="23"/>
                <w:szCs w:val="23"/>
              </w:rPr>
              <w:t>SES</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Higher SES linked to better outcomes via family characteristics</w:t>
            </w:r>
          </w:p>
        </w:tc>
        <w:tc>
          <w:tcPr>
            <w:tcW w:w="0" w:type="auto"/>
          </w:tcPr>
          <w:p w:rsidR="00133CB9" w:rsidRPr="009F27E4" w:rsidRDefault="00133CB9" w:rsidP="00C2218E">
            <w:pPr>
              <w:rPr>
                <w:rFonts w:ascii="Times New Roman" w:hAnsi="Times New Roman" w:cs="Times New Roman"/>
                <w:sz w:val="23"/>
                <w:szCs w:val="23"/>
              </w:rPr>
            </w:pPr>
            <w:r w:rsidRPr="009F27E4">
              <w:rPr>
                <w:rFonts w:ascii="Times New Roman" w:hAnsi="Times New Roman" w:cs="Times New Roman"/>
                <w:sz w:val="23"/>
                <w:szCs w:val="23"/>
              </w:rPr>
              <w:t>SES impacts identity/career via family rituals, history, identification</w:t>
            </w:r>
          </w:p>
        </w:tc>
        <w:tc>
          <w:tcPr>
            <w:tcW w:w="0" w:type="auto"/>
          </w:tcPr>
          <w:p w:rsidR="00133CB9" w:rsidRPr="0091434B" w:rsidRDefault="00C649AB" w:rsidP="00C2218E">
            <w:pPr>
              <w:rPr>
                <w:rFonts w:ascii="Times New Roman" w:hAnsi="Times New Roman" w:cs="Times New Roman"/>
                <w:sz w:val="23"/>
                <w:szCs w:val="23"/>
              </w:rPr>
            </w:pPr>
            <w:hyperlink r:id="rId41">
              <w:r w:rsidR="0070467D">
                <w:rPr>
                  <w:rStyle w:val="Hyperlink"/>
                  <w:rFonts w:ascii="Times New Roman" w:hAnsi="Times New Roman" w:cs="Times New Roman"/>
                  <w:color w:val="auto"/>
                  <w:sz w:val="23"/>
                  <w:szCs w:val="23"/>
                  <w:u w:val="none"/>
                </w:rPr>
                <w:t>(Rivnya</w:t>
              </w:r>
              <w:r w:rsidR="00133CB9" w:rsidRPr="0091434B">
                <w:rPr>
                  <w:rStyle w:val="Hyperlink"/>
                  <w:rFonts w:ascii="Times New Roman" w:hAnsi="Times New Roman" w:cs="Times New Roman"/>
                  <w:color w:val="auto"/>
                  <w:sz w:val="23"/>
                  <w:szCs w:val="23"/>
                  <w:u w:val="none"/>
                </w:rPr>
                <w:t>k et al., 2021)</w:t>
              </w:r>
            </w:hyperlink>
          </w:p>
          <w:p w:rsidR="00133CB9" w:rsidRPr="0091434B" w:rsidRDefault="00C649AB" w:rsidP="00C2218E">
            <w:pPr>
              <w:rPr>
                <w:rFonts w:ascii="Times New Roman" w:hAnsi="Times New Roman" w:cs="Times New Roman"/>
                <w:sz w:val="23"/>
                <w:szCs w:val="23"/>
              </w:rPr>
            </w:pPr>
            <w:hyperlink r:id="rId42">
              <w:r w:rsidR="00133CB9" w:rsidRPr="0091434B">
                <w:rPr>
                  <w:rStyle w:val="Hyperlink"/>
                  <w:rFonts w:ascii="Times New Roman" w:hAnsi="Times New Roman" w:cs="Times New Roman"/>
                  <w:color w:val="auto"/>
                  <w:sz w:val="23"/>
                  <w:szCs w:val="23"/>
                  <w:u w:val="none"/>
                </w:rPr>
                <w:t>(Tilak, 2002)</w:t>
              </w:r>
            </w:hyperlink>
          </w:p>
          <w:p w:rsidR="00133CB9" w:rsidRPr="0091434B" w:rsidRDefault="00C649AB" w:rsidP="00C2218E">
            <w:pPr>
              <w:rPr>
                <w:rFonts w:ascii="Times New Roman" w:hAnsi="Times New Roman" w:cs="Times New Roman"/>
                <w:sz w:val="23"/>
                <w:szCs w:val="23"/>
              </w:rPr>
            </w:pPr>
            <w:hyperlink r:id="rId43">
              <w:r w:rsidR="00133CB9" w:rsidRPr="0091434B">
                <w:rPr>
                  <w:rStyle w:val="Hyperlink"/>
                  <w:rFonts w:ascii="Times New Roman" w:hAnsi="Times New Roman" w:cs="Times New Roman"/>
                  <w:color w:val="auto"/>
                  <w:sz w:val="23"/>
                  <w:szCs w:val="23"/>
                  <w:u w:val="none"/>
                </w:rPr>
                <w:t>(Milovanska-Farrington, 2021)</w:t>
              </w:r>
            </w:hyperlink>
          </w:p>
        </w:tc>
      </w:tr>
    </w:tbl>
    <w:p w:rsidR="00133CB9" w:rsidRPr="00422DAD" w:rsidRDefault="00133CB9" w:rsidP="00133CB9">
      <w:pPr>
        <w:spacing w:after="0"/>
        <w:rPr>
          <w:rFonts w:ascii="Times New Roman" w:hAnsi="Times New Roman" w:cs="Times New Roman"/>
          <w:sz w:val="24"/>
          <w:szCs w:val="24"/>
        </w:rPr>
      </w:pPr>
    </w:p>
    <w:p w:rsidR="00133CB9" w:rsidRPr="00422DAD" w:rsidRDefault="00133CB9" w:rsidP="0094412D">
      <w:pPr>
        <w:spacing w:after="0" w:line="360" w:lineRule="auto"/>
        <w:jc w:val="both"/>
        <w:outlineLvl w:val="1"/>
        <w:rPr>
          <w:rFonts w:ascii="Times New Roman" w:eastAsia="Times New Roman" w:hAnsi="Times New Roman" w:cs="Times New Roman"/>
          <w:b/>
          <w:bCs/>
          <w:sz w:val="24"/>
          <w:szCs w:val="24"/>
        </w:rPr>
      </w:pPr>
    </w:p>
    <w:p w:rsidR="0094412D" w:rsidRPr="0094412D" w:rsidRDefault="00B9584F" w:rsidP="0094412D">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IDENTIFICATION OF RESEARCH GAPS</w:t>
      </w:r>
    </w:p>
    <w:p w:rsidR="0094412D" w:rsidRPr="00422DAD" w:rsidRDefault="0094412D" w:rsidP="00A57264">
      <w:pPr>
        <w:spacing w:after="0" w:line="360" w:lineRule="auto"/>
        <w:ind w:firstLine="720"/>
        <w:jc w:val="both"/>
        <w:rPr>
          <w:rFonts w:ascii="Times New Roman" w:eastAsia="Times New Roman" w:hAnsi="Times New Roman" w:cs="Times New Roman"/>
          <w:sz w:val="24"/>
          <w:szCs w:val="24"/>
        </w:rPr>
      </w:pPr>
      <w:r w:rsidRPr="0094412D">
        <w:rPr>
          <w:rFonts w:ascii="Times New Roman" w:eastAsia="Times New Roman" w:hAnsi="Times New Roman" w:cs="Times New Roman"/>
          <w:sz w:val="24"/>
          <w:szCs w:val="24"/>
        </w:rPr>
        <w:t>Despite a substantial expansion of scholarship on adolescent career decision-making, several gaps continue to limit integrated understanding, particularly at the secondary (Grade 10) stage.</w:t>
      </w:r>
    </w:p>
    <w:p w:rsidR="0094412D" w:rsidRPr="00422DA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lastRenderedPageBreak/>
        <w:t>Under-research</w:t>
      </w:r>
      <w:r w:rsidR="00A57264" w:rsidRPr="00422DAD">
        <w:rPr>
          <w:rFonts w:ascii="Times New Roman" w:eastAsia="Times New Roman" w:hAnsi="Times New Roman" w:cs="Times New Roman"/>
          <w:bCs/>
          <w:sz w:val="24"/>
          <w:szCs w:val="24"/>
        </w:rPr>
        <w:t>ed intersections and mechanisms:</w:t>
      </w:r>
      <w:r w:rsidRPr="0094412D">
        <w:rPr>
          <w:rFonts w:ascii="Times New Roman" w:eastAsia="Times New Roman" w:hAnsi="Times New Roman" w:cs="Times New Roman"/>
          <w:sz w:val="24"/>
          <w:szCs w:val="24"/>
        </w:rPr>
        <w:t xml:space="preserve"> Existing studies often examine household education expenditure, parenting style, and self-perception separately, with limited attention to how these factors interact. The combined influence of family financial investment with specific parenting practices on career decision-making self-efficacy remains insufficiently explored, including how high investment may operate differently under authoritarian versus authoritative parenting climates (Lent et al., 2016).</w:t>
      </w:r>
    </w:p>
    <w:p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Inadequate population coverage and disaggregation</w:t>
      </w:r>
      <w:r w:rsidR="00A57264"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Many studies rely on broad samples and generalized conclusions, obscuring variations by socio-economic strata and locality. Disaggregated evidence across urban–rural contexts, socio-economic groups, and gender remains limited, alongside a shortage of longitudinal work that captures changes in aspirations and decision trajectories across adolescence (OECD, 2020).</w:t>
      </w:r>
    </w:p>
    <w:p w:rsidR="00B9584F"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Weak regional repr</w:t>
      </w:r>
      <w:r w:rsidR="00A57264" w:rsidRPr="00422DAD">
        <w:rPr>
          <w:rFonts w:ascii="Times New Roman" w:eastAsia="Times New Roman" w:hAnsi="Times New Roman" w:cs="Times New Roman"/>
          <w:bCs/>
          <w:sz w:val="24"/>
          <w:szCs w:val="24"/>
        </w:rPr>
        <w:t xml:space="preserve">esentation, particularly Odisha: </w:t>
      </w:r>
      <w:r w:rsidRPr="0094412D">
        <w:rPr>
          <w:rFonts w:ascii="Times New Roman" w:eastAsia="Times New Roman" w:hAnsi="Times New Roman" w:cs="Times New Roman"/>
          <w:sz w:val="24"/>
          <w:szCs w:val="24"/>
        </w:rPr>
        <w:t>Empirical studies examining Grade 10 career decision-making in Odisha remain scarce, restricting context-specific insights needed for culturally and socio-economically grounded interventions, given Odisha’s distinctive demographic and linguistic profile (Ministry of Education, Government of India, 2021).</w:t>
      </w:r>
    </w:p>
    <w:p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Methodological limitations</w:t>
      </w:r>
      <w:r w:rsidR="00A57264"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Cross-sectional survey designs dominate the literature, limiting causal inference and constraining understanding of developmental dynamics. There is comparatively little longitudinal and mixed-methods research, and a continuing need for culturally validated psychometric tools suitable for diverse Indian contexts (Patel &amp; Shah, 2019).</w:t>
      </w:r>
    </w:p>
    <w:p w:rsidR="0094412D" w:rsidRPr="0094412D" w:rsidRDefault="00900BDE"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 xml:space="preserve">Conceptual and theoretical gaps: </w:t>
      </w:r>
      <w:r w:rsidR="0094412D" w:rsidRPr="0094412D">
        <w:rPr>
          <w:rFonts w:ascii="Times New Roman" w:eastAsia="Times New Roman" w:hAnsi="Times New Roman" w:cs="Times New Roman"/>
          <w:sz w:val="24"/>
          <w:szCs w:val="24"/>
        </w:rPr>
        <w:t>Foundational models such as Social Cognitive Career Theory and Super’s developmental approach offer valuable scaffolding but often under-specify how family economic decisions, psychological constructs, and s</w:t>
      </w:r>
      <w:r w:rsidR="00E35713">
        <w:rPr>
          <w:rFonts w:ascii="Times New Roman" w:eastAsia="Times New Roman" w:hAnsi="Times New Roman" w:cs="Times New Roman"/>
          <w:sz w:val="24"/>
          <w:szCs w:val="24"/>
        </w:rPr>
        <w:t xml:space="preserve">ocio-cultural contexts interact </w:t>
      </w:r>
      <w:r w:rsidR="0094412D" w:rsidRPr="0094412D">
        <w:rPr>
          <w:rFonts w:ascii="Times New Roman" w:eastAsia="Times New Roman" w:hAnsi="Times New Roman" w:cs="Times New Roman"/>
          <w:sz w:val="24"/>
          <w:szCs w:val="24"/>
        </w:rPr>
        <w:t>particularly in non-Western settings. “Family influence” is frequently treated as a broad construct without distinguishing informational, emotional, and financial dimensions (Bandura, 1986; Super, 1990).</w:t>
      </w:r>
    </w:p>
    <w:p w:rsidR="0094412D" w:rsidRPr="00422DA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Policy disconnects</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Empirical evaluations of policy infl</w:t>
      </w:r>
      <w:r w:rsidR="00E35713">
        <w:rPr>
          <w:rFonts w:ascii="Times New Roman" w:eastAsia="Times New Roman" w:hAnsi="Times New Roman" w:cs="Times New Roman"/>
          <w:sz w:val="24"/>
          <w:szCs w:val="24"/>
        </w:rPr>
        <w:t xml:space="preserve">uence on career decision-making especially NEP 2020 </w:t>
      </w:r>
      <w:r w:rsidRPr="0094412D">
        <w:rPr>
          <w:rFonts w:ascii="Times New Roman" w:eastAsia="Times New Roman" w:hAnsi="Times New Roman" w:cs="Times New Roman"/>
          <w:sz w:val="24"/>
          <w:szCs w:val="24"/>
        </w:rPr>
        <w:t>remain limited. More research is required to assess whether vocational integration, flexible pathways, and guidance provisions reduce disparities by gender, locality, and socio-economic status (Ministry of Education, Government of India, 2020).</w:t>
      </w:r>
    </w:p>
    <w:p w:rsidR="0051175F" w:rsidRPr="0094412D" w:rsidRDefault="0051175F" w:rsidP="0094412D">
      <w:pPr>
        <w:spacing w:after="0" w:line="360" w:lineRule="auto"/>
        <w:jc w:val="both"/>
        <w:rPr>
          <w:rFonts w:ascii="Times New Roman" w:eastAsia="Times New Roman" w:hAnsi="Times New Roman" w:cs="Times New Roman"/>
          <w:sz w:val="24"/>
          <w:szCs w:val="24"/>
        </w:rPr>
      </w:pPr>
    </w:p>
    <w:p w:rsidR="0094412D" w:rsidRPr="0094412D" w:rsidRDefault="00B9584F" w:rsidP="0094412D">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FUTURE RESEARCH SCOPE</w:t>
      </w:r>
    </w:p>
    <w:p w:rsidR="0094412D" w:rsidRPr="0094412D" w:rsidRDefault="0094412D" w:rsidP="00900BDE">
      <w:pPr>
        <w:spacing w:after="0" w:line="360" w:lineRule="auto"/>
        <w:ind w:firstLine="720"/>
        <w:jc w:val="both"/>
        <w:rPr>
          <w:rFonts w:ascii="Times New Roman" w:eastAsia="Times New Roman" w:hAnsi="Times New Roman" w:cs="Times New Roman"/>
          <w:sz w:val="24"/>
          <w:szCs w:val="24"/>
        </w:rPr>
      </w:pPr>
      <w:r w:rsidRPr="0094412D">
        <w:rPr>
          <w:rFonts w:ascii="Times New Roman" w:eastAsia="Times New Roman" w:hAnsi="Times New Roman" w:cs="Times New Roman"/>
          <w:sz w:val="24"/>
          <w:szCs w:val="24"/>
        </w:rPr>
        <w:t>Future research should respond to these gaps through methodological strengthening, integrated models, and regional specificity.</w:t>
      </w:r>
    </w:p>
    <w:p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lastRenderedPageBreak/>
        <w:t>Integrated and interaction-based models</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Research should move beyond single-variable studies and develop models that examine interactive effects among household education expenditure, parenting dimensions (expectations, autonomy support, direct guidance), and multiple facets of self-perception (academic self-concept, career self-efficacy, self-esteem) to explain career decision outcomes (Eccles &amp; Wigfield, 2020).</w:t>
      </w:r>
    </w:p>
    <w:p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Longitudinal and mixed-methods designs</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Longitudinal studies are essential to track how aspirations and career decision-making self-efficacy evolve through adolescence and how Grade 10 decisions translate into later pathways (Super, 1990; Lent et al., 2016). Mixed-methods designs combining surveys with interviews can capture context-specific reasoning, constraints, and family negotiation processes.</w:t>
      </w:r>
    </w:p>
    <w:p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Micro-level district studies, especially in Odisha</w:t>
      </w:r>
      <w:r w:rsidR="00900BDE" w:rsidRPr="00422DAD">
        <w:rPr>
          <w:rFonts w:ascii="Times New Roman" w:eastAsia="Times New Roman" w:hAnsi="Times New Roman" w:cs="Times New Roman"/>
          <w:bCs/>
          <w:sz w:val="24"/>
          <w:szCs w:val="24"/>
        </w:rPr>
        <w:t>:</w:t>
      </w:r>
      <w:r w:rsidR="0070467D">
        <w:rPr>
          <w:rFonts w:ascii="Times New Roman" w:eastAsia="Times New Roman" w:hAnsi="Times New Roman" w:cs="Times New Roman"/>
          <w:bCs/>
          <w:sz w:val="24"/>
          <w:szCs w:val="24"/>
        </w:rPr>
        <w:t xml:space="preserve"> </w:t>
      </w:r>
      <w:r w:rsidRPr="0094412D">
        <w:rPr>
          <w:rFonts w:ascii="Times New Roman" w:eastAsia="Times New Roman" w:hAnsi="Times New Roman" w:cs="Times New Roman"/>
          <w:sz w:val="24"/>
          <w:szCs w:val="24"/>
        </w:rPr>
        <w:t>District and sub-district research is needed to capture localized economic conditions, cultural practices, and educational infrastructure dif</w:t>
      </w:r>
      <w:r w:rsidR="00E35713">
        <w:rPr>
          <w:rFonts w:ascii="Times New Roman" w:eastAsia="Times New Roman" w:hAnsi="Times New Roman" w:cs="Times New Roman"/>
          <w:sz w:val="24"/>
          <w:szCs w:val="24"/>
        </w:rPr>
        <w:t xml:space="preserve">ferences shaping career choices </w:t>
      </w:r>
      <w:r w:rsidRPr="0094412D">
        <w:rPr>
          <w:rFonts w:ascii="Times New Roman" w:eastAsia="Times New Roman" w:hAnsi="Times New Roman" w:cs="Times New Roman"/>
          <w:sz w:val="24"/>
          <w:szCs w:val="24"/>
        </w:rPr>
        <w:t>particularly across rural and urban samples within Odisha (NIEPA, 2021).</w:t>
      </w:r>
    </w:p>
    <w:p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Gender-sensitive and rural-focused inquiry</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Future studies should explicitly test gendered pathways, including barriers to non-traditional careers and differential parental expectations. Dedicated rural studies are required to avoid treating rural decision-making merely as a comparison category to urban contexts (NCERT, 2020).</w:t>
      </w:r>
    </w:p>
    <w:p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Policy evaluation under NEP 2020</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Rigorous implementation and outcome evaluations are needed to assess how vocational integration, multidisciplinary learning, and flexible credit systems affect career awareness, skill d</w:t>
      </w:r>
      <w:r w:rsidR="00E35713">
        <w:rPr>
          <w:rFonts w:ascii="Times New Roman" w:eastAsia="Times New Roman" w:hAnsi="Times New Roman" w:cs="Times New Roman"/>
          <w:sz w:val="24"/>
          <w:szCs w:val="24"/>
        </w:rPr>
        <w:t xml:space="preserve">evelopment, and equity outcomes </w:t>
      </w:r>
      <w:r w:rsidRPr="0094412D">
        <w:rPr>
          <w:rFonts w:ascii="Times New Roman" w:eastAsia="Times New Roman" w:hAnsi="Times New Roman" w:cs="Times New Roman"/>
          <w:sz w:val="24"/>
          <w:szCs w:val="24"/>
        </w:rPr>
        <w:t>particularly for rural and disadvantaged students (Ministry of Education, 2020).</w:t>
      </w:r>
    </w:p>
    <w:p w:rsidR="0094412D" w:rsidRPr="0094412D" w:rsidRDefault="0094412D" w:rsidP="0094412D">
      <w:pPr>
        <w:spacing w:after="0" w:line="360" w:lineRule="auto"/>
        <w:jc w:val="both"/>
        <w:rPr>
          <w:rFonts w:ascii="Times New Roman" w:eastAsia="Times New Roman" w:hAnsi="Times New Roman" w:cs="Times New Roman"/>
          <w:sz w:val="24"/>
          <w:szCs w:val="24"/>
        </w:rPr>
      </w:pPr>
      <w:r w:rsidRPr="00422DAD">
        <w:rPr>
          <w:rFonts w:ascii="Times New Roman" w:eastAsia="Times New Roman" w:hAnsi="Times New Roman" w:cs="Times New Roman"/>
          <w:bCs/>
          <w:sz w:val="24"/>
          <w:szCs w:val="24"/>
        </w:rPr>
        <w:t>Intervention and programme research</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 xml:space="preserve"> Research should design and test culturally responsive career counseling and parent-engagement interventions tailored to socio-economic context and self-efficacy levels, with targeted focus on groups such as rural girls and marginalized students (Gupta &amp; Singh, 2019). Extending theoretical models to include mediators such as resilience and cultural identity may further improve explanatory power (Lent et al., 2016; Lent &amp; Brown, 2013).</w:t>
      </w:r>
    </w:p>
    <w:p w:rsidR="0094412D" w:rsidRPr="00422DAD" w:rsidRDefault="0094412D" w:rsidP="00900BDE">
      <w:pPr>
        <w:spacing w:after="0" w:line="240" w:lineRule="auto"/>
        <w:jc w:val="both"/>
        <w:rPr>
          <w:rFonts w:ascii="Times New Roman" w:eastAsia="Times New Roman" w:hAnsi="Times New Roman" w:cs="Times New Roman"/>
          <w:sz w:val="24"/>
          <w:szCs w:val="24"/>
        </w:rPr>
      </w:pPr>
    </w:p>
    <w:p w:rsidR="0094412D" w:rsidRPr="0094412D" w:rsidRDefault="00B9584F" w:rsidP="0094412D">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POLICY IMPLICATIONS</w:t>
      </w:r>
    </w:p>
    <w:p w:rsidR="0094412D" w:rsidRPr="00422DAD" w:rsidRDefault="0094412D" w:rsidP="00900BDE">
      <w:pPr>
        <w:spacing w:after="0" w:line="360" w:lineRule="auto"/>
        <w:ind w:firstLine="720"/>
        <w:jc w:val="both"/>
        <w:rPr>
          <w:rFonts w:ascii="Times New Roman" w:eastAsia="Times New Roman" w:hAnsi="Times New Roman" w:cs="Times New Roman"/>
          <w:sz w:val="24"/>
          <w:szCs w:val="24"/>
        </w:rPr>
      </w:pPr>
      <w:r w:rsidRPr="0094412D">
        <w:rPr>
          <w:rFonts w:ascii="Times New Roman" w:eastAsia="Times New Roman" w:hAnsi="Times New Roman" w:cs="Times New Roman"/>
          <w:sz w:val="24"/>
          <w:szCs w:val="24"/>
        </w:rPr>
        <w:t>The review suggests actionable implications for NEP 2020–aligned implementation across policy, schools, families, and counseling systems.</w:t>
      </w:r>
    </w:p>
    <w:p w:rsidR="0094412D" w:rsidRPr="0094412D" w:rsidRDefault="0094412D" w:rsidP="00900BDE">
      <w:pPr>
        <w:spacing w:after="0" w:line="360" w:lineRule="auto"/>
        <w:jc w:val="both"/>
        <w:outlineLvl w:val="2"/>
        <w:rPr>
          <w:rFonts w:ascii="Times New Roman" w:eastAsia="Times New Roman" w:hAnsi="Times New Roman" w:cs="Times New Roman"/>
          <w:bCs/>
          <w:sz w:val="24"/>
          <w:szCs w:val="24"/>
        </w:rPr>
      </w:pPr>
      <w:r w:rsidRPr="00422DAD">
        <w:rPr>
          <w:rFonts w:ascii="Times New Roman" w:eastAsia="Times New Roman" w:hAnsi="Times New Roman" w:cs="Times New Roman"/>
          <w:bCs/>
          <w:sz w:val="24"/>
          <w:szCs w:val="24"/>
        </w:rPr>
        <w:t>Implications for Education Policy</w:t>
      </w:r>
      <w:r w:rsidR="00900BDE" w:rsidRPr="00422DAD">
        <w:rPr>
          <w:rFonts w:ascii="Times New Roman" w:eastAsia="Times New Roman" w:hAnsi="Times New Roman" w:cs="Times New Roman"/>
          <w:bCs/>
          <w:sz w:val="24"/>
          <w:szCs w:val="24"/>
        </w:rPr>
        <w:t xml:space="preserve">: </w:t>
      </w:r>
      <w:r w:rsidRPr="0094412D">
        <w:rPr>
          <w:rFonts w:ascii="Times New Roman" w:eastAsia="Times New Roman" w:hAnsi="Times New Roman" w:cs="Times New Roman"/>
          <w:sz w:val="24"/>
          <w:szCs w:val="24"/>
        </w:rPr>
        <w:t xml:space="preserve">NEP 2020’s vocational and multidisciplinary vision can be strengthened through practical support systems. Policymakers should accelerate vocational </w:t>
      </w:r>
      <w:r w:rsidRPr="0094412D">
        <w:rPr>
          <w:rFonts w:ascii="Times New Roman" w:eastAsia="Times New Roman" w:hAnsi="Times New Roman" w:cs="Times New Roman"/>
          <w:sz w:val="24"/>
          <w:szCs w:val="24"/>
        </w:rPr>
        <w:lastRenderedPageBreak/>
        <w:t>exposure from Grade 8 onward by investing in infrastructure, qualified trainers, and s</w:t>
      </w:r>
      <w:r w:rsidR="00E35713">
        <w:rPr>
          <w:rFonts w:ascii="Times New Roman" w:eastAsia="Times New Roman" w:hAnsi="Times New Roman" w:cs="Times New Roman"/>
          <w:sz w:val="24"/>
          <w:szCs w:val="24"/>
        </w:rPr>
        <w:t xml:space="preserve">tructured industry partnerships </w:t>
      </w:r>
      <w:r w:rsidRPr="0094412D">
        <w:rPr>
          <w:rFonts w:ascii="Times New Roman" w:eastAsia="Times New Roman" w:hAnsi="Times New Roman" w:cs="Times New Roman"/>
          <w:sz w:val="24"/>
          <w:szCs w:val="24"/>
        </w:rPr>
        <w:t>especiall</w:t>
      </w:r>
      <w:r w:rsidR="00E35713">
        <w:rPr>
          <w:rFonts w:ascii="Times New Roman" w:eastAsia="Times New Roman" w:hAnsi="Times New Roman" w:cs="Times New Roman"/>
          <w:sz w:val="24"/>
          <w:szCs w:val="24"/>
        </w:rPr>
        <w:t xml:space="preserve">y in rural and semi-urban areas </w:t>
      </w:r>
      <w:r w:rsidRPr="0094412D">
        <w:rPr>
          <w:rFonts w:ascii="Times New Roman" w:eastAsia="Times New Roman" w:hAnsi="Times New Roman" w:cs="Times New Roman"/>
          <w:sz w:val="24"/>
          <w:szCs w:val="24"/>
        </w:rPr>
        <w:t>to improve legitimacy and uptake of vocational pathways (Ministry of Education, 2020). To reduce urban–rural disparities, targeted funding should prioritize digital access, learning platforms, and mobile or cluster-based career guidance units where counselor availability is limited (OECD, 2021). Curriculum and communication strategies should also actively counter gender stereotypes by providing gender-neutral career information and encouraging girls’ entry into STEM and boys’ participation in traditionally female-dominated domains (UNESCO, 2019).</w:t>
      </w:r>
    </w:p>
    <w:p w:rsidR="0094412D" w:rsidRPr="0094412D" w:rsidRDefault="0094412D" w:rsidP="00900BDE">
      <w:pPr>
        <w:spacing w:after="0" w:line="360" w:lineRule="auto"/>
        <w:jc w:val="both"/>
        <w:outlineLvl w:val="2"/>
        <w:rPr>
          <w:rFonts w:ascii="Times New Roman" w:eastAsia="Times New Roman" w:hAnsi="Times New Roman" w:cs="Times New Roman"/>
          <w:bCs/>
          <w:sz w:val="24"/>
          <w:szCs w:val="24"/>
        </w:rPr>
      </w:pPr>
      <w:r w:rsidRPr="00422DAD">
        <w:rPr>
          <w:rFonts w:ascii="Times New Roman" w:eastAsia="Times New Roman" w:hAnsi="Times New Roman" w:cs="Times New Roman"/>
          <w:bCs/>
          <w:sz w:val="24"/>
          <w:szCs w:val="24"/>
        </w:rPr>
        <w:t>Guidance for Parents and Schools</w:t>
      </w:r>
      <w:r w:rsidR="00900BDE" w:rsidRPr="00422DAD">
        <w:rPr>
          <w:rFonts w:ascii="Times New Roman" w:eastAsia="Times New Roman" w:hAnsi="Times New Roman" w:cs="Times New Roman"/>
          <w:bCs/>
          <w:sz w:val="24"/>
          <w:szCs w:val="24"/>
        </w:rPr>
        <w:t xml:space="preserve">: </w:t>
      </w:r>
      <w:r w:rsidRPr="0094412D">
        <w:rPr>
          <w:rFonts w:ascii="Times New Roman" w:eastAsia="Times New Roman" w:hAnsi="Times New Roman" w:cs="Times New Roman"/>
          <w:sz w:val="24"/>
          <w:szCs w:val="24"/>
        </w:rPr>
        <w:t>Schools and community organizations should implement parental education programmes highlighting the v</w:t>
      </w:r>
      <w:r w:rsidR="00E35713">
        <w:rPr>
          <w:rFonts w:ascii="Times New Roman" w:eastAsia="Times New Roman" w:hAnsi="Times New Roman" w:cs="Times New Roman"/>
          <w:sz w:val="24"/>
          <w:szCs w:val="24"/>
        </w:rPr>
        <w:t xml:space="preserve">alue of authoritative parenting </w:t>
      </w:r>
      <w:r w:rsidRPr="0094412D">
        <w:rPr>
          <w:rFonts w:ascii="Times New Roman" w:eastAsia="Times New Roman" w:hAnsi="Times New Roman" w:cs="Times New Roman"/>
          <w:sz w:val="24"/>
          <w:szCs w:val="24"/>
        </w:rPr>
        <w:t>balancing guidan</w:t>
      </w:r>
      <w:r w:rsidR="00E35713">
        <w:rPr>
          <w:rFonts w:ascii="Times New Roman" w:eastAsia="Times New Roman" w:hAnsi="Times New Roman" w:cs="Times New Roman"/>
          <w:sz w:val="24"/>
          <w:szCs w:val="24"/>
        </w:rPr>
        <w:t xml:space="preserve">ce with autonomy support </w:t>
      </w:r>
      <w:r w:rsidRPr="0094412D">
        <w:rPr>
          <w:rFonts w:ascii="Times New Roman" w:eastAsia="Times New Roman" w:hAnsi="Times New Roman" w:cs="Times New Roman"/>
          <w:sz w:val="24"/>
          <w:szCs w:val="24"/>
        </w:rPr>
        <w:t>to strengthen students’ decision-making self-efficacy and reduce indecision (Ahn et al., 2023). Such programmes should also address gender bias in educational investment. Structured school–home communication channels can support parents with accurate information on career options, higher education pathways, and skill-based alternatives (NCERT, 2021).</w:t>
      </w:r>
    </w:p>
    <w:p w:rsidR="0094412D" w:rsidRPr="0094412D" w:rsidRDefault="0094412D" w:rsidP="00900BDE">
      <w:pPr>
        <w:spacing w:after="0" w:line="360" w:lineRule="auto"/>
        <w:jc w:val="both"/>
        <w:outlineLvl w:val="2"/>
        <w:rPr>
          <w:rFonts w:ascii="Times New Roman" w:eastAsia="Times New Roman" w:hAnsi="Times New Roman" w:cs="Times New Roman"/>
          <w:bCs/>
          <w:sz w:val="24"/>
          <w:szCs w:val="24"/>
        </w:rPr>
      </w:pPr>
      <w:r w:rsidRPr="00422DAD">
        <w:rPr>
          <w:rFonts w:ascii="Times New Roman" w:eastAsia="Times New Roman" w:hAnsi="Times New Roman" w:cs="Times New Roman"/>
          <w:bCs/>
          <w:sz w:val="24"/>
          <w:szCs w:val="24"/>
        </w:rPr>
        <w:t>Career Counseling Interventions</w:t>
      </w:r>
      <w:r w:rsidR="00900BDE" w:rsidRPr="00422DAD">
        <w:rPr>
          <w:rFonts w:ascii="Times New Roman" w:eastAsia="Times New Roman" w:hAnsi="Times New Roman" w:cs="Times New Roman"/>
          <w:bCs/>
          <w:sz w:val="24"/>
          <w:szCs w:val="24"/>
        </w:rPr>
        <w:t xml:space="preserve">: </w:t>
      </w:r>
      <w:r w:rsidRPr="0094412D">
        <w:rPr>
          <w:rFonts w:ascii="Times New Roman" w:eastAsia="Times New Roman" w:hAnsi="Times New Roman" w:cs="Times New Roman"/>
          <w:sz w:val="24"/>
          <w:szCs w:val="24"/>
        </w:rPr>
        <w:t>Career guidance should prioritize building career self-efficacy through skill-building workshops, experiential decision-making activities, and exposure to diverse role models (Lent et al., 2017). Counseling must be personalized and context-sensitive, incorporating socio-economic constraints and providing information on scholarships and alternative pathways to mitigate financial barriers (Garg et al., 2022). Career awareness</w:t>
      </w:r>
      <w:r w:rsidR="00E35713">
        <w:rPr>
          <w:rFonts w:ascii="Times New Roman" w:eastAsia="Times New Roman" w:hAnsi="Times New Roman" w:cs="Times New Roman"/>
          <w:sz w:val="24"/>
          <w:szCs w:val="24"/>
        </w:rPr>
        <w:t xml:space="preserve"> initiatives should begin early ideally in middle school </w:t>
      </w:r>
      <w:r w:rsidRPr="0094412D">
        <w:rPr>
          <w:rFonts w:ascii="Times New Roman" w:eastAsia="Times New Roman" w:hAnsi="Times New Roman" w:cs="Times New Roman"/>
          <w:sz w:val="24"/>
          <w:szCs w:val="24"/>
        </w:rPr>
        <w:t>to allow time for exploration before Grade 10 subject decisions (Ministry of Education, 2020).</w:t>
      </w:r>
    </w:p>
    <w:p w:rsidR="0094412D" w:rsidRPr="00422DAD" w:rsidRDefault="0094412D" w:rsidP="00900BDE">
      <w:pPr>
        <w:spacing w:after="0" w:line="360" w:lineRule="auto"/>
        <w:jc w:val="both"/>
        <w:outlineLvl w:val="2"/>
        <w:rPr>
          <w:rFonts w:ascii="Times New Roman" w:eastAsia="Times New Roman" w:hAnsi="Times New Roman" w:cs="Times New Roman"/>
          <w:b/>
          <w:bCs/>
          <w:sz w:val="24"/>
          <w:szCs w:val="24"/>
        </w:rPr>
      </w:pPr>
      <w:r w:rsidRPr="00422DAD">
        <w:rPr>
          <w:rFonts w:ascii="Times New Roman" w:eastAsia="Times New Roman" w:hAnsi="Times New Roman" w:cs="Times New Roman"/>
          <w:bCs/>
          <w:sz w:val="24"/>
          <w:szCs w:val="24"/>
        </w:rPr>
        <w:t>Equity-Focused Educational Planning</w:t>
      </w:r>
      <w:r w:rsidR="00900BDE" w:rsidRPr="00422DAD">
        <w:rPr>
          <w:rFonts w:ascii="Times New Roman" w:eastAsia="Times New Roman" w:hAnsi="Times New Roman" w:cs="Times New Roman"/>
          <w:bCs/>
          <w:sz w:val="24"/>
          <w:szCs w:val="24"/>
        </w:rPr>
        <w:t>:</w:t>
      </w:r>
      <w:r w:rsidRPr="0094412D">
        <w:rPr>
          <w:rFonts w:ascii="Times New Roman" w:eastAsia="Times New Roman" w:hAnsi="Times New Roman" w:cs="Times New Roman"/>
          <w:sz w:val="24"/>
          <w:szCs w:val="24"/>
        </w:rPr>
        <w:t>Equity-focused planning requires resource prioritization for disadvantaged and rural schools, including trained counselors, updated career information, and basic digital tools (World Bank, 2020). Monitoring systems should track outcomes and career choices disaggregated by gender and locality to detect disparities and inform iterative policy refinement (NCERT, 2021). Scholarships and targeted financial aid should reduce household expenditure burdens that restrict opportunity structures (Garg et al., 2022).</w:t>
      </w:r>
    </w:p>
    <w:p w:rsidR="009257FC" w:rsidRPr="0094412D" w:rsidRDefault="009257FC" w:rsidP="003E2AE8">
      <w:pPr>
        <w:spacing w:after="0" w:line="240" w:lineRule="auto"/>
        <w:jc w:val="both"/>
        <w:rPr>
          <w:rFonts w:ascii="Times New Roman" w:eastAsia="Times New Roman" w:hAnsi="Times New Roman" w:cs="Times New Roman"/>
          <w:sz w:val="24"/>
          <w:szCs w:val="24"/>
        </w:rPr>
      </w:pPr>
    </w:p>
    <w:p w:rsidR="009257FC" w:rsidRPr="009257FC" w:rsidRDefault="00B9584F" w:rsidP="009257FC">
      <w:pPr>
        <w:spacing w:after="0" w:line="360" w:lineRule="auto"/>
        <w:jc w:val="both"/>
        <w:outlineLvl w:val="1"/>
        <w:rPr>
          <w:rFonts w:ascii="Times New Roman" w:eastAsia="Times New Roman" w:hAnsi="Times New Roman" w:cs="Times New Roman"/>
          <w:b/>
          <w:bCs/>
          <w:sz w:val="24"/>
          <w:szCs w:val="24"/>
        </w:rPr>
      </w:pPr>
      <w:r w:rsidRPr="00422DAD">
        <w:rPr>
          <w:rFonts w:ascii="Times New Roman" w:eastAsia="Times New Roman" w:hAnsi="Times New Roman" w:cs="Times New Roman"/>
          <w:b/>
          <w:bCs/>
          <w:sz w:val="24"/>
          <w:szCs w:val="24"/>
        </w:rPr>
        <w:t>CONCLUSION AND RECOMMENDATIONS</w:t>
      </w:r>
    </w:p>
    <w:p w:rsidR="009257FC" w:rsidRPr="009257FC" w:rsidRDefault="009257FC" w:rsidP="003E2AE8">
      <w:pPr>
        <w:spacing w:after="0" w:line="360" w:lineRule="auto"/>
        <w:ind w:firstLine="720"/>
        <w:jc w:val="both"/>
        <w:rPr>
          <w:rFonts w:ascii="Times New Roman" w:eastAsia="Times New Roman" w:hAnsi="Times New Roman" w:cs="Times New Roman"/>
          <w:sz w:val="24"/>
          <w:szCs w:val="24"/>
        </w:rPr>
      </w:pPr>
      <w:r w:rsidRPr="009257FC">
        <w:rPr>
          <w:rFonts w:ascii="Times New Roman" w:eastAsia="Times New Roman" w:hAnsi="Times New Roman" w:cs="Times New Roman"/>
          <w:sz w:val="24"/>
          <w:szCs w:val="24"/>
        </w:rPr>
        <w:t>This review synthesizes l</w:t>
      </w:r>
      <w:r w:rsidR="00DC71E0" w:rsidRPr="00422DAD">
        <w:rPr>
          <w:rFonts w:ascii="Times New Roman" w:eastAsia="Times New Roman" w:hAnsi="Times New Roman" w:cs="Times New Roman"/>
          <w:sz w:val="24"/>
          <w:szCs w:val="24"/>
        </w:rPr>
        <w:t>iterature published between 198</w:t>
      </w:r>
      <w:r w:rsidR="001B0CFF" w:rsidRPr="00422DAD">
        <w:rPr>
          <w:rFonts w:ascii="Times New Roman" w:eastAsia="Times New Roman" w:hAnsi="Times New Roman" w:cs="Times New Roman"/>
          <w:sz w:val="24"/>
          <w:szCs w:val="24"/>
        </w:rPr>
        <w:t>3</w:t>
      </w:r>
      <w:r w:rsidRPr="009257FC">
        <w:rPr>
          <w:rFonts w:ascii="Times New Roman" w:eastAsia="Times New Roman" w:hAnsi="Times New Roman" w:cs="Times New Roman"/>
          <w:sz w:val="24"/>
          <w:szCs w:val="24"/>
        </w:rPr>
        <w:t xml:space="preserve"> and 2025 to examine how household education expenditure, parenting style, and self-perception shape career decision-making among Grade 10 secondary school students, with attention to gender and urban–rural </w:t>
      </w:r>
      <w:r w:rsidRPr="009257FC">
        <w:rPr>
          <w:rFonts w:ascii="Times New Roman" w:eastAsia="Times New Roman" w:hAnsi="Times New Roman" w:cs="Times New Roman"/>
          <w:sz w:val="24"/>
          <w:szCs w:val="24"/>
        </w:rPr>
        <w:lastRenderedPageBreak/>
        <w:t>locality. The evidence indicates that these factors operate both independently and interactively within familial, socio-economic, and cultural contexts. Household education expenditure influences access to academic resources, career information, and exposure to diverse pathways, thereby shaping opportunity structures and preparedness for career choices (Datta &amp; Kingdon, 2019; Kamal &amp;</w:t>
      </w:r>
      <w:r w:rsidR="0070467D">
        <w:rPr>
          <w:rFonts w:ascii="Times New Roman" w:eastAsia="Times New Roman" w:hAnsi="Times New Roman" w:cs="Times New Roman"/>
          <w:sz w:val="24"/>
          <w:szCs w:val="24"/>
        </w:rPr>
        <w:t xml:space="preserve"> </w:t>
      </w:r>
      <w:r w:rsidRPr="009257FC">
        <w:rPr>
          <w:rFonts w:ascii="Times New Roman" w:eastAsia="Times New Roman" w:hAnsi="Times New Roman" w:cs="Times New Roman"/>
          <w:sz w:val="24"/>
          <w:szCs w:val="24"/>
        </w:rPr>
        <w:t>Rol</w:t>
      </w:r>
      <w:r w:rsidR="00E35713">
        <w:rPr>
          <w:rFonts w:ascii="Times New Roman" w:eastAsia="Times New Roman" w:hAnsi="Times New Roman" w:cs="Times New Roman"/>
          <w:sz w:val="24"/>
          <w:szCs w:val="24"/>
        </w:rPr>
        <w:t xml:space="preserve">uahpuia, 2024). Parenting style </w:t>
      </w:r>
      <w:r w:rsidRPr="009257FC">
        <w:rPr>
          <w:rFonts w:ascii="Times New Roman" w:eastAsia="Times New Roman" w:hAnsi="Times New Roman" w:cs="Times New Roman"/>
          <w:sz w:val="24"/>
          <w:szCs w:val="24"/>
        </w:rPr>
        <w:t>particularly authoritative an</w:t>
      </w:r>
      <w:r w:rsidR="00E35713">
        <w:rPr>
          <w:rFonts w:ascii="Times New Roman" w:eastAsia="Times New Roman" w:hAnsi="Times New Roman" w:cs="Times New Roman"/>
          <w:sz w:val="24"/>
          <w:szCs w:val="24"/>
        </w:rPr>
        <w:t xml:space="preserve">d autonomy-supportive practices </w:t>
      </w:r>
      <w:r w:rsidRPr="009257FC">
        <w:rPr>
          <w:rFonts w:ascii="Times New Roman" w:eastAsia="Times New Roman" w:hAnsi="Times New Roman" w:cs="Times New Roman"/>
          <w:sz w:val="24"/>
          <w:szCs w:val="24"/>
        </w:rPr>
        <w:t>emerges as a key sociological influence, fostering autonomy and career decision-making self-efficacy essential for effective exploration and choice (Ahn et al., 2023; Keshavarz &amp; Mounts, 2017). Self-perception, especially career decision-making self-efficacy, functions as a central psychological mechanism enabling students to engage confidently with career planning and navigate uncertainty (Kvasková</w:t>
      </w:r>
      <w:r w:rsidR="0070467D">
        <w:rPr>
          <w:rFonts w:ascii="Times New Roman" w:eastAsia="Times New Roman" w:hAnsi="Times New Roman" w:cs="Times New Roman"/>
          <w:sz w:val="24"/>
          <w:szCs w:val="24"/>
        </w:rPr>
        <w:t xml:space="preserve"> </w:t>
      </w:r>
      <w:r w:rsidRPr="009257FC">
        <w:rPr>
          <w:rFonts w:ascii="Times New Roman" w:eastAsia="Times New Roman" w:hAnsi="Times New Roman" w:cs="Times New Roman"/>
          <w:sz w:val="24"/>
          <w:szCs w:val="24"/>
        </w:rPr>
        <w:t>&amp;</w:t>
      </w:r>
      <w:r w:rsidR="0070467D">
        <w:rPr>
          <w:rFonts w:ascii="Times New Roman" w:eastAsia="Times New Roman" w:hAnsi="Times New Roman" w:cs="Times New Roman"/>
          <w:sz w:val="24"/>
          <w:szCs w:val="24"/>
        </w:rPr>
        <w:t xml:space="preserve"> </w:t>
      </w:r>
      <w:r w:rsidRPr="009257FC">
        <w:rPr>
          <w:rFonts w:ascii="Times New Roman" w:eastAsia="Times New Roman" w:hAnsi="Times New Roman" w:cs="Times New Roman"/>
          <w:sz w:val="24"/>
          <w:szCs w:val="24"/>
        </w:rPr>
        <w:t>Almenara, 2019).</w:t>
      </w:r>
    </w:p>
    <w:p w:rsidR="009257FC" w:rsidRPr="009257FC" w:rsidRDefault="009257FC" w:rsidP="003E2AE8">
      <w:pPr>
        <w:spacing w:after="0" w:line="360" w:lineRule="auto"/>
        <w:ind w:firstLine="720"/>
        <w:jc w:val="both"/>
        <w:rPr>
          <w:rFonts w:ascii="Times New Roman" w:eastAsia="Times New Roman" w:hAnsi="Times New Roman" w:cs="Times New Roman"/>
          <w:sz w:val="24"/>
          <w:szCs w:val="24"/>
        </w:rPr>
      </w:pPr>
      <w:r w:rsidRPr="009257FC">
        <w:rPr>
          <w:rFonts w:ascii="Times New Roman" w:eastAsia="Times New Roman" w:hAnsi="Times New Roman" w:cs="Times New Roman"/>
          <w:sz w:val="24"/>
          <w:szCs w:val="24"/>
        </w:rPr>
        <w:t>Gen</w:t>
      </w:r>
      <w:r w:rsidR="00D9267E">
        <w:rPr>
          <w:rFonts w:ascii="Times New Roman" w:eastAsia="Times New Roman" w:hAnsi="Times New Roman" w:cs="Times New Roman"/>
          <w:sz w:val="24"/>
          <w:szCs w:val="24"/>
        </w:rPr>
        <w:t>der and locality significantly balanced</w:t>
      </w:r>
      <w:r w:rsidRPr="009257FC">
        <w:rPr>
          <w:rFonts w:ascii="Times New Roman" w:eastAsia="Times New Roman" w:hAnsi="Times New Roman" w:cs="Times New Roman"/>
          <w:sz w:val="24"/>
          <w:szCs w:val="24"/>
        </w:rPr>
        <w:t xml:space="preserve"> these relationships. Gendered expectations continue to shape aspirations, perceived feasibility of careers, and parental investment patterns, while urban–rural disparities restrict access to educational infrastructure, gui</w:t>
      </w:r>
      <w:r w:rsidR="00E35713">
        <w:rPr>
          <w:rFonts w:ascii="Times New Roman" w:eastAsia="Times New Roman" w:hAnsi="Times New Roman" w:cs="Times New Roman"/>
          <w:sz w:val="24"/>
          <w:szCs w:val="24"/>
        </w:rPr>
        <w:t xml:space="preserve">dance services, and role models </w:t>
      </w:r>
      <w:r w:rsidRPr="009257FC">
        <w:rPr>
          <w:rFonts w:ascii="Times New Roman" w:eastAsia="Times New Roman" w:hAnsi="Times New Roman" w:cs="Times New Roman"/>
          <w:sz w:val="24"/>
          <w:szCs w:val="24"/>
        </w:rPr>
        <w:t>particularly disadvantaging rural students and girls (Beg &amp; Bhat, 2021; Lundberg, 2020). Although participation gaps have narrowed, inequalities in career exposure and decision-making support persist. The National Education Policy 2020 provides a progressive framework to address these challenges through vocational integration, multidisciplinary learning, and flexible pathways; however, systematic evidence on its implementation and impact on career decision-making remains limited (Ministry of Education, 2020).The review identifies clear directions for research, policy, and practice. Future research should prioritize longitudinal and mixed-methods designs to capture developmental dynamics and causal pathways, with particular emphasis on micro-level studies in underrepresented regions such as Odisha. District- and state-level investigations are essential to generate context-specific insights reflecting local socio-economic conditions, cultural norms, and educational infrastructure. Rigorous policy evaluation studies are required to</w:t>
      </w:r>
      <w:r w:rsidR="00E35713">
        <w:rPr>
          <w:rFonts w:ascii="Times New Roman" w:eastAsia="Times New Roman" w:hAnsi="Times New Roman" w:cs="Times New Roman"/>
          <w:sz w:val="24"/>
          <w:szCs w:val="24"/>
        </w:rPr>
        <w:t xml:space="preserve"> assess how NEP 2020 provisions </w:t>
      </w:r>
      <w:r w:rsidRPr="009257FC">
        <w:rPr>
          <w:rFonts w:ascii="Times New Roman" w:eastAsia="Times New Roman" w:hAnsi="Times New Roman" w:cs="Times New Roman"/>
          <w:sz w:val="24"/>
          <w:szCs w:val="24"/>
        </w:rPr>
        <w:t>especially vocational educat</w:t>
      </w:r>
      <w:r w:rsidR="00E35713">
        <w:rPr>
          <w:rFonts w:ascii="Times New Roman" w:eastAsia="Times New Roman" w:hAnsi="Times New Roman" w:cs="Times New Roman"/>
          <w:sz w:val="24"/>
          <w:szCs w:val="24"/>
        </w:rPr>
        <w:t xml:space="preserve">ion and career guidance reforms </w:t>
      </w:r>
      <w:r w:rsidRPr="009257FC">
        <w:rPr>
          <w:rFonts w:ascii="Times New Roman" w:eastAsia="Times New Roman" w:hAnsi="Times New Roman" w:cs="Times New Roman"/>
          <w:sz w:val="24"/>
          <w:szCs w:val="24"/>
        </w:rPr>
        <w:t>affect equity across gender, locality, and socio-economic status.</w:t>
      </w:r>
    </w:p>
    <w:p w:rsidR="009257FC" w:rsidRDefault="009257FC" w:rsidP="003E2AE8">
      <w:pPr>
        <w:spacing w:after="0" w:line="360" w:lineRule="auto"/>
        <w:ind w:firstLine="720"/>
        <w:jc w:val="both"/>
        <w:rPr>
          <w:rFonts w:ascii="Times New Roman" w:eastAsia="Times New Roman" w:hAnsi="Times New Roman" w:cs="Times New Roman"/>
          <w:sz w:val="24"/>
          <w:szCs w:val="24"/>
        </w:rPr>
      </w:pPr>
      <w:r w:rsidRPr="009257FC">
        <w:rPr>
          <w:rFonts w:ascii="Times New Roman" w:eastAsia="Times New Roman" w:hAnsi="Times New Roman" w:cs="Times New Roman"/>
          <w:sz w:val="24"/>
          <w:szCs w:val="24"/>
        </w:rPr>
        <w:t>From a practice perspective, policymakers should strengthen equitable resource allocation by expanding access to trained counselors, digital guidance platforms, and vocational exposure in rural and disadvantaged schools. Schools should initiate structured career awareness programmes early in secondary education and collaborate with families to promote informed decision-making. Parent-focused interventions that encourage authoritative and autonomy-supportive parenting can enhance students’ self-efficacy and reduce gender-</w:t>
      </w:r>
      <w:r w:rsidRPr="009257FC">
        <w:rPr>
          <w:rFonts w:ascii="Times New Roman" w:eastAsia="Times New Roman" w:hAnsi="Times New Roman" w:cs="Times New Roman"/>
          <w:sz w:val="24"/>
          <w:szCs w:val="24"/>
        </w:rPr>
        <w:lastRenderedPageBreak/>
        <w:t>biased educational investment (Ahn et al., 2023). Career counseling services should be personalized and context-sensitive, integrating students’ self-perception, socio-economic constraints, and awareness of financial support mechanisms such as scholarships to mitigate cost-related barriers (Garg et al., 2022).Overall, this review advances understanding by integrating economic, psychological, and sociological determinants of adolescent career decision-making within a policy-relevant framework. Addressing the identified gaps through context-sensitive research and equity-oriented interventions is essential to support informed and inclusive career pathways for secondary school students within the evolving educational landscape shaped by NEP 2020.</w:t>
      </w:r>
    </w:p>
    <w:p w:rsidR="00F55373" w:rsidRPr="003232BF" w:rsidRDefault="00F55373" w:rsidP="003232BF">
      <w:pPr>
        <w:spacing w:after="0" w:line="360" w:lineRule="auto"/>
        <w:ind w:firstLine="720"/>
        <w:jc w:val="both"/>
        <w:rPr>
          <w:rFonts w:ascii="Times New Roman" w:eastAsia="Times New Roman" w:hAnsi="Times New Roman" w:cs="Times New Roman"/>
          <w:sz w:val="24"/>
          <w:szCs w:val="24"/>
        </w:rPr>
      </w:pPr>
    </w:p>
    <w:p w:rsidR="00F55373" w:rsidRPr="003232BF" w:rsidRDefault="00F55373" w:rsidP="003232BF">
      <w:pPr>
        <w:spacing w:line="360" w:lineRule="auto"/>
        <w:jc w:val="both"/>
        <w:rPr>
          <w:rFonts w:ascii="Times New Roman" w:eastAsiaTheme="minorEastAsia" w:hAnsi="Times New Roman" w:cs="Times New Roman"/>
          <w:b/>
          <w:bCs/>
          <w:sz w:val="24"/>
          <w:szCs w:val="24"/>
          <w:lang w:val="en-GB" w:eastAsia="en-GB"/>
        </w:rPr>
      </w:pPr>
      <w:r w:rsidRPr="003232BF">
        <w:rPr>
          <w:rFonts w:ascii="Times New Roman" w:eastAsiaTheme="minorEastAsia" w:hAnsi="Times New Roman" w:cs="Times New Roman"/>
          <w:b/>
          <w:bCs/>
          <w:sz w:val="24"/>
          <w:szCs w:val="24"/>
          <w:lang w:val="en-GB" w:eastAsia="en-GB"/>
        </w:rPr>
        <w:t>COMPETING INTERESTS DISCLAIMER:</w:t>
      </w:r>
    </w:p>
    <w:p w:rsidR="00F55373" w:rsidRPr="003232BF" w:rsidRDefault="00F55373" w:rsidP="003232BF">
      <w:pPr>
        <w:spacing w:line="360" w:lineRule="auto"/>
        <w:jc w:val="both"/>
        <w:rPr>
          <w:rFonts w:ascii="Times New Roman" w:eastAsiaTheme="minorEastAsia" w:hAnsi="Times New Roman" w:cs="Times New Roman"/>
          <w:sz w:val="24"/>
          <w:szCs w:val="24"/>
          <w:lang w:val="en-GB" w:eastAsia="en-GB"/>
        </w:rPr>
      </w:pPr>
      <w:r w:rsidRPr="003232BF">
        <w:rPr>
          <w:rFonts w:ascii="Times New Roman" w:eastAsiaTheme="minorEastAsia"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rsidR="006229F5" w:rsidRPr="003232BF" w:rsidRDefault="006229F5" w:rsidP="003232BF">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9" w:name="_Hlk218867759"/>
      <w:bookmarkStart w:id="10" w:name="_Hlk219125673"/>
      <w:r w:rsidRPr="003232BF">
        <w:rPr>
          <w:rFonts w:ascii="Times New Roman" w:eastAsia="Times New Roman" w:hAnsi="Times New Roman" w:cs="Times New Roman"/>
          <w:b/>
          <w:bCs/>
          <w:sz w:val="24"/>
          <w:szCs w:val="24"/>
          <w:lang w:val="en-GB" w:eastAsia="en-IN"/>
        </w:rPr>
        <w:t>Disclaimer (Artificial intelligence)</w:t>
      </w:r>
    </w:p>
    <w:p w:rsidR="006229F5" w:rsidRPr="003232BF" w:rsidRDefault="006229F5" w:rsidP="003232BF">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3232BF">
        <w:rPr>
          <w:rFonts w:ascii="Times New Roman" w:eastAsia="Times New Roman" w:hAnsi="Times New Roman" w:cs="Times New Roman"/>
          <w:bCs/>
          <w:sz w:val="24"/>
          <w:szCs w:val="24"/>
          <w:lang w:val="en-GB" w:eastAsia="en-IN"/>
        </w:rPr>
        <w:t>Author(s) hereby declare that NO generative AI technologies such as Large Language Models (ChatGPT, COPILOT, etc.) and text-to-image generators have been used during the writing or editing of this manuscript.</w:t>
      </w:r>
    </w:p>
    <w:p w:rsidR="002E0383" w:rsidRPr="00422DAD" w:rsidRDefault="002E0383" w:rsidP="009257FC">
      <w:pPr>
        <w:pStyle w:val="NormalWeb"/>
        <w:spacing w:before="0" w:beforeAutospacing="0" w:after="0" w:afterAutospacing="0" w:line="360" w:lineRule="auto"/>
        <w:jc w:val="both"/>
        <w:rPr>
          <w:b/>
        </w:rPr>
      </w:pPr>
      <w:bookmarkStart w:id="11" w:name="_GoBack"/>
      <w:bookmarkEnd w:id="9"/>
      <w:bookmarkEnd w:id="10"/>
      <w:bookmarkEnd w:id="11"/>
    </w:p>
    <w:p w:rsidR="009257FC" w:rsidRPr="00422DAD" w:rsidRDefault="002E0383" w:rsidP="009257FC">
      <w:pPr>
        <w:pStyle w:val="NormalWeb"/>
        <w:spacing w:before="0" w:beforeAutospacing="0" w:after="0" w:afterAutospacing="0" w:line="360" w:lineRule="auto"/>
        <w:jc w:val="both"/>
        <w:rPr>
          <w:b/>
        </w:rPr>
      </w:pPr>
      <w:r w:rsidRPr="00422DAD">
        <w:rPr>
          <w:b/>
        </w:rPr>
        <w:t>REFERENCES</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Ahn, J. S., Plamondon, A., &amp; Ratelle, C. F. (2023). Different ways to support and thwart autonomy: Parenting profiles and adolescents’ career decision-making. </w:t>
      </w:r>
      <w:r w:rsidRPr="00422DAD">
        <w:rPr>
          <w:rStyle w:val="Emphasis"/>
        </w:rPr>
        <w:t>Journal of Family Psychology, 37</w:t>
      </w:r>
      <w:r w:rsidRPr="00422DAD">
        <w:t xml:space="preserve">(2), 161–172. </w:t>
      </w:r>
      <w:hyperlink r:id="rId44" w:history="1">
        <w:r w:rsidRPr="00422DAD">
          <w:rPr>
            <w:rStyle w:val="Hyperlink"/>
          </w:rPr>
          <w:t>https://doi.org/10.1037/fam0000982</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Ahn, S., Lee, J., &amp; Kim, H. (2023). Authoritative parenting and adolescent career decision-making self-efficacy: A cross-cultural study. </w:t>
      </w:r>
      <w:r w:rsidRPr="00422DAD">
        <w:rPr>
          <w:rStyle w:val="Emphasis"/>
        </w:rPr>
        <w:t>Journal of Career Development, 50</w:t>
      </w:r>
      <w:r w:rsidRPr="00422DAD">
        <w:t xml:space="preserve">(2), 123–139. </w:t>
      </w:r>
      <w:hyperlink r:id="rId45" w:history="1">
        <w:r w:rsidRPr="00422DAD">
          <w:rPr>
            <w:rStyle w:val="Hyperlink"/>
          </w:rPr>
          <w:t>https://doi.org/10.1177/08948453221123456</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Addi-Raccah, A., Dusi, P., &amp; Seeberger-Tamir, N. (2021). What can we learn about research on parental involvement in school? Bibliometric and thematic analyses of academic journals. </w:t>
      </w:r>
      <w:r w:rsidRPr="00422DAD">
        <w:rPr>
          <w:rStyle w:val="Emphasis"/>
        </w:rPr>
        <w:t>Urban Education, 58</w:t>
      </w:r>
      <w:r w:rsidRPr="00422DAD">
        <w:t xml:space="preserve">(10), 2276–2307. </w:t>
      </w:r>
      <w:hyperlink r:id="rId46" w:history="1">
        <w:r w:rsidRPr="00422DAD">
          <w:rPr>
            <w:rStyle w:val="Hyperlink"/>
          </w:rPr>
          <w:t>https://doi.org/10.1177/00420859211017978</w:t>
        </w:r>
      </w:hyperlink>
    </w:p>
    <w:p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Aithal, A., &amp; Aithal, P. S. (2020). Implementation of NEP 2020: Opportunities and challenges. </w:t>
      </w:r>
      <w:r w:rsidRPr="00422DAD">
        <w:rPr>
          <w:rStyle w:val="Emphasis"/>
        </w:rPr>
        <w:t>International Journal of Management, Technology and Engineering, 10</w:t>
      </w:r>
      <w:r w:rsidRPr="00422DAD">
        <w:t xml:space="preserve">(6), 1–10. </w:t>
      </w:r>
      <w:hyperlink r:id="rId47" w:history="1">
        <w:r w:rsidRPr="00422DAD">
          <w:rPr>
            <w:rStyle w:val="Hyperlink"/>
          </w:rPr>
          <w:t>https://doi.org/10.5281/zenodo.3965731</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Altaf, S., Hassan, B., Khattak, A. Z., &amp; Iqbal, N. (2021). Relationship of parenting styles with decision-making and self-concept among adolescents. </w:t>
      </w:r>
      <w:r w:rsidRPr="00422DAD">
        <w:rPr>
          <w:rStyle w:val="Emphasis"/>
        </w:rPr>
        <w:t>Foundation University Journal of Psychology, 5</w:t>
      </w:r>
      <w:r w:rsidRPr="00422DAD">
        <w:t xml:space="preserve">(2). </w:t>
      </w:r>
      <w:hyperlink r:id="rId48" w:history="1">
        <w:r w:rsidRPr="00422DAD">
          <w:rPr>
            <w:rStyle w:val="Hyperlink"/>
          </w:rPr>
          <w:t>https://doi.org/10.33897/fujp.v5i2.318</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Alloway, N., Dalley, L., Patterson, A., Walker, K., &amp;Lenoy, M. (2004). </w:t>
      </w:r>
      <w:r w:rsidRPr="00422DAD">
        <w:rPr>
          <w:rStyle w:val="Emphasis"/>
        </w:rPr>
        <w:t>School students making education and career decisions: Aspirations, attitudes and influences: Final report</w:t>
      </w:r>
      <w:r w:rsidRPr="00422DAD">
        <w:t xml:space="preserve">. Department of Education, Science and Training, Commonwealth of Australia. </w:t>
      </w:r>
      <w:hyperlink r:id="rId49" w:tgtFrame="_new" w:history="1">
        <w:r w:rsidRPr="00422DAD">
          <w:rPr>
            <w:rStyle w:val="Hyperlink"/>
          </w:rPr>
          <w:t>https://researchonline.jcu.edu.au/554/1/report.pdf</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Ansong, D., Boateng, R., &amp; Owusu, G. (2018). Urban-rural differences in career aspirations among secondary school students in Ghana. </w:t>
      </w:r>
      <w:r w:rsidRPr="00422DAD">
        <w:rPr>
          <w:rStyle w:val="Emphasis"/>
        </w:rPr>
        <w:t>Journal of Career Assessment, 26</w:t>
      </w:r>
      <w:r w:rsidRPr="00422DAD">
        <w:t xml:space="preserve">(4), 654–668. </w:t>
      </w:r>
      <w:hyperlink r:id="rId50" w:history="1">
        <w:r w:rsidRPr="00422DAD">
          <w:rPr>
            <w:rStyle w:val="Hyperlink"/>
          </w:rPr>
          <w:t>https://doi.org/10.1177/1069072718754998</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Asghar, A., &amp; Ajmal, M. (2022). Gender differences in career decision-making among secondary school students. </w:t>
      </w:r>
      <w:r w:rsidRPr="00422DAD">
        <w:rPr>
          <w:rStyle w:val="Emphasis"/>
        </w:rPr>
        <w:t>Journal of Career Development, 49</w:t>
      </w:r>
      <w:r w:rsidRPr="00422DAD">
        <w:t xml:space="preserve">(2), 234–249. </w:t>
      </w:r>
      <w:hyperlink r:id="rId51" w:history="1">
        <w:r w:rsidRPr="00422DAD">
          <w:rPr>
            <w:rStyle w:val="Hyperlink"/>
          </w:rPr>
          <w:t>https://doi.org/10.1177/08948453211012345</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Asghar, M., &amp; Ajmal, M. (2022). Family expectations and career planning among Indian adolescents: Mediating role of self-efficacy. </w:t>
      </w:r>
      <w:r w:rsidRPr="00422DAD">
        <w:rPr>
          <w:rStyle w:val="Emphasis"/>
        </w:rPr>
        <w:t>Indian Journal of Psychology and Education, 12</w:t>
      </w:r>
      <w:r w:rsidRPr="00422DAD">
        <w:t xml:space="preserve">(1), 45–60. </w:t>
      </w:r>
      <w:hyperlink r:id="rId52" w:history="1">
        <w:r w:rsidRPr="00422DAD">
          <w:rPr>
            <w:rStyle w:val="Hyperlink"/>
          </w:rPr>
          <w:t>https://doi.org/10.1177/09732586221012345</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Bandura, A. (1986). </w:t>
      </w:r>
      <w:r w:rsidRPr="00422DAD">
        <w:rPr>
          <w:rStyle w:val="Emphasis"/>
        </w:rPr>
        <w:t>Social foundations of thought and action: A social cognitive theory</w:t>
      </w:r>
      <w:r w:rsidRPr="00422DAD">
        <w:t>. Prentice-Hall.</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Barber, B. K. (1996). Parental psychological control: Revisiting a neglected construct. </w:t>
      </w:r>
      <w:r w:rsidRPr="00422DAD">
        <w:rPr>
          <w:rStyle w:val="Emphasis"/>
        </w:rPr>
        <w:t>Child Development, 67</w:t>
      </w:r>
      <w:r w:rsidRPr="00422DAD">
        <w:t xml:space="preserve">(6), 3296–3319. </w:t>
      </w:r>
      <w:hyperlink r:id="rId53" w:history="1">
        <w:r w:rsidRPr="00422DAD">
          <w:rPr>
            <w:rStyle w:val="Hyperlink"/>
          </w:rPr>
          <w:t>https://doi.org/10.2307/1131780</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Baumrind, D. (1991). The influence of parenting style on adolescent competence and substance use. </w:t>
      </w:r>
      <w:r w:rsidRPr="00422DAD">
        <w:rPr>
          <w:rStyle w:val="Emphasis"/>
        </w:rPr>
        <w:t>The Journal of Early Adolescence, 11</w:t>
      </w:r>
      <w:r w:rsidRPr="00422DAD">
        <w:t xml:space="preserve">(1), 56–95. </w:t>
      </w:r>
      <w:hyperlink r:id="rId54" w:history="1">
        <w:r w:rsidRPr="00422DAD">
          <w:rPr>
            <w:rStyle w:val="Hyperlink"/>
          </w:rPr>
          <w:t>https://doi.org/10.1177/0272431691111004</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Beg, M., &amp; Bhat, A. (2021). Gender disparities in educational investment: Evidence from India. </w:t>
      </w:r>
      <w:r w:rsidRPr="00422DAD">
        <w:rPr>
          <w:rStyle w:val="Emphasis"/>
        </w:rPr>
        <w:t>Journal of Development Studies, 57</w:t>
      </w:r>
      <w:r w:rsidRPr="00422DAD">
        <w:t xml:space="preserve">(4), 608–624. </w:t>
      </w:r>
      <w:hyperlink r:id="rId55" w:history="1">
        <w:r w:rsidRPr="00422DAD">
          <w:rPr>
            <w:rStyle w:val="Hyperlink"/>
          </w:rPr>
          <w:t>https://doi.org/10.1080/00220388.2020.1761234</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Betz, N. E., &amp; Hackett, G. (2006). Career self-efficacy theory: Back to the future. </w:t>
      </w:r>
      <w:r w:rsidRPr="00422DAD">
        <w:rPr>
          <w:rStyle w:val="Emphasis"/>
        </w:rPr>
        <w:t>Journal of Career Assessment, 14</w:t>
      </w:r>
      <w:r w:rsidRPr="00422DAD">
        <w:t xml:space="preserve">(1), 3–11. </w:t>
      </w:r>
      <w:hyperlink r:id="rId56" w:history="1">
        <w:r w:rsidRPr="00422DAD">
          <w:rPr>
            <w:rStyle w:val="Hyperlink"/>
          </w:rPr>
          <w:t>https://doi.org/10.1177/1069072705281347</w:t>
        </w:r>
      </w:hyperlink>
    </w:p>
    <w:p w:rsidR="002E0383" w:rsidRPr="00422DAD" w:rsidRDefault="0070467D" w:rsidP="002E0383">
      <w:pPr>
        <w:pStyle w:val="NormalWeb"/>
        <w:numPr>
          <w:ilvl w:val="0"/>
          <w:numId w:val="10"/>
        </w:numPr>
        <w:spacing w:before="0" w:beforeAutospacing="0" w:after="0" w:afterAutospacing="0" w:line="360" w:lineRule="auto"/>
      </w:pPr>
      <w:r>
        <w:t>Cenkseven-O</w:t>
      </w:r>
      <w:r w:rsidR="002E0383" w:rsidRPr="00422DAD">
        <w:t xml:space="preserve">nder, F., Sari, M., &amp; Arslan, C. (2017). Parenting styles and career decision-making self-efficacy among Turkish adolescents. </w:t>
      </w:r>
      <w:r w:rsidR="002E0383" w:rsidRPr="00422DAD">
        <w:rPr>
          <w:rStyle w:val="Emphasis"/>
        </w:rPr>
        <w:t>Journal of Career Assessment, 25</w:t>
      </w:r>
      <w:r w:rsidR="002E0383" w:rsidRPr="00422DAD">
        <w:t xml:space="preserve">(4), 675–689. </w:t>
      </w:r>
      <w:hyperlink r:id="rId57" w:history="1">
        <w:r w:rsidR="002E0383" w:rsidRPr="00422DAD">
          <w:rPr>
            <w:rStyle w:val="Hyperlink"/>
          </w:rPr>
          <w:t>https://doi.org/10.1177/1069072716643507</w:t>
        </w:r>
      </w:hyperlink>
    </w:p>
    <w:p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Chao, R. K. (1994). Beyond parental control and authoritarian parenting style: Understanding Chinese parenting through the cultural notion of training. </w:t>
      </w:r>
      <w:r w:rsidRPr="00422DAD">
        <w:rPr>
          <w:rStyle w:val="Emphasis"/>
        </w:rPr>
        <w:t>Child Development, 65</w:t>
      </w:r>
      <w:r w:rsidRPr="00422DAD">
        <w:t xml:space="preserve">(4), 1111–1119. </w:t>
      </w:r>
      <w:hyperlink r:id="rId58" w:history="1">
        <w:r w:rsidRPr="00422DAD">
          <w:rPr>
            <w:rStyle w:val="Hyperlink"/>
          </w:rPr>
          <w:t>https://doi.org/10.2307/1131308</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Chasanah, A. M., &amp; Salim, R. M. A. (2019). Parental support, career exploration, and career decision-making self-efficacy in junior high school students. </w:t>
      </w:r>
      <w:r w:rsidRPr="00422DAD">
        <w:rPr>
          <w:rStyle w:val="Emphasis"/>
        </w:rPr>
        <w:t>ANIMA Indonesian Psychological Journal, 34</w:t>
      </w:r>
      <w:r w:rsidRPr="00422DAD">
        <w:t xml:space="preserve">(4), 211–221. </w:t>
      </w:r>
      <w:hyperlink r:id="rId59" w:history="1">
        <w:r w:rsidRPr="00422DAD">
          <w:rPr>
            <w:rStyle w:val="Hyperlink"/>
          </w:rPr>
          <w:t>https://doi.org/10.24123/aipj.v34i4.2581</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Cheryan, S., Ziegler, S. A., Montoya, A. K., &amp; Jiang, L. (2017). Why are some STEM fields more gender balanced than others? </w:t>
      </w:r>
      <w:r w:rsidRPr="00422DAD">
        <w:rPr>
          <w:rStyle w:val="Emphasis"/>
        </w:rPr>
        <w:t>Psychological Bulletin, 143</w:t>
      </w:r>
      <w:r w:rsidRPr="00422DAD">
        <w:t xml:space="preserve">(1), 1–35. </w:t>
      </w:r>
      <w:hyperlink r:id="rId60" w:history="1">
        <w:r w:rsidRPr="00422DAD">
          <w:rPr>
            <w:rStyle w:val="Hyperlink"/>
          </w:rPr>
          <w:t>https://doi.org/10.1037/bul0000052</w:t>
        </w:r>
      </w:hyperlink>
    </w:p>
    <w:p w:rsidR="002E0383" w:rsidRPr="00422DAD" w:rsidRDefault="002E0383" w:rsidP="002E0383">
      <w:pPr>
        <w:pStyle w:val="ListParagraph"/>
        <w:numPr>
          <w:ilvl w:val="0"/>
          <w:numId w:val="10"/>
        </w:numPr>
        <w:spacing w:after="0" w:line="360" w:lineRule="auto"/>
        <w:rPr>
          <w:rFonts w:ascii="Times New Roman" w:hAnsi="Times New Roman" w:cs="Times New Roman"/>
          <w:sz w:val="24"/>
          <w:szCs w:val="24"/>
        </w:rPr>
      </w:pPr>
      <w:r w:rsidRPr="00422DAD">
        <w:rPr>
          <w:rFonts w:ascii="Times New Roman" w:hAnsi="Times New Roman" w:cs="Times New Roman"/>
          <w:sz w:val="24"/>
          <w:szCs w:val="24"/>
        </w:rPr>
        <w:t xml:space="preserve">Cooper, H. (2017). </w:t>
      </w:r>
      <w:r w:rsidRPr="00422DAD">
        <w:rPr>
          <w:rStyle w:val="Emphasis"/>
          <w:rFonts w:ascii="Times New Roman" w:hAnsi="Times New Roman" w:cs="Times New Roman"/>
          <w:sz w:val="24"/>
          <w:szCs w:val="24"/>
        </w:rPr>
        <w:t>Research synthesis and meta-analysis: A step-by-step approach</w:t>
      </w:r>
      <w:r w:rsidRPr="00422DAD">
        <w:rPr>
          <w:rFonts w:ascii="Times New Roman" w:hAnsi="Times New Roman" w:cs="Times New Roman"/>
          <w:sz w:val="24"/>
          <w:szCs w:val="24"/>
        </w:rPr>
        <w:t xml:space="preserve"> (5th ed.). Sage Publications.</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Darling, N., &amp; Steinberg, L. (1993). Parenting style as context: An integrative model. </w:t>
      </w:r>
      <w:r w:rsidRPr="00422DAD">
        <w:rPr>
          <w:rStyle w:val="Emphasis"/>
        </w:rPr>
        <w:t>Psychological Bulletin, 113</w:t>
      </w:r>
      <w:r w:rsidRPr="00422DAD">
        <w:t xml:space="preserve">(3), 487–496. </w:t>
      </w:r>
      <w:hyperlink r:id="rId61" w:history="1">
        <w:r w:rsidRPr="00422DAD">
          <w:rPr>
            <w:rStyle w:val="Hyperlink"/>
          </w:rPr>
          <w:t>https://doi.org/10.1037/0033-2909.113.3.487</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Datta, N., &amp; Kingdon, G. (2019). Parental aspirations for children's education and gender bias: Evidence from India. </w:t>
      </w:r>
      <w:r w:rsidRPr="00422DAD">
        <w:rPr>
          <w:rStyle w:val="Emphasis"/>
        </w:rPr>
        <w:t>Journal of Development Studies, 55</w:t>
      </w:r>
      <w:r w:rsidRPr="00422DAD">
        <w:t xml:space="preserve">(8), 1639–1656. </w:t>
      </w:r>
      <w:hyperlink r:id="rId62" w:history="1">
        <w:r w:rsidRPr="00422DAD">
          <w:rPr>
            <w:rStyle w:val="Hyperlink"/>
          </w:rPr>
          <w:t>https://doi.org/10.1080/00220388.2018.1510996</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Dwairy, M. (2004). Parenting styles and mental health of Arab adolescents. </w:t>
      </w:r>
      <w:r w:rsidRPr="00422DAD">
        <w:rPr>
          <w:rStyle w:val="Emphasis"/>
        </w:rPr>
        <w:t>Journal of Cross-Cultural Psychology, 35</w:t>
      </w:r>
      <w:r w:rsidRPr="00422DAD">
        <w:t xml:space="preserve">(3), 374–391. </w:t>
      </w:r>
      <w:hyperlink r:id="rId63" w:history="1">
        <w:r w:rsidRPr="00422DAD">
          <w:rPr>
            <w:rStyle w:val="Hyperlink"/>
          </w:rPr>
          <w:t>https://doi.org/10.1177/0022022104266399</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Eccles, J. S. (1994). Understanding women’s educational and occupational choices: Applying the Eccles et al. model of achievement-related choices. </w:t>
      </w:r>
      <w:r w:rsidRPr="00422DAD">
        <w:rPr>
          <w:rStyle w:val="Emphasis"/>
        </w:rPr>
        <w:t>Psychology of Women Quarterly, 18</w:t>
      </w:r>
      <w:r w:rsidRPr="00422DAD">
        <w:t xml:space="preserve">(4), 585–609. </w:t>
      </w:r>
      <w:hyperlink r:id="rId64" w:history="1">
        <w:r w:rsidRPr="00422DAD">
          <w:rPr>
            <w:rStyle w:val="Hyperlink"/>
          </w:rPr>
          <w:t>https://doi.org/10.1111/j.1471-6402.1994.tb01049.x</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Eccles, J. S. (2011). Gendered educational and occupational choices: Applying the Eccles et al. model of achievement-related choices. </w:t>
      </w:r>
      <w:r w:rsidRPr="00422DAD">
        <w:rPr>
          <w:rStyle w:val="Emphasis"/>
        </w:rPr>
        <w:t>International Journal of Behavioral Development, 35</w:t>
      </w:r>
      <w:r w:rsidRPr="00422DAD">
        <w:t xml:space="preserve">(3), 195–201. </w:t>
      </w:r>
      <w:hyperlink r:id="rId65" w:history="1">
        <w:r w:rsidRPr="00422DAD">
          <w:rPr>
            <w:rStyle w:val="Hyperlink"/>
          </w:rPr>
          <w:t>https://doi.org/10.1177/0165025411398185</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Eccles, J. S., &amp; Harold, R. D. (1993). Parent-school involvement during the early adolescent years. </w:t>
      </w:r>
      <w:r w:rsidRPr="00422DAD">
        <w:rPr>
          <w:rStyle w:val="Emphasis"/>
        </w:rPr>
        <w:t>Teachers College Record, 94</w:t>
      </w:r>
      <w:r w:rsidRPr="00422DAD">
        <w:t>(3), 568–587.</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Eccles, J. S., &amp; Wigfield, A. (2020). Motivational beliefs, values, and goals. </w:t>
      </w:r>
      <w:r w:rsidRPr="00422DAD">
        <w:rPr>
          <w:rStyle w:val="Emphasis"/>
        </w:rPr>
        <w:t>Annual Review of Psychology, 53</w:t>
      </w:r>
      <w:r w:rsidRPr="00422DAD">
        <w:t xml:space="preserve">, 109–132. </w:t>
      </w:r>
      <w:hyperlink r:id="rId66" w:history="1">
        <w:r w:rsidRPr="00422DAD">
          <w:rPr>
            <w:rStyle w:val="Hyperlink"/>
          </w:rPr>
          <w:t>https://doi.org/10.1146/annurev.psych.53.100901.135153</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Edwards, K., &amp; Quinter, M. (2011). Factors influencing students career choices among secondary school students in Kisumu municipality, Kenya. </w:t>
      </w:r>
      <w:r w:rsidRPr="00422DAD">
        <w:rPr>
          <w:rStyle w:val="Emphasis"/>
        </w:rPr>
        <w:t>Journal of Emerging Trends in Educational Research and Policy Studies, 2</w:t>
      </w:r>
      <w:r w:rsidRPr="00422DAD">
        <w:t>, 81–87.</w:t>
      </w:r>
    </w:p>
    <w:p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El-Hassan, K., &amp; Ghalayini, N. (2019). Career decision-making self-efficacy and career indecision among Lebanese adolescents. </w:t>
      </w:r>
      <w:r w:rsidRPr="00422DAD">
        <w:rPr>
          <w:rStyle w:val="Emphasis"/>
        </w:rPr>
        <w:t>Journal of Career Assessment, 27</w:t>
      </w:r>
      <w:r w:rsidRPr="00422DAD">
        <w:t xml:space="preserve">(1), 134–147. </w:t>
      </w:r>
      <w:hyperlink r:id="rId67" w:history="1">
        <w:r w:rsidRPr="00422DAD">
          <w:rPr>
            <w:rStyle w:val="Hyperlink"/>
          </w:rPr>
          <w:t>https://doi.org/10.1177/1069072718775942</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Fitzmaurice, H., Flynn, M., &amp; Hanafin, J. (2020). Parental involvement in homework: A qualitative Bourdieusian study of class, privilege, and social reproduction. </w:t>
      </w:r>
      <w:r w:rsidRPr="00422DAD">
        <w:rPr>
          <w:rStyle w:val="Emphasis"/>
        </w:rPr>
        <w:t>International Studies in Sociology of Education, 30</w:t>
      </w:r>
      <w:r w:rsidRPr="00422DAD">
        <w:t xml:space="preserve">(4), 440–461. </w:t>
      </w:r>
      <w:hyperlink r:id="rId68" w:history="1">
        <w:r w:rsidRPr="00422DAD">
          <w:rPr>
            <w:rStyle w:val="Hyperlink"/>
          </w:rPr>
          <w:t>https://doi.org/10.1080/09620214.2020.1789490</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Fouad, N. A., Arulmani, G., &amp; Kantamneni, N. (2015). Career development in India: The cultural context. In S. D. Brown &amp; R. W. Lent (Eds.), </w:t>
      </w:r>
      <w:r w:rsidRPr="00422DAD">
        <w:rPr>
          <w:rStyle w:val="Emphasis"/>
        </w:rPr>
        <w:t>Career development and counseling: Putting theory and research to work</w:t>
      </w:r>
      <w:r w:rsidRPr="00422DAD">
        <w:t xml:space="preserve"> (2nd ed., pp. 393–415). Wiley.</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Garg, S., Ranjan, R., &amp; Singh, A. (2022). Socio-economic determinants of educational access in India: Implications for policy. </w:t>
      </w:r>
      <w:r w:rsidRPr="00422DAD">
        <w:rPr>
          <w:rStyle w:val="Emphasis"/>
        </w:rPr>
        <w:t>Indian Journal of Educational Studies, 38</w:t>
      </w:r>
      <w:r w:rsidRPr="00422DAD">
        <w:t xml:space="preserve">(1), 15–29. </w:t>
      </w:r>
      <w:hyperlink r:id="rId69" w:history="1">
        <w:r w:rsidRPr="00422DAD">
          <w:rPr>
            <w:rStyle w:val="Hyperlink"/>
          </w:rPr>
          <w:t>https://doi.org/10.1177/09734082221012345</w:t>
        </w:r>
      </w:hyperlink>
    </w:p>
    <w:p w:rsidR="002E0383" w:rsidRPr="00422DAD" w:rsidRDefault="002E0383" w:rsidP="002E0383">
      <w:pPr>
        <w:pStyle w:val="NormalWeb"/>
        <w:numPr>
          <w:ilvl w:val="0"/>
          <w:numId w:val="10"/>
        </w:numPr>
        <w:spacing w:before="0" w:beforeAutospacing="0" w:after="0" w:afterAutospacing="0" w:line="360" w:lineRule="auto"/>
      </w:pPr>
      <w:r w:rsidRPr="00422DAD">
        <w:t>Gottfredson, L. S. (2002). Gottfredson’s theory of circumscription, compromise, and self-creation. In D. Brown (Ed.), Career choice and development (4th ed., pp. 85–148). Jossey-Bass.</w:t>
      </w:r>
    </w:p>
    <w:p w:rsidR="002E0383" w:rsidRPr="00422DAD" w:rsidRDefault="002E0383" w:rsidP="002E0383">
      <w:pPr>
        <w:pStyle w:val="NormalWeb"/>
        <w:numPr>
          <w:ilvl w:val="0"/>
          <w:numId w:val="10"/>
        </w:numPr>
        <w:spacing w:before="0" w:beforeAutospacing="0" w:after="0" w:afterAutospacing="0" w:line="360" w:lineRule="auto"/>
      </w:pPr>
      <w:r w:rsidRPr="00422DAD">
        <w:t>Gupta, R., &amp; Singh, P. (2019). Culturally responsive career counseling for marginalized adolescents in India. Journal of Counseling Psychology, 66(5), 567–579. https://doi.org/10.1037/cou0000356</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Ginevra, M. C., Nota, L., &amp; Ferrari, L. (2015). Parental support in adolescents’ career development: Parents’ and children’s perceptions. </w:t>
      </w:r>
      <w:r w:rsidRPr="00422DAD">
        <w:rPr>
          <w:rStyle w:val="Emphasis"/>
        </w:rPr>
        <w:t>The Career Development Quarterly, 63</w:t>
      </w:r>
      <w:r w:rsidRPr="00422DAD">
        <w:t xml:space="preserve">(1), 2–15. </w:t>
      </w:r>
      <w:hyperlink r:id="rId70" w:history="1">
        <w:r w:rsidRPr="00422DAD">
          <w:rPr>
            <w:rStyle w:val="Hyperlink"/>
          </w:rPr>
          <w:t>https://doi.org/10.1002/j.2161-0045.2015.00091.x</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Joshi, P., &amp; Singh, R. (2023). Impact of NEP 2020 on rural education and career decision-making in India. </w:t>
      </w:r>
      <w:r w:rsidRPr="00422DAD">
        <w:rPr>
          <w:rStyle w:val="Emphasis"/>
        </w:rPr>
        <w:t>Indian Journal of Educational Research, 45</w:t>
      </w:r>
      <w:r w:rsidRPr="00422DAD">
        <w:t>(1), 24–38.</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Joshi, S., &amp; Somani, R. (2021). Career guidance in Indian secondary education: Aligning with NEP 2020. </w:t>
      </w:r>
      <w:r w:rsidRPr="00422DAD">
        <w:rPr>
          <w:rStyle w:val="Emphasis"/>
        </w:rPr>
        <w:t>Journal of Educational Planning and Administration, 35</w:t>
      </w:r>
      <w:r w:rsidRPr="00422DAD">
        <w:t xml:space="preserve">(3), 251–267. </w:t>
      </w:r>
      <w:hyperlink r:id="rId71" w:history="1">
        <w:r w:rsidRPr="00422DAD">
          <w:rPr>
            <w:rStyle w:val="Hyperlink"/>
          </w:rPr>
          <w:t>https://doi.org/10.1177/09731741211012345</w:t>
        </w:r>
      </w:hyperlink>
    </w:p>
    <w:p w:rsidR="002E0383" w:rsidRPr="00422DAD" w:rsidRDefault="002E0383" w:rsidP="002E0383">
      <w:pPr>
        <w:pStyle w:val="NormalWeb"/>
        <w:numPr>
          <w:ilvl w:val="0"/>
          <w:numId w:val="10"/>
        </w:numPr>
        <w:spacing w:before="0" w:beforeAutospacing="0" w:after="0" w:afterAutospacing="0" w:line="360" w:lineRule="auto"/>
      </w:pPr>
      <w:r w:rsidRPr="00422DAD">
        <w:t>Kamal, S., &amp;</w:t>
      </w:r>
      <w:r w:rsidR="0070467D">
        <w:t xml:space="preserve"> </w:t>
      </w:r>
      <w:r w:rsidRPr="00422DAD">
        <w:t xml:space="preserve">Roluahpuia, L. (2024). Household education expenditure and academic outcomes in Indian secondary schools. </w:t>
      </w:r>
      <w:r w:rsidRPr="00422DAD">
        <w:rPr>
          <w:rStyle w:val="Emphasis"/>
        </w:rPr>
        <w:t>Education Economics, 32</w:t>
      </w:r>
      <w:r w:rsidRPr="00422DAD">
        <w:t xml:space="preserve">(1), 56–72. </w:t>
      </w:r>
      <w:hyperlink r:id="rId72" w:history="1">
        <w:r w:rsidRPr="00422DAD">
          <w:rPr>
            <w:rStyle w:val="Hyperlink"/>
          </w:rPr>
          <w:t>https://doi.org/10.1080/09645292.2023.2171234</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Keshavarz, S., &amp; Mounts, N. S. (2017). Perceived parenting style of fathers and Iranian adolescents’ self-efficacy: The moderating role of gender and education. </w:t>
      </w:r>
      <w:r w:rsidRPr="00422DAD">
        <w:rPr>
          <w:rStyle w:val="Emphasis"/>
        </w:rPr>
        <w:t>The Journal of Genetic Psychology, 178</w:t>
      </w:r>
      <w:r w:rsidRPr="00422DAD">
        <w:t xml:space="preserve">(5), 281–290. </w:t>
      </w:r>
      <w:hyperlink r:id="rId73" w:history="1">
        <w:r w:rsidRPr="00422DAD">
          <w:rPr>
            <w:rStyle w:val="Hyperlink"/>
          </w:rPr>
          <w:t>https://doi.org/10.1080/00221325.2017.1355772</w:t>
        </w:r>
      </w:hyperlink>
    </w:p>
    <w:p w:rsidR="002E0383" w:rsidRPr="00422DAD" w:rsidRDefault="002E0383" w:rsidP="002E0383">
      <w:pPr>
        <w:pStyle w:val="NormalWeb"/>
        <w:numPr>
          <w:ilvl w:val="0"/>
          <w:numId w:val="10"/>
        </w:numPr>
        <w:spacing w:before="0" w:beforeAutospacing="0" w:after="0" w:afterAutospacing="0" w:line="360" w:lineRule="auto"/>
      </w:pPr>
      <w:r w:rsidRPr="00422DAD">
        <w:lastRenderedPageBreak/>
        <w:t xml:space="preserve">Keshavarz, N., &amp; Mounts, N. (2017). Parenting styles and career decision-making self-efficacy: A meta-analytic review. </w:t>
      </w:r>
      <w:r w:rsidRPr="00422DAD">
        <w:rPr>
          <w:rStyle w:val="Emphasis"/>
        </w:rPr>
        <w:t>Journal of Vocational Behavior, 102</w:t>
      </w:r>
      <w:r w:rsidRPr="00422DAD">
        <w:t xml:space="preserve">, 1–12. </w:t>
      </w:r>
      <w:hyperlink r:id="rId74" w:history="1">
        <w:r w:rsidRPr="00422DAD">
          <w:rPr>
            <w:rStyle w:val="Hyperlink"/>
          </w:rPr>
          <w:t>https://doi.org/10.1016/j.jvb.2017.06.004</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Kim, Y., Park, H., &amp; Kim, H. (2015). The influence of household education expenditure on academic achievement in Korea. </w:t>
      </w:r>
      <w:r w:rsidRPr="00422DAD">
        <w:rPr>
          <w:rStyle w:val="Emphasis"/>
        </w:rPr>
        <w:t>Asia Pacific Education Review, 16</w:t>
      </w:r>
      <w:r w:rsidRPr="00422DAD">
        <w:t xml:space="preserve">(3), 347–358. </w:t>
      </w:r>
      <w:hyperlink r:id="rId75" w:history="1">
        <w:r w:rsidRPr="00422DAD">
          <w:rPr>
            <w:rStyle w:val="Hyperlink"/>
          </w:rPr>
          <w:t>https://doi.org/10.1007/s12564-015-9373-2</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Kingdon, G. G. (2002). The gender gap in educational attainment in India: How much can be explained? </w:t>
      </w:r>
      <w:r w:rsidRPr="00422DAD">
        <w:rPr>
          <w:rStyle w:val="Emphasis"/>
        </w:rPr>
        <w:t>Journal of Development Studies, 39</w:t>
      </w:r>
      <w:r w:rsidRPr="00422DAD">
        <w:t xml:space="preserve">(2), 25–53. </w:t>
      </w:r>
      <w:hyperlink r:id="rId76" w:history="1">
        <w:r w:rsidRPr="00422DAD">
          <w:rPr>
            <w:rStyle w:val="Hyperlink"/>
          </w:rPr>
          <w:t>https://doi.org/10.1080/00220380412331293707</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Kumar, S., &amp; Sharma, R. (2022). Urban-rural disparities in career guidance and decision-making: Evidence from India. </w:t>
      </w:r>
      <w:r w:rsidRPr="00422DAD">
        <w:rPr>
          <w:rStyle w:val="Emphasis"/>
        </w:rPr>
        <w:t>International Journal of Educational Development, 87</w:t>
      </w:r>
      <w:r w:rsidRPr="00422DAD">
        <w:t xml:space="preserve">, 102535. </w:t>
      </w:r>
      <w:hyperlink r:id="rId77" w:history="1">
        <w:r w:rsidRPr="00422DAD">
          <w:rPr>
            <w:rStyle w:val="Hyperlink"/>
          </w:rPr>
          <w:t>https://doi.org/10.1016/j.ijedudev.2021.102535</w:t>
        </w:r>
      </w:hyperlink>
    </w:p>
    <w:p w:rsidR="002E0383" w:rsidRPr="00422DAD" w:rsidRDefault="0070467D" w:rsidP="002E0383">
      <w:pPr>
        <w:pStyle w:val="NormalWeb"/>
        <w:numPr>
          <w:ilvl w:val="0"/>
          <w:numId w:val="10"/>
        </w:numPr>
        <w:spacing w:before="0" w:beforeAutospacing="0" w:after="0" w:afterAutospacing="0" w:line="360" w:lineRule="auto"/>
      </w:pPr>
      <w:r>
        <w:t>Kvaskova</w:t>
      </w:r>
      <w:r w:rsidR="002E0383" w:rsidRPr="00422DAD">
        <w:t xml:space="preserve">, K., &amp; Almenara, C. A. (2019). The role of career decision-making self-efficacy in adolescent career planning. </w:t>
      </w:r>
      <w:r w:rsidR="002E0383" w:rsidRPr="00422DAD">
        <w:rPr>
          <w:rStyle w:val="Emphasis"/>
        </w:rPr>
        <w:t>Journal of Adolescence, 73</w:t>
      </w:r>
      <w:r w:rsidR="002E0383" w:rsidRPr="00422DAD">
        <w:t xml:space="preserve">, 71–80. </w:t>
      </w:r>
      <w:hyperlink r:id="rId78" w:history="1">
        <w:r w:rsidR="002E0383" w:rsidRPr="00422DAD">
          <w:rPr>
            <w:rStyle w:val="Hyperlink"/>
          </w:rPr>
          <w:t>https://doi.org/10.1016/j.adolescence.2019.01.006</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Lent, R. W., Brown, S. D., &amp; Hackett, G. (1994). Toward a unifying social cognitive theory of career and academic interest, choice, and performance. </w:t>
      </w:r>
      <w:r w:rsidRPr="00422DAD">
        <w:rPr>
          <w:rStyle w:val="Emphasis"/>
        </w:rPr>
        <w:t>Journal of Vocational Behavior, 45</w:t>
      </w:r>
      <w:r w:rsidRPr="00422DAD">
        <w:t xml:space="preserve">(1), 79–122. </w:t>
      </w:r>
      <w:hyperlink r:id="rId79" w:history="1">
        <w:r w:rsidRPr="00422DAD">
          <w:rPr>
            <w:rStyle w:val="Hyperlink"/>
          </w:rPr>
          <w:t>https://doi.org/10.1006/jvbe.1994.1027</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Lent, R. W., Brown, S. D., &amp; Hackett, G. (2000). Contextual supports and barriers to career choice: A social cognitive analysis. </w:t>
      </w:r>
      <w:r w:rsidRPr="00422DAD">
        <w:rPr>
          <w:rStyle w:val="Emphasis"/>
        </w:rPr>
        <w:t>Journal of Counseling Psychology, 47</w:t>
      </w:r>
      <w:r w:rsidRPr="00422DAD">
        <w:t xml:space="preserve">(1), 36–49. </w:t>
      </w:r>
      <w:hyperlink r:id="rId80" w:history="1">
        <w:r w:rsidRPr="00422DAD">
          <w:rPr>
            <w:rStyle w:val="Hyperlink"/>
          </w:rPr>
          <w:t>https://doi.org/10.1037/0022-0167.47.1.36</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Lent, R. W., Hackett, G., &amp; Brown, S. D. (2017). Social cognitive career theory. In S. D. Brown &amp; R. W. Lent (Eds.), </w:t>
      </w:r>
      <w:r w:rsidRPr="00422DAD">
        <w:rPr>
          <w:rStyle w:val="Emphasis"/>
        </w:rPr>
        <w:t>Career development and counseling: Putting theory and research to work</w:t>
      </w:r>
      <w:r w:rsidRPr="00422DAD">
        <w:t xml:space="preserve"> (2nd ed., pp. 101–127). Wiley. </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Lent, R. W., Brown, S. D., &amp; Hackett, G. (2005). Career self-efficacy: Empirical status and future directions. </w:t>
      </w:r>
      <w:r w:rsidRPr="00422DAD">
        <w:rPr>
          <w:rStyle w:val="Emphasis"/>
        </w:rPr>
        <w:t>Journal of Vocational Behavior, 66</w:t>
      </w:r>
      <w:r w:rsidRPr="00422DAD">
        <w:t xml:space="preserve">(3), 284–301. </w:t>
      </w:r>
      <w:hyperlink r:id="rId81" w:history="1">
        <w:r w:rsidRPr="00422DAD">
          <w:rPr>
            <w:rStyle w:val="Hyperlink"/>
          </w:rPr>
          <w:t>https://doi.org/10.1016/j.jvb.2004.01.004</w:t>
        </w:r>
      </w:hyperlink>
    </w:p>
    <w:p w:rsidR="002E0383" w:rsidRPr="00422DAD" w:rsidRDefault="0070467D" w:rsidP="002E0383">
      <w:pPr>
        <w:pStyle w:val="NormalWeb"/>
        <w:numPr>
          <w:ilvl w:val="0"/>
          <w:numId w:val="10"/>
        </w:numPr>
        <w:spacing w:before="0" w:beforeAutospacing="0" w:after="0" w:afterAutospacing="0" w:line="360" w:lineRule="auto"/>
      </w:pPr>
      <w:r>
        <w:t>Labiscsak-Erdelyi, Z., Szabo</w:t>
      </w:r>
      <w:r w:rsidR="002E0383" w:rsidRPr="00422DAD">
        <w:t xml:space="preserve">, A., &amp; Kelemen, O. (2022). The role of self-concept and career decision-making self-efficacy in adolescents’ career planning. </w:t>
      </w:r>
      <w:r w:rsidR="002E0383" w:rsidRPr="00422DAD">
        <w:rPr>
          <w:rStyle w:val="Emphasis"/>
        </w:rPr>
        <w:t>Journal of Vocational Behavior, 132</w:t>
      </w:r>
      <w:r w:rsidR="002E0383" w:rsidRPr="00422DAD">
        <w:t xml:space="preserve">, 103704. </w:t>
      </w:r>
      <w:hyperlink r:id="rId82" w:history="1">
        <w:r w:rsidR="002E0383" w:rsidRPr="00422DAD">
          <w:rPr>
            <w:rStyle w:val="Hyperlink"/>
          </w:rPr>
          <w:t>https://doi.org/10.1016/j.jvb.2022.103704</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Lundberg, S. (2020). Gender differences in subject choice and career aspirations among secondary school students. </w:t>
      </w:r>
      <w:r w:rsidRPr="00422DAD">
        <w:rPr>
          <w:rStyle w:val="Emphasis"/>
        </w:rPr>
        <w:t>Educational Researcher, 49</w:t>
      </w:r>
      <w:r w:rsidRPr="00422DAD">
        <w:t xml:space="preserve">(4), 272–284. </w:t>
      </w:r>
      <w:hyperlink r:id="rId83" w:history="1">
        <w:r w:rsidRPr="00422DAD">
          <w:rPr>
            <w:rStyle w:val="Hyperlink"/>
          </w:rPr>
          <w:t>https://doi.org/10.3102/0013189X20912765</w:t>
        </w:r>
      </w:hyperlink>
    </w:p>
    <w:p w:rsidR="002E0383" w:rsidRPr="00422DAD" w:rsidRDefault="002E0383" w:rsidP="002E0383">
      <w:pPr>
        <w:pStyle w:val="NormalWeb"/>
        <w:numPr>
          <w:ilvl w:val="0"/>
          <w:numId w:val="10"/>
        </w:numPr>
        <w:spacing w:before="0" w:beforeAutospacing="0" w:after="0" w:afterAutospacing="0" w:line="360" w:lineRule="auto"/>
      </w:pPr>
      <w:r w:rsidRPr="00422DAD">
        <w:lastRenderedPageBreak/>
        <w:t>Maccoby, E. E., &amp; Martin, J. A. (1983). Socialization in the context of the family: Parent-child interaction. In P. H. Mussen (Ed.), Handbook of child psychology (Vol. 4, pp. 1–101). Wiley.</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Milovanska-Farrington, S. (2021). Education in the times of a pandemic: Parental socioeconomic characteristics and time spent educating children. </w:t>
      </w:r>
      <w:r w:rsidRPr="00422DAD">
        <w:rPr>
          <w:rStyle w:val="Emphasis"/>
        </w:rPr>
        <w:t>Journal of Economic Studies, 49</w:t>
      </w:r>
      <w:r w:rsidRPr="00422DAD">
        <w:t xml:space="preserve">(4), 716–734. </w:t>
      </w:r>
      <w:hyperlink r:id="rId84" w:history="1">
        <w:r w:rsidRPr="00422DAD">
          <w:rPr>
            <w:rStyle w:val="Hyperlink"/>
          </w:rPr>
          <w:t>https://doi.org/10.1108/jes-01-2021-0013</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Ministry of Education, Government of India. (2020). </w:t>
      </w:r>
      <w:r w:rsidRPr="00422DAD">
        <w:rPr>
          <w:rStyle w:val="Emphasis"/>
        </w:rPr>
        <w:t>National Education Policy 2020</w:t>
      </w:r>
      <w:r w:rsidRPr="00422DAD">
        <w:t xml:space="preserve">. </w:t>
      </w:r>
      <w:hyperlink r:id="rId85" w:history="1">
        <w:r w:rsidRPr="00422DAD">
          <w:rPr>
            <w:rStyle w:val="Hyperlink"/>
          </w:rPr>
          <w:t>https://www.education.gov.in/sites/upload_files/mhrd/files/NEP_Final_English_0.pdf</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Ministry of Education, Government of India. (2021). </w:t>
      </w:r>
      <w:r w:rsidRPr="00422DAD">
        <w:rPr>
          <w:rStyle w:val="Emphasis"/>
        </w:rPr>
        <w:t>Educational statistics at a glance</w:t>
      </w:r>
      <w:r w:rsidRPr="00422DAD">
        <w:t xml:space="preserve">: Odisha.  </w:t>
      </w:r>
      <w:hyperlink r:id="rId86" w:history="1">
        <w:r w:rsidRPr="00422DAD">
          <w:rPr>
            <w:rStyle w:val="Hyperlink"/>
          </w:rPr>
          <w:t>https://www.education.gov.in/sites/upload_files/mhrd/files/statistics/odisha2021.pdf</w:t>
        </w:r>
      </w:hyperlink>
      <w:r w:rsidRPr="00422DAD">
        <w:t>.</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Ministry of Education, Government of India. (2021). </w:t>
      </w:r>
      <w:r w:rsidRPr="00422DAD">
        <w:rPr>
          <w:rStyle w:val="Emphasis"/>
        </w:rPr>
        <w:t>Report on Household Education Expenditure</w:t>
      </w:r>
      <w:r w:rsidRPr="00422DAD">
        <w:t xml:space="preserve">. </w:t>
      </w:r>
      <w:hyperlink r:id="rId87" w:history="1">
        <w:r w:rsidRPr="00422DAD">
          <w:rPr>
            <w:rStyle w:val="Hyperlink"/>
          </w:rPr>
          <w:t>https://www.education.gov.in/sites/upload_files/mhrd/files/Household_Education_Expenditure_Report</w:t>
        </w:r>
      </w:hyperlink>
      <w:r w:rsidRPr="00422DAD">
        <w:t>.</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NCERT. (2020). </w:t>
      </w:r>
      <w:r w:rsidRPr="00422DAD">
        <w:rPr>
          <w:rStyle w:val="Emphasis"/>
        </w:rPr>
        <w:t>National Curriculum Framework 2020</w:t>
      </w:r>
      <w:r w:rsidRPr="00422DAD">
        <w:t xml:space="preserve">. National Council of Educational Research and Training. </w:t>
      </w:r>
      <w:hyperlink r:id="rId88" w:history="1">
        <w:r w:rsidRPr="00422DAD">
          <w:rPr>
            <w:rStyle w:val="Hyperlink"/>
          </w:rPr>
          <w:t>https://ncert.nic.in/pdf/nc-framework/ncf_2020.pdf</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NCERT. (2021). </w:t>
      </w:r>
      <w:r w:rsidRPr="00422DAD">
        <w:rPr>
          <w:rStyle w:val="Emphasis"/>
        </w:rPr>
        <w:t>Implementation framework for NEP 2020</w:t>
      </w:r>
      <w:r w:rsidRPr="00422DAD">
        <w:t>. National Council of Educational Research and Training.</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NIEPA. (2021). </w:t>
      </w:r>
      <w:r w:rsidRPr="00422DAD">
        <w:rPr>
          <w:rStyle w:val="Emphasis"/>
        </w:rPr>
        <w:t>Credit transfer and multiple entry–exit system: Policy brief</w:t>
      </w:r>
      <w:r w:rsidRPr="00422DAD">
        <w:t xml:space="preserve">. National Institute of Educational Planning and Administration. </w:t>
      </w:r>
      <w:hyperlink r:id="rId89" w:history="1">
        <w:r w:rsidRPr="00422DAD">
          <w:rPr>
            <w:rStyle w:val="Hyperlink"/>
          </w:rPr>
          <w:t>https://niepa.ac.in/sites/default/files/Policy_Brief_Credit_Transfer.pdf</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Olmos-Gómez, M. C., García-Rodríguez, M., &amp; García-Sánchez, J. N. (2021). Parenting styles and adolescents’ career exploration: The mediating effect of career decision-making self-efficacy. </w:t>
      </w:r>
      <w:r w:rsidRPr="00422DAD">
        <w:rPr>
          <w:rStyle w:val="Emphasis"/>
        </w:rPr>
        <w:t>Journal of Adolescence, 88</w:t>
      </w:r>
      <w:r w:rsidRPr="00422DAD">
        <w:t xml:space="preserve">, 1–12. </w:t>
      </w:r>
      <w:hyperlink r:id="rId90" w:history="1">
        <w:r w:rsidRPr="00422DAD">
          <w:rPr>
            <w:rStyle w:val="Hyperlink"/>
          </w:rPr>
          <w:t>https://doi.org/10.1016/j.adolescence.2021.03.009</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OECD. (2019). </w:t>
      </w:r>
      <w:r w:rsidRPr="00422DAD">
        <w:rPr>
          <w:rStyle w:val="Emphasis"/>
        </w:rPr>
        <w:t>Gender equality in education, employment and entrepreneurship</w:t>
      </w:r>
      <w:r w:rsidRPr="00422DAD">
        <w:t xml:space="preserve">. OECD Publishing. </w:t>
      </w:r>
      <w:hyperlink r:id="rId91" w:history="1">
        <w:r w:rsidRPr="00422DAD">
          <w:rPr>
            <w:rStyle w:val="Hyperlink"/>
          </w:rPr>
          <w:t>https://doi.org/10.1787/9789264281318-en</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OECD. (2020). </w:t>
      </w:r>
      <w:r w:rsidRPr="00422DAD">
        <w:rPr>
          <w:rStyle w:val="Emphasis"/>
        </w:rPr>
        <w:t>Education at a glance 2020: OECD indicators</w:t>
      </w:r>
      <w:r w:rsidRPr="00422DAD">
        <w:t xml:space="preserve">. OECD Publishing. </w:t>
      </w:r>
      <w:hyperlink r:id="rId92" w:history="1">
        <w:r w:rsidRPr="00422DAD">
          <w:rPr>
            <w:rStyle w:val="Hyperlink"/>
          </w:rPr>
          <w:t>https://doi.org/10.1787/69096873-en</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OECD. (2021). </w:t>
      </w:r>
      <w:r w:rsidRPr="00422DAD">
        <w:rPr>
          <w:rStyle w:val="Emphasis"/>
        </w:rPr>
        <w:t>Education policy outlook 2021: India</w:t>
      </w:r>
      <w:r w:rsidRPr="00422DAD">
        <w:t xml:space="preserve">. Organisation for Economic Co-operation and Development. </w:t>
      </w:r>
      <w:hyperlink r:id="rId93" w:history="1">
        <w:r w:rsidRPr="00422DAD">
          <w:rPr>
            <w:rStyle w:val="Hyperlink"/>
          </w:rPr>
          <w:t>https://www.oecd.org/education/education-policy-outlook/country-profile-India-2021.pdf</w:t>
        </w:r>
      </w:hyperlink>
    </w:p>
    <w:p w:rsidR="002E0383" w:rsidRPr="00422DAD" w:rsidRDefault="002E0383" w:rsidP="002E0383">
      <w:pPr>
        <w:pStyle w:val="NormalWeb"/>
        <w:numPr>
          <w:ilvl w:val="0"/>
          <w:numId w:val="10"/>
        </w:numPr>
        <w:spacing w:before="0" w:beforeAutospacing="0" w:after="0" w:afterAutospacing="0" w:line="360" w:lineRule="auto"/>
      </w:pPr>
      <w:r w:rsidRPr="00422DAD">
        <w:lastRenderedPageBreak/>
        <w:t>Parola, A., &amp;</w:t>
      </w:r>
      <w:r w:rsidR="0070467D">
        <w:t xml:space="preserve"> </w:t>
      </w:r>
      <w:r w:rsidRPr="00422DAD">
        <w:t xml:space="preserve">Marcionetti, J. (2021). Career decision-making self-efficacy and career indecision: The role of parental autonomy support. </w:t>
      </w:r>
      <w:r w:rsidRPr="00422DAD">
        <w:rPr>
          <w:rStyle w:val="Emphasis"/>
        </w:rPr>
        <w:t>Journal of Vocational Behavior, 127</w:t>
      </w:r>
      <w:r w:rsidRPr="00422DAD">
        <w:t xml:space="preserve">, 103541. </w:t>
      </w:r>
      <w:hyperlink r:id="rId94" w:history="1">
        <w:r w:rsidRPr="00422DAD">
          <w:rPr>
            <w:rStyle w:val="Hyperlink"/>
          </w:rPr>
          <w:t>https://doi.org/10.1016/j.jvb.2021.103541</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Parker, P. D., Marsh, H. W., Ciarrochi, J., Marshall, S., &amp; Abduljabbar, A. S. (2012). Domain-specific academic self-concept and career aspirations: A longitudinal analysis. </w:t>
      </w:r>
      <w:r w:rsidRPr="00422DAD">
        <w:rPr>
          <w:rStyle w:val="Emphasis"/>
        </w:rPr>
        <w:t>Journal of Educational Psychology, 104</w:t>
      </w:r>
      <w:r w:rsidRPr="00422DAD">
        <w:t xml:space="preserve">(3), 729–740. </w:t>
      </w:r>
      <w:hyperlink r:id="rId95" w:history="1">
        <w:r w:rsidRPr="00422DAD">
          <w:rPr>
            <w:rStyle w:val="Hyperlink"/>
          </w:rPr>
          <w:t>https://doi.org/10.1037/a0027517</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Petrin, R. A., Schafft, K. A., &amp; Meece, J. L. (2014). Educational sorting and residential aspirations among rural high school students. </w:t>
      </w:r>
      <w:r w:rsidRPr="00422DAD">
        <w:rPr>
          <w:rStyle w:val="Emphasis"/>
        </w:rPr>
        <w:t>American Educational Research Journal, 51</w:t>
      </w:r>
      <w:r w:rsidRPr="00422DAD">
        <w:t xml:space="preserve">(2), 294–326. </w:t>
      </w:r>
      <w:hyperlink r:id="rId96" w:history="1">
        <w:r w:rsidRPr="00422DAD">
          <w:rPr>
            <w:rStyle w:val="Hyperlink"/>
          </w:rPr>
          <w:t>https://doi.org/10.3102/0002831214527493</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Pinquart, M., &amp;Silbereisen, R. K. (2004). Parental involvement and adolescents’ career exploration: A meta-analytic review. </w:t>
      </w:r>
      <w:r w:rsidRPr="00422DAD">
        <w:rPr>
          <w:rStyle w:val="Emphasis"/>
        </w:rPr>
        <w:t>Journal of Vocational Behavior, 64</w:t>
      </w:r>
      <w:r w:rsidRPr="00422DAD">
        <w:t xml:space="preserve">(1), 1–22. </w:t>
      </w:r>
      <w:hyperlink r:id="rId97" w:history="1">
        <w:r w:rsidRPr="00422DAD">
          <w:rPr>
            <w:rStyle w:val="Hyperlink"/>
          </w:rPr>
          <w:t>https://doi.org/10.1016/S0001-8791(03)00036-4</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Scherrer, V., &amp; Preckel, F. (2018). Development of motivational variables and self-esteem during the school career: A meta-analysis of longitudinal studies. </w:t>
      </w:r>
      <w:r w:rsidRPr="00422DAD">
        <w:rPr>
          <w:rStyle w:val="Emphasis"/>
        </w:rPr>
        <w:t>Review of Educational Research, 89</w:t>
      </w:r>
      <w:r w:rsidRPr="00422DAD">
        <w:t xml:space="preserve">(2), 211–258. </w:t>
      </w:r>
      <w:hyperlink r:id="rId98" w:history="1">
        <w:r w:rsidRPr="00422DAD">
          <w:rPr>
            <w:rStyle w:val="Hyperlink"/>
          </w:rPr>
          <w:t>https://doi.org/10.3102/0034654318819127</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Singh, A., &amp; Verma, S. (2021). Barriers to career decision-making among rural secondary school students in India. </w:t>
      </w:r>
      <w:r w:rsidRPr="00422DAD">
        <w:rPr>
          <w:rStyle w:val="Emphasis"/>
        </w:rPr>
        <w:t>International Journal of Educational Development, 81</w:t>
      </w:r>
      <w:r w:rsidRPr="00422DAD">
        <w:t xml:space="preserve">, 102360. </w:t>
      </w:r>
      <w:hyperlink r:id="rId99" w:history="1">
        <w:r w:rsidRPr="00422DAD">
          <w:rPr>
            <w:rStyle w:val="Hyperlink"/>
          </w:rPr>
          <w:t>https://doi.org/10.1016/j.ijedudev.2020.102360</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Super, D. E. (1990). A life-span, life-space approach to career development. In D. Brown &amp; L. Brooks (Eds.), </w:t>
      </w:r>
      <w:r w:rsidRPr="00422DAD">
        <w:rPr>
          <w:rStyle w:val="Emphasis"/>
        </w:rPr>
        <w:t>Career choice and development</w:t>
      </w:r>
      <w:r w:rsidRPr="00422DAD">
        <w:t xml:space="preserve"> (2nd ed., pp. 197–261). Jossey-Bass.</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Tilak, J. B. G. (2002). Education and poverty. </w:t>
      </w:r>
      <w:r w:rsidRPr="00422DAD">
        <w:rPr>
          <w:rStyle w:val="Emphasis"/>
        </w:rPr>
        <w:t>Journal of Human Development, 3</w:t>
      </w:r>
      <w:r w:rsidRPr="00422DAD">
        <w:t xml:space="preserve">(2), 191–207. </w:t>
      </w:r>
      <w:hyperlink r:id="rId100" w:history="1">
        <w:r w:rsidRPr="00422DAD">
          <w:rPr>
            <w:rStyle w:val="Hyperlink"/>
          </w:rPr>
          <w:t>https://doi.org/10.1080/14649880220139180</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Ulas-Kilic, O., Peila-Shuster, J. J., Demirtas-Zorbaz, S., &amp;Kizildag, S. (2018). Career decision-making self-efficacy of young adolescent students in Turkey. </w:t>
      </w:r>
      <w:r w:rsidRPr="00422DAD">
        <w:rPr>
          <w:rStyle w:val="Emphasis"/>
        </w:rPr>
        <w:t>International Journal of School &amp; Educational Psychology, 8</w:t>
      </w:r>
      <w:r w:rsidRPr="00422DAD">
        <w:t xml:space="preserve">(sup1), 38–48. </w:t>
      </w:r>
      <w:hyperlink r:id="rId101" w:history="1">
        <w:r w:rsidRPr="00422DAD">
          <w:rPr>
            <w:rStyle w:val="Hyperlink"/>
          </w:rPr>
          <w:t>https://doi.org/10.1080/21683603.2018.1552220</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UNESCO. (2019). </w:t>
      </w:r>
      <w:r w:rsidRPr="00422DAD">
        <w:rPr>
          <w:rStyle w:val="Emphasis"/>
        </w:rPr>
        <w:t>Global Education Monitoring Report 2019: Gender Report</w:t>
      </w:r>
      <w:r w:rsidRPr="00422DAD">
        <w:t>. UNESCO Publishing.</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UNESCO. (2020). </w:t>
      </w:r>
      <w:r w:rsidRPr="00422DAD">
        <w:rPr>
          <w:rStyle w:val="Emphasis"/>
        </w:rPr>
        <w:t>Global education monitoring report 2020: Inclusion and education</w:t>
      </w:r>
      <w:r w:rsidRPr="00422DAD">
        <w:t>. UNESCO Publishing.</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UNESCO. (2021). </w:t>
      </w:r>
      <w:r w:rsidRPr="00422DAD">
        <w:rPr>
          <w:rStyle w:val="Emphasis"/>
        </w:rPr>
        <w:t>Gender equality and COVID-19: Impact on education and labor</w:t>
      </w:r>
      <w:r w:rsidRPr="00422DAD">
        <w:t xml:space="preserve">. United Nations Educational, Scientific and Cultural Organization. </w:t>
      </w:r>
      <w:hyperlink r:id="rId102" w:history="1">
        <w:r w:rsidRPr="00422DAD">
          <w:rPr>
            <w:rStyle w:val="Hyperlink"/>
          </w:rPr>
          <w:t>https://unesdoc.unesco.org/ark:/48223/pf0000375708</w:t>
        </w:r>
      </w:hyperlink>
    </w:p>
    <w:p w:rsidR="002E0383" w:rsidRPr="00422DAD" w:rsidRDefault="002E0383" w:rsidP="002E0383">
      <w:pPr>
        <w:pStyle w:val="ListParagraph"/>
        <w:numPr>
          <w:ilvl w:val="0"/>
          <w:numId w:val="10"/>
        </w:numPr>
        <w:spacing w:after="0" w:line="360" w:lineRule="auto"/>
        <w:rPr>
          <w:rFonts w:ascii="Times New Roman" w:hAnsi="Times New Roman" w:cs="Times New Roman"/>
          <w:sz w:val="24"/>
          <w:szCs w:val="24"/>
        </w:rPr>
      </w:pPr>
      <w:r w:rsidRPr="00422DAD">
        <w:rPr>
          <w:rFonts w:ascii="Times New Roman" w:hAnsi="Times New Roman" w:cs="Times New Roman"/>
          <w:sz w:val="24"/>
          <w:szCs w:val="24"/>
        </w:rPr>
        <w:lastRenderedPageBreak/>
        <w:t xml:space="preserve">Wallace-Broscious, S., Fouad, N. A., &amp; Arredondo, P. (1994). The role of self-efficacy in career decision-making. </w:t>
      </w:r>
      <w:r w:rsidRPr="00422DAD">
        <w:rPr>
          <w:rStyle w:val="Emphasis"/>
          <w:rFonts w:ascii="Times New Roman" w:hAnsi="Times New Roman" w:cs="Times New Roman"/>
          <w:sz w:val="24"/>
          <w:szCs w:val="24"/>
        </w:rPr>
        <w:t>Journal of Counseling Psychology, 41</w:t>
      </w:r>
      <w:r w:rsidRPr="00422DAD">
        <w:rPr>
          <w:rFonts w:ascii="Times New Roman" w:hAnsi="Times New Roman" w:cs="Times New Roman"/>
          <w:sz w:val="24"/>
          <w:szCs w:val="24"/>
        </w:rPr>
        <w:t xml:space="preserve">(2), 153–162. </w:t>
      </w:r>
      <w:hyperlink r:id="rId103" w:history="1">
        <w:r w:rsidRPr="00422DAD">
          <w:rPr>
            <w:rStyle w:val="Hyperlink"/>
            <w:rFonts w:ascii="Times New Roman" w:hAnsi="Times New Roman" w:cs="Times New Roman"/>
            <w:sz w:val="24"/>
            <w:szCs w:val="24"/>
          </w:rPr>
          <w:t>https://doi.org/10.1037/0022-0167.41.2.153</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Wang, M. (2021). Gender differences in self-concept and career decision-making among Chinese adolescents. </w:t>
      </w:r>
      <w:r w:rsidRPr="00422DAD">
        <w:rPr>
          <w:rStyle w:val="Emphasis"/>
        </w:rPr>
        <w:t>Journal of Adolescence, 87</w:t>
      </w:r>
      <w:r w:rsidRPr="00422DAD">
        <w:t xml:space="preserve">, 1–12. </w:t>
      </w:r>
      <w:hyperlink r:id="rId104" w:history="1">
        <w:r w:rsidRPr="00422DAD">
          <w:rPr>
            <w:rStyle w:val="Hyperlink"/>
          </w:rPr>
          <w:t>https://doi.org/10.1016/j.adolescence.2021.03.007</w:t>
        </w:r>
      </w:hyperlink>
    </w:p>
    <w:p w:rsidR="002E0383" w:rsidRPr="00422DAD" w:rsidRDefault="002E0383" w:rsidP="002E0383">
      <w:pPr>
        <w:pStyle w:val="ListParagraph"/>
        <w:numPr>
          <w:ilvl w:val="0"/>
          <w:numId w:val="10"/>
        </w:numPr>
        <w:spacing w:after="0" w:line="360" w:lineRule="auto"/>
        <w:rPr>
          <w:rFonts w:ascii="Times New Roman" w:hAnsi="Times New Roman" w:cs="Times New Roman"/>
          <w:sz w:val="24"/>
          <w:szCs w:val="24"/>
        </w:rPr>
      </w:pPr>
      <w:r w:rsidRPr="00422DAD">
        <w:rPr>
          <w:rFonts w:ascii="Times New Roman" w:hAnsi="Times New Roman" w:cs="Times New Roman"/>
          <w:sz w:val="24"/>
          <w:szCs w:val="24"/>
        </w:rPr>
        <w:t xml:space="preserve">Wang, M. (2025). Parenting styles and adolescent self-efficacy: A longitudinal study in China and Iran. </w:t>
      </w:r>
      <w:r w:rsidRPr="00422DAD">
        <w:rPr>
          <w:rStyle w:val="Emphasis"/>
          <w:rFonts w:ascii="Times New Roman" w:hAnsi="Times New Roman" w:cs="Times New Roman"/>
          <w:sz w:val="24"/>
          <w:szCs w:val="24"/>
        </w:rPr>
        <w:t>Journal of Cross-Cultural Psychology</w:t>
      </w:r>
      <w:r w:rsidRPr="00422DAD">
        <w:rPr>
          <w:rFonts w:ascii="Times New Roman" w:hAnsi="Times New Roman" w:cs="Times New Roman"/>
          <w:sz w:val="24"/>
          <w:szCs w:val="24"/>
        </w:rPr>
        <w:t>, 56(1), 45–62.</w:t>
      </w:r>
    </w:p>
    <w:p w:rsidR="002E0383" w:rsidRPr="00422DAD" w:rsidRDefault="002E0383" w:rsidP="002E0383">
      <w:pPr>
        <w:pStyle w:val="NormalWeb"/>
        <w:numPr>
          <w:ilvl w:val="0"/>
          <w:numId w:val="10"/>
        </w:numPr>
        <w:spacing w:before="0" w:beforeAutospacing="0" w:after="0" w:afterAutospacing="0" w:line="360" w:lineRule="auto"/>
      </w:pPr>
      <w:r w:rsidRPr="00422DAD">
        <w:t xml:space="preserve">Wang, X. (2025). Parenting style on the over-adaptation of secondary school students: A moderated mediation model of self-esteem and gender. </w:t>
      </w:r>
      <w:r w:rsidRPr="00422DAD">
        <w:rPr>
          <w:rStyle w:val="Emphasis"/>
        </w:rPr>
        <w:t>BMC Psychology, 13</w:t>
      </w:r>
      <w:r w:rsidRPr="00422DAD">
        <w:t xml:space="preserve">(1). </w:t>
      </w:r>
      <w:hyperlink r:id="rId105" w:history="1">
        <w:r w:rsidRPr="00422DAD">
          <w:rPr>
            <w:rStyle w:val="Hyperlink"/>
          </w:rPr>
          <w:t>https://doi.org/10.1186/s40359-025-03481-7</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Whiston, S. C., &amp; Keller, B. K. (2004). The influences of the family of origin on career development: A review and analysis. </w:t>
      </w:r>
      <w:r w:rsidRPr="00422DAD">
        <w:rPr>
          <w:rStyle w:val="Emphasis"/>
        </w:rPr>
        <w:t>The Counseling Psychologist, 32</w:t>
      </w:r>
      <w:r w:rsidRPr="00422DAD">
        <w:t xml:space="preserve">(4), 493–568. </w:t>
      </w:r>
      <w:hyperlink r:id="rId106" w:history="1">
        <w:r w:rsidRPr="00422DAD">
          <w:rPr>
            <w:rStyle w:val="Hyperlink"/>
          </w:rPr>
          <w:t>https://doi.org/10.1177/0011000004265660</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World Bank. (2021). </w:t>
      </w:r>
      <w:r w:rsidRPr="00422DAD">
        <w:rPr>
          <w:rStyle w:val="Emphasis"/>
        </w:rPr>
        <w:t>Impact of COVID-19 on education in India: Household and school responses</w:t>
      </w:r>
      <w:r w:rsidRPr="00422DAD">
        <w:t xml:space="preserve">. World Bank Group. </w:t>
      </w:r>
      <w:hyperlink r:id="rId107" w:history="1">
        <w:r w:rsidRPr="00422DAD">
          <w:rPr>
            <w:rStyle w:val="Hyperlink"/>
          </w:rPr>
          <w:t>https://documents.worldbank.org/en/publication/documents-reports/documentdetail/2021/05/31/impact-of-covid-19-on-education-in-india</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World Bank. (2022). </w:t>
      </w:r>
      <w:r w:rsidRPr="00422DAD">
        <w:rPr>
          <w:rStyle w:val="Emphasis"/>
        </w:rPr>
        <w:t>Equity and quality in education: Challenges and policy responses</w:t>
      </w:r>
      <w:r w:rsidRPr="00422DAD">
        <w:t xml:space="preserve">. World Bank Publications. </w:t>
      </w:r>
      <w:hyperlink r:id="rId108" w:history="1">
        <w:r w:rsidRPr="00422DAD">
          <w:rPr>
            <w:rStyle w:val="Hyperlink"/>
          </w:rPr>
          <w:t>https://doi.org/10.1596/978-1-4648-1747-1</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Yuvaraj, M., &amp; Arabi, M. (2021). Impact of household education expenditure on academic achievement: Evidence from Indian secondary schools. </w:t>
      </w:r>
      <w:r w:rsidRPr="00422DAD">
        <w:rPr>
          <w:rStyle w:val="Emphasis"/>
        </w:rPr>
        <w:t>International Journal of Educational Development, 81</w:t>
      </w:r>
      <w:r w:rsidRPr="00422DAD">
        <w:t xml:space="preserve">, 102361. </w:t>
      </w:r>
      <w:hyperlink r:id="rId109" w:history="1">
        <w:r w:rsidRPr="00422DAD">
          <w:rPr>
            <w:rStyle w:val="Hyperlink"/>
          </w:rPr>
          <w:t>https://doi.org/10.1016/j.ijedudev.2020.102361</w:t>
        </w:r>
      </w:hyperlink>
    </w:p>
    <w:p w:rsidR="002E0383" w:rsidRPr="00422DAD" w:rsidRDefault="002E0383" w:rsidP="002E0383">
      <w:pPr>
        <w:pStyle w:val="NormalWeb"/>
        <w:numPr>
          <w:ilvl w:val="0"/>
          <w:numId w:val="10"/>
        </w:numPr>
        <w:spacing w:before="0" w:beforeAutospacing="0" w:after="0" w:afterAutospacing="0" w:line="360" w:lineRule="auto"/>
      </w:pPr>
      <w:r w:rsidRPr="00422DAD">
        <w:t xml:space="preserve">Xing, X., &amp; Rojewski, J. W. (2018). Parental support and career decision-making self-efficacy among Chinese adolescents. </w:t>
      </w:r>
      <w:r w:rsidRPr="00422DAD">
        <w:rPr>
          <w:rStyle w:val="Emphasis"/>
        </w:rPr>
        <w:t>Journal of Career Development, 45</w:t>
      </w:r>
      <w:r w:rsidRPr="00422DAD">
        <w:t xml:space="preserve">(3), 243–256. </w:t>
      </w:r>
      <w:hyperlink r:id="rId110" w:history="1">
        <w:r w:rsidRPr="00422DAD">
          <w:rPr>
            <w:rStyle w:val="Hyperlink"/>
          </w:rPr>
          <w:t>https://doi.org/10.1177/089484</w:t>
        </w:r>
      </w:hyperlink>
    </w:p>
    <w:p w:rsidR="002E0383" w:rsidRPr="00422DAD" w:rsidRDefault="002E0383" w:rsidP="002E0383">
      <w:pPr>
        <w:spacing w:after="0" w:line="360" w:lineRule="auto"/>
        <w:rPr>
          <w:rFonts w:ascii="Times New Roman" w:hAnsi="Times New Roman" w:cs="Times New Roman"/>
          <w:sz w:val="24"/>
          <w:szCs w:val="24"/>
        </w:rPr>
      </w:pPr>
    </w:p>
    <w:p w:rsidR="002E0383" w:rsidRPr="00422DAD" w:rsidRDefault="002E0383" w:rsidP="002E0383">
      <w:pPr>
        <w:pStyle w:val="NormalWeb"/>
        <w:spacing w:before="0" w:beforeAutospacing="0" w:after="0" w:afterAutospacing="0" w:line="360" w:lineRule="auto"/>
      </w:pPr>
    </w:p>
    <w:sectPr w:rsidR="002E0383" w:rsidRPr="00422DAD" w:rsidSect="00422DAD">
      <w:headerReference w:type="even" r:id="rId111"/>
      <w:headerReference w:type="default" r:id="rId112"/>
      <w:footerReference w:type="even" r:id="rId113"/>
      <w:footerReference w:type="default" r:id="rId114"/>
      <w:headerReference w:type="first" r:id="rId115"/>
      <w:footerReference w:type="first" r:id="rId116"/>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0D3" w:rsidRDefault="008870D3" w:rsidP="00270B0A">
      <w:pPr>
        <w:spacing w:after="0" w:line="240" w:lineRule="auto"/>
      </w:pPr>
      <w:r>
        <w:separator/>
      </w:r>
    </w:p>
  </w:endnote>
  <w:endnote w:type="continuationSeparator" w:id="1">
    <w:p w:rsidR="008870D3" w:rsidRDefault="008870D3" w:rsidP="00270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72" w:rsidRDefault="00343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387579"/>
      <w:docPartObj>
        <w:docPartGallery w:val="Page Numbers (Bottom of Page)"/>
        <w:docPartUnique/>
      </w:docPartObj>
    </w:sdtPr>
    <w:sdtContent>
      <w:p w:rsidR="00270B0A" w:rsidRDefault="00C649AB">
        <w:pPr>
          <w:pStyle w:val="Footer"/>
          <w:jc w:val="center"/>
        </w:pPr>
        <w:r>
          <w:fldChar w:fldCharType="begin"/>
        </w:r>
        <w:r w:rsidR="00826864">
          <w:instrText xml:space="preserve"> PAGE   \* MERGEFORMAT </w:instrText>
        </w:r>
        <w:r>
          <w:fldChar w:fldCharType="separate"/>
        </w:r>
        <w:r w:rsidR="004109FE">
          <w:rPr>
            <w:noProof/>
          </w:rPr>
          <w:t>10</w:t>
        </w:r>
        <w:r>
          <w:rPr>
            <w:noProof/>
          </w:rPr>
          <w:fldChar w:fldCharType="end"/>
        </w:r>
      </w:p>
    </w:sdtContent>
  </w:sdt>
  <w:p w:rsidR="00270B0A" w:rsidRDefault="00270B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72" w:rsidRDefault="00343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0D3" w:rsidRDefault="008870D3" w:rsidP="00270B0A">
      <w:pPr>
        <w:spacing w:after="0" w:line="240" w:lineRule="auto"/>
      </w:pPr>
      <w:r>
        <w:separator/>
      </w:r>
    </w:p>
  </w:footnote>
  <w:footnote w:type="continuationSeparator" w:id="1">
    <w:p w:rsidR="008870D3" w:rsidRDefault="008870D3" w:rsidP="00270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72" w:rsidRDefault="00C649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72" w:rsidRDefault="00C649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B72" w:rsidRDefault="00C649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2E81"/>
    <w:multiLevelType w:val="multilevel"/>
    <w:tmpl w:val="9B24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C24C3"/>
    <w:multiLevelType w:val="multilevel"/>
    <w:tmpl w:val="09661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D0C062C"/>
    <w:multiLevelType w:val="hybridMultilevel"/>
    <w:tmpl w:val="B84493C2"/>
    <w:lvl w:ilvl="0" w:tplc="E5FEE624">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416B7E"/>
    <w:multiLevelType w:val="multilevel"/>
    <w:tmpl w:val="0A3C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821786"/>
    <w:multiLevelType w:val="multilevel"/>
    <w:tmpl w:val="61C07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571D7F"/>
    <w:multiLevelType w:val="multilevel"/>
    <w:tmpl w:val="751876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44577499"/>
    <w:multiLevelType w:val="hybridMultilevel"/>
    <w:tmpl w:val="051A0892"/>
    <w:lvl w:ilvl="0" w:tplc="A392BEE6">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93A2A"/>
    <w:multiLevelType w:val="multilevel"/>
    <w:tmpl w:val="5852D6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4AE91CA7"/>
    <w:multiLevelType w:val="multilevel"/>
    <w:tmpl w:val="DAE2C2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58F74B05"/>
    <w:multiLevelType w:val="multilevel"/>
    <w:tmpl w:val="926E25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92B04B1"/>
    <w:multiLevelType w:val="multilevel"/>
    <w:tmpl w:val="53F0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7576AA"/>
    <w:multiLevelType w:val="hybridMultilevel"/>
    <w:tmpl w:val="62F0048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1702ECB"/>
    <w:multiLevelType w:val="multilevel"/>
    <w:tmpl w:val="A91E6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F74AAA"/>
    <w:multiLevelType w:val="multilevel"/>
    <w:tmpl w:val="5D0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2"/>
  </w:num>
  <w:num w:numId="4">
    <w:abstractNumId w:val="8"/>
  </w:num>
  <w:num w:numId="5">
    <w:abstractNumId w:val="9"/>
  </w:num>
  <w:num w:numId="6">
    <w:abstractNumId w:val="1"/>
  </w:num>
  <w:num w:numId="7">
    <w:abstractNumId w:val="13"/>
  </w:num>
  <w:num w:numId="8">
    <w:abstractNumId w:val="3"/>
  </w:num>
  <w:num w:numId="9">
    <w:abstractNumId w:val="10"/>
  </w:num>
  <w:num w:numId="10">
    <w:abstractNumId w:val="5"/>
  </w:num>
  <w:num w:numId="11">
    <w:abstractNumId w:val="2"/>
  </w:num>
  <w:num w:numId="12">
    <w:abstractNumId w:val="11"/>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432D9"/>
    <w:rsid w:val="0000598F"/>
    <w:rsid w:val="000538E3"/>
    <w:rsid w:val="000573B3"/>
    <w:rsid w:val="00086FB7"/>
    <w:rsid w:val="000C47B4"/>
    <w:rsid w:val="000F7D7A"/>
    <w:rsid w:val="00105F14"/>
    <w:rsid w:val="001311AC"/>
    <w:rsid w:val="00133CB9"/>
    <w:rsid w:val="00141318"/>
    <w:rsid w:val="00147E85"/>
    <w:rsid w:val="0015164F"/>
    <w:rsid w:val="00164D5C"/>
    <w:rsid w:val="00193FE1"/>
    <w:rsid w:val="001943D5"/>
    <w:rsid w:val="001B0CFF"/>
    <w:rsid w:val="001D1AA5"/>
    <w:rsid w:val="001D7D50"/>
    <w:rsid w:val="00222503"/>
    <w:rsid w:val="00270B0A"/>
    <w:rsid w:val="00272362"/>
    <w:rsid w:val="0028439D"/>
    <w:rsid w:val="002D4C96"/>
    <w:rsid w:val="002E0383"/>
    <w:rsid w:val="002E2BFB"/>
    <w:rsid w:val="003008B7"/>
    <w:rsid w:val="003232BF"/>
    <w:rsid w:val="003301F6"/>
    <w:rsid w:val="0033558A"/>
    <w:rsid w:val="00343B72"/>
    <w:rsid w:val="00346B28"/>
    <w:rsid w:val="00364531"/>
    <w:rsid w:val="00395DD6"/>
    <w:rsid w:val="003B36C8"/>
    <w:rsid w:val="003E2AE8"/>
    <w:rsid w:val="00407CD2"/>
    <w:rsid w:val="004109FE"/>
    <w:rsid w:val="00422DAD"/>
    <w:rsid w:val="00442D08"/>
    <w:rsid w:val="00460C79"/>
    <w:rsid w:val="004849B8"/>
    <w:rsid w:val="004A2943"/>
    <w:rsid w:val="005049D0"/>
    <w:rsid w:val="0051175F"/>
    <w:rsid w:val="00571E87"/>
    <w:rsid w:val="00583FC9"/>
    <w:rsid w:val="00590BEB"/>
    <w:rsid w:val="005C11B4"/>
    <w:rsid w:val="005D2203"/>
    <w:rsid w:val="00620E33"/>
    <w:rsid w:val="006229F5"/>
    <w:rsid w:val="006375E5"/>
    <w:rsid w:val="006761B2"/>
    <w:rsid w:val="006A2A75"/>
    <w:rsid w:val="006B2871"/>
    <w:rsid w:val="006C163C"/>
    <w:rsid w:val="006F3B64"/>
    <w:rsid w:val="0070467D"/>
    <w:rsid w:val="007071CF"/>
    <w:rsid w:val="007153A5"/>
    <w:rsid w:val="0076027C"/>
    <w:rsid w:val="00776F74"/>
    <w:rsid w:val="00796F6F"/>
    <w:rsid w:val="007F1D6C"/>
    <w:rsid w:val="00802EA7"/>
    <w:rsid w:val="00822120"/>
    <w:rsid w:val="00826864"/>
    <w:rsid w:val="008309A6"/>
    <w:rsid w:val="008504FF"/>
    <w:rsid w:val="00860954"/>
    <w:rsid w:val="00872719"/>
    <w:rsid w:val="008870D3"/>
    <w:rsid w:val="00900BDE"/>
    <w:rsid w:val="0091434B"/>
    <w:rsid w:val="009257FC"/>
    <w:rsid w:val="00937B11"/>
    <w:rsid w:val="00942818"/>
    <w:rsid w:val="0094412D"/>
    <w:rsid w:val="0095481D"/>
    <w:rsid w:val="00997867"/>
    <w:rsid w:val="009B00CF"/>
    <w:rsid w:val="009D3E11"/>
    <w:rsid w:val="009E007D"/>
    <w:rsid w:val="009F27E4"/>
    <w:rsid w:val="009F49C4"/>
    <w:rsid w:val="009F6C0D"/>
    <w:rsid w:val="00A230DF"/>
    <w:rsid w:val="00A44378"/>
    <w:rsid w:val="00A448DA"/>
    <w:rsid w:val="00A57264"/>
    <w:rsid w:val="00AA2C4D"/>
    <w:rsid w:val="00AD1FF9"/>
    <w:rsid w:val="00AE3BA8"/>
    <w:rsid w:val="00AE7C6D"/>
    <w:rsid w:val="00B4299B"/>
    <w:rsid w:val="00B9584F"/>
    <w:rsid w:val="00B963E7"/>
    <w:rsid w:val="00BA4EE2"/>
    <w:rsid w:val="00BF5162"/>
    <w:rsid w:val="00C31D84"/>
    <w:rsid w:val="00C5048F"/>
    <w:rsid w:val="00C60931"/>
    <w:rsid w:val="00C649AB"/>
    <w:rsid w:val="00C942C2"/>
    <w:rsid w:val="00CB4B65"/>
    <w:rsid w:val="00CC3A48"/>
    <w:rsid w:val="00CC6122"/>
    <w:rsid w:val="00CC6EE9"/>
    <w:rsid w:val="00D30B80"/>
    <w:rsid w:val="00D432D9"/>
    <w:rsid w:val="00D528C6"/>
    <w:rsid w:val="00D65470"/>
    <w:rsid w:val="00D9267E"/>
    <w:rsid w:val="00DC4340"/>
    <w:rsid w:val="00DC49EC"/>
    <w:rsid w:val="00DC71E0"/>
    <w:rsid w:val="00DC79E5"/>
    <w:rsid w:val="00E2163A"/>
    <w:rsid w:val="00E35713"/>
    <w:rsid w:val="00E923CF"/>
    <w:rsid w:val="00E96A9E"/>
    <w:rsid w:val="00EA2F87"/>
    <w:rsid w:val="00ED1952"/>
    <w:rsid w:val="00F168EB"/>
    <w:rsid w:val="00F55373"/>
    <w:rsid w:val="00F92213"/>
    <w:rsid w:val="00F92437"/>
    <w:rsid w:val="00FA502C"/>
    <w:rsid w:val="00FA554F"/>
    <w:rsid w:val="00FE0B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A7"/>
  </w:style>
  <w:style w:type="paragraph" w:styleId="Heading1">
    <w:name w:val="heading 1"/>
    <w:basedOn w:val="Normal"/>
    <w:next w:val="Normal"/>
    <w:link w:val="Heading1Char"/>
    <w:uiPriority w:val="9"/>
    <w:qFormat/>
    <w:rsid w:val="00BA4E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432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32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2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32D9"/>
    <w:rPr>
      <w:rFonts w:ascii="Times New Roman" w:eastAsia="Times New Roman" w:hAnsi="Times New Roman" w:cs="Times New Roman"/>
      <w:b/>
      <w:bCs/>
      <w:sz w:val="27"/>
      <w:szCs w:val="27"/>
    </w:rPr>
  </w:style>
  <w:style w:type="paragraph" w:styleId="NormalWeb">
    <w:name w:val="Normal (Web)"/>
    <w:basedOn w:val="Normal"/>
    <w:uiPriority w:val="99"/>
    <w:unhideWhenUsed/>
    <w:rsid w:val="00D43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2D9"/>
    <w:rPr>
      <w:b/>
      <w:bCs/>
    </w:rPr>
  </w:style>
  <w:style w:type="character" w:customStyle="1" w:styleId="Heading1Char">
    <w:name w:val="Heading 1 Char"/>
    <w:basedOn w:val="DefaultParagraphFont"/>
    <w:link w:val="Heading1"/>
    <w:uiPriority w:val="9"/>
    <w:rsid w:val="00BA4EE2"/>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9257FC"/>
    <w:rPr>
      <w:i/>
      <w:iCs/>
    </w:rPr>
  </w:style>
  <w:style w:type="character" w:styleId="Hyperlink">
    <w:name w:val="Hyperlink"/>
    <w:uiPriority w:val="99"/>
    <w:rsid w:val="00133CB9"/>
    <w:rPr>
      <w:color w:val="0000FF"/>
      <w:u w:val="single"/>
    </w:rPr>
  </w:style>
  <w:style w:type="table" w:styleId="TableGrid">
    <w:name w:val="Table Grid"/>
    <w:basedOn w:val="TableNormal"/>
    <w:uiPriority w:val="59"/>
    <w:rsid w:val="00133C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E0383"/>
    <w:pPr>
      <w:ind w:left="720"/>
      <w:contextualSpacing/>
    </w:pPr>
  </w:style>
  <w:style w:type="paragraph" w:customStyle="1" w:styleId="Default">
    <w:name w:val="Default"/>
    <w:rsid w:val="007071C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071C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70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B0A"/>
  </w:style>
  <w:style w:type="paragraph" w:styleId="Footer">
    <w:name w:val="footer"/>
    <w:basedOn w:val="Normal"/>
    <w:link w:val="FooterChar"/>
    <w:uiPriority w:val="99"/>
    <w:unhideWhenUsed/>
    <w:rsid w:val="00270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B0A"/>
  </w:style>
  <w:style w:type="character" w:customStyle="1" w:styleId="UnresolvedMention">
    <w:name w:val="Unresolved Mention"/>
    <w:basedOn w:val="DefaultParagraphFont"/>
    <w:uiPriority w:val="99"/>
    <w:semiHidden/>
    <w:unhideWhenUsed/>
    <w:rsid w:val="00442D08"/>
    <w:rPr>
      <w:color w:val="605E5C"/>
      <w:shd w:val="clear" w:color="auto" w:fill="E1DFDD"/>
    </w:rPr>
  </w:style>
  <w:style w:type="paragraph" w:styleId="BodyText">
    <w:name w:val="Body Text"/>
    <w:basedOn w:val="Normal"/>
    <w:link w:val="BodyTextChar"/>
    <w:qFormat/>
    <w:rsid w:val="009B00CF"/>
    <w:pPr>
      <w:spacing w:before="180" w:after="180" w:line="240" w:lineRule="auto"/>
    </w:pPr>
    <w:rPr>
      <w:sz w:val="24"/>
      <w:szCs w:val="24"/>
    </w:rPr>
  </w:style>
  <w:style w:type="character" w:customStyle="1" w:styleId="BodyTextChar">
    <w:name w:val="Body Text Char"/>
    <w:basedOn w:val="DefaultParagraphFont"/>
    <w:link w:val="BodyText"/>
    <w:rsid w:val="009B00CF"/>
    <w:rPr>
      <w:sz w:val="24"/>
      <w:szCs w:val="24"/>
    </w:rPr>
  </w:style>
  <w:style w:type="paragraph" w:customStyle="1" w:styleId="FirstParagraph">
    <w:name w:val="First Paragraph"/>
    <w:basedOn w:val="BodyText"/>
    <w:next w:val="BodyText"/>
    <w:qFormat/>
    <w:rsid w:val="009B00CF"/>
  </w:style>
  <w:style w:type="paragraph" w:customStyle="1" w:styleId="Compact">
    <w:name w:val="Compact"/>
    <w:basedOn w:val="BodyText"/>
    <w:qFormat/>
    <w:rsid w:val="009B00CF"/>
    <w:pPr>
      <w:spacing w:before="36" w:after="36"/>
    </w:pPr>
  </w:style>
  <w:style w:type="paragraph" w:styleId="Caption">
    <w:name w:val="caption"/>
    <w:basedOn w:val="Normal"/>
    <w:rsid w:val="009B00CF"/>
    <w:pPr>
      <w:spacing w:after="120" w:line="240" w:lineRule="auto"/>
    </w:pPr>
    <w:rPr>
      <w:i/>
      <w:sz w:val="24"/>
      <w:szCs w:val="24"/>
    </w:rPr>
  </w:style>
  <w:style w:type="character" w:customStyle="1" w:styleId="VerbatimChar">
    <w:name w:val="Verbatim Char"/>
    <w:basedOn w:val="BodyTextChar"/>
    <w:link w:val="SourceCode"/>
    <w:rsid w:val="009B00CF"/>
    <w:rPr>
      <w:rFonts w:ascii="Consolas" w:hAnsi="Consolas"/>
    </w:rPr>
  </w:style>
  <w:style w:type="paragraph" w:customStyle="1" w:styleId="SourceCode">
    <w:name w:val="Source Code"/>
    <w:basedOn w:val="Normal"/>
    <w:link w:val="VerbatimChar"/>
    <w:rsid w:val="009B00CF"/>
    <w:pPr>
      <w:wordWrap w:val="0"/>
      <w:spacing w:line="240" w:lineRule="auto"/>
    </w:pPr>
    <w:rPr>
      <w:rFonts w:ascii="Consolas" w:hAnsi="Consolas"/>
      <w:szCs w:val="24"/>
    </w:rPr>
  </w:style>
  <w:style w:type="paragraph" w:styleId="BalloonText">
    <w:name w:val="Balloon Text"/>
    <w:basedOn w:val="Normal"/>
    <w:link w:val="BalloonTextChar"/>
    <w:uiPriority w:val="99"/>
    <w:semiHidden/>
    <w:unhideWhenUsed/>
    <w:rsid w:val="009B0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574413">
      <w:bodyDiv w:val="1"/>
      <w:marLeft w:val="0"/>
      <w:marRight w:val="0"/>
      <w:marTop w:val="0"/>
      <w:marBottom w:val="0"/>
      <w:divBdr>
        <w:top w:val="none" w:sz="0" w:space="0" w:color="auto"/>
        <w:left w:val="none" w:sz="0" w:space="0" w:color="auto"/>
        <w:bottom w:val="none" w:sz="0" w:space="0" w:color="auto"/>
        <w:right w:val="none" w:sz="0" w:space="0" w:color="auto"/>
      </w:divBdr>
    </w:div>
    <w:div w:id="636760896">
      <w:bodyDiv w:val="1"/>
      <w:marLeft w:val="0"/>
      <w:marRight w:val="0"/>
      <w:marTop w:val="0"/>
      <w:marBottom w:val="0"/>
      <w:divBdr>
        <w:top w:val="none" w:sz="0" w:space="0" w:color="auto"/>
        <w:left w:val="none" w:sz="0" w:space="0" w:color="auto"/>
        <w:bottom w:val="none" w:sz="0" w:space="0" w:color="auto"/>
        <w:right w:val="none" w:sz="0" w:space="0" w:color="auto"/>
      </w:divBdr>
    </w:div>
    <w:div w:id="989678100">
      <w:bodyDiv w:val="1"/>
      <w:marLeft w:val="0"/>
      <w:marRight w:val="0"/>
      <w:marTop w:val="0"/>
      <w:marBottom w:val="0"/>
      <w:divBdr>
        <w:top w:val="none" w:sz="0" w:space="0" w:color="auto"/>
        <w:left w:val="none" w:sz="0" w:space="0" w:color="auto"/>
        <w:bottom w:val="none" w:sz="0" w:space="0" w:color="auto"/>
        <w:right w:val="none" w:sz="0" w:space="0" w:color="auto"/>
      </w:divBdr>
    </w:div>
    <w:div w:id="1121725455">
      <w:bodyDiv w:val="1"/>
      <w:marLeft w:val="0"/>
      <w:marRight w:val="0"/>
      <w:marTop w:val="0"/>
      <w:marBottom w:val="0"/>
      <w:divBdr>
        <w:top w:val="none" w:sz="0" w:space="0" w:color="auto"/>
        <w:left w:val="none" w:sz="0" w:space="0" w:color="auto"/>
        <w:bottom w:val="none" w:sz="0" w:space="0" w:color="auto"/>
        <w:right w:val="none" w:sz="0" w:space="0" w:color="auto"/>
      </w:divBdr>
    </w:div>
    <w:div w:id="1419519897">
      <w:bodyDiv w:val="1"/>
      <w:marLeft w:val="0"/>
      <w:marRight w:val="0"/>
      <w:marTop w:val="0"/>
      <w:marBottom w:val="0"/>
      <w:divBdr>
        <w:top w:val="none" w:sz="0" w:space="0" w:color="auto"/>
        <w:left w:val="none" w:sz="0" w:space="0" w:color="auto"/>
        <w:bottom w:val="none" w:sz="0" w:space="0" w:color="auto"/>
        <w:right w:val="none" w:sz="0" w:space="0" w:color="auto"/>
      </w:divBdr>
    </w:div>
    <w:div w:id="1437871202">
      <w:bodyDiv w:val="1"/>
      <w:marLeft w:val="0"/>
      <w:marRight w:val="0"/>
      <w:marTop w:val="0"/>
      <w:marBottom w:val="0"/>
      <w:divBdr>
        <w:top w:val="none" w:sz="0" w:space="0" w:color="auto"/>
        <w:left w:val="none" w:sz="0" w:space="0" w:color="auto"/>
        <w:bottom w:val="none" w:sz="0" w:space="0" w:color="auto"/>
        <w:right w:val="none" w:sz="0" w:space="0" w:color="auto"/>
      </w:divBdr>
    </w:div>
    <w:div w:id="18346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paperguide.ai/papers/b5ba93c8-b027-4057-a0fa-c4e430c2df47-career-decision-making-difficulties-and-life-satisfaction-the-role-of-career-related-parental" TargetMode="External"/><Relationship Id="rId117" Type="http://schemas.openxmlformats.org/officeDocument/2006/relationships/fontTable" Target="fontTable.xml"/><Relationship Id="rId21" Type="http://schemas.openxmlformats.org/officeDocument/2006/relationships/hyperlink" Target="https://paperguide.ai/papers/38599c9e-753e-4a18-8d21-67656ad7d550-career-decision-making-self-efficacy-of-young-adolescent-students-in-turkey" TargetMode="External"/><Relationship Id="rId42" Type="http://schemas.openxmlformats.org/officeDocument/2006/relationships/hyperlink" Target="https://paperguide.ai/papers/83b32222-1531-4f95-95aa-e42a43dd74ed-determinants-of-household-expenditure-on-education-in-rural-india" TargetMode="External"/><Relationship Id="rId47" Type="http://schemas.openxmlformats.org/officeDocument/2006/relationships/hyperlink" Target="https://doi.org/10.5281/zenodo.3965731" TargetMode="External"/><Relationship Id="rId63" Type="http://schemas.openxmlformats.org/officeDocument/2006/relationships/hyperlink" Target="https://doi.org/10.1177/0022022104266399" TargetMode="External"/><Relationship Id="rId68" Type="http://schemas.openxmlformats.org/officeDocument/2006/relationships/hyperlink" Target="https://doi.org/10.1080/09620214.2020.1789490" TargetMode="External"/><Relationship Id="rId84" Type="http://schemas.openxmlformats.org/officeDocument/2006/relationships/hyperlink" Target="https://doi.org/10.1108/jes-01-2021-0013" TargetMode="External"/><Relationship Id="rId89" Type="http://schemas.openxmlformats.org/officeDocument/2006/relationships/hyperlink" Target="https://niepa.ac.in/sites/default/files/Policy_Brief_Credit_Transfer.pdf" TargetMode="External"/><Relationship Id="rId112" Type="http://schemas.openxmlformats.org/officeDocument/2006/relationships/header" Target="header2.xml"/><Relationship Id="rId16" Type="http://schemas.openxmlformats.org/officeDocument/2006/relationships/hyperlink" Target="https://paperguide.ai/papers/c6ee1b65-4158-4763-8c9b-ce922a110eaa-relationship-of-parenting-styles-with-decision-making-and-self-concept-among-adolescents" TargetMode="External"/><Relationship Id="rId107" Type="http://schemas.openxmlformats.org/officeDocument/2006/relationships/hyperlink" Target="https://documents.worldbank.org/en/publication/documents-reports/documentdetail/2021/05/31/impact-of-covid-19-on-education-in-india" TargetMode="External"/><Relationship Id="rId11" Type="http://schemas.openxmlformats.org/officeDocument/2006/relationships/hyperlink" Target="https://paperguide.ai/papers/83b32222-1531-4f95-95aa-e42a43dd74ed-determinants-of-household-expenditure-on-education-in-rural-india" TargetMode="External"/><Relationship Id="rId24" Type="http://schemas.openxmlformats.org/officeDocument/2006/relationships/hyperlink" Target="https://paperguide.ai/papers/0519b216-d0a9-41b8-b357-b8778af4434f-parental-support-in-adolescents-career-development-parents-and-childrens-perceptions" TargetMode="External"/><Relationship Id="rId32" Type="http://schemas.openxmlformats.org/officeDocument/2006/relationships/hyperlink" Target="https://paperguide.ai/papers/1cf0aa8c-97e1-4029-a22d-05765e4b5872-school-students-making-education-and-career-decisions-aspirations-attitudes-and-influences-final" TargetMode="External"/><Relationship Id="rId37" Type="http://schemas.openxmlformats.org/officeDocument/2006/relationships/hyperlink" Target="https://paperguide.ai/papers/272a7586-ec8b-4851-a490-283d20d6c01b-parenting-style-on-the-over-adaptation-of-secondary-school-students-a-moderated-mediation-model-of" TargetMode="External"/><Relationship Id="rId40" Type="http://schemas.openxmlformats.org/officeDocument/2006/relationships/hyperlink" Target="https://paperguide.ai/papers/8647ddd9-e39f-4ba8-bab7-fa16441d3372-what-can-we-learn-about-research-on-parental-involvement-in-school-bibliometric-and-thematic" TargetMode="External"/><Relationship Id="rId45" Type="http://schemas.openxmlformats.org/officeDocument/2006/relationships/hyperlink" Target="https://doi.org/10.1177/08948453221123456" TargetMode="External"/><Relationship Id="rId53" Type="http://schemas.openxmlformats.org/officeDocument/2006/relationships/hyperlink" Target="https://doi.org/10.2307/1131780" TargetMode="External"/><Relationship Id="rId58" Type="http://schemas.openxmlformats.org/officeDocument/2006/relationships/hyperlink" Target="https://doi.org/10.2307/1131308" TargetMode="External"/><Relationship Id="rId66" Type="http://schemas.openxmlformats.org/officeDocument/2006/relationships/hyperlink" Target="https://doi.org/10.1146/annurev.psych.53.100901.135153" TargetMode="External"/><Relationship Id="rId74" Type="http://schemas.openxmlformats.org/officeDocument/2006/relationships/hyperlink" Target="https://doi.org/10.1016/j.jvb.2017.06.004" TargetMode="External"/><Relationship Id="rId79" Type="http://schemas.openxmlformats.org/officeDocument/2006/relationships/hyperlink" Target="https://doi.org/10.1006/jvbe.1994.1027" TargetMode="External"/><Relationship Id="rId87" Type="http://schemas.openxmlformats.org/officeDocument/2006/relationships/hyperlink" Target="https://www.education.gov.in/sites/upload_files/mhrd/files/Household_Education_Expenditure_Report" TargetMode="External"/><Relationship Id="rId102" Type="http://schemas.openxmlformats.org/officeDocument/2006/relationships/hyperlink" Target="https://unesdoc.unesco.org/ark:/48223/pf0000375708" TargetMode="External"/><Relationship Id="rId110" Type="http://schemas.openxmlformats.org/officeDocument/2006/relationships/hyperlink" Target="https://doi.org/10.1177/089484" TargetMode="External"/><Relationship Id="rId115"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1037/0033-2909.113.3.487" TargetMode="External"/><Relationship Id="rId82" Type="http://schemas.openxmlformats.org/officeDocument/2006/relationships/hyperlink" Target="https://doi.org/10.1016/j.jvb.2022.103704" TargetMode="External"/><Relationship Id="rId90" Type="http://schemas.openxmlformats.org/officeDocument/2006/relationships/hyperlink" Target="https://doi.org/10.1016/j.adolescence.2021.03.009" TargetMode="External"/><Relationship Id="rId95" Type="http://schemas.openxmlformats.org/officeDocument/2006/relationships/hyperlink" Target="https://doi.org/10.1037/a0027517" TargetMode="External"/><Relationship Id="rId19" Type="http://schemas.openxmlformats.org/officeDocument/2006/relationships/hyperlink" Target="https://paperguide.ai/papers/8ef085c6-8a72-48dd-a014-a92f2c1e4cb5-factors-influencing-students-career-choices-among-secondary-school-students-in-kisumu-municipality" TargetMode="External"/><Relationship Id="rId14" Type="http://schemas.openxmlformats.org/officeDocument/2006/relationships/hyperlink" Target="https://paperguide.ai/papers/c6ee1b65-4158-4763-8c9b-ce922a110eaa-relationship-of-parenting-styles-with-decision-making-and-self-concept-among-adolescents" TargetMode="External"/><Relationship Id="rId22" Type="http://schemas.openxmlformats.org/officeDocument/2006/relationships/hyperlink" Target="https://paperguide.ai/papers/2b2cb669-db62-4aed-8bf1-a40a7a595ba0-different-ways-to-support-and-thwart-autonomy-parenting-profiles-and-adolescents-career-decision" TargetMode="External"/><Relationship Id="rId27" Type="http://schemas.openxmlformats.org/officeDocument/2006/relationships/hyperlink" Target="https://paperguide.ai/papers/f7485fd5-fe1e-45ec-9e93-b8f792fa9b06-development-of-motivational-variables-and-self-esteem-during-the-school-career-a-meta-analysis-of" TargetMode="External"/><Relationship Id="rId30" Type="http://schemas.openxmlformats.org/officeDocument/2006/relationships/hyperlink" Target="https://paperguide.ai/papers/272a7586-ec8b-4851-a490-283d20d6c01b-parenting-style-on-the-over-adaptation-of-secondary-school-students-a-moderated-mediation-model-of" TargetMode="External"/><Relationship Id="rId35" Type="http://schemas.openxmlformats.org/officeDocument/2006/relationships/hyperlink" Target="https://paperguide.ai/papers/38599c9e-753e-4a18-8d21-67656ad7d550-career-decision-making-self-efficacy-of-young-adolescent-students-in-turkey" TargetMode="External"/><Relationship Id="rId43" Type="http://schemas.openxmlformats.org/officeDocument/2006/relationships/hyperlink" Target="https://paperguide.ai/papers/f022633c-8f7d-468f-8f28-5a6872a9b287-education-in-the-times-of-a-pandemic-parental-socioeconomic-characteristics-and-time-spent" TargetMode="External"/><Relationship Id="rId48" Type="http://schemas.openxmlformats.org/officeDocument/2006/relationships/hyperlink" Target="https://doi.org/10.33897/fujp.v5i2.318" TargetMode="External"/><Relationship Id="rId56" Type="http://schemas.openxmlformats.org/officeDocument/2006/relationships/hyperlink" Target="https://doi.org/10.1177/1069072705281347" TargetMode="External"/><Relationship Id="rId64" Type="http://schemas.openxmlformats.org/officeDocument/2006/relationships/hyperlink" Target="https://doi.org/10.1111/j.1471-6402.1994.tb01049.x" TargetMode="External"/><Relationship Id="rId69" Type="http://schemas.openxmlformats.org/officeDocument/2006/relationships/hyperlink" Target="https://doi.org/10.1177/09734082221012345" TargetMode="External"/><Relationship Id="rId77" Type="http://schemas.openxmlformats.org/officeDocument/2006/relationships/hyperlink" Target="https://doi.org/10.1016/j.ijedudev.2021.102535" TargetMode="External"/><Relationship Id="rId100" Type="http://schemas.openxmlformats.org/officeDocument/2006/relationships/hyperlink" Target="https://doi.org/10.1080/14649880220139180" TargetMode="External"/><Relationship Id="rId105" Type="http://schemas.openxmlformats.org/officeDocument/2006/relationships/hyperlink" Target="https://doi.org/10.1186/s40359-025-03481-7" TargetMode="External"/><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177/08948453211012345" TargetMode="External"/><Relationship Id="rId72" Type="http://schemas.openxmlformats.org/officeDocument/2006/relationships/hyperlink" Target="https://doi.org/10.1080/09645292.2023.2171234" TargetMode="External"/><Relationship Id="rId80" Type="http://schemas.openxmlformats.org/officeDocument/2006/relationships/hyperlink" Target="https://doi.org/10.1037/0022-0167.47.1.36" TargetMode="External"/><Relationship Id="rId85" Type="http://schemas.openxmlformats.org/officeDocument/2006/relationships/hyperlink" Target="https://www.education.gov.in/sites/upload_files/mhrd/files/NEP_Final_English_0.pdf" TargetMode="External"/><Relationship Id="rId93" Type="http://schemas.openxmlformats.org/officeDocument/2006/relationships/hyperlink" Target="https://www.oecd.org/education/education-policy-outlook/country-profile-India-2021.pdf" TargetMode="External"/><Relationship Id="rId98" Type="http://schemas.openxmlformats.org/officeDocument/2006/relationships/hyperlink" Target="https://doi.org/10.3102/0034654318819127" TargetMode="External"/><Relationship Id="rId3" Type="http://schemas.openxmlformats.org/officeDocument/2006/relationships/settings" Target="settings.xml"/><Relationship Id="rId12" Type="http://schemas.openxmlformats.org/officeDocument/2006/relationships/hyperlink" Target="https://paperguide.ai/papers/f022633c-8f7d-468f-8f28-5a6872a9b287-education-in-the-times-of-a-pandemic-parental-socioeconomic-characteristics-and-time-spent" TargetMode="External"/><Relationship Id="rId17" Type="http://schemas.openxmlformats.org/officeDocument/2006/relationships/hyperlink" Target="https://paperguide.ai/papers/38599c9e-753e-4a18-8d21-67656ad7d550-career-decision-making-self-efficacy-of-young-adolescent-students-in-turkey" TargetMode="External"/><Relationship Id="rId25" Type="http://schemas.openxmlformats.org/officeDocument/2006/relationships/hyperlink" Target="https://paperguide.ai/papers/9580b4da-1a2d-4435-b8f8-4363d862fc20-the-impact-of-socioeconomic-status-upon-adolescent-identity-formation-the-mediating-role-of-family" TargetMode="External"/><Relationship Id="rId33" Type="http://schemas.openxmlformats.org/officeDocument/2006/relationships/hyperlink" Target="https://paperguide.ai/papers/8647ddd9-e39f-4ba8-bab7-fa16441d3372-what-can-we-learn-about-research-on-parental-involvement-in-school-bibliometric-and-thematic" TargetMode="External"/><Relationship Id="rId38" Type="http://schemas.openxmlformats.org/officeDocument/2006/relationships/hyperlink" Target="https://paperguide.ai/papers/83b32222-1531-4f95-95aa-e42a43dd74ed-determinants-of-household-expenditure-on-education-in-rural-india" TargetMode="External"/><Relationship Id="rId46" Type="http://schemas.openxmlformats.org/officeDocument/2006/relationships/hyperlink" Target="https://doi.org/10.1177/00420859211017978" TargetMode="External"/><Relationship Id="rId59" Type="http://schemas.openxmlformats.org/officeDocument/2006/relationships/hyperlink" Target="https://doi.org/10.24123/aipj.v34i4.2581" TargetMode="External"/><Relationship Id="rId67" Type="http://schemas.openxmlformats.org/officeDocument/2006/relationships/hyperlink" Target="https://doi.org/10.1177/1069072718775942" TargetMode="External"/><Relationship Id="rId103" Type="http://schemas.openxmlformats.org/officeDocument/2006/relationships/hyperlink" Target="https://doi.org/10.1037/0022-0167.41.2.153" TargetMode="External"/><Relationship Id="rId108" Type="http://schemas.openxmlformats.org/officeDocument/2006/relationships/hyperlink" Target="https://doi.org/10.1596/978-1-4648-1747-1" TargetMode="External"/><Relationship Id="rId116" Type="http://schemas.openxmlformats.org/officeDocument/2006/relationships/footer" Target="footer3.xml"/><Relationship Id="rId20" Type="http://schemas.openxmlformats.org/officeDocument/2006/relationships/hyperlink" Target="https://paperguide.ai/papers/1cf0aa8c-97e1-4029-a22d-05765e4b5872-school-students-making-education-and-career-decisions-aspirations-attitudes-and-influences-final" TargetMode="External"/><Relationship Id="rId41" Type="http://schemas.openxmlformats.org/officeDocument/2006/relationships/hyperlink" Target="https://paperguide.ai/papers/9580b4da-1a2d-4435-b8f8-4363d862fc20-the-impact-of-socioeconomic-status-upon-adolescent-identity-formation-the-mediating-role-of-family" TargetMode="External"/><Relationship Id="rId54" Type="http://schemas.openxmlformats.org/officeDocument/2006/relationships/hyperlink" Target="https://doi.org/10.1177/0272431691111004" TargetMode="External"/><Relationship Id="rId62" Type="http://schemas.openxmlformats.org/officeDocument/2006/relationships/hyperlink" Target="https://doi.org/10.1080/00220388.2018.1510996" TargetMode="External"/><Relationship Id="rId70" Type="http://schemas.openxmlformats.org/officeDocument/2006/relationships/hyperlink" Target="https://doi.org/10.1002/j.2161-0045.2015.00091.x" TargetMode="External"/><Relationship Id="rId75" Type="http://schemas.openxmlformats.org/officeDocument/2006/relationships/hyperlink" Target="https://doi.org/10.1007/s12564-015-9373-2" TargetMode="External"/><Relationship Id="rId83" Type="http://schemas.openxmlformats.org/officeDocument/2006/relationships/hyperlink" Target="https://doi.org/10.3102/0013189X20912765" TargetMode="External"/><Relationship Id="rId88" Type="http://schemas.openxmlformats.org/officeDocument/2006/relationships/hyperlink" Target="https://ncert.nic.in/pdf/nc-framework/ncf_2020.pdf" TargetMode="External"/><Relationship Id="rId91" Type="http://schemas.openxmlformats.org/officeDocument/2006/relationships/hyperlink" Target="https://doi.org/10.1787/9789264281318-en" TargetMode="External"/><Relationship Id="rId96" Type="http://schemas.openxmlformats.org/officeDocument/2006/relationships/hyperlink" Target="https://doi.org/10.3102/0002831214527493" TargetMode="External"/><Relationship Id="rId1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guide.ai/papers/272a7586-ec8b-4851-a490-283d20d6c01b-parenting-style-on-the-over-adaptation-of-secondary-school-students-a-moderated-mediation-model-of" TargetMode="External"/><Relationship Id="rId23" Type="http://schemas.openxmlformats.org/officeDocument/2006/relationships/hyperlink" Target="https://paperguide.ai/papers/38578904-ce37-40ae-aa49-a4fd7098d5c8-parental-support-career-exploration-and-career-decision-making-self-efficacy-in-junior-high-school" TargetMode="External"/><Relationship Id="rId28" Type="http://schemas.openxmlformats.org/officeDocument/2006/relationships/hyperlink" Target="https://paperguide.ai/papers/38599c9e-753e-4a18-8d21-67656ad7d550-career-decision-making-self-efficacy-of-young-adolescent-students-in-turkey" TargetMode="External"/><Relationship Id="rId36" Type="http://schemas.openxmlformats.org/officeDocument/2006/relationships/hyperlink" Target="https://paperguide.ai/papers/e2312769-4a2b-4f05-a1fe-33e5ea4e65fc-perceived-parenting-style-of-fathers-and-iranian-adolescents-self-efficacy-the-moderating-role-of" TargetMode="External"/><Relationship Id="rId49" Type="http://schemas.openxmlformats.org/officeDocument/2006/relationships/hyperlink" Target="https://researchonline.jcu.edu.au/554/1/report.pdf?utm_source=chatgpt.com" TargetMode="External"/><Relationship Id="rId57" Type="http://schemas.openxmlformats.org/officeDocument/2006/relationships/hyperlink" Target="https://doi.org/10.1177/1069072716643507" TargetMode="External"/><Relationship Id="rId106" Type="http://schemas.openxmlformats.org/officeDocument/2006/relationships/hyperlink" Target="https://doi.org/10.1177/0011000004265660" TargetMode="External"/><Relationship Id="rId114" Type="http://schemas.openxmlformats.org/officeDocument/2006/relationships/footer" Target="footer2.xml"/><Relationship Id="rId10" Type="http://schemas.openxmlformats.org/officeDocument/2006/relationships/image" Target="media/image3.jpeg"/><Relationship Id="rId31" Type="http://schemas.openxmlformats.org/officeDocument/2006/relationships/hyperlink" Target="https://paperguide.ai/papers/8ef085c6-8a72-48dd-a014-a92f2c1e4cb5-factors-influencing-students-career-choices-among-secondary-school-students-in-kisumu-municipality" TargetMode="External"/><Relationship Id="rId44" Type="http://schemas.openxmlformats.org/officeDocument/2006/relationships/hyperlink" Target="https://doi.org/10.1037/fam0000982" TargetMode="External"/><Relationship Id="rId52" Type="http://schemas.openxmlformats.org/officeDocument/2006/relationships/hyperlink" Target="https://doi.org/10.1177/09732586221012345" TargetMode="External"/><Relationship Id="rId60" Type="http://schemas.openxmlformats.org/officeDocument/2006/relationships/hyperlink" Target="https://doi.org/10.1037/bul0000052" TargetMode="External"/><Relationship Id="rId65" Type="http://schemas.openxmlformats.org/officeDocument/2006/relationships/hyperlink" Target="https://doi.org/10.1177/0165025411398185" TargetMode="External"/><Relationship Id="rId73" Type="http://schemas.openxmlformats.org/officeDocument/2006/relationships/hyperlink" Target="https://doi.org/10.1080/00221325.2017.1355772" TargetMode="External"/><Relationship Id="rId78" Type="http://schemas.openxmlformats.org/officeDocument/2006/relationships/hyperlink" Target="https://doi.org/10.1016/j.adolescence.2019.01.006" TargetMode="External"/><Relationship Id="rId81" Type="http://schemas.openxmlformats.org/officeDocument/2006/relationships/hyperlink" Target="https://doi.org/10.1016/j.jvb.2004.01.004" TargetMode="External"/><Relationship Id="rId86" Type="http://schemas.openxmlformats.org/officeDocument/2006/relationships/hyperlink" Target="https://www.education.gov.in/sites/upload_files/mhrd/files/statistics/odisha2021.pdf" TargetMode="External"/><Relationship Id="rId94" Type="http://schemas.openxmlformats.org/officeDocument/2006/relationships/hyperlink" Target="https://doi.org/10.1016/j.jvb.2021.103541" TargetMode="External"/><Relationship Id="rId99" Type="http://schemas.openxmlformats.org/officeDocument/2006/relationships/hyperlink" Target="https://doi.org/10.1016/j.ijedudev.2020.102360" TargetMode="External"/><Relationship Id="rId101" Type="http://schemas.openxmlformats.org/officeDocument/2006/relationships/hyperlink" Target="https://doi.org/10.1080/21683603.2018.1552220"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paperguide.ai/papers/2b2cb669-db62-4aed-8bf1-a40a7a595ba0-different-ways-to-support-and-thwart-autonomy-parenting-profiles-and-adolescents-career-decision" TargetMode="External"/><Relationship Id="rId18" Type="http://schemas.openxmlformats.org/officeDocument/2006/relationships/hyperlink" Target="https://paperguide.ai/papers/f7485fd5-fe1e-45ec-9e93-b8f792fa9b06-development-of-motivational-variables-and-self-esteem-during-the-school-career-a-meta-analysis-of" TargetMode="External"/><Relationship Id="rId39" Type="http://schemas.openxmlformats.org/officeDocument/2006/relationships/hyperlink" Target="https://paperguide.ai/papers/2420672d-e002-4057-afba-b2a07a59031e-educational-sorting-and-residential-aspirations-among-rural-high-school-students" TargetMode="External"/><Relationship Id="rId109" Type="http://schemas.openxmlformats.org/officeDocument/2006/relationships/hyperlink" Target="https://doi.org/10.1016/j.ijedudev.2020.102361" TargetMode="External"/><Relationship Id="rId34" Type="http://schemas.openxmlformats.org/officeDocument/2006/relationships/hyperlink" Target="https://paperguide.ai/papers/4bf04927-acc7-4245-8506-9638621e0a2f-parental-involvement-in-homework-a-qualitative-bourdieusian-study-of-class-privilege-and-social" TargetMode="External"/><Relationship Id="rId50" Type="http://schemas.openxmlformats.org/officeDocument/2006/relationships/hyperlink" Target="https://doi.org/10.1177/1069072718754998" TargetMode="External"/><Relationship Id="rId55" Type="http://schemas.openxmlformats.org/officeDocument/2006/relationships/hyperlink" Target="https://doi.org/10.1080/00220388.2020.1761234" TargetMode="External"/><Relationship Id="rId76" Type="http://schemas.openxmlformats.org/officeDocument/2006/relationships/hyperlink" Target="https://doi.org/10.1080/00220380412331293707" TargetMode="External"/><Relationship Id="rId97" Type="http://schemas.openxmlformats.org/officeDocument/2006/relationships/hyperlink" Target="https://doi.org/10.1016/S0001-8791(03)00036-4" TargetMode="External"/><Relationship Id="rId104" Type="http://schemas.openxmlformats.org/officeDocument/2006/relationships/hyperlink" Target="https://doi.org/10.1016/j.adolescence.2021.03.007" TargetMode="External"/><Relationship Id="rId7" Type="http://schemas.openxmlformats.org/officeDocument/2006/relationships/hyperlink" Target="https://pubmed.ncbi.nlm.nih.gov/16268861/" TargetMode="External"/><Relationship Id="rId71" Type="http://schemas.openxmlformats.org/officeDocument/2006/relationships/hyperlink" Target="https://doi.org/10.1177/09731741211012345" TargetMode="External"/><Relationship Id="rId92" Type="http://schemas.openxmlformats.org/officeDocument/2006/relationships/hyperlink" Target="https://doi.org/10.1787/69096873-en" TargetMode="External"/><Relationship Id="rId2" Type="http://schemas.openxmlformats.org/officeDocument/2006/relationships/styles" Target="styles.xml"/><Relationship Id="rId29" Type="http://schemas.openxmlformats.org/officeDocument/2006/relationships/hyperlink" Target="https://paperguide.ai/papers/c6ee1b65-4158-4763-8c9b-ce922a110eaa-relationship-of-parenting-styles-with-decision-making-and-self-concept-among-adolesc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30</Pages>
  <Words>11837</Words>
  <Characters>67475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dc:creator>
  <cp:lastModifiedBy>CUO</cp:lastModifiedBy>
  <cp:revision>21</cp:revision>
  <dcterms:created xsi:type="dcterms:W3CDTF">2026-02-12T07:16:00Z</dcterms:created>
  <dcterms:modified xsi:type="dcterms:W3CDTF">2026-02-12T12:04:00Z</dcterms:modified>
</cp:coreProperties>
</file>