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AD962">
      <w:pPr>
        <w:pStyle w:val="2"/>
        <w:rPr>
          <w:rFonts w:hint="default" w:ascii="Times New Roman" w:hAnsi="Times New Roman" w:cs="Times New Roman"/>
          <w:sz w:val="28"/>
          <w:szCs w:val="28"/>
          <w:u w:val="single"/>
        </w:rPr>
      </w:pPr>
      <w:r>
        <w:rPr>
          <w:rFonts w:hint="default" w:ascii="Times New Roman" w:hAnsi="Times New Roman" w:cs="Times New Roman"/>
          <w:sz w:val="28"/>
          <w:szCs w:val="28"/>
          <w:u w:val="single"/>
        </w:rPr>
        <w:t xml:space="preserve">Short Research Article </w:t>
      </w:r>
    </w:p>
    <w:p w14:paraId="28A4A2A5">
      <w:pPr>
        <w:pStyle w:val="2"/>
        <w:jc w:val="left"/>
        <w:rPr>
          <w:rFonts w:hint="default" w:ascii="Times New Roman" w:hAnsi="Times New Roman" w:cs="Times New Roman"/>
          <w:sz w:val="28"/>
          <w:szCs w:val="28"/>
        </w:rPr>
      </w:pPr>
      <w:r>
        <w:rPr>
          <w:rFonts w:hint="default" w:ascii="Times New Roman" w:hAnsi="Times New Roman" w:cs="Times New Roman"/>
          <w:sz w:val="28"/>
          <w:szCs w:val="28"/>
        </w:rPr>
        <w:t>Fostering Higher-Order Thinking in Advanced Mathematics: A Problem-Driven Approach Using Knowledge Graphs</w:t>
      </w:r>
    </w:p>
    <w:p w14:paraId="7A000006">
      <w:pPr>
        <w:widowControl/>
        <w:shd w:val="clear" w:color="auto" w:fill="FFFFFF"/>
        <w:spacing w:line="285" w:lineRule="atLeast"/>
        <w:rPr>
          <w:rFonts w:hint="default" w:ascii="Times New Roman" w:hAnsi="Times New Roman" w:cs="Times New Roman"/>
          <w:b/>
          <w:bCs/>
          <w:sz w:val="24"/>
          <w:vertAlign w:val="superscript"/>
        </w:rPr>
      </w:pPr>
    </w:p>
    <w:p w14:paraId="6D0DDFA3">
      <w:pPr>
        <w:widowControl/>
        <w:shd w:val="clear" w:color="auto" w:fill="FFFFFF"/>
        <w:spacing w:line="285" w:lineRule="atLeast"/>
        <w:rPr>
          <w:rFonts w:hint="default" w:ascii="Times New Roman" w:hAnsi="Times New Roman" w:eastAsia="Consolas" w:cs="Times New Roman"/>
          <w:szCs w:val="21"/>
        </w:rPr>
      </w:pPr>
      <w:r>
        <w:rPr>
          <w:rFonts w:hint="default" w:ascii="Times New Roman" w:hAnsi="Times New Roman" w:eastAsia="宋体" w:cs="Times New Roman"/>
          <w:b/>
          <w:bCs/>
          <w:szCs w:val="21"/>
        </w:rPr>
        <w:t xml:space="preserve">Abstract: </w:t>
      </w:r>
      <w:r>
        <w:rPr>
          <w:rFonts w:hint="default" w:ascii="Times New Roman" w:hAnsi="Times New Roman" w:eastAsia="宋体" w:cs="Times New Roman"/>
          <w:szCs w:val="21"/>
        </w:rPr>
        <w:t xml:space="preserve">In advanced mathematics education, compartmentalized knowledge acquisition and inadequate development of higher-order thinking skills remain persistent challenges. This study introduces a problem-driven teaching model that incorporates knowledge graphs as a cognitive framework to facilitate inquiry-based learning. </w:t>
      </w:r>
      <w:r>
        <w:rPr>
          <w:rFonts w:hint="default" w:ascii="Times New Roman" w:hAnsi="Times New Roman" w:eastAsia="宋体" w:cs="Times New Roman"/>
          <w:szCs w:val="21"/>
        </w:rPr>
        <w:t>Focusing on "Multivariable Differential Calculus" and "Curve Integrals" as key units, we designed teaching cases to help undergraduate students in computer science actively build and integrate knowledge through problem-solving. A quasi-experimental comparative study was conducted over one semester with 120 second-year students (60 in the experimental class using the model and 60 in the control class using traditional lectures).</w:t>
      </w:r>
      <w:r>
        <w:rPr>
          <w:rFonts w:hint="default" w:ascii="Times New Roman" w:hAnsi="Times New Roman" w:eastAsia="宋体" w:cs="Times New Roman"/>
          <w:szCs w:val="21"/>
        </w:rPr>
        <w:t xml:space="preserve"> </w:t>
      </w:r>
      <w:r>
        <w:rPr>
          <w:rFonts w:hint="default" w:ascii="Times New Roman" w:hAnsi="Times New Roman" w:eastAsia="宋体" w:cs="Times New Roman"/>
          <w:szCs w:val="21"/>
        </w:rPr>
        <w:t>Higher-order thinking skills, such as analysis, synthesis, and transfer, were measured through a unified comprehensive test, including a basic knowledge section (60 points) and a higher-order thinking section (40 points). Results showed that the experimental class significantly outperformed the control class in both structured knowledge mastery and higher-order thinking development (p &lt; 0.05). These findings offer empirical evidence and practical guidance for reforming advanced mathematics teaching and fostering innovative talent.</w:t>
      </w:r>
    </w:p>
    <w:p w14:paraId="484971EA">
      <w:pPr>
        <w:widowControl/>
        <w:shd w:val="clear" w:color="auto" w:fill="FFFFFF"/>
        <w:spacing w:line="285" w:lineRule="atLeast"/>
        <w:rPr>
          <w:rFonts w:hint="default" w:ascii="Times New Roman" w:hAnsi="Times New Roman" w:eastAsia="Consolas" w:cs="Times New Roman"/>
          <w:szCs w:val="21"/>
        </w:rPr>
      </w:pPr>
      <w:r>
        <w:rPr>
          <w:rFonts w:hint="default" w:ascii="Times New Roman" w:hAnsi="Times New Roman" w:eastAsia="Consolas" w:cs="Times New Roman"/>
          <w:b/>
          <w:bCs/>
          <w:szCs w:val="21"/>
        </w:rPr>
        <w:t>Keywords:</w:t>
      </w:r>
      <w:r>
        <w:rPr>
          <w:rFonts w:hint="default" w:ascii="Times New Roman" w:hAnsi="Times New Roman" w:eastAsia="Consolas" w:cs="Times New Roman"/>
          <w:szCs w:val="21"/>
        </w:rPr>
        <w:t xml:space="preserve"> Problem-driven teaching method; Knowledge graph; Advanced mathematics; Higher-order thinking; Teaching reform</w:t>
      </w:r>
    </w:p>
    <w:p w14:paraId="44A40808">
      <w:pPr>
        <w:pStyle w:val="3"/>
        <w:numPr>
          <w:ilvl w:val="0"/>
          <w:numId w:val="1"/>
        </w:numPr>
        <w:rPr>
          <w:rFonts w:hint="default" w:ascii="Times New Roman" w:hAnsi="Times New Roman" w:cs="Times New Roman"/>
          <w:sz w:val="24"/>
          <w:szCs w:val="21"/>
        </w:rPr>
      </w:pPr>
      <w:r>
        <w:rPr>
          <w:rFonts w:hint="default" w:ascii="Times New Roman" w:hAnsi="Times New Roman" w:cs="Times New Roman"/>
          <w:sz w:val="24"/>
          <w:szCs w:val="21"/>
        </w:rPr>
        <w:t>Introduction</w:t>
      </w:r>
    </w:p>
    <w:p w14:paraId="63D4F591">
      <w:pPr>
        <w:widowControl/>
        <w:shd w:val="clear" w:color="auto" w:fill="FFFFFF"/>
        <w:spacing w:line="285" w:lineRule="atLeast"/>
        <w:ind w:firstLine="420" w:firstLineChars="200"/>
        <w:rPr>
          <w:rFonts w:hint="default" w:ascii="Times New Roman" w:hAnsi="Times New Roman" w:eastAsia="Consolas" w:cs="Times New Roman"/>
          <w:szCs w:val="21"/>
        </w:rPr>
      </w:pPr>
      <w:r>
        <w:rPr>
          <w:rFonts w:hint="default" w:ascii="Times New Roman" w:hAnsi="Times New Roman" w:eastAsia="Consolas" w:cs="Times New Roman"/>
          <w:szCs w:val="21"/>
        </w:rPr>
        <w:t xml:space="preserve">Advanced mathematics is a foundational course for science and engineering majors. Its teaching quality directly impacts students' disciplinary learning and innovative capacities. However, traditional approaches face several issues. </w:t>
      </w:r>
      <w:r>
        <w:rPr>
          <w:rFonts w:hint="default" w:ascii="Times New Roman" w:hAnsi="Times New Roman" w:eastAsia="Consolas" w:cs="Times New Roman"/>
          <w:szCs w:val="21"/>
        </w:rPr>
        <w:t>Traditional lecture-based methods tend to focus on knowledge transmission at the expense of deep conceptual understanding and the development of application skills.</w:t>
      </w:r>
      <w:r>
        <w:rPr>
          <w:rFonts w:hint="default" w:ascii="Times New Roman" w:hAnsi="Times New Roman" w:eastAsia="Consolas" w:cs="Times New Roman"/>
          <w:szCs w:val="21"/>
        </w:rPr>
        <w:t xml:space="preserve"> This leads to students who can solve problems mechanically but struggle to apply knowledge flexibly. Additionally, the subject's vast and abstract content makes it hard for students to form a systematic framework, resulting in compartmentalized learning that significantly hinders higher-order thinking development </w:t>
      </w:r>
      <w:r>
        <w:rPr>
          <w:rFonts w:hint="default" w:ascii="Times New Roman" w:hAnsi="Times New Roman" w:eastAsia="Consolas" w:cs="Times New Roman"/>
          <w:szCs w:val="21"/>
        </w:rPr>
        <w:fldChar w:fldCharType="begin"/>
      </w:r>
      <w:r>
        <w:rPr>
          <w:rFonts w:hint="default" w:ascii="Times New Roman" w:hAnsi="Times New Roman" w:eastAsia="宋体" w:cs="Times New Roman"/>
          <w:szCs w:val="21"/>
          <w:lang w:eastAsia="zh-CN"/>
        </w:rPr>
        <w:instrText xml:space="preserve"> ADDIN ZOTERO_ITEM CSL_CITATION {"citationID":"7THSwJmF","properties":{"unsorted":false,"formattedCitation":"(Gradini et al., 2025; Mohd Tajudin et al., 2018; Tajudin et al., 2017)","plainCitation":"(Gradini et al., 2025; Mohd Tajudin et al., 2018; Tajudin et al., 2017)","noteIndex":0},"citationItems":[{"id":173,"uris":["http://zotero.org/users/12514566/items/8K4XJFCY"],"itemData":{"id":173,"type":"article-journal","abstract":"Despite increasing emphasis on Higher-Order Thinking Skills (HOTS) in mathematics curricula, classroom implementation remains limited and inconsistent. This qualitative study explored HOTS implementation in mathematics education, aimed to (1) identify effective instructional strategies for fostering HOTS, (2) examine teacher’ challenges, and (3) analyze classroom practices. The study involved 25 stratified junior high school mathematics teachers, with data collected over one academic year through semi-structured interviews, classroom observations, and document analysis. Thematic analysis followed Braun and Clarke’s six-phase framework.. The study highlights that an integrated instructional framework combining inquiry-based learning, collaborative practices, progressive learning support tailored to student needs, and technology significantly enhances higher-order thinking in mathematics. It demonstrates that aligning teacher beliefs, professional development, and systemic curricular support not only validates but also strengthens effective pedagogy for meeting the contemporary demands of critical thinking and problem-solving. Implementation is hindered by misalignment between curriculum goals and classroom realities, assessment practices, and theoretical professional development. Mathematics classrooms are progressively shifting toward critical problem-solving approaches, with teachers integrating analysis, evaluation, and creative tasks. Students demonstrate greater engagement with authentic tasks that connect to real-world contexts. These findings support the redesign of professional development programs and curriculum planning to enhance HOTS implementation in mathematics education.","container-title":"Prisma Sains : Jurnal Pengkajian Ilmu dan Pembelajaran Matematika dan IPA IKIP Mataram","DOI":"10.33394/j-ps.v13i2.15099","ISSN":"2540-7899, 2338-4530","issue":"2","journalAbbreviation":"J. Prisma. Sains","license":"https://creativecommons.org/licenses/by/4.0","page":"135","source":"DOI.org (Crossref)","title":"Fostering Higher-Order Thinking Skills in Mathematics Education: Strategies, Challenges, and Classroom Practices","title-short":"Fostering Higher-Order Thinking Skills in Mathematics Education","volume":"13","author":[{"family":"Gradini","given":"Ega"},{"family":"Firmansyah B","given":"Firmansyah B"},{"family":"Noviani","given":"Julia"},{"family":"Ulya","given":"Khairatul"}],"issued":{"date-parts":[["2025",3,28]]}}},{"id":174,"uris":["http://zotero.org/users/12514566/items/69Z4S7VX"],"itemData":{"id":174,"type":"article-journal","abstract":"Stepping into the new millennium, many societies around the world are engaging in serious and promising educational reforms. A holistic framework in the form of a comprehensive process of fostering higher order thinking skills (HOTS) in mathematics teaching and learning is needed to guide teachers in implementation suitable activities in the classroom. Therefore, this research is intended to develop a Guiding Principles of Fostering Higher Order Thinking Skills (GP-HOTS) in teaching and learning of mathematics for secondary school students. The sample of the study was 266 secondary mathematics teachers that were chosen using multilevel cluster sampling technique. An instrument namely the Fostering HOTS Questionnaire related to principles of fostering HOTS in teaching and learning of mathematics was used in this study. Data analyses involved the computation of face, content, reliability indices and validation of themes and items using factor analysis. The results showed that there are six principles of how teachers can foster HOTS in teaching and learning of mathematics namely practice of implementing assessment for learning optimally, practice of determining HOTS learning outcomes, practice of HOTS questioning strategies, practice of integrating Information, Communication and Technology, practice of active learning, and practice of developing habits of mind. These principles have satisfied level of content validity indices as well as revealed an excellent acceptable level of reliability index. The implication is that the developed GP-HOTS in this study can be used in enhancing teachers' mathematical knowledge for teaching, hence creating futuristic minded students","container-title":"International Journal of Engineering and Technology","DOI":"10.14419/ijet.v7i4.15.21445","journalAbbreviation":"International Journal of Engineering and Technology","page":"195-199","source":"ResearchGate","title":"Guiding Principles to Foster Higher Order Thinking Skills in Teaching and Learning of Mathematics","volume":"7","author":[{"family":"Mohd Tajudin","given":"Nor'ain"},{"family":"Puteh","given":"Marzita"},{"family":"Adnan","given":"Mazlini"}],"issued":{"date-parts":[["2018",10,7]]}}},{"id":176,"uris":["http://zotero.org/users/12514566/items/ZDAL7WVQ"],"itemData":{"id":176,"type":"article-journal","container-title":"International Journal of Academic Research in Progressive Education and Development","DOI":"10.6007/IJARPED/v6-i4/3464","ISSN":"2226-6348","issue":"4","journalAbbreviation":"IJARPED","language":"en","page":"Pages 90-103","source":"DOI.org (Crossref)","title":"Developing Themes of Guiding Principles to Foster Higher Order Thinking Skills in Teaching and Learning of Mathematics","volume":"6","author":[{"family":"Tajudin","given":"Norâain Mohd"},{"family":"Puteh","given":"Marzita"},{"family":"Adnan","given":"Mazlini"}],"issued":{"date-parts":[["2017",12,13]]}}}],"schema":"https://github.com/citation-style-language/schema/raw/master/csl-citation.json"} </w:instrText>
      </w:r>
      <w:r>
        <w:rPr>
          <w:rFonts w:hint="default" w:ascii="Times New Roman" w:hAnsi="Times New Roman" w:eastAsia="Consolas" w:cs="Times New Roman"/>
          <w:szCs w:val="21"/>
        </w:rPr>
        <w:fldChar w:fldCharType="separate"/>
      </w:r>
      <w:r>
        <w:rPr>
          <w:rFonts w:hint="default" w:ascii="Times New Roman" w:hAnsi="Times New Roman" w:eastAsia="宋体" w:cs="Times New Roman"/>
          <w:sz w:val="21"/>
          <w:lang w:eastAsia="zh-CN"/>
        </w:rPr>
        <w:t>(Gradini et al., 2025; Mohd Tajudin et al., 2018; Tajudin et al., 2017)</w:t>
      </w:r>
      <w:r>
        <w:rPr>
          <w:rFonts w:hint="default" w:ascii="Times New Roman" w:hAnsi="Times New Roman" w:eastAsia="Consolas" w:cs="Times New Roman"/>
          <w:szCs w:val="21"/>
        </w:rPr>
        <w:fldChar w:fldCharType="end"/>
      </w:r>
      <w:r>
        <w:rPr>
          <w:rFonts w:hint="default" w:ascii="Times New Roman" w:hAnsi="Times New Roman" w:eastAsia="Consolas" w:cs="Times New Roman"/>
          <w:szCs w:val="21"/>
        </w:rPr>
        <w:t>.</w:t>
      </w:r>
    </w:p>
    <w:p w14:paraId="7BDDB3A2">
      <w:pPr>
        <w:widowControl/>
        <w:shd w:val="clear" w:color="auto" w:fill="FFFFFF"/>
        <w:spacing w:line="285" w:lineRule="atLeast"/>
        <w:ind w:firstLine="420" w:firstLineChars="200"/>
        <w:rPr>
          <w:rFonts w:hint="default" w:ascii="Times New Roman" w:hAnsi="Times New Roman" w:eastAsia="Consolas" w:cs="Times New Roman"/>
          <w:szCs w:val="21"/>
        </w:rPr>
      </w:pPr>
      <w:r>
        <w:rPr>
          <w:rFonts w:hint="default" w:ascii="Times New Roman" w:hAnsi="Times New Roman" w:eastAsia="Consolas" w:cs="Times New Roman"/>
          <w:szCs w:val="21"/>
        </w:rPr>
        <w:t xml:space="preserve">In recent years, researchers worldwide have explored reforms in advanced mathematics teaching. For information technology integration, Duan et al. </w:t>
      </w:r>
      <w:r>
        <w:rPr>
          <w:rFonts w:hint="default" w:ascii="Times New Roman" w:hAnsi="Times New Roman" w:eastAsia="Consolas" w:cs="Times New Roman"/>
          <w:szCs w:val="21"/>
        </w:rPr>
        <w:fldChar w:fldCharType="begin"/>
      </w:r>
      <w:r>
        <w:rPr>
          <w:rFonts w:hint="default" w:ascii="Times New Roman" w:hAnsi="Times New Roman" w:eastAsia="Consolas" w:cs="Times New Roman"/>
          <w:szCs w:val="21"/>
        </w:rPr>
        <w:instrText xml:space="preserve"> ADDIN ZOTERO_ITEM CSL_CITATION {"citationID":"rDtrUthl","properties":{"unsorted":false,"formattedCitation":"(2026)","plainCitation":"(2026)","noteIndex":0},"citationItems":[{"id":153,"uris":["http://zotero.org/users/12514566/items/LWJNJGPX"],"itemData":{"id":153,"type":"article-journal","abstract":"As Information Technology (IT) about personalized learning continues to expand in higher education, precision teaching relative to IT has become a new focus for college teachers. This study examined the construction of a Precision Teaching Model for College Mathematics based on Information Technology. It focused on the role of IT in precision teaching, the ability to provide course improvement in teaching using technology, the impact of the pre-class context of learning mathematics on individual differences, precision teaching for students with learning difficulties, and precision teaching for enhancing the self-efficacy and motivation of students. The study was qualitative and quantitative in nature, so the data were collected utilizing quantitative data from questionnaires and qualitative data from open-ended questions. The sample consisted of 355 students and 100 teachers from universities around China. The data were analyzed statistically using SPSS to establish the reliability of the variables, the use of IT for teaching design, and typical precision teaching interventions. The results show a strong positive correlation between information technology and precision teaching, with significantly positive improvements across several features of learner self-efficacy, motivation, and support for learners struggling academically, identified as challenges for teachers in IT. Overall, while this study adds value as the authors have documented important contributions to understanding the role of IT in precision teaching of college mathematics, this study is limited by the cross-sectional, self-report nature of the design, and identified that findings are potentially limited to Chinese universities. In conclusion, this research provides important insights into IT in precision teaching of college mathematics, with implications for educators, researchers, and policy-makers.","container-title":"Current Psychology","DOI":"10.1007/s12144-025-08822-8","ISSN":"1046-1310, 1936-4733","issue":"1","journalAbbreviation":"Curr Psychol","language":"en","page":"43","source":"DOI.org (Crossref)","title":"A precision teaching model for college mathematics based on information technology","volume":"45","author":[{"family":"Duan","given":"Lian"},{"family":"Li","given":"Bing"},{"family":"Han","given":"Xiaofeng"}],"issued":{"date-parts":[["2026",1]]}},"suppress-author":true}],"schema":"https://github.com/citation-style-language/schema/raw/master/csl-citation.json"} </w:instrText>
      </w:r>
      <w:r>
        <w:rPr>
          <w:rFonts w:hint="default" w:ascii="Times New Roman" w:hAnsi="Times New Roman" w:eastAsia="Consolas" w:cs="Times New Roman"/>
          <w:szCs w:val="21"/>
        </w:rPr>
        <w:fldChar w:fldCharType="separate"/>
      </w:r>
      <w:r>
        <w:rPr>
          <w:rFonts w:hint="default" w:ascii="Times New Roman" w:hAnsi="Times New Roman" w:eastAsia="宋体" w:cs="Times New Roman"/>
        </w:rPr>
        <w:t>(2026)</w:t>
      </w:r>
      <w:r>
        <w:rPr>
          <w:rFonts w:hint="default" w:ascii="Times New Roman" w:hAnsi="Times New Roman" w:eastAsia="Consolas" w:cs="Times New Roman"/>
          <w:szCs w:val="21"/>
        </w:rPr>
        <w:fldChar w:fldCharType="end"/>
      </w:r>
      <w:r>
        <w:rPr>
          <w:rFonts w:hint="default" w:ascii="Times New Roman" w:hAnsi="Times New Roman" w:eastAsia="Consolas" w:cs="Times New Roman"/>
          <w:szCs w:val="21"/>
        </w:rPr>
        <w:t xml:space="preserve"> built an IT-based precision teaching model for university mathematics. Their work highlights IT's positive role in personalized learning, pre-class scenarios, and supporting struggling students, showing a strong correlation between IT and precision teaching. On artificial intelligence, Brandibur et al. </w:t>
      </w:r>
      <w:r>
        <w:rPr>
          <w:rFonts w:hint="default" w:ascii="Times New Roman" w:hAnsi="Times New Roman" w:eastAsia="Consolas" w:cs="Times New Roman"/>
          <w:szCs w:val="21"/>
        </w:rPr>
        <w:fldChar w:fldCharType="begin"/>
      </w:r>
      <w:r>
        <w:rPr>
          <w:rFonts w:hint="default" w:ascii="Times New Roman" w:hAnsi="Times New Roman" w:eastAsia="Consolas" w:cs="Times New Roman"/>
          <w:szCs w:val="21"/>
        </w:rPr>
        <w:instrText xml:space="preserve"> ADDIN ZOTERO_ITEM CSL_CITATION {"citationID":"LXiU1Om9","properties":{"unsorted":false,"formattedCitation":"(2025)","plainCitation":"(2025)","noteIndex":0},"citationItems":[{"id":151,"uris":["http://zotero.org/users/12514566/items/JLSYAEKK"],"itemData":{"id":151,"type":"article-journal","abstract":"The rapid integration of large language models into higher education creates opportunities for mathematics instruction, but also raises the need for structured interaction strategies that support reflective learning rather than passive answer consumption. This study, conducted within the Erasmus+ MAESTRO-AI project, examines how selected AI prompt patterns can be implemented in concrete university mathematics activities and how students evaluate these AI-supported experiences. Two experimental modules were compared: complex numbers for first-semester Applied Mathematics students in Poland (n=100) and conditional probability for second-year Computer Science students in Romania (n=213). After completing AI-assisted learning activities with ChatGPT and/or Gemini, students completed a common evaluation questionnaire assessing engagement, perceived usefulness, and reflections on AI as a tutor. Group comparisons and experience-based analyses were performed using the Mann–Whitney test. Results indicate that students who reported regular prior use of AI tools evaluated AI-supported learning significantly more positively than those with occasional or no prior experience. They gave higher ratings across most questionnaire items as well as for the overall score. The findings suggest that prompt-pattern-based designs can support engaging AI-assisted mathematics activities. They also indicate that such designs can provide a structured learning experience, while introductory guidance may be important to ensure comparable benefits for less experienced students.","container-title":"Applied Sciences","DOI":"10.3390/app16010339","ISSN":"2076-3417","issue":"1","journalAbbreviation":"Applied Sciences","language":"en","page":"339","source":"DOI.org (Crossref)","title":"Higher Mathematics Education and AI Prompt Patterns: Examples from Selected University Classes","title-short":"Higher Mathematics Education and AI Prompt Patterns","volume":"16","author":[{"family":"Brandibur","given":"Oana"},{"family":"Filipowicz-Chomko","given":"Marzena"},{"family":"Girejko","given":"Ewa"},{"family":"Kaslik","given":"Eva"},{"family":"Mozyrska","given":"Dorota"},{"family":"Mureșan","given":"Raluca"},{"family":"Pappas","given":"Nikos"},{"family":"Tănasie","given":"Adriana Loredana"},{"family":"Zaharia","given":"Claudia"}],"issued":{"date-parts":[["2025",12,29]]}},"suppress-author":true}],"schema":"https://github.com/citation-style-language/schema/raw/master/csl-citation.json"} </w:instrText>
      </w:r>
      <w:r>
        <w:rPr>
          <w:rFonts w:hint="default" w:ascii="Times New Roman" w:hAnsi="Times New Roman" w:eastAsia="Consolas" w:cs="Times New Roman"/>
          <w:szCs w:val="21"/>
        </w:rPr>
        <w:fldChar w:fldCharType="separate"/>
      </w:r>
      <w:r>
        <w:rPr>
          <w:rFonts w:hint="default" w:ascii="Times New Roman" w:hAnsi="Times New Roman" w:eastAsia="宋体" w:cs="Times New Roman"/>
        </w:rPr>
        <w:t>(2025)</w:t>
      </w:r>
      <w:r>
        <w:rPr>
          <w:rFonts w:hint="default" w:ascii="Times New Roman" w:hAnsi="Times New Roman" w:eastAsia="Consolas" w:cs="Times New Roman"/>
          <w:szCs w:val="21"/>
        </w:rPr>
        <w:fldChar w:fldCharType="end"/>
      </w:r>
      <w:r>
        <w:rPr>
          <w:rFonts w:hint="default" w:ascii="Times New Roman" w:hAnsi="Times New Roman" w:eastAsia="Consolas" w:cs="Times New Roman"/>
          <w:szCs w:val="21"/>
        </w:rPr>
        <w:t xml:space="preserve"> examined AI prompt patterns in university mathematics. Students with prior AI experience rated AI-assisted activities more positively, and prompt designs provided structured learning experiences for mathematics instruction. For capability assessment, Liu et al. </w:t>
      </w:r>
      <w:r>
        <w:rPr>
          <w:rFonts w:hint="default" w:ascii="Times New Roman" w:hAnsi="Times New Roman" w:eastAsia="Consolas" w:cs="Times New Roman"/>
          <w:szCs w:val="21"/>
        </w:rPr>
        <w:fldChar w:fldCharType="begin"/>
      </w:r>
      <w:r>
        <w:rPr>
          <w:rFonts w:hint="default" w:ascii="Times New Roman" w:hAnsi="Times New Roman" w:eastAsia="Consolas" w:cs="Times New Roman"/>
          <w:szCs w:val="21"/>
        </w:rPr>
        <w:instrText xml:space="preserve"> ADDIN ZOTERO_ITEM CSL_CITATION {"citationID":"Fmenc71N","properties":{"unsorted":false,"formattedCitation":"(2025)","plainCitation":"(2025)","noteIndex":0},"citationItems":[{"id":154,"uris":["http://zotero.org/users/12514566/items/SHQZ8JXY"],"itemData":{"id":154,"type":"article-journal","abstract":"This study aims at the limitations of the evaluation of Problem Solving Ability (PSA) in college students’ advanced mathematics problem-solving. It constructs a dual-dimensional evaluation system integrating cognitive dimensions (conceptual understanding, logical reasoning, etc.) and behavioral dimensions (time allocation, operation sequence, etc.) based on Piaget’s cognitive theory and Schoenfeld’s behavioral framework. Meanwhile, this study proposes a hybrid model of Convolutional Neural Network-Bidirectional Long Short-Term Memory-Regression (CNN-BiLSTM-Reg) optimized by Multi-Verse Optimizer (MVO). Through a regression-guided attention mechanism, the model converted multiple regression coefficients into neural network weights, achieving a balance between interpretability and prediction accuracy (R²=0.95, Root Mean Square Error (RMSE) = 5.32). The experimental results show that: The contribution rate of the cognitive dimension to PSA reaches 78.6% (β = 0.35 for logical reasoning). Ablation experiments verify that MVO optimization improves performance by 13.7%. The prediction error of the time dimension decreases from 6.85 at the beginning of the semester to 4.06 at the end of the semester. The improvement range of PSA in the intervention group is 3.3 times that in the control group. This study confirms the scientific nature of the integrated modeling of cognition and behavior, and is expected to provide a technical framework with both prediction function and teaching guidance value for intelligent education.","container-title":"Scientific Reports","DOI":"10.1038/s41598-025-27138-y","ISSN":"2045-2322","issue":"1","journalAbbreviation":"Sci Rep","language":"en","page":"42755","source":"DOI.org (Crossref)","title":"Improvement of college students’ higher mathematics problem solving ability based on neural network and multiple regression model","volume":"15","author":[{"family":"Liu","given":"Tengyi"},{"family":"Li","given":"Chuantao"}],"issued":{"date-parts":[["2025",11,28]]}},"suppress-author":true}],"schema":"https://github.com/citation-style-language/schema/raw/master/csl-citation.json"} </w:instrText>
      </w:r>
      <w:r>
        <w:rPr>
          <w:rFonts w:hint="default" w:ascii="Times New Roman" w:hAnsi="Times New Roman" w:eastAsia="Consolas" w:cs="Times New Roman"/>
          <w:szCs w:val="21"/>
        </w:rPr>
        <w:fldChar w:fldCharType="separate"/>
      </w:r>
      <w:r>
        <w:rPr>
          <w:rFonts w:hint="default" w:ascii="Times New Roman" w:hAnsi="Times New Roman" w:eastAsia="宋体" w:cs="Times New Roman"/>
        </w:rPr>
        <w:t>(2025)</w:t>
      </w:r>
      <w:r>
        <w:rPr>
          <w:rFonts w:hint="default" w:ascii="Times New Roman" w:hAnsi="Times New Roman" w:eastAsia="Consolas" w:cs="Times New Roman"/>
          <w:szCs w:val="21"/>
        </w:rPr>
        <w:fldChar w:fldCharType="end"/>
      </w:r>
      <w:r>
        <w:rPr>
          <w:rFonts w:hint="default" w:ascii="Times New Roman" w:hAnsi="Times New Roman" w:eastAsia="Consolas" w:cs="Times New Roman"/>
          <w:szCs w:val="21"/>
        </w:rPr>
        <w:t xml:space="preserve"> proposed a neural network and multivariate regression-based system for mathematical problem-solving. It combines cognitive and behavioral dimensions, using CNN and BiLSTM for 95% prediction accuracy, offering a framework with predictive and instructional value for intelligent education. For teacher development, Santagata et al. </w:t>
      </w:r>
      <w:r>
        <w:rPr>
          <w:rFonts w:hint="default" w:ascii="Times New Roman" w:hAnsi="Times New Roman" w:eastAsia="Consolas" w:cs="Times New Roman"/>
          <w:szCs w:val="21"/>
        </w:rPr>
        <w:fldChar w:fldCharType="begin"/>
      </w:r>
      <w:r>
        <w:rPr>
          <w:rFonts w:hint="default" w:ascii="Times New Roman" w:hAnsi="Times New Roman" w:eastAsia="Consolas" w:cs="Times New Roman"/>
          <w:szCs w:val="21"/>
        </w:rPr>
        <w:instrText xml:space="preserve"> ADDIN ZOTERO_ITEM CSL_CITATION {"citationID":"eh7kdbMY","properties":{"unsorted":false,"formattedCitation":"(2026)","plainCitation":"(2026)","noteIndex":0},"citationItems":[{"id":157,"uris":["http://zotero.org/users/12514566/items/Y2R8MV5I"],"itemData":{"id":157,"type":"article-journal","abstract":"Abstract\n            Marginalized groups remain underrepresented in college mathematics majors and experience lower outcomes and persistence, highlighting the need for equity-focused professional development (PD). Recent work on teacher noticing identifies competencies of equitable teachers, informing PD design centered on noticing for equity. This study presents a video-based PD, developed by mathematics and education scholars, for college instructional teams. The PD addresses both student thinking and equity-focused noticing, encouraging participants to examine their beliefs and visions of equitable instruction. Ten mathematics faculty and student assistants participated in the study. Through a pre/post-test design, findings demonstrate that PD can be designed to integrate attention to both student mathematical thinking and participation, fostering expansive noticing practices that include students’ historical selves and imagined futures. They also suggest that video-based noticing activities can support the development of beliefs and vision of high-quality mathematics instruction. A study byproduct is a framework to document multidimensional noticing that captures dimensions such as student agency, shared authority, and the socio-emotional and relational aspects of learning.","container-title":"ZDM – Mathematics Education","DOI":"10.1007/s11858-025-01744-6","ISSN":"1863-9690, 1863-9704","issue":"1-2","journalAbbreviation":"ZDM Mathematics Education","language":"en","page":"295-309","source":"DOI.org (Crossref)","title":"Fostering expansive noticing practices through video-based professional development in college mathematics","volume":"58","author":[{"family":"Santagata","given":"Rossella"},{"family":"Fuentes Acevedo","given":"Patricia"},{"family":"Kimmerling","given":"Christina"},{"family":"Pelayo","given":"Roberto"},{"family":"Pantano","given":"Alessandra"},{"family":"Tschönhens","given":"Franziska"}],"issued":{"date-parts":[["2026",4]]}},"suppress-author":true}],"schema":"https://github.com/citation-style-language/schema/raw/master/csl-citation.json"} </w:instrText>
      </w:r>
      <w:r>
        <w:rPr>
          <w:rFonts w:hint="default" w:ascii="Times New Roman" w:hAnsi="Times New Roman" w:eastAsia="Consolas" w:cs="Times New Roman"/>
          <w:szCs w:val="21"/>
        </w:rPr>
        <w:fldChar w:fldCharType="separate"/>
      </w:r>
      <w:r>
        <w:rPr>
          <w:rFonts w:hint="default" w:ascii="Times New Roman" w:hAnsi="Times New Roman" w:eastAsia="宋体" w:cs="Times New Roman"/>
        </w:rPr>
        <w:t>(2026)</w:t>
      </w:r>
      <w:r>
        <w:rPr>
          <w:rFonts w:hint="default" w:ascii="Times New Roman" w:hAnsi="Times New Roman" w:eastAsia="Consolas" w:cs="Times New Roman"/>
          <w:szCs w:val="21"/>
        </w:rPr>
        <w:fldChar w:fldCharType="end"/>
      </w:r>
      <w:r>
        <w:rPr>
          <w:rFonts w:hint="default" w:ascii="Times New Roman" w:hAnsi="Times New Roman" w:eastAsia="Consolas" w:cs="Times New Roman"/>
          <w:szCs w:val="21"/>
        </w:rPr>
        <w:t xml:space="preserve"> created a video-based program focusing on student thinking and equity, enhancing teachers' multidimensional noticing abilities. Finally, Szilágyi et al. </w:t>
      </w:r>
      <w:r>
        <w:rPr>
          <w:rFonts w:hint="default" w:ascii="Times New Roman" w:hAnsi="Times New Roman" w:eastAsia="Consolas" w:cs="Times New Roman"/>
          <w:szCs w:val="21"/>
        </w:rPr>
        <w:fldChar w:fldCharType="begin"/>
      </w:r>
      <w:r>
        <w:rPr>
          <w:rFonts w:hint="default" w:ascii="Times New Roman" w:hAnsi="Times New Roman" w:eastAsia="Consolas" w:cs="Times New Roman"/>
          <w:szCs w:val="21"/>
        </w:rPr>
        <w:instrText xml:space="preserve"> ADDIN ZOTERO_ITEM CSL_CITATION {"citationID":"4BgUo40x","properties":{"unsorted":false,"formattedCitation":"(2025)","plainCitation":"(2025)","noteIndex":0},"citationItems":[{"id":156,"uris":["http://zotero.org/users/12514566/items/B9TEKJEI"],"itemData":{"id":156,"type":"article-journal","abstract":"An innovative, STEAM-based educational approach uses LEGO® robots to improve the visualisation and understanding of trochoid curves in tertiary mathematics education. The method involves a two-step process: first, the curves are drawn based on the classical definition of trochoids using a custom-designed LEGO® robot that employs LED light to trace the shapes. Then, the same process is replicated with a marker, with the robot controlling the movement of the drawing head to reproduce the curves accurately. To deepen students’ comprehension and visualisation, Desmos dynamic geometry software was used in parallel to draw all three types of trochoids (prolate, curtate, and cusped). This hands-on technique aims to make these motion curves more tangible and engaging within a classroom setting. A quantitative experiment involving 94 first-year IT BSc students was conducted during the spring semester of the 2024/2025 academic year using a quasi-experimental design. We had one control group and two experimental groups. One of the experimental groups did not use educational robotics; participants could only see how the robots worked via video. The other experimental group gained first-hand experience by building and testing LEGO® drawing robots. The aim was to evaluate the effectiveness of an innovative teaching method that used educational robotics to improve understanding of the mathematical properties of trochoids, compared to traditional teaching methods and presentations containing short videos. The Mann–Whitney U test was used in all cases during hypothesis testing. Only watching videos of drawing robots does not have a statistically significant effect on learning outcomes. In this case, the effect size was only 0.12. However, the results of the group performing educational robotics activities showed a statistically significant difference compared to the other two groups, with large effect sizes (0.68 and 0.7). Our results suggest that visualisation using LEGO® robots significantly improves students’ knowledge of parametric curves. Educational robotics offers promising opportunities because it is an attractive and interactive teaching tool. Its great advantage is that it combines abstract mathematical concepts with modern technology, thus creating an effective learning environment.","container-title":"Education Sciences","DOI":"10.3390/educsci15111472","ISSN":"2227-7102","issue":"11","journalAbbreviation":"Education Sciences","language":"en","page":"1472","source":"DOI.org (Crossref)","title":"Teaching and Learning Trochoid Curves: The Importance of LEGO® Drawing Robots and Educational Robotics in Tertiary Mathematics Education","title-short":"Teaching and Learning Trochoid Curves","volume":"15","author":[{"family":"Szilágyi","given":"Szilvia"},{"family":"Körei","given":"Attila"},{"family":"Vaičiulytė","given":"Ingrida"}],"issued":{"date-parts":[["2025",11,3]]}},"suppress-author":true}],"schema":"https://github.com/citation-style-language/schema/raw/master/csl-citation.json"} </w:instrText>
      </w:r>
      <w:r>
        <w:rPr>
          <w:rFonts w:hint="default" w:ascii="Times New Roman" w:hAnsi="Times New Roman" w:eastAsia="Consolas" w:cs="Times New Roman"/>
          <w:szCs w:val="21"/>
        </w:rPr>
        <w:fldChar w:fldCharType="separate"/>
      </w:r>
      <w:r>
        <w:rPr>
          <w:rFonts w:hint="default" w:ascii="Times New Roman" w:hAnsi="Times New Roman" w:eastAsia="宋体" w:cs="Times New Roman"/>
        </w:rPr>
        <w:t>(2025)</w:t>
      </w:r>
      <w:r>
        <w:rPr>
          <w:rFonts w:hint="default" w:ascii="Times New Roman" w:hAnsi="Times New Roman" w:eastAsia="Consolas" w:cs="Times New Roman"/>
          <w:szCs w:val="21"/>
        </w:rPr>
        <w:fldChar w:fldCharType="end"/>
      </w:r>
      <w:r>
        <w:rPr>
          <w:rFonts w:hint="default" w:ascii="Times New Roman" w:hAnsi="Times New Roman" w:eastAsia="Consolas" w:cs="Times New Roman"/>
          <w:szCs w:val="21"/>
        </w:rPr>
        <w:t xml:space="preserve"> used LEGO robots in advanced mathematics. The hands-on experimental group outperformed controls, underscoring educational robots' value in visualizing abstract concepts.</w:t>
      </w:r>
    </w:p>
    <w:p w14:paraId="034146A4">
      <w:pPr>
        <w:widowControl/>
        <w:shd w:val="clear" w:color="auto" w:fill="FFFFFF"/>
        <w:spacing w:line="285" w:lineRule="atLeast"/>
        <w:ind w:firstLine="420" w:firstLineChars="200"/>
        <w:rPr>
          <w:rFonts w:hint="default" w:ascii="Times New Roman" w:hAnsi="Times New Roman" w:eastAsia="Consolas" w:cs="Times New Roman"/>
          <w:szCs w:val="21"/>
        </w:rPr>
      </w:pPr>
      <w:r>
        <w:rPr>
          <w:rFonts w:hint="default" w:ascii="Times New Roman" w:hAnsi="Times New Roman" w:eastAsia="Consolas" w:cs="Times New Roman"/>
          <w:szCs w:val="21"/>
        </w:rPr>
        <w:t>Despite these advances in IT integration, AI support, and assessment systems, gaps remain. Most studies focus on isolated technological interventions rather than integrating methods like knowledge graphs and problem-driven teaching. There is limited focus on higher-order thinking, with few systematic frameworks or evaluations. Knowledge graphs are mostly used for visualization, not deeply embedded in teaching. Problem-driven methods often lack structured tools, leading to compartmentalized inquiry.</w:t>
      </w:r>
    </w:p>
    <w:p w14:paraId="7A3FAD8F">
      <w:pPr>
        <w:widowControl/>
        <w:shd w:val="clear" w:color="auto" w:fill="FFFFFF"/>
        <w:spacing w:line="285" w:lineRule="atLeast"/>
        <w:ind w:firstLine="420" w:firstLineChars="200"/>
        <w:rPr>
          <w:rFonts w:hint="default" w:ascii="Times New Roman" w:hAnsi="Times New Roman" w:eastAsia="Consolas" w:cs="Times New Roman"/>
          <w:szCs w:val="21"/>
        </w:rPr>
      </w:pPr>
      <w:r>
        <w:rPr>
          <w:rFonts w:hint="default" w:ascii="Times New Roman" w:hAnsi="Times New Roman" w:eastAsia="Consolas" w:cs="Times New Roman"/>
          <w:szCs w:val="21"/>
        </w:rPr>
        <w:t>To bridge these gaps, this study proposes a knowledge graph-integrated problem-driven model. It uses knowledge graphs to build a systematic cognitive framework, supporting problem-driven teaching and enabling deep knowledge integration and higher-order thinking during problem-solving. We selected "Multivariable Differential Calculus" and "Curve Integrals," designed cases, and conducted experiments to verify the model's effectiveness.</w:t>
      </w:r>
    </w:p>
    <w:p w14:paraId="77F238B1">
      <w:pPr>
        <w:widowControl/>
        <w:shd w:val="clear" w:color="auto" w:fill="FFFFFF"/>
        <w:spacing w:line="285" w:lineRule="atLeast"/>
        <w:ind w:firstLine="420" w:firstLineChars="200"/>
        <w:rPr>
          <w:rFonts w:hint="default" w:ascii="Times New Roman" w:hAnsi="Times New Roman" w:eastAsia="Consolas" w:cs="Times New Roman"/>
          <w:szCs w:val="21"/>
        </w:rPr>
      </w:pPr>
      <w:r>
        <w:rPr>
          <w:rFonts w:hint="default" w:ascii="Times New Roman" w:hAnsi="Times New Roman" w:eastAsia="Consolas" w:cs="Times New Roman"/>
          <w:szCs w:val="21"/>
        </w:rPr>
        <w:t>The study's innovations include: (1) Deeply integrating knowledge graphs with problem-driven teaching to link theory and practice; (2) Creating a tiered problem chain based on knowledge graphs for progressive thinking development; (3) Validating the model through experiments, providing empirical evidence and practical approaches for advanced mathematics reform. These findings have theoretical and practical significance for teaching innovation in Educational Informatization 2.0 and fostering innovative talent.</w:t>
      </w:r>
    </w:p>
    <w:p w14:paraId="2275C4E1">
      <w:pPr>
        <w:pStyle w:val="3"/>
        <w:numPr>
          <w:ilvl w:val="0"/>
          <w:numId w:val="1"/>
        </w:numPr>
        <w:rPr>
          <w:rFonts w:hint="default" w:ascii="Times New Roman" w:hAnsi="Times New Roman" w:cs="Times New Roman"/>
          <w:sz w:val="24"/>
          <w:szCs w:val="21"/>
        </w:rPr>
      </w:pPr>
      <w:r>
        <w:rPr>
          <w:rFonts w:hint="default" w:ascii="Times New Roman" w:hAnsi="Times New Roman" w:cs="Times New Roman"/>
          <w:sz w:val="24"/>
          <w:szCs w:val="21"/>
        </w:rPr>
        <w:t>Theoretical Foundations and Related Research Review</w:t>
      </w:r>
    </w:p>
    <w:p w14:paraId="1B0EB8D8">
      <w:pPr>
        <w:pStyle w:val="4"/>
        <w:rPr>
          <w:rFonts w:hint="default" w:ascii="Times New Roman" w:hAnsi="Times New Roman" w:cs="Times New Roman"/>
          <w:sz w:val="21"/>
          <w:szCs w:val="18"/>
        </w:rPr>
      </w:pPr>
      <w:r>
        <w:rPr>
          <w:rFonts w:hint="default" w:ascii="Times New Roman" w:hAnsi="Times New Roman" w:cs="Times New Roman"/>
          <w:sz w:val="21"/>
          <w:szCs w:val="18"/>
        </w:rPr>
        <w:t>2.1 Application of Knowledge Graphs in the Educational Domain</w:t>
      </w:r>
    </w:p>
    <w:p w14:paraId="1ED5E66D">
      <w:pPr>
        <w:widowControl/>
        <w:shd w:val="clear" w:color="auto" w:fill="FFFFFF"/>
        <w:spacing w:line="285" w:lineRule="atLeast"/>
        <w:ind w:firstLine="420" w:firstLineChars="200"/>
        <w:rPr>
          <w:rFonts w:hint="default" w:ascii="Times New Roman" w:hAnsi="Times New Roman" w:eastAsia="Consolas" w:cs="Times New Roman"/>
          <w:szCs w:val="21"/>
        </w:rPr>
      </w:pPr>
      <w:r>
        <w:rPr>
          <w:rFonts w:hint="default" w:ascii="Times New Roman" w:hAnsi="Times New Roman" w:eastAsia="Consolas" w:cs="Times New Roman"/>
          <w:szCs w:val="21"/>
        </w:rPr>
        <w:t xml:space="preserve">A knowledge graph structures knowledge using nodes (concepts) and edges (relationships), clearly showing semantic and logical connections. Educational research on knowledge graphs has evolved from basic visualization to personalized learning and intelligent assessment </w:t>
      </w:r>
      <w:r>
        <w:rPr>
          <w:rFonts w:hint="default" w:ascii="Times New Roman" w:hAnsi="Times New Roman" w:eastAsia="Consolas" w:cs="Times New Roman"/>
          <w:szCs w:val="21"/>
        </w:rPr>
        <w:fldChar w:fldCharType="begin"/>
      </w:r>
      <w:r>
        <w:rPr>
          <w:rFonts w:hint="default" w:ascii="Times New Roman" w:hAnsi="Times New Roman" w:eastAsia="Consolas" w:cs="Times New Roman"/>
          <w:szCs w:val="21"/>
        </w:rPr>
        <w:instrText xml:space="preserve"> ADDIN ZOTERO_ITEM CSL_CITATION {"citationID":"8JRyQPqZ","properties":{"unsorted":false,"formattedCitation":"(Cui &amp; Yu, 2019)","plainCitation":"(Cui &amp; Yu, 2019)","noteIndex":0},"citationItems":[{"id":171,"uris":["http://zotero.org/users/12514566/items/JVUQA6BI"],"itemData":{"id":171,"type":"article-journal","abstract":"Abstract\n            \n              \n              Flipped classroom is an approach that has been increasingly used in K‐12 and higher education. Many studies on the flipped classroom have focused on student behaviors, with inadequate attention to student thinking, which is crucial to learning. Meanwhile, prior studies have examined the effects of visualization tools, such as concept map, on improving student learning through in‐depth thinking. Another related approach is knowledge graph, which presents a set of entities and their relationships in a graph as well as in a machine language for further processing and reasoning. It has a potential to support collaborative knowledge construction by automatic combination of individual knowledge graphs. To compare the effects of knowledge graph and concept map on student learning in a flipped classroom, we conducted an experimental study in fifth grade class at an elementary school. Students in the experimental group used a knowledge graph tool in the Learning Cell System, while those in the control group used a concept map tool, XMind, to support their learning of ancient Chinese poetry. The results showed that learning with knowledge graph resulted in better performance in the breadth and depth of subject knowledge as reflected in the students’ learning products (ie, concept maps or knowledge graphs).\n            \n            \n              \n              \n                \n                  \n                    Practitioner Notes\n                  \n                  \n                    What is already known about this topic\n                    \n                      \n                        The flipped classroom can improve student learning by enabling active participation and interactions.\n                      \n                      \n                        The concept map is an effective learning tool that can foster meaningful understanding and higher order thinking in both traditional and flipped classrooms.\n                      \n                      \n                        The knowledge graph is a related tool that presents a set of entities and their semantic relationships in a graph as well as in a machine language to support further processing.\n                      \n                      \n                        The knowledge graph can support collaborative knowledge construction by automatic combination of individual knowledge graphs.\n                      \n                    \n                  \n                  \n                    What this paper adds\n                    \n                      \n                        We conducted an experimental study to compare the effects of knowledge graph and concept map on student learning in a flipped classroom.\n                      \n                      \n                        Compared with concept map, learning with knowledge graph resulted in better performance in the breadth and depth of subject knowledge as reflected in the students’ learning products (ie, concept maps or knowledge graphs).\n                      \n                    \n                  \n                  \n                    Implications for practice and/or policy\n                    \n                      \n                        Learning with knowledge graph fosters more cognitive engagement in exploring the relationships between concepts represented in both individual and converged knowledge graphs.\n                      \n                      \n                        The converged knowledge graph offers the teacher a big picture of the entire class in student understanding.\n                      \n                      \n                        Relevant training should be provided to students and teachers for effective use and learning with the knowledge graph tool.","container-title":"British Journal of Educational Technology","DOI":"10.1111/bjet.12841","ISSN":"0007-1013, 1467-8535","issue":"5","journalAbbreviation":"Brit J Educational Tech","language":"en","page":"2308-2328","source":"DOI.org (Crossref)","title":"Fostering deeper learning in a flipped classroom: Effects of knowledge graphs versus concept maps","title-short":"Fostering deeper learning in a flipped classroom","volume":"50","author":[{"family":"Cui","given":"Jingjing"},{"family":"Yu","given":"Shengquan"}],"issued":{"date-parts":[["2019",9]]}}}],"schema":"https://github.com/citation-style-language/schema/raw/master/csl-citation.json"} </w:instrText>
      </w:r>
      <w:r>
        <w:rPr>
          <w:rFonts w:hint="default" w:ascii="Times New Roman" w:hAnsi="Times New Roman" w:eastAsia="Consolas" w:cs="Times New Roman"/>
          <w:szCs w:val="21"/>
        </w:rPr>
        <w:fldChar w:fldCharType="separate"/>
      </w:r>
      <w:r>
        <w:rPr>
          <w:rFonts w:hint="default" w:ascii="Times New Roman" w:hAnsi="Times New Roman" w:eastAsia="宋体" w:cs="Times New Roman"/>
        </w:rPr>
        <w:t>(Cui &amp; Yu, 2019)</w:t>
      </w:r>
      <w:r>
        <w:rPr>
          <w:rFonts w:hint="default" w:ascii="Times New Roman" w:hAnsi="Times New Roman" w:eastAsia="Consolas" w:cs="Times New Roman"/>
          <w:szCs w:val="21"/>
        </w:rPr>
        <w:fldChar w:fldCharType="end"/>
      </w:r>
      <w:r>
        <w:rPr>
          <w:rFonts w:hint="default" w:ascii="Times New Roman" w:hAnsi="Times New Roman" w:eastAsia="Consolas" w:cs="Times New Roman"/>
          <w:szCs w:val="21"/>
        </w:rPr>
        <w:t>.</w:t>
      </w:r>
    </w:p>
    <w:p w14:paraId="0EF5A0AB">
      <w:pPr>
        <w:widowControl/>
        <w:shd w:val="clear" w:color="auto" w:fill="FFFFFF"/>
        <w:spacing w:line="285" w:lineRule="atLeast"/>
        <w:ind w:firstLine="420" w:firstLineChars="200"/>
        <w:rPr>
          <w:rFonts w:hint="default" w:ascii="Times New Roman" w:hAnsi="Times New Roman" w:eastAsia="Consolas" w:cs="Times New Roman"/>
          <w:szCs w:val="21"/>
        </w:rPr>
      </w:pPr>
      <w:r>
        <w:rPr>
          <w:rFonts w:hint="default" w:ascii="Times New Roman" w:hAnsi="Times New Roman" w:eastAsia="Consolas" w:cs="Times New Roman"/>
          <w:szCs w:val="21"/>
        </w:rPr>
        <w:t xml:space="preserve">In medical education, knowledge graphs have been effectively applied to enhance blended learning. For instance, Li Bugang et al. </w:t>
      </w:r>
      <w:r>
        <w:rPr>
          <w:rFonts w:hint="default" w:ascii="Times New Roman" w:hAnsi="Times New Roman" w:eastAsia="Consolas" w:cs="Times New Roman"/>
          <w:szCs w:val="21"/>
        </w:rPr>
        <w:fldChar w:fldCharType="begin"/>
      </w:r>
      <w:r>
        <w:rPr>
          <w:rFonts w:hint="default" w:ascii="Times New Roman" w:hAnsi="Times New Roman" w:eastAsia="Consolas" w:cs="Times New Roman"/>
          <w:szCs w:val="21"/>
        </w:rPr>
        <w:instrText xml:space="preserve"> ADDIN ZOTERO_ITEM CSL_CITATION {"citationID":"ZMp4yEvn","properties":{"unsorted":false,"formattedCitation":"(2025)","plainCitation":"(2025)","noteIndex":0},"citationItems":[{"id":160,"uris":["http://zotero.org/users/12514566/items/AP9FCH5R"],"itemData":{"id":160,"type":"article-journal","abstract":"Learning engagement refers to the time and effort students invest in effective learning practices, and it serves as a crucial indicator of their learning abilities as well as a significant proximal factor in predicting their academic performance. However, undergraduate students in Chinese universities have demonstrated only moderately high levels of learning engagement in the context of blended learning, which may be enhanced through the introduction of knowledge graph. This study aimed to examine whether students’ learning engagement could be enhanced through knowledge graph-based blended learning. The findings are intended to provide a basis for implementing knowledge graph-based blended learning in future medical education.","container-title":"BMC Medical Education","DOI":"10.1186/s12909-025-08428-5","ISSN":"1472-6920","issue":"1","journalAbbreviation":"BMC Med Educ","language":"en","page":"96","source":"DOI.org (Crossref)","title":"Improving medical students’ learning absorption in a knowledge graph based blended learning course","volume":"26","author":[{"family":"Li","given":"Bugang"},{"family":"Hu","given":"Wenhui"},{"family":"Duan","given":"Anyan"},{"family":"Li","given":"Qun"},{"family":"Li","given":"Lin"},{"family":"Li","given":"Chunyun"},{"family":"Weng","given":"Chunyan"},{"family":"Peng","given":"Zekang"},{"family":"Chen","given":"Wei"},{"family":"Li","given":"Yufei"}],"issued":{"date-parts":[["2025",12,12]]}},"suppress-author":true}],"schema":"https://github.com/citation-style-language/schema/raw/master/csl-citation.json"} </w:instrText>
      </w:r>
      <w:r>
        <w:rPr>
          <w:rFonts w:hint="default" w:ascii="Times New Roman" w:hAnsi="Times New Roman" w:eastAsia="Consolas" w:cs="Times New Roman"/>
          <w:szCs w:val="21"/>
        </w:rPr>
        <w:fldChar w:fldCharType="separate"/>
      </w:r>
      <w:r>
        <w:rPr>
          <w:rFonts w:hint="default" w:ascii="Times New Roman" w:hAnsi="Times New Roman" w:eastAsia="宋体" w:cs="Times New Roman"/>
        </w:rPr>
        <w:t>(2025)</w:t>
      </w:r>
      <w:r>
        <w:rPr>
          <w:rFonts w:hint="default" w:ascii="Times New Roman" w:hAnsi="Times New Roman" w:eastAsia="Consolas" w:cs="Times New Roman"/>
          <w:szCs w:val="21"/>
        </w:rPr>
        <w:fldChar w:fldCharType="end"/>
      </w:r>
      <w:r>
        <w:rPr>
          <w:rFonts w:hint="default" w:ascii="Times New Roman" w:hAnsi="Times New Roman" w:eastAsia="Consolas" w:cs="Times New Roman"/>
          <w:szCs w:val="21"/>
        </w:rPr>
        <w:t xml:space="preserve"> developed a knowledge graph-based blended learning design to address low engagement, showing significant improvements in student absorption. Similarly, Liu Xia et al. </w:t>
      </w:r>
      <w:r>
        <w:rPr>
          <w:rFonts w:hint="default" w:ascii="Times New Roman" w:hAnsi="Times New Roman" w:eastAsia="Consolas" w:cs="Times New Roman"/>
          <w:szCs w:val="21"/>
        </w:rPr>
        <w:fldChar w:fldCharType="begin"/>
      </w:r>
      <w:r>
        <w:rPr>
          <w:rFonts w:hint="default" w:ascii="Times New Roman" w:hAnsi="Times New Roman" w:eastAsia="Consolas" w:cs="Times New Roman"/>
          <w:szCs w:val="21"/>
        </w:rPr>
        <w:instrText xml:space="preserve"> ADDIN ZOTERO_ITEM CSL_CITATION {"citationID":"54Hv2AjQ","properties":{"unsorted":false,"formattedCitation":"(2025)","plainCitation":"(2025)","noteIndex":0},"citationItems":[{"id":163,"uris":["http://zotero.org/users/12514566/items/UXVXNJLM"],"itemData":{"id":163,"type":"article-journal","abstract":"The utilization of knowledge graphs has emerged as a prevailing trend in current medical education reform due to its advantages in visualization and personalized learning. The blended teaching still faces challenges such as knowledge fragmentation, lack of personalized learning pathways and inadequate analysis of learning situations. To evalute the learning experience, learning effect and usability of knowledge graph in the clinical microbiology examination course. The knowledge graph of the clinical microbiology examination course was constructed using natural language processing, deep learning, and other advanced technologies on the Superstar learning platform. 100 third-year students enrolled in 2021 and 2020 majoring in medical examination technology served as the experimental and control group, respectively. The theoretical test scores of the experimental group using knowledge graph for online learning were higher compared to those of the control group using MOOC. The utilization of knowledge graph assisted students in constructing an overall knowledge framework of course and achieving personalized learning and self-evaluation. And it also helped teachers accurately analyze learning situations to provide targeted offline teaching methods and optimize online learning resources. The average scores of four dimensions including the quality of work and life, perceived usefulness, perceived ease of use and user control obtained by the “Health Information Technology Usability Assessment Scale” were 4.67, 4.51, 4.32 and 4.26, respectively. The knowledge graph of clinical microbiology examination course was available, which was helpful to realize personalized learning and precise teaching and effectively solve the problems existing in blended teaching model.","container-title":"Education and Information Technologies","DOI":"10.1007/s10639-025-13626-1","ISSN":"1360-2357, 1573-7608","issue":"16","journalAbbreviation":"Educ Inf Technol","language":"en","page":"22841-22863","source":"DOI.org (Crossref)","title":"The study of blended teaching based on knowledge graph: the case of clinical microbiology examination course","title-short":"The study of blended teaching based on knowledge graph","volume":"30","author":[{"family":"Liu","given":"Xia"},{"family":"Shen","given":"Pei"},{"family":"Xu","given":"Xizhu"},{"family":"Meng","given":"Ling"},{"family":"Ni","given":"Jing"},{"family":"Lin","given":"Guoliang"},{"family":"Jiao","given":"Fengping"}],"issued":{"date-parts":[["2025",11]]}},"suppress-author":true}],"schema":"https://github.com/citation-style-language/schema/raw/master/csl-citation.json"} </w:instrText>
      </w:r>
      <w:r>
        <w:rPr>
          <w:rFonts w:hint="default" w:ascii="Times New Roman" w:hAnsi="Times New Roman" w:eastAsia="Consolas" w:cs="Times New Roman"/>
          <w:szCs w:val="21"/>
        </w:rPr>
        <w:fldChar w:fldCharType="separate"/>
      </w:r>
      <w:r>
        <w:rPr>
          <w:rFonts w:hint="default" w:ascii="Times New Roman" w:hAnsi="Times New Roman" w:eastAsia="宋体" w:cs="Times New Roman"/>
        </w:rPr>
        <w:t>(2025)</w:t>
      </w:r>
      <w:r>
        <w:rPr>
          <w:rFonts w:hint="default" w:ascii="Times New Roman" w:hAnsi="Times New Roman" w:eastAsia="Consolas" w:cs="Times New Roman"/>
          <w:szCs w:val="21"/>
        </w:rPr>
        <w:fldChar w:fldCharType="end"/>
      </w:r>
      <w:r>
        <w:rPr>
          <w:rFonts w:hint="default" w:ascii="Times New Roman" w:hAnsi="Times New Roman" w:eastAsia="Consolas" w:cs="Times New Roman"/>
          <w:szCs w:val="21"/>
        </w:rPr>
        <w:t xml:space="preserve"> constructed a graph for clinical microbiology testing, categorizing 99 conceptual, 110 skill-based, and 90 cognitive points to support personalized paths and progress tracking. Extending to engineering education, Yang Dingding et al. </w:t>
      </w:r>
      <w:r>
        <w:rPr>
          <w:rFonts w:hint="default" w:ascii="Times New Roman" w:hAnsi="Times New Roman" w:eastAsia="Consolas" w:cs="Times New Roman"/>
          <w:szCs w:val="21"/>
        </w:rPr>
        <w:fldChar w:fldCharType="begin"/>
      </w:r>
      <w:r>
        <w:rPr>
          <w:rFonts w:hint="default" w:ascii="Times New Roman" w:hAnsi="Times New Roman" w:eastAsia="Consolas" w:cs="Times New Roman"/>
          <w:szCs w:val="21"/>
        </w:rPr>
        <w:instrText xml:space="preserve"> ADDIN ZOTERO_ITEM CSL_CITATION {"citationID":"2cLPX9OP","properties":{"unsorted":false,"formattedCitation":"(2026)","plainCitation":"(2026)","noteIndex":0},"citationItems":[{"id":162,"uris":["http://zotero.org/users/12514566/items/4K628JTN"],"itemData":{"id":162,"type":"article-journal","abstract":"With the rapid evolution of digital technologies, there is an imperative for higher education to undergo continuous renewal, particularly in the realms of curriculum architecture, instructional methodologies, and student evaluation paradigms. This research delves into the innovation of a Three-Stage Progressive Teaching Model (TSPM) within the undergraduate chemical safety engineering education framework. By leveraging online course resources and implementing a flipped classroom approach, the model seeks to enhance student agency, transforming traditional classrooms into dynamic interactive arenas for teachers, engineers, and learners. Centered on scenario-based project cases, the approach fosters core professional skills and is reinforced by a comprehensive assessment system applied across all instructional stages. The curriculum is deconstructed into six major modules and 251 course knowledge points, which are utilized to construct a knowledge graph. These knowledge points are categorized into conceptual knowledge points (99), skill-based knowledge points (110), and cognitive knowledge points (90), serving as the basis for tracking and evaluating teaching effectiveness. This system enables personalized monitoring of learning progression and quantifies the entire learning trajectory. A survey of students over the past five years yielded 125 valid responses, indicating strong recognition of the course. The suggestions and issues raised will inform future curriculum improvements to better support students’ professional development.","container-title":"Education for Chemical Engineers","DOI":"10.1016/j.ece.2025.10.001","ISSN":"17497728","journalAbbreviation":"Education for Chemical Engineers","language":"en","page":"100491","source":"DOI.org (Crossref)","title":"A three-stage progressive teaching model for chemical safety engineering: Integrating flipped classroom and knowledge graphs for competency development","title-short":"A three-stage progressive teaching model for chemical safety engineering","volume":"54","author":[{"family":"Yang","given":"Dingding"},{"family":"Zheng","given":"Juan"},{"family":"Wang","given":"Bohong"},{"family":"Li","given":"Zhenming"},{"family":"Tian","given":"Xinjiao"}],"issued":{"date-parts":[["2026",1]]}},"suppress-author":true}],"schema":"https://github.com/citation-style-language/schema/raw/master/csl-citation.json"} </w:instrText>
      </w:r>
      <w:r>
        <w:rPr>
          <w:rFonts w:hint="default" w:ascii="Times New Roman" w:hAnsi="Times New Roman" w:eastAsia="Consolas" w:cs="Times New Roman"/>
          <w:szCs w:val="21"/>
        </w:rPr>
        <w:fldChar w:fldCharType="separate"/>
      </w:r>
      <w:r>
        <w:rPr>
          <w:rFonts w:hint="default" w:ascii="Times New Roman" w:hAnsi="Times New Roman" w:eastAsia="宋体" w:cs="Times New Roman"/>
        </w:rPr>
        <w:t>(2026)</w:t>
      </w:r>
      <w:r>
        <w:rPr>
          <w:rFonts w:hint="default" w:ascii="Times New Roman" w:hAnsi="Times New Roman" w:eastAsia="Consolas" w:cs="Times New Roman"/>
          <w:szCs w:val="21"/>
        </w:rPr>
        <w:fldChar w:fldCharType="end"/>
      </w:r>
      <w:r>
        <w:rPr>
          <w:rFonts w:hint="default" w:ascii="Times New Roman" w:hAnsi="Times New Roman" w:eastAsia="Consolas" w:cs="Times New Roman"/>
          <w:szCs w:val="21"/>
        </w:rPr>
        <w:t xml:space="preserve"> created a three-stage progressive model for chemical safety engineering, dividing the curriculum into 6 modules and 251 points, and applying it in flipped classrooms to enhance core competencies through personalized monitoring and evaluation.</w:t>
      </w:r>
    </w:p>
    <w:p w14:paraId="00217506">
      <w:pPr>
        <w:widowControl/>
        <w:shd w:val="clear" w:color="auto" w:fill="FFFFFF"/>
        <w:spacing w:line="285" w:lineRule="atLeast"/>
        <w:ind w:firstLine="420" w:firstLineChars="200"/>
        <w:rPr>
          <w:rFonts w:hint="default" w:ascii="Times New Roman" w:hAnsi="Times New Roman" w:eastAsia="Consolas" w:cs="Times New Roman"/>
          <w:szCs w:val="21"/>
        </w:rPr>
      </w:pPr>
      <w:r>
        <w:rPr>
          <w:rFonts w:hint="default" w:ascii="Times New Roman" w:hAnsi="Times New Roman" w:eastAsia="Consolas" w:cs="Times New Roman"/>
          <w:szCs w:val="21"/>
        </w:rPr>
        <w:t xml:space="preserve">Furthermore, in basic education and teacher development, knowledge graphs facilitate evaluation and personalization. Qin Shaojiao et al. </w:t>
      </w:r>
      <w:r>
        <w:rPr>
          <w:rFonts w:hint="default" w:ascii="Times New Roman" w:hAnsi="Times New Roman" w:eastAsia="Consolas" w:cs="Times New Roman"/>
          <w:szCs w:val="21"/>
        </w:rPr>
        <w:fldChar w:fldCharType="begin"/>
      </w:r>
      <w:r>
        <w:rPr>
          <w:rFonts w:hint="default" w:ascii="Times New Roman" w:hAnsi="Times New Roman" w:eastAsia="Consolas" w:cs="Times New Roman"/>
          <w:szCs w:val="21"/>
        </w:rPr>
        <w:instrText xml:space="preserve"> ADDIN ZOTERO_ITEM CSL_CITATION {"citationID":"XEzQR1r0","properties":{"unsorted":false,"formattedCitation":"(2026)","plainCitation":"(2026)","noteIndex":0},"citationItems":[{"id":158,"uris":["http://zotero.org/users/12514566/items/I5U7CUP2"],"itemData":{"id":158,"type":"article-journal","abstract":"Interactive teaching evaluation plays an important role in the development of modern education. Accurately evaluating teaching effectiveness can effectively promote the improvement of classroom education. However, traditional methods of interactive teaching evaluation face limitations such as low evaluation efficiency and delayed feedback. Therefore, this study raises an interactive teaching evaluation model based on Knowledge Graph and Complex Question Answering. The model uses K-dimensional Tree and Sentence Bidirectional Encoder Representations from Transformers variant to optimize the retrieval process, while introducing Graph Convolution Neural Networks and attention mechanism to aggregate entity neighbor feature information. In addition, the model incorporates Hybrid Particle Swarm Optimization and Bidirectional Long Short-Term Memory networks to construct a complete interactive teaching evaluation model. Experimental results show that the improved algorithms achieve high fitness and classification accuracy of 95.11%. At the same time, the classification accuracy of the interactive teaching evaluation model built in the simulation verification reached 96.82%, In the K12 education stage, question–answer matching and answer accuracy reach 89.36% and 97.74%, respectively, while on the dialogue-based question answering dataset, they reach 87.38% and 98.47%. In the practical application verification, the activity level of the model classroom is highly consistent with the evaluation of the expert group, the error of the number of questions is only 2, 1, 2 times, the convergence time of the subject scene switching is 0.96 s, and the accuracy rate of scene recognition is 95.67%. These results indicate that the Knowledge Graph and Complex Question Answering based interactive teaching evaluation model can improve question–answer recognition efficiency and evaluation accuracy. This study contributes to the precise construction of interactive teaching evaluation models in educational scenarios and promotes the steady development of modern education.","container-title":"International Journal of Computational Intelligence Systems","DOI":"10.1007/s44196-025-01139-1","ISSN":"1875-6883","issue":"1","journalAbbreviation":"Int J Comput Intell Syst","language":"en","page":"46","source":"DOI.org (Crossref)","title":"Interactive Teaching Evaluation Method Based on KG-CQA","volume":"19","author":[{"family":"Qin","given":"Shaojiao"},{"family":"Li","given":"Lin"}],"issued":{"date-parts":[["2026",1,17]]}},"suppress-author":true}],"schema":"https://github.com/citation-style-language/schema/raw/master/csl-citation.json"} </w:instrText>
      </w:r>
      <w:r>
        <w:rPr>
          <w:rFonts w:hint="default" w:ascii="Times New Roman" w:hAnsi="Times New Roman" w:eastAsia="Consolas" w:cs="Times New Roman"/>
          <w:szCs w:val="21"/>
        </w:rPr>
        <w:fldChar w:fldCharType="separate"/>
      </w:r>
      <w:r>
        <w:rPr>
          <w:rFonts w:hint="default" w:ascii="Times New Roman" w:hAnsi="Times New Roman" w:eastAsia="宋体" w:cs="Times New Roman"/>
        </w:rPr>
        <w:t>(2026)</w:t>
      </w:r>
      <w:r>
        <w:rPr>
          <w:rFonts w:hint="default" w:ascii="Times New Roman" w:hAnsi="Times New Roman" w:eastAsia="Consolas" w:cs="Times New Roman"/>
          <w:szCs w:val="21"/>
        </w:rPr>
        <w:fldChar w:fldCharType="end"/>
      </w:r>
      <w:r>
        <w:rPr>
          <w:rFonts w:hint="default" w:ascii="Times New Roman" w:hAnsi="Times New Roman" w:eastAsia="Consolas" w:cs="Times New Roman"/>
          <w:szCs w:val="21"/>
        </w:rPr>
        <w:t xml:space="preserve"> proposed a knowledge graph and complex question answering model for interactive teaching evaluation, achieving high accuracy and efficiency. Li Aili et al. </w:t>
      </w:r>
      <w:r>
        <w:rPr>
          <w:rFonts w:hint="default" w:ascii="Times New Roman" w:hAnsi="Times New Roman" w:eastAsia="Consolas" w:cs="Times New Roman"/>
          <w:szCs w:val="21"/>
        </w:rPr>
        <w:fldChar w:fldCharType="begin"/>
      </w:r>
      <w:r>
        <w:rPr>
          <w:rFonts w:hint="default" w:ascii="Times New Roman" w:hAnsi="Times New Roman" w:eastAsia="Consolas" w:cs="Times New Roman"/>
          <w:szCs w:val="21"/>
        </w:rPr>
        <w:instrText xml:space="preserve"> ADDIN ZOTERO_ITEM CSL_CITATION {"citationID":"Aidm7UJq","properties":{"unsorted":false,"formattedCitation":"(2026)","plainCitation":"(2026)","noteIndex":0},"citationItems":[{"id":159,"uris":["http://zotero.org/users/12514566/items/2IWRCV8R"],"itemData":{"id":159,"type":"article-journal","abstract":"The rapid development of artificial intelligence is reshaping learning concepts and instructional practices. Online learning overcomes temporal and spatial constraints, providing flexible and autonomous learning environments, and has become a central component of educational digitalization. However, the physical separation of teachers and learners makes it difficult to monitor learning progress effectively, while the abundance of learning resources often leads to learner disorientation and reduced learning efficiency. Consequently, effective planning of personalized learning paths is essential for reducing learning costs and improving learning outcomes. Traditional one-size-fits-all instructional models are insufficient to meet learners’ needs. In this context, designing transparent, adaptive, and personalized learning paths for individual learners has become an urgent research challenge. This study presents a comprehensive review of personalized learning path recommendation based on knowledge graphs. It analyzes existing methods from interdisciplinary perspectives, with particular emphasis on the theoretical role of Bloom’s taxonomy in guiding the design of learning paths. The review further summarizes core algorithm approaches, examines the characteristics and applicability of commonly used public datasets, and identifies major limitations and challenges in current research. Finally, it outlines future research directions aimed at enhancing transparency, adaptability, and explainability to support educational digital transformation and the realization of individualized instruction.","container-title":"Electronics","DOI":"10.3390/electronics15010238","ISSN":"2079-9292","issue":"1","journalAbbreviation":"Electronics","language":"en","page":"238","source":"DOI.org (Crossref)","title":"Personalized Learning Path Recommendation Based on Knowledge Graphs: A Survey","title-short":"Personalized Learning Path Recommendation Based on Knowledge Graphs","volume":"15","author":[{"family":"Li","given":"Aili"},{"family":"Li","given":"Yong"},{"family":"Gao","given":"Xiyu"}],"issued":{"date-parts":[["2026",1,5]]}},"suppress-author":true}],"schema":"https://github.com/citation-style-language/schema/raw/master/csl-citation.json"} </w:instrText>
      </w:r>
      <w:r>
        <w:rPr>
          <w:rFonts w:hint="default" w:ascii="Times New Roman" w:hAnsi="Times New Roman" w:eastAsia="Consolas" w:cs="Times New Roman"/>
          <w:szCs w:val="21"/>
        </w:rPr>
        <w:fldChar w:fldCharType="separate"/>
      </w:r>
      <w:r>
        <w:rPr>
          <w:rFonts w:hint="default" w:ascii="Times New Roman" w:hAnsi="Times New Roman" w:eastAsia="宋体" w:cs="Times New Roman"/>
        </w:rPr>
        <w:t>(2026)</w:t>
      </w:r>
      <w:r>
        <w:rPr>
          <w:rFonts w:hint="default" w:ascii="Times New Roman" w:hAnsi="Times New Roman" w:eastAsia="Consolas" w:cs="Times New Roman"/>
          <w:szCs w:val="21"/>
        </w:rPr>
        <w:fldChar w:fldCharType="end"/>
      </w:r>
      <w:r>
        <w:rPr>
          <w:rFonts w:hint="default" w:ascii="Times New Roman" w:hAnsi="Times New Roman" w:eastAsia="Consolas" w:cs="Times New Roman"/>
          <w:szCs w:val="21"/>
        </w:rPr>
        <w:t xml:space="preserve"> reviewed knowledge graph-based personalized learning path recommendations, emphasizing Bloom's Taxonomy in design and summarizing algorithms and datasets. Vergara et al. </w:t>
      </w:r>
      <w:r>
        <w:rPr>
          <w:rFonts w:hint="default" w:ascii="Times New Roman" w:hAnsi="Times New Roman" w:eastAsia="Consolas" w:cs="Times New Roman"/>
          <w:szCs w:val="21"/>
        </w:rPr>
        <w:fldChar w:fldCharType="begin"/>
      </w:r>
      <w:r>
        <w:rPr>
          <w:rFonts w:hint="default" w:ascii="Times New Roman" w:hAnsi="Times New Roman" w:eastAsia="Consolas" w:cs="Times New Roman"/>
          <w:szCs w:val="21"/>
        </w:rPr>
        <w:instrText xml:space="preserve"> ADDIN ZOTERO_ITEM CSL_CITATION {"citationID":"RmAt5MMV","properties":{"unsorted":false,"formattedCitation":"(2025)","plainCitation":"(2025)","noteIndex":0},"citationItems":[{"id":161,"uris":["http://zotero.org/users/12514566/items/PEKMKDEE"],"itemData":{"id":161,"type":"article-journal","abstract":"In the past few decades, a large body of research has been conducted on pedagogical content knowledge (PCK), but further empirical and theoretical studies are needed to enhance our understanding of PCK development. This study aimed to describe the development of PCK of evolution in a group of biology teachers using a modified version of the refined consensus model (Mixed Model), including the five components of PCK from the model elaborated by Magnusson et al. (1999). The qualitative research design involved multiple study cases, including semi-structured interviews and lesson plan meetings. A collective PCK (cPCK) map was generated via content representation interviews with six expert biology teachers and scholars. The ideas expressed by three or more experts were then included in the cPCK map, which was used to assess the personal PCK (pPCK) development of a different group of seven biology schoolteachers using three traits: map area, map shape, and the identity of the concepts included in the map. The findings show that the development of teachers’ pPCK was mainly due to the increase in the map area resulting from the inclusion of new concepts belonging to knowledge of students learning and to the knowledge associated with strategies.","container-title":"International Journal of Science Education","DOI":"10.1080/09500693.2024.2381841","ISSN":"0950-0693, 1464-5289","issue":"17","journalAbbreviation":"International Journal of Science Education","language":"en","page":"2279-2301","source":"DOI.org (Crossref)","title":"A map of collective pedagogical content knowledge as a basis for studying the development of biology teachers’ personal PCK of evolution","volume":"47","author":[{"family":"Vergara","given":"Claudia"},{"family":"Bassaber","given":"Arlette"},{"family":"Núñez Nieto","given":"Paola"},{"family":"Becerra","given":"Beatriz"},{"family":"Hurtado","given":"Harold"},{"family":"Santibáñez","given":"David"},{"family":"Cofré","given":"Hernán"}],"issued":{"date-parts":[["2025",11,22]]}},"suppress-author":true}],"schema":"https://github.com/citation-style-language/schema/raw/master/csl-citation.json"} </w:instrText>
      </w:r>
      <w:r>
        <w:rPr>
          <w:rFonts w:hint="default" w:ascii="Times New Roman" w:hAnsi="Times New Roman" w:eastAsia="Consolas" w:cs="Times New Roman"/>
          <w:szCs w:val="21"/>
        </w:rPr>
        <w:fldChar w:fldCharType="separate"/>
      </w:r>
      <w:r>
        <w:rPr>
          <w:rFonts w:hint="default" w:ascii="Times New Roman" w:hAnsi="Times New Roman" w:eastAsia="宋体" w:cs="Times New Roman"/>
        </w:rPr>
        <w:t>(2025)</w:t>
      </w:r>
      <w:r>
        <w:rPr>
          <w:rFonts w:hint="default" w:ascii="Times New Roman" w:hAnsi="Times New Roman" w:eastAsia="Consolas" w:cs="Times New Roman"/>
          <w:szCs w:val="21"/>
        </w:rPr>
        <w:fldChar w:fldCharType="end"/>
      </w:r>
      <w:r>
        <w:rPr>
          <w:rFonts w:hint="default" w:ascii="Times New Roman" w:hAnsi="Times New Roman" w:eastAsia="Consolas" w:cs="Times New Roman"/>
          <w:szCs w:val="21"/>
        </w:rPr>
        <w:t xml:space="preserve"> used knowledge graphs for teacher development, creating a collective pedagogical content knowledge graph to track personal PCK growth, mainly in student learning and strategies. These applications demonstrate the versatility of knowledge graphs across educational levels, from personalized paths to professional development.</w:t>
      </w:r>
    </w:p>
    <w:p w14:paraId="1E9323CD">
      <w:pPr>
        <w:pStyle w:val="4"/>
        <w:rPr>
          <w:rFonts w:hint="default" w:ascii="Times New Roman" w:hAnsi="Times New Roman" w:cs="Times New Roman"/>
          <w:sz w:val="21"/>
          <w:szCs w:val="18"/>
        </w:rPr>
      </w:pPr>
      <w:r>
        <w:rPr>
          <w:rFonts w:hint="default" w:ascii="Times New Roman" w:hAnsi="Times New Roman" w:cs="Times New Roman"/>
          <w:sz w:val="21"/>
          <w:szCs w:val="18"/>
        </w:rPr>
        <w:t>2.2 Theory and Practice of the Problem-Driven Teaching Method</w:t>
      </w:r>
    </w:p>
    <w:p w14:paraId="0DD120EE">
      <w:pPr>
        <w:widowControl/>
        <w:shd w:val="clear" w:color="auto" w:fill="FFFFFF"/>
        <w:spacing w:line="285" w:lineRule="atLeast"/>
        <w:ind w:firstLine="420" w:firstLineChars="200"/>
        <w:rPr>
          <w:rFonts w:hint="default" w:ascii="Times New Roman" w:hAnsi="Times New Roman" w:eastAsia="Consolas" w:cs="Times New Roman"/>
          <w:szCs w:val="21"/>
        </w:rPr>
      </w:pPr>
      <w:r>
        <w:rPr>
          <w:rFonts w:hint="default" w:ascii="Times New Roman" w:hAnsi="Times New Roman" w:eastAsia="Consolas" w:cs="Times New Roman"/>
          <w:szCs w:val="21"/>
        </w:rPr>
        <w:t>Problem-driven teaching (PDT) centers on problems, making students active learners and teachers guides. It creates authentic scenarios to spark exploration and knowledge construction. Originating in 1950s medical education, PDT is now applied across fields.</w:t>
      </w:r>
    </w:p>
    <w:p w14:paraId="2AE907D4">
      <w:pPr>
        <w:widowControl/>
        <w:shd w:val="clear" w:color="auto" w:fill="FFFFFF"/>
        <w:spacing w:line="285" w:lineRule="atLeast"/>
        <w:ind w:firstLine="420" w:firstLineChars="200"/>
        <w:rPr>
          <w:rFonts w:hint="default" w:ascii="Times New Roman" w:hAnsi="Times New Roman" w:eastAsia="Consolas" w:cs="Times New Roman"/>
          <w:szCs w:val="21"/>
        </w:rPr>
      </w:pPr>
      <w:r>
        <w:rPr>
          <w:rFonts w:hint="default" w:ascii="Times New Roman" w:hAnsi="Times New Roman" w:eastAsia="Consolas" w:cs="Times New Roman"/>
          <w:szCs w:val="21"/>
        </w:rPr>
        <w:t xml:space="preserve">In medical education, PDT often pairs with case-based methods to address complex clinical challenges. Liao Pengjun et al. </w:t>
      </w:r>
      <w:r>
        <w:rPr>
          <w:rFonts w:hint="default" w:ascii="Times New Roman" w:hAnsi="Times New Roman" w:eastAsia="Consolas" w:cs="Times New Roman"/>
          <w:szCs w:val="21"/>
        </w:rPr>
        <w:fldChar w:fldCharType="begin"/>
      </w:r>
      <w:r>
        <w:rPr>
          <w:rFonts w:hint="default" w:ascii="Times New Roman" w:hAnsi="Times New Roman" w:eastAsia="Consolas" w:cs="Times New Roman"/>
          <w:szCs w:val="21"/>
        </w:rPr>
        <w:instrText xml:space="preserve"> ADDIN ZOTERO_ITEM CSL_CITATION {"citationID":"LMBV58ib","properties":{"unsorted":false,"formattedCitation":"(2025)","plainCitation":"(2025)","noteIndex":0},"citationItems":[{"id":164,"uris":["http://zotero.org/users/12514566/items/9YHPMIUW"],"itemData":{"id":164,"type":"article-journal","abstract":"Abstract\n            In the training of lymphoma subspecialty physicians, confronted with the challenges of rapid knowledge updates and complex diagnosis and treatment decisions, this paper proposes a dual-track teaching model that integrates problem-based learning (PBL) and case-based learning (CBL). This model prompts trainees to actively explore knowledge through well-designed clinical problem chains and simulates the clinical decision-making process using selected real cases, aiming to enhance trainees’ independent diagnosis and treatment capabilities, critical thinking, and evidence-based decision-making skills. The teaching implementation emphasizes teacher guidance, group collaboration, and multidimensional ability assessment. This model can effectively stimulate learning motivation and promote the integration of clinical thinking and interdisciplinary knowledge. In the future, it is necessary to continuously optimize teacher capabilities, update case banks, and explore the application of new technologies.","container-title":"BMC Medical Education","DOI":"10.1186/s12909-025-08200-9","ISSN":"1472-6920","issue":"1","journalAbbreviation":"BMC Med Educ","language":"en","page":"1590","source":"DOI.org (Crossref)","title":"Dual-track drive for precision education: developing a targeted teaching model in the standardized training of lymphoma subspecialty physicians through the integration of problem-based learning and case-based learning","title-short":"Dual-track drive for precision education","volume":"25","author":[{"family":"Liao","given":"Pengjun"},{"family":"Liu","given":"Sichu"},{"family":"Luo","given":"Chengwei"},{"family":"Wei","given":"Xiaojuan"}],"issued":{"date-parts":[["2025",11,12]]}},"suppress-author":true}],"schema":"https://github.com/citation-style-language/schema/raw/master/csl-citation.json"} </w:instrText>
      </w:r>
      <w:r>
        <w:rPr>
          <w:rFonts w:hint="default" w:ascii="Times New Roman" w:hAnsi="Times New Roman" w:eastAsia="Consolas" w:cs="Times New Roman"/>
          <w:szCs w:val="21"/>
        </w:rPr>
        <w:fldChar w:fldCharType="separate"/>
      </w:r>
      <w:r>
        <w:rPr>
          <w:rFonts w:hint="default" w:ascii="Times New Roman" w:hAnsi="Times New Roman" w:eastAsia="宋体" w:cs="Times New Roman"/>
        </w:rPr>
        <w:t>(2025)</w:t>
      </w:r>
      <w:r>
        <w:rPr>
          <w:rFonts w:hint="default" w:ascii="Times New Roman" w:hAnsi="Times New Roman" w:eastAsia="Consolas" w:cs="Times New Roman"/>
          <w:szCs w:val="21"/>
        </w:rPr>
        <w:fldChar w:fldCharType="end"/>
      </w:r>
      <w:r>
        <w:rPr>
          <w:rFonts w:hint="default" w:ascii="Times New Roman" w:hAnsi="Times New Roman" w:eastAsia="Consolas" w:cs="Times New Roman"/>
          <w:szCs w:val="21"/>
        </w:rPr>
        <w:t xml:space="preserve"> integrated PBL and CBL for lymphoma training, using problem chains and cases to improve diagnostic skills, critical thinking, and decision-making. Another study </w:t>
      </w:r>
      <w:r>
        <w:rPr>
          <w:rFonts w:hint="default" w:ascii="Times New Roman" w:hAnsi="Times New Roman" w:eastAsia="Consolas" w:cs="Times New Roman"/>
          <w:szCs w:val="21"/>
        </w:rPr>
        <w:fldChar w:fldCharType="begin"/>
      </w:r>
      <w:r>
        <w:rPr>
          <w:rFonts w:hint="default" w:ascii="Times New Roman" w:hAnsi="Times New Roman" w:eastAsia="Consolas" w:cs="Times New Roman"/>
          <w:szCs w:val="21"/>
        </w:rPr>
        <w:instrText xml:space="preserve"> ADDIN ZOTERO_ITEM CSL_CITATION {"citationID":"aYOU5BtU","properties":{"unsorted":false,"formattedCitation":"(Zheng Zhang, 2023)","plainCitation":"(Zheng Zhang, 2023)","noteIndex":0},"citationItems":[{"id":169,"uris":["http://zotero.org/users/12514566/items/X6RDALC9"],"itemData":{"id":169,"type":"article-journal","abstract":"This study aims to explore the application of problem driven learning mode in obstetrics and gynecology education. Traditional medical education methods have limitations in cultivating students' clinical thinking and problem-solving abilities. Problem driven learning is a problem-based educational method that promotes deep learning and practical skill development by actively engaging students in solving problems in real-world clinical cases. This study provides a detailed introduction to the principles of problem driven learning and its application in medical education, and proposes methods for designing and implementing problem driven learning in obstetrics and gynecology education. The study also emphasizes the importance of student participation and feedback to improve teaching quality. The problem driven learning model provides an innovative educational method for cultivating future obstetricians and gynecology doctors, which is expected to improve their clinical practice ability and patient care quality.","container-title":"Advances in Educational Technology and Psychology","DOI":"10.23977/aetp.2023.071218","ISSN":"23719397","issue":"12","journalAbbreviation":"aetp","source":"DOI.org (Crossref)","title":"Exploration and Implementation of Problem Driven Learning Model in Obstetrics and Gynecology Education","URL":"https://www.clausiuspress.com/article/9228.html","volume":"7","author":[{"literal":"Zheng Zhang"}],"accessed":{"date-parts":[["2026",1,29]]},"issued":{"date-parts":[["2023"]]}}}],"schema":"https://github.com/citation-style-language/schema/raw/master/csl-citation.json"} </w:instrText>
      </w:r>
      <w:r>
        <w:rPr>
          <w:rFonts w:hint="default" w:ascii="Times New Roman" w:hAnsi="Times New Roman" w:eastAsia="Consolas" w:cs="Times New Roman"/>
          <w:szCs w:val="21"/>
        </w:rPr>
        <w:fldChar w:fldCharType="separate"/>
      </w:r>
      <w:r>
        <w:rPr>
          <w:rFonts w:hint="default" w:ascii="Times New Roman" w:hAnsi="Times New Roman" w:eastAsia="宋体" w:cs="Times New Roman"/>
        </w:rPr>
        <w:t>(Zheng Zhang, 2023)</w:t>
      </w:r>
      <w:r>
        <w:rPr>
          <w:rFonts w:hint="default" w:ascii="Times New Roman" w:hAnsi="Times New Roman" w:eastAsia="Consolas" w:cs="Times New Roman"/>
          <w:szCs w:val="21"/>
        </w:rPr>
        <w:fldChar w:fldCharType="end"/>
      </w:r>
      <w:r>
        <w:rPr>
          <w:rFonts w:hint="default" w:ascii="Times New Roman" w:hAnsi="Times New Roman" w:eastAsia="Consolas" w:cs="Times New Roman"/>
          <w:szCs w:val="21"/>
        </w:rPr>
        <w:t xml:space="preserve"> in obstetrics and gynecology noted traditional methods' shortcomings in clinical thinking, while PDT enhanced deep learning and skills via real cases.</w:t>
      </w:r>
    </w:p>
    <w:p w14:paraId="48DE20CA">
      <w:pPr>
        <w:widowControl/>
        <w:shd w:val="clear" w:color="auto" w:fill="FFFFFF"/>
        <w:spacing w:line="285" w:lineRule="atLeast"/>
        <w:ind w:firstLine="420" w:firstLineChars="200"/>
        <w:rPr>
          <w:rFonts w:hint="default" w:ascii="Times New Roman" w:hAnsi="Times New Roman" w:eastAsia="Consolas" w:cs="Times New Roman"/>
          <w:szCs w:val="21"/>
        </w:rPr>
      </w:pPr>
      <w:r>
        <w:rPr>
          <w:rFonts w:hint="default" w:ascii="Times New Roman" w:hAnsi="Times New Roman" w:eastAsia="Consolas" w:cs="Times New Roman"/>
          <w:szCs w:val="21"/>
        </w:rPr>
        <w:t xml:space="preserve">In mathematics education, PDT has shown promise in fostering core competencies. Jin Chang </w:t>
      </w:r>
      <w:r>
        <w:rPr>
          <w:rFonts w:hint="default" w:ascii="Times New Roman" w:hAnsi="Times New Roman" w:eastAsia="Consolas" w:cs="Times New Roman"/>
          <w:szCs w:val="21"/>
        </w:rPr>
        <w:fldChar w:fldCharType="begin"/>
      </w:r>
      <w:r>
        <w:rPr>
          <w:rFonts w:hint="default" w:ascii="Times New Roman" w:hAnsi="Times New Roman" w:eastAsia="Consolas" w:cs="Times New Roman"/>
          <w:szCs w:val="21"/>
        </w:rPr>
        <w:instrText xml:space="preserve"> ADDIN ZOTERO_ITEM CSL_CITATION {"citationID":"PChIxzwK","properties":{"unsorted":false,"formattedCitation":"(2025)","plainCitation":"(2025)","noteIndex":0},"citationItems":[{"id":167,"uris":["http://zotero.org/users/12514566/items/4QYZJDGH"],"itemData":{"id":167,"type":"article-journal","abstract":"Problem-driven inquiry-based teaching is a student-centered teaching model that emphasizes stimulating students' curiosity and inquiry desire by posing authentic and meaningful questions. It guides them to actively think, cooperate in exploration, and construct knowledge, thus developing their abilities. Taking \"Determining the Perpendicularity of a Line and a Plane\" as an example, this paper demonstrates how problem-driven inquiry-based teaching can help students actively build knowledge, improve their core mathematical literacy, and provide a reference for frontline teachers.","container-title":"Frontiers in Educational Research","DOI":"10.25236/FER.2025.080402","ISSN":"25226398","issue":"4","journalAbbreviation":"FER","source":"DOI.org (Crossref)","title":"Research on problem-driven inquiry-based teaching for high school mathematics—Taking \"determining the perpendicularity of a line and a plane\" as an example","URL":"https://francis-press.com/papers/18653","volume":"8","author":[{"literal":"Chang Jin"}],"accessed":{"date-parts":[["2026",1,29]]},"issued":{"date-parts":[["2025"]]}},"suppress-author":true}],"schema":"https://github.com/citation-style-language/schema/raw/master/csl-citation.json"} </w:instrText>
      </w:r>
      <w:r>
        <w:rPr>
          <w:rFonts w:hint="default" w:ascii="Times New Roman" w:hAnsi="Times New Roman" w:eastAsia="Consolas" w:cs="Times New Roman"/>
          <w:szCs w:val="21"/>
        </w:rPr>
        <w:fldChar w:fldCharType="separate"/>
      </w:r>
      <w:r>
        <w:rPr>
          <w:rFonts w:hint="default" w:ascii="Times New Roman" w:hAnsi="Times New Roman" w:eastAsia="宋体" w:cs="Times New Roman"/>
        </w:rPr>
        <w:t>(2025)</w:t>
      </w:r>
      <w:r>
        <w:rPr>
          <w:rFonts w:hint="default" w:ascii="Times New Roman" w:hAnsi="Times New Roman" w:eastAsia="Consolas" w:cs="Times New Roman"/>
          <w:szCs w:val="21"/>
        </w:rPr>
        <w:fldChar w:fldCharType="end"/>
      </w:r>
      <w:r>
        <w:rPr>
          <w:rFonts w:hint="default" w:ascii="Times New Roman" w:hAnsi="Times New Roman" w:eastAsia="Consolas" w:cs="Times New Roman"/>
          <w:szCs w:val="21"/>
        </w:rPr>
        <w:t xml:space="preserve"> applied PDT to high school geometry, aiding knowledge construction and literacy. Liu Zhenzhen </w:t>
      </w:r>
      <w:r>
        <w:rPr>
          <w:rFonts w:hint="default" w:ascii="Times New Roman" w:hAnsi="Times New Roman" w:eastAsia="Consolas" w:cs="Times New Roman"/>
          <w:szCs w:val="21"/>
        </w:rPr>
        <w:fldChar w:fldCharType="begin"/>
      </w:r>
      <w:r>
        <w:rPr>
          <w:rFonts w:hint="default" w:ascii="Times New Roman" w:hAnsi="Times New Roman" w:eastAsia="Consolas" w:cs="Times New Roman"/>
          <w:szCs w:val="21"/>
        </w:rPr>
        <w:instrText xml:space="preserve"> ADDIN ZOTERO_ITEM CSL_CITATION {"citationID":"cFohyJD1","properties":{"unsorted":false,"formattedCitation":"(2025)","plainCitation":"(2025)","noteIndex":0},"citationItems":[{"id":168,"uris":["http://zotero.org/users/12514566/items/6D4JGE84"],"itemData":{"id":168,"type":"article-journal","abstract":"With the in-depth advancement of the new curriculum reform, the cultivation of subject literacy has become the focus of basic education, which also puts forward higher requirements for teaching work. The problem-driven method is a teaching model that emerged in the context of educational reform, and it meets the requirements of the new era’s educational reform. Under the application of the problem-driven teaching method, teachers should strengthen teaching work, emphasize the problems, key and difficult points in teaching, encourage students to think in depth, and help them form comprehensive quality and ability. Based on this, this paper deeply explores the principles of problem-driven teaching design in junior high school mathematics, and on this basis, puts forward the classroom teaching strategies of junior high school mathematics based on the problem-driven method, hoping to provide useful references for more junior high school mathematics educators.","container-title":"Education Reform and Development","DOI":"10.26689/erd.v7i8.11719","ISSN":"2652-5372, 2652-5364","issue":"8","journalAbbreviation":"erd","page":"15-21","source":"DOI.org (Crossref)","title":"Teaching Strategies of Junior High School Mathematics Classroom Based on Problem-Driven Method","volume":"7","author":[{"family":"Liu","given":"Zhenzhen"}],"issued":{"date-parts":[["2025",8,29]]}},"suppress-author":true}],"schema":"https://github.com/citation-style-language/schema/raw/master/csl-citation.json"} </w:instrText>
      </w:r>
      <w:r>
        <w:rPr>
          <w:rFonts w:hint="default" w:ascii="Times New Roman" w:hAnsi="Times New Roman" w:eastAsia="Consolas" w:cs="Times New Roman"/>
          <w:szCs w:val="21"/>
        </w:rPr>
        <w:fldChar w:fldCharType="separate"/>
      </w:r>
      <w:r>
        <w:rPr>
          <w:rFonts w:hint="default" w:ascii="Times New Roman" w:hAnsi="Times New Roman" w:eastAsia="宋体" w:cs="Times New Roman"/>
        </w:rPr>
        <w:t>(2025)</w:t>
      </w:r>
      <w:r>
        <w:rPr>
          <w:rFonts w:hint="default" w:ascii="Times New Roman" w:hAnsi="Times New Roman" w:eastAsia="Consolas" w:cs="Times New Roman"/>
          <w:szCs w:val="21"/>
        </w:rPr>
        <w:fldChar w:fldCharType="end"/>
      </w:r>
      <w:r>
        <w:rPr>
          <w:rFonts w:hint="default" w:ascii="Times New Roman" w:hAnsi="Times New Roman" w:eastAsia="Consolas" w:cs="Times New Roman"/>
          <w:szCs w:val="21"/>
        </w:rPr>
        <w:t xml:space="preserve"> outlined PDT principles for middle school mathematics, focusing on problems, key points, and deep thinking. These examples illustrate PDT's adaptability from medical training to school-level subjects, emphasizing its role in promoting active inquiry and skill development.</w:t>
      </w:r>
    </w:p>
    <w:p w14:paraId="0C9CB7E2">
      <w:pPr>
        <w:pStyle w:val="4"/>
        <w:rPr>
          <w:rFonts w:hint="default" w:ascii="Times New Roman" w:hAnsi="Times New Roman" w:cs="Times New Roman"/>
          <w:sz w:val="21"/>
          <w:szCs w:val="18"/>
        </w:rPr>
      </w:pPr>
      <w:r>
        <w:rPr>
          <w:rFonts w:hint="default" w:ascii="Times New Roman" w:hAnsi="Times New Roman" w:cs="Times New Roman"/>
          <w:sz w:val="21"/>
          <w:szCs w:val="18"/>
        </w:rPr>
        <w:t>2.3 Integration of Knowledge Graphs and Problem-Driven Teaching</w:t>
      </w:r>
    </w:p>
    <w:p w14:paraId="71A05D9D">
      <w:pPr>
        <w:widowControl/>
        <w:shd w:val="clear" w:color="auto" w:fill="FFFFFF"/>
        <w:spacing w:line="285" w:lineRule="atLeast"/>
        <w:ind w:firstLine="420" w:firstLineChars="200"/>
        <w:rPr>
          <w:rFonts w:hint="default" w:ascii="Times New Roman" w:hAnsi="Times New Roman" w:eastAsia="Consolas" w:cs="Times New Roman"/>
          <w:szCs w:val="21"/>
        </w:rPr>
      </w:pPr>
      <w:r>
        <w:rPr>
          <w:rFonts w:hint="default" w:ascii="Times New Roman" w:hAnsi="Times New Roman" w:eastAsia="Consolas" w:cs="Times New Roman"/>
          <w:szCs w:val="21"/>
        </w:rPr>
        <w:t>Knowledge graphs and PDT complement each other naturally. PDT focuses on inquiry but risks knowledge compartmentalization; knowledge graphs provide a systematic framework for navigation and support. Their integration can be observed in three aspects. First, knowledge graphs inform structured problem design, creating hierarchical question sequences to build complete networks. Second, PDT enables dynamic graph updates via student-generated insights, fostering a feedback loop. Third, together they cultivate higher-order thinking: graphs support analysis and synthesis, while PDT offers practice contexts, aligning with Bloom's Taxonomy.</w:t>
      </w:r>
    </w:p>
    <w:p w14:paraId="7FD2219E">
      <w:pPr>
        <w:widowControl/>
        <w:shd w:val="clear" w:color="auto" w:fill="FFFFFF"/>
        <w:spacing w:line="285" w:lineRule="atLeast"/>
        <w:ind w:firstLine="420" w:firstLineChars="200"/>
        <w:rPr>
          <w:rFonts w:hint="default" w:ascii="Times New Roman" w:hAnsi="Times New Roman" w:eastAsia="Consolas" w:cs="Times New Roman"/>
          <w:szCs w:val="21"/>
        </w:rPr>
      </w:pPr>
      <w:r>
        <w:rPr>
          <w:rFonts w:hint="default" w:ascii="Times New Roman" w:hAnsi="Times New Roman" w:eastAsia="Consolas" w:cs="Times New Roman"/>
          <w:szCs w:val="21"/>
        </w:rPr>
        <w:t xml:space="preserve">Current integration research is nascent but promising. Yang Dingding et al. </w:t>
      </w:r>
      <w:r>
        <w:rPr>
          <w:rFonts w:hint="default" w:ascii="Times New Roman" w:hAnsi="Times New Roman" w:eastAsia="Consolas" w:cs="Times New Roman"/>
          <w:szCs w:val="21"/>
        </w:rPr>
        <w:fldChar w:fldCharType="begin"/>
      </w:r>
      <w:r>
        <w:rPr>
          <w:rFonts w:hint="default" w:ascii="Times New Roman" w:hAnsi="Times New Roman" w:eastAsia="宋体" w:cs="Times New Roman"/>
          <w:szCs w:val="21"/>
          <w:lang w:eastAsia="zh-CN"/>
        </w:rPr>
        <w:instrText xml:space="preserve"> ADDIN ZOTERO_ITEM CSL_CITATION {"citationID":"PqRtNk8x","properties":{"unsorted":false,"formattedCitation":"(2026)","plainCitation":"(2026)","noteIndex":0},"citationItems":[{"id":162,"uris":["http://zotero.org/users/12514566/items/4K628JTN"],"itemData":{"id":162,"type":"article-journal","abstract":"With the rapid evolution of digital technologies, there is an imperative for higher education to undergo continuous renewal, particularly in the realms of curriculum architecture, instructional methodologies, and student evaluation paradigms. This research delves into the innovation of a Three-Stage Progressive Teaching Model (TSPM) within the undergraduate chemical safety engineering education framework. By leveraging online course resources and implementing a flipped classroom approach, the model seeks to enhance student agency, transforming traditional classrooms into dynamic interactive arenas for teachers, engineers, and learners. Centered on scenario-based project cases, the approach fosters core professional skills and is reinforced by a comprehensive assessment system applied across all instructional stages. The curriculum is deconstructed into six major modules and 251 course knowledge points, which are utilized to construct a knowledge graph. These knowledge points are categorized into conceptual knowledge points (99), skill-based knowledge points (110), and cognitive knowledge points (90), serving as the basis for tracking and evaluating teaching effectiveness. This system enables personalized monitoring of learning progression and quantifies the entire learning trajectory. A survey of students over the past five years yielded 125 valid responses, indicating strong recognition of the course. The suggestions and issues raised will inform future curriculum improvements to better support students’ professional development.","container-title":"Education for Chemical Engineers","DOI":"10.1016/j.ece.2025.10.001","ISSN":"17497728","journalAbbreviation":"Education for Chemical Engineers","language":"en","page":"100491","source":"DOI.org (Crossref)","title":"A three-stage progressive teaching model for chemical safety engineering: Integrating flipped classroom and knowledge graphs for competency development","title-short":"A three-stage progressive teaching model for chemical safety engineering","volume":"54","author":[{"family":"Yang","given":"Dingding"},{"family":"Zheng","given":"Juan"},{"family":"Wang","given":"Bohong"},{"family":"Li","given":"Zhenming"},{"family":"Tian","given":"Xinjiao"}],"issued":{"date-parts":[["2026",1]]}},"suppress-author":true}],"schema":"https://github.com/citation-style-language/schema/raw/master/csl-citation.json"} </w:instrText>
      </w:r>
      <w:r>
        <w:rPr>
          <w:rFonts w:hint="default" w:ascii="Times New Roman" w:hAnsi="Times New Roman" w:eastAsia="Consolas" w:cs="Times New Roman"/>
          <w:szCs w:val="21"/>
        </w:rPr>
        <w:fldChar w:fldCharType="separate"/>
      </w:r>
      <w:r>
        <w:rPr>
          <w:rFonts w:hint="default" w:ascii="Times New Roman" w:hAnsi="Times New Roman" w:eastAsia="宋体" w:cs="Times New Roman"/>
          <w:sz w:val="21"/>
          <w:lang w:eastAsia="zh-CN"/>
        </w:rPr>
        <w:t>(2026)</w:t>
      </w:r>
      <w:r>
        <w:rPr>
          <w:rFonts w:hint="default" w:ascii="Times New Roman" w:hAnsi="Times New Roman" w:eastAsia="Consolas" w:cs="Times New Roman"/>
          <w:szCs w:val="21"/>
        </w:rPr>
        <w:fldChar w:fldCharType="end"/>
      </w:r>
      <w:r>
        <w:rPr>
          <w:rFonts w:hint="default" w:ascii="Times New Roman" w:hAnsi="Times New Roman" w:eastAsia="Consolas" w:cs="Times New Roman"/>
          <w:szCs w:val="21"/>
        </w:rPr>
        <w:t xml:space="preserve"> combined them in chemical safety education for a progressive model. Liu Xia et al. </w:t>
      </w:r>
      <w:r>
        <w:rPr>
          <w:rFonts w:hint="default" w:ascii="Times New Roman" w:hAnsi="Times New Roman" w:eastAsia="Consolas" w:cs="Times New Roman"/>
          <w:szCs w:val="21"/>
        </w:rPr>
        <w:fldChar w:fldCharType="begin"/>
      </w:r>
      <w:r>
        <w:rPr>
          <w:rFonts w:hint="default" w:ascii="Times New Roman" w:hAnsi="Times New Roman" w:eastAsia="宋体" w:cs="Times New Roman"/>
          <w:szCs w:val="21"/>
          <w:lang w:eastAsia="zh-CN"/>
        </w:rPr>
        <w:instrText xml:space="preserve"> ADDIN ZOTERO_ITEM CSL_CITATION {"citationID":"9SpOcDbl","properties":{"unsorted":false,"formattedCitation":"(2025)","plainCitation":"(2025)","noteIndex":0},"citationItems":[{"id":163,"uris":["http://zotero.org/users/12514566/items/UXVXNJLM"],"itemData":{"id":163,"type":"article-journal","abstract":"The utilization of knowledge graphs has emerged as a prevailing trend in current medical education reform due to its advantages in visualization and personalized learning. The blended teaching still faces challenges such as knowledge fragmentation, lack of personalized learning pathways and inadequate analysis of learning situations. To evalute the learning experience, learning effect and usability of knowledge graph in the clinical microbiology examination course. The knowledge graph of the clinical microbiology examination course was constructed using natural language processing, deep learning, and other advanced technologies on the Superstar learning platform. 100 third-year students enrolled in 2021 and 2020 majoring in medical examination technology served as the experimental and control group, respectively. The theoretical test scores of the experimental group using knowledge graph for online learning were higher compared to those of the control group using MOOC. The utilization of knowledge graph assisted students in constructing an overall knowledge framework of course and achieving personalized learning and self-evaluation. And it also helped teachers accurately analyze learning situations to provide targeted offline teaching methods and optimize online learning resources. The average scores of four dimensions including the quality of work and life, perceived usefulness, perceived ease of use and user control obtained by the “Health Information Technology Usability Assessment Scale” were 4.67, 4.51, 4.32 and 4.26, respectively. The knowledge graph of clinical microbiology examination course was available, which was helpful to realize personalized learning and precise teaching and effectively solve the problems existing in blended teaching model.","container-title":"Education and Information Technologies","DOI":"10.1007/s10639-025-13626-1","ISSN":"1360-2357, 1573-7608","issue":"16","journalAbbreviation":"Educ Inf Technol","language":"en","page":"22841-22863","source":"DOI.org (Crossref)","title":"The study of blended teaching based on knowledge graph: the case of clinical microbiology examination course","title-short":"The study of blended teaching based on knowledge graph","volume":"30","author":[{"family":"Liu","given":"Xia"},{"family":"Shen","given":"Pei"},{"family":"Xu","given":"Xizhu"},{"family":"Meng","given":"Ling"},{"family":"Ni","given":"Jing"},{"family":"Lin","given":"Guoliang"},{"family":"Jiao","given":"Fengping"}],"issued":{"date-parts":[["2025",11]]}},"suppress-author":true}],"schema":"https://github.com/citation-style-language/schema/raw/master/csl-citation.json"} </w:instrText>
      </w:r>
      <w:r>
        <w:rPr>
          <w:rFonts w:hint="default" w:ascii="Times New Roman" w:hAnsi="Times New Roman" w:eastAsia="Consolas" w:cs="Times New Roman"/>
          <w:szCs w:val="21"/>
        </w:rPr>
        <w:fldChar w:fldCharType="separate"/>
      </w:r>
      <w:r>
        <w:rPr>
          <w:rFonts w:hint="default" w:ascii="Times New Roman" w:hAnsi="Times New Roman" w:eastAsia="宋体" w:cs="Times New Roman"/>
          <w:sz w:val="21"/>
          <w:lang w:eastAsia="zh-CN"/>
        </w:rPr>
        <w:t>(2025)</w:t>
      </w:r>
      <w:r>
        <w:rPr>
          <w:rFonts w:hint="default" w:ascii="Times New Roman" w:hAnsi="Times New Roman" w:eastAsia="Consolas" w:cs="Times New Roman"/>
          <w:szCs w:val="21"/>
        </w:rPr>
        <w:fldChar w:fldCharType="end"/>
      </w:r>
      <w:r>
        <w:rPr>
          <w:rFonts w:hint="default" w:ascii="Times New Roman" w:hAnsi="Times New Roman" w:eastAsia="Consolas" w:cs="Times New Roman"/>
          <w:szCs w:val="21"/>
        </w:rPr>
        <w:t xml:space="preserve"> used graphs to support blended teaching in medicine. Despite progress, challenges persist: limited interdisciplinary studies, weak theoretical foundations, incomplete evaluations, and technical barriers for teachers. A recent systematic review synthesizes evidence on integrating mathematical competencies and critical thinking through active methodologies, advocating for improved assessment in educational settings </w:t>
      </w:r>
      <w:r>
        <w:rPr>
          <w:rFonts w:hint="default" w:ascii="Times New Roman" w:hAnsi="Times New Roman" w:eastAsia="Consolas" w:cs="Times New Roman"/>
          <w:szCs w:val="21"/>
        </w:rPr>
        <w:fldChar w:fldCharType="begin"/>
      </w:r>
      <w:r>
        <w:rPr>
          <w:rFonts w:hint="default" w:ascii="Times New Roman" w:hAnsi="Times New Roman" w:eastAsia="宋体" w:cs="Times New Roman"/>
          <w:szCs w:val="21"/>
          <w:lang w:eastAsia="zh-CN"/>
        </w:rPr>
        <w:instrText xml:space="preserve"> ADDIN ZOTERO_ITEM CSL_CITATION {"citationID":"hKDlE8JI","properties":{"unsorted":false,"formattedCitation":"(Alvarez-Tinajero et al., 2026)","plainCitation":"(Alvarez-Tinajero et al., 2026)","noteIndex":0},"citationItems":[{"id":172,"uris":["http://zotero.org/users/12514566/items/CGRZEFZF"],"itemData":{"id":172,"type":"article-journal","abstract":"Background The integration of mathematical competencies and critical thinking in secondary education has become increasingly relevant to equip students with the ability to reason, argue, and solve complex real-world problems. Despite its recognized importance, this integration remains fragmented across curricula and inconsistently applied in classroom practice. Methods A systematic review was conducted in accordance with PRISMA 2020 guidelines to analyze empirical evidence published between 2019 and 2025. Searches were performed in Scopus, Web of Science, SciELO, and Dialnet databases. Inclusion criteria focused on open-access, peer-reviewed studies in English or Spanish addressing the integration of mathematical competencies and critical thinking in secondary education. From 1,457 records initially retrieved, 24 empirical studies were selected for full analysis. Results The studies reviewed indicate that mathematical competencies, defined as the ability to model, interpret, and solve problems through logical reasoning, are reinforced when integrated with critical thinking skills such as evaluation, argumentation, and evidence-based decision-making. Active methodologies, including Problem-Based Learning (PBL), Project-Based Learning (PjBL), STEM, and gamification, were identified as the most effective strategies to foster this integration. However, their implementation is often constrained by structural barriers such as limited teacher training, rigid curricula, and insufficient technological infrastructure. Conclusion Integrative, student-centered approaches supported by active learning methodologies enhance higher-order cognitive development and prepare learners to meet the demands of 21st-century education. Future research should address methodological standardization, teacher preparation, and institutional conditions to ensure the sustainable and equitable implementation of these strategies.","container-title":"F1000Research","DOI":"10.12688/f1000research.173462.2","ISSN":"2046-1402","journalAbbreviation":"F1000Res","language":"en","page":"1407","source":"DOI.org (Crossref)","title":"Mathematical Competencies and Critical Thinking in Secondary Education: A PRISMA-Based Systematic Review (2019–2025)","title-short":"Mathematical Competencies and Critical Thinking in Secondary Education","volume":"14","author":[{"family":"Alvarez-Tinajero","given":"Nevy"},{"family":"Basantes-Andrade","given":"Andrea"},{"family":"Ayala-Vásquez","given":"Orlando"},{"family":"Pereira-González","given":"Luz-M"},{"family":"Arciniegas-Romero","given":"Gabriela"}],"issued":{"date-parts":[["2026",1,21]]}}}],"schema":"https://github.com/citation-style-language/schema/raw/master/csl-citation.json"} </w:instrText>
      </w:r>
      <w:r>
        <w:rPr>
          <w:rFonts w:hint="default" w:ascii="Times New Roman" w:hAnsi="Times New Roman" w:eastAsia="Consolas" w:cs="Times New Roman"/>
          <w:szCs w:val="21"/>
        </w:rPr>
        <w:fldChar w:fldCharType="separate"/>
      </w:r>
      <w:r>
        <w:rPr>
          <w:rFonts w:hint="default" w:ascii="Times New Roman" w:hAnsi="Times New Roman" w:eastAsia="宋体" w:cs="Times New Roman"/>
          <w:sz w:val="21"/>
          <w:lang w:eastAsia="zh-CN"/>
        </w:rPr>
        <w:t>(Alvarez-Tinajero et al., 2026)</w:t>
      </w:r>
      <w:r>
        <w:rPr>
          <w:rFonts w:hint="default" w:ascii="Times New Roman" w:hAnsi="Times New Roman" w:eastAsia="Consolas" w:cs="Times New Roman"/>
          <w:szCs w:val="21"/>
        </w:rPr>
        <w:fldChar w:fldCharType="end"/>
      </w:r>
      <w:r>
        <w:rPr>
          <w:rFonts w:hint="default" w:ascii="Times New Roman" w:hAnsi="Times New Roman" w:eastAsia="Consolas" w:cs="Times New Roman"/>
          <w:szCs w:val="21"/>
        </w:rPr>
        <w:t>.</w:t>
      </w:r>
    </w:p>
    <w:p w14:paraId="26964D87">
      <w:pPr>
        <w:widowControl/>
        <w:shd w:val="clear" w:color="auto" w:fill="FFFFFF"/>
        <w:spacing w:line="285" w:lineRule="atLeast"/>
        <w:ind w:firstLine="420" w:firstLineChars="200"/>
        <w:rPr>
          <w:rFonts w:hint="default" w:ascii="Times New Roman" w:hAnsi="Times New Roman" w:eastAsia="Consolas" w:cs="Times New Roman"/>
          <w:szCs w:val="21"/>
        </w:rPr>
      </w:pPr>
      <w:r>
        <w:rPr>
          <w:rFonts w:hint="default" w:ascii="Times New Roman" w:hAnsi="Times New Roman" w:eastAsia="Consolas" w:cs="Times New Roman"/>
          <w:szCs w:val="21"/>
        </w:rPr>
        <w:t>Future directions include developing cross-disciplinary models, deepening integration theories, creating user-friendly tools, and establishing robust evaluation systems. Through this literature review, knowledge graphs have advanced from visualization to personalized and intelligent applications, aiding educational digitization. PDT excels in student-centered higher-order skill development. Integration research is emerging, with verified complementarity.</w:t>
      </w:r>
    </w:p>
    <w:p w14:paraId="49EF18FC">
      <w:pPr>
        <w:widowControl/>
        <w:shd w:val="clear" w:color="auto" w:fill="FFFFFF"/>
        <w:spacing w:line="285" w:lineRule="atLeast"/>
        <w:ind w:firstLine="420" w:firstLineChars="200"/>
        <w:rPr>
          <w:rFonts w:hint="default" w:ascii="Times New Roman" w:hAnsi="Times New Roman" w:eastAsia="Consolas" w:cs="Times New Roman"/>
          <w:szCs w:val="21"/>
        </w:rPr>
      </w:pPr>
      <w:r>
        <w:rPr>
          <w:rFonts w:hint="default" w:ascii="Times New Roman" w:hAnsi="Times New Roman" w:eastAsia="Consolas" w:cs="Times New Roman"/>
          <w:szCs w:val="21"/>
        </w:rPr>
        <w:t>This study integrates knowledge graphs and PDT for an innovative advanced mathematics model. It will build a graph to reveal connections, design graph-based PDT, validate via empirical research, and offer practical reforms. Innovations include pioneering deep integration, tailoring to advanced mathematics, and empirical validation.</w:t>
      </w:r>
    </w:p>
    <w:p w14:paraId="749E6A10">
      <w:pPr>
        <w:pStyle w:val="3"/>
        <w:rPr>
          <w:rFonts w:hint="default" w:ascii="Times New Roman" w:hAnsi="Times New Roman" w:cs="Times New Roman"/>
          <w:sz w:val="24"/>
          <w:szCs w:val="21"/>
        </w:rPr>
      </w:pPr>
      <w:r>
        <w:rPr>
          <w:rFonts w:hint="default" w:ascii="Times New Roman" w:hAnsi="Times New Roman" w:cs="Times New Roman"/>
          <w:sz w:val="24"/>
          <w:szCs w:val="21"/>
        </w:rPr>
        <w:t>3. Teaching Model Design and Implementation Strategies</w:t>
      </w:r>
    </w:p>
    <w:p w14:paraId="7C57E4F0">
      <w:pPr>
        <w:pStyle w:val="4"/>
        <w:rPr>
          <w:rFonts w:hint="default" w:ascii="Times New Roman" w:hAnsi="Times New Roman" w:cs="Times New Roman"/>
          <w:sz w:val="21"/>
          <w:szCs w:val="18"/>
        </w:rPr>
      </w:pPr>
      <w:r>
        <w:rPr>
          <w:rFonts w:hint="default" w:ascii="Times New Roman" w:hAnsi="Times New Roman" w:cs="Times New Roman"/>
          <w:sz w:val="21"/>
          <w:szCs w:val="18"/>
        </w:rPr>
        <w:t>3.1 Construction of the Knowledge Graph-Integrated Problem-Driven Teaching Model</w:t>
      </w:r>
    </w:p>
    <w:p w14:paraId="52F6D894">
      <w:pPr>
        <w:widowControl/>
        <w:shd w:val="clear" w:color="auto" w:fill="FFFFFF"/>
        <w:spacing w:line="285" w:lineRule="atLeast"/>
        <w:ind w:firstLine="420" w:firstLineChars="200"/>
        <w:rPr>
          <w:rFonts w:hint="default" w:ascii="Times New Roman" w:hAnsi="Times New Roman" w:eastAsia="Consolas" w:cs="Times New Roman"/>
          <w:szCs w:val="21"/>
        </w:rPr>
      </w:pPr>
      <w:r>
        <w:rPr>
          <w:rFonts w:hint="default" w:ascii="Times New Roman" w:hAnsi="Times New Roman" w:eastAsia="Consolas" w:cs="Times New Roman"/>
          <w:szCs w:val="21"/>
        </w:rPr>
        <w:t>The model focuses on the deep integration of systematic knowledge representation with inquiry-based learning. Based on Constructivist and Cognitive Load Theories, it emphasizes active meaning construction through interactions. Problem-driven teaching creates scenarios to spark cognitive conflict and exploration. Knowledge graphs structure disciplinary logic, reducing extraneous load and optimizing resources for deep understanding.</w:t>
      </w:r>
    </w:p>
    <w:p w14:paraId="62DF7650">
      <w:pPr>
        <w:widowControl/>
        <w:shd w:val="clear" w:color="auto" w:fill="FFFFFF"/>
        <w:spacing w:line="285" w:lineRule="atLeast"/>
        <w:ind w:firstLine="420" w:firstLineChars="200"/>
        <w:rPr>
          <w:rFonts w:hint="default" w:ascii="Times New Roman" w:hAnsi="Times New Roman" w:eastAsia="Consolas" w:cs="Times New Roman"/>
          <w:szCs w:val="21"/>
        </w:rPr>
      </w:pPr>
      <w:r>
        <w:rPr>
          <w:rFonts w:hint="default" w:ascii="Times New Roman" w:hAnsi="Times New Roman" w:eastAsia="Consolas" w:cs="Times New Roman"/>
          <w:szCs w:val="21"/>
        </w:rPr>
        <w:t>The model has three cycling modules: Knowledge Graph Construction, Problem-Driven Teaching, and Assessment/Feedback. They form a closed loop of design, implementation, assessment, and optimization (Figure 1).</w:t>
      </w:r>
    </w:p>
    <w:p w14:paraId="31CABF05">
      <w:pPr>
        <w:widowControl/>
        <w:shd w:val="clear" w:color="auto" w:fill="FFFFFF"/>
        <w:spacing w:line="285" w:lineRule="atLeast"/>
        <w:jc w:val="center"/>
        <w:rPr>
          <w:rFonts w:hint="default" w:ascii="Times New Roman" w:hAnsi="Times New Roman" w:cs="Times New Roman"/>
          <w:b/>
          <w:bCs/>
        </w:rPr>
      </w:pPr>
      <w:r>
        <w:rPr>
          <w:rFonts w:hint="default" w:ascii="Times New Roman" w:hAnsi="Times New Roman" w:cs="Times New Roman"/>
        </w:rPr>
        <w:drawing>
          <wp:inline distT="0" distB="0" distL="114300" distR="114300">
            <wp:extent cx="5267325" cy="2659380"/>
            <wp:effectExtent l="0" t="0" r="952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267325" cy="2659380"/>
                    </a:xfrm>
                    <a:prstGeom prst="rect">
                      <a:avLst/>
                    </a:prstGeom>
                    <a:noFill/>
                    <a:ln>
                      <a:noFill/>
                    </a:ln>
                  </pic:spPr>
                </pic:pic>
              </a:graphicData>
            </a:graphic>
          </wp:inline>
        </w:drawing>
      </w:r>
      <w:r>
        <w:rPr>
          <w:rFonts w:hint="default" w:ascii="Times New Roman" w:hAnsi="Times New Roman" w:cs="Times New Roman"/>
        </w:rPr>
        <w:br w:type="textWrapping"/>
      </w:r>
      <w:r>
        <w:rPr>
          <w:rFonts w:hint="default" w:ascii="Times New Roman" w:hAnsi="Times New Roman" w:cs="Times New Roman"/>
          <w:b/>
          <w:bCs/>
        </w:rPr>
        <w:t>Figure 1. Knowledge Graph-Integrated Problem-Driven Teaching Model Framework</w:t>
      </w:r>
    </w:p>
    <w:p w14:paraId="4A0EE221">
      <w:pPr>
        <w:widowControl/>
        <w:shd w:val="clear" w:color="auto" w:fill="FFFFFF"/>
        <w:spacing w:line="285" w:lineRule="atLeast"/>
        <w:ind w:firstLine="420" w:firstLineChars="200"/>
        <w:rPr>
          <w:rFonts w:hint="default" w:ascii="Times New Roman" w:hAnsi="Times New Roman" w:cs="Times New Roman"/>
        </w:rPr>
      </w:pPr>
      <w:r>
        <w:rPr>
          <w:rFonts w:hint="default" w:ascii="Times New Roman" w:hAnsi="Times New Roman" w:cs="Times New Roman"/>
        </w:rPr>
        <w:t>The Problem-Driven Teaching Module serves as the core engine of the model. This module utilizes the knowledge graph as a navigational blueprint to design and implement instruction. Its operation consists of three stages: 1) Problem Design Phase: Based on the structure and relationships within the knowledge graph, a logically interconnected "tiered problem chain" is designed. This chain spans multiple levels, progressing from foundational questions involving factual and conceptual knowledge to higher-order problems requiring analysis, synthesis, and creation. 2) Problem Inquiry Phase: The teacher presents the problem scenario, after which students engage in self-directed inquiry—individually or in groups—to find solutions, using the knowledge graph as a cognitive map. During this process, the knowledge graph helps students locate relevant information, understand conceptual connections, and plan solution paths. 3) Knowledge Construction Phase: Students integrate new understandings, methods, and case studies gained from the inquiry into their personal or shared class knowledge graph by adding annotations, creating links, or inserting new nodes. This facilitates the internalization and deepening of shared knowledge into individual cognitive structures.</w:t>
      </w:r>
    </w:p>
    <w:p w14:paraId="3805F87C">
      <w:pPr>
        <w:widowControl/>
        <w:shd w:val="clear" w:color="auto" w:fill="FFFFFF"/>
        <w:spacing w:line="285" w:lineRule="atLeast"/>
        <w:ind w:firstLine="420" w:firstLineChars="200"/>
        <w:rPr>
          <w:rFonts w:hint="default" w:ascii="Times New Roman" w:hAnsi="Times New Roman" w:cs="Times New Roman"/>
        </w:rPr>
      </w:pPr>
      <w:r>
        <w:rPr>
          <w:rFonts w:hint="default" w:ascii="Times New Roman" w:hAnsi="Times New Roman" w:cs="Times New Roman"/>
        </w:rPr>
        <w:t>The Assessment and Feedback Module ensures the continuous optimization of the model. It employs a diversified, mixed-methods evaluation approach that runs throughout the teaching process. Formative assessment focuses on students' performance during problem inquiry, such as their abilities in information retrieval and integration, critical thinking, and collaborative communication. This can be analyzed through learning behavior data, discussion records, and procedural artifacts. Summative assessment, conducted via standardized tests and comprehensive project reports, evaluates students' mastery of structured knowledge and the development of higher-order thinking skills, including analysis, evaluation, and creation. All assessment data is systematically collected and analyzed to serve a dual purpose: first, providing personalized feedback and guidance to students; second, informing refinements to the Knowledge Graph Construction Module and the Problem-Driven Teaching Module. This includes updating relationships within the graph, optimizing problem design, and adjusting teaching strategies, thereby enabling the iterative evolution of the teaching model.</w:t>
      </w:r>
    </w:p>
    <w:p w14:paraId="581A877C">
      <w:pPr>
        <w:widowControl/>
        <w:shd w:val="clear" w:color="auto" w:fill="FFFFFF"/>
        <w:spacing w:line="285" w:lineRule="atLeast"/>
        <w:ind w:firstLine="420" w:firstLineChars="200"/>
        <w:rPr>
          <w:rFonts w:hint="default" w:ascii="Times New Roman" w:hAnsi="Times New Roman" w:cs="Times New Roman"/>
        </w:rPr>
      </w:pPr>
      <w:r>
        <w:rPr>
          <w:rFonts w:hint="default" w:ascii="Times New Roman" w:hAnsi="Times New Roman" w:cs="Times New Roman"/>
        </w:rPr>
        <w:t>By combining systematic knowledge support with an active inquiry process, this model effectively addresses prevalent issues in traditional teaching—such as the disconnection between knowledge transmission and skill development, and the compartmentalization of knowledge acquisition. It provides a structured instructional pathway for fostering students' higher-order thinking skills.</w:t>
      </w:r>
    </w:p>
    <w:p w14:paraId="0CCC831B">
      <w:pPr>
        <w:pStyle w:val="4"/>
        <w:rPr>
          <w:rFonts w:hint="default" w:ascii="Times New Roman" w:hAnsi="Times New Roman" w:cs="Times New Roman"/>
          <w:sz w:val="21"/>
          <w:szCs w:val="18"/>
        </w:rPr>
      </w:pPr>
      <w:r>
        <w:rPr>
          <w:rFonts w:hint="default" w:ascii="Times New Roman" w:hAnsi="Times New Roman" w:cs="Times New Roman"/>
          <w:sz w:val="21"/>
          <w:szCs w:val="18"/>
        </w:rPr>
        <w:t>3.2 Design of Teaching Cases</w:t>
      </w:r>
    </w:p>
    <w:p w14:paraId="1CCE5B3B">
      <w:pPr>
        <w:widowControl/>
        <w:shd w:val="clear" w:color="auto" w:fill="FFFFFF"/>
        <w:spacing w:line="285" w:lineRule="atLeast"/>
        <w:ind w:firstLine="420" w:firstLineChars="200"/>
        <w:rPr>
          <w:rFonts w:hint="default" w:ascii="Times New Roman" w:hAnsi="Times New Roman" w:cs="Times New Roman"/>
        </w:rPr>
      </w:pPr>
      <w:r>
        <w:rPr>
          <w:rFonts w:hint="default" w:ascii="Times New Roman" w:hAnsi="Times New Roman" w:cs="Times New Roman"/>
        </w:rPr>
        <w:t>To concretely illustrate the application of the model, this study selects the content units "Multivariable Differential Calculus" and "Curve Integrals" and designs the following teaching cases.</w:t>
      </w:r>
    </w:p>
    <w:p w14:paraId="338EB7A8">
      <w:pPr>
        <w:pStyle w:val="5"/>
        <w:rPr>
          <w:rFonts w:hint="default" w:ascii="Times New Roman" w:hAnsi="Times New Roman" w:cs="Times New Roman"/>
          <w:sz w:val="21"/>
          <w:szCs w:val="20"/>
        </w:rPr>
      </w:pPr>
      <w:r>
        <w:rPr>
          <w:rFonts w:hint="default" w:ascii="Times New Roman" w:hAnsi="Times New Roman" w:cs="Times New Roman"/>
          <w:sz w:val="21"/>
          <w:szCs w:val="20"/>
        </w:rPr>
        <w:t>3.2.1 Case 1: Construction and Application of the Knowledge Graph for Multivariable Differential Calculus</w:t>
      </w:r>
    </w:p>
    <w:p w14:paraId="05287DFA">
      <w:pPr>
        <w:widowControl/>
        <w:shd w:val="clear" w:color="auto" w:fill="FFFFFF"/>
        <w:spacing w:line="285" w:lineRule="atLeast"/>
        <w:ind w:firstLine="420" w:firstLineChars="200"/>
        <w:rPr>
          <w:rFonts w:hint="default" w:ascii="Times New Roman" w:hAnsi="Times New Roman" w:cs="Times New Roman"/>
        </w:rPr>
      </w:pPr>
      <w:r>
        <w:rPr>
          <w:rFonts w:hint="default" w:ascii="Times New Roman" w:hAnsi="Times New Roman" w:cs="Times New Roman"/>
        </w:rPr>
        <w:t>This case addresses the teaching challenges arising from the abstract and interconnected concepts in multivariable differential calculus. First, the knowledge graph for this unit is constructed: with "Multivariable Differential Calculus" as the root node, it branches into three main trunks—"Conceptual System," "Computational System," and "Application System." The "Conceptual System" branch delineates the conceptual progression from "Partial Derivatives" (describing changes along coordinate axes) to "Directional Derivatives" (describing changes in arbitrary directions) and then to "Gradient" (integrating information from all directional derivatives and indicating the direction of steepest ascent). This branch connects via the "Geometric Interpretation" node to concepts such as tangent planes and normal lines of surfaces. The "Computational System" branch links various differentiation rules, while the "Application System" branch extends to optimization problems, including "Unconstrained Extrema" and "Constrained Extrema" (using the Lagrange Multipliers Method). Semantic relationships between concepts—such as "generalization," "special case," and "applied to"—are explicitly annotated in the graph (Figure 2).</w:t>
      </w:r>
    </w:p>
    <w:p w14:paraId="7D75A068">
      <w:pPr>
        <w:widowControl/>
        <w:shd w:val="clear" w:color="auto" w:fill="FFFFFF"/>
        <w:spacing w:line="285" w:lineRule="atLeast"/>
        <w:jc w:val="center"/>
        <w:rPr>
          <w:rFonts w:hint="default" w:ascii="Times New Roman" w:hAnsi="Times New Roman" w:cs="Times New Roman"/>
        </w:rPr>
      </w:pPr>
      <w:r>
        <w:rPr>
          <w:rFonts w:hint="default" w:ascii="Times New Roman" w:hAnsi="Times New Roman" w:cs="Times New Roman"/>
        </w:rPr>
        <w:drawing>
          <wp:inline distT="0" distB="0" distL="114300" distR="114300">
            <wp:extent cx="3508375" cy="3893820"/>
            <wp:effectExtent l="0" t="0" r="15875" b="1143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3508375" cy="3893820"/>
                    </a:xfrm>
                    <a:prstGeom prst="rect">
                      <a:avLst/>
                    </a:prstGeom>
                    <a:noFill/>
                    <a:ln>
                      <a:noFill/>
                    </a:ln>
                  </pic:spPr>
                </pic:pic>
              </a:graphicData>
            </a:graphic>
          </wp:inline>
        </w:drawing>
      </w:r>
    </w:p>
    <w:p w14:paraId="2497A5A7">
      <w:pPr>
        <w:widowControl/>
        <w:shd w:val="clear" w:color="auto" w:fill="FFFFFF"/>
        <w:spacing w:line="285" w:lineRule="atLeast"/>
        <w:jc w:val="center"/>
        <w:rPr>
          <w:rFonts w:hint="default" w:ascii="Times New Roman" w:hAnsi="Times New Roman" w:eastAsia="Consolas" w:cs="Times New Roman"/>
          <w:b/>
          <w:bCs/>
          <w:szCs w:val="21"/>
        </w:rPr>
      </w:pPr>
      <w:r>
        <w:rPr>
          <w:rFonts w:hint="default" w:ascii="Times New Roman" w:hAnsi="Times New Roman" w:eastAsia="Consolas" w:cs="Times New Roman"/>
          <w:b/>
          <w:bCs/>
          <w:kern w:val="0"/>
          <w:szCs w:val="21"/>
          <w:shd w:val="clear" w:color="auto" w:fill="FFFFFF"/>
          <w:lang w:bidi="ar"/>
        </w:rPr>
        <w:t>Figure 2. Knowledge Graph of Multivariable Differential Calculus</w:t>
      </w:r>
    </w:p>
    <w:p w14:paraId="68BAB27C">
      <w:pPr>
        <w:widowControl/>
        <w:shd w:val="clear" w:color="auto" w:fill="FFFFFF"/>
        <w:spacing w:line="285" w:lineRule="atLeast"/>
        <w:rPr>
          <w:rFonts w:hint="default" w:ascii="Times New Roman" w:hAnsi="Times New Roman" w:cs="Times New Roman"/>
        </w:rPr>
      </w:pPr>
    </w:p>
    <w:p w14:paraId="5D5E2F70">
      <w:pPr>
        <w:widowControl/>
        <w:shd w:val="clear" w:color="auto" w:fill="FFFFFF"/>
        <w:spacing w:line="285" w:lineRule="atLeast"/>
        <w:ind w:firstLine="420" w:firstLineChars="200"/>
        <w:rPr>
          <w:rFonts w:hint="default" w:ascii="Times New Roman" w:hAnsi="Times New Roman" w:cs="Times New Roman"/>
        </w:rPr>
      </w:pPr>
      <w:r>
        <w:rPr>
          <w:rFonts w:hint="default" w:ascii="Times New Roman" w:hAnsi="Times New Roman" w:cs="Times New Roman"/>
        </w:rPr>
        <w:t>Based on this graph, a tiered problem chain is designed to progressively deepen students' thinking. First-tier problems (Conceptual Understanding) include, for example: "By analogy with the derivative of a single-variable function, what is the geometric meaning of the partial derivative of a two-variable function? Why does it only reflect 'local' properties?" This question guides students to leverage analogical relationships in the graph for initial comprehension. Second-tier problems (Relationship Analysis and Application) include: "How are partial derivatives 'synthesized' to yield the directional derivative in any arbitrary direction? Why does the gradient direction represent the steepest ascent in function value? Please explain the relationship between the gradient's magnitude and the maximum directional derivative, referencing the graph." This question prompts students to trace the derivation path "Partial Derivatives → Directional Derivatives → Gradient" in the graph, fostering knowledge association and integration. Third-tier problems (Synthesis, Transfer, and Creation) present a realistic scenario: "Suppose a mountainous terrain is modeled by a two-variable function. As a rescue team member, how would you use the gradient concept to plan the fastest ascent path? Please model this and discuss the method's practical limitations and potential improvements." This higher-order problem encourages students to link the "Application System" in the graph to real-world issues, promoting critical application and innovative thinking. During implementation, students use the graph as a navigation tool, engage in group discussions, and add the newly developed "Application Case of Gradient in Path Optimization" as supplementary knowledge to the graph, completing the cycle from knowledge understanding to creation.</w:t>
      </w:r>
    </w:p>
    <w:p w14:paraId="014EC737">
      <w:pPr>
        <w:pStyle w:val="5"/>
        <w:rPr>
          <w:rFonts w:hint="default" w:ascii="Times New Roman" w:hAnsi="Times New Roman" w:cs="Times New Roman"/>
          <w:sz w:val="21"/>
          <w:szCs w:val="20"/>
        </w:rPr>
      </w:pPr>
      <w:r>
        <w:rPr>
          <w:rFonts w:hint="default" w:ascii="Times New Roman" w:hAnsi="Times New Roman" w:cs="Times New Roman"/>
          <w:sz w:val="21"/>
          <w:szCs w:val="20"/>
        </w:rPr>
        <w:t>3.2.2 Case 2: Construction of the Knowledge Graph and Problem-Driven Teaching for Curve Integrals</w:t>
      </w:r>
    </w:p>
    <w:p w14:paraId="463D2F32">
      <w:pPr>
        <w:widowControl/>
        <w:shd w:val="clear" w:color="auto" w:fill="FFFFFF"/>
        <w:spacing w:line="285" w:lineRule="atLeast"/>
        <w:ind w:firstLine="420" w:firstLineChars="200"/>
        <w:rPr>
          <w:rFonts w:hint="default" w:ascii="Times New Roman" w:hAnsi="Times New Roman" w:cs="Times New Roman"/>
        </w:rPr>
      </w:pPr>
      <w:r>
        <w:rPr>
          <w:rFonts w:hint="default" w:ascii="Times New Roman" w:hAnsi="Times New Roman" w:cs="Times New Roman"/>
        </w:rPr>
        <w:t>This case focuses on distinguishing between the often-confused Line Integrals of the First Kind (with respect to arc length) and the Second Kind (with respect to coordinates). The knowledge graph employs a comparative structure, centered on "Curve Integrals," with parallel branches for the two types. Each branch outlines its "Physical Background" (e.g., calculating mass vs. work/flow), "Mathematical Definition" (summation of scalars vs. vector projections), "Properties," and "Calculation Methods." A key node, "Connections and Differences," bridges the branches to emphasize their essential distinctions. Additionally, the core node "Green's Theorem" establishes a transformation relationship between Second Kind curve integrals (under certain conditions) and double integrals, with applicability conditions clearly noted (Figure 3).</w:t>
      </w:r>
    </w:p>
    <w:p w14:paraId="34485D12">
      <w:pPr>
        <w:widowControl/>
        <w:shd w:val="clear" w:color="auto" w:fill="FFFFFF"/>
        <w:spacing w:line="285" w:lineRule="atLeast"/>
        <w:rPr>
          <w:rFonts w:hint="default" w:ascii="Times New Roman" w:hAnsi="Times New Roman" w:cs="Times New Roman"/>
        </w:rPr>
      </w:pPr>
      <w:r>
        <w:rPr>
          <w:rFonts w:hint="default" w:ascii="Times New Roman" w:hAnsi="Times New Roman" w:cs="Times New Roman"/>
        </w:rPr>
        <w:drawing>
          <wp:inline distT="0" distB="0" distL="114300" distR="114300">
            <wp:extent cx="5272405" cy="4305300"/>
            <wp:effectExtent l="0" t="0" r="4445" b="0"/>
            <wp:docPr id="4" name="图片 4" descr="canv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anvas"/>
                    <pic:cNvPicPr>
                      <a:picLocks noChangeAspect="1"/>
                    </pic:cNvPicPr>
                  </pic:nvPicPr>
                  <pic:blipFill>
                    <a:blip r:embed="rId12"/>
                    <a:stretch>
                      <a:fillRect/>
                    </a:stretch>
                  </pic:blipFill>
                  <pic:spPr>
                    <a:xfrm>
                      <a:off x="0" y="0"/>
                      <a:ext cx="5272405" cy="4305300"/>
                    </a:xfrm>
                    <a:prstGeom prst="rect">
                      <a:avLst/>
                    </a:prstGeom>
                  </pic:spPr>
                </pic:pic>
              </a:graphicData>
            </a:graphic>
          </wp:inline>
        </w:drawing>
      </w:r>
    </w:p>
    <w:p w14:paraId="57273A8D">
      <w:pPr>
        <w:widowControl/>
        <w:shd w:val="clear" w:color="auto" w:fill="FFFFFF"/>
        <w:spacing w:line="285" w:lineRule="atLeast"/>
        <w:jc w:val="center"/>
        <w:rPr>
          <w:rFonts w:hint="default" w:ascii="Times New Roman" w:hAnsi="Times New Roman" w:cs="Times New Roman"/>
          <w:b/>
          <w:bCs/>
        </w:rPr>
      </w:pPr>
      <w:r>
        <w:rPr>
          <w:rFonts w:hint="default" w:ascii="Times New Roman" w:hAnsi="Times New Roman" w:eastAsia="Consolas" w:cs="Times New Roman"/>
          <w:b/>
          <w:bCs/>
          <w:kern w:val="0"/>
          <w:szCs w:val="21"/>
          <w:shd w:val="clear" w:color="auto" w:fill="FFFFFF"/>
          <w:lang w:bidi="ar"/>
        </w:rPr>
        <w:t>Figure 3. Knowledge Graph of Curve Integrals</w:t>
      </w:r>
    </w:p>
    <w:p w14:paraId="16FE2A36">
      <w:pPr>
        <w:widowControl/>
        <w:shd w:val="clear" w:color="auto" w:fill="FFFFFF"/>
        <w:spacing w:line="285" w:lineRule="atLeast"/>
        <w:ind w:firstLine="420" w:firstLineChars="200"/>
        <w:rPr>
          <w:rFonts w:hint="default" w:ascii="Times New Roman" w:hAnsi="Times New Roman" w:cs="Times New Roman"/>
        </w:rPr>
      </w:pPr>
      <w:r>
        <w:rPr>
          <w:rFonts w:hint="default" w:ascii="Times New Roman" w:hAnsi="Times New Roman" w:cs="Times New Roman"/>
        </w:rPr>
        <w:t>Instruction centers on a series of comparative inquiry-based problems. Problem 1 (Discriminating Physical Essence): "Why is the Line Integral of the First Kind used to compute the mass of a curved object, while the Second Kind calculates work done by a variable force? Explain the fundamental difference in terms of the integrand's composition." This question directs students to explore the graph's branches, clarifying concepts from physical origins and mathematical definitions. Problem 2 (Computational Exploration and Discovering Intrinsic Connections): "Calculate a given Line Integral of the First Kind and Second Kind over the same curve and observe the processes. Under what conditions does the Second Kind integral become path-independent? Which graph node suggests this possibility?" This problem allows students to experience differences through computation and connect to the "Green's Theorem" node and its conditions, building a foundation for understanding conservative fields in vector calculus. Problem 3 (Synthesis and Transformative Application): "Explain how Green's Theorem facilitates transformation between integral types. Design a specific problem to demonstrate its advantage in simplifying calculations, and analyze scenarios where the theorem may fail." This problem requires students to synthesize the "Connections," "Green's Theorem," and "Conditions" elements in the graph, engaging in knowledge integration, application, and critical evaluation to deepen their appreciation of mathematical rigor. Throughout the process, students use the graph for comparative learning, associative inquiry, and integrated application, effectively resolving conceptual confusion and building a systematic knowledge network.</w:t>
      </w:r>
    </w:p>
    <w:p w14:paraId="2FA61E2E">
      <w:pPr>
        <w:pStyle w:val="4"/>
        <w:rPr>
          <w:rFonts w:hint="default" w:ascii="Times New Roman" w:hAnsi="Times New Roman" w:cs="Times New Roman"/>
          <w:sz w:val="21"/>
          <w:szCs w:val="18"/>
        </w:rPr>
      </w:pPr>
      <w:r>
        <w:rPr>
          <w:rFonts w:hint="default" w:ascii="Times New Roman" w:hAnsi="Times New Roman" w:cs="Times New Roman"/>
          <w:sz w:val="21"/>
          <w:szCs w:val="18"/>
        </w:rPr>
        <w:t>3.3 Teaching Implementation Process and Strategies</w:t>
      </w:r>
    </w:p>
    <w:p w14:paraId="12E085E8">
      <w:pPr>
        <w:widowControl/>
        <w:shd w:val="clear" w:color="auto" w:fill="FFFFFF"/>
        <w:spacing w:line="285" w:lineRule="atLeast"/>
        <w:ind w:firstLine="420" w:firstLineChars="200"/>
        <w:rPr>
          <w:rFonts w:hint="default" w:ascii="Times New Roman" w:hAnsi="Times New Roman" w:cs="Times New Roman"/>
        </w:rPr>
      </w:pPr>
      <w:r>
        <w:rPr>
          <w:rFonts w:hint="default" w:ascii="Times New Roman" w:hAnsi="Times New Roman" w:cs="Times New Roman"/>
        </w:rPr>
        <w:t>To ensure effective model implementation, this study outlines a standardized four-phase teaching process following a "Pre-set – Inquiry – Extension – Iteration" closed loop.</w:t>
      </w:r>
    </w:p>
    <w:p w14:paraId="4A7DDBCA">
      <w:pPr>
        <w:widowControl/>
        <w:shd w:val="clear" w:color="auto" w:fill="FFFFFF"/>
        <w:spacing w:line="285" w:lineRule="atLeast"/>
        <w:rPr>
          <w:rFonts w:hint="default" w:ascii="Times New Roman" w:hAnsi="Times New Roman" w:cs="Times New Roman"/>
        </w:rPr>
      </w:pPr>
      <w:r>
        <w:rPr>
          <w:rFonts w:hint="default" w:ascii="Times New Roman" w:hAnsi="Times New Roman" w:cs="Times New Roman"/>
        </w:rPr>
        <w:t>The first phase is Pre-class Preparation and Presetting. Teachers construct the core knowledge graph, design a corresponding tiered problem chain aligned with the graph's structure, and anchor resources such as micro-lectures, literature, and simulations to graph nodes. These are released via an online platform to guide students in previewing and forming an initial cognitive map.</w:t>
      </w:r>
    </w:p>
    <w:p w14:paraId="5965AB4C">
      <w:pPr>
        <w:widowControl/>
        <w:shd w:val="clear" w:color="auto" w:fill="FFFFFF"/>
        <w:spacing w:line="285" w:lineRule="atLeast"/>
        <w:rPr>
          <w:rFonts w:hint="default" w:ascii="Times New Roman" w:hAnsi="Times New Roman" w:cs="Times New Roman"/>
        </w:rPr>
      </w:pPr>
      <w:r>
        <w:rPr>
          <w:rFonts w:hint="default" w:ascii="Times New Roman" w:hAnsi="Times New Roman" w:cs="Times New Roman"/>
        </w:rPr>
        <w:t>The second phase is In-class Inquiry and Construction. Classroom activities are student-centered and unfold in five steps: "Context Introduction and Problem Focus," "Independent/Collaborative Inquiry (using the knowledge graph as a navigation tool)," "Result Sharing and Idea Exchange," "Knowledge Integration and Graph Refinement (jointly by teachers and students)," and "Reflection Summary and Preview of Transfer." This phase facilitates collaborative knowledge construction and internalization.</w:t>
      </w:r>
    </w:p>
    <w:p w14:paraId="2C69776D">
      <w:pPr>
        <w:widowControl/>
        <w:shd w:val="clear" w:color="auto" w:fill="FFFFFF"/>
        <w:spacing w:line="285" w:lineRule="atLeast"/>
        <w:ind w:firstLine="420" w:firstLineChars="200"/>
        <w:rPr>
          <w:rFonts w:hint="default" w:ascii="Times New Roman" w:hAnsi="Times New Roman" w:cs="Times New Roman"/>
        </w:rPr>
      </w:pPr>
      <w:r>
        <w:rPr>
          <w:rFonts w:hint="default" w:ascii="Times New Roman" w:hAnsi="Times New Roman" w:cs="Times New Roman"/>
        </w:rPr>
        <w:t>The third phase is Post-class Consolidation and Extension. Students create personalized knowledge graph notes based on in-class insights and complete targeted exercises via the platform. The system analyzes learning behavior data to provide personalized resource recommendations.</w:t>
      </w:r>
    </w:p>
    <w:p w14:paraId="65174AE4">
      <w:pPr>
        <w:widowControl/>
        <w:shd w:val="clear" w:color="auto" w:fill="FFFFFF"/>
        <w:spacing w:line="285" w:lineRule="atLeast"/>
        <w:rPr>
          <w:rFonts w:hint="default" w:ascii="Times New Roman" w:hAnsi="Times New Roman" w:cs="Times New Roman"/>
        </w:rPr>
      </w:pPr>
      <w:r>
        <w:rPr>
          <w:rFonts w:hint="default" w:ascii="Times New Roman" w:hAnsi="Times New Roman" w:cs="Times New Roman"/>
        </w:rPr>
        <w:t>The fourth phase is Evaluation, Feedback, and Iteration. Comprehensive assessment integrates process data (e.g., graph interactions, discussion records) and outcome data (e.g., tests, projects). Results optimize the knowledge graph, refine problem design, and adjust teaching strategies, enabling continuous model improvement.</w:t>
      </w:r>
    </w:p>
    <w:p w14:paraId="49A0F2CE">
      <w:pPr>
        <w:widowControl/>
        <w:shd w:val="clear" w:color="auto" w:fill="FFFFFF"/>
        <w:spacing w:line="285" w:lineRule="atLeast"/>
        <w:ind w:firstLine="420" w:firstLineChars="200"/>
        <w:rPr>
          <w:rFonts w:hint="default" w:ascii="Times New Roman" w:hAnsi="Times New Roman" w:cs="Times New Roman"/>
        </w:rPr>
      </w:pPr>
      <w:r>
        <w:rPr>
          <w:rFonts w:hint="default" w:ascii="Times New Roman" w:hAnsi="Times New Roman" w:cs="Times New Roman"/>
        </w:rPr>
        <w:t>Throughout the process, three core strategies are essential. First, Differentiated Scaffolding: The knowledge graph diagnoses prior knowledge gaps and provides dynamic, tiered hints and resources during inquiry. Second, Collaborative Knowledge Construction: Tasks like "group refinement of a graph branch" encourage dialogue and debate, leveraging collective wisdom for deeper understanding. Third, Formative Feedback: Teachers review personalized graphs for structural completeness, relational accuracy, and innovativeness, guiding metacognitive development.</w:t>
      </w:r>
    </w:p>
    <w:p w14:paraId="3E8FAAD8">
      <w:pPr>
        <w:pStyle w:val="3"/>
        <w:rPr>
          <w:rFonts w:hint="default" w:ascii="Times New Roman" w:hAnsi="Times New Roman" w:cs="Times New Roman"/>
          <w:sz w:val="24"/>
          <w:szCs w:val="21"/>
        </w:rPr>
      </w:pPr>
      <w:r>
        <w:rPr>
          <w:rFonts w:hint="default" w:ascii="Times New Roman" w:hAnsi="Times New Roman" w:cs="Times New Roman"/>
          <w:sz w:val="24"/>
          <w:szCs w:val="21"/>
        </w:rPr>
        <w:t>4. Implementation Results and Evaluation</w:t>
      </w:r>
    </w:p>
    <w:p w14:paraId="2899EA6D">
      <w:pPr>
        <w:widowControl/>
        <w:shd w:val="clear" w:color="auto" w:fill="FFFFFF"/>
        <w:spacing w:line="285" w:lineRule="atLeast"/>
        <w:ind w:firstLine="420" w:firstLineChars="200"/>
        <w:rPr>
          <w:rFonts w:hint="default" w:ascii="Times New Roman" w:hAnsi="Times New Roman" w:cs="Times New Roman"/>
        </w:rPr>
      </w:pPr>
      <w:r>
        <w:rPr>
          <w:rFonts w:hint="default" w:ascii="Times New Roman" w:hAnsi="Times New Roman" w:cs="Times New Roman"/>
        </w:rPr>
        <w:t>To scientifically validate the practical effectiveness of the Knowledge Graph-Integrated Problem-Driven Teaching Model (hereafter referred to as the "Integrated Model"), a comparative teaching experiment was conducted over one semester with second-year Computer Science majors at Liaoning University of Science and Technology. The experimental class (N=60) implemented the Integrated Model, while the control class (N=60) used a traditional lecture-based approach, with the same instructor teaching both classes to minimize extraneous variables. A pre-test confirmed no significant differences in prior knowledge between the groups (p &gt; 0.05). The study adopted a mixed-methods approach, evaluating outcomes across three dimensions: academic performance, thinking abilities, and learning experience.</w:t>
      </w:r>
      <w:r>
        <w:rPr>
          <w:rFonts w:hint="default" w:ascii="Times New Roman" w:hAnsi="Times New Roman" w:cs="Times New Roman"/>
          <w:lang w:val="en-US" w:eastAsia="zh-CN"/>
        </w:rPr>
        <w:t xml:space="preserve"> </w:t>
      </w:r>
      <w:r>
        <w:rPr>
          <w:rFonts w:hint="default" w:ascii="Times New Roman" w:hAnsi="Times New Roman" w:cs="Times New Roman"/>
        </w:rPr>
        <w:t xml:space="preserve">Data collection included in-class supervised administration of pre- and post-tests, online distribution of questionnaires immediately post-experiment (100% response rate), </w:t>
      </w:r>
      <w:r>
        <w:rPr>
          <w:rFonts w:hint="default" w:ascii="Times New Roman" w:hAnsi="Times New Roman" w:cs="Times New Roman"/>
          <w:lang w:val="en-US" w:eastAsia="zh-CN"/>
        </w:rPr>
        <w:t>text</w:t>
      </w:r>
      <w:r>
        <w:rPr>
          <w:rFonts w:hint="default" w:ascii="Times New Roman" w:hAnsi="Times New Roman" w:cs="Times New Roman"/>
        </w:rPr>
        <w:t>-recorded semi-structured interviews with 10 stratified-sampled students one week after the experiment (lasting 20-30 minutes each, with informed consent), and automatic logging of platform-based learning behavior data.</w:t>
      </w:r>
    </w:p>
    <w:p w14:paraId="33C315CA">
      <w:pPr>
        <w:pStyle w:val="4"/>
        <w:rPr>
          <w:rFonts w:hint="default" w:ascii="Times New Roman" w:hAnsi="Times New Roman" w:cs="Times New Roman"/>
          <w:sz w:val="21"/>
          <w:szCs w:val="18"/>
        </w:rPr>
      </w:pPr>
      <w:r>
        <w:rPr>
          <w:rFonts w:hint="default" w:ascii="Times New Roman" w:hAnsi="Times New Roman" w:cs="Times New Roman"/>
          <w:sz w:val="21"/>
          <w:szCs w:val="18"/>
        </w:rPr>
        <w:t>4.1 Quantitative Comparison of Academic Achievement</w:t>
      </w:r>
    </w:p>
    <w:p w14:paraId="5E27B714">
      <w:pPr>
        <w:widowControl/>
        <w:shd w:val="clear" w:color="auto" w:fill="FFFFFF"/>
        <w:spacing w:line="285" w:lineRule="atLeast"/>
        <w:ind w:firstLine="420" w:firstLineChars="200"/>
        <w:rPr>
          <w:rFonts w:hint="default" w:ascii="Times New Roman" w:hAnsi="Times New Roman" w:cs="Times New Roman"/>
        </w:rPr>
      </w:pPr>
      <w:r>
        <w:rPr>
          <w:rFonts w:hint="default" w:ascii="Times New Roman" w:hAnsi="Times New Roman" w:cs="Times New Roman"/>
        </w:rPr>
        <w:t>At the end of the experiment, both classes completed a unified comprehensive test, which assessed fundamental concepts and calculations (60 points) and items requiring higher-order thinking skills, such as analysis, synthesis, and transferable application (40 points). Independent samples t-test results (see Table 1) showed that the experimental class significantly outperformed the control class in total scores (t = 2.42, p &lt; 0.05, Cohen's d = 0.52), indicating a medium effect size.</w:t>
      </w:r>
    </w:p>
    <w:p w14:paraId="060D7FF8">
      <w:pPr>
        <w:widowControl/>
        <w:shd w:val="clear" w:color="auto" w:fill="FFFFFF"/>
        <w:spacing w:line="285" w:lineRule="atLeast"/>
        <w:ind w:firstLine="420" w:firstLineChars="200"/>
        <w:rPr>
          <w:rFonts w:hint="default" w:ascii="Times New Roman" w:hAnsi="Times New Roman" w:cs="Times New Roman"/>
        </w:rPr>
      </w:pPr>
      <w:r>
        <w:rPr>
          <w:rFonts w:hint="default" w:ascii="Times New Roman" w:hAnsi="Times New Roman" w:cs="Times New Roman"/>
        </w:rPr>
        <w:t>Sub-score analysis revealed that the experimental class achieved significantly higher means in both the basic and applied section (with a small effect size, d = 0.38) and the higher-order thinking section (p &lt; 0.05, d = 0.42, approaching a medium effect). These findings confirm that the Integrated Model had a statistically significant positive impact on students' mastery of procedural knowledge and, notably, on fostering higher-order cognitive skills such as analysis, synthesis, and transfer.</w:t>
      </w:r>
    </w:p>
    <w:p w14:paraId="34A76C28">
      <w:pPr>
        <w:widowControl/>
        <w:shd w:val="clear" w:color="auto" w:fill="FFFFFF"/>
        <w:spacing w:line="285" w:lineRule="atLeast"/>
        <w:rPr>
          <w:rFonts w:hint="default" w:ascii="Times New Roman" w:hAnsi="Times New Roman" w:cs="Times New Roman"/>
          <w:b/>
          <w:bCs/>
        </w:rPr>
      </w:pPr>
      <w:r>
        <w:rPr>
          <w:rFonts w:hint="default" w:ascii="Times New Roman" w:hAnsi="Times New Roman" w:cs="Times New Roman"/>
          <w:b/>
          <w:bCs/>
        </w:rPr>
        <w:t>Table 1. Comparison of Post-test Scores between Experimental and Control Classes (M ± SD)</w:t>
      </w:r>
    </w:p>
    <w:tbl>
      <w:tblPr>
        <w:tblStyle w:val="14"/>
        <w:tblW w:w="9214" w:type="dxa"/>
        <w:jc w:val="center"/>
        <w:tblLayout w:type="autofit"/>
        <w:tblCellMar>
          <w:top w:w="0" w:type="dxa"/>
          <w:left w:w="108" w:type="dxa"/>
          <w:bottom w:w="0" w:type="dxa"/>
          <w:right w:w="108" w:type="dxa"/>
        </w:tblCellMar>
      </w:tblPr>
      <w:tblGrid>
        <w:gridCol w:w="2443"/>
        <w:gridCol w:w="2091"/>
        <w:gridCol w:w="1566"/>
        <w:gridCol w:w="835"/>
        <w:gridCol w:w="941"/>
        <w:gridCol w:w="1338"/>
      </w:tblGrid>
      <w:tr w14:paraId="491C9682">
        <w:tblPrEx>
          <w:tblCellMar>
            <w:top w:w="0" w:type="dxa"/>
            <w:left w:w="108" w:type="dxa"/>
            <w:bottom w:w="0" w:type="dxa"/>
            <w:right w:w="108" w:type="dxa"/>
          </w:tblCellMar>
        </w:tblPrEx>
        <w:trPr>
          <w:tblHeader/>
          <w:jc w:val="center"/>
        </w:trPr>
        <w:tc>
          <w:tcPr>
            <w:tcW w:w="2443" w:type="dxa"/>
            <w:tcBorders>
              <w:top w:val="single" w:color="auto" w:sz="12" w:space="0"/>
              <w:left w:val="nil"/>
              <w:bottom w:val="single" w:color="auto" w:sz="4" w:space="0"/>
              <w:right w:val="nil"/>
            </w:tcBorders>
            <w:shd w:val="clear" w:color="auto" w:fill="FFFFFF"/>
            <w:vAlign w:val="center"/>
          </w:tcPr>
          <w:p w14:paraId="15ED17F8">
            <w:pPr>
              <w:widowControl/>
              <w:snapToGrid w:val="0"/>
              <w:jc w:val="center"/>
              <w:textAlignment w:val="center"/>
              <w:rPr>
                <w:rFonts w:hint="default" w:ascii="Times New Roman" w:hAnsi="Times New Roman" w:eastAsia="Helvetica" w:cs="Times New Roman"/>
                <w:b/>
                <w:bCs/>
                <w:szCs w:val="21"/>
              </w:rPr>
            </w:pPr>
          </w:p>
        </w:tc>
        <w:tc>
          <w:tcPr>
            <w:tcW w:w="2091" w:type="dxa"/>
            <w:tcBorders>
              <w:top w:val="single" w:color="auto" w:sz="12" w:space="0"/>
              <w:left w:val="nil"/>
              <w:bottom w:val="single" w:color="auto" w:sz="4" w:space="0"/>
              <w:right w:val="nil"/>
            </w:tcBorders>
            <w:shd w:val="clear" w:color="auto" w:fill="FFFFFF"/>
            <w:vAlign w:val="center"/>
          </w:tcPr>
          <w:p w14:paraId="43BD4BFA">
            <w:pPr>
              <w:widowControl/>
              <w:snapToGrid w:val="0"/>
              <w:jc w:val="center"/>
              <w:textAlignment w:val="center"/>
              <w:rPr>
                <w:rFonts w:hint="default" w:ascii="Times New Roman" w:hAnsi="Times New Roman" w:eastAsia="Helvetica" w:cs="Times New Roman"/>
                <w:b/>
                <w:bCs/>
                <w:szCs w:val="21"/>
              </w:rPr>
            </w:pPr>
            <w:r>
              <w:rPr>
                <w:rFonts w:hint="default" w:ascii="Times New Roman" w:hAnsi="Times New Roman" w:eastAsia="Helvetica" w:cs="Times New Roman"/>
                <w:b/>
                <w:bCs/>
                <w:kern w:val="0"/>
                <w:szCs w:val="21"/>
                <w:lang w:bidi="ar"/>
              </w:rPr>
              <w:t>Experimental Class</w:t>
            </w:r>
          </w:p>
        </w:tc>
        <w:tc>
          <w:tcPr>
            <w:tcW w:w="1566" w:type="dxa"/>
            <w:tcBorders>
              <w:top w:val="single" w:color="auto" w:sz="12" w:space="0"/>
              <w:left w:val="nil"/>
              <w:bottom w:val="single" w:color="auto" w:sz="4" w:space="0"/>
              <w:right w:val="nil"/>
            </w:tcBorders>
            <w:shd w:val="clear" w:color="auto" w:fill="FFFFFF"/>
            <w:vAlign w:val="center"/>
          </w:tcPr>
          <w:p w14:paraId="50188937">
            <w:pPr>
              <w:widowControl/>
              <w:snapToGrid w:val="0"/>
              <w:jc w:val="center"/>
              <w:textAlignment w:val="center"/>
              <w:rPr>
                <w:rFonts w:hint="default" w:ascii="Times New Roman" w:hAnsi="Times New Roman" w:eastAsia="Helvetica" w:cs="Times New Roman"/>
                <w:b/>
                <w:bCs/>
                <w:szCs w:val="21"/>
              </w:rPr>
            </w:pPr>
            <w:r>
              <w:rPr>
                <w:rFonts w:hint="default" w:ascii="Times New Roman" w:hAnsi="Times New Roman" w:eastAsia="Helvetica" w:cs="Times New Roman"/>
                <w:b/>
                <w:bCs/>
                <w:kern w:val="0"/>
                <w:szCs w:val="21"/>
                <w:lang w:bidi="ar"/>
              </w:rPr>
              <w:t>Control Class</w:t>
            </w:r>
          </w:p>
        </w:tc>
        <w:tc>
          <w:tcPr>
            <w:tcW w:w="835" w:type="dxa"/>
            <w:tcBorders>
              <w:top w:val="single" w:color="auto" w:sz="12" w:space="0"/>
              <w:left w:val="nil"/>
              <w:bottom w:val="single" w:color="auto" w:sz="4" w:space="0"/>
              <w:right w:val="nil"/>
            </w:tcBorders>
            <w:shd w:val="clear" w:color="auto" w:fill="FFFFFF"/>
            <w:vAlign w:val="center"/>
          </w:tcPr>
          <w:p w14:paraId="5854E330">
            <w:pPr>
              <w:widowControl/>
              <w:snapToGrid w:val="0"/>
              <w:jc w:val="center"/>
              <w:textAlignment w:val="center"/>
              <w:rPr>
                <w:rFonts w:hint="default" w:ascii="Times New Roman" w:hAnsi="Times New Roman" w:eastAsia="Helvetica" w:cs="Times New Roman"/>
                <w:b/>
                <w:bCs/>
                <w:szCs w:val="21"/>
              </w:rPr>
            </w:pPr>
            <w:r>
              <w:rPr>
                <w:rFonts w:hint="default" w:ascii="Times New Roman" w:hAnsi="Times New Roman" w:eastAsia="Helvetica" w:cs="Times New Roman"/>
                <w:b/>
                <w:bCs/>
                <w:kern w:val="0"/>
                <w:szCs w:val="21"/>
                <w:lang w:bidi="ar"/>
              </w:rPr>
              <w:t>t-value</w:t>
            </w:r>
          </w:p>
        </w:tc>
        <w:tc>
          <w:tcPr>
            <w:tcW w:w="941" w:type="dxa"/>
            <w:tcBorders>
              <w:top w:val="single" w:color="auto" w:sz="12" w:space="0"/>
              <w:left w:val="nil"/>
              <w:bottom w:val="single" w:color="auto" w:sz="4" w:space="0"/>
              <w:right w:val="nil"/>
            </w:tcBorders>
            <w:shd w:val="clear" w:color="auto" w:fill="FFFFFF"/>
            <w:vAlign w:val="center"/>
          </w:tcPr>
          <w:p w14:paraId="4B9C8AF8">
            <w:pPr>
              <w:widowControl/>
              <w:snapToGrid w:val="0"/>
              <w:jc w:val="center"/>
              <w:textAlignment w:val="center"/>
              <w:rPr>
                <w:rFonts w:hint="default" w:ascii="Times New Roman" w:hAnsi="Times New Roman" w:eastAsia="Helvetica" w:cs="Times New Roman"/>
                <w:b/>
                <w:bCs/>
                <w:szCs w:val="21"/>
              </w:rPr>
            </w:pPr>
            <w:r>
              <w:rPr>
                <w:rFonts w:hint="default" w:ascii="Times New Roman" w:hAnsi="Times New Roman" w:eastAsia="Helvetica" w:cs="Times New Roman"/>
                <w:b/>
                <w:bCs/>
                <w:kern w:val="0"/>
                <w:szCs w:val="21"/>
                <w:lang w:bidi="ar"/>
              </w:rPr>
              <w:t>p-value</w:t>
            </w:r>
          </w:p>
        </w:tc>
        <w:tc>
          <w:tcPr>
            <w:tcW w:w="1338" w:type="dxa"/>
            <w:tcBorders>
              <w:top w:val="single" w:color="auto" w:sz="12" w:space="0"/>
              <w:left w:val="nil"/>
              <w:bottom w:val="single" w:color="auto" w:sz="4" w:space="0"/>
              <w:right w:val="nil"/>
            </w:tcBorders>
            <w:shd w:val="clear" w:color="auto" w:fill="FFFFFF"/>
            <w:vAlign w:val="center"/>
          </w:tcPr>
          <w:p w14:paraId="4F8C2076">
            <w:pPr>
              <w:widowControl/>
              <w:snapToGrid w:val="0"/>
              <w:jc w:val="center"/>
              <w:textAlignment w:val="center"/>
              <w:rPr>
                <w:rFonts w:hint="default" w:ascii="Times New Roman" w:hAnsi="Times New Roman" w:eastAsia="Helvetica" w:cs="Times New Roman"/>
                <w:b/>
                <w:bCs/>
                <w:kern w:val="0"/>
                <w:szCs w:val="21"/>
                <w:lang w:bidi="ar"/>
              </w:rPr>
            </w:pPr>
            <w:r>
              <w:rPr>
                <w:rFonts w:hint="default" w:ascii="Times New Roman" w:hAnsi="Times New Roman" w:eastAsia="Helvetica" w:cs="Times New Roman"/>
                <w:b/>
                <w:bCs/>
                <w:kern w:val="0"/>
                <w:szCs w:val="21"/>
                <w:lang w:bidi="ar"/>
              </w:rPr>
              <w:t xml:space="preserve">Effect Size </w:t>
            </w:r>
          </w:p>
          <w:p w14:paraId="4DC63CF0">
            <w:pPr>
              <w:widowControl/>
              <w:snapToGrid w:val="0"/>
              <w:jc w:val="center"/>
              <w:textAlignment w:val="center"/>
              <w:rPr>
                <w:rFonts w:hint="default" w:ascii="Times New Roman" w:hAnsi="Times New Roman" w:eastAsia="Helvetica" w:cs="Times New Roman"/>
                <w:b/>
                <w:bCs/>
                <w:szCs w:val="21"/>
              </w:rPr>
            </w:pPr>
            <w:r>
              <w:rPr>
                <w:rFonts w:hint="default" w:ascii="Times New Roman" w:hAnsi="Times New Roman" w:eastAsia="Helvetica" w:cs="Times New Roman"/>
                <w:b/>
                <w:bCs/>
                <w:kern w:val="0"/>
                <w:szCs w:val="21"/>
                <w:lang w:bidi="ar"/>
              </w:rPr>
              <w:t>(d)</w:t>
            </w:r>
          </w:p>
        </w:tc>
      </w:tr>
      <w:tr w14:paraId="4DEA73D2">
        <w:tblPrEx>
          <w:tblCellMar>
            <w:top w:w="0" w:type="dxa"/>
            <w:left w:w="108" w:type="dxa"/>
            <w:bottom w:w="0" w:type="dxa"/>
            <w:right w:w="108" w:type="dxa"/>
          </w:tblCellMar>
        </w:tblPrEx>
        <w:trPr>
          <w:jc w:val="center"/>
        </w:trPr>
        <w:tc>
          <w:tcPr>
            <w:tcW w:w="2443" w:type="dxa"/>
            <w:tcBorders>
              <w:top w:val="single" w:color="auto" w:sz="4" w:space="0"/>
              <w:left w:val="nil"/>
              <w:bottom w:val="nil"/>
              <w:right w:val="nil"/>
            </w:tcBorders>
            <w:shd w:val="clear" w:color="auto" w:fill="FFFFFF"/>
            <w:vAlign w:val="center"/>
          </w:tcPr>
          <w:p w14:paraId="68C6D277">
            <w:pPr>
              <w:widowControl/>
              <w:snapToGrid w:val="0"/>
              <w:jc w:val="left"/>
              <w:textAlignment w:val="center"/>
              <w:rPr>
                <w:rFonts w:hint="default" w:ascii="Times New Roman" w:hAnsi="Times New Roman" w:eastAsia="Helvetica" w:cs="Times New Roman"/>
                <w:szCs w:val="21"/>
              </w:rPr>
            </w:pPr>
            <w:r>
              <w:rPr>
                <w:rFonts w:hint="default" w:ascii="Times New Roman" w:hAnsi="Times New Roman" w:eastAsia="Helvetica" w:cs="Times New Roman"/>
                <w:szCs w:val="21"/>
              </w:rPr>
              <w:t>Total Score (100)</w:t>
            </w:r>
          </w:p>
        </w:tc>
        <w:tc>
          <w:tcPr>
            <w:tcW w:w="2091" w:type="dxa"/>
            <w:tcBorders>
              <w:top w:val="single" w:color="auto" w:sz="4" w:space="0"/>
              <w:left w:val="nil"/>
              <w:bottom w:val="nil"/>
              <w:right w:val="nil"/>
            </w:tcBorders>
            <w:shd w:val="clear" w:color="auto" w:fill="FFFFFF"/>
            <w:vAlign w:val="center"/>
          </w:tcPr>
          <w:p w14:paraId="2E8505E2">
            <w:pPr>
              <w:widowControl/>
              <w:snapToGrid w:val="0"/>
              <w:jc w:val="center"/>
              <w:textAlignment w:val="center"/>
              <w:rPr>
                <w:rFonts w:hint="default" w:ascii="Times New Roman" w:hAnsi="Times New Roman" w:eastAsia="Helvetica" w:cs="Times New Roman"/>
                <w:szCs w:val="21"/>
              </w:rPr>
            </w:pPr>
            <w:r>
              <w:rPr>
                <w:rFonts w:hint="default" w:ascii="Times New Roman" w:hAnsi="Times New Roman" w:eastAsia="Helvetica" w:cs="Times New Roman"/>
                <w:kern w:val="0"/>
                <w:szCs w:val="21"/>
                <w:lang w:bidi="ar"/>
              </w:rPr>
              <w:t>78.15 ± 9.24</w:t>
            </w:r>
          </w:p>
        </w:tc>
        <w:tc>
          <w:tcPr>
            <w:tcW w:w="1566" w:type="dxa"/>
            <w:tcBorders>
              <w:top w:val="single" w:color="auto" w:sz="4" w:space="0"/>
              <w:left w:val="nil"/>
              <w:bottom w:val="nil"/>
              <w:right w:val="nil"/>
            </w:tcBorders>
            <w:shd w:val="clear" w:color="auto" w:fill="FFFFFF"/>
            <w:vAlign w:val="center"/>
          </w:tcPr>
          <w:p w14:paraId="403F8319">
            <w:pPr>
              <w:widowControl/>
              <w:snapToGrid w:val="0"/>
              <w:jc w:val="center"/>
              <w:textAlignment w:val="center"/>
              <w:rPr>
                <w:rFonts w:hint="default" w:ascii="Times New Roman" w:hAnsi="Times New Roman" w:eastAsia="Helvetica" w:cs="Times New Roman"/>
                <w:szCs w:val="21"/>
              </w:rPr>
            </w:pPr>
            <w:r>
              <w:rPr>
                <w:rFonts w:hint="default" w:ascii="Times New Roman" w:hAnsi="Times New Roman" w:eastAsia="Helvetica" w:cs="Times New Roman"/>
                <w:kern w:val="0"/>
                <w:szCs w:val="21"/>
                <w:lang w:bidi="ar"/>
              </w:rPr>
              <w:t>74.03 ± 9.87</w:t>
            </w:r>
          </w:p>
        </w:tc>
        <w:tc>
          <w:tcPr>
            <w:tcW w:w="835" w:type="dxa"/>
            <w:tcBorders>
              <w:top w:val="single" w:color="auto" w:sz="4" w:space="0"/>
              <w:left w:val="nil"/>
              <w:bottom w:val="nil"/>
              <w:right w:val="nil"/>
            </w:tcBorders>
            <w:shd w:val="clear" w:color="auto" w:fill="FFFFFF"/>
            <w:vAlign w:val="center"/>
          </w:tcPr>
          <w:p w14:paraId="5F95214F">
            <w:pPr>
              <w:widowControl/>
              <w:snapToGrid w:val="0"/>
              <w:jc w:val="center"/>
              <w:textAlignment w:val="center"/>
              <w:rPr>
                <w:rFonts w:hint="default" w:ascii="Times New Roman" w:hAnsi="Times New Roman" w:eastAsia="Helvetica" w:cs="Times New Roman"/>
                <w:szCs w:val="21"/>
              </w:rPr>
            </w:pPr>
            <w:r>
              <w:rPr>
                <w:rFonts w:hint="default" w:ascii="Times New Roman" w:hAnsi="Times New Roman" w:eastAsia="Helvetica" w:cs="Times New Roman"/>
                <w:kern w:val="0"/>
                <w:szCs w:val="21"/>
                <w:lang w:bidi="ar"/>
              </w:rPr>
              <w:t>2.42</w:t>
            </w:r>
          </w:p>
        </w:tc>
        <w:tc>
          <w:tcPr>
            <w:tcW w:w="941" w:type="dxa"/>
            <w:tcBorders>
              <w:top w:val="single" w:color="auto" w:sz="4" w:space="0"/>
              <w:left w:val="nil"/>
              <w:bottom w:val="nil"/>
              <w:right w:val="nil"/>
            </w:tcBorders>
            <w:shd w:val="clear" w:color="auto" w:fill="FFFFFF"/>
            <w:vAlign w:val="center"/>
          </w:tcPr>
          <w:p w14:paraId="772BBB9F">
            <w:pPr>
              <w:widowControl/>
              <w:snapToGrid w:val="0"/>
              <w:jc w:val="center"/>
              <w:textAlignment w:val="center"/>
              <w:rPr>
                <w:rFonts w:hint="default" w:ascii="Times New Roman" w:hAnsi="Times New Roman" w:eastAsia="Helvetica" w:cs="Times New Roman"/>
                <w:szCs w:val="21"/>
              </w:rPr>
            </w:pPr>
            <w:r>
              <w:rPr>
                <w:rFonts w:hint="default" w:ascii="Times New Roman" w:hAnsi="Times New Roman" w:eastAsia="Helvetica" w:cs="Times New Roman"/>
                <w:kern w:val="0"/>
                <w:szCs w:val="21"/>
                <w:lang w:bidi="ar"/>
              </w:rPr>
              <w:t>&lt;0.05</w:t>
            </w:r>
          </w:p>
        </w:tc>
        <w:tc>
          <w:tcPr>
            <w:tcW w:w="1338" w:type="dxa"/>
            <w:tcBorders>
              <w:top w:val="single" w:color="auto" w:sz="4" w:space="0"/>
              <w:left w:val="nil"/>
              <w:bottom w:val="nil"/>
              <w:right w:val="nil"/>
            </w:tcBorders>
            <w:shd w:val="clear" w:color="auto" w:fill="FFFFFF"/>
            <w:vAlign w:val="center"/>
          </w:tcPr>
          <w:p w14:paraId="63C9C07D">
            <w:pPr>
              <w:widowControl/>
              <w:snapToGrid w:val="0"/>
              <w:jc w:val="center"/>
              <w:textAlignment w:val="center"/>
              <w:rPr>
                <w:rFonts w:hint="default" w:ascii="Times New Roman" w:hAnsi="Times New Roman" w:eastAsia="Helvetica" w:cs="Times New Roman"/>
                <w:szCs w:val="21"/>
              </w:rPr>
            </w:pPr>
            <w:r>
              <w:rPr>
                <w:rFonts w:hint="default" w:ascii="Times New Roman" w:hAnsi="Times New Roman" w:eastAsia="Helvetica" w:cs="Times New Roman"/>
                <w:kern w:val="0"/>
                <w:szCs w:val="21"/>
                <w:lang w:bidi="ar"/>
              </w:rPr>
              <w:t>0.52</w:t>
            </w:r>
          </w:p>
        </w:tc>
      </w:tr>
      <w:tr w14:paraId="7DB9EE2B">
        <w:tblPrEx>
          <w:tblCellMar>
            <w:top w:w="0" w:type="dxa"/>
            <w:left w:w="108" w:type="dxa"/>
            <w:bottom w:w="0" w:type="dxa"/>
            <w:right w:w="108" w:type="dxa"/>
          </w:tblCellMar>
        </w:tblPrEx>
        <w:trPr>
          <w:jc w:val="center"/>
        </w:trPr>
        <w:tc>
          <w:tcPr>
            <w:tcW w:w="2443" w:type="dxa"/>
            <w:tcBorders>
              <w:top w:val="nil"/>
              <w:left w:val="nil"/>
              <w:bottom w:val="nil"/>
              <w:right w:val="nil"/>
            </w:tcBorders>
            <w:shd w:val="clear" w:color="auto" w:fill="FFFFFF"/>
            <w:vAlign w:val="center"/>
          </w:tcPr>
          <w:p w14:paraId="366A1528">
            <w:pPr>
              <w:widowControl/>
              <w:snapToGrid w:val="0"/>
              <w:jc w:val="left"/>
              <w:textAlignment w:val="center"/>
              <w:rPr>
                <w:rFonts w:hint="default" w:ascii="Times New Roman" w:hAnsi="Times New Roman" w:eastAsia="Helvetica" w:cs="Times New Roman"/>
                <w:szCs w:val="21"/>
              </w:rPr>
            </w:pPr>
            <w:r>
              <w:rPr>
                <w:rFonts w:hint="default" w:ascii="Times New Roman" w:hAnsi="Times New Roman" w:eastAsia="Helvetica" w:cs="Times New Roman"/>
                <w:kern w:val="0"/>
                <w:szCs w:val="21"/>
                <w:lang w:bidi="ar"/>
              </w:rPr>
              <w:t>Basic &amp; Applied Part (60)</w:t>
            </w:r>
          </w:p>
        </w:tc>
        <w:tc>
          <w:tcPr>
            <w:tcW w:w="2091" w:type="dxa"/>
            <w:tcBorders>
              <w:top w:val="nil"/>
              <w:left w:val="nil"/>
              <w:bottom w:val="nil"/>
              <w:right w:val="nil"/>
            </w:tcBorders>
            <w:shd w:val="clear" w:color="auto" w:fill="FFFFFF"/>
            <w:vAlign w:val="center"/>
          </w:tcPr>
          <w:p w14:paraId="1EBA7F84">
            <w:pPr>
              <w:widowControl/>
              <w:snapToGrid w:val="0"/>
              <w:jc w:val="center"/>
              <w:textAlignment w:val="center"/>
              <w:rPr>
                <w:rFonts w:hint="default" w:ascii="Times New Roman" w:hAnsi="Times New Roman" w:eastAsia="Helvetica" w:cs="Times New Roman"/>
                <w:szCs w:val="21"/>
              </w:rPr>
            </w:pPr>
            <w:r>
              <w:rPr>
                <w:rFonts w:hint="default" w:ascii="Times New Roman" w:hAnsi="Times New Roman" w:eastAsia="Helvetica" w:cs="Times New Roman"/>
                <w:kern w:val="0"/>
                <w:szCs w:val="21"/>
                <w:lang w:bidi="ar"/>
              </w:rPr>
              <w:t>51.23 ± 5.89</w:t>
            </w:r>
          </w:p>
        </w:tc>
        <w:tc>
          <w:tcPr>
            <w:tcW w:w="1566" w:type="dxa"/>
            <w:tcBorders>
              <w:top w:val="nil"/>
              <w:left w:val="nil"/>
              <w:bottom w:val="nil"/>
              <w:right w:val="nil"/>
            </w:tcBorders>
            <w:shd w:val="clear" w:color="auto" w:fill="FFFFFF"/>
            <w:vAlign w:val="center"/>
          </w:tcPr>
          <w:p w14:paraId="73BAB893">
            <w:pPr>
              <w:widowControl/>
              <w:snapToGrid w:val="0"/>
              <w:jc w:val="center"/>
              <w:textAlignment w:val="center"/>
              <w:rPr>
                <w:rFonts w:hint="default" w:ascii="Times New Roman" w:hAnsi="Times New Roman" w:eastAsia="Helvetica" w:cs="Times New Roman"/>
                <w:szCs w:val="21"/>
              </w:rPr>
            </w:pPr>
            <w:r>
              <w:rPr>
                <w:rFonts w:hint="default" w:ascii="Times New Roman" w:hAnsi="Times New Roman" w:eastAsia="Helvetica" w:cs="Times New Roman"/>
                <w:kern w:val="0"/>
                <w:szCs w:val="21"/>
                <w:lang w:bidi="ar"/>
              </w:rPr>
              <w:t>48.77 ± 7.21</w:t>
            </w:r>
          </w:p>
        </w:tc>
        <w:tc>
          <w:tcPr>
            <w:tcW w:w="835" w:type="dxa"/>
            <w:tcBorders>
              <w:top w:val="nil"/>
              <w:left w:val="nil"/>
              <w:bottom w:val="nil"/>
              <w:right w:val="nil"/>
            </w:tcBorders>
            <w:shd w:val="clear" w:color="auto" w:fill="FFFFFF"/>
            <w:vAlign w:val="center"/>
          </w:tcPr>
          <w:p w14:paraId="5D47E67F">
            <w:pPr>
              <w:widowControl/>
              <w:snapToGrid w:val="0"/>
              <w:jc w:val="center"/>
              <w:textAlignment w:val="center"/>
              <w:rPr>
                <w:rFonts w:hint="default" w:ascii="Times New Roman" w:hAnsi="Times New Roman" w:eastAsia="Helvetica" w:cs="Times New Roman"/>
                <w:szCs w:val="21"/>
              </w:rPr>
            </w:pPr>
            <w:r>
              <w:rPr>
                <w:rFonts w:hint="default" w:ascii="Times New Roman" w:hAnsi="Times New Roman" w:eastAsia="Helvetica" w:cs="Times New Roman"/>
                <w:kern w:val="0"/>
                <w:szCs w:val="21"/>
                <w:lang w:bidi="ar"/>
              </w:rPr>
              <w:t>2.07</w:t>
            </w:r>
          </w:p>
        </w:tc>
        <w:tc>
          <w:tcPr>
            <w:tcW w:w="941" w:type="dxa"/>
            <w:tcBorders>
              <w:top w:val="nil"/>
              <w:left w:val="nil"/>
              <w:bottom w:val="nil"/>
              <w:right w:val="nil"/>
            </w:tcBorders>
            <w:shd w:val="clear" w:color="auto" w:fill="FFFFFF"/>
            <w:vAlign w:val="center"/>
          </w:tcPr>
          <w:p w14:paraId="2A628329">
            <w:pPr>
              <w:widowControl/>
              <w:snapToGrid w:val="0"/>
              <w:jc w:val="center"/>
              <w:textAlignment w:val="center"/>
              <w:rPr>
                <w:rFonts w:hint="default" w:ascii="Times New Roman" w:hAnsi="Times New Roman" w:eastAsia="Helvetica" w:cs="Times New Roman"/>
                <w:szCs w:val="21"/>
              </w:rPr>
            </w:pPr>
            <w:r>
              <w:rPr>
                <w:rFonts w:hint="default" w:ascii="Times New Roman" w:hAnsi="Times New Roman" w:eastAsia="Helvetica" w:cs="Times New Roman"/>
                <w:kern w:val="0"/>
                <w:szCs w:val="21"/>
                <w:lang w:bidi="ar"/>
              </w:rPr>
              <w:t>&lt;0.05</w:t>
            </w:r>
          </w:p>
        </w:tc>
        <w:tc>
          <w:tcPr>
            <w:tcW w:w="1338" w:type="dxa"/>
            <w:tcBorders>
              <w:top w:val="nil"/>
              <w:left w:val="nil"/>
              <w:bottom w:val="nil"/>
              <w:right w:val="nil"/>
            </w:tcBorders>
            <w:shd w:val="clear" w:color="auto" w:fill="FFFFFF"/>
            <w:vAlign w:val="center"/>
          </w:tcPr>
          <w:p w14:paraId="204E7A63">
            <w:pPr>
              <w:widowControl/>
              <w:snapToGrid w:val="0"/>
              <w:jc w:val="center"/>
              <w:textAlignment w:val="center"/>
              <w:rPr>
                <w:rFonts w:hint="default" w:ascii="Times New Roman" w:hAnsi="Times New Roman" w:eastAsia="Helvetica" w:cs="Times New Roman"/>
                <w:szCs w:val="21"/>
              </w:rPr>
            </w:pPr>
            <w:r>
              <w:rPr>
                <w:rFonts w:hint="default" w:ascii="Times New Roman" w:hAnsi="Times New Roman" w:eastAsia="Helvetica" w:cs="Times New Roman"/>
                <w:kern w:val="0"/>
                <w:szCs w:val="21"/>
                <w:lang w:bidi="ar"/>
              </w:rPr>
              <w:t>0.38</w:t>
            </w:r>
          </w:p>
        </w:tc>
      </w:tr>
      <w:tr w14:paraId="23B5EB74">
        <w:tblPrEx>
          <w:tblCellMar>
            <w:top w:w="0" w:type="dxa"/>
            <w:left w:w="108" w:type="dxa"/>
            <w:bottom w:w="0" w:type="dxa"/>
            <w:right w:w="108" w:type="dxa"/>
          </w:tblCellMar>
        </w:tblPrEx>
        <w:trPr>
          <w:jc w:val="center"/>
        </w:trPr>
        <w:tc>
          <w:tcPr>
            <w:tcW w:w="2443" w:type="dxa"/>
            <w:tcBorders>
              <w:top w:val="nil"/>
              <w:left w:val="nil"/>
              <w:bottom w:val="single" w:color="auto" w:sz="12" w:space="0"/>
              <w:right w:val="nil"/>
            </w:tcBorders>
            <w:shd w:val="clear" w:color="auto" w:fill="FFFFFF"/>
            <w:vAlign w:val="center"/>
          </w:tcPr>
          <w:p w14:paraId="60F2EF64">
            <w:pPr>
              <w:widowControl/>
              <w:snapToGrid w:val="0"/>
              <w:jc w:val="left"/>
              <w:textAlignment w:val="center"/>
              <w:rPr>
                <w:rFonts w:hint="default" w:ascii="Times New Roman" w:hAnsi="Times New Roman" w:eastAsia="Helvetica" w:cs="Times New Roman"/>
                <w:szCs w:val="21"/>
              </w:rPr>
            </w:pPr>
            <w:r>
              <w:rPr>
                <w:rFonts w:hint="default" w:ascii="Times New Roman" w:hAnsi="Times New Roman" w:eastAsia="Helvetica" w:cs="Times New Roman"/>
                <w:kern w:val="0"/>
                <w:szCs w:val="21"/>
                <w:lang w:bidi="ar"/>
              </w:rPr>
              <w:t>Higher-order Thinking Part (40)</w:t>
            </w:r>
          </w:p>
        </w:tc>
        <w:tc>
          <w:tcPr>
            <w:tcW w:w="2091" w:type="dxa"/>
            <w:tcBorders>
              <w:top w:val="nil"/>
              <w:left w:val="nil"/>
              <w:bottom w:val="single" w:color="auto" w:sz="12" w:space="0"/>
              <w:right w:val="nil"/>
            </w:tcBorders>
            <w:shd w:val="clear" w:color="auto" w:fill="FFFFFF"/>
            <w:vAlign w:val="center"/>
          </w:tcPr>
          <w:p w14:paraId="62D6AE43">
            <w:pPr>
              <w:widowControl/>
              <w:snapToGrid w:val="0"/>
              <w:jc w:val="center"/>
              <w:textAlignment w:val="center"/>
              <w:rPr>
                <w:rFonts w:hint="default" w:ascii="Times New Roman" w:hAnsi="Times New Roman" w:eastAsia="Helvetica" w:cs="Times New Roman"/>
                <w:szCs w:val="21"/>
              </w:rPr>
            </w:pPr>
            <w:r>
              <w:rPr>
                <w:rFonts w:hint="default" w:ascii="Times New Roman" w:hAnsi="Times New Roman" w:eastAsia="Helvetica" w:cs="Times New Roman"/>
                <w:kern w:val="0"/>
                <w:szCs w:val="21"/>
                <w:lang w:bidi="ar"/>
              </w:rPr>
              <w:t>27.92 ± 6.88</w:t>
            </w:r>
          </w:p>
        </w:tc>
        <w:tc>
          <w:tcPr>
            <w:tcW w:w="1566" w:type="dxa"/>
            <w:tcBorders>
              <w:top w:val="nil"/>
              <w:left w:val="nil"/>
              <w:bottom w:val="single" w:color="auto" w:sz="12" w:space="0"/>
              <w:right w:val="nil"/>
            </w:tcBorders>
            <w:shd w:val="clear" w:color="auto" w:fill="FFFFFF"/>
            <w:vAlign w:val="center"/>
          </w:tcPr>
          <w:p w14:paraId="60E81F7F">
            <w:pPr>
              <w:widowControl/>
              <w:snapToGrid w:val="0"/>
              <w:jc w:val="center"/>
              <w:textAlignment w:val="center"/>
              <w:rPr>
                <w:rFonts w:hint="default" w:ascii="Times New Roman" w:hAnsi="Times New Roman" w:eastAsia="Helvetica" w:cs="Times New Roman"/>
                <w:szCs w:val="21"/>
              </w:rPr>
            </w:pPr>
            <w:r>
              <w:rPr>
                <w:rFonts w:hint="default" w:ascii="Times New Roman" w:hAnsi="Times New Roman" w:eastAsia="Helvetica" w:cs="Times New Roman"/>
                <w:kern w:val="0"/>
                <w:szCs w:val="21"/>
                <w:lang w:bidi="ar"/>
              </w:rPr>
              <w:t>25.26 ± 7.45</w:t>
            </w:r>
          </w:p>
        </w:tc>
        <w:tc>
          <w:tcPr>
            <w:tcW w:w="835" w:type="dxa"/>
            <w:tcBorders>
              <w:top w:val="nil"/>
              <w:left w:val="nil"/>
              <w:bottom w:val="single" w:color="auto" w:sz="12" w:space="0"/>
              <w:right w:val="nil"/>
            </w:tcBorders>
            <w:shd w:val="clear" w:color="auto" w:fill="FFFFFF"/>
            <w:vAlign w:val="center"/>
          </w:tcPr>
          <w:p w14:paraId="440D3F33">
            <w:pPr>
              <w:widowControl/>
              <w:snapToGrid w:val="0"/>
              <w:jc w:val="center"/>
              <w:textAlignment w:val="center"/>
              <w:rPr>
                <w:rFonts w:hint="default" w:ascii="Times New Roman" w:hAnsi="Times New Roman" w:eastAsia="Helvetica" w:cs="Times New Roman"/>
                <w:szCs w:val="21"/>
              </w:rPr>
            </w:pPr>
            <w:r>
              <w:rPr>
                <w:rFonts w:hint="default" w:ascii="Times New Roman" w:hAnsi="Times New Roman" w:eastAsia="Helvetica" w:cs="Times New Roman"/>
                <w:kern w:val="0"/>
                <w:szCs w:val="21"/>
                <w:lang w:bidi="ar"/>
              </w:rPr>
              <w:t>2.18</w:t>
            </w:r>
          </w:p>
        </w:tc>
        <w:tc>
          <w:tcPr>
            <w:tcW w:w="941" w:type="dxa"/>
            <w:tcBorders>
              <w:top w:val="nil"/>
              <w:left w:val="nil"/>
              <w:bottom w:val="single" w:color="auto" w:sz="12" w:space="0"/>
              <w:right w:val="nil"/>
            </w:tcBorders>
            <w:shd w:val="clear" w:color="auto" w:fill="FFFFFF"/>
            <w:vAlign w:val="center"/>
          </w:tcPr>
          <w:p w14:paraId="4B3E6F3A">
            <w:pPr>
              <w:widowControl/>
              <w:snapToGrid w:val="0"/>
              <w:jc w:val="center"/>
              <w:textAlignment w:val="center"/>
              <w:rPr>
                <w:rFonts w:hint="default" w:ascii="Times New Roman" w:hAnsi="Times New Roman" w:eastAsia="Helvetica" w:cs="Times New Roman"/>
                <w:szCs w:val="21"/>
              </w:rPr>
            </w:pPr>
            <w:r>
              <w:rPr>
                <w:rFonts w:hint="default" w:ascii="Times New Roman" w:hAnsi="Times New Roman" w:eastAsia="Helvetica" w:cs="Times New Roman"/>
                <w:kern w:val="0"/>
                <w:szCs w:val="21"/>
                <w:lang w:bidi="ar"/>
              </w:rPr>
              <w:t>&lt;0.05</w:t>
            </w:r>
          </w:p>
        </w:tc>
        <w:tc>
          <w:tcPr>
            <w:tcW w:w="1338" w:type="dxa"/>
            <w:tcBorders>
              <w:top w:val="nil"/>
              <w:left w:val="nil"/>
              <w:bottom w:val="single" w:color="auto" w:sz="12" w:space="0"/>
              <w:right w:val="nil"/>
            </w:tcBorders>
            <w:shd w:val="clear" w:color="auto" w:fill="FFFFFF"/>
            <w:vAlign w:val="center"/>
          </w:tcPr>
          <w:p w14:paraId="353DECE5">
            <w:pPr>
              <w:widowControl/>
              <w:snapToGrid w:val="0"/>
              <w:jc w:val="center"/>
              <w:textAlignment w:val="center"/>
              <w:rPr>
                <w:rFonts w:hint="default" w:ascii="Times New Roman" w:hAnsi="Times New Roman" w:eastAsia="Helvetica" w:cs="Times New Roman"/>
                <w:szCs w:val="21"/>
              </w:rPr>
            </w:pPr>
            <w:r>
              <w:rPr>
                <w:rFonts w:hint="default" w:ascii="Times New Roman" w:hAnsi="Times New Roman" w:eastAsia="Helvetica" w:cs="Times New Roman"/>
                <w:kern w:val="0"/>
                <w:szCs w:val="21"/>
                <w:lang w:bidi="ar"/>
              </w:rPr>
              <w:t>0.42</w:t>
            </w:r>
          </w:p>
        </w:tc>
      </w:tr>
    </w:tbl>
    <w:p w14:paraId="33677AB8">
      <w:pPr>
        <w:pStyle w:val="4"/>
        <w:rPr>
          <w:rFonts w:hint="default" w:ascii="Times New Roman" w:hAnsi="Times New Roman" w:cs="Times New Roman"/>
          <w:sz w:val="21"/>
          <w:szCs w:val="18"/>
        </w:rPr>
      </w:pPr>
      <w:r>
        <w:rPr>
          <w:rFonts w:hint="default" w:ascii="Times New Roman" w:hAnsi="Times New Roman" w:cs="Times New Roman"/>
          <w:sz w:val="21"/>
          <w:szCs w:val="18"/>
        </w:rPr>
        <w:t>4.2 Multidimensional Feedback on Learning Processes and Affective Attitudes</w:t>
      </w:r>
    </w:p>
    <w:p w14:paraId="23DBC700">
      <w:pPr>
        <w:widowControl/>
        <w:shd w:val="clear" w:color="auto" w:fill="FFFFFF"/>
        <w:spacing w:line="285" w:lineRule="atLeast"/>
        <w:ind w:firstLine="420" w:firstLineChars="200"/>
        <w:rPr>
          <w:rFonts w:hint="default" w:ascii="Times New Roman" w:hAnsi="Times New Roman" w:cs="Times New Roman"/>
        </w:rPr>
      </w:pPr>
      <w:r>
        <w:rPr>
          <w:rFonts w:hint="default" w:ascii="Times New Roman" w:hAnsi="Times New Roman" w:cs="Times New Roman"/>
        </w:rPr>
        <w:t>In addition to academic achievement, the study examined students' learning processes and subjective experiences through post-test questionnaires and platform-based learning behavior data. The questionnaire employed a five-point Likert scale (1 = strongly disagree, 5 = strongly agree), with the experimental class scoring significantly higher than the control class across all affective-attitudinal dimensions (all p &lt; 0.05).</w:t>
      </w:r>
      <w:r>
        <w:rPr>
          <w:rFonts w:hint="default" w:ascii="Times New Roman" w:hAnsi="Times New Roman" w:cs="Times New Roman"/>
          <w:lang w:val="en-US" w:eastAsia="zh-CN"/>
        </w:rPr>
        <w:t xml:space="preserve"> Questionnaire reliability was confirmed with Cronbach's alpha = 0.89, based on items adapted from established scales (e.g., from Duan et al., 2026).</w:t>
      </w:r>
      <w:r>
        <w:rPr>
          <w:rFonts w:hint="default" w:ascii="Times New Roman" w:hAnsi="Times New Roman" w:cs="Times New Roman"/>
        </w:rPr>
        <w:t xml:space="preserve"> The most notable differences were in "Perception of Structured Knowledge Understanding" (Experimental: 4.41 vs. Control: 3.52) and "Overall Satisfaction with the Teaching Model" (Experimental: 4.48 vs. Control: 3.78). This suggests that students not only endorsed the model but also experienced tangible improvements in their cognitive structures (see Figure 4). </w:t>
      </w:r>
    </w:p>
    <w:p w14:paraId="416E22E4">
      <w:pPr>
        <w:widowControl/>
        <w:shd w:val="clear" w:color="auto" w:fill="FFFFFF"/>
        <w:spacing w:line="285" w:lineRule="atLeast"/>
        <w:rPr>
          <w:rFonts w:hint="default" w:ascii="Times New Roman" w:hAnsi="Times New Roman" w:cs="Times New Roman"/>
        </w:rPr>
      </w:pPr>
      <w:r>
        <w:rPr>
          <w:rFonts w:hint="default" w:ascii="Times New Roman" w:hAnsi="Times New Roman" w:cs="Times New Roman"/>
        </w:rPr>
        <w:drawing>
          <wp:inline distT="0" distB="0" distL="114300" distR="114300">
            <wp:extent cx="5270500" cy="3240405"/>
            <wp:effectExtent l="0" t="0" r="6350" b="1714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3"/>
                    <a:stretch>
                      <a:fillRect/>
                    </a:stretch>
                  </pic:blipFill>
                  <pic:spPr>
                    <a:xfrm>
                      <a:off x="0" y="0"/>
                      <a:ext cx="5270500" cy="3240405"/>
                    </a:xfrm>
                    <a:prstGeom prst="rect">
                      <a:avLst/>
                    </a:prstGeom>
                    <a:noFill/>
                    <a:ln>
                      <a:noFill/>
                    </a:ln>
                  </pic:spPr>
                </pic:pic>
              </a:graphicData>
            </a:graphic>
          </wp:inline>
        </w:drawing>
      </w:r>
    </w:p>
    <w:p w14:paraId="393D6124">
      <w:pPr>
        <w:widowControl/>
        <w:shd w:val="clear" w:color="auto" w:fill="FFFFFF"/>
        <w:spacing w:line="285" w:lineRule="atLeast"/>
        <w:jc w:val="center"/>
        <w:rPr>
          <w:rFonts w:hint="default" w:ascii="Times New Roman" w:hAnsi="Times New Roman" w:cs="Times New Roman"/>
          <w:b/>
          <w:bCs/>
        </w:rPr>
      </w:pPr>
      <w:r>
        <w:rPr>
          <w:rFonts w:hint="default" w:ascii="Times New Roman" w:hAnsi="Times New Roman" w:cs="Times New Roman"/>
          <w:b/>
          <w:bCs/>
        </w:rPr>
        <w:t>Figure 4 Comparison of Questionnaire Results between Experimental and Control Classes</w:t>
      </w:r>
    </w:p>
    <w:p w14:paraId="02C47387">
      <w:pPr>
        <w:widowControl/>
        <w:shd w:val="clear" w:color="auto" w:fill="FFFFFF"/>
        <w:spacing w:line="285" w:lineRule="atLeast"/>
        <w:rPr>
          <w:rFonts w:hint="default" w:ascii="Times New Roman" w:hAnsi="Times New Roman" w:cs="Times New Roman"/>
        </w:rPr>
      </w:pPr>
      <w:r>
        <w:rPr>
          <w:rFonts w:hint="default" w:ascii="Times New Roman" w:hAnsi="Times New Roman" w:cs="Times New Roman"/>
        </w:rPr>
        <w:t xml:space="preserve">Platform backend data objectively supported these perceptions. Experimental class students accessed the knowledge graph an average of 18.5 times per unit, with over 70% proactively using it for assignments and reviews. Node click heatmaps indicated frequent engagement not only with core concepts but also with relational links such as "distinctions," "connections," and "application conditions," reflecting a shift toward relational and systematic learning rather than isolated memorization. </w:t>
      </w:r>
    </w:p>
    <w:p w14:paraId="4590C687">
      <w:pPr>
        <w:widowControl/>
        <w:shd w:val="clear" w:color="auto" w:fill="FFFFFF"/>
        <w:spacing w:line="285" w:lineRule="atLeast"/>
        <w:rPr>
          <w:rFonts w:hint="default" w:ascii="Times New Roman" w:hAnsi="Times New Roman" w:cs="Times New Roman"/>
        </w:rPr>
      </w:pPr>
    </w:p>
    <w:p w14:paraId="5E1D03A2">
      <w:pPr>
        <w:pStyle w:val="4"/>
        <w:rPr>
          <w:rFonts w:hint="default" w:ascii="Times New Roman" w:hAnsi="Times New Roman" w:cs="Times New Roman"/>
          <w:sz w:val="21"/>
          <w:szCs w:val="18"/>
        </w:rPr>
      </w:pPr>
      <w:r>
        <w:rPr>
          <w:rFonts w:hint="default" w:ascii="Times New Roman" w:hAnsi="Times New Roman" w:cs="Times New Roman"/>
          <w:sz w:val="21"/>
          <w:szCs w:val="18"/>
        </w:rPr>
        <w:t>4.3 Qualitative Evidence Revealing the Deepening of Thinking Processes</w:t>
      </w:r>
    </w:p>
    <w:p w14:paraId="1A213F7C">
      <w:pPr>
        <w:widowControl/>
        <w:shd w:val="clear" w:color="auto" w:fill="FFFFFF"/>
        <w:spacing w:line="285" w:lineRule="atLeast"/>
        <w:ind w:firstLine="420" w:firstLineChars="200"/>
        <w:rPr>
          <w:rFonts w:hint="default" w:ascii="Times New Roman" w:hAnsi="Times New Roman" w:cs="Times New Roman"/>
        </w:rPr>
      </w:pPr>
      <w:r>
        <w:rPr>
          <w:rFonts w:hint="default" w:ascii="Times New Roman" w:hAnsi="Times New Roman" w:cs="Times New Roman"/>
        </w:rPr>
        <w:t xml:space="preserve">To explore the mechanisms underlying the quantitative results, semi-structured interviews were conducted with ten students of varying academic levels from the experimental class. Additionally, classroom observations and student-generated personalized knowledge graphs were analyzed. </w:t>
      </w:r>
      <w:r>
        <w:rPr>
          <w:rFonts w:hint="default" w:ascii="Times New Roman" w:hAnsi="Times New Roman" w:cs="Times New Roman"/>
        </w:rPr>
        <w:t>Thematic analysis of interview transcripts involved independent coding by two researchers, with themes emerging from the data.</w:t>
      </w:r>
      <w:r>
        <w:rPr>
          <w:rFonts w:hint="default" w:ascii="Times New Roman" w:hAnsi="Times New Roman" w:cs="Times New Roman"/>
          <w:lang w:val="en-US" w:eastAsia="zh-CN"/>
        </w:rPr>
        <w:t xml:space="preserve"> </w:t>
      </w:r>
      <w:r>
        <w:rPr>
          <w:rFonts w:hint="default" w:ascii="Times New Roman" w:hAnsi="Times New Roman" w:cs="Times New Roman"/>
        </w:rPr>
        <w:t>Thematic analysis of interview transcripts identified three core themes:</w:t>
      </w:r>
    </w:p>
    <w:p w14:paraId="088D4587">
      <w:pPr>
        <w:widowControl/>
        <w:shd w:val="clear" w:color="auto" w:fill="FFFFFF"/>
        <w:spacing w:line="285" w:lineRule="atLeast"/>
        <w:ind w:firstLine="420" w:firstLineChars="200"/>
        <w:rPr>
          <w:rFonts w:hint="default" w:ascii="Times New Roman" w:hAnsi="Times New Roman" w:cs="Times New Roman"/>
        </w:rPr>
      </w:pPr>
      <w:r>
        <w:rPr>
          <w:rFonts w:hint="default" w:ascii="Times New Roman" w:hAnsi="Times New Roman" w:cs="Times New Roman"/>
        </w:rPr>
        <w:t>1. The Navigational Role of the "Cognitive Map": Most students described the knowledge graph as a "learning map" or "thinking navigator." One student noted: "Previously, learning felt like scattered beads on the ground—very disorganized. Now, with the knowledge graph, it's like having a string to thread them. I can clearly see how partial derivatives, directional derivatives, and gradients connect and extend step-by-step. When solving problems, I know which knowledge block to draw upon."</w:t>
      </w:r>
    </w:p>
    <w:p w14:paraId="2EB0F87A">
      <w:pPr>
        <w:widowControl/>
        <w:shd w:val="clear" w:color="auto" w:fill="FFFFFF"/>
        <w:spacing w:line="285" w:lineRule="atLeast"/>
        <w:ind w:firstLine="420" w:firstLineChars="200"/>
        <w:rPr>
          <w:rFonts w:hint="default" w:ascii="Times New Roman" w:hAnsi="Times New Roman" w:cs="Times New Roman"/>
        </w:rPr>
      </w:pPr>
      <w:r>
        <w:rPr>
          <w:rFonts w:hint="default" w:ascii="Times New Roman" w:hAnsi="Times New Roman" w:cs="Times New Roman"/>
        </w:rPr>
        <w:t>2. Shifts in Thinking Patterns Driven by Problems: Students reported that problem chains prompted deeper engagement. For example: "When discussing 'Why is the gradient direction the fastest?', we couldn't just memorize the conclusion. We had to follow the logical chain on the graph, deriving and explaining from partial derivatives to directional derivatives. This 'why' inquiry made understanding much more profound."</w:t>
      </w:r>
    </w:p>
    <w:p w14:paraId="56392F25">
      <w:pPr>
        <w:widowControl/>
        <w:shd w:val="clear" w:color="auto" w:fill="FFFFFF"/>
        <w:spacing w:line="285" w:lineRule="atLeast"/>
        <w:ind w:firstLine="420" w:firstLineChars="200"/>
        <w:rPr>
          <w:rFonts w:hint="default" w:ascii="Times New Roman" w:hAnsi="Times New Roman" w:cs="Times New Roman"/>
        </w:rPr>
      </w:pPr>
      <w:r>
        <w:rPr>
          <w:rFonts w:hint="default" w:ascii="Times New Roman" w:hAnsi="Times New Roman" w:cs="Times New Roman"/>
        </w:rPr>
        <w:t>3. From Passive Reception to Active Construction: In collaborative tasks refining graph branches, students showed high engagement, adding examples, annotating pitfalls, and linking to other chapters (e.g., field theory). This marked a transition from passive recipients to active integrators.</w:t>
      </w:r>
    </w:p>
    <w:p w14:paraId="6AD27B93">
      <w:pPr>
        <w:widowControl/>
        <w:shd w:val="clear" w:color="auto" w:fill="FFFFFF"/>
        <w:spacing w:line="285" w:lineRule="atLeast"/>
        <w:ind w:firstLine="420" w:firstLineChars="200"/>
        <w:rPr>
          <w:rFonts w:hint="default" w:ascii="Times New Roman" w:hAnsi="Times New Roman" w:cs="Times New Roman"/>
        </w:rPr>
      </w:pPr>
      <w:r>
        <w:rPr>
          <w:rFonts w:hint="default" w:ascii="Times New Roman" w:hAnsi="Times New Roman" w:cs="Times New Roman"/>
        </w:rPr>
        <w:t>Classroom observations reinforced this: Experimental discussions emphasized conceptual comparisons (e.g., physical distinctions between line integral types) and theorem conditions (e.g., Green's Theorem premises), contrasting with the control class's procedural focus. End-of-semester personalized graphs demonstrated structural completeness, relational accuracy, and insightful annotations, visually evidencing systematized cognitive structures.</w:t>
      </w:r>
    </w:p>
    <w:p w14:paraId="27DBAE24">
      <w:pPr>
        <w:pStyle w:val="4"/>
        <w:rPr>
          <w:rFonts w:hint="default" w:ascii="Times New Roman" w:hAnsi="Times New Roman" w:cs="Times New Roman"/>
          <w:sz w:val="21"/>
          <w:szCs w:val="18"/>
        </w:rPr>
      </w:pPr>
      <w:r>
        <w:rPr>
          <w:rFonts w:hint="default" w:ascii="Times New Roman" w:hAnsi="Times New Roman" w:cs="Times New Roman"/>
          <w:sz w:val="21"/>
          <w:szCs w:val="18"/>
        </w:rPr>
        <w:t>4.4 Discussion and Reflection</w:t>
      </w:r>
    </w:p>
    <w:p w14:paraId="31B458BF">
      <w:pPr>
        <w:widowControl/>
        <w:shd w:val="clear" w:color="auto" w:fill="FFFFFF"/>
        <w:spacing w:line="285" w:lineRule="atLeast"/>
        <w:ind w:firstLine="420" w:firstLineChars="200"/>
        <w:rPr>
          <w:rFonts w:hint="default" w:ascii="Times New Roman" w:hAnsi="Times New Roman" w:cs="Times New Roman"/>
        </w:rPr>
      </w:pPr>
      <w:r>
        <w:rPr>
          <w:rFonts w:hint="default" w:ascii="Times New Roman" w:hAnsi="Times New Roman" w:cs="Times New Roman"/>
        </w:rPr>
        <w:t>Combining quantitative and qualitative evidence, this study confirms the Integrated Model's significant effectiveness in advanced mathematics teaching. Its success stems from a virtuous cycle between a "structural scaffold" (the knowledge graph, reducing cognitive load and providing a clear framework) and a "cognitive engine" (the problem chain, stimulating conflict and guiding active differentiation, integration, and application). This integration resolves traditional disconnects between knowledge transmission and thinking cultivation, advancing both mastery and higher-order skills.</w:t>
      </w:r>
    </w:p>
    <w:p w14:paraId="6EBD5DAB">
      <w:pPr>
        <w:widowControl/>
        <w:shd w:val="clear" w:color="auto" w:fill="FFFFFF"/>
        <w:spacing w:line="285" w:lineRule="atLeast"/>
        <w:ind w:firstLine="420" w:firstLineChars="200"/>
        <w:rPr>
          <w:rFonts w:hint="default" w:ascii="Times New Roman" w:hAnsi="Times New Roman" w:cs="Times New Roman"/>
        </w:rPr>
      </w:pPr>
      <w:r>
        <w:rPr>
          <w:rFonts w:hint="default" w:ascii="Times New Roman" w:hAnsi="Times New Roman" w:cs="Times New Roman"/>
        </w:rPr>
        <w:t>However, challenges emerged: The model demands substantial instructor effort for graph construction and problem design. Future enhancements could include subject-specific templates, case libraries, and student co-construction activities to distribute workload and boost engagement. Current assessments, though diversified, lack refined tracking of cognitive evolution; learning analytics could analyze interaction paths and self-constructed graphs for precise diagnosis. Finally, generalizability requires testing across majors and courses, with resources like training materials and tools to support broader adoption.</w:t>
      </w:r>
    </w:p>
    <w:p w14:paraId="71BF517E">
      <w:pPr>
        <w:pStyle w:val="3"/>
        <w:rPr>
          <w:rFonts w:hint="default" w:ascii="Times New Roman" w:hAnsi="Times New Roman" w:cs="Times New Roman"/>
          <w:sz w:val="24"/>
          <w:szCs w:val="21"/>
        </w:rPr>
      </w:pPr>
      <w:r>
        <w:rPr>
          <w:rFonts w:hint="default" w:ascii="Times New Roman" w:hAnsi="Times New Roman" w:cs="Times New Roman"/>
          <w:sz w:val="24"/>
          <w:szCs w:val="21"/>
        </w:rPr>
        <w:t>5. Conclusion</w:t>
      </w:r>
    </w:p>
    <w:p w14:paraId="53A65006">
      <w:pPr>
        <w:widowControl/>
        <w:shd w:val="clear" w:color="auto" w:fill="FFFFFF"/>
        <w:ind w:firstLine="420" w:firstLineChars="200"/>
        <w:rPr>
          <w:rFonts w:hint="default" w:ascii="Times New Roman" w:hAnsi="Times New Roman" w:cs="Times New Roman"/>
        </w:rPr>
      </w:pPr>
      <w:r>
        <w:rPr>
          <w:rFonts w:hint="default" w:ascii="Times New Roman" w:hAnsi="Times New Roman" w:cs="Times New Roman"/>
        </w:rPr>
        <w:t>To address compartmentalized knowledge acquisition and insufficient higher-order thinking cultivation in advanced mathematics, this study developed and empirically validated a Knowledge Graph-Integrated Problem-Driven Teaching Model. Theoretical analysis and experiments show that the model enhances structured understanding of core units like Multivariable Differential Calculus and Curve Integrals via the knowledge graph's systematic framework. Meanwhile, graph-navigated tiered problem chains drive inquiry, significantly improving analysis, synthesis, and transfer abilities. The experimental class outperformed the control class on higher-order thinking tasks (p &lt; 0.05), with feedback affirming boosts in interest and cognitive depth. By innovatively integrating knowledge graphs and problem-driven teaching, this study offers a theoretically grounded, practically effective reform path for advanced mathematics, providing valuable insights for nurturing innovative talents.</w:t>
      </w:r>
    </w:p>
    <w:p w14:paraId="67281C0C">
      <w:pPr>
        <w:widowControl/>
        <w:shd w:val="clear" w:color="auto" w:fill="FFFFFF"/>
        <w:ind w:firstLine="420" w:firstLineChars="200"/>
        <w:rPr>
          <w:rFonts w:hint="default" w:ascii="Times New Roman" w:hAnsi="Times New Roman" w:cs="Times New Roman"/>
        </w:rPr>
      </w:pPr>
    </w:p>
    <w:p w14:paraId="12A526BB">
      <w:pPr>
        <w:widowControl/>
        <w:spacing w:after="200" w:line="276" w:lineRule="auto"/>
        <w:jc w:val="left"/>
        <w:rPr>
          <w:rFonts w:hint="default" w:ascii="Times New Roman" w:hAnsi="Times New Roman" w:eastAsia="Times New Roman" w:cs="Times New Roman"/>
          <w:b/>
          <w:bCs/>
          <w:kern w:val="0"/>
          <w:sz w:val="22"/>
          <w:szCs w:val="22"/>
          <w:lang w:val="en-GB" w:eastAsia="en-GB"/>
        </w:rPr>
      </w:pPr>
      <w:r>
        <w:rPr>
          <w:rFonts w:hint="default" w:ascii="Times New Roman" w:hAnsi="Times New Roman" w:eastAsia="Times New Roman" w:cs="Times New Roman"/>
          <w:b/>
          <w:bCs/>
          <w:kern w:val="0"/>
          <w:sz w:val="22"/>
          <w:szCs w:val="22"/>
          <w:lang w:val="en-GB" w:eastAsia="en-GB"/>
        </w:rPr>
        <w:t>COMPETING INTERESTS DISCLAIMER:</w:t>
      </w:r>
    </w:p>
    <w:p w14:paraId="64CB7F9D">
      <w:pPr>
        <w:widowControl/>
        <w:spacing w:after="200" w:line="276" w:lineRule="auto"/>
        <w:jc w:val="left"/>
        <w:rPr>
          <w:rFonts w:hint="default" w:ascii="Times New Roman" w:hAnsi="Times New Roman" w:eastAsia="Times New Roman" w:cs="Times New Roman"/>
          <w:kern w:val="0"/>
          <w:sz w:val="22"/>
          <w:szCs w:val="22"/>
          <w:lang w:val="en-GB" w:eastAsia="en-GB"/>
        </w:rPr>
      </w:pPr>
      <w:r>
        <w:rPr>
          <w:rFonts w:hint="default" w:ascii="Times New Roman" w:hAnsi="Times New Roman" w:eastAsia="Times New Roman" w:cs="Times New Roman"/>
          <w:kern w:val="0"/>
          <w:sz w:val="22"/>
          <w:szCs w:val="22"/>
          <w:lang w:val="en-GB" w:eastAsia="en-GB"/>
        </w:rPr>
        <w:t>Authors have declared that they have no known competing financial interests OR non-financial interests OR personal relationships that could have appeared to influence the work reported in this paper.</w:t>
      </w:r>
    </w:p>
    <w:p w14:paraId="567F8F33">
      <w:pPr>
        <w:widowControl/>
        <w:spacing w:after="200" w:line="276" w:lineRule="auto"/>
        <w:jc w:val="left"/>
        <w:rPr>
          <w:rFonts w:hint="default" w:ascii="Times New Roman" w:hAnsi="Times New Roman" w:eastAsia="Times New Roman" w:cs="Times New Roman"/>
          <w:kern w:val="0"/>
          <w:sz w:val="22"/>
          <w:szCs w:val="22"/>
          <w:lang w:val="en-GB" w:eastAsia="en-GB"/>
        </w:rPr>
      </w:pPr>
    </w:p>
    <w:p w14:paraId="580490F7">
      <w:pPr>
        <w:keepNext/>
        <w:keepLines/>
        <w:widowControl/>
        <w:spacing w:before="120" w:after="120" w:line="360" w:lineRule="auto"/>
        <w:outlineLvl w:val="1"/>
        <w:rPr>
          <w:rFonts w:hint="default" w:ascii="Times New Roman" w:hAnsi="Times New Roman" w:eastAsia="Times New Roman" w:cs="Times New Roman"/>
          <w:bCs/>
          <w:kern w:val="0"/>
          <w:sz w:val="24"/>
          <w:highlight w:val="yellow"/>
          <w:lang w:val="en-GB" w:eastAsia="en-IN"/>
        </w:rPr>
      </w:pPr>
      <w:bookmarkStart w:id="0" w:name="_Hlk218867759"/>
      <w:r>
        <w:rPr>
          <w:rFonts w:hint="default" w:ascii="Times New Roman" w:hAnsi="Times New Roman" w:eastAsia="Times New Roman" w:cs="Times New Roman"/>
          <w:bCs/>
          <w:kern w:val="0"/>
          <w:sz w:val="24"/>
          <w:highlight w:val="yellow"/>
          <w:lang w:val="en-GB" w:eastAsia="en-IN"/>
        </w:rPr>
        <w:t>Disclaimer (Artificial intelligence)</w:t>
      </w:r>
    </w:p>
    <w:p w14:paraId="423A3A02">
      <w:pPr>
        <w:keepNext/>
        <w:keepLines/>
        <w:widowControl/>
        <w:spacing w:before="120" w:after="120" w:line="360" w:lineRule="auto"/>
        <w:outlineLvl w:val="1"/>
        <w:rPr>
          <w:rFonts w:hint="default" w:ascii="Times New Roman" w:hAnsi="Times New Roman" w:eastAsia="Times New Roman" w:cs="Times New Roman"/>
          <w:bCs/>
          <w:kern w:val="0"/>
          <w:sz w:val="24"/>
          <w:lang w:val="en-GB" w:eastAsia="en-IN"/>
        </w:rPr>
      </w:pPr>
      <w:r>
        <w:rPr>
          <w:rFonts w:hint="default" w:ascii="Times New Roman" w:hAnsi="Times New Roman" w:eastAsia="Times New Roman" w:cs="Times New Roman"/>
          <w:bCs/>
          <w:kern w:val="0"/>
          <w:sz w:val="24"/>
          <w:highlight w:val="yellow"/>
          <w:lang w:val="en-GB" w:eastAsia="en-IN"/>
        </w:rPr>
        <w:t>Author(s) hereby declare that NO generative AI technologies such as Large Language Models (ChatGPT, COPILOT, etc.) and text-to-image generators have been used during the writing or editing of this manuscript.</w:t>
      </w:r>
      <w:r>
        <w:rPr>
          <w:rFonts w:hint="default" w:ascii="Times New Roman" w:hAnsi="Times New Roman" w:eastAsia="Times New Roman" w:cs="Times New Roman"/>
          <w:bCs/>
          <w:kern w:val="0"/>
          <w:sz w:val="24"/>
          <w:lang w:val="en-GB" w:eastAsia="en-IN"/>
        </w:rPr>
        <w:t xml:space="preserve"> </w:t>
      </w:r>
    </w:p>
    <w:bookmarkEnd w:id="0"/>
    <w:p w14:paraId="1F1A3353">
      <w:pPr>
        <w:widowControl/>
        <w:shd w:val="clear" w:color="auto" w:fill="FFFFFF"/>
        <w:ind w:firstLine="420" w:firstLineChars="200"/>
        <w:rPr>
          <w:rFonts w:hint="default" w:ascii="Times New Roman" w:hAnsi="Times New Roman" w:cs="Times New Roman"/>
        </w:rPr>
      </w:pPr>
    </w:p>
    <w:p w14:paraId="2E58DCC2">
      <w:pPr>
        <w:pStyle w:val="3"/>
        <w:rPr>
          <w:rFonts w:hint="default" w:ascii="Times New Roman" w:hAnsi="Times New Roman" w:cs="Times New Roman"/>
          <w:sz w:val="24"/>
          <w:szCs w:val="21"/>
        </w:rPr>
      </w:pPr>
      <w:r>
        <w:rPr>
          <w:rFonts w:hint="default" w:ascii="Times New Roman" w:hAnsi="Times New Roman" w:cs="Times New Roman"/>
          <w:sz w:val="24"/>
          <w:szCs w:val="21"/>
        </w:rPr>
        <w:t>References</w:t>
      </w:r>
    </w:p>
    <w:p w14:paraId="18B7B170">
      <w:pPr>
        <w:numPr>
          <w:ilvl w:val="0"/>
          <w:numId w:val="2"/>
        </w:numPr>
        <w:spacing w:beforeLines="0" w:afterLines="0"/>
        <w:ind w:left="235" w:leftChars="0" w:hanging="235" w:hangingChars="112"/>
        <w:jc w:val="left"/>
        <w:rPr>
          <w:rFonts w:hint="default" w:ascii="Times New Roman" w:hAnsi="Times New Roman" w:cs="Times New Roman"/>
          <w:sz w:val="21"/>
          <w:szCs w:val="24"/>
        </w:rPr>
      </w:pPr>
      <w:r>
        <w:rPr>
          <w:rFonts w:hint="default" w:ascii="Times New Roman" w:hAnsi="Times New Roman" w:cs="Times New Roman"/>
        </w:rPr>
        <w:fldChar w:fldCharType="begin"/>
      </w:r>
      <w:r>
        <w:rPr>
          <w:rFonts w:hint="default" w:ascii="Times New Roman" w:hAnsi="Times New Roman" w:cs="Times New Roman"/>
          <w:lang w:eastAsia="zh-CN"/>
        </w:rPr>
        <w:instrText xml:space="preserve"> ADDIN ZOTERO_BIBL {"uncited":[],"omitted":[],"custom":[]} CSL_BIBLIOGRAPHY </w:instrText>
      </w:r>
      <w:r>
        <w:rPr>
          <w:rFonts w:hint="default" w:ascii="Times New Roman" w:hAnsi="Times New Roman" w:cs="Times New Roman"/>
        </w:rPr>
        <w:fldChar w:fldCharType="separate"/>
      </w:r>
      <w:r>
        <w:rPr>
          <w:rFonts w:hint="default" w:ascii="Times New Roman" w:hAnsi="Times New Roman" w:cs="Times New Roman"/>
          <w:sz w:val="21"/>
          <w:szCs w:val="24"/>
        </w:rPr>
        <w:t xml:space="preserve">Alvarez-Tinajero, N., Basantes-Andrade, A., Ayala-Vásquez, O., Pereira-González, L.-M., &amp; Arciniegas-Romero, G. (2026). Mathematical Competencies and Critical Thinking in Secondary Education: A PRISMA-Based Systematic Review (2019–2025). </w:t>
      </w:r>
      <w:r>
        <w:rPr>
          <w:rFonts w:hint="default" w:ascii="Times New Roman" w:hAnsi="Times New Roman" w:cs="Times New Roman"/>
          <w:i/>
          <w:sz w:val="21"/>
          <w:szCs w:val="24"/>
        </w:rPr>
        <w:t>F1000Research</w:t>
      </w:r>
      <w:r>
        <w:rPr>
          <w:rFonts w:hint="default" w:ascii="Times New Roman" w:hAnsi="Times New Roman" w:cs="Times New Roman"/>
          <w:sz w:val="21"/>
          <w:szCs w:val="24"/>
        </w:rPr>
        <w:t xml:space="preserve">, </w:t>
      </w:r>
      <w:r>
        <w:rPr>
          <w:rFonts w:hint="default" w:ascii="Times New Roman" w:hAnsi="Times New Roman" w:cs="Times New Roman"/>
          <w:i/>
          <w:sz w:val="21"/>
          <w:szCs w:val="24"/>
        </w:rPr>
        <w:t>14</w:t>
      </w:r>
      <w:r>
        <w:rPr>
          <w:rFonts w:hint="default" w:ascii="Times New Roman" w:hAnsi="Times New Roman" w:cs="Times New Roman"/>
          <w:sz w:val="21"/>
          <w:szCs w:val="24"/>
        </w:rPr>
        <w:t>, 1407. https://doi.org/10.12688/f1000research.173462.2</w:t>
      </w:r>
    </w:p>
    <w:p w14:paraId="18A2FEC5">
      <w:pPr>
        <w:numPr>
          <w:ilvl w:val="0"/>
          <w:numId w:val="2"/>
        </w:numPr>
        <w:spacing w:beforeLines="0" w:afterLines="0"/>
        <w:ind w:left="235" w:leftChars="0" w:hanging="235" w:hangingChars="112"/>
        <w:jc w:val="left"/>
        <w:rPr>
          <w:rFonts w:hint="default" w:ascii="Times New Roman" w:hAnsi="Times New Roman" w:cs="Times New Roman"/>
          <w:sz w:val="21"/>
          <w:szCs w:val="24"/>
        </w:rPr>
      </w:pPr>
      <w:r>
        <w:rPr>
          <w:rFonts w:hint="default" w:ascii="Times New Roman" w:hAnsi="Times New Roman" w:cs="Times New Roman"/>
          <w:sz w:val="21"/>
          <w:szCs w:val="24"/>
        </w:rPr>
        <w:t xml:space="preserve">Brandibur, O., Filipowicz-Chomko, M., Girejko, E., Kaslik, E., Mozyrska, D., Mureșan, R., Pappas, N., Tănasie, A. L., &amp; Zaharia, C. (2025). Higher Mathematics Education and AI Prompt Patterns: Examples from Selected University Classes. </w:t>
      </w:r>
      <w:r>
        <w:rPr>
          <w:rFonts w:hint="default" w:ascii="Times New Roman" w:hAnsi="Times New Roman" w:cs="Times New Roman"/>
          <w:i/>
          <w:sz w:val="21"/>
          <w:szCs w:val="24"/>
        </w:rPr>
        <w:t>Applied Sciences</w:t>
      </w:r>
      <w:r>
        <w:rPr>
          <w:rFonts w:hint="default" w:ascii="Times New Roman" w:hAnsi="Times New Roman" w:cs="Times New Roman"/>
          <w:sz w:val="21"/>
          <w:szCs w:val="24"/>
        </w:rPr>
        <w:t xml:space="preserve">, </w:t>
      </w:r>
      <w:r>
        <w:rPr>
          <w:rFonts w:hint="default" w:ascii="Times New Roman" w:hAnsi="Times New Roman" w:cs="Times New Roman"/>
          <w:i/>
          <w:sz w:val="21"/>
          <w:szCs w:val="24"/>
        </w:rPr>
        <w:t>16</w:t>
      </w:r>
      <w:r>
        <w:rPr>
          <w:rFonts w:hint="default" w:ascii="Times New Roman" w:hAnsi="Times New Roman" w:cs="Times New Roman"/>
          <w:sz w:val="21"/>
          <w:szCs w:val="24"/>
        </w:rPr>
        <w:t>(1), 339. https://doi.org/10.3390/app16010339</w:t>
      </w:r>
    </w:p>
    <w:p w14:paraId="6A6FB18C">
      <w:pPr>
        <w:numPr>
          <w:ilvl w:val="0"/>
          <w:numId w:val="2"/>
        </w:numPr>
        <w:spacing w:beforeLines="0" w:afterLines="0"/>
        <w:ind w:left="235" w:leftChars="0" w:hanging="235" w:hangingChars="112"/>
        <w:jc w:val="left"/>
        <w:rPr>
          <w:rFonts w:hint="default" w:ascii="Times New Roman" w:hAnsi="Times New Roman" w:cs="Times New Roman"/>
          <w:sz w:val="21"/>
          <w:szCs w:val="24"/>
        </w:rPr>
      </w:pPr>
      <w:r>
        <w:rPr>
          <w:rFonts w:hint="default" w:ascii="Times New Roman" w:hAnsi="Times New Roman" w:cs="Times New Roman"/>
          <w:sz w:val="21"/>
          <w:szCs w:val="24"/>
        </w:rPr>
        <w:t xml:space="preserve">Chang Jin. (2025). Research on problem-driven inquiry-based teaching for high school mathematics—Taking “determining the perpendicularity of a line and a plane” as an example. </w:t>
      </w:r>
      <w:r>
        <w:rPr>
          <w:rFonts w:hint="default" w:ascii="Times New Roman" w:hAnsi="Times New Roman" w:cs="Times New Roman"/>
          <w:i/>
          <w:sz w:val="21"/>
          <w:szCs w:val="24"/>
        </w:rPr>
        <w:t>Frontiers in Educational Research</w:t>
      </w:r>
      <w:r>
        <w:rPr>
          <w:rFonts w:hint="default" w:ascii="Times New Roman" w:hAnsi="Times New Roman" w:cs="Times New Roman"/>
          <w:sz w:val="21"/>
          <w:szCs w:val="24"/>
        </w:rPr>
        <w:t xml:space="preserve">, </w:t>
      </w:r>
      <w:r>
        <w:rPr>
          <w:rFonts w:hint="default" w:ascii="Times New Roman" w:hAnsi="Times New Roman" w:cs="Times New Roman"/>
          <w:i/>
          <w:sz w:val="21"/>
          <w:szCs w:val="24"/>
        </w:rPr>
        <w:t>8</w:t>
      </w:r>
      <w:r>
        <w:rPr>
          <w:rFonts w:hint="default" w:ascii="Times New Roman" w:hAnsi="Times New Roman" w:cs="Times New Roman"/>
          <w:sz w:val="21"/>
          <w:szCs w:val="24"/>
        </w:rPr>
        <w:t>(4). https://doi.org/10.25236/FER.2025.080402</w:t>
      </w:r>
    </w:p>
    <w:p w14:paraId="5A42BDEE">
      <w:pPr>
        <w:numPr>
          <w:ilvl w:val="0"/>
          <w:numId w:val="2"/>
        </w:numPr>
        <w:spacing w:beforeLines="0" w:afterLines="0"/>
        <w:ind w:left="235" w:leftChars="0" w:hanging="235" w:hangingChars="112"/>
        <w:jc w:val="left"/>
        <w:rPr>
          <w:rFonts w:hint="default" w:ascii="Times New Roman" w:hAnsi="Times New Roman" w:cs="Times New Roman"/>
          <w:sz w:val="21"/>
          <w:szCs w:val="24"/>
        </w:rPr>
      </w:pPr>
      <w:r>
        <w:rPr>
          <w:rFonts w:hint="default" w:ascii="Times New Roman" w:hAnsi="Times New Roman" w:cs="Times New Roman"/>
          <w:sz w:val="21"/>
          <w:szCs w:val="24"/>
        </w:rPr>
        <w:t xml:space="preserve">Cui, J., &amp; Yu, S. (2019). Fostering deeper learning in a flipped classroom: Effects of knowledge graphs versus concept maps. </w:t>
      </w:r>
      <w:r>
        <w:rPr>
          <w:rFonts w:hint="default" w:ascii="Times New Roman" w:hAnsi="Times New Roman" w:cs="Times New Roman"/>
          <w:i/>
          <w:sz w:val="21"/>
          <w:szCs w:val="24"/>
        </w:rPr>
        <w:t>British Journal of Educational Technology</w:t>
      </w:r>
      <w:r>
        <w:rPr>
          <w:rFonts w:hint="default" w:ascii="Times New Roman" w:hAnsi="Times New Roman" w:cs="Times New Roman"/>
          <w:sz w:val="21"/>
          <w:szCs w:val="24"/>
        </w:rPr>
        <w:t xml:space="preserve">, </w:t>
      </w:r>
      <w:r>
        <w:rPr>
          <w:rFonts w:hint="default" w:ascii="Times New Roman" w:hAnsi="Times New Roman" w:cs="Times New Roman"/>
          <w:i/>
          <w:sz w:val="21"/>
          <w:szCs w:val="24"/>
        </w:rPr>
        <w:t>50</w:t>
      </w:r>
      <w:r>
        <w:rPr>
          <w:rFonts w:hint="default" w:ascii="Times New Roman" w:hAnsi="Times New Roman" w:cs="Times New Roman"/>
          <w:sz w:val="21"/>
          <w:szCs w:val="24"/>
        </w:rPr>
        <w:t>(5), 2308–2328. https://doi.org/10.1111/bjet.12841</w:t>
      </w:r>
    </w:p>
    <w:p w14:paraId="7E3EB519">
      <w:pPr>
        <w:numPr>
          <w:ilvl w:val="0"/>
          <w:numId w:val="2"/>
        </w:numPr>
        <w:spacing w:beforeLines="0" w:afterLines="0"/>
        <w:ind w:left="235" w:leftChars="0" w:hanging="235" w:hangingChars="112"/>
        <w:jc w:val="left"/>
        <w:rPr>
          <w:rFonts w:hint="default" w:ascii="Times New Roman" w:hAnsi="Times New Roman" w:cs="Times New Roman"/>
          <w:sz w:val="21"/>
          <w:szCs w:val="24"/>
        </w:rPr>
      </w:pPr>
      <w:r>
        <w:rPr>
          <w:rFonts w:hint="default" w:ascii="Times New Roman" w:hAnsi="Times New Roman" w:cs="Times New Roman"/>
          <w:sz w:val="21"/>
          <w:szCs w:val="24"/>
        </w:rPr>
        <w:t xml:space="preserve">Duan, L., Li, B., &amp; Han, X. (2026). A precision teaching model for college mathematics based on information technology. </w:t>
      </w:r>
      <w:r>
        <w:rPr>
          <w:rFonts w:hint="default" w:ascii="Times New Roman" w:hAnsi="Times New Roman" w:cs="Times New Roman"/>
          <w:i/>
          <w:sz w:val="21"/>
          <w:szCs w:val="24"/>
        </w:rPr>
        <w:t>Current Psychology</w:t>
      </w:r>
      <w:r>
        <w:rPr>
          <w:rFonts w:hint="default" w:ascii="Times New Roman" w:hAnsi="Times New Roman" w:cs="Times New Roman"/>
          <w:sz w:val="21"/>
          <w:szCs w:val="24"/>
        </w:rPr>
        <w:t xml:space="preserve">, </w:t>
      </w:r>
      <w:r>
        <w:rPr>
          <w:rFonts w:hint="default" w:ascii="Times New Roman" w:hAnsi="Times New Roman" w:cs="Times New Roman"/>
          <w:i/>
          <w:sz w:val="21"/>
          <w:szCs w:val="24"/>
        </w:rPr>
        <w:t>45</w:t>
      </w:r>
      <w:r>
        <w:rPr>
          <w:rFonts w:hint="default" w:ascii="Times New Roman" w:hAnsi="Times New Roman" w:cs="Times New Roman"/>
          <w:sz w:val="21"/>
          <w:szCs w:val="24"/>
        </w:rPr>
        <w:t>(1), 43. https://doi.org/10.1007/s12144-025-08822-8</w:t>
      </w:r>
    </w:p>
    <w:p w14:paraId="788AE6CE">
      <w:pPr>
        <w:numPr>
          <w:ilvl w:val="0"/>
          <w:numId w:val="2"/>
        </w:numPr>
        <w:spacing w:beforeLines="0" w:afterLines="0"/>
        <w:ind w:left="235" w:leftChars="0" w:hanging="235" w:hangingChars="112"/>
        <w:jc w:val="left"/>
        <w:rPr>
          <w:rFonts w:hint="default" w:ascii="Times New Roman" w:hAnsi="Times New Roman" w:cs="Times New Roman"/>
          <w:sz w:val="21"/>
          <w:szCs w:val="24"/>
        </w:rPr>
      </w:pPr>
      <w:r>
        <w:rPr>
          <w:rFonts w:hint="default" w:ascii="Times New Roman" w:hAnsi="Times New Roman" w:cs="Times New Roman"/>
          <w:sz w:val="21"/>
          <w:szCs w:val="24"/>
        </w:rPr>
        <w:t xml:space="preserve">Gradini, E., Firmansyah B, F. B., Noviani, J., &amp; Ulya, K. (2025). Fostering Higher-Order Thinking Skills in Mathematics Education: Strategies, Challenges, and Classroom Practices. </w:t>
      </w:r>
      <w:r>
        <w:rPr>
          <w:rFonts w:hint="default" w:ascii="Times New Roman" w:hAnsi="Times New Roman" w:cs="Times New Roman"/>
          <w:i/>
          <w:sz w:val="21"/>
          <w:szCs w:val="24"/>
        </w:rPr>
        <w:t>Prisma Sains : Jurnal Pengkajian Ilmu Dan Pembelajaran Matematika Dan IPA IKIP Mataram</w:t>
      </w:r>
      <w:r>
        <w:rPr>
          <w:rFonts w:hint="default" w:ascii="Times New Roman" w:hAnsi="Times New Roman" w:cs="Times New Roman"/>
          <w:sz w:val="21"/>
          <w:szCs w:val="24"/>
        </w:rPr>
        <w:t xml:space="preserve">, </w:t>
      </w:r>
      <w:r>
        <w:rPr>
          <w:rFonts w:hint="default" w:ascii="Times New Roman" w:hAnsi="Times New Roman" w:cs="Times New Roman"/>
          <w:i/>
          <w:sz w:val="21"/>
          <w:szCs w:val="24"/>
        </w:rPr>
        <w:t>13</w:t>
      </w:r>
      <w:r>
        <w:rPr>
          <w:rFonts w:hint="default" w:ascii="Times New Roman" w:hAnsi="Times New Roman" w:cs="Times New Roman"/>
          <w:sz w:val="21"/>
          <w:szCs w:val="24"/>
        </w:rPr>
        <w:t>(2), 135. https://doi.org/10.33394/j-ps.v13i2.15099</w:t>
      </w:r>
    </w:p>
    <w:p w14:paraId="7892D8AA">
      <w:pPr>
        <w:numPr>
          <w:ilvl w:val="0"/>
          <w:numId w:val="2"/>
        </w:numPr>
        <w:spacing w:beforeLines="0" w:afterLines="0"/>
        <w:ind w:left="235" w:leftChars="0" w:hanging="235" w:hangingChars="112"/>
        <w:jc w:val="left"/>
        <w:rPr>
          <w:rFonts w:hint="default" w:ascii="Times New Roman" w:hAnsi="Times New Roman" w:cs="Times New Roman"/>
          <w:sz w:val="21"/>
          <w:szCs w:val="24"/>
        </w:rPr>
      </w:pPr>
      <w:r>
        <w:rPr>
          <w:rFonts w:hint="default" w:ascii="Times New Roman" w:hAnsi="Times New Roman" w:cs="Times New Roman"/>
          <w:sz w:val="21"/>
          <w:szCs w:val="24"/>
        </w:rPr>
        <w:t xml:space="preserve">Li, A., Li, Y., &amp; Gao, X. (2026). Personalized Learning Path Recommendation Based on Knowledge Graphs: A Survey. </w:t>
      </w:r>
      <w:r>
        <w:rPr>
          <w:rFonts w:hint="default" w:ascii="Times New Roman" w:hAnsi="Times New Roman" w:cs="Times New Roman"/>
          <w:i/>
          <w:sz w:val="21"/>
          <w:szCs w:val="24"/>
        </w:rPr>
        <w:t>Electronics</w:t>
      </w:r>
      <w:r>
        <w:rPr>
          <w:rFonts w:hint="default" w:ascii="Times New Roman" w:hAnsi="Times New Roman" w:cs="Times New Roman"/>
          <w:sz w:val="21"/>
          <w:szCs w:val="24"/>
        </w:rPr>
        <w:t xml:space="preserve">, </w:t>
      </w:r>
      <w:r>
        <w:rPr>
          <w:rFonts w:hint="default" w:ascii="Times New Roman" w:hAnsi="Times New Roman" w:cs="Times New Roman"/>
          <w:i/>
          <w:sz w:val="21"/>
          <w:szCs w:val="24"/>
        </w:rPr>
        <w:t>15</w:t>
      </w:r>
      <w:r>
        <w:rPr>
          <w:rFonts w:hint="default" w:ascii="Times New Roman" w:hAnsi="Times New Roman" w:cs="Times New Roman"/>
          <w:sz w:val="21"/>
          <w:szCs w:val="24"/>
        </w:rPr>
        <w:t>(1), 238. https://doi.org/10.3390/electronics15010238</w:t>
      </w:r>
    </w:p>
    <w:p w14:paraId="11F2A6B4">
      <w:pPr>
        <w:numPr>
          <w:ilvl w:val="0"/>
          <w:numId w:val="2"/>
        </w:numPr>
        <w:spacing w:beforeLines="0" w:afterLines="0"/>
        <w:ind w:left="235" w:leftChars="0" w:hanging="235" w:hangingChars="112"/>
        <w:jc w:val="left"/>
        <w:rPr>
          <w:rFonts w:hint="default" w:ascii="Times New Roman" w:hAnsi="Times New Roman" w:cs="Times New Roman"/>
          <w:sz w:val="21"/>
          <w:szCs w:val="24"/>
        </w:rPr>
      </w:pPr>
      <w:r>
        <w:rPr>
          <w:rFonts w:hint="default" w:ascii="Times New Roman" w:hAnsi="Times New Roman" w:cs="Times New Roman"/>
          <w:sz w:val="21"/>
          <w:szCs w:val="24"/>
        </w:rPr>
        <w:t xml:space="preserve">Li, B., Hu, W., Duan, A., Li, Q., Li, L., Li, C., Weng, C., Peng, Z., Chen, W., &amp; Li, Y. (2025). Improving medical students’ learning absorption in a knowledge graph based blended learning course. </w:t>
      </w:r>
      <w:r>
        <w:rPr>
          <w:rFonts w:hint="default" w:ascii="Times New Roman" w:hAnsi="Times New Roman" w:cs="Times New Roman"/>
          <w:i/>
          <w:sz w:val="21"/>
          <w:szCs w:val="24"/>
        </w:rPr>
        <w:t>BMC Medical Education</w:t>
      </w:r>
      <w:r>
        <w:rPr>
          <w:rFonts w:hint="default" w:ascii="Times New Roman" w:hAnsi="Times New Roman" w:cs="Times New Roman"/>
          <w:sz w:val="21"/>
          <w:szCs w:val="24"/>
        </w:rPr>
        <w:t xml:space="preserve">, </w:t>
      </w:r>
      <w:r>
        <w:rPr>
          <w:rFonts w:hint="default" w:ascii="Times New Roman" w:hAnsi="Times New Roman" w:cs="Times New Roman"/>
          <w:i/>
          <w:sz w:val="21"/>
          <w:szCs w:val="24"/>
        </w:rPr>
        <w:t>26</w:t>
      </w:r>
      <w:r>
        <w:rPr>
          <w:rFonts w:hint="default" w:ascii="Times New Roman" w:hAnsi="Times New Roman" w:cs="Times New Roman"/>
          <w:sz w:val="21"/>
          <w:szCs w:val="24"/>
        </w:rPr>
        <w:t>(1), 96. https://doi.org/10.1186/s12909-025-08428-5</w:t>
      </w:r>
    </w:p>
    <w:p w14:paraId="434D08B0">
      <w:pPr>
        <w:numPr>
          <w:ilvl w:val="0"/>
          <w:numId w:val="2"/>
        </w:numPr>
        <w:spacing w:beforeLines="0" w:afterLines="0"/>
        <w:ind w:left="235" w:leftChars="0" w:hanging="235" w:hangingChars="112"/>
        <w:jc w:val="left"/>
        <w:rPr>
          <w:rFonts w:hint="default" w:ascii="Times New Roman" w:hAnsi="Times New Roman" w:cs="Times New Roman"/>
          <w:sz w:val="21"/>
          <w:szCs w:val="24"/>
        </w:rPr>
      </w:pPr>
      <w:r>
        <w:rPr>
          <w:rFonts w:hint="default" w:ascii="Times New Roman" w:hAnsi="Times New Roman" w:cs="Times New Roman"/>
          <w:sz w:val="21"/>
          <w:szCs w:val="24"/>
        </w:rPr>
        <w:t xml:space="preserve">Liao, P., Liu, S., Luo, C., &amp; Wei, X. (2025). Dual-track drive for precision education: Developing a targeted teaching model in the standardized training of lymphoma subspecialty physicians through the integration of problem-based learning and case-based learning. </w:t>
      </w:r>
      <w:r>
        <w:rPr>
          <w:rFonts w:hint="default" w:ascii="Times New Roman" w:hAnsi="Times New Roman" w:cs="Times New Roman"/>
          <w:i/>
          <w:sz w:val="21"/>
          <w:szCs w:val="24"/>
        </w:rPr>
        <w:t>BMC Medical Education</w:t>
      </w:r>
      <w:r>
        <w:rPr>
          <w:rFonts w:hint="default" w:ascii="Times New Roman" w:hAnsi="Times New Roman" w:cs="Times New Roman"/>
          <w:sz w:val="21"/>
          <w:szCs w:val="24"/>
        </w:rPr>
        <w:t xml:space="preserve">, </w:t>
      </w:r>
      <w:r>
        <w:rPr>
          <w:rFonts w:hint="default" w:ascii="Times New Roman" w:hAnsi="Times New Roman" w:cs="Times New Roman"/>
          <w:i/>
          <w:sz w:val="21"/>
          <w:szCs w:val="24"/>
        </w:rPr>
        <w:t>25</w:t>
      </w:r>
      <w:r>
        <w:rPr>
          <w:rFonts w:hint="default" w:ascii="Times New Roman" w:hAnsi="Times New Roman" w:cs="Times New Roman"/>
          <w:sz w:val="21"/>
          <w:szCs w:val="24"/>
        </w:rPr>
        <w:t>(1), 1590. https://doi.org/10.1186/s12909-025-08200-9</w:t>
      </w:r>
    </w:p>
    <w:p w14:paraId="2350BAAC">
      <w:pPr>
        <w:numPr>
          <w:ilvl w:val="0"/>
          <w:numId w:val="2"/>
        </w:numPr>
        <w:spacing w:beforeLines="0" w:afterLines="0"/>
        <w:ind w:left="235" w:leftChars="0" w:hanging="235" w:hangingChars="112"/>
        <w:jc w:val="left"/>
        <w:rPr>
          <w:rFonts w:hint="default" w:ascii="Times New Roman" w:hAnsi="Times New Roman" w:cs="Times New Roman"/>
          <w:sz w:val="21"/>
          <w:szCs w:val="24"/>
        </w:rPr>
      </w:pPr>
      <w:r>
        <w:rPr>
          <w:rFonts w:hint="default" w:ascii="Times New Roman" w:hAnsi="Times New Roman" w:cs="Times New Roman"/>
          <w:sz w:val="21"/>
          <w:szCs w:val="24"/>
        </w:rPr>
        <w:t xml:space="preserve">Liu, T., &amp; Li, C. (2025). Improvement of college students’ higher mathematics problem solving ability based on neural network and multiple regression model. </w:t>
      </w:r>
      <w:r>
        <w:rPr>
          <w:rFonts w:hint="default" w:ascii="Times New Roman" w:hAnsi="Times New Roman" w:cs="Times New Roman"/>
          <w:i/>
          <w:sz w:val="21"/>
          <w:szCs w:val="24"/>
        </w:rPr>
        <w:t>Scientific Reports</w:t>
      </w:r>
      <w:r>
        <w:rPr>
          <w:rFonts w:hint="default" w:ascii="Times New Roman" w:hAnsi="Times New Roman" w:cs="Times New Roman"/>
          <w:sz w:val="21"/>
          <w:szCs w:val="24"/>
        </w:rPr>
        <w:t xml:space="preserve">, </w:t>
      </w:r>
      <w:r>
        <w:rPr>
          <w:rFonts w:hint="default" w:ascii="Times New Roman" w:hAnsi="Times New Roman" w:cs="Times New Roman"/>
          <w:i/>
          <w:sz w:val="21"/>
          <w:szCs w:val="24"/>
        </w:rPr>
        <w:t>15</w:t>
      </w:r>
      <w:r>
        <w:rPr>
          <w:rFonts w:hint="default" w:ascii="Times New Roman" w:hAnsi="Times New Roman" w:cs="Times New Roman"/>
          <w:sz w:val="21"/>
          <w:szCs w:val="24"/>
        </w:rPr>
        <w:t>(1), 42755. https://doi.org/10.1038/s41598-025-27138-y</w:t>
      </w:r>
    </w:p>
    <w:p w14:paraId="18ABA955">
      <w:pPr>
        <w:numPr>
          <w:ilvl w:val="0"/>
          <w:numId w:val="2"/>
        </w:numPr>
        <w:spacing w:beforeLines="0" w:afterLines="0"/>
        <w:ind w:left="235" w:leftChars="0" w:hanging="235" w:hangingChars="112"/>
        <w:jc w:val="left"/>
        <w:rPr>
          <w:rFonts w:hint="default" w:ascii="Times New Roman" w:hAnsi="Times New Roman" w:cs="Times New Roman"/>
          <w:sz w:val="21"/>
          <w:szCs w:val="24"/>
        </w:rPr>
      </w:pPr>
      <w:r>
        <w:rPr>
          <w:rFonts w:hint="default" w:ascii="Times New Roman" w:hAnsi="Times New Roman" w:cs="Times New Roman"/>
          <w:sz w:val="21"/>
          <w:szCs w:val="24"/>
        </w:rPr>
        <w:t xml:space="preserve">Liu, X., Shen, P., Xu, X., Meng, L., Ni, J., Lin, G., &amp; Jiao, F. (2025). The study of blended teaching based on knowledge graph: The case of clinical microbiology examination course. </w:t>
      </w:r>
      <w:r>
        <w:rPr>
          <w:rFonts w:hint="default" w:ascii="Times New Roman" w:hAnsi="Times New Roman" w:cs="Times New Roman"/>
          <w:i/>
          <w:sz w:val="21"/>
          <w:szCs w:val="24"/>
        </w:rPr>
        <w:t>Education and Information Technologies</w:t>
      </w:r>
      <w:r>
        <w:rPr>
          <w:rFonts w:hint="default" w:ascii="Times New Roman" w:hAnsi="Times New Roman" w:cs="Times New Roman"/>
          <w:sz w:val="21"/>
          <w:szCs w:val="24"/>
        </w:rPr>
        <w:t xml:space="preserve">, </w:t>
      </w:r>
      <w:r>
        <w:rPr>
          <w:rFonts w:hint="default" w:ascii="Times New Roman" w:hAnsi="Times New Roman" w:cs="Times New Roman"/>
          <w:i/>
          <w:sz w:val="21"/>
          <w:szCs w:val="24"/>
        </w:rPr>
        <w:t>30</w:t>
      </w:r>
      <w:r>
        <w:rPr>
          <w:rFonts w:hint="default" w:ascii="Times New Roman" w:hAnsi="Times New Roman" w:cs="Times New Roman"/>
          <w:sz w:val="21"/>
          <w:szCs w:val="24"/>
        </w:rPr>
        <w:t>(16), 22841–22863. https://doi.org/10.1007/s10639-025-13626-1</w:t>
      </w:r>
    </w:p>
    <w:p w14:paraId="44E45F73">
      <w:pPr>
        <w:numPr>
          <w:ilvl w:val="0"/>
          <w:numId w:val="2"/>
        </w:numPr>
        <w:spacing w:beforeLines="0" w:afterLines="0"/>
        <w:ind w:left="235" w:leftChars="0" w:hanging="235" w:hangingChars="112"/>
        <w:jc w:val="left"/>
        <w:rPr>
          <w:rFonts w:hint="default" w:ascii="Times New Roman" w:hAnsi="Times New Roman" w:cs="Times New Roman"/>
          <w:sz w:val="21"/>
          <w:szCs w:val="24"/>
        </w:rPr>
      </w:pPr>
      <w:r>
        <w:rPr>
          <w:rFonts w:hint="default" w:ascii="Times New Roman" w:hAnsi="Times New Roman" w:cs="Times New Roman"/>
          <w:sz w:val="21"/>
          <w:szCs w:val="24"/>
        </w:rPr>
        <w:t xml:space="preserve">Liu, Z. (2025). Teaching Strategies of Junior High School Mathematics Classroom Based on Problem-Driven Method. </w:t>
      </w:r>
      <w:r>
        <w:rPr>
          <w:rFonts w:hint="default" w:ascii="Times New Roman" w:hAnsi="Times New Roman" w:cs="Times New Roman"/>
          <w:i/>
          <w:sz w:val="21"/>
          <w:szCs w:val="24"/>
        </w:rPr>
        <w:t>Education Reform and Development</w:t>
      </w:r>
      <w:r>
        <w:rPr>
          <w:rFonts w:hint="default" w:ascii="Times New Roman" w:hAnsi="Times New Roman" w:cs="Times New Roman"/>
          <w:sz w:val="21"/>
          <w:szCs w:val="24"/>
        </w:rPr>
        <w:t xml:space="preserve">, </w:t>
      </w:r>
      <w:r>
        <w:rPr>
          <w:rFonts w:hint="default" w:ascii="Times New Roman" w:hAnsi="Times New Roman" w:cs="Times New Roman"/>
          <w:i/>
          <w:sz w:val="21"/>
          <w:szCs w:val="24"/>
        </w:rPr>
        <w:t>7</w:t>
      </w:r>
      <w:r>
        <w:rPr>
          <w:rFonts w:hint="default" w:ascii="Times New Roman" w:hAnsi="Times New Roman" w:cs="Times New Roman"/>
          <w:sz w:val="21"/>
          <w:szCs w:val="24"/>
        </w:rPr>
        <w:t>(8), 15–21. https://doi.org/10.26689/erd.v7i8.11719</w:t>
      </w:r>
    </w:p>
    <w:p w14:paraId="2ED4054B">
      <w:pPr>
        <w:numPr>
          <w:ilvl w:val="0"/>
          <w:numId w:val="2"/>
        </w:numPr>
        <w:spacing w:beforeLines="0" w:afterLines="0"/>
        <w:ind w:left="235" w:leftChars="0" w:hanging="235" w:hangingChars="112"/>
        <w:jc w:val="left"/>
        <w:rPr>
          <w:rFonts w:hint="default" w:ascii="Times New Roman" w:hAnsi="Times New Roman" w:cs="Times New Roman"/>
          <w:sz w:val="21"/>
          <w:szCs w:val="24"/>
        </w:rPr>
      </w:pPr>
      <w:r>
        <w:rPr>
          <w:rFonts w:hint="default" w:ascii="Times New Roman" w:hAnsi="Times New Roman" w:cs="Times New Roman"/>
          <w:sz w:val="21"/>
          <w:szCs w:val="24"/>
        </w:rPr>
        <w:t xml:space="preserve">Mohd Tajudin, N., Puteh, M., &amp; Adnan, M. (2018). Guiding Principles to Foster Higher Order Thinking Skills in Teaching and Learning of Mathematics. </w:t>
      </w:r>
      <w:r>
        <w:rPr>
          <w:rFonts w:hint="default" w:ascii="Times New Roman" w:hAnsi="Times New Roman" w:cs="Times New Roman"/>
          <w:i/>
          <w:sz w:val="21"/>
          <w:szCs w:val="24"/>
        </w:rPr>
        <w:t>International Journal of Engineering and Technology</w:t>
      </w:r>
      <w:r>
        <w:rPr>
          <w:rFonts w:hint="default" w:ascii="Times New Roman" w:hAnsi="Times New Roman" w:cs="Times New Roman"/>
          <w:sz w:val="21"/>
          <w:szCs w:val="24"/>
        </w:rPr>
        <w:t xml:space="preserve">, </w:t>
      </w:r>
      <w:r>
        <w:rPr>
          <w:rFonts w:hint="default" w:ascii="Times New Roman" w:hAnsi="Times New Roman" w:cs="Times New Roman"/>
          <w:i/>
          <w:sz w:val="21"/>
          <w:szCs w:val="24"/>
        </w:rPr>
        <w:t>7</w:t>
      </w:r>
      <w:r>
        <w:rPr>
          <w:rFonts w:hint="default" w:ascii="Times New Roman" w:hAnsi="Times New Roman" w:cs="Times New Roman"/>
          <w:sz w:val="21"/>
          <w:szCs w:val="24"/>
        </w:rPr>
        <w:t>, 195–199. https://doi.org/10.14419/ijet.v7i4.15.21445</w:t>
      </w:r>
    </w:p>
    <w:p w14:paraId="40B98E8B">
      <w:pPr>
        <w:numPr>
          <w:ilvl w:val="0"/>
          <w:numId w:val="2"/>
        </w:numPr>
        <w:spacing w:beforeLines="0" w:afterLines="0"/>
        <w:ind w:left="235" w:leftChars="0" w:hanging="235" w:hangingChars="112"/>
        <w:jc w:val="left"/>
        <w:rPr>
          <w:rFonts w:hint="default" w:ascii="Times New Roman" w:hAnsi="Times New Roman" w:cs="Times New Roman"/>
          <w:sz w:val="21"/>
          <w:szCs w:val="24"/>
        </w:rPr>
      </w:pPr>
      <w:r>
        <w:rPr>
          <w:rFonts w:hint="default" w:ascii="Times New Roman" w:hAnsi="Times New Roman" w:cs="Times New Roman"/>
          <w:sz w:val="21"/>
          <w:szCs w:val="24"/>
        </w:rPr>
        <w:t xml:space="preserve">Qin, S., &amp; Li, L. (2026). Interactive Teaching Evaluation Method Based on KG-CQA. </w:t>
      </w:r>
      <w:r>
        <w:rPr>
          <w:rFonts w:hint="default" w:ascii="Times New Roman" w:hAnsi="Times New Roman" w:cs="Times New Roman"/>
          <w:i/>
          <w:sz w:val="21"/>
          <w:szCs w:val="24"/>
        </w:rPr>
        <w:t>International Journal of Computational Intelligence Systems</w:t>
      </w:r>
      <w:r>
        <w:rPr>
          <w:rFonts w:hint="default" w:ascii="Times New Roman" w:hAnsi="Times New Roman" w:cs="Times New Roman"/>
          <w:sz w:val="21"/>
          <w:szCs w:val="24"/>
        </w:rPr>
        <w:t xml:space="preserve">, </w:t>
      </w:r>
      <w:r>
        <w:rPr>
          <w:rFonts w:hint="default" w:ascii="Times New Roman" w:hAnsi="Times New Roman" w:cs="Times New Roman"/>
          <w:i/>
          <w:sz w:val="21"/>
          <w:szCs w:val="24"/>
        </w:rPr>
        <w:t>19</w:t>
      </w:r>
      <w:r>
        <w:rPr>
          <w:rFonts w:hint="default" w:ascii="Times New Roman" w:hAnsi="Times New Roman" w:cs="Times New Roman"/>
          <w:sz w:val="21"/>
          <w:szCs w:val="24"/>
        </w:rPr>
        <w:t>(1), 46. https://doi.org/10.1007/s44196-025-01139-1</w:t>
      </w:r>
    </w:p>
    <w:p w14:paraId="0AEA9C9E">
      <w:pPr>
        <w:numPr>
          <w:ilvl w:val="0"/>
          <w:numId w:val="2"/>
        </w:numPr>
        <w:spacing w:beforeLines="0" w:afterLines="0"/>
        <w:ind w:left="235" w:leftChars="0" w:hanging="235" w:hangingChars="112"/>
        <w:jc w:val="left"/>
        <w:rPr>
          <w:rFonts w:hint="default" w:ascii="Times New Roman" w:hAnsi="Times New Roman" w:cs="Times New Roman"/>
          <w:sz w:val="21"/>
          <w:szCs w:val="24"/>
        </w:rPr>
      </w:pPr>
      <w:r>
        <w:rPr>
          <w:rFonts w:hint="default" w:ascii="Times New Roman" w:hAnsi="Times New Roman" w:cs="Times New Roman"/>
          <w:sz w:val="21"/>
          <w:szCs w:val="24"/>
        </w:rPr>
        <w:t xml:space="preserve">Santagata, R., Fuentes Acevedo, P., Kimmerling, C., Pelayo, R., Pantano, A., &amp; Tschönhens, F. (2026). Fostering expansive noticing practices through video-based professional development in college mathematics. </w:t>
      </w:r>
      <w:r>
        <w:rPr>
          <w:rFonts w:hint="default" w:ascii="Times New Roman" w:hAnsi="Times New Roman" w:cs="Times New Roman"/>
          <w:i/>
          <w:sz w:val="21"/>
          <w:szCs w:val="24"/>
        </w:rPr>
        <w:t>ZDM – Mathematics Education</w:t>
      </w:r>
      <w:r>
        <w:rPr>
          <w:rFonts w:hint="default" w:ascii="Times New Roman" w:hAnsi="Times New Roman" w:cs="Times New Roman"/>
          <w:sz w:val="21"/>
          <w:szCs w:val="24"/>
        </w:rPr>
        <w:t xml:space="preserve">, </w:t>
      </w:r>
      <w:r>
        <w:rPr>
          <w:rFonts w:hint="default" w:ascii="Times New Roman" w:hAnsi="Times New Roman" w:cs="Times New Roman"/>
          <w:i/>
          <w:sz w:val="21"/>
          <w:szCs w:val="24"/>
        </w:rPr>
        <w:t>58</w:t>
      </w:r>
      <w:r>
        <w:rPr>
          <w:rFonts w:hint="default" w:ascii="Times New Roman" w:hAnsi="Times New Roman" w:cs="Times New Roman"/>
          <w:sz w:val="21"/>
          <w:szCs w:val="24"/>
        </w:rPr>
        <w:t>(1–2), 295–309. https://doi.org/10.1007/s11858-025-01744-6</w:t>
      </w:r>
    </w:p>
    <w:p w14:paraId="20979744">
      <w:pPr>
        <w:numPr>
          <w:ilvl w:val="0"/>
          <w:numId w:val="2"/>
        </w:numPr>
        <w:spacing w:beforeLines="0" w:afterLines="0"/>
        <w:ind w:left="235" w:leftChars="0" w:hanging="235" w:hangingChars="112"/>
        <w:jc w:val="left"/>
        <w:rPr>
          <w:rFonts w:hint="default" w:ascii="Times New Roman" w:hAnsi="Times New Roman" w:cs="Times New Roman"/>
          <w:sz w:val="21"/>
          <w:szCs w:val="24"/>
        </w:rPr>
      </w:pPr>
      <w:r>
        <w:rPr>
          <w:rFonts w:hint="default" w:ascii="Times New Roman" w:hAnsi="Times New Roman" w:cs="Times New Roman"/>
          <w:sz w:val="21"/>
          <w:szCs w:val="24"/>
        </w:rPr>
        <w:t xml:space="preserve">Szilágyi, S., Körei, A., &amp; Vaičiulytė, I. (2025). Teaching and Learning Trochoid Curves: The Importance of LEGO® Drawing Robots and Educational Robotics in Tertiary Mathematics Education. </w:t>
      </w:r>
      <w:r>
        <w:rPr>
          <w:rFonts w:hint="default" w:ascii="Times New Roman" w:hAnsi="Times New Roman" w:cs="Times New Roman"/>
          <w:i/>
          <w:sz w:val="21"/>
          <w:szCs w:val="24"/>
        </w:rPr>
        <w:t>Education Sciences</w:t>
      </w:r>
      <w:r>
        <w:rPr>
          <w:rFonts w:hint="default" w:ascii="Times New Roman" w:hAnsi="Times New Roman" w:cs="Times New Roman"/>
          <w:sz w:val="21"/>
          <w:szCs w:val="24"/>
        </w:rPr>
        <w:t xml:space="preserve">, </w:t>
      </w:r>
      <w:r>
        <w:rPr>
          <w:rFonts w:hint="default" w:ascii="Times New Roman" w:hAnsi="Times New Roman" w:cs="Times New Roman"/>
          <w:i/>
          <w:sz w:val="21"/>
          <w:szCs w:val="24"/>
        </w:rPr>
        <w:t>15</w:t>
      </w:r>
      <w:r>
        <w:rPr>
          <w:rFonts w:hint="default" w:ascii="Times New Roman" w:hAnsi="Times New Roman" w:cs="Times New Roman"/>
          <w:sz w:val="21"/>
          <w:szCs w:val="24"/>
        </w:rPr>
        <w:t>(11), 1472. https://doi.org/10.3390/educsci15111472</w:t>
      </w:r>
    </w:p>
    <w:p w14:paraId="7C504C15">
      <w:pPr>
        <w:numPr>
          <w:ilvl w:val="0"/>
          <w:numId w:val="2"/>
        </w:numPr>
        <w:spacing w:beforeLines="0" w:afterLines="0"/>
        <w:ind w:left="235" w:leftChars="0" w:hanging="235" w:hangingChars="112"/>
        <w:jc w:val="left"/>
        <w:rPr>
          <w:rFonts w:hint="default" w:ascii="Times New Roman" w:hAnsi="Times New Roman" w:cs="Times New Roman"/>
          <w:sz w:val="21"/>
          <w:szCs w:val="24"/>
        </w:rPr>
      </w:pPr>
      <w:r>
        <w:rPr>
          <w:rFonts w:hint="default" w:ascii="Times New Roman" w:hAnsi="Times New Roman" w:cs="Times New Roman"/>
          <w:sz w:val="21"/>
          <w:szCs w:val="24"/>
        </w:rPr>
        <w:t xml:space="preserve">Tajudin, N. M., Puteh, M., &amp; Adnan, M. (2017). Developing Themes of Guiding Principles to Foster Higher Order Thinking Skills in Teaching and Learning of Mathematics. </w:t>
      </w:r>
      <w:r>
        <w:rPr>
          <w:rFonts w:hint="default" w:ascii="Times New Roman" w:hAnsi="Times New Roman" w:cs="Times New Roman"/>
          <w:i/>
          <w:sz w:val="21"/>
          <w:szCs w:val="24"/>
        </w:rPr>
        <w:t>International Journal of Academic Research in Progressive Education and Development</w:t>
      </w:r>
      <w:r>
        <w:rPr>
          <w:rFonts w:hint="default" w:ascii="Times New Roman" w:hAnsi="Times New Roman" w:cs="Times New Roman"/>
          <w:sz w:val="21"/>
          <w:szCs w:val="24"/>
        </w:rPr>
        <w:t xml:space="preserve">, </w:t>
      </w:r>
      <w:r>
        <w:rPr>
          <w:rFonts w:hint="default" w:ascii="Times New Roman" w:hAnsi="Times New Roman" w:cs="Times New Roman"/>
          <w:i/>
          <w:sz w:val="21"/>
          <w:szCs w:val="24"/>
        </w:rPr>
        <w:t>6</w:t>
      </w:r>
      <w:r>
        <w:rPr>
          <w:rFonts w:hint="default" w:ascii="Times New Roman" w:hAnsi="Times New Roman" w:cs="Times New Roman"/>
          <w:sz w:val="21"/>
          <w:szCs w:val="24"/>
        </w:rPr>
        <w:t>(4), Pages 90-103. https://doi.org/10.6007/IJARPED/v6-i4/3464</w:t>
      </w:r>
    </w:p>
    <w:p w14:paraId="2A05FB8C">
      <w:pPr>
        <w:numPr>
          <w:ilvl w:val="0"/>
          <w:numId w:val="2"/>
        </w:numPr>
        <w:spacing w:beforeLines="0" w:afterLines="0"/>
        <w:ind w:left="235" w:leftChars="0" w:hanging="235" w:hangingChars="112"/>
        <w:jc w:val="left"/>
        <w:rPr>
          <w:rFonts w:hint="default" w:ascii="Times New Roman" w:hAnsi="Times New Roman" w:cs="Times New Roman"/>
          <w:sz w:val="21"/>
          <w:szCs w:val="24"/>
        </w:rPr>
      </w:pPr>
      <w:r>
        <w:rPr>
          <w:rFonts w:hint="default" w:ascii="Times New Roman" w:hAnsi="Times New Roman" w:cs="Times New Roman"/>
          <w:sz w:val="21"/>
          <w:szCs w:val="24"/>
        </w:rPr>
        <w:t xml:space="preserve">Vergara, C., Bassaber, A., Núñez Nieto, P., Becerra, B., Hurtado, H., Santibáñez, D., &amp; Cofré, H. (2025). A map of collective pedagogical content knowledge as a basis for studying the development of biology teachers’ personal PCK of evolution. </w:t>
      </w:r>
      <w:r>
        <w:rPr>
          <w:rFonts w:hint="default" w:ascii="Times New Roman" w:hAnsi="Times New Roman" w:cs="Times New Roman"/>
          <w:i/>
          <w:sz w:val="21"/>
          <w:szCs w:val="24"/>
        </w:rPr>
        <w:t>International Journal of Science Education</w:t>
      </w:r>
      <w:r>
        <w:rPr>
          <w:rFonts w:hint="default" w:ascii="Times New Roman" w:hAnsi="Times New Roman" w:cs="Times New Roman"/>
          <w:sz w:val="21"/>
          <w:szCs w:val="24"/>
        </w:rPr>
        <w:t xml:space="preserve">, </w:t>
      </w:r>
      <w:r>
        <w:rPr>
          <w:rFonts w:hint="default" w:ascii="Times New Roman" w:hAnsi="Times New Roman" w:cs="Times New Roman"/>
          <w:i/>
          <w:sz w:val="21"/>
          <w:szCs w:val="24"/>
        </w:rPr>
        <w:t>47</w:t>
      </w:r>
      <w:r>
        <w:rPr>
          <w:rFonts w:hint="default" w:ascii="Times New Roman" w:hAnsi="Times New Roman" w:cs="Times New Roman"/>
          <w:sz w:val="21"/>
          <w:szCs w:val="24"/>
        </w:rPr>
        <w:t>(17), 2279–2301. https://doi.org/10.1080/09500693.2024.2381841</w:t>
      </w:r>
    </w:p>
    <w:p w14:paraId="0B8A138B">
      <w:pPr>
        <w:numPr>
          <w:ilvl w:val="0"/>
          <w:numId w:val="2"/>
        </w:numPr>
        <w:spacing w:beforeLines="0" w:afterLines="0"/>
        <w:ind w:left="235" w:leftChars="0" w:hanging="235" w:hangingChars="112"/>
        <w:jc w:val="left"/>
        <w:rPr>
          <w:rFonts w:hint="default" w:ascii="Times New Roman" w:hAnsi="Times New Roman" w:cs="Times New Roman"/>
          <w:sz w:val="21"/>
          <w:szCs w:val="24"/>
        </w:rPr>
      </w:pPr>
      <w:r>
        <w:rPr>
          <w:rFonts w:hint="default" w:ascii="Times New Roman" w:hAnsi="Times New Roman" w:cs="Times New Roman"/>
          <w:sz w:val="21"/>
          <w:szCs w:val="24"/>
        </w:rPr>
        <w:t>Yang, D., Zheng, J., Wang, B., Li, Z., &amp; Tian, X. (2026). A three-stage progressive teaching model for chemical safety e</w:t>
      </w:r>
      <w:bookmarkStart w:id="1" w:name="_GoBack"/>
      <w:bookmarkEnd w:id="1"/>
      <w:r>
        <w:rPr>
          <w:rFonts w:hint="default" w:ascii="Times New Roman" w:hAnsi="Times New Roman" w:cs="Times New Roman"/>
          <w:sz w:val="21"/>
          <w:szCs w:val="24"/>
        </w:rPr>
        <w:t xml:space="preserve">ngineering: Integrating flipped classroom and knowledge graphs for competency development. </w:t>
      </w:r>
      <w:r>
        <w:rPr>
          <w:rFonts w:hint="default" w:ascii="Times New Roman" w:hAnsi="Times New Roman" w:cs="Times New Roman"/>
          <w:i/>
          <w:sz w:val="21"/>
          <w:szCs w:val="24"/>
        </w:rPr>
        <w:t>Education for Chemical Engineers</w:t>
      </w:r>
      <w:r>
        <w:rPr>
          <w:rFonts w:hint="default" w:ascii="Times New Roman" w:hAnsi="Times New Roman" w:cs="Times New Roman"/>
          <w:sz w:val="21"/>
          <w:szCs w:val="24"/>
        </w:rPr>
        <w:t xml:space="preserve">, </w:t>
      </w:r>
      <w:r>
        <w:rPr>
          <w:rFonts w:hint="default" w:ascii="Times New Roman" w:hAnsi="Times New Roman" w:cs="Times New Roman"/>
          <w:i/>
          <w:sz w:val="21"/>
          <w:szCs w:val="24"/>
        </w:rPr>
        <w:t>54</w:t>
      </w:r>
      <w:r>
        <w:rPr>
          <w:rFonts w:hint="default" w:ascii="Times New Roman" w:hAnsi="Times New Roman" w:cs="Times New Roman"/>
          <w:sz w:val="21"/>
          <w:szCs w:val="24"/>
        </w:rPr>
        <w:t>, 100491. https://doi.org/10.1016/j.ece.2025.10.001</w:t>
      </w:r>
    </w:p>
    <w:p w14:paraId="74446925">
      <w:pPr>
        <w:numPr>
          <w:ilvl w:val="0"/>
          <w:numId w:val="2"/>
        </w:numPr>
        <w:spacing w:beforeLines="0" w:afterLines="0"/>
        <w:ind w:left="235" w:leftChars="0" w:hanging="235" w:hangingChars="112"/>
        <w:jc w:val="left"/>
        <w:rPr>
          <w:rFonts w:hint="default" w:ascii="Times New Roman" w:hAnsi="Times New Roman" w:cs="Times New Roman"/>
          <w:sz w:val="21"/>
          <w:szCs w:val="24"/>
        </w:rPr>
      </w:pPr>
      <w:r>
        <w:rPr>
          <w:rFonts w:hint="default" w:ascii="Times New Roman" w:hAnsi="Times New Roman" w:cs="Times New Roman"/>
          <w:sz w:val="21"/>
          <w:szCs w:val="24"/>
        </w:rPr>
        <w:t xml:space="preserve">Zheng Zhang. (2023). Exploration and Implementation of Problem Driven Learning Model in Obstetrics and Gynecology Education. </w:t>
      </w:r>
      <w:r>
        <w:rPr>
          <w:rFonts w:hint="default" w:ascii="Times New Roman" w:hAnsi="Times New Roman" w:cs="Times New Roman"/>
          <w:i/>
          <w:sz w:val="21"/>
          <w:szCs w:val="24"/>
        </w:rPr>
        <w:t>Advances in Educational Technology and Psychology</w:t>
      </w:r>
      <w:r>
        <w:rPr>
          <w:rFonts w:hint="default" w:ascii="Times New Roman" w:hAnsi="Times New Roman" w:cs="Times New Roman"/>
          <w:sz w:val="21"/>
          <w:szCs w:val="24"/>
        </w:rPr>
        <w:t xml:space="preserve">, </w:t>
      </w:r>
      <w:r>
        <w:rPr>
          <w:rFonts w:hint="default" w:ascii="Times New Roman" w:hAnsi="Times New Roman" w:cs="Times New Roman"/>
          <w:i/>
          <w:sz w:val="21"/>
          <w:szCs w:val="24"/>
        </w:rPr>
        <w:t>7</w:t>
      </w:r>
      <w:r>
        <w:rPr>
          <w:rFonts w:hint="default" w:ascii="Times New Roman" w:hAnsi="Times New Roman" w:cs="Times New Roman"/>
          <w:sz w:val="21"/>
          <w:szCs w:val="24"/>
        </w:rPr>
        <w:t>(12). https://doi.org/10.23977/aetp.2023.071218</w:t>
      </w:r>
    </w:p>
    <w:p w14:paraId="23FC9A28">
      <w:pPr>
        <w:ind w:left="235" w:leftChars="0" w:hanging="235" w:hangingChars="112"/>
        <w:rPr>
          <w:rFonts w:hint="default" w:ascii="Times New Roman" w:hAnsi="Times New Roman" w:cs="Times New Roman"/>
        </w:rPr>
      </w:pPr>
      <w:r>
        <w:rPr>
          <w:rFonts w:hint="default" w:ascii="Times New Roman" w:hAnsi="Times New Roman" w:cs="Times New Roman"/>
        </w:rPr>
        <w:fldChar w:fldCharType="end"/>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0" w:num="1"/>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094CE">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68F2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BF82D">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96C6D">
    <w:pPr>
      <w:pStyle w:val="12"/>
    </w:pPr>
    <w:r>
      <w:pict>
        <v:shape id="PowerPlusWaterMarkObject632754658" o:spid="_x0000_s4098" o:spt="136" type="#_x0000_t136" style="position:absolute;left:0pt;height:58.5pt;width:526.9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Arial;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111D9">
    <w:pPr>
      <w:pStyle w:val="12"/>
    </w:pPr>
    <w:r>
      <w:pict>
        <v:shape id="PowerPlusWaterMarkObject632754657" o:spid="_x0000_s4099" o:spt="136" type="#_x0000_t136" style="position:absolute;left:0pt;height:58.5pt;width:526.9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Arial;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1514E">
    <w:pPr>
      <w:pStyle w:val="12"/>
    </w:pPr>
    <w:r>
      <w:pict>
        <v:shape id="PowerPlusWaterMarkObject632754656" o:spid="_x0000_s4097" o:spt="136" type="#_x0000_t136" style="position:absolute;left:0pt;height:58.5pt;width:526.9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Arial;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89ABCA"/>
    <w:multiLevelType w:val="singleLevel"/>
    <w:tmpl w:val="8F89ABCA"/>
    <w:lvl w:ilvl="0" w:tentative="0">
      <w:start w:val="1"/>
      <w:numFmt w:val="decimal"/>
      <w:suff w:val="space"/>
      <w:lvlText w:val="%1."/>
      <w:lvlJc w:val="left"/>
    </w:lvl>
  </w:abstractNum>
  <w:abstractNum w:abstractNumId="1">
    <w:nsid w:val="CA18F5D0"/>
    <w:multiLevelType w:val="singleLevel"/>
    <w:tmpl w:val="CA18F5D0"/>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210"/>
  <w:drawingGridVerticalSpacing w:val="194"/>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85FC5"/>
    <w:rsid w:val="00172A27"/>
    <w:rsid w:val="001A2138"/>
    <w:rsid w:val="001E1FB6"/>
    <w:rsid w:val="00393CD6"/>
    <w:rsid w:val="00403AEE"/>
    <w:rsid w:val="00424B0B"/>
    <w:rsid w:val="00611BDD"/>
    <w:rsid w:val="00797FBC"/>
    <w:rsid w:val="008C6907"/>
    <w:rsid w:val="008D38F4"/>
    <w:rsid w:val="008D7A9B"/>
    <w:rsid w:val="009A47B2"/>
    <w:rsid w:val="00A06A0A"/>
    <w:rsid w:val="00A86C91"/>
    <w:rsid w:val="00B1391B"/>
    <w:rsid w:val="00B36F57"/>
    <w:rsid w:val="00B91828"/>
    <w:rsid w:val="00D04682"/>
    <w:rsid w:val="00E41C03"/>
    <w:rsid w:val="00F2530F"/>
    <w:rsid w:val="01282E62"/>
    <w:rsid w:val="04762C22"/>
    <w:rsid w:val="06691F53"/>
    <w:rsid w:val="06F81F89"/>
    <w:rsid w:val="07011CC2"/>
    <w:rsid w:val="070501F1"/>
    <w:rsid w:val="07644792"/>
    <w:rsid w:val="09284798"/>
    <w:rsid w:val="09AA04A0"/>
    <w:rsid w:val="09B01C47"/>
    <w:rsid w:val="0D507D2F"/>
    <w:rsid w:val="0E1F739B"/>
    <w:rsid w:val="0F2B6FD9"/>
    <w:rsid w:val="118B3352"/>
    <w:rsid w:val="11A51F14"/>
    <w:rsid w:val="11E95386"/>
    <w:rsid w:val="1202500A"/>
    <w:rsid w:val="137912FC"/>
    <w:rsid w:val="14810A3E"/>
    <w:rsid w:val="15ED5B6A"/>
    <w:rsid w:val="168D7A89"/>
    <w:rsid w:val="16EF0253"/>
    <w:rsid w:val="183C240D"/>
    <w:rsid w:val="1A9F7179"/>
    <w:rsid w:val="1AA24D9F"/>
    <w:rsid w:val="1B210BF7"/>
    <w:rsid w:val="1B313181"/>
    <w:rsid w:val="1B80142C"/>
    <w:rsid w:val="1BCF41AF"/>
    <w:rsid w:val="1CB81D5F"/>
    <w:rsid w:val="1E4F15D7"/>
    <w:rsid w:val="1F903714"/>
    <w:rsid w:val="1F9813B0"/>
    <w:rsid w:val="1FC102B2"/>
    <w:rsid w:val="1FE67DEC"/>
    <w:rsid w:val="20191E9C"/>
    <w:rsid w:val="20A84763"/>
    <w:rsid w:val="22993CC8"/>
    <w:rsid w:val="28DA2E89"/>
    <w:rsid w:val="295A3164"/>
    <w:rsid w:val="2A4254F9"/>
    <w:rsid w:val="2B4A5540"/>
    <w:rsid w:val="2BD33847"/>
    <w:rsid w:val="2CF00429"/>
    <w:rsid w:val="2D1F32F4"/>
    <w:rsid w:val="2D6C1676"/>
    <w:rsid w:val="2E4F3903"/>
    <w:rsid w:val="2F880DEC"/>
    <w:rsid w:val="316116E7"/>
    <w:rsid w:val="323B4D81"/>
    <w:rsid w:val="33FE78CF"/>
    <w:rsid w:val="3407106E"/>
    <w:rsid w:val="34B70380"/>
    <w:rsid w:val="34BE37C2"/>
    <w:rsid w:val="353A2B86"/>
    <w:rsid w:val="363C0B1D"/>
    <w:rsid w:val="36AE738B"/>
    <w:rsid w:val="37E64902"/>
    <w:rsid w:val="38156A94"/>
    <w:rsid w:val="3A15327D"/>
    <w:rsid w:val="3A2B3000"/>
    <w:rsid w:val="3ACC40D1"/>
    <w:rsid w:val="3AE174A3"/>
    <w:rsid w:val="3AFC7989"/>
    <w:rsid w:val="3B65269B"/>
    <w:rsid w:val="3CBC4C6B"/>
    <w:rsid w:val="3CDA7B9F"/>
    <w:rsid w:val="3CE676B2"/>
    <w:rsid w:val="3D725614"/>
    <w:rsid w:val="3D7B2612"/>
    <w:rsid w:val="3F5C4245"/>
    <w:rsid w:val="40AF35F2"/>
    <w:rsid w:val="42263ACC"/>
    <w:rsid w:val="42AD499A"/>
    <w:rsid w:val="42D9164B"/>
    <w:rsid w:val="43446334"/>
    <w:rsid w:val="43706711"/>
    <w:rsid w:val="440C56F0"/>
    <w:rsid w:val="44A84E71"/>
    <w:rsid w:val="45F002CC"/>
    <w:rsid w:val="4677335A"/>
    <w:rsid w:val="471F573B"/>
    <w:rsid w:val="477C0DDF"/>
    <w:rsid w:val="477DCE1E"/>
    <w:rsid w:val="47F57C70"/>
    <w:rsid w:val="49B72255"/>
    <w:rsid w:val="49E0054E"/>
    <w:rsid w:val="4AA523FB"/>
    <w:rsid w:val="4D94711C"/>
    <w:rsid w:val="4FE237A9"/>
    <w:rsid w:val="50776004"/>
    <w:rsid w:val="50A62A29"/>
    <w:rsid w:val="52295BA6"/>
    <w:rsid w:val="533407C0"/>
    <w:rsid w:val="54743D5F"/>
    <w:rsid w:val="557F370A"/>
    <w:rsid w:val="56142CB3"/>
    <w:rsid w:val="561A6DC2"/>
    <w:rsid w:val="565467E4"/>
    <w:rsid w:val="57315FD0"/>
    <w:rsid w:val="573E1E21"/>
    <w:rsid w:val="58062F18"/>
    <w:rsid w:val="580C1D0B"/>
    <w:rsid w:val="595E0345"/>
    <w:rsid w:val="595E728C"/>
    <w:rsid w:val="5AC91A52"/>
    <w:rsid w:val="5B487E91"/>
    <w:rsid w:val="5BA364E3"/>
    <w:rsid w:val="5BFF3590"/>
    <w:rsid w:val="5CF9550F"/>
    <w:rsid w:val="5D007686"/>
    <w:rsid w:val="5DB04F43"/>
    <w:rsid w:val="5DC15346"/>
    <w:rsid w:val="5E230446"/>
    <w:rsid w:val="5E452033"/>
    <w:rsid w:val="5E565A8E"/>
    <w:rsid w:val="5EDB41E5"/>
    <w:rsid w:val="5EFEBDE8"/>
    <w:rsid w:val="5F5F4E16"/>
    <w:rsid w:val="5FB25167"/>
    <w:rsid w:val="61377DF9"/>
    <w:rsid w:val="62EE3741"/>
    <w:rsid w:val="64926318"/>
    <w:rsid w:val="64A91C22"/>
    <w:rsid w:val="64AD7871"/>
    <w:rsid w:val="64F10AEE"/>
    <w:rsid w:val="66091638"/>
    <w:rsid w:val="671E148E"/>
    <w:rsid w:val="674548F2"/>
    <w:rsid w:val="68CA2609"/>
    <w:rsid w:val="68CC1AED"/>
    <w:rsid w:val="690E2FA5"/>
    <w:rsid w:val="69AC67B3"/>
    <w:rsid w:val="69BB0F42"/>
    <w:rsid w:val="6A637494"/>
    <w:rsid w:val="6A6D6639"/>
    <w:rsid w:val="6B0B7113"/>
    <w:rsid w:val="6BC54253"/>
    <w:rsid w:val="6BCF62E6"/>
    <w:rsid w:val="6CD3A16D"/>
    <w:rsid w:val="6D535020"/>
    <w:rsid w:val="6E5F49A6"/>
    <w:rsid w:val="6F59718C"/>
    <w:rsid w:val="6FFF37D2"/>
    <w:rsid w:val="704D50B7"/>
    <w:rsid w:val="70DE2EF1"/>
    <w:rsid w:val="740225A4"/>
    <w:rsid w:val="74D3353D"/>
    <w:rsid w:val="750E2E16"/>
    <w:rsid w:val="759354F2"/>
    <w:rsid w:val="75BF3AC1"/>
    <w:rsid w:val="773B1D96"/>
    <w:rsid w:val="777779B1"/>
    <w:rsid w:val="77FD4267"/>
    <w:rsid w:val="796230E1"/>
    <w:rsid w:val="7B803CF3"/>
    <w:rsid w:val="7BCB31C0"/>
    <w:rsid w:val="7C5F4108"/>
    <w:rsid w:val="7D692A50"/>
    <w:rsid w:val="7E6B2A38"/>
    <w:rsid w:val="7F79C282"/>
    <w:rsid w:val="7F7B6CAE"/>
    <w:rsid w:val="7FBD2B73"/>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link w:val="21"/>
    <w:qFormat/>
    <w:uiPriority w:val="0"/>
    <w:pPr>
      <w:keepNext/>
      <w:keepLines/>
      <w:spacing w:before="260" w:after="220"/>
      <w:outlineLvl w:val="0"/>
    </w:pPr>
    <w:rPr>
      <w:b/>
      <w:kern w:val="44"/>
      <w:sz w:val="36"/>
    </w:rPr>
  </w:style>
  <w:style w:type="paragraph" w:styleId="3">
    <w:name w:val="heading 2"/>
    <w:basedOn w:val="1"/>
    <w:next w:val="1"/>
    <w:unhideWhenUsed/>
    <w:qFormat/>
    <w:uiPriority w:val="0"/>
    <w:pPr>
      <w:keepNext/>
      <w:keepLines/>
      <w:spacing w:before="260" w:after="200"/>
      <w:outlineLvl w:val="1"/>
    </w:pPr>
    <w:rPr>
      <w:b/>
      <w:sz w:val="32"/>
    </w:rPr>
  </w:style>
  <w:style w:type="paragraph" w:styleId="4">
    <w:name w:val="heading 3"/>
    <w:basedOn w:val="1"/>
    <w:next w:val="1"/>
    <w:unhideWhenUsed/>
    <w:qFormat/>
    <w:uiPriority w:val="0"/>
    <w:pPr>
      <w:keepNext/>
      <w:keepLines/>
      <w:spacing w:before="260" w:after="180"/>
      <w:outlineLvl w:val="2"/>
    </w:pPr>
    <w:rPr>
      <w:b/>
      <w:sz w:val="30"/>
    </w:rPr>
  </w:style>
  <w:style w:type="paragraph" w:styleId="5">
    <w:name w:val="heading 4"/>
    <w:basedOn w:val="1"/>
    <w:next w:val="1"/>
    <w:unhideWhenUsed/>
    <w:qFormat/>
    <w:uiPriority w:val="0"/>
    <w:pPr>
      <w:keepNext/>
      <w:keepLines/>
      <w:spacing w:before="240" w:after="160"/>
      <w:outlineLvl w:val="3"/>
    </w:pPr>
    <w:rPr>
      <w:b/>
      <w:sz w:val="28"/>
    </w:rPr>
  </w:style>
  <w:style w:type="paragraph" w:styleId="6">
    <w:name w:val="heading 5"/>
    <w:basedOn w:val="1"/>
    <w:next w:val="1"/>
    <w:unhideWhenUsed/>
    <w:qFormat/>
    <w:uiPriority w:val="0"/>
    <w:pPr>
      <w:keepNext/>
      <w:keepLines/>
      <w:spacing w:before="240" w:after="160"/>
      <w:outlineLvl w:val="4"/>
    </w:pPr>
    <w:rPr>
      <w:b/>
      <w:sz w:val="28"/>
    </w:rPr>
  </w:style>
  <w:style w:type="paragraph" w:styleId="7">
    <w:name w:val="heading 6"/>
    <w:basedOn w:val="1"/>
    <w:next w:val="1"/>
    <w:unhideWhenUsed/>
    <w:qFormat/>
    <w:uiPriority w:val="0"/>
    <w:pPr>
      <w:keepNext/>
      <w:keepLines/>
      <w:spacing w:before="240" w:after="120"/>
      <w:outlineLvl w:val="5"/>
    </w:pPr>
    <w:rPr>
      <w:b/>
      <w:sz w:val="24"/>
    </w:rPr>
  </w:style>
  <w:style w:type="paragraph" w:styleId="8">
    <w:name w:val="heading 7"/>
    <w:basedOn w:val="1"/>
    <w:next w:val="1"/>
    <w:unhideWhenUsed/>
    <w:qFormat/>
    <w:uiPriority w:val="0"/>
    <w:pPr>
      <w:keepNext/>
      <w:keepLines/>
      <w:spacing w:before="240" w:after="120"/>
      <w:outlineLvl w:val="6"/>
    </w:pPr>
    <w:rPr>
      <w:b/>
      <w:sz w:val="24"/>
    </w:rPr>
  </w:style>
  <w:style w:type="paragraph" w:styleId="9">
    <w:name w:val="heading 8"/>
    <w:basedOn w:val="1"/>
    <w:next w:val="1"/>
    <w:unhideWhenUsed/>
    <w:qFormat/>
    <w:uiPriority w:val="0"/>
    <w:pPr>
      <w:keepNext/>
      <w:keepLines/>
      <w:spacing w:before="180" w:after="64"/>
      <w:outlineLvl w:val="7"/>
    </w:pPr>
    <w:rPr>
      <w:sz w:val="24"/>
    </w:rPr>
  </w:style>
  <w:style w:type="paragraph" w:styleId="10">
    <w:name w:val="heading 9"/>
    <w:basedOn w:val="1"/>
    <w:next w:val="1"/>
    <w:unhideWhenUsed/>
    <w:qFormat/>
    <w:uiPriority w:val="0"/>
    <w:pPr>
      <w:keepNext/>
      <w:keepLines/>
      <w:spacing w:before="180" w:after="64"/>
      <w:outlineLvl w:val="8"/>
    </w:p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25"/>
    <w:qFormat/>
    <w:uiPriority w:val="0"/>
    <w:pPr>
      <w:tabs>
        <w:tab w:val="center" w:pos="4680"/>
        <w:tab w:val="right" w:pos="9360"/>
      </w:tabs>
    </w:pPr>
  </w:style>
  <w:style w:type="paragraph" w:styleId="12">
    <w:name w:val="header"/>
    <w:basedOn w:val="1"/>
    <w:link w:val="24"/>
    <w:qFormat/>
    <w:uiPriority w:val="0"/>
    <w:pPr>
      <w:tabs>
        <w:tab w:val="center" w:pos="4680"/>
        <w:tab w:val="right" w:pos="9360"/>
      </w:tabs>
    </w:pPr>
  </w:style>
  <w:style w:type="paragraph" w:styleId="13">
    <w:name w:val="Normal (Web)"/>
    <w:basedOn w:val="1"/>
    <w:qFormat/>
    <w:uiPriority w:val="0"/>
    <w:pPr>
      <w:spacing w:beforeAutospacing="1" w:afterAutospacing="1"/>
      <w:jc w:val="left"/>
    </w:pPr>
    <w:rPr>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Emphasis"/>
    <w:basedOn w:val="16"/>
    <w:qFormat/>
    <w:uiPriority w:val="0"/>
    <w:rPr>
      <w:i/>
    </w:rPr>
  </w:style>
  <w:style w:type="character" w:styleId="19">
    <w:name w:val="Hyperlink"/>
    <w:basedOn w:val="16"/>
    <w:qFormat/>
    <w:uiPriority w:val="0"/>
    <w:rPr>
      <w:color w:val="0563C1" w:themeColor="hyperlink"/>
      <w:u w:val="single"/>
      <w14:textFill>
        <w14:solidFill>
          <w14:schemeClr w14:val="hlink"/>
        </w14:solidFill>
      </w14:textFill>
    </w:rPr>
  </w:style>
  <w:style w:type="character" w:styleId="20">
    <w:name w:val="HTML Code"/>
    <w:basedOn w:val="16"/>
    <w:qFormat/>
    <w:uiPriority w:val="0"/>
    <w:rPr>
      <w:rFonts w:ascii="Courier New" w:hAnsi="Courier New"/>
      <w:sz w:val="20"/>
    </w:rPr>
  </w:style>
  <w:style w:type="character" w:customStyle="1" w:styleId="21">
    <w:name w:val="Heading 1 Char"/>
    <w:link w:val="2"/>
    <w:qFormat/>
    <w:uiPriority w:val="0"/>
    <w:rPr>
      <w:rFonts w:ascii="Arial" w:hAnsi="Arial"/>
      <w:b/>
      <w:kern w:val="44"/>
      <w:sz w:val="36"/>
    </w:rPr>
  </w:style>
  <w:style w:type="paragraph" w:customStyle="1" w:styleId="22">
    <w:name w:val="Bibliography1"/>
    <w:basedOn w:val="1"/>
    <w:qFormat/>
    <w:uiPriority w:val="0"/>
    <w:pPr>
      <w:spacing w:line="480" w:lineRule="auto"/>
      <w:ind w:left="720" w:hanging="720"/>
    </w:pPr>
  </w:style>
  <w:style w:type="character" w:customStyle="1" w:styleId="23">
    <w:name w:val="Unresolved Mention"/>
    <w:basedOn w:val="16"/>
    <w:semiHidden/>
    <w:unhideWhenUsed/>
    <w:qFormat/>
    <w:uiPriority w:val="99"/>
    <w:rPr>
      <w:color w:val="605E5C"/>
      <w:shd w:val="clear" w:color="auto" w:fill="E1DFDD"/>
    </w:rPr>
  </w:style>
  <w:style w:type="character" w:customStyle="1" w:styleId="24">
    <w:name w:val="Header Char"/>
    <w:basedOn w:val="16"/>
    <w:link w:val="12"/>
    <w:qFormat/>
    <w:uiPriority w:val="0"/>
    <w:rPr>
      <w:rFonts w:ascii="Arial" w:hAnsi="Arial" w:eastAsia="微软雅黑"/>
      <w:kern w:val="2"/>
      <w:sz w:val="21"/>
      <w:szCs w:val="24"/>
      <w:lang w:eastAsia="zh-CN"/>
    </w:rPr>
  </w:style>
  <w:style w:type="character" w:customStyle="1" w:styleId="25">
    <w:name w:val="Footer Char"/>
    <w:basedOn w:val="16"/>
    <w:link w:val="11"/>
    <w:qFormat/>
    <w:uiPriority w:val="0"/>
    <w:rPr>
      <w:rFonts w:ascii="Arial" w:hAnsi="Arial" w:eastAsia="微软雅黑"/>
      <w:kern w:val="2"/>
      <w:sz w:val="21"/>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4740</Words>
  <Characters>31984</Characters>
  <Lines>546</Lines>
  <Paragraphs>153</Paragraphs>
  <TotalTime>0</TotalTime>
  <ScaleCrop>false</ScaleCrop>
  <LinksUpToDate>false</LinksUpToDate>
  <CharactersWithSpaces>36611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WJ</dc:creator>
  <cp:lastModifiedBy>wj</cp:lastModifiedBy>
  <dcterms:modified xsi:type="dcterms:W3CDTF">2026-02-06T09:46:42Z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woTemplateTypoMode" linkTarget="0">
    <vt:lpwstr/>
  </property>
  <property fmtid="{D5CDD505-2E9C-101B-9397-08002B2CF9AE}" pid="4" name="woTemplate" linkTarget="0">
    <vt:i4>0</vt:i4>
  </property>
  <property fmtid="{D5CDD505-2E9C-101B-9397-08002B2CF9AE}" pid="5" name="KSOTemplateDocerSaveRecord">
    <vt:lpwstr>eyJoZGlkIjoiMTkwNTY5NTYzYzk0ZjBhZWYxNDc2MjBhY2VkNDhlMzEiLCJ1c2VySWQiOiI2MDI0MzgxOTUifQ==</vt:lpwstr>
  </property>
  <property fmtid="{D5CDD505-2E9C-101B-9397-08002B2CF9AE}" pid="6" name="ICV">
    <vt:lpwstr>C0A52D5F166C4A2B950B750CD48FFB8B_12</vt:lpwstr>
  </property>
  <property fmtid="{D5CDD505-2E9C-101B-9397-08002B2CF9AE}" pid="7" name="ZOTERO_PREF_1">
    <vt:lpwstr>&lt;data data-version="3" zotero-version="8.0.1"&gt;&lt;session id="dMN20lDE"/&gt;&lt;style id="http://www.zotero.org/styles/apa" locale="en-US" hasBibliography="1" bibliographyStyleHasBeenSet="1"/&gt;&lt;prefs&gt;&lt;pref name="fieldType" value="Field"/&gt;&lt;/prefs&gt;&lt;/data&gt;</vt:lpwstr>
  </property>
</Properties>
</file>