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54C9A" w:rsidRPr="00A17E01" w:rsidRDefault="00E23231" w:rsidP="00441B6F">
      <w:pPr>
        <w:pStyle w:val="Title"/>
        <w:spacing w:after="0"/>
        <w:jc w:val="both"/>
        <w:rPr>
          <w:rFonts w:ascii="Arial" w:hAnsi="Arial" w:cs="Arial"/>
          <w:u w:val="single"/>
        </w:rPr>
      </w:pPr>
      <w:r w:rsidRPr="00A17E01">
        <w:rPr>
          <w:rFonts w:ascii="Arial" w:hAnsi="Arial" w:cs="Arial"/>
          <w:u w:val="single"/>
        </w:rPr>
        <w:t>Original Research Article</w:t>
      </w:r>
    </w:p>
    <w:p w:rsidR="00E23231" w:rsidRPr="00A17E01" w:rsidRDefault="00E23231" w:rsidP="00441B6F">
      <w:pPr>
        <w:pStyle w:val="Title"/>
        <w:spacing w:after="0"/>
        <w:jc w:val="both"/>
        <w:rPr>
          <w:rFonts w:ascii="Arial" w:hAnsi="Arial" w:cs="Arial"/>
          <w:u w:val="single"/>
        </w:rPr>
      </w:pPr>
    </w:p>
    <w:p w:rsidR="00163BC4" w:rsidRPr="00A17E01" w:rsidRDefault="00401927" w:rsidP="00063FF7">
      <w:pPr>
        <w:pStyle w:val="Author"/>
        <w:spacing w:line="240" w:lineRule="auto"/>
        <w:rPr>
          <w:rFonts w:ascii="Arial" w:hAnsi="Arial" w:cs="Arial"/>
          <w:bCs/>
          <w:iCs/>
          <w:kern w:val="28"/>
          <w:sz w:val="36"/>
          <w:szCs w:val="36"/>
        </w:rPr>
      </w:pPr>
      <w:r w:rsidRPr="00A17E01">
        <w:rPr>
          <w:rFonts w:ascii="Arial" w:hAnsi="Arial" w:cs="Arial"/>
          <w:bCs/>
          <w:iCs/>
          <w:kern w:val="28"/>
          <w:sz w:val="36"/>
          <w:szCs w:val="36"/>
        </w:rPr>
        <w:t>T</w:t>
      </w:r>
      <w:r w:rsidR="00063FF7" w:rsidRPr="00A17E01">
        <w:rPr>
          <w:rFonts w:ascii="Arial" w:hAnsi="Arial" w:cs="Arial"/>
          <w:bCs/>
          <w:iCs/>
          <w:kern w:val="28"/>
          <w:sz w:val="36"/>
          <w:szCs w:val="36"/>
        </w:rPr>
        <w:t xml:space="preserve">eachers’ </w:t>
      </w:r>
      <w:r w:rsidR="00063FF7" w:rsidRPr="00A17E01">
        <w:rPr>
          <w:rFonts w:ascii="Arial" w:hAnsi="Arial" w:cs="Arial"/>
          <w:sz w:val="36"/>
          <w:szCs w:val="36"/>
        </w:rPr>
        <w:t>Perceptions of Academic Achievement in Autonomous Colleges: A Gender and Rural–Urban Analysis</w:t>
      </w:r>
    </w:p>
    <w:p w:rsidR="00A258C3" w:rsidRPr="00A17E01" w:rsidRDefault="00A258C3" w:rsidP="00441B6F">
      <w:pPr>
        <w:pStyle w:val="Author"/>
        <w:spacing w:line="240" w:lineRule="auto"/>
        <w:jc w:val="both"/>
        <w:rPr>
          <w:rFonts w:ascii="Arial" w:hAnsi="Arial" w:cs="Arial"/>
          <w:sz w:val="36"/>
        </w:rPr>
      </w:pPr>
    </w:p>
    <w:p w:rsidR="00063FF7" w:rsidRPr="00A17E01" w:rsidRDefault="00063FF7" w:rsidP="00063FF7">
      <w:pPr>
        <w:pStyle w:val="Affiliation"/>
        <w:spacing w:after="0" w:line="240" w:lineRule="auto"/>
        <w:rPr>
          <w:rFonts w:ascii="Arial" w:hAnsi="Arial" w:cs="Arial"/>
          <w:i/>
        </w:rPr>
      </w:pPr>
    </w:p>
    <w:p w:rsidR="00B01FCD" w:rsidRPr="00A17E01" w:rsidRDefault="00152D4C" w:rsidP="00441B6F">
      <w:pPr>
        <w:pStyle w:val="Copyright"/>
        <w:spacing w:after="0" w:line="240" w:lineRule="auto"/>
        <w:jc w:val="both"/>
        <w:rPr>
          <w:rFonts w:ascii="Arial" w:hAnsi="Arial" w:cs="Arial"/>
        </w:rPr>
        <w:sectPr w:rsidR="00B01FCD" w:rsidRPr="00A17E01" w:rsidSect="0084258D">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rPr>
      </w:r>
      <w:r>
        <w:rPr>
          <w:rFonts w:ascii="Arial" w:hAnsi="Arial" w:cs="Arial"/>
        </w:rPr>
        <w:pict>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FB3A86" w:rsidRPr="00A17E01">
        <w:rPr>
          <w:rFonts w:ascii="Arial" w:hAnsi="Arial" w:cs="Arial"/>
        </w:rPr>
        <w:t>.</w:t>
      </w:r>
    </w:p>
    <w:p w:rsidR="00790ADA" w:rsidRPr="00A17E01" w:rsidRDefault="00B01FCD" w:rsidP="00441B6F">
      <w:pPr>
        <w:pStyle w:val="AbstHead"/>
        <w:spacing w:after="0"/>
        <w:jc w:val="both"/>
        <w:rPr>
          <w:rFonts w:ascii="Arial" w:hAnsi="Arial" w:cs="Arial"/>
        </w:rPr>
      </w:pPr>
      <w:r w:rsidRPr="00A17E01">
        <w:rPr>
          <w:rFonts w:ascii="Arial" w:hAnsi="Arial" w:cs="Arial"/>
        </w:rPr>
        <w:t>ABSTRACT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296529" w:rsidRPr="007325FD" w:rsidTr="001E44FE">
        <w:tc>
          <w:tcPr>
            <w:tcW w:w="9576" w:type="dxa"/>
            <w:shd w:val="clear" w:color="auto" w:fill="F2F2F2"/>
          </w:tcPr>
          <w:p w:rsidR="00505F06" w:rsidRPr="007325FD" w:rsidRDefault="007325FD" w:rsidP="007325FD">
            <w:pPr>
              <w:pStyle w:val="NormalWeb"/>
              <w:jc w:val="both"/>
              <w:rPr>
                <w:rFonts w:ascii="Arial" w:eastAsia="Calibri" w:hAnsi="Arial" w:cs="Arial"/>
                <w:sz w:val="20"/>
                <w:szCs w:val="20"/>
              </w:rPr>
            </w:pPr>
            <w:r w:rsidRPr="007325FD">
              <w:rPr>
                <w:rFonts w:ascii="Arial" w:hAnsi="Arial" w:cs="Arial"/>
                <w:sz w:val="20"/>
                <w:szCs w:val="20"/>
              </w:rPr>
              <w:t>Academic achievement in higher education is shaped by a complex interaction of institutional, socio-cultural, and demographic factors. In autonomous colleges, where academic flexibility and curricular innovations are emphasised, teachers play a crucial role in interpreting and supporting student achievement outcomes. The present study examines teachers’ perceptions of academic achievement in autonomous colleges with particular reference to gender differences and rural–urban contexts. Using a descriptive survey design, data were collected from college teachers through a structured questionnaire focusing on factors influencing student performance, learning engagement, and institutional support mechanisms. The findings highlight that teachers perceive academic achievement as influenced not only by students’ cognitive abilities but also by motivational factors, learning environment, and socio-economic background. Significant perceptual variations were observed across gender and rural–urban groups, indicating that contextual disparities continue to shape academic outcomes even within autonomous institutional frameworks. The study underscores the need for inclusive pedagogical strategies and targeted academic support systems to bridge gender- and location-based achievement gaps. The findings contribute to ongoing discussions on equity, quality enhancement, and student success in autonomous higher education institutions.</w:t>
            </w:r>
          </w:p>
        </w:tc>
      </w:tr>
    </w:tbl>
    <w:p w:rsidR="007325FD" w:rsidRPr="007325FD" w:rsidRDefault="00A24E7E" w:rsidP="007325FD">
      <w:pPr>
        <w:pStyle w:val="Heading2"/>
        <w:jc w:val="both"/>
        <w:rPr>
          <w:rFonts w:ascii="Arial" w:hAnsi="Arial" w:cs="Arial"/>
          <w:b w:val="0"/>
          <w:color w:val="auto"/>
          <w:sz w:val="20"/>
          <w:szCs w:val="20"/>
        </w:rPr>
      </w:pPr>
      <w:r w:rsidRPr="000D17D3">
        <w:rPr>
          <w:rFonts w:ascii="Arial" w:hAnsi="Arial" w:cs="Arial"/>
          <w:i/>
          <w:color w:val="auto"/>
          <w:sz w:val="20"/>
          <w:szCs w:val="20"/>
        </w:rPr>
        <w:t>Keywords:</w:t>
      </w:r>
      <w:r w:rsidRPr="007325FD">
        <w:rPr>
          <w:rFonts w:ascii="Arial" w:hAnsi="Arial" w:cs="Arial"/>
          <w:b w:val="0"/>
          <w:i/>
          <w:color w:val="auto"/>
          <w:sz w:val="20"/>
          <w:szCs w:val="20"/>
        </w:rPr>
        <w:t xml:space="preserve"> </w:t>
      </w:r>
      <w:r w:rsidR="007325FD" w:rsidRPr="007325FD">
        <w:rPr>
          <w:rFonts w:ascii="Arial" w:hAnsi="Arial" w:cs="Arial"/>
          <w:b w:val="0"/>
          <w:color w:val="auto"/>
          <w:sz w:val="20"/>
          <w:szCs w:val="20"/>
        </w:rPr>
        <w:t>Academic achievement; teachers’ perceptions; autonomous colleges; gender differences; rural–urban disparity; higher education; student performance</w:t>
      </w:r>
    </w:p>
    <w:p w:rsidR="00A24E7E" w:rsidRPr="00A17E01" w:rsidRDefault="00A24E7E" w:rsidP="00441B6F">
      <w:pPr>
        <w:pStyle w:val="Body"/>
        <w:spacing w:after="0"/>
        <w:rPr>
          <w:rFonts w:ascii="Arial" w:hAnsi="Arial" w:cs="Arial"/>
          <w:i/>
        </w:rPr>
      </w:pPr>
    </w:p>
    <w:p w:rsidR="00790ADA" w:rsidRPr="00A17E01" w:rsidRDefault="00790ADA" w:rsidP="00441B6F">
      <w:pPr>
        <w:pStyle w:val="Body"/>
        <w:spacing w:after="0"/>
        <w:rPr>
          <w:rFonts w:ascii="Arial" w:hAnsi="Arial" w:cs="Arial"/>
          <w:i/>
        </w:rPr>
      </w:pPr>
    </w:p>
    <w:p w:rsidR="007F7B32" w:rsidRPr="00A17E01" w:rsidRDefault="00902823" w:rsidP="00441B6F">
      <w:pPr>
        <w:pStyle w:val="AbstHead"/>
        <w:spacing w:after="0"/>
        <w:jc w:val="both"/>
        <w:rPr>
          <w:rFonts w:ascii="Arial" w:hAnsi="Arial" w:cs="Arial"/>
        </w:rPr>
      </w:pPr>
      <w:r w:rsidRPr="00A17E01">
        <w:rPr>
          <w:rFonts w:ascii="Arial" w:hAnsi="Arial" w:cs="Arial"/>
        </w:rPr>
        <w:t xml:space="preserve">1. </w:t>
      </w:r>
      <w:r w:rsidR="00B01FCD" w:rsidRPr="00A17E01">
        <w:rPr>
          <w:rFonts w:ascii="Arial" w:hAnsi="Arial" w:cs="Arial"/>
        </w:rPr>
        <w:t>INTRODUCTION</w:t>
      </w:r>
    </w:p>
    <w:p w:rsidR="008322DA" w:rsidRPr="00A17E01" w:rsidRDefault="008322DA" w:rsidP="00605A23">
      <w:pPr>
        <w:spacing w:line="360" w:lineRule="auto"/>
        <w:jc w:val="both"/>
        <w:rPr>
          <w:rFonts w:ascii="Arial" w:hAnsi="Arial" w:cs="Arial"/>
          <w:lang w:val="en-IN" w:eastAsia="en-IN"/>
        </w:rPr>
      </w:pPr>
      <w:r w:rsidRPr="00A17E01">
        <w:rPr>
          <w:rFonts w:ascii="Arial" w:hAnsi="Arial" w:cs="Arial"/>
          <w:lang w:val="en-IN" w:eastAsia="en-IN"/>
        </w:rPr>
        <w:t>Academic achievement remains a central indicator of institutional effectiveness in higher education, reflecting not only students’ learning outcomes but also the quality of teaching, assessment practices, and academic support systems</w:t>
      </w:r>
      <w:r w:rsidR="00605A23" w:rsidRPr="00A17E01">
        <w:rPr>
          <w:rFonts w:ascii="Arial" w:hAnsi="Arial" w:cs="Arial"/>
          <w:lang w:val="en-IN" w:eastAsia="en-IN"/>
        </w:rPr>
        <w:t xml:space="preserve"> (</w:t>
      </w:r>
      <w:r w:rsidR="00605A23" w:rsidRPr="00A17E01">
        <w:rPr>
          <w:rFonts w:ascii="Arial" w:hAnsi="Arial" w:cs="Arial"/>
        </w:rPr>
        <w:t xml:space="preserve">Jenkins, 2007; </w:t>
      </w:r>
      <w:proofErr w:type="spellStart"/>
      <w:r w:rsidR="00605A23" w:rsidRPr="00A17E01">
        <w:rPr>
          <w:rFonts w:ascii="Arial" w:hAnsi="Arial" w:cs="Arial"/>
          <w:lang w:val="en-IN" w:eastAsia="en-IN"/>
        </w:rPr>
        <w:t>Ayuk</w:t>
      </w:r>
      <w:proofErr w:type="spellEnd"/>
      <w:r w:rsidR="00605A23" w:rsidRPr="00A17E01">
        <w:rPr>
          <w:rFonts w:ascii="Arial" w:hAnsi="Arial" w:cs="Arial"/>
          <w:lang w:val="en-IN" w:eastAsia="en-IN"/>
        </w:rPr>
        <w:t xml:space="preserve"> &amp; Jacobs 2018). </w:t>
      </w:r>
      <w:r w:rsidRPr="00A17E01">
        <w:rPr>
          <w:rFonts w:ascii="Arial" w:hAnsi="Arial" w:cs="Arial"/>
          <w:lang w:val="en-IN" w:eastAsia="en-IN"/>
        </w:rPr>
        <w:t>While student performance is often measured through examination results, academic achievement is deeply embedded in the broader institutional and pedagogical environment shaped by teachers’ professional practices and beliefs</w:t>
      </w:r>
      <w:r w:rsidR="00605A23" w:rsidRPr="00A17E01">
        <w:rPr>
          <w:rFonts w:ascii="Arial" w:hAnsi="Arial" w:cs="Arial"/>
          <w:lang w:val="en-IN" w:eastAsia="en-IN"/>
        </w:rPr>
        <w:t xml:space="preserve"> (Melius, 2011)</w:t>
      </w:r>
      <w:r w:rsidRPr="00A17E01">
        <w:rPr>
          <w:rFonts w:ascii="Arial" w:hAnsi="Arial" w:cs="Arial"/>
          <w:lang w:val="en-IN" w:eastAsia="en-IN"/>
        </w:rPr>
        <w:t xml:space="preserve">. Teachers’ perceptions of academic achievement therefore offer critical insight into how academic standards, evaluation processes, and learning outcomes are understood </w:t>
      </w:r>
      <w:r w:rsidR="00605A23" w:rsidRPr="00A17E01">
        <w:rPr>
          <w:rFonts w:ascii="Arial" w:hAnsi="Arial" w:cs="Arial"/>
          <w:lang w:val="en-IN" w:eastAsia="en-IN"/>
        </w:rPr>
        <w:t>and pursued within institutions (</w:t>
      </w:r>
      <w:proofErr w:type="spellStart"/>
      <w:r w:rsidR="00605A23" w:rsidRPr="00A17E01">
        <w:rPr>
          <w:rFonts w:ascii="Arial" w:hAnsi="Arial" w:cs="Arial"/>
          <w:lang w:val="en-IN" w:eastAsia="en-IN"/>
        </w:rPr>
        <w:t>Alvidrez</w:t>
      </w:r>
      <w:proofErr w:type="spellEnd"/>
      <w:r w:rsidR="00605A23" w:rsidRPr="00A17E01">
        <w:rPr>
          <w:rFonts w:ascii="Arial" w:hAnsi="Arial" w:cs="Arial"/>
          <w:lang w:val="en-IN" w:eastAsia="en-IN"/>
        </w:rPr>
        <w:t xml:space="preserve"> &amp; Weinstein,1999</w:t>
      </w:r>
      <w:r w:rsidR="005423D1">
        <w:rPr>
          <w:rFonts w:ascii="Arial" w:hAnsi="Arial" w:cs="Arial"/>
          <w:lang w:val="en-IN" w:eastAsia="en-IN"/>
        </w:rPr>
        <w:t xml:space="preserve">; </w:t>
      </w:r>
      <w:proofErr w:type="spellStart"/>
      <w:r w:rsidR="005423D1">
        <w:rPr>
          <w:rFonts w:ascii="Arial" w:hAnsi="Arial" w:cs="Arial"/>
          <w:lang w:val="en-IN" w:eastAsia="en-IN"/>
        </w:rPr>
        <w:t>Bania</w:t>
      </w:r>
      <w:proofErr w:type="spellEnd"/>
      <w:r w:rsidR="005423D1">
        <w:rPr>
          <w:rFonts w:ascii="Arial" w:hAnsi="Arial" w:cs="Arial"/>
          <w:lang w:val="en-IN" w:eastAsia="en-IN"/>
        </w:rPr>
        <w:t xml:space="preserve"> &amp; Sarangi, 2020</w:t>
      </w:r>
      <w:r w:rsidR="00605A23" w:rsidRPr="00A17E01">
        <w:rPr>
          <w:rFonts w:ascii="Arial" w:hAnsi="Arial" w:cs="Arial"/>
          <w:lang w:val="en-IN" w:eastAsia="en-IN"/>
        </w:rPr>
        <w:t>).</w:t>
      </w:r>
    </w:p>
    <w:p w:rsidR="008322DA" w:rsidRPr="00A17E01" w:rsidRDefault="008322DA" w:rsidP="008322DA">
      <w:pPr>
        <w:spacing w:before="100" w:beforeAutospacing="1" w:after="100" w:afterAutospacing="1" w:line="360" w:lineRule="auto"/>
        <w:jc w:val="both"/>
        <w:rPr>
          <w:rFonts w:ascii="Arial" w:hAnsi="Arial" w:cs="Arial"/>
          <w:lang w:val="en-IN" w:eastAsia="en-IN"/>
        </w:rPr>
      </w:pPr>
      <w:r w:rsidRPr="00A17E01">
        <w:rPr>
          <w:rFonts w:ascii="Arial" w:hAnsi="Arial" w:cs="Arial"/>
          <w:lang w:val="en-IN" w:eastAsia="en-IN"/>
        </w:rPr>
        <w:lastRenderedPageBreak/>
        <w:t xml:space="preserve">In the Indian higher education context, </w:t>
      </w:r>
      <w:r w:rsidRPr="00A17E01">
        <w:rPr>
          <w:rFonts w:ascii="Arial" w:hAnsi="Arial" w:cs="Arial"/>
          <w:bCs/>
          <w:lang w:val="en-IN" w:eastAsia="en-IN"/>
        </w:rPr>
        <w:t>autonomous colleges</w:t>
      </w:r>
      <w:r w:rsidRPr="00A17E01">
        <w:rPr>
          <w:rFonts w:ascii="Arial" w:hAnsi="Arial" w:cs="Arial"/>
          <w:lang w:val="en-IN" w:eastAsia="en-IN"/>
        </w:rPr>
        <w:t xml:space="preserve"> are entrusted with greater responsibility for maintaining and enhancing academic standards</w:t>
      </w:r>
      <w:r w:rsidR="00605A23" w:rsidRPr="00A17E01">
        <w:rPr>
          <w:rFonts w:ascii="Arial" w:hAnsi="Arial" w:cs="Arial"/>
          <w:lang w:val="en-IN" w:eastAsia="en-IN"/>
        </w:rPr>
        <w:t xml:space="preserve"> (</w:t>
      </w:r>
      <w:proofErr w:type="spellStart"/>
      <w:r w:rsidR="00605A23" w:rsidRPr="00A17E01">
        <w:rPr>
          <w:rFonts w:ascii="Arial" w:hAnsi="Arial" w:cs="Arial"/>
          <w:lang w:val="en-IN" w:eastAsia="en-IN"/>
        </w:rPr>
        <w:t>Bania</w:t>
      </w:r>
      <w:proofErr w:type="spellEnd"/>
      <w:r w:rsidR="00605A23" w:rsidRPr="00A17E01">
        <w:rPr>
          <w:rFonts w:ascii="Arial" w:hAnsi="Arial" w:cs="Arial"/>
          <w:lang w:val="en-IN" w:eastAsia="en-IN"/>
        </w:rPr>
        <w:t>, 2021</w:t>
      </w:r>
      <w:r w:rsidR="001D734E">
        <w:rPr>
          <w:rFonts w:ascii="Arial" w:hAnsi="Arial" w:cs="Arial"/>
          <w:lang w:val="en-IN" w:eastAsia="en-IN"/>
        </w:rPr>
        <w:t xml:space="preserve">; </w:t>
      </w:r>
      <w:r w:rsidR="001D734E" w:rsidRPr="001D734E">
        <w:rPr>
          <w:rFonts w:ascii="Arial" w:hAnsi="Arial" w:cs="Arial"/>
          <w:bCs/>
          <w:lang w:val="en-IN" w:eastAsia="en-IN"/>
        </w:rPr>
        <w:t xml:space="preserve">Behera et al., 2024; </w:t>
      </w:r>
      <w:r w:rsidR="001D734E" w:rsidRPr="001D734E">
        <w:rPr>
          <w:rFonts w:ascii="Arial" w:hAnsi="Arial" w:cs="Arial"/>
          <w:lang w:val="en-IN" w:eastAsia="en-IN"/>
        </w:rPr>
        <w:t xml:space="preserve">Behera &amp; </w:t>
      </w:r>
      <w:proofErr w:type="spellStart"/>
      <w:r w:rsidR="001D734E" w:rsidRPr="001D734E">
        <w:rPr>
          <w:rFonts w:ascii="Arial" w:hAnsi="Arial" w:cs="Arial"/>
          <w:lang w:val="en-IN" w:eastAsia="en-IN"/>
        </w:rPr>
        <w:t>Bania</w:t>
      </w:r>
      <w:proofErr w:type="spellEnd"/>
      <w:r w:rsidR="001D734E" w:rsidRPr="001D734E">
        <w:rPr>
          <w:rFonts w:ascii="Arial" w:hAnsi="Arial" w:cs="Arial"/>
          <w:lang w:val="en-IN" w:eastAsia="en-IN"/>
        </w:rPr>
        <w:t>, 2025</w:t>
      </w:r>
      <w:r w:rsidR="00605A23" w:rsidRPr="00A17E01">
        <w:rPr>
          <w:rFonts w:ascii="Arial" w:hAnsi="Arial" w:cs="Arial"/>
          <w:lang w:val="en-IN" w:eastAsia="en-IN"/>
        </w:rPr>
        <w:t>)</w:t>
      </w:r>
      <w:r w:rsidRPr="00A17E01">
        <w:rPr>
          <w:rFonts w:ascii="Arial" w:hAnsi="Arial" w:cs="Arial"/>
          <w:lang w:val="en-IN" w:eastAsia="en-IN"/>
        </w:rPr>
        <w:t>. Autonomy enables institutions to design curricula, adopt flexible assessment mechanisms, and implement innovative teaching–learning practices aimed at</w:t>
      </w:r>
      <w:r w:rsidR="00605A23" w:rsidRPr="00A17E01">
        <w:rPr>
          <w:rFonts w:ascii="Arial" w:hAnsi="Arial" w:cs="Arial"/>
          <w:lang w:val="en-IN" w:eastAsia="en-IN"/>
        </w:rPr>
        <w:t xml:space="preserve"> improving academic achievement </w:t>
      </w:r>
      <w:r w:rsidR="00605A23" w:rsidRPr="00A17E01">
        <w:rPr>
          <w:rFonts w:ascii="Arial" w:hAnsi="Arial" w:cs="Arial"/>
        </w:rPr>
        <w:t>(</w:t>
      </w:r>
      <w:proofErr w:type="spellStart"/>
      <w:r w:rsidR="00605A23" w:rsidRPr="00A17E01">
        <w:rPr>
          <w:rFonts w:ascii="Arial" w:hAnsi="Arial" w:cs="Arial"/>
        </w:rPr>
        <w:t>Sripirabaa</w:t>
      </w:r>
      <w:proofErr w:type="spellEnd"/>
      <w:r w:rsidR="001D734E">
        <w:rPr>
          <w:rFonts w:ascii="Arial" w:hAnsi="Arial" w:cs="Arial"/>
        </w:rPr>
        <w:t xml:space="preserve"> </w:t>
      </w:r>
      <w:r w:rsidR="00605A23" w:rsidRPr="00A17E01">
        <w:rPr>
          <w:rFonts w:ascii="Arial" w:hAnsi="Arial" w:cs="Arial"/>
        </w:rPr>
        <w:t>&amp;</w:t>
      </w:r>
      <w:r w:rsidR="001D734E">
        <w:rPr>
          <w:rFonts w:ascii="Arial" w:hAnsi="Arial" w:cs="Arial"/>
        </w:rPr>
        <w:t xml:space="preserve"> </w:t>
      </w:r>
      <w:proofErr w:type="spellStart"/>
      <w:r w:rsidR="00605A23" w:rsidRPr="00A17E01">
        <w:rPr>
          <w:rFonts w:ascii="Arial" w:hAnsi="Arial" w:cs="Arial"/>
        </w:rPr>
        <w:t>Maheswari</w:t>
      </w:r>
      <w:proofErr w:type="spellEnd"/>
      <w:r w:rsidR="00605A23" w:rsidRPr="00A17E01">
        <w:rPr>
          <w:rFonts w:ascii="Arial" w:hAnsi="Arial" w:cs="Arial"/>
        </w:rPr>
        <w:t>, 2015</w:t>
      </w:r>
      <w:r w:rsidR="005423D1">
        <w:rPr>
          <w:rFonts w:ascii="Arial" w:hAnsi="Arial" w:cs="Arial"/>
        </w:rPr>
        <w:t xml:space="preserve">; </w:t>
      </w:r>
      <w:proofErr w:type="spellStart"/>
      <w:r w:rsidR="005423D1">
        <w:rPr>
          <w:rFonts w:ascii="Arial" w:hAnsi="Arial" w:cs="Arial"/>
        </w:rPr>
        <w:t>Bania</w:t>
      </w:r>
      <w:proofErr w:type="spellEnd"/>
      <w:r w:rsidR="005423D1">
        <w:rPr>
          <w:rFonts w:ascii="Arial" w:hAnsi="Arial" w:cs="Arial"/>
        </w:rPr>
        <w:t xml:space="preserve"> et al., 2021</w:t>
      </w:r>
      <w:r w:rsidR="00605A23" w:rsidRPr="00A17E01">
        <w:rPr>
          <w:rFonts w:ascii="Arial" w:hAnsi="Arial" w:cs="Arial"/>
        </w:rPr>
        <w:t xml:space="preserve">). </w:t>
      </w:r>
      <w:r w:rsidRPr="00A17E01">
        <w:rPr>
          <w:rFonts w:ascii="Arial" w:hAnsi="Arial" w:cs="Arial"/>
          <w:lang w:val="en-IN" w:eastAsia="en-IN"/>
        </w:rPr>
        <w:t xml:space="preserve"> However, the effectiveness of such autonomy depends largely on how teachers perceive and engage with academic processes</w:t>
      </w:r>
      <w:r w:rsidR="00605A23" w:rsidRPr="00A17E01">
        <w:rPr>
          <w:rFonts w:ascii="Arial" w:hAnsi="Arial" w:cs="Arial"/>
          <w:lang w:val="en-IN" w:eastAsia="en-IN"/>
        </w:rPr>
        <w:t xml:space="preserve"> (</w:t>
      </w:r>
      <w:proofErr w:type="spellStart"/>
      <w:r w:rsidR="00605A23" w:rsidRPr="00A17E01">
        <w:rPr>
          <w:rFonts w:ascii="Arial" w:hAnsi="Arial" w:cs="Arial"/>
          <w:lang w:val="en-IN" w:eastAsia="en-IN"/>
        </w:rPr>
        <w:t>Mih</w:t>
      </w:r>
      <w:proofErr w:type="spellEnd"/>
      <w:r w:rsidR="00605A23" w:rsidRPr="00A17E01">
        <w:rPr>
          <w:rFonts w:ascii="Arial" w:hAnsi="Arial" w:cs="Arial"/>
          <w:lang w:val="en-IN" w:eastAsia="en-IN"/>
        </w:rPr>
        <w:t xml:space="preserve"> &amp; </w:t>
      </w:r>
      <w:proofErr w:type="spellStart"/>
      <w:r w:rsidR="00605A23" w:rsidRPr="00A17E01">
        <w:rPr>
          <w:rFonts w:ascii="Arial" w:hAnsi="Arial" w:cs="Arial"/>
          <w:lang w:val="en-IN" w:eastAsia="en-IN"/>
        </w:rPr>
        <w:t>Mih</w:t>
      </w:r>
      <w:proofErr w:type="spellEnd"/>
      <w:r w:rsidR="00605A23" w:rsidRPr="00A17E01">
        <w:rPr>
          <w:rFonts w:ascii="Arial" w:hAnsi="Arial" w:cs="Arial"/>
          <w:lang w:val="en-IN" w:eastAsia="en-IN"/>
        </w:rPr>
        <w:t xml:space="preserve">, 2013). </w:t>
      </w:r>
      <w:r w:rsidRPr="00A17E01">
        <w:rPr>
          <w:rFonts w:ascii="Arial" w:hAnsi="Arial" w:cs="Arial"/>
          <w:lang w:val="en-IN" w:eastAsia="en-IN"/>
        </w:rPr>
        <w:t xml:space="preserve"> Teachers play a pivotal role in shaping academic achievement through instructional strategies, formative assessment, feedback mec</w:t>
      </w:r>
      <w:r w:rsidR="00605A23" w:rsidRPr="00A17E01">
        <w:rPr>
          <w:rFonts w:ascii="Arial" w:hAnsi="Arial" w:cs="Arial"/>
          <w:lang w:val="en-IN" w:eastAsia="en-IN"/>
        </w:rPr>
        <w:t>hanisms, and academic mentoring (Li et al., 2025)</w:t>
      </w:r>
      <w:r w:rsidR="00795B33" w:rsidRPr="00A17E01">
        <w:rPr>
          <w:rFonts w:ascii="Arial" w:hAnsi="Arial" w:cs="Arial"/>
          <w:lang w:val="en-IN" w:eastAsia="en-IN"/>
        </w:rPr>
        <w:t>.</w:t>
      </w:r>
      <w:r w:rsidRPr="00A17E01">
        <w:rPr>
          <w:rFonts w:ascii="Arial" w:hAnsi="Arial" w:cs="Arial"/>
          <w:lang w:val="en-IN" w:eastAsia="en-IN"/>
        </w:rPr>
        <w:t xml:space="preserve"> Their perceptions influence not only classroom practices but also institutional commitment to academic quality</w:t>
      </w:r>
      <w:r w:rsidR="00795B33" w:rsidRPr="00A17E01">
        <w:rPr>
          <w:rFonts w:ascii="Arial" w:hAnsi="Arial" w:cs="Arial"/>
          <w:lang w:val="en-IN" w:eastAsia="en-IN"/>
        </w:rPr>
        <w:t xml:space="preserve"> (Ibrahim &amp; Iqbal, 2015).</w:t>
      </w:r>
    </w:p>
    <w:p w:rsidR="008322DA" w:rsidRDefault="008322DA" w:rsidP="008322DA">
      <w:pPr>
        <w:spacing w:before="100" w:beforeAutospacing="1" w:after="100" w:afterAutospacing="1" w:line="360" w:lineRule="auto"/>
        <w:jc w:val="both"/>
        <w:rPr>
          <w:rFonts w:ascii="Arial" w:hAnsi="Arial" w:cs="Arial"/>
          <w:lang w:val="en-IN" w:eastAsia="en-IN"/>
        </w:rPr>
      </w:pPr>
      <w:r w:rsidRPr="00A17E01">
        <w:rPr>
          <w:rFonts w:ascii="Arial" w:hAnsi="Arial" w:cs="Arial"/>
          <w:lang w:val="en-IN" w:eastAsia="en-IN"/>
        </w:rPr>
        <w:t>Teachers’ perceptions of academic achievement are not uniform and may vary across socio-professional contexts</w:t>
      </w:r>
      <w:r w:rsidR="00605A23" w:rsidRPr="00A17E01">
        <w:rPr>
          <w:rFonts w:ascii="Arial" w:hAnsi="Arial" w:cs="Arial"/>
          <w:lang w:val="en-IN" w:eastAsia="en-IN"/>
        </w:rPr>
        <w:t xml:space="preserve"> (Robinson, 2015).</w:t>
      </w:r>
      <w:r w:rsidR="001D734E">
        <w:rPr>
          <w:rFonts w:ascii="Arial" w:hAnsi="Arial" w:cs="Arial"/>
          <w:lang w:val="en-IN" w:eastAsia="en-IN"/>
        </w:rPr>
        <w:t xml:space="preserve"> </w:t>
      </w:r>
      <w:r w:rsidRPr="00A17E01">
        <w:rPr>
          <w:rFonts w:ascii="Arial" w:hAnsi="Arial" w:cs="Arial"/>
          <w:bCs/>
          <w:lang w:val="en-IN" w:eastAsia="en-IN"/>
        </w:rPr>
        <w:t>Gender and institutional location (rural–urban)</w:t>
      </w:r>
      <w:r w:rsidRPr="00A17E01">
        <w:rPr>
          <w:rFonts w:ascii="Arial" w:hAnsi="Arial" w:cs="Arial"/>
          <w:lang w:val="en-IN" w:eastAsia="en-IN"/>
        </w:rPr>
        <w:t xml:space="preserve"> are important contextual variables that can shape academic practices and expectations. Gendered roles and professional experiences may influence approaches to assessment, student support, and academic monitoring, while rural and urban institutional contexts differ in terms of resources, exposure, and academic culture. Understanding these variations is essential for assessing whether academic autonomy translates into equitable and effective ac</w:t>
      </w:r>
      <w:r w:rsidR="00A17E01">
        <w:rPr>
          <w:rFonts w:ascii="Arial" w:hAnsi="Arial" w:cs="Arial"/>
          <w:lang w:val="en-IN" w:eastAsia="en-IN"/>
        </w:rPr>
        <w:t>ademic outcomes across contexts</w:t>
      </w:r>
      <w:r w:rsidR="007325FD">
        <w:rPr>
          <w:rFonts w:ascii="Arial" w:hAnsi="Arial" w:cs="Arial"/>
          <w:lang w:val="en-IN" w:eastAsia="en-IN"/>
        </w:rPr>
        <w:t xml:space="preserve"> </w:t>
      </w:r>
      <w:r w:rsidR="00A17E01" w:rsidRPr="007325FD">
        <w:rPr>
          <w:rFonts w:ascii="Arial" w:hAnsi="Arial" w:cs="Arial"/>
          <w:lang w:val="en-IN" w:eastAsia="en-IN"/>
        </w:rPr>
        <w:t>(</w:t>
      </w:r>
      <w:proofErr w:type="spellStart"/>
      <w:r w:rsidR="00A17E01" w:rsidRPr="00A17E01">
        <w:rPr>
          <w:rFonts w:ascii="Arial" w:hAnsi="Arial" w:cs="Arial"/>
          <w:lang w:val="en-IN" w:eastAsia="en-IN"/>
        </w:rPr>
        <w:t>Ingratta</w:t>
      </w:r>
      <w:proofErr w:type="spellEnd"/>
      <w:r w:rsidR="00A17E01" w:rsidRPr="007325FD">
        <w:rPr>
          <w:rFonts w:ascii="Arial" w:hAnsi="Arial" w:cs="Arial"/>
          <w:lang w:val="en-IN" w:eastAsia="en-IN"/>
        </w:rPr>
        <w:t xml:space="preserve"> et al., 2023)</w:t>
      </w:r>
      <w:r w:rsidR="007325FD" w:rsidRPr="007325FD">
        <w:rPr>
          <w:rFonts w:ascii="Arial" w:hAnsi="Arial" w:cs="Arial"/>
          <w:lang w:val="en-IN" w:eastAsia="en-IN"/>
        </w:rPr>
        <w:t>.</w:t>
      </w:r>
    </w:p>
    <w:p w:rsidR="008322DA" w:rsidRDefault="008322DA" w:rsidP="008322DA">
      <w:pPr>
        <w:spacing w:before="100" w:beforeAutospacing="1" w:after="100" w:afterAutospacing="1" w:line="360" w:lineRule="auto"/>
        <w:jc w:val="both"/>
        <w:rPr>
          <w:rFonts w:ascii="Arial" w:hAnsi="Arial" w:cs="Arial"/>
          <w:lang w:val="en-IN" w:eastAsia="en-IN"/>
        </w:rPr>
      </w:pPr>
      <w:r w:rsidRPr="00A17E01">
        <w:rPr>
          <w:rFonts w:ascii="Arial" w:hAnsi="Arial" w:cs="Arial"/>
          <w:lang w:val="en-IN" w:eastAsia="en-IN"/>
        </w:rPr>
        <w:t xml:space="preserve">Despite extensive research on student achievement, </w:t>
      </w:r>
      <w:r w:rsidRPr="00A17E01">
        <w:rPr>
          <w:rFonts w:ascii="Arial" w:hAnsi="Arial" w:cs="Arial"/>
          <w:bCs/>
          <w:lang w:val="en-IN" w:eastAsia="en-IN"/>
        </w:rPr>
        <w:t>empirical studies focusing on teachers’ perceptions of academic achievement in autonomous colleges remain limited</w:t>
      </w:r>
      <w:r w:rsidR="007325FD">
        <w:rPr>
          <w:rFonts w:ascii="Arial" w:hAnsi="Arial" w:cs="Arial"/>
          <w:bCs/>
          <w:lang w:val="en-IN" w:eastAsia="en-IN"/>
        </w:rPr>
        <w:t xml:space="preserve"> </w:t>
      </w:r>
      <w:r w:rsidR="007325FD" w:rsidRPr="001D734E">
        <w:rPr>
          <w:rFonts w:ascii="Arial" w:hAnsi="Arial" w:cs="Arial"/>
          <w:bCs/>
          <w:lang w:val="en-IN" w:eastAsia="en-IN"/>
        </w:rPr>
        <w:t>(Behera et al., 2024</w:t>
      </w:r>
      <w:r w:rsidR="001D734E" w:rsidRPr="001D734E">
        <w:rPr>
          <w:rFonts w:ascii="Arial" w:hAnsi="Arial" w:cs="Arial"/>
          <w:bCs/>
          <w:lang w:val="en-IN" w:eastAsia="en-IN"/>
        </w:rPr>
        <w:t xml:space="preserve">; </w:t>
      </w:r>
      <w:r w:rsidR="001D734E" w:rsidRPr="001D734E">
        <w:rPr>
          <w:rFonts w:ascii="Arial" w:hAnsi="Arial" w:cs="Arial"/>
          <w:lang w:val="en-IN" w:eastAsia="en-IN"/>
        </w:rPr>
        <w:t xml:space="preserve">Behera &amp; </w:t>
      </w:r>
      <w:proofErr w:type="spellStart"/>
      <w:r w:rsidR="001D734E" w:rsidRPr="001D734E">
        <w:rPr>
          <w:rFonts w:ascii="Arial" w:hAnsi="Arial" w:cs="Arial"/>
          <w:lang w:val="en-IN" w:eastAsia="en-IN"/>
        </w:rPr>
        <w:t>Bania</w:t>
      </w:r>
      <w:proofErr w:type="spellEnd"/>
      <w:r w:rsidR="001D734E" w:rsidRPr="001D734E">
        <w:rPr>
          <w:rFonts w:ascii="Arial" w:hAnsi="Arial" w:cs="Arial"/>
          <w:lang w:val="en-IN" w:eastAsia="en-IN"/>
        </w:rPr>
        <w:t>, 2025),</w:t>
      </w:r>
      <w:r w:rsidRPr="001D734E">
        <w:rPr>
          <w:rFonts w:ascii="Arial" w:hAnsi="Arial" w:cs="Arial"/>
          <w:lang w:val="en-IN" w:eastAsia="en-IN"/>
        </w:rPr>
        <w:t xml:space="preserve"> </w:t>
      </w:r>
      <w:r w:rsidRPr="00A17E01">
        <w:rPr>
          <w:rFonts w:ascii="Arial" w:hAnsi="Arial" w:cs="Arial"/>
          <w:lang w:val="en-IN" w:eastAsia="en-IN"/>
        </w:rPr>
        <w:t>particularly in the Indian context. Existing literature has largely emphasised structural reforms or student performance metrics, often overlooking the perceptions of teachers who directly implement academic policies and practices. Addressing this gap, the present study examines teachers’ perceptions of academic achievement in autonomous colleges, with specific reference to gender and rural–urban differences. By foregrounding teachers’ perspectives, the study contributes to a more nuanced understanding of academic achievement as an institutional and pedagogical construct within autonomous higher education.</w:t>
      </w:r>
    </w:p>
    <w:p w:rsidR="007325FD" w:rsidRPr="00A17E01" w:rsidRDefault="007325FD" w:rsidP="008322DA">
      <w:pPr>
        <w:spacing w:before="100" w:beforeAutospacing="1" w:after="100" w:afterAutospacing="1" w:line="360" w:lineRule="auto"/>
        <w:jc w:val="both"/>
        <w:rPr>
          <w:rFonts w:ascii="Arial" w:hAnsi="Arial" w:cs="Arial"/>
          <w:lang w:val="en-IN" w:eastAsia="en-IN"/>
        </w:rPr>
      </w:pPr>
    </w:p>
    <w:p w:rsidR="008322DA" w:rsidRPr="00A17E01" w:rsidRDefault="008322DA" w:rsidP="008322DA">
      <w:pPr>
        <w:pStyle w:val="Heading2"/>
        <w:spacing w:line="360" w:lineRule="auto"/>
        <w:jc w:val="both"/>
        <w:rPr>
          <w:rFonts w:ascii="Arial" w:hAnsi="Arial" w:cs="Arial"/>
          <w:color w:val="auto"/>
          <w:sz w:val="20"/>
          <w:szCs w:val="20"/>
        </w:rPr>
      </w:pPr>
      <w:r w:rsidRPr="00A17E01">
        <w:rPr>
          <w:rFonts w:ascii="Arial" w:hAnsi="Arial" w:cs="Arial"/>
          <w:color w:val="auto"/>
          <w:sz w:val="20"/>
          <w:szCs w:val="20"/>
        </w:rPr>
        <w:t xml:space="preserve">2 </w:t>
      </w:r>
      <w:r w:rsidRPr="00A17E01">
        <w:rPr>
          <w:rFonts w:ascii="Arial" w:hAnsi="Arial" w:cs="Arial"/>
          <w:color w:val="auto"/>
          <w:sz w:val="20"/>
          <w:szCs w:val="20"/>
        </w:rPr>
        <w:tab/>
        <w:t>Objectives of the Study</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The present study was undertaken with the following objectives:</w:t>
      </w:r>
    </w:p>
    <w:p w:rsidR="008322DA" w:rsidRPr="00A17E01" w:rsidRDefault="008322DA" w:rsidP="008322DA">
      <w:pPr>
        <w:pStyle w:val="NormalWeb"/>
        <w:numPr>
          <w:ilvl w:val="0"/>
          <w:numId w:val="35"/>
        </w:numPr>
        <w:spacing w:line="360" w:lineRule="auto"/>
        <w:jc w:val="both"/>
        <w:rPr>
          <w:rFonts w:ascii="Arial" w:hAnsi="Arial" w:cs="Arial"/>
          <w:b/>
          <w:sz w:val="20"/>
          <w:szCs w:val="20"/>
        </w:rPr>
      </w:pPr>
      <w:r w:rsidRPr="00A17E01">
        <w:rPr>
          <w:rStyle w:val="Strong"/>
          <w:rFonts w:ascii="Arial" w:hAnsi="Arial" w:cs="Arial"/>
          <w:b w:val="0"/>
          <w:sz w:val="20"/>
          <w:szCs w:val="20"/>
        </w:rPr>
        <w:lastRenderedPageBreak/>
        <w:t>To examine gender-based differences in teachers’ perceptions of academic achievement in autonomous colleges.</w:t>
      </w:r>
    </w:p>
    <w:p w:rsidR="008322DA" w:rsidRPr="00A17E01" w:rsidRDefault="008322DA" w:rsidP="008322DA">
      <w:pPr>
        <w:pStyle w:val="NormalWeb"/>
        <w:numPr>
          <w:ilvl w:val="0"/>
          <w:numId w:val="35"/>
        </w:numPr>
        <w:spacing w:line="360" w:lineRule="auto"/>
        <w:jc w:val="both"/>
        <w:rPr>
          <w:rFonts w:ascii="Arial" w:hAnsi="Arial" w:cs="Arial"/>
          <w:b/>
          <w:sz w:val="20"/>
          <w:szCs w:val="20"/>
        </w:rPr>
      </w:pPr>
      <w:r w:rsidRPr="00A17E01">
        <w:rPr>
          <w:rStyle w:val="Strong"/>
          <w:rFonts w:ascii="Arial" w:hAnsi="Arial" w:cs="Arial"/>
          <w:b w:val="0"/>
          <w:sz w:val="20"/>
          <w:szCs w:val="20"/>
        </w:rPr>
        <w:t>To analyse differences in teachers’ perceptions of academic achievement across rural and urban institutional contexts.</w:t>
      </w:r>
    </w:p>
    <w:p w:rsidR="008322DA" w:rsidRPr="00A17E01" w:rsidRDefault="008322DA" w:rsidP="008322DA">
      <w:pPr>
        <w:pStyle w:val="NormalWeb"/>
        <w:numPr>
          <w:ilvl w:val="0"/>
          <w:numId w:val="35"/>
        </w:numPr>
        <w:spacing w:line="360" w:lineRule="auto"/>
        <w:jc w:val="both"/>
        <w:rPr>
          <w:rFonts w:ascii="Arial" w:hAnsi="Arial" w:cs="Arial"/>
          <w:b/>
          <w:sz w:val="20"/>
          <w:szCs w:val="20"/>
        </w:rPr>
      </w:pPr>
      <w:r w:rsidRPr="00A17E01">
        <w:rPr>
          <w:rStyle w:val="Strong"/>
          <w:rFonts w:ascii="Arial" w:hAnsi="Arial" w:cs="Arial"/>
          <w:b w:val="0"/>
          <w:sz w:val="20"/>
          <w:szCs w:val="20"/>
        </w:rPr>
        <w:t>To assess the combined influence of gender and locale on teachers’ perceptions of academic achievement in autonomous colleges.</w:t>
      </w:r>
    </w:p>
    <w:p w:rsidR="008322DA" w:rsidRPr="00A17E01" w:rsidRDefault="008322DA" w:rsidP="008322DA">
      <w:pPr>
        <w:pStyle w:val="ListParagraph"/>
        <w:numPr>
          <w:ilvl w:val="0"/>
          <w:numId w:val="34"/>
        </w:numPr>
        <w:spacing w:after="100" w:line="360" w:lineRule="auto"/>
        <w:ind w:hanging="720"/>
        <w:jc w:val="both"/>
        <w:rPr>
          <w:rFonts w:ascii="Arial" w:hAnsi="Arial" w:cs="Arial"/>
          <w:b/>
          <w:sz w:val="20"/>
          <w:szCs w:val="20"/>
        </w:rPr>
      </w:pPr>
      <w:r w:rsidRPr="00A17E01">
        <w:rPr>
          <w:rFonts w:ascii="Arial" w:hAnsi="Arial" w:cs="Arial"/>
          <w:b/>
          <w:sz w:val="20"/>
          <w:szCs w:val="20"/>
        </w:rPr>
        <w:t>Hypotheses of the study</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male and female teachers on academic achievement.</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rural male and rural female teachers on academic achievement.</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urban male and urban female teachers on academic achievement.</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rural male and urban female teachers on academic achievement.</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rural female and urban male teachers on academic achievement.</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rural female and urban female teachers on academic achievement.</w:t>
      </w:r>
    </w:p>
    <w:p w:rsidR="008322DA" w:rsidRPr="00A17E01" w:rsidRDefault="008322DA" w:rsidP="008322DA">
      <w:pPr>
        <w:pStyle w:val="ListParagraph"/>
        <w:numPr>
          <w:ilvl w:val="0"/>
          <w:numId w:val="36"/>
        </w:numPr>
        <w:spacing w:after="100" w:line="360" w:lineRule="auto"/>
        <w:ind w:left="709" w:hanging="425"/>
        <w:jc w:val="both"/>
        <w:rPr>
          <w:rFonts w:ascii="Arial" w:hAnsi="Arial" w:cs="Arial"/>
          <w:sz w:val="20"/>
          <w:szCs w:val="20"/>
        </w:rPr>
      </w:pPr>
      <w:r w:rsidRPr="00A17E01">
        <w:rPr>
          <w:rFonts w:ascii="Arial" w:hAnsi="Arial" w:cs="Arial"/>
          <w:sz w:val="20"/>
          <w:szCs w:val="20"/>
        </w:rPr>
        <w:t>There is no significant difference between the perception of rural male and urban male teachers on academic achievement.</w:t>
      </w:r>
    </w:p>
    <w:p w:rsidR="008322DA" w:rsidRPr="00A17E01" w:rsidRDefault="008322DA" w:rsidP="008322DA">
      <w:pPr>
        <w:pStyle w:val="Heading2"/>
        <w:numPr>
          <w:ilvl w:val="0"/>
          <w:numId w:val="34"/>
        </w:numPr>
        <w:jc w:val="both"/>
        <w:rPr>
          <w:rFonts w:ascii="Arial" w:hAnsi="Arial" w:cs="Arial"/>
          <w:color w:val="auto"/>
          <w:sz w:val="20"/>
          <w:szCs w:val="20"/>
        </w:rPr>
      </w:pPr>
      <w:r w:rsidRPr="00A17E01">
        <w:rPr>
          <w:rFonts w:ascii="Arial" w:hAnsi="Arial" w:cs="Arial"/>
          <w:color w:val="auto"/>
          <w:sz w:val="20"/>
          <w:szCs w:val="20"/>
        </w:rPr>
        <w:t>Methodology</w:t>
      </w:r>
    </w:p>
    <w:p w:rsidR="008322DA" w:rsidRPr="00A17E01" w:rsidRDefault="008322DA" w:rsidP="008322DA">
      <w:pPr>
        <w:pStyle w:val="Heading3"/>
        <w:jc w:val="both"/>
        <w:rPr>
          <w:rFonts w:ascii="Arial" w:hAnsi="Arial" w:cs="Arial"/>
          <w:b w:val="0"/>
          <w:color w:val="auto"/>
          <w:sz w:val="20"/>
          <w:szCs w:val="20"/>
        </w:rPr>
      </w:pPr>
      <w:r w:rsidRPr="00A17E01">
        <w:rPr>
          <w:rFonts w:ascii="Arial" w:hAnsi="Arial" w:cs="Arial"/>
          <w:b w:val="0"/>
          <w:color w:val="auto"/>
          <w:sz w:val="20"/>
          <w:szCs w:val="20"/>
        </w:rPr>
        <w:t>4.1 Research Design</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The study adopted a </w:t>
      </w:r>
      <w:r w:rsidRPr="00A17E01">
        <w:rPr>
          <w:rStyle w:val="Strong"/>
          <w:rFonts w:ascii="Arial" w:hAnsi="Arial" w:cs="Arial"/>
          <w:b w:val="0"/>
          <w:sz w:val="20"/>
          <w:szCs w:val="20"/>
        </w:rPr>
        <w:t>descriptive survey research design</w:t>
      </w:r>
      <w:r w:rsidRPr="00A17E01">
        <w:rPr>
          <w:rFonts w:ascii="Arial" w:hAnsi="Arial" w:cs="Arial"/>
          <w:sz w:val="20"/>
          <w:szCs w:val="20"/>
        </w:rPr>
        <w:t xml:space="preserve"> to examine teachers’ perceptions of academic achievement in autonomous colleges. This design was considered appropriate as it enables systematic collection of perceptual data from a defined population and facilitates comparison of mean perception scores across selected demographic variables without manipulation of conditions.</w:t>
      </w:r>
    </w:p>
    <w:p w:rsidR="008322DA" w:rsidRPr="00A17E01" w:rsidRDefault="008322DA" w:rsidP="008322DA">
      <w:pPr>
        <w:pStyle w:val="Heading3"/>
        <w:spacing w:line="360" w:lineRule="auto"/>
        <w:jc w:val="both"/>
        <w:rPr>
          <w:rFonts w:ascii="Arial" w:hAnsi="Arial" w:cs="Arial"/>
          <w:b w:val="0"/>
          <w:color w:val="auto"/>
          <w:sz w:val="20"/>
          <w:szCs w:val="20"/>
        </w:rPr>
      </w:pPr>
      <w:r w:rsidRPr="00A17E01">
        <w:rPr>
          <w:rFonts w:ascii="Arial" w:hAnsi="Arial" w:cs="Arial"/>
          <w:b w:val="0"/>
          <w:color w:val="auto"/>
          <w:sz w:val="20"/>
          <w:szCs w:val="20"/>
        </w:rPr>
        <w:t>4.2 Population and Sample</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The population of the study comprised teachers working in </w:t>
      </w:r>
      <w:r w:rsidRPr="00A17E01">
        <w:rPr>
          <w:rStyle w:val="Strong"/>
          <w:rFonts w:ascii="Arial" w:hAnsi="Arial" w:cs="Arial"/>
          <w:b w:val="0"/>
          <w:sz w:val="20"/>
          <w:szCs w:val="20"/>
        </w:rPr>
        <w:t xml:space="preserve">government and non-government autonomous </w:t>
      </w:r>
      <w:proofErr w:type="spellStart"/>
      <w:r w:rsidRPr="00A17E01">
        <w:rPr>
          <w:rStyle w:val="Strong"/>
          <w:rFonts w:ascii="Arial" w:hAnsi="Arial" w:cs="Arial"/>
          <w:b w:val="0"/>
          <w:sz w:val="20"/>
          <w:szCs w:val="20"/>
        </w:rPr>
        <w:t>colleges</w:t>
      </w:r>
      <w:r w:rsidRPr="00A17E01">
        <w:rPr>
          <w:rFonts w:ascii="Arial" w:hAnsi="Arial" w:cs="Arial"/>
          <w:sz w:val="20"/>
          <w:szCs w:val="20"/>
        </w:rPr>
        <w:t>in</w:t>
      </w:r>
      <w:proofErr w:type="spellEnd"/>
      <w:r w:rsidRPr="00A17E01">
        <w:rPr>
          <w:rFonts w:ascii="Arial" w:hAnsi="Arial" w:cs="Arial"/>
          <w:sz w:val="20"/>
          <w:szCs w:val="20"/>
        </w:rPr>
        <w:t xml:space="preserve"> the state of Odisha, India. Autonomous colleges were selected due </w:t>
      </w:r>
      <w:r w:rsidRPr="00A17E01">
        <w:rPr>
          <w:rFonts w:ascii="Arial" w:hAnsi="Arial" w:cs="Arial"/>
          <w:sz w:val="20"/>
          <w:szCs w:val="20"/>
        </w:rPr>
        <w:lastRenderedPageBreak/>
        <w:t>to their enhanced responsibility for maintaining academic standards through curriculum design, assessment practices, and instructional autonomy.</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A sample of </w:t>
      </w:r>
      <w:r w:rsidRPr="00A17E01">
        <w:rPr>
          <w:rStyle w:val="Strong"/>
          <w:rFonts w:ascii="Arial" w:hAnsi="Arial" w:cs="Arial"/>
          <w:b w:val="0"/>
          <w:sz w:val="20"/>
          <w:szCs w:val="20"/>
        </w:rPr>
        <w:t xml:space="preserve">160 </w:t>
      </w:r>
      <w:proofErr w:type="spellStart"/>
      <w:r w:rsidRPr="00A17E01">
        <w:rPr>
          <w:rStyle w:val="Strong"/>
          <w:rFonts w:ascii="Arial" w:hAnsi="Arial" w:cs="Arial"/>
          <w:b w:val="0"/>
          <w:sz w:val="20"/>
          <w:szCs w:val="20"/>
        </w:rPr>
        <w:t>teachers</w:t>
      </w:r>
      <w:r w:rsidRPr="00A17E01">
        <w:rPr>
          <w:rFonts w:ascii="Arial" w:hAnsi="Arial" w:cs="Arial"/>
          <w:sz w:val="20"/>
          <w:szCs w:val="20"/>
        </w:rPr>
        <w:t>was</w:t>
      </w:r>
      <w:proofErr w:type="spellEnd"/>
      <w:r w:rsidRPr="00A17E01">
        <w:rPr>
          <w:rFonts w:ascii="Arial" w:hAnsi="Arial" w:cs="Arial"/>
          <w:sz w:val="20"/>
          <w:szCs w:val="20"/>
        </w:rPr>
        <w:t xml:space="preserve"> drawn from </w:t>
      </w:r>
      <w:r w:rsidRPr="00A17E01">
        <w:rPr>
          <w:rStyle w:val="Strong"/>
          <w:rFonts w:ascii="Arial" w:hAnsi="Arial" w:cs="Arial"/>
          <w:b w:val="0"/>
          <w:sz w:val="20"/>
          <w:szCs w:val="20"/>
        </w:rPr>
        <w:t xml:space="preserve">12 autonomous </w:t>
      </w:r>
      <w:proofErr w:type="spellStart"/>
      <w:r w:rsidRPr="00A17E01">
        <w:rPr>
          <w:rStyle w:val="Strong"/>
          <w:rFonts w:ascii="Arial" w:hAnsi="Arial" w:cs="Arial"/>
          <w:b w:val="0"/>
          <w:sz w:val="20"/>
          <w:szCs w:val="20"/>
        </w:rPr>
        <w:t>colleges</w:t>
      </w:r>
      <w:r w:rsidRPr="00A17E01">
        <w:rPr>
          <w:rFonts w:ascii="Arial" w:hAnsi="Arial" w:cs="Arial"/>
          <w:sz w:val="20"/>
          <w:szCs w:val="20"/>
        </w:rPr>
        <w:t>located</w:t>
      </w:r>
      <w:proofErr w:type="spellEnd"/>
      <w:r w:rsidRPr="00A17E01">
        <w:rPr>
          <w:rFonts w:ascii="Arial" w:hAnsi="Arial" w:cs="Arial"/>
          <w:sz w:val="20"/>
          <w:szCs w:val="20"/>
        </w:rPr>
        <w:t xml:space="preserve"> in both rural and urban regions of Odisha. The sample ensured balanced representation across gender and locale, comprising:</w:t>
      </w:r>
    </w:p>
    <w:p w:rsidR="008322DA" w:rsidRPr="00A17E01" w:rsidRDefault="008322DA" w:rsidP="008322DA">
      <w:pPr>
        <w:pStyle w:val="NormalWeb"/>
        <w:numPr>
          <w:ilvl w:val="0"/>
          <w:numId w:val="33"/>
        </w:numPr>
        <w:spacing w:line="360" w:lineRule="auto"/>
        <w:jc w:val="both"/>
        <w:rPr>
          <w:rFonts w:ascii="Arial" w:hAnsi="Arial" w:cs="Arial"/>
          <w:sz w:val="20"/>
          <w:szCs w:val="20"/>
        </w:rPr>
      </w:pPr>
      <w:r w:rsidRPr="00A17E01">
        <w:rPr>
          <w:rFonts w:ascii="Arial" w:hAnsi="Arial" w:cs="Arial"/>
          <w:sz w:val="20"/>
          <w:szCs w:val="20"/>
        </w:rPr>
        <w:t>Urban male teachers</w:t>
      </w:r>
    </w:p>
    <w:p w:rsidR="008322DA" w:rsidRPr="00A17E01" w:rsidRDefault="008322DA" w:rsidP="008322DA">
      <w:pPr>
        <w:pStyle w:val="NormalWeb"/>
        <w:numPr>
          <w:ilvl w:val="0"/>
          <w:numId w:val="33"/>
        </w:numPr>
        <w:spacing w:line="360" w:lineRule="auto"/>
        <w:jc w:val="both"/>
        <w:rPr>
          <w:rFonts w:ascii="Arial" w:hAnsi="Arial" w:cs="Arial"/>
          <w:sz w:val="20"/>
          <w:szCs w:val="20"/>
        </w:rPr>
      </w:pPr>
      <w:r w:rsidRPr="00A17E01">
        <w:rPr>
          <w:rFonts w:ascii="Arial" w:hAnsi="Arial" w:cs="Arial"/>
          <w:sz w:val="20"/>
          <w:szCs w:val="20"/>
        </w:rPr>
        <w:t>Urban female teachers</w:t>
      </w:r>
    </w:p>
    <w:p w:rsidR="008322DA" w:rsidRPr="00A17E01" w:rsidRDefault="008322DA" w:rsidP="008322DA">
      <w:pPr>
        <w:pStyle w:val="NormalWeb"/>
        <w:numPr>
          <w:ilvl w:val="0"/>
          <w:numId w:val="33"/>
        </w:numPr>
        <w:spacing w:line="360" w:lineRule="auto"/>
        <w:jc w:val="both"/>
        <w:rPr>
          <w:rFonts w:ascii="Arial" w:hAnsi="Arial" w:cs="Arial"/>
          <w:sz w:val="20"/>
          <w:szCs w:val="20"/>
        </w:rPr>
      </w:pPr>
      <w:r w:rsidRPr="00A17E01">
        <w:rPr>
          <w:rFonts w:ascii="Arial" w:hAnsi="Arial" w:cs="Arial"/>
          <w:sz w:val="20"/>
          <w:szCs w:val="20"/>
        </w:rPr>
        <w:t>Rural male teachers</w:t>
      </w:r>
    </w:p>
    <w:p w:rsidR="008322DA" w:rsidRPr="00A17E01" w:rsidRDefault="008322DA" w:rsidP="008322DA">
      <w:pPr>
        <w:pStyle w:val="NormalWeb"/>
        <w:numPr>
          <w:ilvl w:val="0"/>
          <w:numId w:val="33"/>
        </w:numPr>
        <w:spacing w:line="360" w:lineRule="auto"/>
        <w:jc w:val="both"/>
        <w:rPr>
          <w:rFonts w:ascii="Arial" w:hAnsi="Arial" w:cs="Arial"/>
          <w:sz w:val="20"/>
          <w:szCs w:val="20"/>
        </w:rPr>
      </w:pPr>
      <w:r w:rsidRPr="00A17E01">
        <w:rPr>
          <w:rFonts w:ascii="Arial" w:hAnsi="Arial" w:cs="Arial"/>
          <w:sz w:val="20"/>
          <w:szCs w:val="20"/>
        </w:rPr>
        <w:t>Rural female teachers</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Teachers from different academic disciplines were included to capture diverse instructional perspectives. </w:t>
      </w:r>
      <w:r w:rsidRPr="00A17E01">
        <w:rPr>
          <w:rStyle w:val="Strong"/>
          <w:rFonts w:ascii="Arial" w:hAnsi="Arial" w:cs="Arial"/>
          <w:b w:val="0"/>
          <w:sz w:val="20"/>
          <w:szCs w:val="20"/>
        </w:rPr>
        <w:t xml:space="preserve">Random sampling </w:t>
      </w:r>
      <w:proofErr w:type="spellStart"/>
      <w:r w:rsidRPr="00A17E01">
        <w:rPr>
          <w:rStyle w:val="Strong"/>
          <w:rFonts w:ascii="Arial" w:hAnsi="Arial" w:cs="Arial"/>
          <w:b w:val="0"/>
          <w:sz w:val="20"/>
          <w:szCs w:val="20"/>
        </w:rPr>
        <w:t>techniques</w:t>
      </w:r>
      <w:r w:rsidRPr="00A17E01">
        <w:rPr>
          <w:rFonts w:ascii="Arial" w:hAnsi="Arial" w:cs="Arial"/>
          <w:sz w:val="20"/>
          <w:szCs w:val="20"/>
        </w:rPr>
        <w:t>were</w:t>
      </w:r>
      <w:proofErr w:type="spellEnd"/>
      <w:r w:rsidRPr="00A17E01">
        <w:rPr>
          <w:rFonts w:ascii="Arial" w:hAnsi="Arial" w:cs="Arial"/>
          <w:sz w:val="20"/>
          <w:szCs w:val="20"/>
        </w:rPr>
        <w:t xml:space="preserve"> employed to ensure representativeness and to minimise selection bias.</w:t>
      </w:r>
    </w:p>
    <w:p w:rsidR="008322DA" w:rsidRPr="00A17E01" w:rsidRDefault="008322DA" w:rsidP="008322DA">
      <w:pPr>
        <w:pStyle w:val="Heading3"/>
        <w:spacing w:line="360" w:lineRule="auto"/>
        <w:jc w:val="both"/>
        <w:rPr>
          <w:rFonts w:ascii="Arial" w:hAnsi="Arial" w:cs="Arial"/>
          <w:b w:val="0"/>
          <w:color w:val="auto"/>
          <w:sz w:val="20"/>
          <w:szCs w:val="20"/>
        </w:rPr>
      </w:pPr>
      <w:r w:rsidRPr="00A17E01">
        <w:rPr>
          <w:rFonts w:ascii="Arial" w:hAnsi="Arial" w:cs="Arial"/>
          <w:b w:val="0"/>
          <w:color w:val="auto"/>
          <w:sz w:val="20"/>
          <w:szCs w:val="20"/>
        </w:rPr>
        <w:t>4.3 Instrumentation</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Data were collected using a </w:t>
      </w:r>
      <w:r w:rsidRPr="00A17E01">
        <w:rPr>
          <w:rStyle w:val="Strong"/>
          <w:rFonts w:ascii="Arial" w:hAnsi="Arial" w:cs="Arial"/>
          <w:b w:val="0"/>
          <w:sz w:val="20"/>
          <w:szCs w:val="20"/>
        </w:rPr>
        <w:t xml:space="preserve">researcher-developed five-point perception </w:t>
      </w:r>
      <w:proofErr w:type="spellStart"/>
      <w:r w:rsidRPr="00A17E01">
        <w:rPr>
          <w:rStyle w:val="Strong"/>
          <w:rFonts w:ascii="Arial" w:hAnsi="Arial" w:cs="Arial"/>
          <w:b w:val="0"/>
          <w:sz w:val="20"/>
          <w:szCs w:val="20"/>
        </w:rPr>
        <w:t>scale</w:t>
      </w:r>
      <w:r w:rsidRPr="00A17E01">
        <w:rPr>
          <w:rFonts w:ascii="Arial" w:hAnsi="Arial" w:cs="Arial"/>
          <w:sz w:val="20"/>
          <w:szCs w:val="20"/>
        </w:rPr>
        <w:t>designed</w:t>
      </w:r>
      <w:proofErr w:type="spellEnd"/>
      <w:r w:rsidRPr="00A17E01">
        <w:rPr>
          <w:rFonts w:ascii="Arial" w:hAnsi="Arial" w:cs="Arial"/>
          <w:sz w:val="20"/>
          <w:szCs w:val="20"/>
        </w:rPr>
        <w:t xml:space="preserve"> to measure teachers’ perceptions of academic achievement in autonomous colleges. The scale focused on key academic dimensions such as teaching–learning processes, assessment and evaluation practices, feedback mechanisms, instructional support, and academic monitoring within institutions.</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Responses were recorded on a five-point Likert-type scale ranging from </w:t>
      </w:r>
      <w:r w:rsidRPr="00A17E01">
        <w:rPr>
          <w:rStyle w:val="Emphasis"/>
          <w:rFonts w:ascii="Arial" w:hAnsi="Arial" w:cs="Arial"/>
          <w:sz w:val="20"/>
          <w:szCs w:val="20"/>
        </w:rPr>
        <w:t>Strongly Agree</w:t>
      </w:r>
      <w:r w:rsidRPr="00A17E01">
        <w:rPr>
          <w:rFonts w:ascii="Arial" w:hAnsi="Arial" w:cs="Arial"/>
          <w:sz w:val="20"/>
          <w:szCs w:val="20"/>
        </w:rPr>
        <w:t xml:space="preserve"> to </w:t>
      </w:r>
      <w:r w:rsidRPr="00A17E01">
        <w:rPr>
          <w:rStyle w:val="Emphasis"/>
          <w:rFonts w:ascii="Arial" w:hAnsi="Arial" w:cs="Arial"/>
          <w:sz w:val="20"/>
          <w:szCs w:val="20"/>
        </w:rPr>
        <w:t>Strongly Disagree</w:t>
      </w:r>
      <w:r w:rsidRPr="00A17E01">
        <w:rPr>
          <w:rFonts w:ascii="Arial" w:hAnsi="Arial" w:cs="Arial"/>
          <w:sz w:val="20"/>
          <w:szCs w:val="20"/>
        </w:rPr>
        <w:t>. Both positively and negatively worded items were included to reduce response bias and enhance the reliability of responses.</w:t>
      </w:r>
    </w:p>
    <w:p w:rsidR="008322DA" w:rsidRPr="00A17E01" w:rsidRDefault="008322DA" w:rsidP="008322DA">
      <w:pPr>
        <w:pStyle w:val="Heading3"/>
        <w:spacing w:line="360" w:lineRule="auto"/>
        <w:jc w:val="both"/>
        <w:rPr>
          <w:rFonts w:ascii="Arial" w:hAnsi="Arial" w:cs="Arial"/>
          <w:b w:val="0"/>
          <w:color w:val="auto"/>
          <w:sz w:val="20"/>
          <w:szCs w:val="20"/>
        </w:rPr>
      </w:pPr>
      <w:r w:rsidRPr="00A17E01">
        <w:rPr>
          <w:rFonts w:ascii="Arial" w:hAnsi="Arial" w:cs="Arial"/>
          <w:b w:val="0"/>
          <w:color w:val="auto"/>
          <w:sz w:val="20"/>
          <w:szCs w:val="20"/>
        </w:rPr>
        <w:t>4.4 Reliability and Validity of the Tool</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The perception scale was developed and standardised as part of the doctoral research. </w:t>
      </w:r>
      <w:proofErr w:type="spellStart"/>
      <w:r w:rsidRPr="00A17E01">
        <w:rPr>
          <w:rStyle w:val="Strong"/>
          <w:rFonts w:ascii="Arial" w:hAnsi="Arial" w:cs="Arial"/>
          <w:b w:val="0"/>
          <w:sz w:val="20"/>
          <w:szCs w:val="20"/>
        </w:rPr>
        <w:t>Reliability</w:t>
      </w:r>
      <w:r w:rsidRPr="00A17E01">
        <w:rPr>
          <w:rFonts w:ascii="Arial" w:hAnsi="Arial" w:cs="Arial"/>
          <w:sz w:val="20"/>
          <w:szCs w:val="20"/>
        </w:rPr>
        <w:t>of</w:t>
      </w:r>
      <w:proofErr w:type="spellEnd"/>
      <w:r w:rsidRPr="00A17E01">
        <w:rPr>
          <w:rFonts w:ascii="Arial" w:hAnsi="Arial" w:cs="Arial"/>
          <w:sz w:val="20"/>
          <w:szCs w:val="20"/>
        </w:rPr>
        <w:t xml:space="preserve"> the instrument was established using the </w:t>
      </w:r>
      <w:r w:rsidRPr="00A17E01">
        <w:rPr>
          <w:rStyle w:val="Strong"/>
          <w:rFonts w:ascii="Arial" w:hAnsi="Arial" w:cs="Arial"/>
          <w:b w:val="0"/>
          <w:sz w:val="20"/>
          <w:szCs w:val="20"/>
        </w:rPr>
        <w:t xml:space="preserve">Spearman–Brown split-half </w:t>
      </w:r>
      <w:proofErr w:type="gramStart"/>
      <w:r w:rsidRPr="00A17E01">
        <w:rPr>
          <w:rStyle w:val="Strong"/>
          <w:rFonts w:ascii="Arial" w:hAnsi="Arial" w:cs="Arial"/>
          <w:b w:val="0"/>
          <w:sz w:val="20"/>
          <w:szCs w:val="20"/>
        </w:rPr>
        <w:t>method</w:t>
      </w:r>
      <w:r w:rsidRPr="00A17E01">
        <w:rPr>
          <w:rFonts w:ascii="Arial" w:hAnsi="Arial" w:cs="Arial"/>
          <w:b/>
          <w:sz w:val="20"/>
          <w:szCs w:val="20"/>
        </w:rPr>
        <w:t>,</w:t>
      </w:r>
      <w:r w:rsidR="00795B33" w:rsidRPr="00A17E01">
        <w:rPr>
          <w:rFonts w:ascii="Arial" w:hAnsi="Arial" w:cs="Arial"/>
          <w:sz w:val="20"/>
          <w:szCs w:val="20"/>
        </w:rPr>
        <w:t>(</w:t>
      </w:r>
      <w:proofErr w:type="spellStart"/>
      <w:proofErr w:type="gramEnd"/>
      <w:r w:rsidR="00795B33" w:rsidRPr="00A17E01">
        <w:rPr>
          <w:rFonts w:ascii="Arial" w:hAnsi="Arial" w:cs="Arial"/>
          <w:sz w:val="20"/>
          <w:szCs w:val="20"/>
        </w:rPr>
        <w:t>Eisinga</w:t>
      </w:r>
      <w:proofErr w:type="spellEnd"/>
      <w:r w:rsidR="00795B33" w:rsidRPr="00A17E01">
        <w:rPr>
          <w:rFonts w:ascii="Arial" w:hAnsi="Arial" w:cs="Arial"/>
          <w:sz w:val="20"/>
          <w:szCs w:val="20"/>
        </w:rPr>
        <w:t xml:space="preserve"> et al., 2013) </w:t>
      </w:r>
      <w:r w:rsidRPr="00A17E01">
        <w:rPr>
          <w:rFonts w:ascii="Arial" w:hAnsi="Arial" w:cs="Arial"/>
          <w:sz w:val="20"/>
          <w:szCs w:val="20"/>
        </w:rPr>
        <w:t xml:space="preserve">yielding a reliability coefficient of </w:t>
      </w:r>
      <w:r w:rsidRPr="00A17E01">
        <w:rPr>
          <w:rStyle w:val="Strong"/>
          <w:rFonts w:ascii="Arial" w:hAnsi="Arial" w:cs="Arial"/>
          <w:b w:val="0"/>
          <w:sz w:val="20"/>
          <w:szCs w:val="20"/>
        </w:rPr>
        <w:t>0.73</w:t>
      </w:r>
      <w:r w:rsidRPr="00A17E01">
        <w:rPr>
          <w:rFonts w:ascii="Arial" w:hAnsi="Arial" w:cs="Arial"/>
          <w:b/>
          <w:sz w:val="20"/>
          <w:szCs w:val="20"/>
        </w:rPr>
        <w:t xml:space="preserve">, </w:t>
      </w:r>
      <w:r w:rsidRPr="00A17E01">
        <w:rPr>
          <w:rFonts w:ascii="Arial" w:hAnsi="Arial" w:cs="Arial"/>
          <w:sz w:val="20"/>
          <w:szCs w:val="20"/>
        </w:rPr>
        <w:t xml:space="preserve">which is considered acceptable for social science research. </w:t>
      </w:r>
      <w:r w:rsidRPr="00A17E01">
        <w:rPr>
          <w:rStyle w:val="Strong"/>
          <w:rFonts w:ascii="Arial" w:hAnsi="Arial" w:cs="Arial"/>
          <w:b w:val="0"/>
          <w:sz w:val="20"/>
          <w:szCs w:val="20"/>
        </w:rPr>
        <w:t xml:space="preserve">Content </w:t>
      </w:r>
      <w:proofErr w:type="spellStart"/>
      <w:r w:rsidRPr="00A17E01">
        <w:rPr>
          <w:rStyle w:val="Strong"/>
          <w:rFonts w:ascii="Arial" w:hAnsi="Arial" w:cs="Arial"/>
          <w:b w:val="0"/>
          <w:sz w:val="20"/>
          <w:szCs w:val="20"/>
        </w:rPr>
        <w:t>validity</w:t>
      </w:r>
      <w:r w:rsidRPr="00A17E01">
        <w:rPr>
          <w:rFonts w:ascii="Arial" w:hAnsi="Arial" w:cs="Arial"/>
          <w:sz w:val="20"/>
          <w:szCs w:val="20"/>
        </w:rPr>
        <w:t>was</w:t>
      </w:r>
      <w:proofErr w:type="spellEnd"/>
      <w:r w:rsidRPr="00A17E01">
        <w:rPr>
          <w:rFonts w:ascii="Arial" w:hAnsi="Arial" w:cs="Arial"/>
          <w:sz w:val="20"/>
          <w:szCs w:val="20"/>
        </w:rPr>
        <w:t xml:space="preserve"> ensured through expert judgement</w:t>
      </w:r>
      <w:r w:rsidR="00795B33" w:rsidRPr="00A17E01">
        <w:rPr>
          <w:rFonts w:ascii="Arial" w:hAnsi="Arial" w:cs="Arial"/>
          <w:sz w:val="20"/>
          <w:szCs w:val="20"/>
        </w:rPr>
        <w:t xml:space="preserve"> (</w:t>
      </w:r>
      <w:proofErr w:type="spellStart"/>
      <w:r w:rsidR="00795B33" w:rsidRPr="00A17E01">
        <w:rPr>
          <w:rFonts w:ascii="Arial" w:hAnsi="Arial" w:cs="Arial"/>
          <w:sz w:val="20"/>
          <w:szCs w:val="20"/>
        </w:rPr>
        <w:t>Almanasreh</w:t>
      </w:r>
      <w:proofErr w:type="spellEnd"/>
      <w:r w:rsidR="00795B33" w:rsidRPr="00A17E01">
        <w:rPr>
          <w:rFonts w:ascii="Arial" w:hAnsi="Arial" w:cs="Arial"/>
          <w:sz w:val="20"/>
          <w:szCs w:val="20"/>
        </w:rPr>
        <w:t xml:space="preserve"> et al, 2019)</w:t>
      </w:r>
      <w:r w:rsidRPr="00A17E01">
        <w:rPr>
          <w:rFonts w:ascii="Arial" w:hAnsi="Arial" w:cs="Arial"/>
          <w:sz w:val="20"/>
          <w:szCs w:val="20"/>
        </w:rPr>
        <w:t xml:space="preserve">. Subject experts and senior faculty members reviewed the items to assess their relevance, clarity, and adequacy in representing the construct of </w:t>
      </w:r>
      <w:r w:rsidRPr="00A17E01">
        <w:rPr>
          <w:rFonts w:ascii="Arial" w:hAnsi="Arial" w:cs="Arial"/>
          <w:sz w:val="20"/>
          <w:szCs w:val="20"/>
        </w:rPr>
        <w:lastRenderedPageBreak/>
        <w:t>academic achievement in autonomous colleges. Necessary modifications were incorporated based on expert feedback prior to final administration.</w:t>
      </w:r>
    </w:p>
    <w:p w:rsidR="008322DA" w:rsidRPr="00A17E01" w:rsidRDefault="008322DA" w:rsidP="008322DA">
      <w:pPr>
        <w:pStyle w:val="Heading3"/>
        <w:spacing w:line="360" w:lineRule="auto"/>
        <w:jc w:val="both"/>
        <w:rPr>
          <w:rFonts w:ascii="Arial" w:hAnsi="Arial" w:cs="Arial"/>
          <w:b w:val="0"/>
          <w:color w:val="auto"/>
          <w:sz w:val="20"/>
          <w:szCs w:val="20"/>
        </w:rPr>
      </w:pPr>
      <w:r w:rsidRPr="00A17E01">
        <w:rPr>
          <w:rFonts w:ascii="Arial" w:hAnsi="Arial" w:cs="Arial"/>
          <w:b w:val="0"/>
          <w:color w:val="auto"/>
          <w:sz w:val="20"/>
          <w:szCs w:val="20"/>
        </w:rPr>
        <w:t>4.5 Data Collection Procedure</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Data were collected through </w:t>
      </w:r>
      <w:r w:rsidRPr="00A17E01">
        <w:rPr>
          <w:rStyle w:val="Strong"/>
          <w:rFonts w:ascii="Arial" w:hAnsi="Arial" w:cs="Arial"/>
          <w:b w:val="0"/>
          <w:sz w:val="20"/>
          <w:szCs w:val="20"/>
        </w:rPr>
        <w:t xml:space="preserve">personal </w:t>
      </w:r>
      <w:proofErr w:type="spellStart"/>
      <w:r w:rsidRPr="00A17E01">
        <w:rPr>
          <w:rStyle w:val="Strong"/>
          <w:rFonts w:ascii="Arial" w:hAnsi="Arial" w:cs="Arial"/>
          <w:b w:val="0"/>
          <w:sz w:val="20"/>
          <w:szCs w:val="20"/>
        </w:rPr>
        <w:t>visits</w:t>
      </w:r>
      <w:r w:rsidRPr="00A17E01">
        <w:rPr>
          <w:rFonts w:ascii="Arial" w:hAnsi="Arial" w:cs="Arial"/>
          <w:sz w:val="20"/>
          <w:szCs w:val="20"/>
        </w:rPr>
        <w:t>to</w:t>
      </w:r>
      <w:proofErr w:type="spellEnd"/>
      <w:r w:rsidRPr="00A17E01">
        <w:rPr>
          <w:rFonts w:ascii="Arial" w:hAnsi="Arial" w:cs="Arial"/>
          <w:sz w:val="20"/>
          <w:szCs w:val="20"/>
        </w:rPr>
        <w:t xml:space="preserve"> the selected autonomous colleges after obtaining prior permission from institutional authorities. Teachers were informed about the purpose of the study and assured that their responses would be used solely for academic purposes.</w:t>
      </w:r>
      <w:r w:rsidR="007325FD">
        <w:rPr>
          <w:rFonts w:ascii="Arial" w:hAnsi="Arial" w:cs="Arial"/>
          <w:sz w:val="20"/>
          <w:szCs w:val="20"/>
        </w:rPr>
        <w:t xml:space="preserve"> </w:t>
      </w:r>
      <w:r w:rsidRPr="00A17E01">
        <w:rPr>
          <w:rFonts w:ascii="Arial" w:hAnsi="Arial" w:cs="Arial"/>
          <w:sz w:val="20"/>
          <w:szCs w:val="20"/>
        </w:rPr>
        <w:t>The perception scale was administered directly to the respondents, and sufficient time was provided for completion. Completed questionnaires were collected personally by the researcher to ensure completeness and accuracy of the data.</w:t>
      </w:r>
    </w:p>
    <w:p w:rsidR="008322DA" w:rsidRPr="00A17E01" w:rsidRDefault="008322DA" w:rsidP="008322DA">
      <w:pPr>
        <w:pStyle w:val="Heading3"/>
        <w:spacing w:line="360" w:lineRule="auto"/>
        <w:jc w:val="both"/>
        <w:rPr>
          <w:rFonts w:ascii="Arial" w:hAnsi="Arial" w:cs="Arial"/>
          <w:b w:val="0"/>
          <w:color w:val="auto"/>
          <w:sz w:val="20"/>
          <w:szCs w:val="20"/>
        </w:rPr>
      </w:pPr>
      <w:r w:rsidRPr="00A17E01">
        <w:rPr>
          <w:rFonts w:ascii="Arial" w:hAnsi="Arial" w:cs="Arial"/>
          <w:b w:val="0"/>
          <w:color w:val="auto"/>
          <w:sz w:val="20"/>
          <w:szCs w:val="20"/>
        </w:rPr>
        <w:t>4.6 Statistical Analysis</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 xml:space="preserve">The collected data were coded and analysed using descriptive and inferential statistical techniques. </w:t>
      </w:r>
      <w:r w:rsidRPr="00A17E01">
        <w:rPr>
          <w:rStyle w:val="Strong"/>
          <w:rFonts w:ascii="Arial" w:hAnsi="Arial" w:cs="Arial"/>
          <w:b w:val="0"/>
          <w:sz w:val="20"/>
          <w:szCs w:val="20"/>
        </w:rPr>
        <w:t xml:space="preserve">Mean scores and standard </w:t>
      </w:r>
      <w:proofErr w:type="spellStart"/>
      <w:r w:rsidRPr="00A17E01">
        <w:rPr>
          <w:rStyle w:val="Strong"/>
          <w:rFonts w:ascii="Arial" w:hAnsi="Arial" w:cs="Arial"/>
          <w:b w:val="0"/>
          <w:sz w:val="20"/>
          <w:szCs w:val="20"/>
        </w:rPr>
        <w:t>deviations</w:t>
      </w:r>
      <w:r w:rsidRPr="00A17E01">
        <w:rPr>
          <w:rFonts w:ascii="Arial" w:hAnsi="Arial" w:cs="Arial"/>
          <w:sz w:val="20"/>
          <w:szCs w:val="20"/>
        </w:rPr>
        <w:t>were</w:t>
      </w:r>
      <w:proofErr w:type="spellEnd"/>
      <w:r w:rsidRPr="00A17E01">
        <w:rPr>
          <w:rFonts w:ascii="Arial" w:hAnsi="Arial" w:cs="Arial"/>
          <w:sz w:val="20"/>
          <w:szCs w:val="20"/>
        </w:rPr>
        <w:t xml:space="preserve"> computed to summarise teachers’ perceptions of academic </w:t>
      </w:r>
      <w:proofErr w:type="spellStart"/>
      <w:proofErr w:type="gramStart"/>
      <w:r w:rsidRPr="00A17E01">
        <w:rPr>
          <w:rFonts w:ascii="Arial" w:hAnsi="Arial" w:cs="Arial"/>
          <w:sz w:val="20"/>
          <w:szCs w:val="20"/>
        </w:rPr>
        <w:t>achievement.To</w:t>
      </w:r>
      <w:proofErr w:type="spellEnd"/>
      <w:proofErr w:type="gramEnd"/>
      <w:r w:rsidRPr="00A17E01">
        <w:rPr>
          <w:rFonts w:ascii="Arial" w:hAnsi="Arial" w:cs="Arial"/>
          <w:sz w:val="20"/>
          <w:szCs w:val="20"/>
        </w:rPr>
        <w:t xml:space="preserve"> examine differences across gender and rural–urban contexts, </w:t>
      </w:r>
      <w:r w:rsidRPr="00A17E01">
        <w:rPr>
          <w:rStyle w:val="Strong"/>
          <w:rFonts w:ascii="Arial" w:hAnsi="Arial" w:cs="Arial"/>
          <w:b w:val="0"/>
          <w:sz w:val="20"/>
          <w:szCs w:val="20"/>
        </w:rPr>
        <w:t xml:space="preserve">independent samples </w:t>
      </w:r>
      <w:r w:rsidRPr="007325FD">
        <w:rPr>
          <w:rStyle w:val="Emphasis"/>
          <w:rFonts w:ascii="Arial" w:hAnsi="Arial" w:cs="Arial"/>
          <w:bCs/>
          <w:sz w:val="20"/>
          <w:szCs w:val="20"/>
        </w:rPr>
        <w:t>t</w:t>
      </w:r>
      <w:r w:rsidRPr="007325FD">
        <w:rPr>
          <w:rStyle w:val="Strong"/>
          <w:rFonts w:ascii="Arial" w:hAnsi="Arial" w:cs="Arial"/>
          <w:sz w:val="20"/>
          <w:szCs w:val="20"/>
        </w:rPr>
        <w:t>-</w:t>
      </w:r>
      <w:proofErr w:type="spellStart"/>
      <w:r w:rsidRPr="00A17E01">
        <w:rPr>
          <w:rStyle w:val="Strong"/>
          <w:rFonts w:ascii="Arial" w:hAnsi="Arial" w:cs="Arial"/>
          <w:b w:val="0"/>
          <w:sz w:val="20"/>
          <w:szCs w:val="20"/>
        </w:rPr>
        <w:t>tests</w:t>
      </w:r>
      <w:r w:rsidRPr="00A17E01">
        <w:rPr>
          <w:rFonts w:ascii="Arial" w:hAnsi="Arial" w:cs="Arial"/>
          <w:sz w:val="20"/>
          <w:szCs w:val="20"/>
        </w:rPr>
        <w:t>were</w:t>
      </w:r>
      <w:proofErr w:type="spellEnd"/>
      <w:r w:rsidRPr="00A17E01">
        <w:rPr>
          <w:rFonts w:ascii="Arial" w:hAnsi="Arial" w:cs="Arial"/>
          <w:sz w:val="20"/>
          <w:szCs w:val="20"/>
        </w:rPr>
        <w:t xml:space="preserve"> employed. The </w:t>
      </w:r>
      <w:r w:rsidRPr="00A17E01">
        <w:rPr>
          <w:rStyle w:val="Emphasis"/>
          <w:rFonts w:ascii="Arial" w:hAnsi="Arial" w:cs="Arial"/>
          <w:sz w:val="20"/>
          <w:szCs w:val="20"/>
        </w:rPr>
        <w:t>t</w:t>
      </w:r>
      <w:r w:rsidRPr="00A17E01">
        <w:rPr>
          <w:rFonts w:ascii="Arial" w:hAnsi="Arial" w:cs="Arial"/>
          <w:sz w:val="20"/>
          <w:szCs w:val="20"/>
        </w:rPr>
        <w:t xml:space="preserve">-test was selected as it is appropriate for comparing mean differences between two independent groups. Statistical significance was tested at the </w:t>
      </w:r>
      <w:r w:rsidRPr="00A17E01">
        <w:rPr>
          <w:rStyle w:val="Strong"/>
          <w:rFonts w:ascii="Arial" w:hAnsi="Arial" w:cs="Arial"/>
          <w:b w:val="0"/>
          <w:sz w:val="20"/>
          <w:szCs w:val="20"/>
        </w:rPr>
        <w:t>0.05 level</w:t>
      </w:r>
      <w:r w:rsidRPr="00A17E01">
        <w:rPr>
          <w:rFonts w:ascii="Arial" w:hAnsi="Arial" w:cs="Arial"/>
          <w:b/>
          <w:sz w:val="20"/>
          <w:szCs w:val="20"/>
        </w:rPr>
        <w:t>.</w:t>
      </w:r>
    </w:p>
    <w:p w:rsidR="008322DA" w:rsidRPr="00A17E01" w:rsidRDefault="008322DA" w:rsidP="008322DA">
      <w:pPr>
        <w:pStyle w:val="Heading3"/>
        <w:spacing w:line="360" w:lineRule="auto"/>
        <w:jc w:val="both"/>
        <w:rPr>
          <w:rFonts w:ascii="Arial" w:hAnsi="Arial" w:cs="Arial"/>
          <w:b w:val="0"/>
          <w:color w:val="auto"/>
          <w:sz w:val="20"/>
          <w:szCs w:val="20"/>
        </w:rPr>
      </w:pPr>
      <w:r w:rsidRPr="00A17E01">
        <w:rPr>
          <w:rFonts w:ascii="Arial" w:hAnsi="Arial" w:cs="Arial"/>
          <w:b w:val="0"/>
          <w:color w:val="auto"/>
          <w:sz w:val="20"/>
          <w:szCs w:val="20"/>
        </w:rPr>
        <w:t>4.7 Ethical Considerations</w:t>
      </w:r>
    </w:p>
    <w:p w:rsidR="008322DA" w:rsidRPr="00A17E01" w:rsidRDefault="008322DA" w:rsidP="008322DA">
      <w:pPr>
        <w:pStyle w:val="NormalWeb"/>
        <w:spacing w:line="360" w:lineRule="auto"/>
        <w:jc w:val="both"/>
        <w:rPr>
          <w:rFonts w:ascii="Arial" w:hAnsi="Arial" w:cs="Arial"/>
          <w:sz w:val="20"/>
          <w:szCs w:val="20"/>
        </w:rPr>
      </w:pPr>
      <w:r w:rsidRPr="00A17E01">
        <w:rPr>
          <w:rFonts w:ascii="Arial" w:hAnsi="Arial" w:cs="Arial"/>
          <w:sz w:val="20"/>
          <w:szCs w:val="20"/>
        </w:rPr>
        <w:t>Ethical standards were maintained throughout the study. Participation was voluntary, and respondents were assured of anonymity and confidentiality. No identifying information was collected, and the data were used exclusively for research purposes.</w:t>
      </w:r>
    </w:p>
    <w:p w:rsidR="00392C0B" w:rsidRPr="00A17E01" w:rsidRDefault="00392C0B" w:rsidP="008322DA">
      <w:pPr>
        <w:pStyle w:val="NormalWeb"/>
        <w:spacing w:line="360" w:lineRule="auto"/>
        <w:jc w:val="both"/>
        <w:rPr>
          <w:rFonts w:ascii="Arial" w:hAnsi="Arial" w:cs="Arial"/>
          <w:sz w:val="20"/>
          <w:szCs w:val="20"/>
        </w:rPr>
      </w:pPr>
    </w:p>
    <w:p w:rsidR="00392C0B" w:rsidRPr="00A17E01" w:rsidRDefault="00392C0B" w:rsidP="008322DA">
      <w:pPr>
        <w:pStyle w:val="NormalWeb"/>
        <w:spacing w:line="360" w:lineRule="auto"/>
        <w:jc w:val="both"/>
        <w:rPr>
          <w:rFonts w:ascii="Arial" w:hAnsi="Arial" w:cs="Arial"/>
          <w:sz w:val="20"/>
          <w:szCs w:val="20"/>
        </w:rPr>
      </w:pPr>
    </w:p>
    <w:p w:rsidR="008322DA" w:rsidRPr="00A17E01" w:rsidRDefault="008322DA" w:rsidP="00713171">
      <w:pPr>
        <w:pStyle w:val="ListParagraph"/>
        <w:numPr>
          <w:ilvl w:val="0"/>
          <w:numId w:val="34"/>
        </w:numPr>
        <w:spacing w:after="100" w:line="360" w:lineRule="auto"/>
        <w:ind w:hanging="720"/>
        <w:jc w:val="both"/>
        <w:rPr>
          <w:rFonts w:ascii="Arial" w:hAnsi="Arial" w:cs="Arial"/>
          <w:b/>
        </w:rPr>
      </w:pPr>
      <w:r w:rsidRPr="00A17E01">
        <w:rPr>
          <w:rFonts w:ascii="Arial" w:hAnsi="Arial" w:cs="Arial"/>
          <w:b/>
        </w:rPr>
        <w:t>Result</w:t>
      </w:r>
    </w:p>
    <w:p w:rsidR="008322DA" w:rsidRPr="00A17E01" w:rsidRDefault="008322DA" w:rsidP="008322DA">
      <w:pPr>
        <w:spacing w:after="200" w:line="360" w:lineRule="auto"/>
        <w:jc w:val="both"/>
        <w:rPr>
          <w:rFonts w:ascii="Arial" w:hAnsi="Arial" w:cs="Arial"/>
        </w:rPr>
      </w:pPr>
      <w:r w:rsidRPr="00A17E01">
        <w:rPr>
          <w:rFonts w:ascii="Arial" w:hAnsi="Arial" w:cs="Arial"/>
        </w:rPr>
        <w:t>Perception on Academic Achievement</w:t>
      </w:r>
    </w:p>
    <w:p w:rsidR="008322DA" w:rsidRPr="00A17E01" w:rsidRDefault="008322DA" w:rsidP="008322DA">
      <w:pPr>
        <w:spacing w:after="200" w:line="360" w:lineRule="auto"/>
        <w:jc w:val="both"/>
        <w:rPr>
          <w:rFonts w:ascii="Arial" w:hAnsi="Arial" w:cs="Arial"/>
        </w:rPr>
      </w:pPr>
      <w:r w:rsidRPr="00A17E01">
        <w:rPr>
          <w:rFonts w:ascii="Arial" w:hAnsi="Arial" w:cs="Arial"/>
        </w:rPr>
        <w:t xml:space="preserve">Table.1 reflected that obtained t-value is 3.81 which is more than the standard t-value (1.97 at 0.05 level and 2.59 at 0.01 level) at df (158) and it is significant at both the levels. It shows that hypothesis-1, “There is no significant difference between the perception of male and </w:t>
      </w:r>
      <w:r w:rsidRPr="00A17E01">
        <w:rPr>
          <w:rFonts w:ascii="Arial" w:hAnsi="Arial" w:cs="Arial"/>
        </w:rPr>
        <w:lastRenderedPageBreak/>
        <w:t xml:space="preserve">female teachers on academic achievement” where it is proved to be significant. In this context Hypothesis-1 is not retained hence it is rejected. </w:t>
      </w:r>
      <w:proofErr w:type="gramStart"/>
      <w:r w:rsidRPr="00A17E01">
        <w:rPr>
          <w:rFonts w:ascii="Arial" w:hAnsi="Arial" w:cs="Arial"/>
        </w:rPr>
        <w:t>Thus</w:t>
      </w:r>
      <w:proofErr w:type="gramEnd"/>
      <w:r w:rsidRPr="00A17E01">
        <w:rPr>
          <w:rFonts w:ascii="Arial" w:hAnsi="Arial" w:cs="Arial"/>
        </w:rPr>
        <w:t xml:space="preserve"> there is significant variation in overall opinion of both the male and female teachers on academic achievement</w:t>
      </w:r>
    </w:p>
    <w:p w:rsidR="008322DA" w:rsidRPr="00A17E01" w:rsidRDefault="008322DA" w:rsidP="008322DA">
      <w:pPr>
        <w:spacing w:after="200" w:line="360" w:lineRule="auto"/>
        <w:jc w:val="both"/>
        <w:rPr>
          <w:rFonts w:ascii="Arial" w:hAnsi="Arial" w:cs="Arial"/>
        </w:rPr>
      </w:pPr>
      <w:r w:rsidRPr="00A17E01">
        <w:rPr>
          <w:rFonts w:ascii="Arial" w:hAnsi="Arial" w:cs="Arial"/>
        </w:rPr>
        <w:t>Table No. 1 Test of significance between the perception of male teachers and female teachers on Academic Achievement (N=160)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653"/>
        <w:gridCol w:w="1051"/>
        <w:gridCol w:w="1267"/>
        <w:gridCol w:w="1327"/>
        <w:gridCol w:w="2166"/>
      </w:tblGrid>
      <w:tr w:rsidR="008322DA" w:rsidRPr="00A17E01" w:rsidTr="004F3874">
        <w:tc>
          <w:tcPr>
            <w:tcW w:w="1008" w:type="dxa"/>
          </w:tcPr>
          <w:p w:rsidR="008322DA" w:rsidRPr="00A17E01" w:rsidRDefault="008322DA" w:rsidP="00392C0B">
            <w:pPr>
              <w:spacing w:before="120" w:after="120"/>
              <w:jc w:val="both"/>
              <w:rPr>
                <w:rFonts w:ascii="Arial" w:hAnsi="Arial" w:cs="Arial"/>
              </w:rPr>
            </w:pPr>
            <w:proofErr w:type="spellStart"/>
            <w:r w:rsidRPr="00A17E01">
              <w:rPr>
                <w:rFonts w:ascii="Arial" w:hAnsi="Arial" w:cs="Arial"/>
              </w:rPr>
              <w:t>Sl.No</w:t>
            </w:r>
            <w:proofErr w:type="spellEnd"/>
            <w:r w:rsidRPr="00A17E01">
              <w:rPr>
                <w:rFonts w:ascii="Arial" w:hAnsi="Arial" w:cs="Arial"/>
              </w:rPr>
              <w:t>.</w:t>
            </w:r>
          </w:p>
        </w:tc>
        <w:tc>
          <w:tcPr>
            <w:tcW w:w="1800" w:type="dxa"/>
          </w:tcPr>
          <w:p w:rsidR="008322DA" w:rsidRPr="00A17E01" w:rsidRDefault="008322DA" w:rsidP="00392C0B">
            <w:pPr>
              <w:spacing w:before="120" w:after="120"/>
              <w:jc w:val="both"/>
              <w:rPr>
                <w:rFonts w:ascii="Arial" w:hAnsi="Arial" w:cs="Arial"/>
              </w:rPr>
            </w:pPr>
            <w:r w:rsidRPr="00A17E01">
              <w:rPr>
                <w:rFonts w:ascii="Arial" w:hAnsi="Arial" w:cs="Arial"/>
              </w:rPr>
              <w:t>Category</w:t>
            </w:r>
          </w:p>
        </w:tc>
        <w:tc>
          <w:tcPr>
            <w:tcW w:w="1080" w:type="dxa"/>
          </w:tcPr>
          <w:p w:rsidR="008322DA" w:rsidRPr="00A17E01" w:rsidRDefault="008322DA" w:rsidP="00392C0B">
            <w:pPr>
              <w:spacing w:before="120" w:after="120"/>
              <w:jc w:val="both"/>
              <w:rPr>
                <w:rFonts w:ascii="Arial" w:hAnsi="Arial" w:cs="Arial"/>
              </w:rPr>
            </w:pPr>
            <w:r w:rsidRPr="00A17E01">
              <w:rPr>
                <w:rFonts w:ascii="Arial" w:hAnsi="Arial" w:cs="Arial"/>
              </w:rPr>
              <w:t>Number (N)</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 xml:space="preserve">Mean </w:t>
            </w:r>
          </w:p>
          <w:p w:rsidR="008322DA" w:rsidRPr="00A17E01" w:rsidRDefault="008322DA" w:rsidP="00392C0B">
            <w:pPr>
              <w:spacing w:before="120" w:after="120"/>
              <w:jc w:val="both"/>
              <w:rPr>
                <w:rFonts w:ascii="Arial" w:hAnsi="Arial" w:cs="Arial"/>
              </w:rPr>
            </w:pPr>
            <w:r w:rsidRPr="00A17E01">
              <w:rPr>
                <w:rFonts w:ascii="Arial" w:hAnsi="Arial" w:cs="Arial"/>
              </w:rPr>
              <w:t>(M)</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Standard deviation (SD)</w:t>
            </w:r>
          </w:p>
        </w:tc>
        <w:tc>
          <w:tcPr>
            <w:tcW w:w="2498" w:type="dxa"/>
          </w:tcPr>
          <w:p w:rsidR="008322DA" w:rsidRPr="00A17E01" w:rsidRDefault="008322DA" w:rsidP="00392C0B">
            <w:pPr>
              <w:spacing w:before="120" w:after="120"/>
              <w:jc w:val="both"/>
              <w:rPr>
                <w:rFonts w:ascii="Arial" w:hAnsi="Arial" w:cs="Arial"/>
              </w:rPr>
            </w:pPr>
            <w:r w:rsidRPr="00A17E01">
              <w:rPr>
                <w:rFonts w:ascii="Arial" w:hAnsi="Arial" w:cs="Arial"/>
              </w:rPr>
              <w:t>t-value</w:t>
            </w:r>
          </w:p>
        </w:tc>
      </w:tr>
      <w:tr w:rsidR="008322DA" w:rsidRPr="00A17E01" w:rsidTr="004F3874">
        <w:tc>
          <w:tcPr>
            <w:tcW w:w="1008" w:type="dxa"/>
          </w:tcPr>
          <w:p w:rsidR="008322DA" w:rsidRPr="00A17E01" w:rsidRDefault="008322DA" w:rsidP="00392C0B">
            <w:pPr>
              <w:spacing w:before="200" w:after="200"/>
              <w:jc w:val="both"/>
              <w:rPr>
                <w:rFonts w:ascii="Arial" w:hAnsi="Arial" w:cs="Arial"/>
              </w:rPr>
            </w:pPr>
            <w:r w:rsidRPr="00A17E01">
              <w:rPr>
                <w:rFonts w:ascii="Arial" w:hAnsi="Arial" w:cs="Arial"/>
              </w:rPr>
              <w:t>1</w:t>
            </w:r>
          </w:p>
        </w:tc>
        <w:tc>
          <w:tcPr>
            <w:tcW w:w="1800" w:type="dxa"/>
          </w:tcPr>
          <w:p w:rsidR="008322DA" w:rsidRPr="00A17E01" w:rsidRDefault="008322DA" w:rsidP="00392C0B">
            <w:pPr>
              <w:spacing w:before="200" w:after="200"/>
              <w:jc w:val="both"/>
              <w:rPr>
                <w:rFonts w:ascii="Arial" w:hAnsi="Arial" w:cs="Arial"/>
              </w:rPr>
            </w:pPr>
            <w:r w:rsidRPr="00A17E01">
              <w:rPr>
                <w:rFonts w:ascii="Arial" w:hAnsi="Arial" w:cs="Arial"/>
              </w:rPr>
              <w:t>Male</w:t>
            </w:r>
          </w:p>
        </w:tc>
        <w:tc>
          <w:tcPr>
            <w:tcW w:w="1080" w:type="dxa"/>
          </w:tcPr>
          <w:p w:rsidR="008322DA" w:rsidRPr="00A17E01" w:rsidRDefault="008322DA" w:rsidP="00392C0B">
            <w:pPr>
              <w:spacing w:before="200" w:after="200"/>
              <w:jc w:val="both"/>
              <w:rPr>
                <w:rFonts w:ascii="Arial" w:hAnsi="Arial" w:cs="Arial"/>
              </w:rPr>
            </w:pPr>
            <w:r w:rsidRPr="00A17E01">
              <w:rPr>
                <w:rFonts w:ascii="Arial" w:hAnsi="Arial" w:cs="Arial"/>
              </w:rPr>
              <w:t>80</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27.63</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6.89</w:t>
            </w:r>
          </w:p>
        </w:tc>
        <w:tc>
          <w:tcPr>
            <w:tcW w:w="2498" w:type="dxa"/>
            <w:vMerge w:val="restart"/>
            <w:vAlign w:val="center"/>
          </w:tcPr>
          <w:p w:rsidR="008322DA" w:rsidRPr="00A17E01" w:rsidRDefault="008322DA" w:rsidP="00392C0B">
            <w:pPr>
              <w:spacing w:before="200" w:after="200"/>
              <w:jc w:val="both"/>
              <w:rPr>
                <w:rFonts w:ascii="Arial" w:hAnsi="Arial" w:cs="Arial"/>
              </w:rPr>
            </w:pPr>
            <w:r w:rsidRPr="00A17E01">
              <w:rPr>
                <w:rFonts w:ascii="Arial" w:hAnsi="Arial" w:cs="Arial"/>
              </w:rPr>
              <w:t>3.81**</w:t>
            </w:r>
          </w:p>
        </w:tc>
      </w:tr>
      <w:tr w:rsidR="008322DA" w:rsidRPr="00A17E01" w:rsidTr="004F3874">
        <w:tc>
          <w:tcPr>
            <w:tcW w:w="1008"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w:t>
            </w:r>
          </w:p>
        </w:tc>
        <w:tc>
          <w:tcPr>
            <w:tcW w:w="180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Female</w:t>
            </w:r>
          </w:p>
        </w:tc>
        <w:tc>
          <w:tcPr>
            <w:tcW w:w="108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80</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22.94</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8.67</w:t>
            </w:r>
          </w:p>
        </w:tc>
        <w:tc>
          <w:tcPr>
            <w:tcW w:w="2498" w:type="dxa"/>
            <w:vMerge/>
          </w:tcPr>
          <w:p w:rsidR="008322DA" w:rsidRPr="00A17E01" w:rsidRDefault="008322DA" w:rsidP="004F3874">
            <w:pPr>
              <w:spacing w:before="200" w:after="200" w:line="360" w:lineRule="auto"/>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=158   at</w:t>
      </w:r>
      <w:r w:rsidRPr="00A17E01">
        <w:rPr>
          <w:rFonts w:ascii="Arial" w:hAnsi="Arial" w:cs="Arial"/>
        </w:rPr>
        <w:tab/>
      </w:r>
      <w:r w:rsidRPr="00A17E01">
        <w:rPr>
          <w:rFonts w:ascii="Arial" w:hAnsi="Arial" w:cs="Arial"/>
        </w:rPr>
        <w:tab/>
        <w:t>.05 level = 1.97</w:t>
      </w:r>
      <w:proofErr w:type="gramStart"/>
      <w:r w:rsidRPr="00A17E01">
        <w:rPr>
          <w:rFonts w:ascii="Arial" w:hAnsi="Arial" w:cs="Arial"/>
        </w:rPr>
        <w:t>,  .</w:t>
      </w:r>
      <w:proofErr w:type="gramEnd"/>
      <w:r w:rsidRPr="00A17E01">
        <w:rPr>
          <w:rFonts w:ascii="Arial" w:hAnsi="Arial" w:cs="Arial"/>
        </w:rPr>
        <w:t>01 level = 2.59</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 significant at .01 level </w:t>
      </w:r>
    </w:p>
    <w:p w:rsidR="008322DA" w:rsidRPr="00A17E01" w:rsidRDefault="008322DA" w:rsidP="008322DA">
      <w:pPr>
        <w:spacing w:after="200" w:line="360" w:lineRule="auto"/>
        <w:ind w:firstLine="720"/>
        <w:jc w:val="both"/>
        <w:rPr>
          <w:rFonts w:ascii="Arial" w:hAnsi="Arial" w:cs="Arial"/>
        </w:rPr>
      </w:pPr>
      <w:r w:rsidRPr="00A17E01">
        <w:rPr>
          <w:rFonts w:ascii="Arial" w:hAnsi="Arial" w:cs="Arial"/>
        </w:rPr>
        <w:tab/>
        <w:t xml:space="preserve">This has been graphically depicted in the bar chart. </w:t>
      </w:r>
    </w:p>
    <w:p w:rsidR="008322DA" w:rsidRPr="00A17E01" w:rsidRDefault="008322DA" w:rsidP="008322DA">
      <w:pPr>
        <w:spacing w:after="200" w:line="360" w:lineRule="auto"/>
        <w:jc w:val="both"/>
        <w:rPr>
          <w:rFonts w:ascii="Arial" w:hAnsi="Arial" w:cs="Arial"/>
        </w:rPr>
      </w:pPr>
      <w:r w:rsidRPr="00A17E01">
        <w:rPr>
          <w:rFonts w:ascii="Arial" w:hAnsi="Arial" w:cs="Arial"/>
          <w:noProof/>
          <w:lang w:val="en-IN" w:eastAsia="en-IN"/>
        </w:rPr>
        <w:drawing>
          <wp:inline distT="0" distB="0" distL="0" distR="0">
            <wp:extent cx="5431155" cy="1962150"/>
            <wp:effectExtent l="19050" t="0" r="17145" b="0"/>
            <wp:docPr id="13" name="Object 4"/>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rsidR="008322DA" w:rsidRPr="00A17E01" w:rsidRDefault="008322DA" w:rsidP="008322DA">
      <w:pPr>
        <w:spacing w:after="200" w:line="360" w:lineRule="auto"/>
        <w:ind w:left="1080" w:hanging="1080"/>
        <w:jc w:val="both"/>
        <w:rPr>
          <w:rFonts w:ascii="Arial" w:hAnsi="Arial" w:cs="Arial"/>
        </w:rPr>
      </w:pPr>
      <w:r w:rsidRPr="00A17E01">
        <w:rPr>
          <w:rFonts w:ascii="Arial" w:hAnsi="Arial" w:cs="Arial"/>
        </w:rPr>
        <w:t xml:space="preserve">Fig.1. Mean values of male teachers and female teachers on academic achievement </w:t>
      </w:r>
    </w:p>
    <w:p w:rsidR="008322DA" w:rsidRPr="00A17E01" w:rsidRDefault="008322DA" w:rsidP="008322DA">
      <w:pPr>
        <w:spacing w:after="200" w:line="360" w:lineRule="auto"/>
        <w:jc w:val="both"/>
        <w:rPr>
          <w:rFonts w:ascii="Arial" w:hAnsi="Arial" w:cs="Arial"/>
        </w:rPr>
      </w:pPr>
      <w:r w:rsidRPr="00A17E01">
        <w:rPr>
          <w:rFonts w:ascii="Arial" w:hAnsi="Arial" w:cs="Arial"/>
        </w:rPr>
        <w:t xml:space="preserve">It is concluded that the male teacher </w:t>
      </w:r>
      <w:proofErr w:type="gramStart"/>
      <w:r w:rsidRPr="00A17E01">
        <w:rPr>
          <w:rFonts w:ascii="Arial" w:hAnsi="Arial" w:cs="Arial"/>
        </w:rPr>
        <w:t>are</w:t>
      </w:r>
      <w:proofErr w:type="gramEnd"/>
      <w:r w:rsidRPr="00A17E01">
        <w:rPr>
          <w:rFonts w:ascii="Arial" w:hAnsi="Arial" w:cs="Arial"/>
        </w:rPr>
        <w:t xml:space="preserve"> taking more initiative through time to time formative evaluation better academic progress whereas the female teachers are not so conscious about it.</w:t>
      </w:r>
    </w:p>
    <w:p w:rsidR="008322DA" w:rsidRPr="00A17E01" w:rsidRDefault="008322DA" w:rsidP="008322DA">
      <w:pPr>
        <w:spacing w:after="200" w:line="360" w:lineRule="auto"/>
        <w:jc w:val="both"/>
        <w:rPr>
          <w:rFonts w:ascii="Arial" w:hAnsi="Arial" w:cs="Arial"/>
        </w:rPr>
      </w:pPr>
      <w:r w:rsidRPr="00A17E01">
        <w:rPr>
          <w:rFonts w:ascii="Arial" w:hAnsi="Arial" w:cs="Arial"/>
        </w:rPr>
        <w:t>Table No.2 Test of significance between the perception of rural male teachers and rural female teachers on Academic Achievement (N=160)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2"/>
        <w:gridCol w:w="1655"/>
        <w:gridCol w:w="1051"/>
        <w:gridCol w:w="1269"/>
        <w:gridCol w:w="1328"/>
        <w:gridCol w:w="2159"/>
      </w:tblGrid>
      <w:tr w:rsidR="008322DA" w:rsidRPr="00A17E01" w:rsidTr="004F3874">
        <w:tc>
          <w:tcPr>
            <w:tcW w:w="1008" w:type="dxa"/>
          </w:tcPr>
          <w:p w:rsidR="008322DA" w:rsidRPr="00A17E01" w:rsidRDefault="008322DA" w:rsidP="00392C0B">
            <w:pPr>
              <w:spacing w:before="120" w:after="120"/>
              <w:jc w:val="both"/>
              <w:rPr>
                <w:rFonts w:ascii="Arial" w:hAnsi="Arial" w:cs="Arial"/>
              </w:rPr>
            </w:pPr>
            <w:proofErr w:type="spellStart"/>
            <w:r w:rsidRPr="00A17E01">
              <w:rPr>
                <w:rFonts w:ascii="Arial" w:hAnsi="Arial" w:cs="Arial"/>
              </w:rPr>
              <w:lastRenderedPageBreak/>
              <w:t>Sl.No</w:t>
            </w:r>
            <w:proofErr w:type="spellEnd"/>
            <w:r w:rsidRPr="00A17E01">
              <w:rPr>
                <w:rFonts w:ascii="Arial" w:hAnsi="Arial" w:cs="Arial"/>
              </w:rPr>
              <w:t>.</w:t>
            </w:r>
          </w:p>
        </w:tc>
        <w:tc>
          <w:tcPr>
            <w:tcW w:w="1800" w:type="dxa"/>
          </w:tcPr>
          <w:p w:rsidR="008322DA" w:rsidRPr="00A17E01" w:rsidRDefault="008322DA" w:rsidP="00392C0B">
            <w:pPr>
              <w:spacing w:before="120" w:after="120"/>
              <w:jc w:val="both"/>
              <w:rPr>
                <w:rFonts w:ascii="Arial" w:hAnsi="Arial" w:cs="Arial"/>
              </w:rPr>
            </w:pPr>
            <w:r w:rsidRPr="00A17E01">
              <w:rPr>
                <w:rFonts w:ascii="Arial" w:hAnsi="Arial" w:cs="Arial"/>
              </w:rPr>
              <w:t>Category</w:t>
            </w:r>
          </w:p>
        </w:tc>
        <w:tc>
          <w:tcPr>
            <w:tcW w:w="1080" w:type="dxa"/>
          </w:tcPr>
          <w:p w:rsidR="008322DA" w:rsidRPr="00A17E01" w:rsidRDefault="008322DA" w:rsidP="00392C0B">
            <w:pPr>
              <w:spacing w:before="120" w:after="120"/>
              <w:jc w:val="both"/>
              <w:rPr>
                <w:rFonts w:ascii="Arial" w:hAnsi="Arial" w:cs="Arial"/>
              </w:rPr>
            </w:pPr>
            <w:r w:rsidRPr="00A17E01">
              <w:rPr>
                <w:rFonts w:ascii="Arial" w:hAnsi="Arial" w:cs="Arial"/>
              </w:rPr>
              <w:t>Number (N)</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 xml:space="preserve">Mean </w:t>
            </w:r>
          </w:p>
          <w:p w:rsidR="008322DA" w:rsidRPr="00A17E01" w:rsidRDefault="008322DA" w:rsidP="00392C0B">
            <w:pPr>
              <w:spacing w:before="120" w:after="120"/>
              <w:jc w:val="both"/>
              <w:rPr>
                <w:rFonts w:ascii="Arial" w:hAnsi="Arial" w:cs="Arial"/>
              </w:rPr>
            </w:pPr>
            <w:r w:rsidRPr="00A17E01">
              <w:rPr>
                <w:rFonts w:ascii="Arial" w:hAnsi="Arial" w:cs="Arial"/>
              </w:rPr>
              <w:t>(M)</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Standard deviation (SD)</w:t>
            </w:r>
          </w:p>
        </w:tc>
        <w:tc>
          <w:tcPr>
            <w:tcW w:w="2498" w:type="dxa"/>
          </w:tcPr>
          <w:p w:rsidR="008322DA" w:rsidRPr="00A17E01" w:rsidRDefault="008322DA" w:rsidP="00392C0B">
            <w:pPr>
              <w:spacing w:before="120" w:after="120"/>
              <w:jc w:val="both"/>
              <w:rPr>
                <w:rFonts w:ascii="Arial" w:hAnsi="Arial" w:cs="Arial"/>
              </w:rPr>
            </w:pPr>
            <w:r w:rsidRPr="00A17E01">
              <w:rPr>
                <w:rFonts w:ascii="Arial" w:hAnsi="Arial" w:cs="Arial"/>
              </w:rPr>
              <w:t>t-value</w:t>
            </w:r>
          </w:p>
        </w:tc>
      </w:tr>
      <w:tr w:rsidR="008322DA" w:rsidRPr="00A17E01" w:rsidTr="004F3874">
        <w:tc>
          <w:tcPr>
            <w:tcW w:w="1008" w:type="dxa"/>
          </w:tcPr>
          <w:p w:rsidR="008322DA" w:rsidRPr="00A17E01" w:rsidRDefault="008322DA" w:rsidP="00392C0B">
            <w:pPr>
              <w:spacing w:before="200" w:after="200"/>
              <w:jc w:val="both"/>
              <w:rPr>
                <w:rFonts w:ascii="Arial" w:hAnsi="Arial" w:cs="Arial"/>
              </w:rPr>
            </w:pPr>
            <w:r w:rsidRPr="00A17E01">
              <w:rPr>
                <w:rFonts w:ascii="Arial" w:hAnsi="Arial" w:cs="Arial"/>
              </w:rPr>
              <w:t>1</w:t>
            </w:r>
          </w:p>
        </w:tc>
        <w:tc>
          <w:tcPr>
            <w:tcW w:w="1800" w:type="dxa"/>
          </w:tcPr>
          <w:p w:rsidR="008322DA" w:rsidRPr="00A17E01" w:rsidRDefault="008322DA" w:rsidP="00392C0B">
            <w:pPr>
              <w:spacing w:before="200" w:after="200"/>
              <w:jc w:val="both"/>
              <w:rPr>
                <w:rFonts w:ascii="Arial" w:hAnsi="Arial" w:cs="Arial"/>
              </w:rPr>
            </w:pPr>
            <w:r w:rsidRPr="00A17E01">
              <w:rPr>
                <w:rFonts w:ascii="Arial" w:hAnsi="Arial" w:cs="Arial"/>
              </w:rPr>
              <w:t>Rural Male</w:t>
            </w:r>
          </w:p>
        </w:tc>
        <w:tc>
          <w:tcPr>
            <w:tcW w:w="1080" w:type="dxa"/>
          </w:tcPr>
          <w:p w:rsidR="008322DA" w:rsidRPr="00A17E01" w:rsidRDefault="008322DA" w:rsidP="00392C0B">
            <w:pPr>
              <w:spacing w:before="200" w:after="200"/>
              <w:jc w:val="both"/>
              <w:rPr>
                <w:rFonts w:ascii="Arial" w:hAnsi="Arial" w:cs="Arial"/>
              </w:rPr>
            </w:pPr>
            <w:r w:rsidRPr="00A17E01">
              <w:rPr>
                <w:rFonts w:ascii="Arial" w:hAnsi="Arial" w:cs="Arial"/>
              </w:rPr>
              <w:t>40</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26.13</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7.74</w:t>
            </w:r>
          </w:p>
        </w:tc>
        <w:tc>
          <w:tcPr>
            <w:tcW w:w="2498" w:type="dxa"/>
            <w:vMerge w:val="restart"/>
            <w:vAlign w:val="center"/>
          </w:tcPr>
          <w:p w:rsidR="008322DA" w:rsidRPr="00A17E01" w:rsidRDefault="008322DA" w:rsidP="00392C0B">
            <w:pPr>
              <w:spacing w:before="200" w:after="200"/>
              <w:jc w:val="both"/>
              <w:rPr>
                <w:rFonts w:ascii="Arial" w:hAnsi="Arial" w:cs="Arial"/>
              </w:rPr>
            </w:pPr>
            <w:r w:rsidRPr="00A17E01">
              <w:rPr>
                <w:rFonts w:ascii="Arial" w:hAnsi="Arial" w:cs="Arial"/>
              </w:rPr>
              <w:t>2.14*</w:t>
            </w:r>
          </w:p>
        </w:tc>
      </w:tr>
      <w:tr w:rsidR="008322DA" w:rsidRPr="00A17E01" w:rsidTr="004F3874">
        <w:tc>
          <w:tcPr>
            <w:tcW w:w="1008"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w:t>
            </w:r>
          </w:p>
        </w:tc>
        <w:tc>
          <w:tcPr>
            <w:tcW w:w="180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Rural Female</w:t>
            </w:r>
          </w:p>
        </w:tc>
        <w:tc>
          <w:tcPr>
            <w:tcW w:w="108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40</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22.25</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8.52</w:t>
            </w:r>
          </w:p>
        </w:tc>
        <w:tc>
          <w:tcPr>
            <w:tcW w:w="2498" w:type="dxa"/>
            <w:vMerge/>
          </w:tcPr>
          <w:p w:rsidR="008322DA" w:rsidRPr="00A17E01" w:rsidRDefault="008322DA" w:rsidP="004F3874">
            <w:pPr>
              <w:spacing w:before="200" w:after="200" w:line="360" w:lineRule="auto"/>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=78   at</w:t>
      </w:r>
      <w:r w:rsidRPr="00A17E01">
        <w:rPr>
          <w:rFonts w:ascii="Arial" w:hAnsi="Arial" w:cs="Arial"/>
        </w:rPr>
        <w:tab/>
      </w:r>
      <w:r w:rsidRPr="00A17E01">
        <w:rPr>
          <w:rFonts w:ascii="Arial" w:hAnsi="Arial" w:cs="Arial"/>
        </w:rPr>
        <w:tab/>
        <w:t>.05 level = 1.97</w:t>
      </w:r>
      <w:proofErr w:type="gramStart"/>
      <w:r w:rsidRPr="00A17E01">
        <w:rPr>
          <w:rFonts w:ascii="Arial" w:hAnsi="Arial" w:cs="Arial"/>
        </w:rPr>
        <w:t>,  .</w:t>
      </w:r>
      <w:proofErr w:type="gramEnd"/>
      <w:r w:rsidRPr="00A17E01">
        <w:rPr>
          <w:rFonts w:ascii="Arial" w:hAnsi="Arial" w:cs="Arial"/>
        </w:rPr>
        <w:t>01 level = 2.59</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 significant at .05 level </w:t>
      </w:r>
    </w:p>
    <w:p w:rsidR="008322DA" w:rsidRPr="00A17E01" w:rsidRDefault="008322DA" w:rsidP="008322DA">
      <w:pPr>
        <w:spacing w:after="200" w:line="360" w:lineRule="auto"/>
        <w:jc w:val="both"/>
        <w:rPr>
          <w:rFonts w:ascii="Arial" w:hAnsi="Arial" w:cs="Arial"/>
        </w:rPr>
      </w:pPr>
      <w:r w:rsidRPr="00A17E01">
        <w:rPr>
          <w:rFonts w:ascii="Arial" w:hAnsi="Arial" w:cs="Arial"/>
        </w:rPr>
        <w:t>This has been depicted here through bar chart.</w:t>
      </w:r>
    </w:p>
    <w:p w:rsidR="008322DA" w:rsidRPr="00A17E01" w:rsidRDefault="008322DA" w:rsidP="008322DA">
      <w:pPr>
        <w:spacing w:after="200" w:line="360" w:lineRule="auto"/>
        <w:ind w:left="1080" w:hanging="1080"/>
        <w:jc w:val="both"/>
        <w:rPr>
          <w:rFonts w:ascii="Arial" w:hAnsi="Arial" w:cs="Arial"/>
        </w:rPr>
      </w:pPr>
      <w:r w:rsidRPr="00A17E01">
        <w:rPr>
          <w:rFonts w:ascii="Arial" w:hAnsi="Arial" w:cs="Arial"/>
          <w:noProof/>
          <w:lang w:val="en-IN" w:eastAsia="en-IN"/>
        </w:rPr>
        <w:drawing>
          <wp:inline distT="0" distB="0" distL="0" distR="0">
            <wp:extent cx="5430741" cy="2194560"/>
            <wp:effectExtent l="19050" t="0" r="17559" b="0"/>
            <wp:docPr id="14" name="Object 5"/>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rsidR="008322DA" w:rsidRPr="00A17E01" w:rsidRDefault="008322DA" w:rsidP="008322DA">
      <w:pPr>
        <w:spacing w:after="200" w:line="360" w:lineRule="auto"/>
        <w:ind w:left="1080" w:hanging="1080"/>
        <w:jc w:val="both"/>
        <w:rPr>
          <w:rFonts w:ascii="Arial" w:hAnsi="Arial" w:cs="Arial"/>
        </w:rPr>
      </w:pPr>
      <w:r w:rsidRPr="00A17E01">
        <w:rPr>
          <w:rFonts w:ascii="Arial" w:hAnsi="Arial" w:cs="Arial"/>
        </w:rPr>
        <w:t>Fig. 2. Perception on academic achievement of rural male and female teachers.</w:t>
      </w:r>
    </w:p>
    <w:p w:rsidR="008322DA" w:rsidRPr="00A17E01" w:rsidRDefault="008322DA" w:rsidP="008322DA">
      <w:pPr>
        <w:spacing w:after="200" w:line="360" w:lineRule="auto"/>
        <w:jc w:val="both"/>
        <w:rPr>
          <w:rFonts w:ascii="Arial" w:hAnsi="Arial" w:cs="Arial"/>
        </w:rPr>
      </w:pPr>
      <w:r w:rsidRPr="00A17E01">
        <w:rPr>
          <w:rFonts w:ascii="Arial" w:hAnsi="Arial" w:cs="Arial"/>
        </w:rPr>
        <w:t>Table no. 2 shows that obtained t-value is 2.14 which is lower than the standard t-value (2.64 at 0.01 level) but more than the standard t-value (1.99 at 0.05 level) at df (78) and it is significant at 0.05 levels. It shows that Hypothesis-2 that “There is no significant difference between the perception of rural male and rural female teachers on academic achievement” where it is proved to be significant. In this context Hypothesis-15 is not retained and it is rejected.</w:t>
      </w:r>
    </w:p>
    <w:p w:rsidR="008322DA" w:rsidRPr="00A17E01" w:rsidRDefault="008322DA" w:rsidP="008322DA">
      <w:pPr>
        <w:spacing w:after="200" w:line="360" w:lineRule="auto"/>
        <w:jc w:val="both"/>
        <w:rPr>
          <w:rFonts w:ascii="Arial" w:hAnsi="Arial" w:cs="Arial"/>
        </w:rPr>
      </w:pPr>
      <w:r w:rsidRPr="00A17E01">
        <w:rPr>
          <w:rFonts w:ascii="Arial" w:hAnsi="Arial" w:cs="Arial"/>
        </w:rPr>
        <w:t>Therefore, it is concluded that there is significant variation in overall opinion of both rural male and female teachers in respect of academic achievement. They are not utilizing the teaching methods in the classroom teaching-learning process.</w:t>
      </w:r>
    </w:p>
    <w:p w:rsidR="008322DA" w:rsidRPr="00A17E01" w:rsidRDefault="008322DA" w:rsidP="008322DA">
      <w:pPr>
        <w:spacing w:after="200" w:line="360" w:lineRule="auto"/>
        <w:jc w:val="both"/>
        <w:rPr>
          <w:rFonts w:ascii="Arial" w:hAnsi="Arial" w:cs="Arial"/>
        </w:rPr>
      </w:pPr>
      <w:r w:rsidRPr="00A17E01">
        <w:rPr>
          <w:rFonts w:ascii="Arial" w:hAnsi="Arial" w:cs="Arial"/>
        </w:rPr>
        <w:t>Table No. 3</w:t>
      </w:r>
    </w:p>
    <w:p w:rsidR="008322DA" w:rsidRPr="00A17E01" w:rsidRDefault="008322DA" w:rsidP="008322DA">
      <w:pPr>
        <w:spacing w:after="200" w:line="360" w:lineRule="auto"/>
        <w:ind w:left="-144" w:right="-144"/>
        <w:jc w:val="both"/>
        <w:rPr>
          <w:rFonts w:ascii="Arial" w:hAnsi="Arial" w:cs="Arial"/>
        </w:rPr>
      </w:pPr>
      <w:r w:rsidRPr="00A17E01">
        <w:rPr>
          <w:rFonts w:ascii="Arial" w:hAnsi="Arial" w:cs="Arial"/>
        </w:rPr>
        <w:lastRenderedPageBreak/>
        <w:t>Test of significance between the perception of urban male teachers and urban female teachers on Academic Achievement (N=160)</w:t>
      </w: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08"/>
        <w:gridCol w:w="1800"/>
        <w:gridCol w:w="1080"/>
        <w:gridCol w:w="1397"/>
        <w:gridCol w:w="1397"/>
        <w:gridCol w:w="2640"/>
      </w:tblGrid>
      <w:tr w:rsidR="008322DA" w:rsidRPr="00A17E01" w:rsidTr="004F3874">
        <w:tc>
          <w:tcPr>
            <w:tcW w:w="1008" w:type="dxa"/>
          </w:tcPr>
          <w:p w:rsidR="008322DA" w:rsidRPr="00A17E01" w:rsidRDefault="008322DA" w:rsidP="004F3874">
            <w:pPr>
              <w:spacing w:before="120" w:after="120"/>
              <w:jc w:val="both"/>
              <w:rPr>
                <w:rFonts w:ascii="Arial" w:hAnsi="Arial" w:cs="Arial"/>
              </w:rPr>
            </w:pPr>
            <w:proofErr w:type="spellStart"/>
            <w:r w:rsidRPr="00A17E01">
              <w:rPr>
                <w:rFonts w:ascii="Arial" w:hAnsi="Arial" w:cs="Arial"/>
              </w:rPr>
              <w:t>Sl.No</w:t>
            </w:r>
            <w:proofErr w:type="spellEnd"/>
            <w:r w:rsidRPr="00A17E01">
              <w:rPr>
                <w:rFonts w:ascii="Arial" w:hAnsi="Arial" w:cs="Arial"/>
              </w:rPr>
              <w:t>.</w:t>
            </w:r>
          </w:p>
        </w:tc>
        <w:tc>
          <w:tcPr>
            <w:tcW w:w="1800" w:type="dxa"/>
          </w:tcPr>
          <w:p w:rsidR="008322DA" w:rsidRPr="00A17E01" w:rsidRDefault="008322DA" w:rsidP="004F3874">
            <w:pPr>
              <w:spacing w:before="120" w:after="120"/>
              <w:jc w:val="both"/>
              <w:rPr>
                <w:rFonts w:ascii="Arial" w:hAnsi="Arial" w:cs="Arial"/>
              </w:rPr>
            </w:pPr>
            <w:r w:rsidRPr="00A17E01">
              <w:rPr>
                <w:rFonts w:ascii="Arial" w:hAnsi="Arial" w:cs="Arial"/>
              </w:rPr>
              <w:t>Category</w:t>
            </w:r>
          </w:p>
        </w:tc>
        <w:tc>
          <w:tcPr>
            <w:tcW w:w="1080" w:type="dxa"/>
          </w:tcPr>
          <w:p w:rsidR="008322DA" w:rsidRPr="00A17E01" w:rsidRDefault="008322DA" w:rsidP="004F3874">
            <w:pPr>
              <w:spacing w:before="120" w:after="120"/>
              <w:jc w:val="both"/>
              <w:rPr>
                <w:rFonts w:ascii="Arial" w:hAnsi="Arial" w:cs="Arial"/>
              </w:rPr>
            </w:pPr>
            <w:r w:rsidRPr="00A17E01">
              <w:rPr>
                <w:rFonts w:ascii="Arial" w:hAnsi="Arial" w:cs="Arial"/>
              </w:rPr>
              <w:t>Number (N)</w:t>
            </w:r>
          </w:p>
        </w:tc>
        <w:tc>
          <w:tcPr>
            <w:tcW w:w="1397" w:type="dxa"/>
          </w:tcPr>
          <w:p w:rsidR="008322DA" w:rsidRPr="00A17E01" w:rsidRDefault="008322DA" w:rsidP="004F3874">
            <w:pPr>
              <w:spacing w:before="120" w:after="120"/>
              <w:jc w:val="both"/>
              <w:rPr>
                <w:rFonts w:ascii="Arial" w:hAnsi="Arial" w:cs="Arial"/>
              </w:rPr>
            </w:pPr>
            <w:r w:rsidRPr="00A17E01">
              <w:rPr>
                <w:rFonts w:ascii="Arial" w:hAnsi="Arial" w:cs="Arial"/>
              </w:rPr>
              <w:t xml:space="preserve">Mean </w:t>
            </w:r>
          </w:p>
          <w:p w:rsidR="008322DA" w:rsidRPr="00A17E01" w:rsidRDefault="008322DA" w:rsidP="004F3874">
            <w:pPr>
              <w:spacing w:before="120" w:after="120"/>
              <w:jc w:val="both"/>
              <w:rPr>
                <w:rFonts w:ascii="Arial" w:hAnsi="Arial" w:cs="Arial"/>
              </w:rPr>
            </w:pPr>
            <w:r w:rsidRPr="00A17E01">
              <w:rPr>
                <w:rFonts w:ascii="Arial" w:hAnsi="Arial" w:cs="Arial"/>
              </w:rPr>
              <w:t>(M)</w:t>
            </w:r>
          </w:p>
        </w:tc>
        <w:tc>
          <w:tcPr>
            <w:tcW w:w="1397" w:type="dxa"/>
          </w:tcPr>
          <w:p w:rsidR="008322DA" w:rsidRPr="00A17E01" w:rsidRDefault="008322DA" w:rsidP="004F3874">
            <w:pPr>
              <w:spacing w:before="120" w:after="120"/>
              <w:jc w:val="both"/>
              <w:rPr>
                <w:rFonts w:ascii="Arial" w:hAnsi="Arial" w:cs="Arial"/>
              </w:rPr>
            </w:pPr>
            <w:r w:rsidRPr="00A17E01">
              <w:rPr>
                <w:rFonts w:ascii="Arial" w:hAnsi="Arial" w:cs="Arial"/>
              </w:rPr>
              <w:t>Standard deviation (SD)</w:t>
            </w:r>
          </w:p>
        </w:tc>
        <w:tc>
          <w:tcPr>
            <w:tcW w:w="2640" w:type="dxa"/>
          </w:tcPr>
          <w:p w:rsidR="008322DA" w:rsidRPr="00A17E01" w:rsidRDefault="008322DA" w:rsidP="004F3874">
            <w:pPr>
              <w:spacing w:before="120" w:after="120"/>
              <w:jc w:val="both"/>
              <w:rPr>
                <w:rFonts w:ascii="Arial" w:hAnsi="Arial" w:cs="Arial"/>
              </w:rPr>
            </w:pPr>
            <w:r w:rsidRPr="00A17E01">
              <w:rPr>
                <w:rFonts w:ascii="Arial" w:hAnsi="Arial" w:cs="Arial"/>
              </w:rPr>
              <w:t>t-value</w:t>
            </w:r>
          </w:p>
        </w:tc>
      </w:tr>
      <w:tr w:rsidR="008322DA" w:rsidRPr="00A17E01" w:rsidTr="004F3874">
        <w:tc>
          <w:tcPr>
            <w:tcW w:w="1008" w:type="dxa"/>
          </w:tcPr>
          <w:p w:rsidR="008322DA" w:rsidRPr="00A17E01" w:rsidRDefault="008322DA" w:rsidP="004F3874">
            <w:pPr>
              <w:spacing w:before="200" w:after="200"/>
              <w:jc w:val="both"/>
              <w:rPr>
                <w:rFonts w:ascii="Arial" w:hAnsi="Arial" w:cs="Arial"/>
              </w:rPr>
            </w:pPr>
            <w:r w:rsidRPr="00A17E01">
              <w:rPr>
                <w:rFonts w:ascii="Arial" w:hAnsi="Arial" w:cs="Arial"/>
              </w:rPr>
              <w:t>1</w:t>
            </w:r>
          </w:p>
        </w:tc>
        <w:tc>
          <w:tcPr>
            <w:tcW w:w="1800" w:type="dxa"/>
          </w:tcPr>
          <w:p w:rsidR="008322DA" w:rsidRPr="00A17E01" w:rsidRDefault="008322DA" w:rsidP="004F3874">
            <w:pPr>
              <w:spacing w:before="200" w:after="200"/>
              <w:jc w:val="both"/>
              <w:rPr>
                <w:rFonts w:ascii="Arial" w:hAnsi="Arial" w:cs="Arial"/>
              </w:rPr>
            </w:pPr>
            <w:r w:rsidRPr="00A17E01">
              <w:rPr>
                <w:rFonts w:ascii="Arial" w:hAnsi="Arial" w:cs="Arial"/>
              </w:rPr>
              <w:t>Urban Male</w:t>
            </w:r>
          </w:p>
        </w:tc>
        <w:tc>
          <w:tcPr>
            <w:tcW w:w="1080" w:type="dxa"/>
          </w:tcPr>
          <w:p w:rsidR="008322DA" w:rsidRPr="00A17E01" w:rsidRDefault="008322DA" w:rsidP="004F3874">
            <w:pPr>
              <w:spacing w:before="200" w:after="200"/>
              <w:jc w:val="both"/>
              <w:rPr>
                <w:rFonts w:ascii="Arial" w:hAnsi="Arial" w:cs="Arial"/>
              </w:rPr>
            </w:pPr>
            <w:r w:rsidRPr="00A17E01">
              <w:rPr>
                <w:rFonts w:ascii="Arial" w:hAnsi="Arial" w:cs="Arial"/>
              </w:rPr>
              <w:t>40</w:t>
            </w:r>
          </w:p>
        </w:tc>
        <w:tc>
          <w:tcPr>
            <w:tcW w:w="1397" w:type="dxa"/>
          </w:tcPr>
          <w:p w:rsidR="008322DA" w:rsidRPr="00A17E01" w:rsidRDefault="008322DA" w:rsidP="004F3874">
            <w:pPr>
              <w:spacing w:before="200" w:after="200"/>
              <w:jc w:val="both"/>
              <w:rPr>
                <w:rFonts w:ascii="Arial" w:hAnsi="Arial" w:cs="Arial"/>
              </w:rPr>
            </w:pPr>
            <w:r w:rsidRPr="00A17E01">
              <w:rPr>
                <w:rFonts w:ascii="Arial" w:hAnsi="Arial" w:cs="Arial"/>
              </w:rPr>
              <w:t>29.13</w:t>
            </w:r>
          </w:p>
        </w:tc>
        <w:tc>
          <w:tcPr>
            <w:tcW w:w="1397" w:type="dxa"/>
          </w:tcPr>
          <w:p w:rsidR="008322DA" w:rsidRPr="00A17E01" w:rsidRDefault="008322DA" w:rsidP="004F3874">
            <w:pPr>
              <w:spacing w:before="200" w:after="200"/>
              <w:jc w:val="both"/>
              <w:rPr>
                <w:rFonts w:ascii="Arial" w:hAnsi="Arial" w:cs="Arial"/>
              </w:rPr>
            </w:pPr>
            <w:r w:rsidRPr="00A17E01">
              <w:rPr>
                <w:rFonts w:ascii="Arial" w:hAnsi="Arial" w:cs="Arial"/>
              </w:rPr>
              <w:t>6.89</w:t>
            </w:r>
          </w:p>
        </w:tc>
        <w:tc>
          <w:tcPr>
            <w:tcW w:w="2640" w:type="dxa"/>
            <w:vMerge w:val="restart"/>
            <w:vAlign w:val="center"/>
          </w:tcPr>
          <w:p w:rsidR="008322DA" w:rsidRPr="00A17E01" w:rsidRDefault="008322DA" w:rsidP="004F3874">
            <w:pPr>
              <w:spacing w:before="200" w:after="200"/>
              <w:jc w:val="both"/>
              <w:rPr>
                <w:rFonts w:ascii="Arial" w:hAnsi="Arial" w:cs="Arial"/>
              </w:rPr>
            </w:pPr>
            <w:r w:rsidRPr="00A17E01">
              <w:rPr>
                <w:rFonts w:ascii="Arial" w:hAnsi="Arial" w:cs="Arial"/>
              </w:rPr>
              <w:t>3.13**</w:t>
            </w:r>
          </w:p>
        </w:tc>
      </w:tr>
      <w:tr w:rsidR="008322DA" w:rsidRPr="00A17E01" w:rsidTr="004F3874">
        <w:tc>
          <w:tcPr>
            <w:tcW w:w="1008"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w:t>
            </w:r>
          </w:p>
        </w:tc>
        <w:tc>
          <w:tcPr>
            <w:tcW w:w="180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Urban Female</w:t>
            </w:r>
          </w:p>
        </w:tc>
        <w:tc>
          <w:tcPr>
            <w:tcW w:w="108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40</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23.63</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8.76</w:t>
            </w:r>
          </w:p>
        </w:tc>
        <w:tc>
          <w:tcPr>
            <w:tcW w:w="2640" w:type="dxa"/>
            <w:vMerge/>
          </w:tcPr>
          <w:p w:rsidR="008322DA" w:rsidRPr="00A17E01" w:rsidRDefault="008322DA" w:rsidP="004F3874">
            <w:pPr>
              <w:spacing w:before="200" w:after="200" w:line="360" w:lineRule="auto"/>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=78   at</w:t>
      </w:r>
      <w:r w:rsidRPr="00A17E01">
        <w:rPr>
          <w:rFonts w:ascii="Arial" w:hAnsi="Arial" w:cs="Arial"/>
        </w:rPr>
        <w:tab/>
      </w:r>
      <w:r w:rsidRPr="00A17E01">
        <w:rPr>
          <w:rFonts w:ascii="Arial" w:hAnsi="Arial" w:cs="Arial"/>
        </w:rPr>
        <w:tab/>
        <w:t>.05 level = 1.99</w:t>
      </w:r>
      <w:proofErr w:type="gramStart"/>
      <w:r w:rsidRPr="00A17E01">
        <w:rPr>
          <w:rFonts w:ascii="Arial" w:hAnsi="Arial" w:cs="Arial"/>
        </w:rPr>
        <w:t>,  .</w:t>
      </w:r>
      <w:proofErr w:type="gramEnd"/>
      <w:r w:rsidRPr="00A17E01">
        <w:rPr>
          <w:rFonts w:ascii="Arial" w:hAnsi="Arial" w:cs="Arial"/>
        </w:rPr>
        <w:t>01 level = 2.64</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 significant at .05 level </w:t>
      </w:r>
    </w:p>
    <w:p w:rsidR="008322DA" w:rsidRPr="00A17E01" w:rsidRDefault="008322DA" w:rsidP="008322DA">
      <w:pPr>
        <w:spacing w:after="200" w:line="360" w:lineRule="auto"/>
        <w:ind w:firstLine="720"/>
        <w:jc w:val="both"/>
        <w:rPr>
          <w:rFonts w:ascii="Arial" w:hAnsi="Arial" w:cs="Arial"/>
        </w:rPr>
      </w:pPr>
      <w:r w:rsidRPr="00A17E01">
        <w:rPr>
          <w:rFonts w:ascii="Arial" w:hAnsi="Arial" w:cs="Arial"/>
        </w:rPr>
        <w:t>This has been depicted here through bar chart.</w:t>
      </w:r>
    </w:p>
    <w:p w:rsidR="008322DA" w:rsidRPr="00A17E01" w:rsidRDefault="008322DA" w:rsidP="008322DA">
      <w:pPr>
        <w:spacing w:after="200" w:line="360" w:lineRule="auto"/>
        <w:jc w:val="both"/>
        <w:rPr>
          <w:rFonts w:ascii="Arial" w:hAnsi="Arial" w:cs="Arial"/>
        </w:rPr>
      </w:pPr>
      <w:r w:rsidRPr="00A17E01">
        <w:rPr>
          <w:rFonts w:ascii="Arial" w:hAnsi="Arial" w:cs="Arial"/>
          <w:noProof/>
          <w:lang w:val="en-IN" w:eastAsia="en-IN"/>
        </w:rPr>
        <w:drawing>
          <wp:inline distT="0" distB="0" distL="0" distR="0">
            <wp:extent cx="5486400" cy="2289975"/>
            <wp:effectExtent l="19050" t="0" r="19050" b="0"/>
            <wp:docPr id="15" name="Object 6"/>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rsidR="008322DA" w:rsidRPr="00A17E01" w:rsidRDefault="008322DA" w:rsidP="008322DA">
      <w:pPr>
        <w:spacing w:after="200" w:line="360" w:lineRule="auto"/>
        <w:ind w:left="1260" w:hanging="1260"/>
        <w:jc w:val="both"/>
        <w:rPr>
          <w:rFonts w:ascii="Arial" w:hAnsi="Arial" w:cs="Arial"/>
        </w:rPr>
      </w:pPr>
      <w:r w:rsidRPr="00A17E01">
        <w:rPr>
          <w:rFonts w:ascii="Arial" w:hAnsi="Arial" w:cs="Arial"/>
        </w:rPr>
        <w:t>Fig. 3. Perception of rural male teachers and female teachers on academic achievement.</w:t>
      </w:r>
    </w:p>
    <w:p w:rsidR="008322DA" w:rsidRPr="00A17E01" w:rsidRDefault="008322DA" w:rsidP="00713171">
      <w:pPr>
        <w:spacing w:after="200" w:line="360" w:lineRule="auto"/>
        <w:jc w:val="both"/>
        <w:rPr>
          <w:rFonts w:ascii="Arial" w:hAnsi="Arial" w:cs="Arial"/>
        </w:rPr>
      </w:pPr>
      <w:r w:rsidRPr="00A17E01">
        <w:rPr>
          <w:rFonts w:ascii="Arial" w:hAnsi="Arial" w:cs="Arial"/>
        </w:rPr>
        <w:t>The table no 3 shows that obtained t-value is 3.13 which is more than the standard t-</w:t>
      </w:r>
      <w:proofErr w:type="gramStart"/>
      <w:r w:rsidRPr="00A17E01">
        <w:rPr>
          <w:rFonts w:ascii="Arial" w:hAnsi="Arial" w:cs="Arial"/>
        </w:rPr>
        <w:t>value(</w:t>
      </w:r>
      <w:proofErr w:type="gramEnd"/>
      <w:r w:rsidRPr="00A17E01">
        <w:rPr>
          <w:rFonts w:ascii="Arial" w:hAnsi="Arial" w:cs="Arial"/>
        </w:rPr>
        <w:t>1.99 at 0.05 level and 2.64 at 0.01 level) at df (78) and it is significant at both the levels. It shows that the Hypothesis-3 that “There is no significant difference between the perception of urban male and urban female teachers on academic achievement” where it is proved to be significant. In this context Hypothesis-3 is not retained. Hence, it is rejected.</w:t>
      </w:r>
    </w:p>
    <w:p w:rsidR="008322DA" w:rsidRPr="00A17E01" w:rsidRDefault="008322DA" w:rsidP="00713171">
      <w:pPr>
        <w:spacing w:after="200" w:line="360" w:lineRule="auto"/>
        <w:jc w:val="both"/>
        <w:rPr>
          <w:rFonts w:ascii="Arial" w:hAnsi="Arial" w:cs="Arial"/>
        </w:rPr>
      </w:pPr>
      <w:r w:rsidRPr="00A17E01">
        <w:rPr>
          <w:rFonts w:ascii="Arial" w:hAnsi="Arial" w:cs="Arial"/>
        </w:rPr>
        <w:t xml:space="preserve">Therefore, it is concluded that there is significant difference between the perception of both urban male and female teachers on academic achievement. Because urban male teachers </w:t>
      </w:r>
      <w:r w:rsidRPr="00A17E01">
        <w:rPr>
          <w:rFonts w:ascii="Arial" w:hAnsi="Arial" w:cs="Arial"/>
        </w:rPr>
        <w:lastRenderedPageBreak/>
        <w:t>in autonomous colleges take personal strain for the improvement of the students’ academic progress whereas the urban female teachers are not giving so much importance on it.</w:t>
      </w:r>
    </w:p>
    <w:p w:rsidR="008322DA" w:rsidRPr="00A17E01" w:rsidRDefault="008322DA" w:rsidP="008322DA">
      <w:pPr>
        <w:spacing w:after="200" w:line="360" w:lineRule="auto"/>
        <w:jc w:val="both"/>
        <w:rPr>
          <w:rFonts w:ascii="Arial" w:hAnsi="Arial" w:cs="Arial"/>
        </w:rPr>
      </w:pPr>
      <w:r w:rsidRPr="00A17E01">
        <w:rPr>
          <w:rFonts w:ascii="Arial" w:hAnsi="Arial" w:cs="Arial"/>
        </w:rPr>
        <w:t xml:space="preserve">Table No. 4 Test of significance between the perception of rural male teachers and urban female teachers on Academic Achievement (N=160) </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6"/>
        <w:gridCol w:w="1765"/>
        <w:gridCol w:w="1073"/>
        <w:gridCol w:w="1213"/>
        <w:gridCol w:w="1709"/>
        <w:gridCol w:w="1638"/>
      </w:tblGrid>
      <w:tr w:rsidR="008322DA" w:rsidRPr="00A17E01" w:rsidTr="004F3874">
        <w:trPr>
          <w:jc w:val="center"/>
        </w:trPr>
        <w:tc>
          <w:tcPr>
            <w:tcW w:w="1038" w:type="dxa"/>
          </w:tcPr>
          <w:p w:rsidR="008322DA" w:rsidRPr="00A17E01" w:rsidRDefault="008322DA" w:rsidP="004F3874">
            <w:pPr>
              <w:spacing w:before="40" w:after="40"/>
              <w:jc w:val="both"/>
              <w:rPr>
                <w:rFonts w:ascii="Arial" w:hAnsi="Arial" w:cs="Arial"/>
              </w:rPr>
            </w:pPr>
            <w:proofErr w:type="spellStart"/>
            <w:r w:rsidRPr="00A17E01">
              <w:rPr>
                <w:rFonts w:ascii="Arial" w:hAnsi="Arial" w:cs="Arial"/>
              </w:rPr>
              <w:t>Sl.No</w:t>
            </w:r>
            <w:proofErr w:type="spellEnd"/>
            <w:r w:rsidRPr="00A17E01">
              <w:rPr>
                <w:rFonts w:ascii="Arial" w:hAnsi="Arial" w:cs="Arial"/>
              </w:rPr>
              <w:t>.</w:t>
            </w:r>
          </w:p>
        </w:tc>
        <w:tc>
          <w:tcPr>
            <w:tcW w:w="1800" w:type="dxa"/>
          </w:tcPr>
          <w:p w:rsidR="008322DA" w:rsidRPr="00A17E01" w:rsidRDefault="008322DA" w:rsidP="004F3874">
            <w:pPr>
              <w:spacing w:before="40" w:after="40"/>
              <w:jc w:val="both"/>
              <w:rPr>
                <w:rFonts w:ascii="Arial" w:hAnsi="Arial" w:cs="Arial"/>
              </w:rPr>
            </w:pPr>
            <w:r w:rsidRPr="00A17E01">
              <w:rPr>
                <w:rFonts w:ascii="Arial" w:hAnsi="Arial" w:cs="Arial"/>
              </w:rPr>
              <w:t>Category</w:t>
            </w:r>
          </w:p>
        </w:tc>
        <w:tc>
          <w:tcPr>
            <w:tcW w:w="1080" w:type="dxa"/>
          </w:tcPr>
          <w:p w:rsidR="008322DA" w:rsidRPr="00A17E01" w:rsidRDefault="008322DA" w:rsidP="004F3874">
            <w:pPr>
              <w:spacing w:before="40" w:after="40"/>
              <w:jc w:val="both"/>
              <w:rPr>
                <w:rFonts w:ascii="Arial" w:hAnsi="Arial" w:cs="Arial"/>
              </w:rPr>
            </w:pPr>
            <w:r w:rsidRPr="00A17E01">
              <w:rPr>
                <w:rFonts w:ascii="Arial" w:hAnsi="Arial" w:cs="Arial"/>
              </w:rPr>
              <w:t>Number (N)</w:t>
            </w:r>
          </w:p>
        </w:tc>
        <w:tc>
          <w:tcPr>
            <w:tcW w:w="1236" w:type="dxa"/>
          </w:tcPr>
          <w:p w:rsidR="008322DA" w:rsidRPr="00A17E01" w:rsidRDefault="008322DA" w:rsidP="004F3874">
            <w:pPr>
              <w:spacing w:before="40" w:after="40"/>
              <w:jc w:val="both"/>
              <w:rPr>
                <w:rFonts w:ascii="Arial" w:hAnsi="Arial" w:cs="Arial"/>
              </w:rPr>
            </w:pPr>
            <w:r w:rsidRPr="00A17E01">
              <w:rPr>
                <w:rFonts w:ascii="Arial" w:hAnsi="Arial" w:cs="Arial"/>
              </w:rPr>
              <w:t xml:space="preserve">Mean </w:t>
            </w:r>
          </w:p>
          <w:p w:rsidR="008322DA" w:rsidRPr="00A17E01" w:rsidRDefault="008322DA" w:rsidP="004F3874">
            <w:pPr>
              <w:spacing w:before="40" w:after="40"/>
              <w:jc w:val="both"/>
              <w:rPr>
                <w:rFonts w:ascii="Arial" w:hAnsi="Arial" w:cs="Arial"/>
              </w:rPr>
            </w:pPr>
            <w:r w:rsidRPr="00A17E01">
              <w:rPr>
                <w:rFonts w:ascii="Arial" w:hAnsi="Arial" w:cs="Arial"/>
              </w:rPr>
              <w:t>(M)</w:t>
            </w:r>
          </w:p>
        </w:tc>
        <w:tc>
          <w:tcPr>
            <w:tcW w:w="1741" w:type="dxa"/>
          </w:tcPr>
          <w:p w:rsidR="008322DA" w:rsidRPr="00A17E01" w:rsidRDefault="008322DA" w:rsidP="004F3874">
            <w:pPr>
              <w:spacing w:before="40" w:after="40"/>
              <w:jc w:val="both"/>
              <w:rPr>
                <w:rFonts w:ascii="Arial" w:hAnsi="Arial" w:cs="Arial"/>
              </w:rPr>
            </w:pPr>
            <w:r w:rsidRPr="00A17E01">
              <w:rPr>
                <w:rFonts w:ascii="Arial" w:hAnsi="Arial" w:cs="Arial"/>
              </w:rPr>
              <w:t>Standard deviation (SD)</w:t>
            </w:r>
          </w:p>
        </w:tc>
        <w:tc>
          <w:tcPr>
            <w:tcW w:w="1678" w:type="dxa"/>
          </w:tcPr>
          <w:p w:rsidR="008322DA" w:rsidRPr="00A17E01" w:rsidRDefault="008322DA" w:rsidP="004F3874">
            <w:pPr>
              <w:spacing w:before="40" w:after="40"/>
              <w:jc w:val="both"/>
              <w:rPr>
                <w:rFonts w:ascii="Arial" w:hAnsi="Arial" w:cs="Arial"/>
              </w:rPr>
            </w:pPr>
            <w:r w:rsidRPr="00A17E01">
              <w:rPr>
                <w:rFonts w:ascii="Arial" w:hAnsi="Arial" w:cs="Arial"/>
              </w:rPr>
              <w:t>t-value</w:t>
            </w:r>
          </w:p>
        </w:tc>
      </w:tr>
      <w:tr w:rsidR="008322DA" w:rsidRPr="00A17E01" w:rsidTr="004F3874">
        <w:trPr>
          <w:jc w:val="center"/>
        </w:trPr>
        <w:tc>
          <w:tcPr>
            <w:tcW w:w="1038" w:type="dxa"/>
          </w:tcPr>
          <w:p w:rsidR="008322DA" w:rsidRPr="00A17E01" w:rsidRDefault="008322DA" w:rsidP="004F3874">
            <w:pPr>
              <w:spacing w:before="40" w:after="40"/>
              <w:jc w:val="both"/>
              <w:rPr>
                <w:rFonts w:ascii="Arial" w:hAnsi="Arial" w:cs="Arial"/>
              </w:rPr>
            </w:pPr>
            <w:r w:rsidRPr="00A17E01">
              <w:rPr>
                <w:rFonts w:ascii="Arial" w:hAnsi="Arial" w:cs="Arial"/>
              </w:rPr>
              <w:t>1</w:t>
            </w:r>
          </w:p>
        </w:tc>
        <w:tc>
          <w:tcPr>
            <w:tcW w:w="1800" w:type="dxa"/>
          </w:tcPr>
          <w:p w:rsidR="008322DA" w:rsidRPr="00A17E01" w:rsidRDefault="008322DA" w:rsidP="004F3874">
            <w:pPr>
              <w:spacing w:before="40" w:after="40"/>
              <w:jc w:val="both"/>
              <w:rPr>
                <w:rFonts w:ascii="Arial" w:hAnsi="Arial" w:cs="Arial"/>
              </w:rPr>
            </w:pPr>
            <w:r w:rsidRPr="00A17E01">
              <w:rPr>
                <w:rFonts w:ascii="Arial" w:hAnsi="Arial" w:cs="Arial"/>
              </w:rPr>
              <w:t>Rural Male</w:t>
            </w:r>
          </w:p>
        </w:tc>
        <w:tc>
          <w:tcPr>
            <w:tcW w:w="1080" w:type="dxa"/>
          </w:tcPr>
          <w:p w:rsidR="008322DA" w:rsidRPr="00A17E01" w:rsidRDefault="008322DA" w:rsidP="004F3874">
            <w:pPr>
              <w:spacing w:before="40" w:after="40"/>
              <w:jc w:val="both"/>
              <w:rPr>
                <w:rFonts w:ascii="Arial" w:hAnsi="Arial" w:cs="Arial"/>
              </w:rPr>
            </w:pPr>
            <w:r w:rsidRPr="00A17E01">
              <w:rPr>
                <w:rFonts w:ascii="Arial" w:hAnsi="Arial" w:cs="Arial"/>
              </w:rPr>
              <w:t>40</w:t>
            </w:r>
          </w:p>
        </w:tc>
        <w:tc>
          <w:tcPr>
            <w:tcW w:w="1236" w:type="dxa"/>
          </w:tcPr>
          <w:p w:rsidR="008322DA" w:rsidRPr="00A17E01" w:rsidRDefault="008322DA" w:rsidP="004F3874">
            <w:pPr>
              <w:spacing w:before="40" w:after="40"/>
              <w:jc w:val="both"/>
              <w:rPr>
                <w:rFonts w:ascii="Arial" w:hAnsi="Arial" w:cs="Arial"/>
              </w:rPr>
            </w:pPr>
            <w:r w:rsidRPr="00A17E01">
              <w:rPr>
                <w:rFonts w:ascii="Arial" w:hAnsi="Arial" w:cs="Arial"/>
              </w:rPr>
              <w:t>26.13</w:t>
            </w:r>
          </w:p>
        </w:tc>
        <w:tc>
          <w:tcPr>
            <w:tcW w:w="1741" w:type="dxa"/>
          </w:tcPr>
          <w:p w:rsidR="008322DA" w:rsidRPr="00A17E01" w:rsidRDefault="008322DA" w:rsidP="004F3874">
            <w:pPr>
              <w:spacing w:before="40" w:after="40"/>
              <w:jc w:val="both"/>
              <w:rPr>
                <w:rFonts w:ascii="Arial" w:hAnsi="Arial" w:cs="Arial"/>
              </w:rPr>
            </w:pPr>
            <w:r w:rsidRPr="00A17E01">
              <w:rPr>
                <w:rFonts w:ascii="Arial" w:hAnsi="Arial" w:cs="Arial"/>
              </w:rPr>
              <w:t>7.74</w:t>
            </w:r>
          </w:p>
        </w:tc>
        <w:tc>
          <w:tcPr>
            <w:tcW w:w="1678" w:type="dxa"/>
            <w:vMerge w:val="restart"/>
            <w:vAlign w:val="center"/>
          </w:tcPr>
          <w:p w:rsidR="008322DA" w:rsidRPr="00A17E01" w:rsidRDefault="008322DA" w:rsidP="004F3874">
            <w:pPr>
              <w:spacing w:before="40" w:after="40"/>
              <w:jc w:val="both"/>
              <w:rPr>
                <w:rFonts w:ascii="Arial" w:hAnsi="Arial" w:cs="Arial"/>
              </w:rPr>
            </w:pPr>
            <w:r w:rsidRPr="00A17E01">
              <w:rPr>
                <w:rFonts w:ascii="Arial" w:hAnsi="Arial" w:cs="Arial"/>
              </w:rPr>
              <w:t>1.34</w:t>
            </w:r>
            <w:r w:rsidRPr="00A17E01">
              <w:rPr>
                <w:rFonts w:ascii="Arial" w:hAnsi="Arial" w:cs="Arial"/>
                <w:vertAlign w:val="superscript"/>
              </w:rPr>
              <w:t>NS</w:t>
            </w:r>
          </w:p>
        </w:tc>
      </w:tr>
      <w:tr w:rsidR="008322DA" w:rsidRPr="00A17E01" w:rsidTr="004F3874">
        <w:trPr>
          <w:jc w:val="center"/>
        </w:trPr>
        <w:tc>
          <w:tcPr>
            <w:tcW w:w="1038" w:type="dxa"/>
          </w:tcPr>
          <w:p w:rsidR="008322DA" w:rsidRPr="00A17E01" w:rsidRDefault="008322DA" w:rsidP="004F3874">
            <w:pPr>
              <w:spacing w:before="40" w:after="40"/>
              <w:jc w:val="both"/>
              <w:rPr>
                <w:rFonts w:ascii="Arial" w:hAnsi="Arial" w:cs="Arial"/>
              </w:rPr>
            </w:pPr>
            <w:r w:rsidRPr="00A17E01">
              <w:rPr>
                <w:rFonts w:ascii="Arial" w:hAnsi="Arial" w:cs="Arial"/>
              </w:rPr>
              <w:t>2</w:t>
            </w:r>
          </w:p>
        </w:tc>
        <w:tc>
          <w:tcPr>
            <w:tcW w:w="1800" w:type="dxa"/>
          </w:tcPr>
          <w:p w:rsidR="008322DA" w:rsidRPr="00A17E01" w:rsidRDefault="008322DA" w:rsidP="004F3874">
            <w:pPr>
              <w:spacing w:before="40" w:after="40"/>
              <w:jc w:val="both"/>
              <w:rPr>
                <w:rFonts w:ascii="Arial" w:hAnsi="Arial" w:cs="Arial"/>
              </w:rPr>
            </w:pPr>
            <w:r w:rsidRPr="00A17E01">
              <w:rPr>
                <w:rFonts w:ascii="Arial" w:hAnsi="Arial" w:cs="Arial"/>
              </w:rPr>
              <w:t>Urban Female</w:t>
            </w:r>
          </w:p>
        </w:tc>
        <w:tc>
          <w:tcPr>
            <w:tcW w:w="1080" w:type="dxa"/>
          </w:tcPr>
          <w:p w:rsidR="008322DA" w:rsidRPr="00A17E01" w:rsidRDefault="008322DA" w:rsidP="004F3874">
            <w:pPr>
              <w:spacing w:before="40" w:after="40"/>
              <w:jc w:val="both"/>
              <w:rPr>
                <w:rFonts w:ascii="Arial" w:hAnsi="Arial" w:cs="Arial"/>
              </w:rPr>
            </w:pPr>
            <w:r w:rsidRPr="00A17E01">
              <w:rPr>
                <w:rFonts w:ascii="Arial" w:hAnsi="Arial" w:cs="Arial"/>
              </w:rPr>
              <w:t>40</w:t>
            </w:r>
          </w:p>
        </w:tc>
        <w:tc>
          <w:tcPr>
            <w:tcW w:w="1236" w:type="dxa"/>
          </w:tcPr>
          <w:p w:rsidR="008322DA" w:rsidRPr="00A17E01" w:rsidRDefault="008322DA" w:rsidP="004F3874">
            <w:pPr>
              <w:spacing w:before="40" w:after="40"/>
              <w:jc w:val="both"/>
              <w:rPr>
                <w:rFonts w:ascii="Arial" w:hAnsi="Arial" w:cs="Arial"/>
              </w:rPr>
            </w:pPr>
            <w:r w:rsidRPr="00A17E01">
              <w:rPr>
                <w:rFonts w:ascii="Arial" w:hAnsi="Arial" w:cs="Arial"/>
              </w:rPr>
              <w:t>23.63</w:t>
            </w:r>
          </w:p>
        </w:tc>
        <w:tc>
          <w:tcPr>
            <w:tcW w:w="1741" w:type="dxa"/>
          </w:tcPr>
          <w:p w:rsidR="008322DA" w:rsidRPr="00A17E01" w:rsidRDefault="008322DA" w:rsidP="004F3874">
            <w:pPr>
              <w:spacing w:before="40" w:after="40"/>
              <w:jc w:val="both"/>
              <w:rPr>
                <w:rFonts w:ascii="Arial" w:hAnsi="Arial" w:cs="Arial"/>
              </w:rPr>
            </w:pPr>
            <w:r w:rsidRPr="00A17E01">
              <w:rPr>
                <w:rFonts w:ascii="Arial" w:hAnsi="Arial" w:cs="Arial"/>
              </w:rPr>
              <w:t>8.76</w:t>
            </w:r>
          </w:p>
        </w:tc>
        <w:tc>
          <w:tcPr>
            <w:tcW w:w="1678" w:type="dxa"/>
            <w:vMerge/>
          </w:tcPr>
          <w:p w:rsidR="008322DA" w:rsidRPr="00A17E01" w:rsidRDefault="008322DA" w:rsidP="004F3874">
            <w:pPr>
              <w:spacing w:before="40" w:after="40"/>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=78   at</w:t>
      </w:r>
      <w:r w:rsidRPr="00A17E01">
        <w:rPr>
          <w:rFonts w:ascii="Arial" w:hAnsi="Arial" w:cs="Arial"/>
        </w:rPr>
        <w:tab/>
      </w:r>
      <w:r w:rsidRPr="00A17E01">
        <w:rPr>
          <w:rFonts w:ascii="Arial" w:hAnsi="Arial" w:cs="Arial"/>
        </w:rPr>
        <w:tab/>
        <w:t>.05 level = 1.99</w:t>
      </w:r>
      <w:proofErr w:type="gramStart"/>
      <w:r w:rsidRPr="00A17E01">
        <w:rPr>
          <w:rFonts w:ascii="Arial" w:hAnsi="Arial" w:cs="Arial"/>
        </w:rPr>
        <w:t>,  .</w:t>
      </w:r>
      <w:proofErr w:type="gramEnd"/>
      <w:r w:rsidRPr="00A17E01">
        <w:rPr>
          <w:rFonts w:ascii="Arial" w:hAnsi="Arial" w:cs="Arial"/>
        </w:rPr>
        <w:t>01 level = 2.64</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NS = Not significant at .05 level </w:t>
      </w:r>
    </w:p>
    <w:p w:rsidR="008322DA" w:rsidRPr="00A17E01" w:rsidRDefault="008322DA" w:rsidP="00713171">
      <w:pPr>
        <w:spacing w:after="200" w:line="360" w:lineRule="auto"/>
        <w:jc w:val="both"/>
        <w:rPr>
          <w:rFonts w:ascii="Arial" w:hAnsi="Arial" w:cs="Arial"/>
        </w:rPr>
      </w:pPr>
      <w:r w:rsidRPr="00A17E01">
        <w:rPr>
          <w:rFonts w:ascii="Arial" w:hAnsi="Arial" w:cs="Arial"/>
        </w:rPr>
        <w:t>The above table indicates that obtained t-value is 1.34 which is lower than the standard t-value (1.99 at 0.05 level and 2.64 at 0.01 level) at df (78) and it is not significant at both the levels. It shows that the Hypothesis-4 that “There is no significant difference between the perception of rural male and urban female teachers on academic achievement” where it is proved to be not significant. In this context Hypothesis-4 is retained So, it is concluded that in both rural male and urban female teacher opine similar on academic achievement.</w:t>
      </w:r>
    </w:p>
    <w:p w:rsidR="008322DA" w:rsidRPr="00A17E01" w:rsidRDefault="008322DA" w:rsidP="008322DA">
      <w:pPr>
        <w:spacing w:after="200" w:line="360" w:lineRule="auto"/>
        <w:jc w:val="both"/>
        <w:rPr>
          <w:rFonts w:ascii="Arial" w:hAnsi="Arial" w:cs="Arial"/>
        </w:rPr>
      </w:pPr>
      <w:r w:rsidRPr="00A17E01">
        <w:rPr>
          <w:rFonts w:ascii="Arial" w:hAnsi="Arial" w:cs="Arial"/>
        </w:rPr>
        <w:t>It refers that the activities like innovative teaching method, reading facilities, better examination system, and transparency in evaluation system, good teacher-taught relationship and moral discussion are promoted by the autonomous colleges in Odisha, because both the teachers have performed their activities for the academic progress of the students thereby elevating the name of the autonomous colleges.</w:t>
      </w:r>
    </w:p>
    <w:p w:rsidR="008322DA" w:rsidRPr="00A17E01" w:rsidRDefault="008322DA" w:rsidP="008322DA">
      <w:pPr>
        <w:spacing w:after="200" w:line="360" w:lineRule="auto"/>
        <w:jc w:val="both"/>
        <w:rPr>
          <w:rFonts w:ascii="Arial" w:hAnsi="Arial" w:cs="Arial"/>
        </w:rPr>
      </w:pPr>
      <w:r w:rsidRPr="00A17E01">
        <w:rPr>
          <w:rFonts w:ascii="Arial" w:hAnsi="Arial" w:cs="Arial"/>
        </w:rPr>
        <w:t>Table No. 5 Test of significance between the perception of rural female teachers and urban male teachers on Academic Achievement (N=160)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71"/>
        <w:gridCol w:w="1717"/>
        <w:gridCol w:w="1064"/>
        <w:gridCol w:w="1323"/>
        <w:gridCol w:w="1357"/>
        <w:gridCol w:w="1792"/>
      </w:tblGrid>
      <w:tr w:rsidR="008322DA" w:rsidRPr="00A17E01" w:rsidTr="004F3874">
        <w:trPr>
          <w:jc w:val="center"/>
        </w:trPr>
        <w:tc>
          <w:tcPr>
            <w:tcW w:w="1221" w:type="dxa"/>
          </w:tcPr>
          <w:p w:rsidR="008322DA" w:rsidRPr="00A17E01" w:rsidRDefault="008322DA" w:rsidP="00392C0B">
            <w:pPr>
              <w:spacing w:before="120" w:after="120"/>
              <w:jc w:val="both"/>
              <w:rPr>
                <w:rFonts w:ascii="Arial" w:hAnsi="Arial" w:cs="Arial"/>
              </w:rPr>
            </w:pPr>
            <w:proofErr w:type="spellStart"/>
            <w:r w:rsidRPr="00A17E01">
              <w:rPr>
                <w:rFonts w:ascii="Arial" w:hAnsi="Arial" w:cs="Arial"/>
              </w:rPr>
              <w:t>Sl.No</w:t>
            </w:r>
            <w:proofErr w:type="spellEnd"/>
            <w:r w:rsidRPr="00A17E01">
              <w:rPr>
                <w:rFonts w:ascii="Arial" w:hAnsi="Arial" w:cs="Arial"/>
              </w:rPr>
              <w:t>.</w:t>
            </w:r>
          </w:p>
        </w:tc>
        <w:tc>
          <w:tcPr>
            <w:tcW w:w="1800" w:type="dxa"/>
          </w:tcPr>
          <w:p w:rsidR="008322DA" w:rsidRPr="00A17E01" w:rsidRDefault="008322DA" w:rsidP="00392C0B">
            <w:pPr>
              <w:spacing w:before="120" w:after="120"/>
              <w:jc w:val="both"/>
              <w:rPr>
                <w:rFonts w:ascii="Arial" w:hAnsi="Arial" w:cs="Arial"/>
              </w:rPr>
            </w:pPr>
            <w:r w:rsidRPr="00A17E01">
              <w:rPr>
                <w:rFonts w:ascii="Arial" w:hAnsi="Arial" w:cs="Arial"/>
              </w:rPr>
              <w:t>Category</w:t>
            </w:r>
          </w:p>
        </w:tc>
        <w:tc>
          <w:tcPr>
            <w:tcW w:w="1080" w:type="dxa"/>
          </w:tcPr>
          <w:p w:rsidR="008322DA" w:rsidRPr="00A17E01" w:rsidRDefault="008322DA" w:rsidP="00392C0B">
            <w:pPr>
              <w:spacing w:before="120" w:after="120"/>
              <w:jc w:val="both"/>
              <w:rPr>
                <w:rFonts w:ascii="Arial" w:hAnsi="Arial" w:cs="Arial"/>
              </w:rPr>
            </w:pPr>
            <w:r w:rsidRPr="00A17E01">
              <w:rPr>
                <w:rFonts w:ascii="Arial" w:hAnsi="Arial" w:cs="Arial"/>
              </w:rPr>
              <w:t>Number (N)</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 xml:space="preserve">Mean </w:t>
            </w:r>
          </w:p>
          <w:p w:rsidR="008322DA" w:rsidRPr="00A17E01" w:rsidRDefault="008322DA" w:rsidP="00392C0B">
            <w:pPr>
              <w:spacing w:before="120" w:after="120"/>
              <w:jc w:val="both"/>
              <w:rPr>
                <w:rFonts w:ascii="Arial" w:hAnsi="Arial" w:cs="Arial"/>
              </w:rPr>
            </w:pPr>
            <w:r w:rsidRPr="00A17E01">
              <w:rPr>
                <w:rFonts w:ascii="Arial" w:hAnsi="Arial" w:cs="Arial"/>
              </w:rPr>
              <w:t>(M)</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Standard deviation (SD)</w:t>
            </w:r>
          </w:p>
        </w:tc>
        <w:tc>
          <w:tcPr>
            <w:tcW w:w="1917" w:type="dxa"/>
          </w:tcPr>
          <w:p w:rsidR="008322DA" w:rsidRPr="00A17E01" w:rsidRDefault="008322DA" w:rsidP="00392C0B">
            <w:pPr>
              <w:spacing w:before="120" w:after="120"/>
              <w:jc w:val="both"/>
              <w:rPr>
                <w:rFonts w:ascii="Arial" w:hAnsi="Arial" w:cs="Arial"/>
              </w:rPr>
            </w:pPr>
            <w:r w:rsidRPr="00A17E01">
              <w:rPr>
                <w:rFonts w:ascii="Arial" w:hAnsi="Arial" w:cs="Arial"/>
              </w:rPr>
              <w:t>t-value</w:t>
            </w:r>
          </w:p>
        </w:tc>
      </w:tr>
      <w:tr w:rsidR="008322DA" w:rsidRPr="00A17E01" w:rsidTr="004F3874">
        <w:trPr>
          <w:jc w:val="center"/>
        </w:trPr>
        <w:tc>
          <w:tcPr>
            <w:tcW w:w="1221" w:type="dxa"/>
          </w:tcPr>
          <w:p w:rsidR="008322DA" w:rsidRPr="00A17E01" w:rsidRDefault="008322DA" w:rsidP="00392C0B">
            <w:pPr>
              <w:spacing w:before="200" w:after="200"/>
              <w:jc w:val="both"/>
              <w:rPr>
                <w:rFonts w:ascii="Arial" w:hAnsi="Arial" w:cs="Arial"/>
              </w:rPr>
            </w:pPr>
            <w:r w:rsidRPr="00A17E01">
              <w:rPr>
                <w:rFonts w:ascii="Arial" w:hAnsi="Arial" w:cs="Arial"/>
              </w:rPr>
              <w:t>1</w:t>
            </w:r>
          </w:p>
        </w:tc>
        <w:tc>
          <w:tcPr>
            <w:tcW w:w="1800" w:type="dxa"/>
          </w:tcPr>
          <w:p w:rsidR="008322DA" w:rsidRPr="00A17E01" w:rsidRDefault="008322DA" w:rsidP="00392C0B">
            <w:pPr>
              <w:spacing w:before="200" w:after="200"/>
              <w:jc w:val="both"/>
              <w:rPr>
                <w:rFonts w:ascii="Arial" w:hAnsi="Arial" w:cs="Arial"/>
              </w:rPr>
            </w:pPr>
            <w:r w:rsidRPr="00A17E01">
              <w:rPr>
                <w:rFonts w:ascii="Arial" w:hAnsi="Arial" w:cs="Arial"/>
              </w:rPr>
              <w:t>Rural Female</w:t>
            </w:r>
          </w:p>
        </w:tc>
        <w:tc>
          <w:tcPr>
            <w:tcW w:w="1080" w:type="dxa"/>
          </w:tcPr>
          <w:p w:rsidR="008322DA" w:rsidRPr="00A17E01" w:rsidRDefault="008322DA" w:rsidP="00392C0B">
            <w:pPr>
              <w:spacing w:before="200" w:after="200"/>
              <w:jc w:val="both"/>
              <w:rPr>
                <w:rFonts w:ascii="Arial" w:hAnsi="Arial" w:cs="Arial"/>
              </w:rPr>
            </w:pPr>
            <w:r w:rsidRPr="00A17E01">
              <w:rPr>
                <w:rFonts w:ascii="Arial" w:hAnsi="Arial" w:cs="Arial"/>
              </w:rPr>
              <w:t>40</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22.25</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8.52</w:t>
            </w:r>
          </w:p>
        </w:tc>
        <w:tc>
          <w:tcPr>
            <w:tcW w:w="1917" w:type="dxa"/>
            <w:vMerge w:val="restart"/>
            <w:vAlign w:val="center"/>
          </w:tcPr>
          <w:p w:rsidR="008322DA" w:rsidRPr="00A17E01" w:rsidRDefault="008322DA" w:rsidP="00392C0B">
            <w:pPr>
              <w:spacing w:before="200" w:after="200"/>
              <w:jc w:val="both"/>
              <w:rPr>
                <w:rFonts w:ascii="Arial" w:hAnsi="Arial" w:cs="Arial"/>
              </w:rPr>
            </w:pPr>
            <w:r w:rsidRPr="00A17E01">
              <w:rPr>
                <w:rFonts w:ascii="Arial" w:hAnsi="Arial" w:cs="Arial"/>
              </w:rPr>
              <w:t>4.00**</w:t>
            </w:r>
          </w:p>
        </w:tc>
      </w:tr>
      <w:tr w:rsidR="008322DA" w:rsidRPr="00A17E01" w:rsidTr="004F3874">
        <w:trPr>
          <w:jc w:val="center"/>
        </w:trPr>
        <w:tc>
          <w:tcPr>
            <w:tcW w:w="1221" w:type="dxa"/>
          </w:tcPr>
          <w:p w:rsidR="008322DA" w:rsidRPr="00A17E01" w:rsidRDefault="008322DA" w:rsidP="00392C0B">
            <w:pPr>
              <w:spacing w:before="200" w:after="200"/>
              <w:jc w:val="both"/>
              <w:rPr>
                <w:rFonts w:ascii="Arial" w:hAnsi="Arial" w:cs="Arial"/>
              </w:rPr>
            </w:pPr>
            <w:r w:rsidRPr="00A17E01">
              <w:rPr>
                <w:rFonts w:ascii="Arial" w:hAnsi="Arial" w:cs="Arial"/>
              </w:rPr>
              <w:t>2</w:t>
            </w:r>
          </w:p>
        </w:tc>
        <w:tc>
          <w:tcPr>
            <w:tcW w:w="1800" w:type="dxa"/>
          </w:tcPr>
          <w:p w:rsidR="008322DA" w:rsidRPr="00A17E01" w:rsidRDefault="008322DA" w:rsidP="00392C0B">
            <w:pPr>
              <w:spacing w:before="200" w:after="200"/>
              <w:jc w:val="both"/>
              <w:rPr>
                <w:rFonts w:ascii="Arial" w:hAnsi="Arial" w:cs="Arial"/>
              </w:rPr>
            </w:pPr>
            <w:r w:rsidRPr="00A17E01">
              <w:rPr>
                <w:rFonts w:ascii="Arial" w:hAnsi="Arial" w:cs="Arial"/>
              </w:rPr>
              <w:t>Urban Male</w:t>
            </w:r>
          </w:p>
        </w:tc>
        <w:tc>
          <w:tcPr>
            <w:tcW w:w="1080" w:type="dxa"/>
          </w:tcPr>
          <w:p w:rsidR="008322DA" w:rsidRPr="00A17E01" w:rsidRDefault="008322DA" w:rsidP="00392C0B">
            <w:pPr>
              <w:spacing w:before="200" w:after="200"/>
              <w:jc w:val="both"/>
              <w:rPr>
                <w:rFonts w:ascii="Arial" w:hAnsi="Arial" w:cs="Arial"/>
              </w:rPr>
            </w:pPr>
            <w:r w:rsidRPr="00A17E01">
              <w:rPr>
                <w:rFonts w:ascii="Arial" w:hAnsi="Arial" w:cs="Arial"/>
              </w:rPr>
              <w:t>40</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29.13</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6.89</w:t>
            </w:r>
          </w:p>
        </w:tc>
        <w:tc>
          <w:tcPr>
            <w:tcW w:w="1917" w:type="dxa"/>
            <w:vMerge/>
          </w:tcPr>
          <w:p w:rsidR="008322DA" w:rsidRPr="00A17E01" w:rsidRDefault="008322DA" w:rsidP="00392C0B">
            <w:pPr>
              <w:spacing w:before="200" w:after="200"/>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=78   at</w:t>
      </w:r>
      <w:r w:rsidRPr="00A17E01">
        <w:rPr>
          <w:rFonts w:ascii="Arial" w:hAnsi="Arial" w:cs="Arial"/>
        </w:rPr>
        <w:tab/>
      </w:r>
      <w:r w:rsidRPr="00A17E01">
        <w:rPr>
          <w:rFonts w:ascii="Arial" w:hAnsi="Arial" w:cs="Arial"/>
        </w:rPr>
        <w:tab/>
        <w:t xml:space="preserve">.05 level = </w:t>
      </w:r>
      <w:proofErr w:type="gramStart"/>
      <w:r w:rsidRPr="00A17E01">
        <w:rPr>
          <w:rFonts w:ascii="Arial" w:hAnsi="Arial" w:cs="Arial"/>
        </w:rPr>
        <w:t>1.99  ;</w:t>
      </w:r>
      <w:proofErr w:type="gramEnd"/>
      <w:r w:rsidRPr="00A17E01">
        <w:rPr>
          <w:rFonts w:ascii="Arial" w:hAnsi="Arial" w:cs="Arial"/>
        </w:rPr>
        <w:t xml:space="preserve">   01 level = 2.64</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 significant at .01 level </w:t>
      </w:r>
    </w:p>
    <w:p w:rsidR="008322DA" w:rsidRPr="00A17E01" w:rsidRDefault="008322DA" w:rsidP="008322DA">
      <w:pPr>
        <w:spacing w:after="200" w:line="360" w:lineRule="auto"/>
        <w:jc w:val="both"/>
        <w:rPr>
          <w:rFonts w:ascii="Arial" w:hAnsi="Arial" w:cs="Arial"/>
        </w:rPr>
      </w:pPr>
      <w:r w:rsidRPr="00A17E01">
        <w:rPr>
          <w:rFonts w:ascii="Arial" w:hAnsi="Arial" w:cs="Arial"/>
        </w:rPr>
        <w:lastRenderedPageBreak/>
        <w:t xml:space="preserve">The table no. 5 reflected that obtained t-value is 4.00 which is more than the standard t-value (1.99 at 0.05 level and 2.64 at 0.01 level) at df (78) and it is significant at both the levels. It shows that the Hypothesis-5 that “There is no significant difference between the perception of rural female and urban male teachers on academic achievement where it is proved to be significant. In this context Hypothesis-5 is not retained. </w:t>
      </w:r>
      <w:proofErr w:type="gramStart"/>
      <w:r w:rsidRPr="00A17E01">
        <w:rPr>
          <w:rFonts w:ascii="Arial" w:hAnsi="Arial" w:cs="Arial"/>
        </w:rPr>
        <w:t>Thus</w:t>
      </w:r>
      <w:proofErr w:type="gramEnd"/>
      <w:r w:rsidRPr="00A17E01">
        <w:rPr>
          <w:rFonts w:ascii="Arial" w:hAnsi="Arial" w:cs="Arial"/>
        </w:rPr>
        <w:t xml:space="preserve"> it is concluded that there is significant difference between the perception of rural female and urban male on academic achievement. It infers that the activities like congenial atmosphere, teaching facilities, reference book, curricular activities, reading facilities are not promoted in autonomous colleges of Odisha due to non-availability of facilities in the colleges.</w:t>
      </w:r>
    </w:p>
    <w:p w:rsidR="008322DA" w:rsidRPr="00A17E01" w:rsidRDefault="008322DA" w:rsidP="008322DA">
      <w:pPr>
        <w:spacing w:after="200" w:line="360" w:lineRule="auto"/>
        <w:jc w:val="both"/>
        <w:rPr>
          <w:rFonts w:ascii="Arial" w:hAnsi="Arial" w:cs="Arial"/>
        </w:rPr>
      </w:pPr>
      <w:r w:rsidRPr="00A17E01">
        <w:rPr>
          <w:rFonts w:ascii="Arial" w:hAnsi="Arial" w:cs="Arial"/>
        </w:rPr>
        <w:t>Table No. 6 Test of significance between the perception of rural female teachers and urban female teachers on Academic Achievement (N=160)</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5"/>
        <w:gridCol w:w="1760"/>
        <w:gridCol w:w="1072"/>
        <w:gridCol w:w="1361"/>
        <w:gridCol w:w="1378"/>
        <w:gridCol w:w="1858"/>
      </w:tblGrid>
      <w:tr w:rsidR="008322DA" w:rsidRPr="00A17E01" w:rsidTr="004F3874">
        <w:trPr>
          <w:jc w:val="center"/>
        </w:trPr>
        <w:tc>
          <w:tcPr>
            <w:tcW w:w="1008" w:type="dxa"/>
          </w:tcPr>
          <w:p w:rsidR="008322DA" w:rsidRPr="00A17E01" w:rsidRDefault="008322DA" w:rsidP="004F3874">
            <w:pPr>
              <w:spacing w:before="120" w:after="120"/>
              <w:jc w:val="both"/>
              <w:rPr>
                <w:rFonts w:ascii="Arial" w:hAnsi="Arial" w:cs="Arial"/>
              </w:rPr>
            </w:pPr>
            <w:proofErr w:type="spellStart"/>
            <w:r w:rsidRPr="00A17E01">
              <w:rPr>
                <w:rFonts w:ascii="Arial" w:hAnsi="Arial" w:cs="Arial"/>
              </w:rPr>
              <w:t>Sl.No</w:t>
            </w:r>
            <w:proofErr w:type="spellEnd"/>
            <w:r w:rsidRPr="00A17E01">
              <w:rPr>
                <w:rFonts w:ascii="Arial" w:hAnsi="Arial" w:cs="Arial"/>
              </w:rPr>
              <w:t>.</w:t>
            </w:r>
          </w:p>
        </w:tc>
        <w:tc>
          <w:tcPr>
            <w:tcW w:w="1800" w:type="dxa"/>
          </w:tcPr>
          <w:p w:rsidR="008322DA" w:rsidRPr="00A17E01" w:rsidRDefault="008322DA" w:rsidP="004F3874">
            <w:pPr>
              <w:spacing w:before="120" w:after="120"/>
              <w:jc w:val="both"/>
              <w:rPr>
                <w:rFonts w:ascii="Arial" w:hAnsi="Arial" w:cs="Arial"/>
              </w:rPr>
            </w:pPr>
            <w:r w:rsidRPr="00A17E01">
              <w:rPr>
                <w:rFonts w:ascii="Arial" w:hAnsi="Arial" w:cs="Arial"/>
              </w:rPr>
              <w:t>Category</w:t>
            </w:r>
          </w:p>
        </w:tc>
        <w:tc>
          <w:tcPr>
            <w:tcW w:w="1080" w:type="dxa"/>
          </w:tcPr>
          <w:p w:rsidR="008322DA" w:rsidRPr="00A17E01" w:rsidRDefault="008322DA" w:rsidP="004F3874">
            <w:pPr>
              <w:spacing w:before="120" w:after="120"/>
              <w:jc w:val="both"/>
              <w:rPr>
                <w:rFonts w:ascii="Arial" w:hAnsi="Arial" w:cs="Arial"/>
              </w:rPr>
            </w:pPr>
            <w:r w:rsidRPr="00A17E01">
              <w:rPr>
                <w:rFonts w:ascii="Arial" w:hAnsi="Arial" w:cs="Arial"/>
              </w:rPr>
              <w:t>Number (N)</w:t>
            </w:r>
          </w:p>
        </w:tc>
        <w:tc>
          <w:tcPr>
            <w:tcW w:w="1397" w:type="dxa"/>
          </w:tcPr>
          <w:p w:rsidR="008322DA" w:rsidRPr="00A17E01" w:rsidRDefault="008322DA" w:rsidP="004F3874">
            <w:pPr>
              <w:spacing w:before="120" w:after="120"/>
              <w:jc w:val="both"/>
              <w:rPr>
                <w:rFonts w:ascii="Arial" w:hAnsi="Arial" w:cs="Arial"/>
              </w:rPr>
            </w:pPr>
            <w:r w:rsidRPr="00A17E01">
              <w:rPr>
                <w:rFonts w:ascii="Arial" w:hAnsi="Arial" w:cs="Arial"/>
              </w:rPr>
              <w:t xml:space="preserve">Mean </w:t>
            </w:r>
          </w:p>
          <w:p w:rsidR="008322DA" w:rsidRPr="00A17E01" w:rsidRDefault="008322DA" w:rsidP="004F3874">
            <w:pPr>
              <w:spacing w:before="120" w:after="120"/>
              <w:jc w:val="both"/>
              <w:rPr>
                <w:rFonts w:ascii="Arial" w:hAnsi="Arial" w:cs="Arial"/>
              </w:rPr>
            </w:pPr>
            <w:r w:rsidRPr="00A17E01">
              <w:rPr>
                <w:rFonts w:ascii="Arial" w:hAnsi="Arial" w:cs="Arial"/>
              </w:rPr>
              <w:t>(M)</w:t>
            </w:r>
          </w:p>
        </w:tc>
        <w:tc>
          <w:tcPr>
            <w:tcW w:w="1397" w:type="dxa"/>
          </w:tcPr>
          <w:p w:rsidR="008322DA" w:rsidRPr="00A17E01" w:rsidRDefault="008322DA" w:rsidP="004F3874">
            <w:pPr>
              <w:spacing w:before="120" w:after="120"/>
              <w:jc w:val="both"/>
              <w:rPr>
                <w:rFonts w:ascii="Arial" w:hAnsi="Arial" w:cs="Arial"/>
              </w:rPr>
            </w:pPr>
            <w:r w:rsidRPr="00A17E01">
              <w:rPr>
                <w:rFonts w:ascii="Arial" w:hAnsi="Arial" w:cs="Arial"/>
              </w:rPr>
              <w:t>Standard deviation (SD)</w:t>
            </w:r>
          </w:p>
        </w:tc>
        <w:tc>
          <w:tcPr>
            <w:tcW w:w="1917" w:type="dxa"/>
          </w:tcPr>
          <w:p w:rsidR="008322DA" w:rsidRPr="00A17E01" w:rsidRDefault="008322DA" w:rsidP="004F3874">
            <w:pPr>
              <w:spacing w:before="120" w:after="120"/>
              <w:jc w:val="both"/>
              <w:rPr>
                <w:rFonts w:ascii="Arial" w:hAnsi="Arial" w:cs="Arial"/>
              </w:rPr>
            </w:pPr>
            <w:r w:rsidRPr="00A17E01">
              <w:rPr>
                <w:rFonts w:ascii="Arial" w:hAnsi="Arial" w:cs="Arial"/>
              </w:rPr>
              <w:t>t-value</w:t>
            </w:r>
          </w:p>
        </w:tc>
      </w:tr>
      <w:tr w:rsidR="008322DA" w:rsidRPr="00A17E01" w:rsidTr="004F3874">
        <w:trPr>
          <w:jc w:val="center"/>
        </w:trPr>
        <w:tc>
          <w:tcPr>
            <w:tcW w:w="1008" w:type="dxa"/>
          </w:tcPr>
          <w:p w:rsidR="008322DA" w:rsidRPr="00A17E01" w:rsidRDefault="008322DA" w:rsidP="004F3874">
            <w:pPr>
              <w:spacing w:before="200" w:after="200"/>
              <w:jc w:val="both"/>
              <w:rPr>
                <w:rFonts w:ascii="Arial" w:hAnsi="Arial" w:cs="Arial"/>
              </w:rPr>
            </w:pPr>
            <w:r w:rsidRPr="00A17E01">
              <w:rPr>
                <w:rFonts w:ascii="Arial" w:hAnsi="Arial" w:cs="Arial"/>
              </w:rPr>
              <w:t>1</w:t>
            </w:r>
          </w:p>
        </w:tc>
        <w:tc>
          <w:tcPr>
            <w:tcW w:w="1800" w:type="dxa"/>
          </w:tcPr>
          <w:p w:rsidR="008322DA" w:rsidRPr="00A17E01" w:rsidRDefault="008322DA" w:rsidP="004F3874">
            <w:pPr>
              <w:spacing w:before="200" w:after="200"/>
              <w:jc w:val="both"/>
              <w:rPr>
                <w:rFonts w:ascii="Arial" w:hAnsi="Arial" w:cs="Arial"/>
              </w:rPr>
            </w:pPr>
            <w:r w:rsidRPr="00A17E01">
              <w:rPr>
                <w:rFonts w:ascii="Arial" w:hAnsi="Arial" w:cs="Arial"/>
              </w:rPr>
              <w:t>Rural Female</w:t>
            </w:r>
          </w:p>
        </w:tc>
        <w:tc>
          <w:tcPr>
            <w:tcW w:w="1080" w:type="dxa"/>
          </w:tcPr>
          <w:p w:rsidR="008322DA" w:rsidRPr="00A17E01" w:rsidRDefault="008322DA" w:rsidP="004F3874">
            <w:pPr>
              <w:spacing w:before="200" w:after="200"/>
              <w:jc w:val="both"/>
              <w:rPr>
                <w:rFonts w:ascii="Arial" w:hAnsi="Arial" w:cs="Arial"/>
              </w:rPr>
            </w:pPr>
            <w:r w:rsidRPr="00A17E01">
              <w:rPr>
                <w:rFonts w:ascii="Arial" w:hAnsi="Arial" w:cs="Arial"/>
              </w:rPr>
              <w:t>40</w:t>
            </w:r>
          </w:p>
        </w:tc>
        <w:tc>
          <w:tcPr>
            <w:tcW w:w="1397" w:type="dxa"/>
          </w:tcPr>
          <w:p w:rsidR="008322DA" w:rsidRPr="00A17E01" w:rsidRDefault="008322DA" w:rsidP="004F3874">
            <w:pPr>
              <w:spacing w:before="200" w:after="200"/>
              <w:jc w:val="both"/>
              <w:rPr>
                <w:rFonts w:ascii="Arial" w:hAnsi="Arial" w:cs="Arial"/>
              </w:rPr>
            </w:pPr>
            <w:r w:rsidRPr="00A17E01">
              <w:rPr>
                <w:rFonts w:ascii="Arial" w:hAnsi="Arial" w:cs="Arial"/>
              </w:rPr>
              <w:t>22.25</w:t>
            </w:r>
          </w:p>
        </w:tc>
        <w:tc>
          <w:tcPr>
            <w:tcW w:w="1397" w:type="dxa"/>
          </w:tcPr>
          <w:p w:rsidR="008322DA" w:rsidRPr="00A17E01" w:rsidRDefault="008322DA" w:rsidP="004F3874">
            <w:pPr>
              <w:spacing w:before="200" w:after="200"/>
              <w:jc w:val="both"/>
              <w:rPr>
                <w:rFonts w:ascii="Arial" w:hAnsi="Arial" w:cs="Arial"/>
              </w:rPr>
            </w:pPr>
            <w:r w:rsidRPr="00A17E01">
              <w:rPr>
                <w:rFonts w:ascii="Arial" w:hAnsi="Arial" w:cs="Arial"/>
              </w:rPr>
              <w:t>8.52</w:t>
            </w:r>
          </w:p>
        </w:tc>
        <w:tc>
          <w:tcPr>
            <w:tcW w:w="1917" w:type="dxa"/>
            <w:vMerge w:val="restart"/>
            <w:vAlign w:val="center"/>
          </w:tcPr>
          <w:p w:rsidR="008322DA" w:rsidRPr="00A17E01" w:rsidRDefault="008322DA" w:rsidP="004F3874">
            <w:pPr>
              <w:spacing w:before="200" w:after="200"/>
              <w:jc w:val="both"/>
              <w:rPr>
                <w:rFonts w:ascii="Arial" w:hAnsi="Arial" w:cs="Arial"/>
              </w:rPr>
            </w:pPr>
            <w:r w:rsidRPr="00A17E01">
              <w:rPr>
                <w:rFonts w:ascii="Arial" w:hAnsi="Arial" w:cs="Arial"/>
              </w:rPr>
              <w:t>0.72</w:t>
            </w:r>
            <w:r w:rsidRPr="00A17E01">
              <w:rPr>
                <w:rFonts w:ascii="Arial" w:hAnsi="Arial" w:cs="Arial"/>
                <w:vertAlign w:val="superscript"/>
              </w:rPr>
              <w:t>NS</w:t>
            </w:r>
          </w:p>
        </w:tc>
      </w:tr>
      <w:tr w:rsidR="008322DA" w:rsidRPr="00A17E01" w:rsidTr="004F3874">
        <w:trPr>
          <w:jc w:val="center"/>
        </w:trPr>
        <w:tc>
          <w:tcPr>
            <w:tcW w:w="1008"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w:t>
            </w:r>
          </w:p>
        </w:tc>
        <w:tc>
          <w:tcPr>
            <w:tcW w:w="180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Urban female</w:t>
            </w:r>
          </w:p>
        </w:tc>
        <w:tc>
          <w:tcPr>
            <w:tcW w:w="108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40</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23.63</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8.76</w:t>
            </w:r>
          </w:p>
        </w:tc>
        <w:tc>
          <w:tcPr>
            <w:tcW w:w="1917" w:type="dxa"/>
            <w:vMerge/>
          </w:tcPr>
          <w:p w:rsidR="008322DA" w:rsidRPr="00A17E01" w:rsidRDefault="008322DA" w:rsidP="004F3874">
            <w:pPr>
              <w:spacing w:before="200" w:after="200" w:line="360" w:lineRule="auto"/>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=78   at</w:t>
      </w:r>
      <w:r w:rsidRPr="00A17E01">
        <w:rPr>
          <w:rFonts w:ascii="Arial" w:hAnsi="Arial" w:cs="Arial"/>
        </w:rPr>
        <w:tab/>
      </w:r>
      <w:r w:rsidRPr="00A17E01">
        <w:rPr>
          <w:rFonts w:ascii="Arial" w:hAnsi="Arial" w:cs="Arial"/>
        </w:rPr>
        <w:tab/>
        <w:t xml:space="preserve">.05 level = </w:t>
      </w:r>
      <w:proofErr w:type="gramStart"/>
      <w:r w:rsidRPr="00A17E01">
        <w:rPr>
          <w:rFonts w:ascii="Arial" w:hAnsi="Arial" w:cs="Arial"/>
        </w:rPr>
        <w:t>1.99  ;</w:t>
      </w:r>
      <w:proofErr w:type="gramEnd"/>
      <w:r w:rsidRPr="00A17E01">
        <w:rPr>
          <w:rFonts w:ascii="Arial" w:hAnsi="Arial" w:cs="Arial"/>
        </w:rPr>
        <w:t xml:space="preserve">   01 level = 2.64</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NS = Not significant at .05 level </w:t>
      </w:r>
    </w:p>
    <w:p w:rsidR="008322DA" w:rsidRPr="00A17E01" w:rsidRDefault="008322DA" w:rsidP="008322DA">
      <w:pPr>
        <w:spacing w:after="200" w:line="360" w:lineRule="auto"/>
        <w:jc w:val="both"/>
        <w:rPr>
          <w:rFonts w:ascii="Arial" w:hAnsi="Arial" w:cs="Arial"/>
        </w:rPr>
      </w:pPr>
      <w:r w:rsidRPr="00A17E01">
        <w:rPr>
          <w:rFonts w:ascii="Arial" w:hAnsi="Arial" w:cs="Arial"/>
        </w:rPr>
        <w:t>The table no. 6 shows that obtained t-value is 0.72 which is lower than the standard t-value (1.99 at 0.05 level and 2.64 at 0.01 level) at df (78) and it is not significant at both the levels. It shows that the Hypothesis-6 that “There is no significant difference between the perception of rural female and urban female teachers on academic achievement”, where it is proved to be no significant. In this context Hypothesis-6 is retained. Therefore, it is concluded that in both rural and urban female teachers opine similar on academic achievement.</w:t>
      </w:r>
    </w:p>
    <w:p w:rsidR="008322DA" w:rsidRPr="00A17E01" w:rsidRDefault="008322DA" w:rsidP="00713171">
      <w:pPr>
        <w:spacing w:after="200" w:line="360" w:lineRule="auto"/>
        <w:jc w:val="both"/>
        <w:rPr>
          <w:rFonts w:ascii="Arial" w:hAnsi="Arial" w:cs="Arial"/>
        </w:rPr>
      </w:pPr>
      <w:r w:rsidRPr="00A17E01">
        <w:rPr>
          <w:rFonts w:ascii="Arial" w:hAnsi="Arial" w:cs="Arial"/>
        </w:rPr>
        <w:t>It infers that the activities like better teaching learning process, better teacher-taught relationship, better curricular, extra-curricular activities, examination procedure and transparency in evaluation system are promoted in autonomous colleges of Odisha. It is because of various facilities in relation to academic aspect of the college like conducting time to time formative evaluation, providing proper feedback and guidance.</w:t>
      </w:r>
    </w:p>
    <w:p w:rsidR="008322DA" w:rsidRPr="00A17E01" w:rsidRDefault="008322DA" w:rsidP="008322DA">
      <w:pPr>
        <w:spacing w:after="200" w:line="360" w:lineRule="auto"/>
        <w:jc w:val="both"/>
        <w:rPr>
          <w:rFonts w:ascii="Arial" w:hAnsi="Arial" w:cs="Arial"/>
        </w:rPr>
      </w:pPr>
      <w:r w:rsidRPr="00A17E01">
        <w:rPr>
          <w:rFonts w:ascii="Arial" w:hAnsi="Arial" w:cs="Arial"/>
        </w:rPr>
        <w:lastRenderedPageBreak/>
        <w:t>Table No. 7 Test of significance between the perception of urban male teachers and rural male teachers on Academic Achievement (N=80)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0"/>
        <w:gridCol w:w="1652"/>
        <w:gridCol w:w="1051"/>
        <w:gridCol w:w="1266"/>
        <w:gridCol w:w="1326"/>
        <w:gridCol w:w="2169"/>
      </w:tblGrid>
      <w:tr w:rsidR="008322DA" w:rsidRPr="00A17E01" w:rsidTr="004F3874">
        <w:tc>
          <w:tcPr>
            <w:tcW w:w="1008" w:type="dxa"/>
          </w:tcPr>
          <w:p w:rsidR="008322DA" w:rsidRPr="00A17E01" w:rsidRDefault="008322DA" w:rsidP="00392C0B">
            <w:pPr>
              <w:spacing w:before="120" w:after="120"/>
              <w:jc w:val="both"/>
              <w:rPr>
                <w:rFonts w:ascii="Arial" w:hAnsi="Arial" w:cs="Arial"/>
              </w:rPr>
            </w:pPr>
            <w:proofErr w:type="spellStart"/>
            <w:r w:rsidRPr="00A17E01">
              <w:rPr>
                <w:rFonts w:ascii="Arial" w:hAnsi="Arial" w:cs="Arial"/>
              </w:rPr>
              <w:t>Sl.No</w:t>
            </w:r>
            <w:proofErr w:type="spellEnd"/>
            <w:r w:rsidRPr="00A17E01">
              <w:rPr>
                <w:rFonts w:ascii="Arial" w:hAnsi="Arial" w:cs="Arial"/>
              </w:rPr>
              <w:t>.</w:t>
            </w:r>
          </w:p>
        </w:tc>
        <w:tc>
          <w:tcPr>
            <w:tcW w:w="1800" w:type="dxa"/>
          </w:tcPr>
          <w:p w:rsidR="008322DA" w:rsidRPr="00A17E01" w:rsidRDefault="008322DA" w:rsidP="00392C0B">
            <w:pPr>
              <w:spacing w:before="120" w:after="120"/>
              <w:jc w:val="both"/>
              <w:rPr>
                <w:rFonts w:ascii="Arial" w:hAnsi="Arial" w:cs="Arial"/>
              </w:rPr>
            </w:pPr>
            <w:r w:rsidRPr="00A17E01">
              <w:rPr>
                <w:rFonts w:ascii="Arial" w:hAnsi="Arial" w:cs="Arial"/>
              </w:rPr>
              <w:t>Category</w:t>
            </w:r>
          </w:p>
        </w:tc>
        <w:tc>
          <w:tcPr>
            <w:tcW w:w="1080" w:type="dxa"/>
          </w:tcPr>
          <w:p w:rsidR="008322DA" w:rsidRPr="00A17E01" w:rsidRDefault="008322DA" w:rsidP="00392C0B">
            <w:pPr>
              <w:spacing w:before="120" w:after="120"/>
              <w:jc w:val="both"/>
              <w:rPr>
                <w:rFonts w:ascii="Arial" w:hAnsi="Arial" w:cs="Arial"/>
              </w:rPr>
            </w:pPr>
            <w:r w:rsidRPr="00A17E01">
              <w:rPr>
                <w:rFonts w:ascii="Arial" w:hAnsi="Arial" w:cs="Arial"/>
              </w:rPr>
              <w:t>Number (N)</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 xml:space="preserve">Mean </w:t>
            </w:r>
          </w:p>
          <w:p w:rsidR="008322DA" w:rsidRPr="00A17E01" w:rsidRDefault="008322DA" w:rsidP="00392C0B">
            <w:pPr>
              <w:spacing w:before="120" w:after="120"/>
              <w:jc w:val="both"/>
              <w:rPr>
                <w:rFonts w:ascii="Arial" w:hAnsi="Arial" w:cs="Arial"/>
              </w:rPr>
            </w:pPr>
            <w:r w:rsidRPr="00A17E01">
              <w:rPr>
                <w:rFonts w:ascii="Arial" w:hAnsi="Arial" w:cs="Arial"/>
              </w:rPr>
              <w:t>(M)</w:t>
            </w:r>
          </w:p>
        </w:tc>
        <w:tc>
          <w:tcPr>
            <w:tcW w:w="1397" w:type="dxa"/>
          </w:tcPr>
          <w:p w:rsidR="008322DA" w:rsidRPr="00A17E01" w:rsidRDefault="008322DA" w:rsidP="00392C0B">
            <w:pPr>
              <w:spacing w:before="120" w:after="120"/>
              <w:jc w:val="both"/>
              <w:rPr>
                <w:rFonts w:ascii="Arial" w:hAnsi="Arial" w:cs="Arial"/>
              </w:rPr>
            </w:pPr>
            <w:r w:rsidRPr="00A17E01">
              <w:rPr>
                <w:rFonts w:ascii="Arial" w:hAnsi="Arial" w:cs="Arial"/>
              </w:rPr>
              <w:t>Standard deviation (SD)</w:t>
            </w:r>
          </w:p>
        </w:tc>
        <w:tc>
          <w:tcPr>
            <w:tcW w:w="2498" w:type="dxa"/>
          </w:tcPr>
          <w:p w:rsidR="008322DA" w:rsidRPr="00A17E01" w:rsidRDefault="008322DA" w:rsidP="00392C0B">
            <w:pPr>
              <w:spacing w:before="120" w:after="120"/>
              <w:jc w:val="both"/>
              <w:rPr>
                <w:rFonts w:ascii="Arial" w:hAnsi="Arial" w:cs="Arial"/>
              </w:rPr>
            </w:pPr>
            <w:r w:rsidRPr="00A17E01">
              <w:rPr>
                <w:rFonts w:ascii="Arial" w:hAnsi="Arial" w:cs="Arial"/>
              </w:rPr>
              <w:t>t-value</w:t>
            </w:r>
          </w:p>
        </w:tc>
      </w:tr>
      <w:tr w:rsidR="008322DA" w:rsidRPr="00A17E01" w:rsidTr="004F3874">
        <w:tc>
          <w:tcPr>
            <w:tcW w:w="1008" w:type="dxa"/>
          </w:tcPr>
          <w:p w:rsidR="008322DA" w:rsidRPr="00A17E01" w:rsidRDefault="008322DA" w:rsidP="00392C0B">
            <w:pPr>
              <w:spacing w:before="200" w:after="200"/>
              <w:jc w:val="both"/>
              <w:rPr>
                <w:rFonts w:ascii="Arial" w:hAnsi="Arial" w:cs="Arial"/>
              </w:rPr>
            </w:pPr>
            <w:r w:rsidRPr="00A17E01">
              <w:rPr>
                <w:rFonts w:ascii="Arial" w:hAnsi="Arial" w:cs="Arial"/>
              </w:rPr>
              <w:t>1</w:t>
            </w:r>
          </w:p>
        </w:tc>
        <w:tc>
          <w:tcPr>
            <w:tcW w:w="1800" w:type="dxa"/>
          </w:tcPr>
          <w:p w:rsidR="008322DA" w:rsidRPr="00A17E01" w:rsidRDefault="008322DA" w:rsidP="00392C0B">
            <w:pPr>
              <w:spacing w:before="200" w:after="200"/>
              <w:jc w:val="both"/>
              <w:rPr>
                <w:rFonts w:ascii="Arial" w:hAnsi="Arial" w:cs="Arial"/>
              </w:rPr>
            </w:pPr>
            <w:r w:rsidRPr="00A17E01">
              <w:rPr>
                <w:rFonts w:ascii="Arial" w:hAnsi="Arial" w:cs="Arial"/>
              </w:rPr>
              <w:t>Urban Male</w:t>
            </w:r>
          </w:p>
        </w:tc>
        <w:tc>
          <w:tcPr>
            <w:tcW w:w="1080" w:type="dxa"/>
          </w:tcPr>
          <w:p w:rsidR="008322DA" w:rsidRPr="00A17E01" w:rsidRDefault="008322DA" w:rsidP="00392C0B">
            <w:pPr>
              <w:spacing w:before="200" w:after="200"/>
              <w:jc w:val="both"/>
              <w:rPr>
                <w:rFonts w:ascii="Arial" w:hAnsi="Arial" w:cs="Arial"/>
              </w:rPr>
            </w:pPr>
            <w:r w:rsidRPr="00A17E01">
              <w:rPr>
                <w:rFonts w:ascii="Arial" w:hAnsi="Arial" w:cs="Arial"/>
              </w:rPr>
              <w:t>40</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29.13</w:t>
            </w:r>
          </w:p>
        </w:tc>
        <w:tc>
          <w:tcPr>
            <w:tcW w:w="1397" w:type="dxa"/>
          </w:tcPr>
          <w:p w:rsidR="008322DA" w:rsidRPr="00A17E01" w:rsidRDefault="008322DA" w:rsidP="00392C0B">
            <w:pPr>
              <w:spacing w:before="200" w:after="200"/>
              <w:jc w:val="both"/>
              <w:rPr>
                <w:rFonts w:ascii="Arial" w:hAnsi="Arial" w:cs="Arial"/>
              </w:rPr>
            </w:pPr>
            <w:r w:rsidRPr="00A17E01">
              <w:rPr>
                <w:rFonts w:ascii="Arial" w:hAnsi="Arial" w:cs="Arial"/>
              </w:rPr>
              <w:t>6.89</w:t>
            </w:r>
          </w:p>
        </w:tc>
        <w:tc>
          <w:tcPr>
            <w:tcW w:w="2498" w:type="dxa"/>
            <w:vMerge w:val="restart"/>
            <w:vAlign w:val="center"/>
          </w:tcPr>
          <w:p w:rsidR="008322DA" w:rsidRPr="00A17E01" w:rsidRDefault="008322DA" w:rsidP="00392C0B">
            <w:pPr>
              <w:spacing w:before="200" w:after="200"/>
              <w:jc w:val="both"/>
              <w:rPr>
                <w:rFonts w:ascii="Arial" w:hAnsi="Arial" w:cs="Arial"/>
              </w:rPr>
            </w:pPr>
            <w:r w:rsidRPr="00A17E01">
              <w:rPr>
                <w:rFonts w:ascii="Arial" w:hAnsi="Arial" w:cs="Arial"/>
              </w:rPr>
              <w:t>1.84</w:t>
            </w:r>
            <w:r w:rsidRPr="00A17E01">
              <w:rPr>
                <w:rFonts w:ascii="Arial" w:hAnsi="Arial" w:cs="Arial"/>
                <w:vertAlign w:val="superscript"/>
              </w:rPr>
              <w:t>NS</w:t>
            </w:r>
          </w:p>
        </w:tc>
      </w:tr>
      <w:tr w:rsidR="008322DA" w:rsidRPr="00A17E01" w:rsidTr="004F3874">
        <w:tc>
          <w:tcPr>
            <w:tcW w:w="1008"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w:t>
            </w:r>
          </w:p>
        </w:tc>
        <w:tc>
          <w:tcPr>
            <w:tcW w:w="180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Rural Male</w:t>
            </w:r>
          </w:p>
        </w:tc>
        <w:tc>
          <w:tcPr>
            <w:tcW w:w="1080"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40</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26.13</w:t>
            </w:r>
          </w:p>
        </w:tc>
        <w:tc>
          <w:tcPr>
            <w:tcW w:w="1397" w:type="dxa"/>
          </w:tcPr>
          <w:p w:rsidR="008322DA" w:rsidRPr="00A17E01" w:rsidRDefault="008322DA" w:rsidP="004F3874">
            <w:pPr>
              <w:spacing w:before="200" w:after="200" w:line="360" w:lineRule="auto"/>
              <w:jc w:val="both"/>
              <w:rPr>
                <w:rFonts w:ascii="Arial" w:hAnsi="Arial" w:cs="Arial"/>
              </w:rPr>
            </w:pPr>
            <w:r w:rsidRPr="00A17E01">
              <w:rPr>
                <w:rFonts w:ascii="Arial" w:hAnsi="Arial" w:cs="Arial"/>
              </w:rPr>
              <w:t>7.74</w:t>
            </w:r>
          </w:p>
        </w:tc>
        <w:tc>
          <w:tcPr>
            <w:tcW w:w="2498" w:type="dxa"/>
            <w:vMerge/>
          </w:tcPr>
          <w:p w:rsidR="008322DA" w:rsidRPr="00A17E01" w:rsidRDefault="008322DA" w:rsidP="004F3874">
            <w:pPr>
              <w:spacing w:before="200" w:after="200" w:line="360" w:lineRule="auto"/>
              <w:jc w:val="both"/>
              <w:rPr>
                <w:rFonts w:ascii="Arial" w:hAnsi="Arial" w:cs="Arial"/>
              </w:rPr>
            </w:pPr>
          </w:p>
        </w:tc>
      </w:tr>
    </w:tbl>
    <w:p w:rsidR="008322DA" w:rsidRPr="00A17E01" w:rsidRDefault="008322DA" w:rsidP="008322DA">
      <w:pPr>
        <w:spacing w:before="200" w:line="360" w:lineRule="auto"/>
        <w:jc w:val="both"/>
        <w:rPr>
          <w:rFonts w:ascii="Arial" w:hAnsi="Arial" w:cs="Arial"/>
        </w:rPr>
      </w:pPr>
      <w:r w:rsidRPr="00A17E01">
        <w:rPr>
          <w:rFonts w:ascii="Arial" w:hAnsi="Arial" w:cs="Arial"/>
        </w:rPr>
        <w:t>Df =78   at</w:t>
      </w:r>
      <w:r w:rsidRPr="00A17E01">
        <w:rPr>
          <w:rFonts w:ascii="Arial" w:hAnsi="Arial" w:cs="Arial"/>
        </w:rPr>
        <w:tab/>
      </w:r>
      <w:r w:rsidRPr="00A17E01">
        <w:rPr>
          <w:rFonts w:ascii="Arial" w:hAnsi="Arial" w:cs="Arial"/>
        </w:rPr>
        <w:tab/>
        <w:t xml:space="preserve">.05 level = </w:t>
      </w:r>
      <w:proofErr w:type="gramStart"/>
      <w:r w:rsidRPr="00A17E01">
        <w:rPr>
          <w:rFonts w:ascii="Arial" w:hAnsi="Arial" w:cs="Arial"/>
        </w:rPr>
        <w:t>1.99  ;</w:t>
      </w:r>
      <w:proofErr w:type="gramEnd"/>
      <w:r w:rsidRPr="00A17E01">
        <w:rPr>
          <w:rFonts w:ascii="Arial" w:hAnsi="Arial" w:cs="Arial"/>
        </w:rPr>
        <w:t xml:space="preserve">   01 level = 2.64</w:t>
      </w:r>
    </w:p>
    <w:p w:rsidR="008322DA" w:rsidRPr="00A17E01" w:rsidRDefault="008322DA" w:rsidP="008322DA">
      <w:pPr>
        <w:spacing w:after="200" w:line="360" w:lineRule="auto"/>
        <w:jc w:val="both"/>
        <w:rPr>
          <w:rFonts w:ascii="Arial" w:hAnsi="Arial" w:cs="Arial"/>
        </w:rPr>
      </w:pPr>
      <w:r w:rsidRPr="00A17E01">
        <w:rPr>
          <w:rFonts w:ascii="Arial" w:hAnsi="Arial" w:cs="Arial"/>
        </w:rPr>
        <w:tab/>
      </w:r>
      <w:r w:rsidRPr="00A17E01">
        <w:rPr>
          <w:rFonts w:ascii="Arial" w:hAnsi="Arial" w:cs="Arial"/>
        </w:rPr>
        <w:tab/>
      </w:r>
      <w:r w:rsidRPr="00A17E01">
        <w:rPr>
          <w:rFonts w:ascii="Arial" w:hAnsi="Arial" w:cs="Arial"/>
        </w:rPr>
        <w:tab/>
        <w:t xml:space="preserve">NS = Not significant at .05 level </w:t>
      </w:r>
    </w:p>
    <w:p w:rsidR="008322DA" w:rsidRPr="00A17E01" w:rsidRDefault="008322DA" w:rsidP="008322DA">
      <w:pPr>
        <w:spacing w:after="200" w:line="360" w:lineRule="auto"/>
        <w:jc w:val="both"/>
        <w:rPr>
          <w:rFonts w:ascii="Arial" w:hAnsi="Arial" w:cs="Arial"/>
        </w:rPr>
      </w:pPr>
      <w:r w:rsidRPr="00A17E01">
        <w:rPr>
          <w:rFonts w:ascii="Arial" w:hAnsi="Arial" w:cs="Arial"/>
        </w:rPr>
        <w:t>The above table depicts that obtained t-value is 1.84 which is lower than the standard t-value (1.99 at 0.05 level and 2.64 at 0.01 level) at df (78) and it is not significant at both the levels. It shows that Hypothesis-7 that “There is no significant difference between the perception of urban male and rural male teachers on academic achievement” where it is proved to be not significant. In this context Hypothesis-7 retained. Therefore, it is concluded that in both urban and rural male opine similar on academic achievement.</w:t>
      </w:r>
    </w:p>
    <w:p w:rsidR="008322DA" w:rsidRPr="00A17E01" w:rsidRDefault="008322DA" w:rsidP="008322DA">
      <w:pPr>
        <w:spacing w:after="200" w:line="360" w:lineRule="auto"/>
        <w:jc w:val="both"/>
        <w:rPr>
          <w:rFonts w:ascii="Arial" w:hAnsi="Arial" w:cs="Arial"/>
        </w:rPr>
      </w:pPr>
      <w:r w:rsidRPr="00A17E01">
        <w:rPr>
          <w:rFonts w:ascii="Arial" w:hAnsi="Arial" w:cs="Arial"/>
        </w:rPr>
        <w:t xml:space="preserve">It infers that the activities like better teaching facilities, availability of text books, study materials, library facilities, reading room facilities and innovative teaching procedure are promoted their student from better academic achievement in autonomous colleges of Odisha. </w:t>
      </w:r>
    </w:p>
    <w:p w:rsidR="008322DA" w:rsidRPr="00A17E01" w:rsidRDefault="008322DA" w:rsidP="00713171">
      <w:pPr>
        <w:pStyle w:val="Heading2"/>
        <w:numPr>
          <w:ilvl w:val="0"/>
          <w:numId w:val="34"/>
        </w:numPr>
        <w:spacing w:line="360" w:lineRule="auto"/>
        <w:ind w:hanging="720"/>
        <w:jc w:val="both"/>
        <w:rPr>
          <w:rFonts w:ascii="Arial" w:hAnsi="Arial" w:cs="Arial"/>
          <w:color w:val="auto"/>
          <w:sz w:val="20"/>
          <w:szCs w:val="20"/>
        </w:rPr>
      </w:pPr>
      <w:r w:rsidRPr="00A17E01">
        <w:rPr>
          <w:rFonts w:ascii="Arial" w:hAnsi="Arial" w:cs="Arial"/>
          <w:color w:val="auto"/>
          <w:sz w:val="20"/>
          <w:szCs w:val="20"/>
        </w:rPr>
        <w:t>Discussion</w:t>
      </w:r>
    </w:p>
    <w:p w:rsidR="008322DA" w:rsidRPr="00A17E01" w:rsidRDefault="008322DA" w:rsidP="00713171">
      <w:pPr>
        <w:pStyle w:val="NormalWeb"/>
        <w:spacing w:line="360" w:lineRule="auto"/>
        <w:jc w:val="both"/>
        <w:rPr>
          <w:rFonts w:ascii="Arial" w:hAnsi="Arial" w:cs="Arial"/>
          <w:sz w:val="20"/>
          <w:szCs w:val="20"/>
        </w:rPr>
      </w:pPr>
      <w:r w:rsidRPr="00A17E01">
        <w:rPr>
          <w:rFonts w:ascii="Arial" w:hAnsi="Arial" w:cs="Arial"/>
          <w:sz w:val="20"/>
          <w:szCs w:val="20"/>
        </w:rPr>
        <w:t xml:space="preserve">The findings of the study reveal that </w:t>
      </w:r>
      <w:r w:rsidRPr="00A17E01">
        <w:rPr>
          <w:rStyle w:val="Strong"/>
          <w:rFonts w:ascii="Arial" w:hAnsi="Arial" w:cs="Arial"/>
          <w:b w:val="0"/>
          <w:sz w:val="20"/>
          <w:szCs w:val="20"/>
        </w:rPr>
        <w:t>teachers’ perceptions of academic achievement in autonomous colleges are strongly shaped by gender</w:t>
      </w:r>
      <w:r w:rsidRPr="00A17E01">
        <w:rPr>
          <w:rFonts w:ascii="Arial" w:hAnsi="Arial" w:cs="Arial"/>
          <w:b/>
          <w:sz w:val="20"/>
          <w:szCs w:val="20"/>
        </w:rPr>
        <w:t>,</w:t>
      </w:r>
      <w:r w:rsidRPr="00A17E01">
        <w:rPr>
          <w:rFonts w:ascii="Arial" w:hAnsi="Arial" w:cs="Arial"/>
          <w:sz w:val="20"/>
          <w:szCs w:val="20"/>
        </w:rPr>
        <w:t xml:space="preserve"> while rural–urban differences alone exert a comparatively weaker influence. Male teachers reported significantly more favourable perceptions of academic achievement than female teachers at the overall level, as well as within both rural and urban contexts. This pattern suggests that academic achievement, as understood and enacted within autonomous colleges, is experienced in gendered ways. Male teachers’ higher perception scores may reflect greater engagement with assessment practices, academic monitoring, or institutional decision-making related to student performance. The consistency of these gender differences across contexts indicates </w:t>
      </w:r>
      <w:r w:rsidRPr="00A17E01">
        <w:rPr>
          <w:rFonts w:ascii="Arial" w:hAnsi="Arial" w:cs="Arial"/>
          <w:sz w:val="20"/>
          <w:szCs w:val="20"/>
        </w:rPr>
        <w:lastRenderedPageBreak/>
        <w:t>that autonomy does not automatically neutralise differential professional experiences within academic institutions.</w:t>
      </w:r>
    </w:p>
    <w:p w:rsidR="008322DA" w:rsidRPr="00A17E01" w:rsidRDefault="008322DA" w:rsidP="00392C0B">
      <w:pPr>
        <w:pStyle w:val="NormalWeb"/>
        <w:spacing w:line="360" w:lineRule="auto"/>
        <w:jc w:val="both"/>
        <w:rPr>
          <w:rFonts w:ascii="Arial" w:hAnsi="Arial" w:cs="Arial"/>
          <w:sz w:val="20"/>
          <w:szCs w:val="20"/>
        </w:rPr>
      </w:pPr>
      <w:r w:rsidRPr="00A17E01">
        <w:rPr>
          <w:rFonts w:ascii="Arial" w:hAnsi="Arial" w:cs="Arial"/>
          <w:sz w:val="20"/>
          <w:szCs w:val="20"/>
        </w:rPr>
        <w:t xml:space="preserve">At the same time, the largely non-significant differences observed in several rural–urban comparisons—particularly among male teachers and among female teachers—point towards a degree of </w:t>
      </w:r>
      <w:r w:rsidRPr="00A17E01">
        <w:rPr>
          <w:rStyle w:val="Strong"/>
          <w:rFonts w:ascii="Arial" w:hAnsi="Arial" w:cs="Arial"/>
          <w:b w:val="0"/>
          <w:sz w:val="20"/>
          <w:szCs w:val="20"/>
        </w:rPr>
        <w:t>contextual stability in perceptions of academic achievement</w:t>
      </w:r>
      <w:r w:rsidRPr="00A17E01">
        <w:rPr>
          <w:rFonts w:ascii="Arial" w:hAnsi="Arial" w:cs="Arial"/>
          <w:sz w:val="20"/>
          <w:szCs w:val="20"/>
        </w:rPr>
        <w:t xml:space="preserve">. This suggests that institutional mechanisms related to teaching–learning processes, evaluation systems, and academic standards may function similarly across rural and urban autonomous colleges. However, significant differences in selected cross-gender and cross-locale comparisons indicate that academic achievement is shaped by the </w:t>
      </w:r>
      <w:r w:rsidRPr="00A17E01">
        <w:rPr>
          <w:rStyle w:val="Strong"/>
          <w:rFonts w:ascii="Arial" w:hAnsi="Arial" w:cs="Arial"/>
          <w:b w:val="0"/>
          <w:sz w:val="20"/>
          <w:szCs w:val="20"/>
        </w:rPr>
        <w:t>interaction of gender and institutional context rather than by location alone</w:t>
      </w:r>
      <w:r w:rsidRPr="00A17E01">
        <w:rPr>
          <w:rFonts w:ascii="Arial" w:hAnsi="Arial" w:cs="Arial"/>
          <w:sz w:val="20"/>
          <w:szCs w:val="20"/>
        </w:rPr>
        <w:t>. These findings highlight the need to view academic achievement not merely as a student outcome but as an organisational and pedagogical construct influenced by teachers’ roles, expectations, and institutional positioning within autonomous higher education.</w:t>
      </w:r>
    </w:p>
    <w:p w:rsidR="008322DA" w:rsidRPr="00A17E01" w:rsidRDefault="008322DA" w:rsidP="00713171">
      <w:pPr>
        <w:pStyle w:val="Heading2"/>
        <w:numPr>
          <w:ilvl w:val="0"/>
          <w:numId w:val="34"/>
        </w:numPr>
        <w:spacing w:line="360" w:lineRule="auto"/>
        <w:jc w:val="both"/>
        <w:rPr>
          <w:rFonts w:ascii="Arial" w:hAnsi="Arial" w:cs="Arial"/>
          <w:color w:val="auto"/>
          <w:sz w:val="20"/>
          <w:szCs w:val="20"/>
        </w:rPr>
      </w:pPr>
      <w:r w:rsidRPr="00A17E01">
        <w:rPr>
          <w:rFonts w:ascii="Arial" w:hAnsi="Arial" w:cs="Arial"/>
          <w:color w:val="auto"/>
          <w:sz w:val="20"/>
          <w:szCs w:val="20"/>
        </w:rPr>
        <w:t>Educational Implications</w:t>
      </w:r>
    </w:p>
    <w:p w:rsidR="008322DA" w:rsidRPr="00A17E01" w:rsidRDefault="008322DA" w:rsidP="00392C0B">
      <w:pPr>
        <w:pStyle w:val="NormalWeb"/>
        <w:spacing w:line="360" w:lineRule="auto"/>
        <w:jc w:val="both"/>
        <w:rPr>
          <w:rFonts w:ascii="Arial" w:hAnsi="Arial" w:cs="Arial"/>
          <w:sz w:val="20"/>
          <w:szCs w:val="20"/>
        </w:rPr>
      </w:pPr>
      <w:r w:rsidRPr="00A17E01">
        <w:rPr>
          <w:rFonts w:ascii="Arial" w:hAnsi="Arial" w:cs="Arial"/>
          <w:sz w:val="20"/>
          <w:szCs w:val="20"/>
        </w:rPr>
        <w:t xml:space="preserve">The findings of the study indicate that enhancing academic achievement in autonomous colleges requires greater attention to </w:t>
      </w:r>
      <w:r w:rsidRPr="00A17E01">
        <w:rPr>
          <w:rStyle w:val="Strong"/>
          <w:rFonts w:ascii="Arial" w:hAnsi="Arial" w:cs="Arial"/>
          <w:b w:val="0"/>
          <w:sz w:val="20"/>
          <w:szCs w:val="20"/>
        </w:rPr>
        <w:t>teachers’ perceptions and professional engagement</w:t>
      </w:r>
      <w:r w:rsidRPr="00A17E01">
        <w:rPr>
          <w:rFonts w:ascii="Arial" w:hAnsi="Arial" w:cs="Arial"/>
          <w:b/>
          <w:sz w:val="20"/>
          <w:szCs w:val="20"/>
        </w:rPr>
        <w:t xml:space="preserve">, </w:t>
      </w:r>
      <w:r w:rsidRPr="00A17E01">
        <w:rPr>
          <w:rFonts w:ascii="Arial" w:hAnsi="Arial" w:cs="Arial"/>
          <w:sz w:val="20"/>
          <w:szCs w:val="20"/>
        </w:rPr>
        <w:t xml:space="preserve">particularly across gender. Since male teachers reported more favourable perceptions of academic achievement than female teachers, institutional leaders should adopt </w:t>
      </w:r>
      <w:r w:rsidRPr="00A17E01">
        <w:rPr>
          <w:rStyle w:val="Strong"/>
          <w:rFonts w:ascii="Arial" w:hAnsi="Arial" w:cs="Arial"/>
          <w:b w:val="0"/>
          <w:sz w:val="20"/>
          <w:szCs w:val="20"/>
        </w:rPr>
        <w:t xml:space="preserve">inclusive academic governance </w:t>
      </w:r>
      <w:proofErr w:type="spellStart"/>
      <w:r w:rsidRPr="00A17E01">
        <w:rPr>
          <w:rStyle w:val="Strong"/>
          <w:rFonts w:ascii="Arial" w:hAnsi="Arial" w:cs="Arial"/>
          <w:b w:val="0"/>
          <w:sz w:val="20"/>
          <w:szCs w:val="20"/>
        </w:rPr>
        <w:t>practices</w:t>
      </w:r>
      <w:r w:rsidRPr="00A17E01">
        <w:rPr>
          <w:rFonts w:ascii="Arial" w:hAnsi="Arial" w:cs="Arial"/>
          <w:sz w:val="20"/>
          <w:szCs w:val="20"/>
        </w:rPr>
        <w:t>that</w:t>
      </w:r>
      <w:proofErr w:type="spellEnd"/>
      <w:r w:rsidRPr="00A17E01">
        <w:rPr>
          <w:rFonts w:ascii="Arial" w:hAnsi="Arial" w:cs="Arial"/>
          <w:sz w:val="20"/>
          <w:szCs w:val="20"/>
        </w:rPr>
        <w:t xml:space="preserve"> ensure equitable participation of all teachers in assessment planning, academic monitoring, and decision-making processes. Structured opportunities for professional collaboration, mentoring, and shared responsibility for student achievement can help strengthen collective academic accountability.</w:t>
      </w:r>
    </w:p>
    <w:p w:rsidR="008322DA" w:rsidRPr="00A17E01" w:rsidRDefault="008322DA" w:rsidP="00392C0B">
      <w:pPr>
        <w:pStyle w:val="NormalWeb"/>
        <w:spacing w:line="360" w:lineRule="auto"/>
        <w:jc w:val="both"/>
        <w:rPr>
          <w:rFonts w:ascii="Arial" w:hAnsi="Arial" w:cs="Arial"/>
          <w:sz w:val="20"/>
          <w:szCs w:val="20"/>
        </w:rPr>
      </w:pPr>
      <w:r w:rsidRPr="00A17E01">
        <w:rPr>
          <w:rFonts w:ascii="Arial" w:hAnsi="Arial" w:cs="Arial"/>
          <w:sz w:val="20"/>
          <w:szCs w:val="20"/>
        </w:rPr>
        <w:t xml:space="preserve">The relative consistency of perceptions across rural and urban contexts suggests that </w:t>
      </w:r>
      <w:r w:rsidRPr="00A17E01">
        <w:rPr>
          <w:rStyle w:val="Strong"/>
          <w:rFonts w:ascii="Arial" w:hAnsi="Arial" w:cs="Arial"/>
          <w:b w:val="0"/>
          <w:sz w:val="20"/>
          <w:szCs w:val="20"/>
        </w:rPr>
        <w:t xml:space="preserve">institutional policies and leadership practices play a more decisive role than </w:t>
      </w:r>
      <w:proofErr w:type="spellStart"/>
      <w:r w:rsidRPr="00A17E01">
        <w:rPr>
          <w:rStyle w:val="Strong"/>
          <w:rFonts w:ascii="Arial" w:hAnsi="Arial" w:cs="Arial"/>
          <w:b w:val="0"/>
          <w:sz w:val="20"/>
          <w:szCs w:val="20"/>
        </w:rPr>
        <w:t>location</w:t>
      </w:r>
      <w:r w:rsidRPr="00A17E01">
        <w:rPr>
          <w:rFonts w:ascii="Arial" w:hAnsi="Arial" w:cs="Arial"/>
          <w:sz w:val="20"/>
          <w:szCs w:val="20"/>
        </w:rPr>
        <w:t>in</w:t>
      </w:r>
      <w:proofErr w:type="spellEnd"/>
      <w:r w:rsidRPr="00A17E01">
        <w:rPr>
          <w:rFonts w:ascii="Arial" w:hAnsi="Arial" w:cs="Arial"/>
          <w:sz w:val="20"/>
          <w:szCs w:val="20"/>
        </w:rPr>
        <w:t xml:space="preserve"> shaping academic achievement. Autonomous colleges should therefore focus on strengthening internal academic systems such as formative assessment, feedback mechanisms, and transparent evaluation practices. For policymakers and quality assurance agencies, the findings underscore the importance of incorporating teachers’ perceptions of academic achievement into institutional evaluation frameworks. Recognising academic achievement as a shared institutional responsibility can support sustained quality improvement and effective utilisation of autonomy in higher education.</w:t>
      </w:r>
    </w:p>
    <w:p w:rsidR="008322DA" w:rsidRPr="00A17E01" w:rsidRDefault="008322DA" w:rsidP="00713171">
      <w:pPr>
        <w:pStyle w:val="Heading2"/>
        <w:numPr>
          <w:ilvl w:val="0"/>
          <w:numId w:val="34"/>
        </w:numPr>
        <w:spacing w:line="360" w:lineRule="auto"/>
        <w:jc w:val="both"/>
        <w:rPr>
          <w:rFonts w:ascii="Arial" w:hAnsi="Arial" w:cs="Arial"/>
          <w:color w:val="auto"/>
          <w:sz w:val="20"/>
          <w:szCs w:val="20"/>
        </w:rPr>
      </w:pPr>
      <w:r w:rsidRPr="00A17E01">
        <w:rPr>
          <w:rFonts w:ascii="Arial" w:hAnsi="Arial" w:cs="Arial"/>
          <w:color w:val="auto"/>
          <w:sz w:val="20"/>
          <w:szCs w:val="20"/>
        </w:rPr>
        <w:lastRenderedPageBreak/>
        <w:t>Conclusion</w:t>
      </w:r>
    </w:p>
    <w:p w:rsidR="008322DA" w:rsidRPr="00A17E01" w:rsidRDefault="008322DA" w:rsidP="00392C0B">
      <w:pPr>
        <w:pStyle w:val="NormalWeb"/>
        <w:spacing w:line="360" w:lineRule="auto"/>
        <w:jc w:val="both"/>
        <w:rPr>
          <w:rFonts w:ascii="Arial" w:hAnsi="Arial" w:cs="Arial"/>
          <w:sz w:val="20"/>
          <w:szCs w:val="20"/>
        </w:rPr>
      </w:pPr>
      <w:r w:rsidRPr="00A17E01">
        <w:rPr>
          <w:rFonts w:ascii="Arial" w:hAnsi="Arial" w:cs="Arial"/>
          <w:sz w:val="20"/>
          <w:szCs w:val="20"/>
        </w:rPr>
        <w:t xml:space="preserve">The present study examined teachers’ perceptions of academic achievement in autonomous colleges with reference to gender and rural–urban context. The findings demonstrate that </w:t>
      </w:r>
      <w:r w:rsidRPr="00A17E01">
        <w:rPr>
          <w:rStyle w:val="Strong"/>
          <w:rFonts w:ascii="Arial" w:hAnsi="Arial" w:cs="Arial"/>
          <w:b w:val="0"/>
          <w:sz w:val="20"/>
          <w:szCs w:val="20"/>
        </w:rPr>
        <w:t>gender emerges as a more influential factor than institutional location</w:t>
      </w:r>
      <w:r w:rsidRPr="00A17E01">
        <w:rPr>
          <w:rFonts w:ascii="Arial" w:hAnsi="Arial" w:cs="Arial"/>
          <w:sz w:val="20"/>
          <w:szCs w:val="20"/>
        </w:rPr>
        <w:t xml:space="preserve"> in shaping teachers’ perceptions of academic achievement. Male teachers consistently reported more favourable perceptions than female teachers across contexts, while rural–urban differences alone were comparatively limited. These results indicate that academic achievement within autonomous colleges is perceived through differentiated professional experiences rather than as a uniform institutional phenomenon.</w:t>
      </w:r>
    </w:p>
    <w:p w:rsidR="008322DA" w:rsidRPr="00A17E01" w:rsidRDefault="008322DA" w:rsidP="00392C0B">
      <w:pPr>
        <w:pStyle w:val="NormalWeb"/>
        <w:spacing w:line="360" w:lineRule="auto"/>
        <w:jc w:val="both"/>
        <w:rPr>
          <w:rFonts w:ascii="Arial" w:hAnsi="Arial" w:cs="Arial"/>
          <w:sz w:val="20"/>
          <w:szCs w:val="20"/>
        </w:rPr>
      </w:pPr>
      <w:r w:rsidRPr="00A17E01">
        <w:rPr>
          <w:rFonts w:ascii="Arial" w:hAnsi="Arial" w:cs="Arial"/>
          <w:sz w:val="20"/>
          <w:szCs w:val="20"/>
        </w:rPr>
        <w:t xml:space="preserve">The study underscores that </w:t>
      </w:r>
      <w:r w:rsidRPr="00A17E01">
        <w:rPr>
          <w:rStyle w:val="Strong"/>
          <w:rFonts w:ascii="Arial" w:hAnsi="Arial" w:cs="Arial"/>
          <w:b w:val="0"/>
          <w:sz w:val="20"/>
          <w:szCs w:val="20"/>
        </w:rPr>
        <w:t>institutional autonomy alone is insufficient</w:t>
      </w:r>
      <w:r w:rsidRPr="00A17E01">
        <w:rPr>
          <w:rFonts w:ascii="Arial" w:hAnsi="Arial" w:cs="Arial"/>
          <w:sz w:val="20"/>
          <w:szCs w:val="20"/>
        </w:rPr>
        <w:t xml:space="preserve"> to ensure enhanced academic achievement. While autonomy provides structural flexibility in curriculum design and assessment practices, its effectiveness depends on inclusive academic cultures and equitable professional participation. By foregrounding teachers’ perspectives, the study contributes to a deeper understanding of academic achievement as an organisational and pedagogical construct. Addressing gendered differences in academic engagement is therefore essential for translating autonomy into sustained academic quality and institutional effectiveness in higher education.</w:t>
      </w:r>
    </w:p>
    <w:p w:rsidR="00B73C77" w:rsidRPr="00A17E01" w:rsidRDefault="00B73C77" w:rsidP="00392C0B">
      <w:pPr>
        <w:pStyle w:val="NormalWeb"/>
        <w:spacing w:line="360" w:lineRule="auto"/>
        <w:jc w:val="both"/>
        <w:rPr>
          <w:rFonts w:ascii="Arial" w:hAnsi="Arial" w:cs="Arial"/>
          <w:sz w:val="20"/>
          <w:szCs w:val="20"/>
        </w:rPr>
      </w:pPr>
    </w:p>
    <w:p w:rsidR="00B73C77" w:rsidRPr="00A17E01" w:rsidRDefault="00B73C77" w:rsidP="00B73C77">
      <w:pPr>
        <w:pStyle w:val="NormalWeb"/>
        <w:spacing w:line="360" w:lineRule="auto"/>
        <w:jc w:val="both"/>
        <w:rPr>
          <w:rFonts w:ascii="Arial" w:hAnsi="Arial" w:cs="Arial"/>
          <w:sz w:val="20"/>
          <w:szCs w:val="20"/>
        </w:rPr>
      </w:pPr>
      <w:r w:rsidRPr="00A17E01">
        <w:rPr>
          <w:rFonts w:ascii="Arial" w:hAnsi="Arial" w:cs="Arial"/>
          <w:sz w:val="20"/>
          <w:szCs w:val="20"/>
        </w:rPr>
        <w:t>COMPETING INTERESTS DISCLAIMER:</w:t>
      </w:r>
    </w:p>
    <w:p w:rsidR="00B73C77" w:rsidRPr="00A17E01" w:rsidRDefault="00B73C77" w:rsidP="00B73C77">
      <w:pPr>
        <w:pStyle w:val="NormalWeb"/>
        <w:spacing w:line="360" w:lineRule="auto"/>
        <w:jc w:val="both"/>
        <w:rPr>
          <w:rFonts w:ascii="Arial" w:hAnsi="Arial" w:cs="Arial"/>
          <w:sz w:val="20"/>
          <w:szCs w:val="20"/>
        </w:rPr>
      </w:pPr>
      <w:r w:rsidRPr="00A17E01">
        <w:rPr>
          <w:rFonts w:ascii="Arial" w:hAnsi="Arial" w:cs="Arial"/>
          <w:sz w:val="20"/>
          <w:szCs w:val="20"/>
        </w:rPr>
        <w:t>Authors have declared that they have no known competing financial interests OR non-financial interests OR personal relationships that could have appeared to influence the work reported in this paper.</w:t>
      </w:r>
    </w:p>
    <w:p w:rsidR="00CC6238" w:rsidRPr="00A17E01" w:rsidRDefault="00CC6238" w:rsidP="00B73C77">
      <w:pPr>
        <w:pStyle w:val="NormalWeb"/>
        <w:spacing w:line="360" w:lineRule="auto"/>
        <w:jc w:val="both"/>
        <w:rPr>
          <w:rFonts w:ascii="Arial" w:hAnsi="Arial" w:cs="Arial"/>
          <w:sz w:val="20"/>
          <w:szCs w:val="20"/>
        </w:rPr>
      </w:pPr>
    </w:p>
    <w:p w:rsidR="00CC6238" w:rsidRPr="00AB60F9" w:rsidRDefault="00CC6238" w:rsidP="001D734E">
      <w:pPr>
        <w:keepNext/>
        <w:keepLines/>
        <w:spacing w:before="120" w:after="120" w:line="360" w:lineRule="auto"/>
        <w:jc w:val="both"/>
        <w:outlineLvl w:val="1"/>
        <w:rPr>
          <w:rFonts w:ascii="Arial" w:hAnsi="Arial" w:cs="Arial"/>
          <w:b/>
          <w:bCs/>
          <w:lang w:val="en-GB" w:eastAsia="en-IN"/>
        </w:rPr>
      </w:pPr>
      <w:bookmarkStart w:id="0" w:name="_Hlk218867759"/>
      <w:bookmarkStart w:id="1" w:name="_GoBack"/>
      <w:r w:rsidRPr="00AB60F9">
        <w:rPr>
          <w:rFonts w:ascii="Arial" w:hAnsi="Arial" w:cs="Arial"/>
          <w:b/>
          <w:bCs/>
          <w:lang w:val="en-GB" w:eastAsia="en-IN"/>
        </w:rPr>
        <w:t>Disclaimer (Artificial intelligence)</w:t>
      </w:r>
    </w:p>
    <w:bookmarkEnd w:id="1"/>
    <w:p w:rsidR="00CC6238" w:rsidRPr="001D734E" w:rsidRDefault="00CC6238" w:rsidP="001D734E">
      <w:pPr>
        <w:keepNext/>
        <w:keepLines/>
        <w:spacing w:before="120" w:after="120" w:line="360" w:lineRule="auto"/>
        <w:jc w:val="both"/>
        <w:outlineLvl w:val="1"/>
        <w:rPr>
          <w:rFonts w:ascii="Arial" w:hAnsi="Arial" w:cs="Arial"/>
          <w:bCs/>
          <w:lang w:val="en-GB" w:eastAsia="en-IN"/>
        </w:rPr>
      </w:pPr>
      <w:r w:rsidRPr="001D734E">
        <w:rPr>
          <w:rFonts w:ascii="Arial" w:hAnsi="Arial" w:cs="Arial"/>
          <w:bCs/>
          <w:lang w:val="en-GB" w:eastAsia="en-IN"/>
        </w:rPr>
        <w:t>Author(s) hereby declare that NO generative AI technologies such as Large Language Models (</w:t>
      </w:r>
      <w:proofErr w:type="spellStart"/>
      <w:r w:rsidRPr="001D734E">
        <w:rPr>
          <w:rFonts w:ascii="Arial" w:hAnsi="Arial" w:cs="Arial"/>
          <w:bCs/>
          <w:lang w:val="en-GB" w:eastAsia="en-IN"/>
        </w:rPr>
        <w:t>ChatGPT</w:t>
      </w:r>
      <w:proofErr w:type="spellEnd"/>
      <w:r w:rsidRPr="001D734E">
        <w:rPr>
          <w:rFonts w:ascii="Arial" w:hAnsi="Arial" w:cs="Arial"/>
          <w:bCs/>
          <w:lang w:val="en-GB" w:eastAsia="en-IN"/>
        </w:rPr>
        <w:t>, COPILOT, etc.) and text-to-image generators have been used during the writing or editing of this manuscript.</w:t>
      </w:r>
    </w:p>
    <w:bookmarkEnd w:id="0"/>
    <w:p w:rsidR="00CC6238" w:rsidRPr="001D734E" w:rsidRDefault="00CC6238" w:rsidP="001D734E">
      <w:pPr>
        <w:pStyle w:val="NormalWeb"/>
        <w:spacing w:line="360" w:lineRule="auto"/>
        <w:jc w:val="both"/>
        <w:rPr>
          <w:rFonts w:ascii="Arial" w:hAnsi="Arial" w:cs="Arial"/>
          <w:sz w:val="20"/>
          <w:szCs w:val="20"/>
        </w:rPr>
      </w:pPr>
    </w:p>
    <w:p w:rsidR="00605A23" w:rsidRPr="001D734E" w:rsidRDefault="00795B33" w:rsidP="001D734E">
      <w:pPr>
        <w:pStyle w:val="Appendix"/>
        <w:numPr>
          <w:ilvl w:val="0"/>
          <w:numId w:val="34"/>
        </w:numPr>
        <w:spacing w:after="0" w:line="360" w:lineRule="auto"/>
        <w:ind w:hanging="720"/>
        <w:jc w:val="both"/>
        <w:rPr>
          <w:rFonts w:ascii="Arial" w:hAnsi="Arial" w:cs="Arial"/>
          <w:sz w:val="20"/>
        </w:rPr>
      </w:pPr>
      <w:r w:rsidRPr="001D734E">
        <w:rPr>
          <w:rFonts w:ascii="Arial" w:hAnsi="Arial" w:cs="Arial"/>
          <w:caps w:val="0"/>
          <w:sz w:val="20"/>
        </w:rPr>
        <w:lastRenderedPageBreak/>
        <w:t>References</w:t>
      </w:r>
    </w:p>
    <w:p w:rsidR="001D734E" w:rsidRPr="001D734E" w:rsidRDefault="001D734E" w:rsidP="001D734E">
      <w:pPr>
        <w:pStyle w:val="Appendix"/>
        <w:spacing w:after="0" w:line="360" w:lineRule="auto"/>
        <w:jc w:val="both"/>
        <w:rPr>
          <w:rFonts w:ascii="Arial" w:hAnsi="Arial" w:cs="Arial"/>
          <w:b w:val="0"/>
          <w:sz w:val="20"/>
        </w:rPr>
      </w:pP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Almanasreh</w:t>
      </w:r>
      <w:proofErr w:type="spellEnd"/>
      <w:r w:rsidRPr="005423D1">
        <w:rPr>
          <w:rFonts w:ascii="Arial" w:hAnsi="Arial" w:cs="Arial"/>
          <w:sz w:val="20"/>
          <w:szCs w:val="20"/>
          <w:lang w:val="en-IN" w:eastAsia="en-IN"/>
        </w:rPr>
        <w:t xml:space="preserve">, E., Moles, R., &amp; Chen, T. F. (2019). Evaluation of methods used for estimating content validity. </w:t>
      </w:r>
      <w:r w:rsidRPr="005423D1">
        <w:rPr>
          <w:rFonts w:ascii="Arial" w:hAnsi="Arial" w:cs="Arial"/>
          <w:i/>
          <w:iCs/>
          <w:sz w:val="20"/>
          <w:szCs w:val="20"/>
          <w:lang w:val="en-IN" w:eastAsia="en-IN"/>
        </w:rPr>
        <w:t>Research in social and administrative pharmacy</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15</w:t>
      </w:r>
      <w:r w:rsidRPr="005423D1">
        <w:rPr>
          <w:rFonts w:ascii="Arial" w:hAnsi="Arial" w:cs="Arial"/>
          <w:sz w:val="20"/>
          <w:szCs w:val="20"/>
          <w:lang w:val="en-IN" w:eastAsia="en-IN"/>
        </w:rPr>
        <w:t>(2), 214-221.</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Alvidrez</w:t>
      </w:r>
      <w:proofErr w:type="spellEnd"/>
      <w:r w:rsidRPr="005423D1">
        <w:rPr>
          <w:rFonts w:ascii="Arial" w:hAnsi="Arial" w:cs="Arial"/>
          <w:sz w:val="20"/>
          <w:szCs w:val="20"/>
          <w:lang w:val="en-IN" w:eastAsia="en-IN"/>
        </w:rPr>
        <w:t xml:space="preserve">, J., &amp; Weinstein, R. S. (1999). Early teacher perceptions and later student academic achievement. </w:t>
      </w:r>
      <w:r w:rsidRPr="005423D1">
        <w:rPr>
          <w:rFonts w:ascii="Arial" w:hAnsi="Arial" w:cs="Arial"/>
          <w:i/>
          <w:iCs/>
          <w:sz w:val="20"/>
          <w:szCs w:val="20"/>
          <w:lang w:val="en-IN" w:eastAsia="en-IN"/>
        </w:rPr>
        <w:t>Journal of educational psychology</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91</w:t>
      </w:r>
      <w:r w:rsidRPr="005423D1">
        <w:rPr>
          <w:rFonts w:ascii="Arial" w:hAnsi="Arial" w:cs="Arial"/>
          <w:sz w:val="20"/>
          <w:szCs w:val="20"/>
          <w:lang w:val="en-IN" w:eastAsia="en-IN"/>
        </w:rPr>
        <w:t>(4), 731.</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Ayuk</w:t>
      </w:r>
      <w:proofErr w:type="spellEnd"/>
      <w:r w:rsidRPr="005423D1">
        <w:rPr>
          <w:rFonts w:ascii="Arial" w:hAnsi="Arial" w:cs="Arial"/>
          <w:sz w:val="20"/>
          <w:szCs w:val="20"/>
          <w:lang w:val="en-IN" w:eastAsia="en-IN"/>
        </w:rPr>
        <w:t xml:space="preserve">, P. T., &amp; Jacobs, G. J. (2018). Developing a measure for student perspectives on institutional effectiveness in higher education. </w:t>
      </w:r>
      <w:r w:rsidRPr="005423D1">
        <w:rPr>
          <w:rFonts w:ascii="Arial" w:hAnsi="Arial" w:cs="Arial"/>
          <w:i/>
          <w:iCs/>
          <w:sz w:val="20"/>
          <w:szCs w:val="20"/>
          <w:lang w:val="en-IN" w:eastAsia="en-IN"/>
        </w:rPr>
        <w:t>SA Journal of Industrial Psychology</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44</w:t>
      </w:r>
      <w:r w:rsidRPr="005423D1">
        <w:rPr>
          <w:rFonts w:ascii="Arial" w:hAnsi="Arial" w:cs="Arial"/>
          <w:sz w:val="20"/>
          <w:szCs w:val="20"/>
          <w:lang w:val="en-IN" w:eastAsia="en-IN"/>
        </w:rPr>
        <w:t>(1), 1-12.</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rPr>
        <w:t>Bania</w:t>
      </w:r>
      <w:proofErr w:type="spellEnd"/>
      <w:r w:rsidRPr="005423D1">
        <w:rPr>
          <w:rFonts w:ascii="Arial" w:hAnsi="Arial" w:cs="Arial"/>
          <w:sz w:val="20"/>
          <w:szCs w:val="20"/>
        </w:rPr>
        <w:t xml:space="preserve">, S. &amp; Sarangi, H. (2020). Effect of </w:t>
      </w:r>
      <w:proofErr w:type="spellStart"/>
      <w:r w:rsidRPr="005423D1">
        <w:rPr>
          <w:rFonts w:ascii="Arial" w:hAnsi="Arial" w:cs="Arial"/>
          <w:sz w:val="20"/>
          <w:szCs w:val="20"/>
        </w:rPr>
        <w:t>privatisation</w:t>
      </w:r>
      <w:proofErr w:type="spellEnd"/>
      <w:r w:rsidRPr="005423D1">
        <w:rPr>
          <w:rFonts w:ascii="Arial" w:hAnsi="Arial" w:cs="Arial"/>
          <w:sz w:val="20"/>
          <w:szCs w:val="20"/>
        </w:rPr>
        <w:t xml:space="preserve"> and college autonomy on quality in higher</w:t>
      </w:r>
      <w:r w:rsidR="00114C51">
        <w:rPr>
          <w:rFonts w:ascii="Arial" w:hAnsi="Arial" w:cs="Arial"/>
          <w:sz w:val="20"/>
          <w:szCs w:val="20"/>
        </w:rPr>
        <w:t xml:space="preserve"> </w:t>
      </w:r>
      <w:r w:rsidRPr="005423D1">
        <w:rPr>
          <w:rFonts w:ascii="Arial" w:hAnsi="Arial" w:cs="Arial"/>
          <w:sz w:val="20"/>
          <w:szCs w:val="20"/>
        </w:rPr>
        <w:t>education: as perceived by teachers. SHODH SANCHAR BULLETIN, 10(40), 58-64.</w:t>
      </w:r>
      <w:r w:rsidRPr="005423D1">
        <w:rPr>
          <w:sz w:val="20"/>
          <w:szCs w:val="20"/>
        </w:rPr>
        <w:t xml:space="preserve"> </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Bania</w:t>
      </w:r>
      <w:proofErr w:type="spellEnd"/>
      <w:r w:rsidRPr="005423D1">
        <w:rPr>
          <w:rFonts w:ascii="Arial" w:hAnsi="Arial" w:cs="Arial"/>
          <w:sz w:val="20"/>
          <w:szCs w:val="20"/>
          <w:lang w:val="en-IN" w:eastAsia="en-IN"/>
        </w:rPr>
        <w:t xml:space="preserve">, S., Barik, P. K., Mahapatra, D., </w:t>
      </w:r>
      <w:proofErr w:type="spellStart"/>
      <w:r w:rsidRPr="005423D1">
        <w:rPr>
          <w:rFonts w:ascii="Arial" w:hAnsi="Arial" w:cs="Arial"/>
          <w:sz w:val="20"/>
          <w:szCs w:val="20"/>
          <w:lang w:val="en-IN" w:eastAsia="en-IN"/>
        </w:rPr>
        <w:t>Meher</w:t>
      </w:r>
      <w:proofErr w:type="spellEnd"/>
      <w:r w:rsidRPr="005423D1">
        <w:rPr>
          <w:rFonts w:ascii="Arial" w:hAnsi="Arial" w:cs="Arial"/>
          <w:sz w:val="20"/>
          <w:szCs w:val="20"/>
          <w:lang w:val="en-IN" w:eastAsia="en-IN"/>
        </w:rPr>
        <w:t xml:space="preserve">, B., &amp; </w:t>
      </w:r>
      <w:proofErr w:type="spellStart"/>
      <w:r w:rsidRPr="005423D1">
        <w:rPr>
          <w:rFonts w:ascii="Arial" w:hAnsi="Arial" w:cs="Arial"/>
          <w:sz w:val="20"/>
          <w:szCs w:val="20"/>
          <w:lang w:val="en-IN" w:eastAsia="en-IN"/>
        </w:rPr>
        <w:t>Mahakur</w:t>
      </w:r>
      <w:proofErr w:type="spellEnd"/>
      <w:r w:rsidRPr="005423D1">
        <w:rPr>
          <w:rFonts w:ascii="Arial" w:hAnsi="Arial" w:cs="Arial"/>
          <w:sz w:val="20"/>
          <w:szCs w:val="20"/>
          <w:lang w:val="en-IN" w:eastAsia="en-IN"/>
        </w:rPr>
        <w:t xml:space="preserve">, B. K. (2021). Effect of Privatisation and College Autonomy on Quality in Higher Education: Parents' Perception relating to their Satisfaction. </w:t>
      </w:r>
      <w:r w:rsidRPr="005423D1">
        <w:rPr>
          <w:rFonts w:ascii="Arial" w:hAnsi="Arial" w:cs="Arial"/>
          <w:i/>
          <w:iCs/>
          <w:sz w:val="20"/>
          <w:szCs w:val="20"/>
          <w:lang w:val="en-IN" w:eastAsia="en-IN"/>
        </w:rPr>
        <w:t>Turkish Journal of Computer and Mathematics Education</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12</w:t>
      </w:r>
      <w:r w:rsidRPr="005423D1">
        <w:rPr>
          <w:rFonts w:ascii="Arial" w:hAnsi="Arial" w:cs="Arial"/>
          <w:sz w:val="20"/>
          <w:szCs w:val="20"/>
          <w:lang w:val="en-IN" w:eastAsia="en-IN"/>
        </w:rPr>
        <w:t>(6), 3421-3430.</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rPr>
      </w:pPr>
      <w:proofErr w:type="spellStart"/>
      <w:r w:rsidRPr="005423D1">
        <w:rPr>
          <w:rFonts w:ascii="Arial" w:hAnsi="Arial" w:cs="Arial"/>
          <w:sz w:val="20"/>
          <w:szCs w:val="20"/>
        </w:rPr>
        <w:t>Bania</w:t>
      </w:r>
      <w:proofErr w:type="spellEnd"/>
      <w:r w:rsidRPr="005423D1">
        <w:rPr>
          <w:rFonts w:ascii="Arial" w:hAnsi="Arial" w:cs="Arial"/>
          <w:sz w:val="20"/>
          <w:szCs w:val="20"/>
        </w:rPr>
        <w:t xml:space="preserve">, S. (2021). National Education Policy-2020 &amp; Institutional Autonomy in Indian Higher Education System: Issues and Challenges in Implementation. </w:t>
      </w:r>
      <w:r w:rsidRPr="005423D1">
        <w:rPr>
          <w:rFonts w:ascii="Arial" w:hAnsi="Arial" w:cs="Arial"/>
          <w:i/>
          <w:iCs/>
          <w:sz w:val="20"/>
          <w:szCs w:val="20"/>
        </w:rPr>
        <w:t>East African Scholars Journal of Education, Humanities and Literature</w:t>
      </w:r>
      <w:r w:rsidRPr="005423D1">
        <w:rPr>
          <w:rFonts w:ascii="Arial" w:hAnsi="Arial" w:cs="Arial"/>
          <w:sz w:val="20"/>
          <w:szCs w:val="20"/>
        </w:rPr>
        <w:t xml:space="preserve">, </w:t>
      </w:r>
      <w:r w:rsidRPr="005423D1">
        <w:rPr>
          <w:rFonts w:ascii="Arial" w:hAnsi="Arial" w:cs="Arial"/>
          <w:i/>
          <w:iCs/>
          <w:sz w:val="20"/>
          <w:szCs w:val="20"/>
        </w:rPr>
        <w:t>4</w:t>
      </w:r>
      <w:r w:rsidRPr="005423D1">
        <w:rPr>
          <w:rFonts w:ascii="Arial" w:hAnsi="Arial" w:cs="Arial"/>
          <w:sz w:val="20"/>
          <w:szCs w:val="20"/>
        </w:rPr>
        <w:t>(6), 260-264.</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r w:rsidRPr="005423D1">
        <w:rPr>
          <w:rFonts w:ascii="Arial" w:hAnsi="Arial" w:cs="Arial"/>
          <w:sz w:val="20"/>
          <w:szCs w:val="20"/>
          <w:lang w:val="en-IN" w:eastAsia="en-IN"/>
        </w:rPr>
        <w:t xml:space="preserve">Behera, K., &amp; </w:t>
      </w:r>
      <w:proofErr w:type="spellStart"/>
      <w:r w:rsidRPr="005423D1">
        <w:rPr>
          <w:rFonts w:ascii="Arial" w:hAnsi="Arial" w:cs="Arial"/>
          <w:sz w:val="20"/>
          <w:szCs w:val="20"/>
          <w:lang w:val="en-IN" w:eastAsia="en-IN"/>
        </w:rPr>
        <w:t>Bania</w:t>
      </w:r>
      <w:proofErr w:type="spellEnd"/>
      <w:r w:rsidRPr="005423D1">
        <w:rPr>
          <w:rFonts w:ascii="Arial" w:hAnsi="Arial" w:cs="Arial"/>
          <w:sz w:val="20"/>
          <w:szCs w:val="20"/>
          <w:lang w:val="en-IN" w:eastAsia="en-IN"/>
        </w:rPr>
        <w:t xml:space="preserve">, S. (2025). Institutional Autonomy, Organizational Climate and the Pursuit of Creativity among Students of Higher Education. </w:t>
      </w:r>
      <w:r w:rsidRPr="005423D1">
        <w:rPr>
          <w:rFonts w:ascii="Arial" w:hAnsi="Arial" w:cs="Arial"/>
          <w:i/>
          <w:iCs/>
          <w:sz w:val="20"/>
          <w:szCs w:val="20"/>
          <w:lang w:val="en-IN" w:eastAsia="en-IN"/>
        </w:rPr>
        <w:t>Indian Journal of Adult Education</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86</w:t>
      </w:r>
      <w:r w:rsidRPr="005423D1">
        <w:rPr>
          <w:rFonts w:ascii="Arial" w:hAnsi="Arial" w:cs="Arial"/>
          <w:sz w:val="20"/>
          <w:szCs w:val="20"/>
          <w:lang w:val="en-IN" w:eastAsia="en-IN"/>
        </w:rPr>
        <w:t>(2), 3-16.</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r w:rsidRPr="005423D1">
        <w:rPr>
          <w:rFonts w:ascii="Arial" w:hAnsi="Arial" w:cs="Arial"/>
          <w:sz w:val="20"/>
          <w:szCs w:val="20"/>
          <w:lang w:val="en-IN" w:eastAsia="en-IN"/>
        </w:rPr>
        <w:t xml:space="preserve">Behera, K., </w:t>
      </w:r>
      <w:proofErr w:type="spellStart"/>
      <w:r w:rsidRPr="005423D1">
        <w:rPr>
          <w:rFonts w:ascii="Arial" w:hAnsi="Arial" w:cs="Arial"/>
          <w:sz w:val="20"/>
          <w:szCs w:val="20"/>
          <w:lang w:val="en-IN" w:eastAsia="en-IN"/>
        </w:rPr>
        <w:t>Bania</w:t>
      </w:r>
      <w:proofErr w:type="spellEnd"/>
      <w:r w:rsidRPr="005423D1">
        <w:rPr>
          <w:rFonts w:ascii="Arial" w:hAnsi="Arial" w:cs="Arial"/>
          <w:sz w:val="20"/>
          <w:szCs w:val="20"/>
          <w:lang w:val="en-IN" w:eastAsia="en-IN"/>
        </w:rPr>
        <w:t xml:space="preserve">, S., Sarangi, H., &amp; Dash, R. (2024). Effect of Organisational Climate and Type of Autonomous Colleges on Academic Achievement of the Students. </w:t>
      </w:r>
      <w:proofErr w:type="spellStart"/>
      <w:r w:rsidRPr="005423D1">
        <w:rPr>
          <w:rFonts w:ascii="Arial" w:hAnsi="Arial" w:cs="Arial"/>
          <w:i/>
          <w:iCs/>
          <w:sz w:val="20"/>
          <w:szCs w:val="20"/>
          <w:lang w:val="en-IN" w:eastAsia="en-IN"/>
        </w:rPr>
        <w:t>Shanlax</w:t>
      </w:r>
      <w:proofErr w:type="spellEnd"/>
      <w:r w:rsidRPr="005423D1">
        <w:rPr>
          <w:rFonts w:ascii="Arial" w:hAnsi="Arial" w:cs="Arial"/>
          <w:i/>
          <w:iCs/>
          <w:sz w:val="20"/>
          <w:szCs w:val="20"/>
          <w:lang w:val="en-IN" w:eastAsia="en-IN"/>
        </w:rPr>
        <w:t xml:space="preserve"> International Journal of Education</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12</w:t>
      </w:r>
      <w:r w:rsidRPr="005423D1">
        <w:rPr>
          <w:rFonts w:ascii="Arial" w:hAnsi="Arial" w:cs="Arial"/>
          <w:sz w:val="20"/>
          <w:szCs w:val="20"/>
          <w:lang w:val="en-IN" w:eastAsia="en-IN"/>
        </w:rPr>
        <w:t>(4), 70-80.</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Eisinga</w:t>
      </w:r>
      <w:proofErr w:type="spellEnd"/>
      <w:r w:rsidRPr="005423D1">
        <w:rPr>
          <w:rFonts w:ascii="Arial" w:hAnsi="Arial" w:cs="Arial"/>
          <w:sz w:val="20"/>
          <w:szCs w:val="20"/>
          <w:lang w:val="en-IN" w:eastAsia="en-IN"/>
        </w:rPr>
        <w:t xml:space="preserve">, R., </w:t>
      </w:r>
      <w:proofErr w:type="spellStart"/>
      <w:r w:rsidRPr="005423D1">
        <w:rPr>
          <w:rFonts w:ascii="Arial" w:hAnsi="Arial" w:cs="Arial"/>
          <w:sz w:val="20"/>
          <w:szCs w:val="20"/>
          <w:lang w:val="en-IN" w:eastAsia="en-IN"/>
        </w:rPr>
        <w:t>Grotenhuis</w:t>
      </w:r>
      <w:proofErr w:type="spellEnd"/>
      <w:r w:rsidRPr="005423D1">
        <w:rPr>
          <w:rFonts w:ascii="Arial" w:hAnsi="Arial" w:cs="Arial"/>
          <w:sz w:val="20"/>
          <w:szCs w:val="20"/>
          <w:lang w:val="en-IN" w:eastAsia="en-IN"/>
        </w:rPr>
        <w:t xml:space="preserve">, M. T., &amp; Pelzer, B. (2013). The reliability of a two-item scale: Pearson, Cronbach, or </w:t>
      </w:r>
      <w:proofErr w:type="spellStart"/>
      <w:r w:rsidRPr="005423D1">
        <w:rPr>
          <w:rFonts w:ascii="Arial" w:hAnsi="Arial" w:cs="Arial"/>
          <w:sz w:val="20"/>
          <w:szCs w:val="20"/>
          <w:lang w:val="en-IN" w:eastAsia="en-IN"/>
        </w:rPr>
        <w:t>Spearman-Brown</w:t>
      </w:r>
      <w:proofErr w:type="gramStart"/>
      <w:r w:rsidRPr="005423D1">
        <w:rPr>
          <w:rFonts w:ascii="Arial" w:hAnsi="Arial" w:cs="Arial"/>
          <w:sz w:val="20"/>
          <w:szCs w:val="20"/>
          <w:lang w:val="en-IN" w:eastAsia="en-IN"/>
        </w:rPr>
        <w:t>?.</w:t>
      </w:r>
      <w:r w:rsidRPr="005423D1">
        <w:rPr>
          <w:rFonts w:ascii="Arial" w:hAnsi="Arial" w:cs="Arial"/>
          <w:i/>
          <w:iCs/>
          <w:sz w:val="20"/>
          <w:szCs w:val="20"/>
          <w:lang w:val="en-IN" w:eastAsia="en-IN"/>
        </w:rPr>
        <w:t>International</w:t>
      </w:r>
      <w:proofErr w:type="spellEnd"/>
      <w:proofErr w:type="gramEnd"/>
      <w:r w:rsidRPr="005423D1">
        <w:rPr>
          <w:rFonts w:ascii="Arial" w:hAnsi="Arial" w:cs="Arial"/>
          <w:i/>
          <w:iCs/>
          <w:sz w:val="20"/>
          <w:szCs w:val="20"/>
          <w:lang w:val="en-IN" w:eastAsia="en-IN"/>
        </w:rPr>
        <w:t xml:space="preserve"> journal of public health</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58</w:t>
      </w:r>
      <w:r w:rsidRPr="005423D1">
        <w:rPr>
          <w:rFonts w:ascii="Arial" w:hAnsi="Arial" w:cs="Arial"/>
          <w:sz w:val="20"/>
          <w:szCs w:val="20"/>
          <w:lang w:val="en-IN" w:eastAsia="en-IN"/>
        </w:rPr>
        <w:t>(4), 637-642.</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r w:rsidRPr="005423D1">
        <w:rPr>
          <w:rFonts w:ascii="Arial" w:hAnsi="Arial" w:cs="Arial"/>
          <w:sz w:val="20"/>
          <w:szCs w:val="20"/>
          <w:lang w:val="en-IN" w:eastAsia="en-IN"/>
        </w:rPr>
        <w:t xml:space="preserve">Ibrahim, M., &amp; Iqbal, M. (2015). Teachers’ perceptions of professional commitment (affective, continuance and normative commitment) to teaching profession. </w:t>
      </w:r>
      <w:r w:rsidRPr="005423D1">
        <w:rPr>
          <w:rFonts w:ascii="Arial" w:hAnsi="Arial" w:cs="Arial"/>
          <w:i/>
          <w:iCs/>
          <w:sz w:val="20"/>
          <w:szCs w:val="20"/>
          <w:lang w:val="en-IN" w:eastAsia="en-IN"/>
        </w:rPr>
        <w:t>European Journal of Business and Management</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7</w:t>
      </w:r>
      <w:r w:rsidRPr="005423D1">
        <w:rPr>
          <w:rFonts w:ascii="Arial" w:hAnsi="Arial" w:cs="Arial"/>
          <w:sz w:val="20"/>
          <w:szCs w:val="20"/>
          <w:lang w:val="en-IN" w:eastAsia="en-IN"/>
        </w:rPr>
        <w:t>(10), 64-80.</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Ingratta</w:t>
      </w:r>
      <w:proofErr w:type="spellEnd"/>
      <w:r w:rsidRPr="005423D1">
        <w:rPr>
          <w:rFonts w:ascii="Arial" w:hAnsi="Arial" w:cs="Arial"/>
          <w:sz w:val="20"/>
          <w:szCs w:val="20"/>
          <w:lang w:val="en-IN" w:eastAsia="en-IN"/>
        </w:rPr>
        <w:t xml:space="preserve">, J., Dudek, N., Lacroix, L., </w:t>
      </w:r>
      <w:proofErr w:type="spellStart"/>
      <w:r w:rsidRPr="005423D1">
        <w:rPr>
          <w:rFonts w:ascii="Arial" w:hAnsi="Arial" w:cs="Arial"/>
          <w:sz w:val="20"/>
          <w:szCs w:val="20"/>
          <w:lang w:val="en-IN" w:eastAsia="en-IN"/>
        </w:rPr>
        <w:t>Cortel</w:t>
      </w:r>
      <w:proofErr w:type="spellEnd"/>
      <w:r w:rsidRPr="005423D1">
        <w:rPr>
          <w:rFonts w:ascii="Arial" w:hAnsi="Arial" w:cs="Arial"/>
          <w:sz w:val="20"/>
          <w:szCs w:val="20"/>
          <w:lang w:val="en-IN" w:eastAsia="en-IN"/>
        </w:rPr>
        <w:t xml:space="preserve">-LeBlanc, M., McConnell, M., &amp; Cheung, W. J. (2023). Exploring gender influences in the quality of workplace-based assessments. </w:t>
      </w:r>
      <w:r w:rsidRPr="005423D1">
        <w:rPr>
          <w:rFonts w:ascii="Arial" w:hAnsi="Arial" w:cs="Arial"/>
          <w:i/>
          <w:iCs/>
          <w:sz w:val="20"/>
          <w:szCs w:val="20"/>
          <w:lang w:val="en-IN" w:eastAsia="en-IN"/>
        </w:rPr>
        <w:t>Canadian Journal of Emergency Medicine</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25</w:t>
      </w:r>
      <w:r w:rsidRPr="005423D1">
        <w:rPr>
          <w:rFonts w:ascii="Arial" w:hAnsi="Arial" w:cs="Arial"/>
          <w:sz w:val="20"/>
          <w:szCs w:val="20"/>
          <w:lang w:val="en-IN" w:eastAsia="en-IN"/>
        </w:rPr>
        <w:t>(6), 475-480.</w:t>
      </w:r>
    </w:p>
    <w:p w:rsidR="005423D1" w:rsidRPr="005423D1" w:rsidRDefault="005423D1" w:rsidP="005423D1">
      <w:pPr>
        <w:pStyle w:val="ListParagraph"/>
        <w:numPr>
          <w:ilvl w:val="0"/>
          <w:numId w:val="43"/>
        </w:numPr>
        <w:spacing w:before="100" w:beforeAutospacing="1" w:after="100" w:afterAutospacing="1" w:line="360" w:lineRule="auto"/>
        <w:ind w:left="851" w:hanging="851"/>
        <w:jc w:val="both"/>
        <w:rPr>
          <w:rFonts w:ascii="Arial" w:hAnsi="Arial" w:cs="Arial"/>
          <w:sz w:val="20"/>
          <w:szCs w:val="20"/>
        </w:rPr>
      </w:pPr>
      <w:r w:rsidRPr="005423D1">
        <w:rPr>
          <w:rFonts w:ascii="Arial" w:hAnsi="Arial" w:cs="Arial"/>
          <w:sz w:val="20"/>
          <w:szCs w:val="20"/>
        </w:rPr>
        <w:lastRenderedPageBreak/>
        <w:t xml:space="preserve">Jenkins, D. (2007). Institutional effectiveness and student success: A study of high-and low-impact community colleges. </w:t>
      </w:r>
      <w:r w:rsidRPr="005423D1">
        <w:rPr>
          <w:rFonts w:ascii="Arial" w:hAnsi="Arial" w:cs="Arial"/>
          <w:i/>
          <w:iCs/>
          <w:sz w:val="20"/>
          <w:szCs w:val="20"/>
        </w:rPr>
        <w:t>Community College Journal of Research and Practice</w:t>
      </w:r>
      <w:r w:rsidRPr="005423D1">
        <w:rPr>
          <w:rFonts w:ascii="Arial" w:hAnsi="Arial" w:cs="Arial"/>
          <w:sz w:val="20"/>
          <w:szCs w:val="20"/>
        </w:rPr>
        <w:t xml:space="preserve">, </w:t>
      </w:r>
      <w:r w:rsidRPr="005423D1">
        <w:rPr>
          <w:rFonts w:ascii="Arial" w:hAnsi="Arial" w:cs="Arial"/>
          <w:i/>
          <w:iCs/>
          <w:sz w:val="20"/>
          <w:szCs w:val="20"/>
        </w:rPr>
        <w:t>31</w:t>
      </w:r>
      <w:r w:rsidRPr="005423D1">
        <w:rPr>
          <w:rFonts w:ascii="Arial" w:hAnsi="Arial" w:cs="Arial"/>
          <w:sz w:val="20"/>
          <w:szCs w:val="20"/>
        </w:rPr>
        <w:t>(12), 945-962.</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r w:rsidRPr="005423D1">
        <w:rPr>
          <w:rFonts w:ascii="Arial" w:hAnsi="Arial" w:cs="Arial"/>
          <w:sz w:val="20"/>
          <w:szCs w:val="20"/>
          <w:lang w:val="en-IN" w:eastAsia="en-IN"/>
        </w:rPr>
        <w:t xml:space="preserve">Li, H., Xu, J., Luo, Y., &amp; Wang, C. (2025). The role of teachers’ direct and emotional mentoring in shaping undergraduates’ research aspirations: a social cognitive career theory perspective. </w:t>
      </w:r>
      <w:r w:rsidRPr="005423D1">
        <w:rPr>
          <w:rFonts w:ascii="Arial" w:hAnsi="Arial" w:cs="Arial"/>
          <w:i/>
          <w:iCs/>
          <w:sz w:val="20"/>
          <w:szCs w:val="20"/>
          <w:lang w:val="en-IN" w:eastAsia="en-IN"/>
        </w:rPr>
        <w:t>International Journal of Mentoring and Coaching in Education</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14</w:t>
      </w:r>
      <w:r w:rsidRPr="005423D1">
        <w:rPr>
          <w:rFonts w:ascii="Arial" w:hAnsi="Arial" w:cs="Arial"/>
          <w:sz w:val="20"/>
          <w:szCs w:val="20"/>
          <w:lang w:val="en-IN" w:eastAsia="en-IN"/>
        </w:rPr>
        <w:t>(2), 123-142.</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r w:rsidRPr="005423D1">
        <w:rPr>
          <w:rFonts w:ascii="Arial" w:hAnsi="Arial" w:cs="Arial"/>
          <w:sz w:val="20"/>
          <w:szCs w:val="20"/>
          <w:lang w:val="en-IN" w:eastAsia="en-IN"/>
        </w:rPr>
        <w:t xml:space="preserve">Melius, J. (2011). The influence of undergraduate students' engagement practices and their institutional environment on academic achievement. </w:t>
      </w:r>
      <w:r w:rsidRPr="005423D1">
        <w:rPr>
          <w:rFonts w:ascii="Arial" w:hAnsi="Arial" w:cs="Arial"/>
          <w:i/>
          <w:iCs/>
          <w:sz w:val="20"/>
          <w:szCs w:val="20"/>
          <w:lang w:val="en-IN" w:eastAsia="en-IN"/>
        </w:rPr>
        <w:t xml:space="preserve">Journal of Human </w:t>
      </w:r>
      <w:proofErr w:type="spellStart"/>
      <w:r w:rsidRPr="005423D1">
        <w:rPr>
          <w:rFonts w:ascii="Arial" w:hAnsi="Arial" w:cs="Arial"/>
          <w:i/>
          <w:iCs/>
          <w:sz w:val="20"/>
          <w:szCs w:val="20"/>
          <w:lang w:val="en-IN" w:eastAsia="en-IN"/>
        </w:rPr>
        <w:t>Behavior</w:t>
      </w:r>
      <w:proofErr w:type="spellEnd"/>
      <w:r w:rsidRPr="005423D1">
        <w:rPr>
          <w:rFonts w:ascii="Arial" w:hAnsi="Arial" w:cs="Arial"/>
          <w:i/>
          <w:iCs/>
          <w:sz w:val="20"/>
          <w:szCs w:val="20"/>
          <w:lang w:val="en-IN" w:eastAsia="en-IN"/>
        </w:rPr>
        <w:t xml:space="preserve"> in the Social Environment</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21</w:t>
      </w:r>
      <w:r w:rsidRPr="005423D1">
        <w:rPr>
          <w:rFonts w:ascii="Arial" w:hAnsi="Arial" w:cs="Arial"/>
          <w:sz w:val="20"/>
          <w:szCs w:val="20"/>
          <w:lang w:val="en-IN" w:eastAsia="en-IN"/>
        </w:rPr>
        <w:t>(6), 606-624.</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proofErr w:type="spellStart"/>
      <w:r w:rsidRPr="005423D1">
        <w:rPr>
          <w:rFonts w:ascii="Arial" w:hAnsi="Arial" w:cs="Arial"/>
          <w:sz w:val="20"/>
          <w:szCs w:val="20"/>
          <w:lang w:val="en-IN" w:eastAsia="en-IN"/>
        </w:rPr>
        <w:t>Mih</w:t>
      </w:r>
      <w:proofErr w:type="spellEnd"/>
      <w:r w:rsidRPr="005423D1">
        <w:rPr>
          <w:rFonts w:ascii="Arial" w:hAnsi="Arial" w:cs="Arial"/>
          <w:sz w:val="20"/>
          <w:szCs w:val="20"/>
          <w:lang w:val="en-IN" w:eastAsia="en-IN"/>
        </w:rPr>
        <w:t xml:space="preserve">, V., &amp; </w:t>
      </w:r>
      <w:proofErr w:type="spellStart"/>
      <w:r w:rsidRPr="005423D1">
        <w:rPr>
          <w:rFonts w:ascii="Arial" w:hAnsi="Arial" w:cs="Arial"/>
          <w:sz w:val="20"/>
          <w:szCs w:val="20"/>
          <w:lang w:val="en-IN" w:eastAsia="en-IN"/>
        </w:rPr>
        <w:t>Mih</w:t>
      </w:r>
      <w:proofErr w:type="spellEnd"/>
      <w:r w:rsidRPr="005423D1">
        <w:rPr>
          <w:rFonts w:ascii="Arial" w:hAnsi="Arial" w:cs="Arial"/>
          <w:sz w:val="20"/>
          <w:szCs w:val="20"/>
          <w:lang w:val="en-IN" w:eastAsia="en-IN"/>
        </w:rPr>
        <w:t xml:space="preserve">, C. (2013). Perceived autonomy-supportive teaching, academic self-perceptions and engagement in learning: Toward a process model of academic achievement. </w:t>
      </w:r>
      <w:r w:rsidRPr="005423D1">
        <w:rPr>
          <w:rFonts w:ascii="Arial" w:hAnsi="Arial" w:cs="Arial"/>
          <w:i/>
          <w:iCs/>
          <w:sz w:val="20"/>
          <w:szCs w:val="20"/>
          <w:lang w:val="en-IN" w:eastAsia="en-IN"/>
        </w:rPr>
        <w:t>Brain &amp;</w:t>
      </w:r>
      <w:proofErr w:type="spellStart"/>
      <w:r w:rsidRPr="005423D1">
        <w:rPr>
          <w:rFonts w:ascii="Arial" w:hAnsi="Arial" w:cs="Arial"/>
          <w:i/>
          <w:iCs/>
          <w:sz w:val="20"/>
          <w:szCs w:val="20"/>
          <w:lang w:val="en-IN" w:eastAsia="en-IN"/>
        </w:rPr>
        <w:t>Behavior</w:t>
      </w:r>
      <w:proofErr w:type="spellEnd"/>
      <w:r w:rsidRPr="005423D1">
        <w:rPr>
          <w:rFonts w:ascii="Arial" w:hAnsi="Arial" w:cs="Arial"/>
          <w:i/>
          <w:iCs/>
          <w:sz w:val="20"/>
          <w:szCs w:val="20"/>
          <w:lang w:val="en-IN" w:eastAsia="en-IN"/>
        </w:rPr>
        <w:t>. An Interdisciplinary Journal</w:t>
      </w:r>
      <w:r w:rsidRPr="005423D1">
        <w:rPr>
          <w:rFonts w:ascii="Arial" w:hAnsi="Arial" w:cs="Arial"/>
          <w:sz w:val="20"/>
          <w:szCs w:val="20"/>
          <w:lang w:val="en-IN" w:eastAsia="en-IN"/>
        </w:rPr>
        <w:t xml:space="preserve">, </w:t>
      </w:r>
      <w:r w:rsidRPr="005423D1">
        <w:rPr>
          <w:rFonts w:ascii="Arial" w:hAnsi="Arial" w:cs="Arial"/>
          <w:i/>
          <w:iCs/>
          <w:sz w:val="20"/>
          <w:szCs w:val="20"/>
          <w:lang w:val="en-IN" w:eastAsia="en-IN"/>
        </w:rPr>
        <w:t>4</w:t>
      </w:r>
      <w:r w:rsidRPr="005423D1">
        <w:rPr>
          <w:rFonts w:ascii="Arial" w:hAnsi="Arial" w:cs="Arial"/>
          <w:sz w:val="20"/>
          <w:szCs w:val="20"/>
          <w:lang w:val="en-IN" w:eastAsia="en-IN"/>
        </w:rPr>
        <w:t>, 289-313.</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lang w:val="en-IN" w:eastAsia="en-IN"/>
        </w:rPr>
      </w:pPr>
      <w:r w:rsidRPr="005423D1">
        <w:rPr>
          <w:rFonts w:ascii="Arial" w:hAnsi="Arial" w:cs="Arial"/>
          <w:sz w:val="20"/>
          <w:szCs w:val="20"/>
          <w:lang w:val="en-IN" w:eastAsia="en-IN"/>
        </w:rPr>
        <w:t xml:space="preserve">Robinson, L. N. (2015). </w:t>
      </w:r>
      <w:r w:rsidRPr="005423D1">
        <w:rPr>
          <w:rFonts w:ascii="Arial" w:hAnsi="Arial" w:cs="Arial"/>
          <w:i/>
          <w:iCs/>
          <w:sz w:val="20"/>
          <w:szCs w:val="20"/>
          <w:lang w:val="en-IN" w:eastAsia="en-IN"/>
        </w:rPr>
        <w:t>The effects of teacher perceptions of administrative support, school climate, and academic success in urban schools</w:t>
      </w:r>
      <w:r w:rsidRPr="005423D1">
        <w:rPr>
          <w:rFonts w:ascii="Arial" w:hAnsi="Arial" w:cs="Arial"/>
          <w:sz w:val="20"/>
          <w:szCs w:val="20"/>
          <w:lang w:val="en-IN" w:eastAsia="en-IN"/>
        </w:rPr>
        <w:t>. Union University.</w:t>
      </w:r>
    </w:p>
    <w:p w:rsidR="005423D1" w:rsidRPr="005423D1" w:rsidRDefault="005423D1" w:rsidP="005423D1">
      <w:pPr>
        <w:pStyle w:val="ListParagraph"/>
        <w:numPr>
          <w:ilvl w:val="0"/>
          <w:numId w:val="43"/>
        </w:numPr>
        <w:spacing w:line="360" w:lineRule="auto"/>
        <w:ind w:left="851" w:hanging="851"/>
        <w:jc w:val="both"/>
        <w:rPr>
          <w:rFonts w:ascii="Arial" w:hAnsi="Arial" w:cs="Arial"/>
          <w:sz w:val="20"/>
          <w:szCs w:val="20"/>
        </w:rPr>
      </w:pPr>
      <w:proofErr w:type="spellStart"/>
      <w:r w:rsidRPr="005423D1">
        <w:rPr>
          <w:rFonts w:ascii="Arial" w:hAnsi="Arial" w:cs="Arial"/>
          <w:sz w:val="20"/>
          <w:szCs w:val="20"/>
        </w:rPr>
        <w:t>Sripirabaa</w:t>
      </w:r>
      <w:proofErr w:type="spellEnd"/>
      <w:r w:rsidRPr="005423D1">
        <w:rPr>
          <w:rFonts w:ascii="Arial" w:hAnsi="Arial" w:cs="Arial"/>
          <w:sz w:val="20"/>
          <w:szCs w:val="20"/>
        </w:rPr>
        <w:t xml:space="preserve">, B., &amp; </w:t>
      </w:r>
      <w:proofErr w:type="spellStart"/>
      <w:r w:rsidRPr="005423D1">
        <w:rPr>
          <w:rFonts w:ascii="Arial" w:hAnsi="Arial" w:cs="Arial"/>
          <w:sz w:val="20"/>
          <w:szCs w:val="20"/>
        </w:rPr>
        <w:t>Maheswari</w:t>
      </w:r>
      <w:proofErr w:type="spellEnd"/>
      <w:r w:rsidRPr="005423D1">
        <w:rPr>
          <w:rFonts w:ascii="Arial" w:hAnsi="Arial" w:cs="Arial"/>
          <w:sz w:val="20"/>
          <w:szCs w:val="20"/>
        </w:rPr>
        <w:t xml:space="preserve">, S. T. (2015). Individual creativity: Influence of job autonomy and willingness to take risk. </w:t>
      </w:r>
      <w:r w:rsidRPr="005423D1">
        <w:rPr>
          <w:rFonts w:ascii="Arial" w:hAnsi="Arial" w:cs="Arial"/>
          <w:i/>
          <w:iCs/>
          <w:sz w:val="20"/>
          <w:szCs w:val="20"/>
        </w:rPr>
        <w:t>SCMS Journal of Indian Management</w:t>
      </w:r>
      <w:r w:rsidRPr="005423D1">
        <w:rPr>
          <w:rFonts w:ascii="Arial" w:hAnsi="Arial" w:cs="Arial"/>
          <w:sz w:val="20"/>
          <w:szCs w:val="20"/>
        </w:rPr>
        <w:t xml:space="preserve">, </w:t>
      </w:r>
      <w:r w:rsidRPr="005423D1">
        <w:rPr>
          <w:rFonts w:ascii="Arial" w:hAnsi="Arial" w:cs="Arial"/>
          <w:i/>
          <w:iCs/>
          <w:sz w:val="20"/>
          <w:szCs w:val="20"/>
        </w:rPr>
        <w:t>12</w:t>
      </w:r>
      <w:r w:rsidRPr="005423D1">
        <w:rPr>
          <w:rFonts w:ascii="Arial" w:hAnsi="Arial" w:cs="Arial"/>
          <w:sz w:val="20"/>
          <w:szCs w:val="20"/>
        </w:rPr>
        <w:t>(4), 110.</w:t>
      </w:r>
    </w:p>
    <w:p w:rsidR="001D734E" w:rsidRPr="00A17E01" w:rsidRDefault="001D734E" w:rsidP="00441B6F">
      <w:pPr>
        <w:pStyle w:val="Appendix"/>
        <w:spacing w:after="0"/>
        <w:jc w:val="both"/>
        <w:rPr>
          <w:rFonts w:ascii="Arial" w:hAnsi="Arial" w:cs="Arial"/>
          <w:b w:val="0"/>
        </w:rPr>
        <w:sectPr w:rsidR="001D734E" w:rsidRPr="00A17E01" w:rsidSect="0084258D">
          <w:headerReference w:type="even" r:id="rId17"/>
          <w:headerReference w:type="default" r:id="rId18"/>
          <w:footerReference w:type="default" r:id="rId19"/>
          <w:headerReference w:type="first" r:id="rId20"/>
          <w:type w:val="continuous"/>
          <w:pgSz w:w="12240" w:h="15840"/>
          <w:pgMar w:top="1440" w:right="2016" w:bottom="2016" w:left="2016" w:header="720" w:footer="1123" w:gutter="0"/>
          <w:cols w:space="720"/>
          <w:docGrid w:linePitch="272"/>
        </w:sectPr>
      </w:pPr>
    </w:p>
    <w:p w:rsidR="008322DA" w:rsidRDefault="008322DA" w:rsidP="00605A23">
      <w:pPr>
        <w:pStyle w:val="Appendix"/>
        <w:spacing w:after="0"/>
        <w:ind w:left="1276"/>
        <w:jc w:val="both"/>
        <w:rPr>
          <w:rFonts w:ascii="Arial" w:hAnsi="Arial" w:cs="Arial"/>
          <w:b w:val="0"/>
        </w:rPr>
      </w:pPr>
    </w:p>
    <w:p w:rsidR="001D734E" w:rsidRPr="00A17E01" w:rsidRDefault="001D734E" w:rsidP="00605A23">
      <w:pPr>
        <w:pStyle w:val="Appendix"/>
        <w:spacing w:after="0"/>
        <w:ind w:left="1276"/>
        <w:jc w:val="both"/>
        <w:rPr>
          <w:rFonts w:ascii="Arial" w:hAnsi="Arial" w:cs="Arial"/>
          <w:b w:val="0"/>
        </w:rPr>
      </w:pPr>
    </w:p>
    <w:sectPr w:rsidR="001D734E" w:rsidRPr="00A17E01" w:rsidSect="0084258D">
      <w:type w:val="continuous"/>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52D4C" w:rsidRDefault="00152D4C" w:rsidP="00C37E61">
      <w:r>
        <w:separator/>
      </w:r>
    </w:p>
  </w:endnote>
  <w:endnote w:type="continuationSeparator" w:id="0">
    <w:p w:rsidR="00152D4C" w:rsidRDefault="00152D4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84258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84258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4C9A" w:rsidRPr="009F5705" w:rsidRDefault="00754C9A" w:rsidP="009F570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37E61" w:rsidRPr="00C37E61" w:rsidRDefault="00C37E61" w:rsidP="00C37E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52D4C" w:rsidRDefault="00152D4C" w:rsidP="00C37E61">
      <w:r>
        <w:separator/>
      </w:r>
    </w:p>
  </w:footnote>
  <w:footnote w:type="continuationSeparator" w:id="0">
    <w:p w:rsidR="00152D4C" w:rsidRDefault="00152D4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152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152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96529" w:rsidRPr="00296529" w:rsidRDefault="00152D4C" w:rsidP="00296529">
    <w:pPr>
      <w:ind w:left="2160"/>
      <w:jc w:val="center"/>
      <w:rPr>
        <w:rFonts w:ascii="Times New Roman" w:eastAsia="Calibri" w:hAnsi="Times New Roman"/>
        <w:i/>
        <w:sz w:val="18"/>
        <w:szCs w:val="22"/>
      </w:rP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p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rsidR="00296529" w:rsidRPr="00296529" w:rsidRDefault="00754C9A" w:rsidP="00296529">
    <w:pPr>
      <w:spacing w:after="200"/>
      <w:jc w:val="center"/>
      <w:rPr>
        <w:rFonts w:ascii="Times New Roman" w:eastAsia="Calibri" w:hAnsi="Times New Roman"/>
        <w:b/>
        <w:i/>
        <w:sz w:val="32"/>
        <w:szCs w:val="22"/>
      </w:rPr>
    </w:pPr>
    <w:r>
      <w:rPr>
        <w:rFonts w:ascii="Times New Roman" w:eastAsia="Calibri" w:hAnsi="Times New Roman"/>
        <w:b/>
        <w:i/>
        <w:sz w:val="32"/>
        <w:szCs w:val="22"/>
      </w:rPr>
      <w:t>.</w:t>
    </w:r>
  </w:p>
  <w:p w:rsidR="00296529" w:rsidRDefault="00296529" w:rsidP="00296529">
    <w:pPr>
      <w:jc w:val="center"/>
      <w:rPr>
        <w:rFonts w:ascii="Times New Roman" w:eastAsia="Calibri" w:hAnsi="Times New Roman"/>
        <w:i/>
        <w:sz w:val="18"/>
        <w:szCs w:val="22"/>
      </w:rPr>
    </w:pPr>
  </w:p>
  <w:p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rsidR="00296529" w:rsidRDefault="00754C9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152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152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4258D" w:rsidRDefault="00152D4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4862ABE"/>
    <w:multiLevelType w:val="hybridMultilevel"/>
    <w:tmpl w:val="F2E61324"/>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5"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0A17541C"/>
    <w:multiLevelType w:val="hybridMultilevel"/>
    <w:tmpl w:val="132CD1DA"/>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0BB85698"/>
    <w:multiLevelType w:val="hybridMultilevel"/>
    <w:tmpl w:val="993C1EA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1" w15:restartNumberingAfterBreak="0">
    <w:nsid w:val="1A6C45A1"/>
    <w:multiLevelType w:val="multilevel"/>
    <w:tmpl w:val="005E79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1C46630B"/>
    <w:multiLevelType w:val="multilevel"/>
    <w:tmpl w:val="DD7694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7"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0" w15:restartNumberingAfterBreak="0">
    <w:nsid w:val="3C4F5D1F"/>
    <w:multiLevelType w:val="hybridMultilevel"/>
    <w:tmpl w:val="B1A8E712"/>
    <w:lvl w:ilvl="0" w:tplc="4009000F">
      <w:start w:val="3"/>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1" w15:restartNumberingAfterBreak="0">
    <w:nsid w:val="427132A1"/>
    <w:multiLevelType w:val="hybridMultilevel"/>
    <w:tmpl w:val="074E7F12"/>
    <w:lvl w:ilvl="0" w:tplc="40090011">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2"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23" w15:restartNumberingAfterBreak="0">
    <w:nsid w:val="4BCA416F"/>
    <w:multiLevelType w:val="hybridMultilevel"/>
    <w:tmpl w:val="054EDCD4"/>
    <w:lvl w:ilvl="0" w:tplc="40090011">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4" w15:restartNumberingAfterBreak="0">
    <w:nsid w:val="525C4EF4"/>
    <w:multiLevelType w:val="hybridMultilevel"/>
    <w:tmpl w:val="71BA510C"/>
    <w:lvl w:ilvl="0" w:tplc="40090011">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25"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E90182"/>
    <w:multiLevelType w:val="hybridMultilevel"/>
    <w:tmpl w:val="96CA4E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3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3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3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823258B"/>
    <w:multiLevelType w:val="multilevel"/>
    <w:tmpl w:val="17CC50D6"/>
    <w:lvl w:ilvl="0">
      <w:start w:val="1"/>
      <w:numFmt w:val="low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7" w15:restartNumberingAfterBreak="0">
    <w:nsid w:val="78B1664F"/>
    <w:multiLevelType w:val="hybridMultilevel"/>
    <w:tmpl w:val="82B24774"/>
    <w:lvl w:ilvl="0" w:tplc="4009000F">
      <w:start w:val="1"/>
      <w:numFmt w:val="decimal"/>
      <w:lvlText w:val="%1."/>
      <w:lvlJc w:val="left"/>
      <w:pPr>
        <w:ind w:left="994" w:hanging="360"/>
      </w:pPr>
    </w:lvl>
    <w:lvl w:ilvl="1" w:tplc="40090019" w:tentative="1">
      <w:start w:val="1"/>
      <w:numFmt w:val="lowerLetter"/>
      <w:lvlText w:val="%2."/>
      <w:lvlJc w:val="left"/>
      <w:pPr>
        <w:ind w:left="1714" w:hanging="360"/>
      </w:pPr>
    </w:lvl>
    <w:lvl w:ilvl="2" w:tplc="4009001B" w:tentative="1">
      <w:start w:val="1"/>
      <w:numFmt w:val="lowerRoman"/>
      <w:lvlText w:val="%3."/>
      <w:lvlJc w:val="right"/>
      <w:pPr>
        <w:ind w:left="2434" w:hanging="180"/>
      </w:pPr>
    </w:lvl>
    <w:lvl w:ilvl="3" w:tplc="4009000F" w:tentative="1">
      <w:start w:val="1"/>
      <w:numFmt w:val="decimal"/>
      <w:lvlText w:val="%4."/>
      <w:lvlJc w:val="left"/>
      <w:pPr>
        <w:ind w:left="3154" w:hanging="360"/>
      </w:pPr>
    </w:lvl>
    <w:lvl w:ilvl="4" w:tplc="40090019" w:tentative="1">
      <w:start w:val="1"/>
      <w:numFmt w:val="lowerLetter"/>
      <w:lvlText w:val="%5."/>
      <w:lvlJc w:val="left"/>
      <w:pPr>
        <w:ind w:left="3874" w:hanging="360"/>
      </w:pPr>
    </w:lvl>
    <w:lvl w:ilvl="5" w:tplc="4009001B" w:tentative="1">
      <w:start w:val="1"/>
      <w:numFmt w:val="lowerRoman"/>
      <w:lvlText w:val="%6."/>
      <w:lvlJc w:val="right"/>
      <w:pPr>
        <w:ind w:left="4594" w:hanging="180"/>
      </w:pPr>
    </w:lvl>
    <w:lvl w:ilvl="6" w:tplc="4009000F" w:tentative="1">
      <w:start w:val="1"/>
      <w:numFmt w:val="decimal"/>
      <w:lvlText w:val="%7."/>
      <w:lvlJc w:val="left"/>
      <w:pPr>
        <w:ind w:left="5314" w:hanging="360"/>
      </w:pPr>
    </w:lvl>
    <w:lvl w:ilvl="7" w:tplc="40090019" w:tentative="1">
      <w:start w:val="1"/>
      <w:numFmt w:val="lowerLetter"/>
      <w:lvlText w:val="%8."/>
      <w:lvlJc w:val="left"/>
      <w:pPr>
        <w:ind w:left="6034" w:hanging="360"/>
      </w:pPr>
    </w:lvl>
    <w:lvl w:ilvl="8" w:tplc="4009001B" w:tentative="1">
      <w:start w:val="1"/>
      <w:numFmt w:val="lowerRoman"/>
      <w:lvlText w:val="%9."/>
      <w:lvlJc w:val="right"/>
      <w:pPr>
        <w:ind w:left="6754" w:hanging="180"/>
      </w:pPr>
    </w:lvl>
  </w:abstractNum>
  <w:abstractNum w:abstractNumId="38"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CC90AFC"/>
    <w:multiLevelType w:val="hybridMultilevel"/>
    <w:tmpl w:val="1564DEE4"/>
    <w:lvl w:ilvl="0" w:tplc="4009001B">
      <w:start w:val="1"/>
      <w:numFmt w:val="lowerRoman"/>
      <w:lvlText w:val="%1."/>
      <w:lvlJc w:val="right"/>
      <w:pPr>
        <w:ind w:left="994" w:hanging="360"/>
      </w:pPr>
    </w:lvl>
    <w:lvl w:ilvl="1" w:tplc="40090019" w:tentative="1">
      <w:start w:val="1"/>
      <w:numFmt w:val="lowerLetter"/>
      <w:lvlText w:val="%2."/>
      <w:lvlJc w:val="left"/>
      <w:pPr>
        <w:ind w:left="1714" w:hanging="360"/>
      </w:pPr>
    </w:lvl>
    <w:lvl w:ilvl="2" w:tplc="4009001B" w:tentative="1">
      <w:start w:val="1"/>
      <w:numFmt w:val="lowerRoman"/>
      <w:lvlText w:val="%3."/>
      <w:lvlJc w:val="right"/>
      <w:pPr>
        <w:ind w:left="2434" w:hanging="180"/>
      </w:pPr>
    </w:lvl>
    <w:lvl w:ilvl="3" w:tplc="4009000F" w:tentative="1">
      <w:start w:val="1"/>
      <w:numFmt w:val="decimal"/>
      <w:lvlText w:val="%4."/>
      <w:lvlJc w:val="left"/>
      <w:pPr>
        <w:ind w:left="3154" w:hanging="360"/>
      </w:pPr>
    </w:lvl>
    <w:lvl w:ilvl="4" w:tplc="40090019" w:tentative="1">
      <w:start w:val="1"/>
      <w:numFmt w:val="lowerLetter"/>
      <w:lvlText w:val="%5."/>
      <w:lvlJc w:val="left"/>
      <w:pPr>
        <w:ind w:left="3874" w:hanging="360"/>
      </w:pPr>
    </w:lvl>
    <w:lvl w:ilvl="5" w:tplc="4009001B" w:tentative="1">
      <w:start w:val="1"/>
      <w:numFmt w:val="lowerRoman"/>
      <w:lvlText w:val="%6."/>
      <w:lvlJc w:val="right"/>
      <w:pPr>
        <w:ind w:left="4594" w:hanging="180"/>
      </w:pPr>
    </w:lvl>
    <w:lvl w:ilvl="6" w:tplc="4009000F" w:tentative="1">
      <w:start w:val="1"/>
      <w:numFmt w:val="decimal"/>
      <w:lvlText w:val="%7."/>
      <w:lvlJc w:val="left"/>
      <w:pPr>
        <w:ind w:left="5314" w:hanging="360"/>
      </w:pPr>
    </w:lvl>
    <w:lvl w:ilvl="7" w:tplc="40090019" w:tentative="1">
      <w:start w:val="1"/>
      <w:numFmt w:val="lowerLetter"/>
      <w:lvlText w:val="%8."/>
      <w:lvlJc w:val="left"/>
      <w:pPr>
        <w:ind w:left="6034" w:hanging="360"/>
      </w:pPr>
    </w:lvl>
    <w:lvl w:ilvl="8" w:tplc="4009001B" w:tentative="1">
      <w:start w:val="1"/>
      <w:numFmt w:val="lowerRoman"/>
      <w:lvlText w:val="%9."/>
      <w:lvlJc w:val="right"/>
      <w:pPr>
        <w:ind w:left="6754" w:hanging="180"/>
      </w:pPr>
    </w:lvl>
  </w:abstractNum>
  <w:abstractNum w:abstractNumId="41"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22"/>
  </w:num>
  <w:num w:numId="3">
    <w:abstractNumId w:val="3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10"/>
  </w:num>
  <w:num w:numId="6">
    <w:abstractNumId w:val="9"/>
  </w:num>
  <w:num w:numId="7">
    <w:abstractNumId w:val="2"/>
  </w:num>
  <w:num w:numId="8">
    <w:abstractNumId w:val="17"/>
  </w:num>
  <w:num w:numId="9">
    <w:abstractNumId w:val="36"/>
  </w:num>
  <w:num w:numId="10">
    <w:abstractNumId w:val="3"/>
  </w:num>
  <w:num w:numId="11">
    <w:abstractNumId w:val="28"/>
  </w:num>
  <w:num w:numId="12">
    <w:abstractNumId w:val="4"/>
  </w:num>
  <w:num w:numId="13">
    <w:abstractNumId w:val="27"/>
  </w:num>
  <w:num w:numId="14">
    <w:abstractNumId w:val="13"/>
  </w:num>
  <w:num w:numId="15">
    <w:abstractNumId w:val="31"/>
  </w:num>
  <w:num w:numId="16">
    <w:abstractNumId w:val="6"/>
  </w:num>
  <w:num w:numId="17">
    <w:abstractNumId w:val="32"/>
  </w:num>
  <w:num w:numId="18">
    <w:abstractNumId w:val="19"/>
  </w:num>
  <w:num w:numId="19">
    <w:abstractNumId w:val="41"/>
  </w:num>
  <w:num w:numId="20">
    <w:abstractNumId w:val="16"/>
  </w:num>
  <w:num w:numId="21">
    <w:abstractNumId w:val="14"/>
  </w:num>
  <w:num w:numId="22">
    <w:abstractNumId w:val="18"/>
  </w:num>
  <w:num w:numId="23">
    <w:abstractNumId w:val="29"/>
  </w:num>
  <w:num w:numId="24">
    <w:abstractNumId w:val="38"/>
  </w:num>
  <w:num w:numId="25">
    <w:abstractNumId w:val="5"/>
  </w:num>
  <w:num w:numId="26">
    <w:abstractNumId w:val="25"/>
  </w:num>
  <w:num w:numId="27">
    <w:abstractNumId w:val="30"/>
  </w:num>
  <w:num w:numId="28">
    <w:abstractNumId w:val="39"/>
  </w:num>
  <w:num w:numId="29">
    <w:abstractNumId w:val="34"/>
  </w:num>
  <w:num w:numId="30">
    <w:abstractNumId w:val="15"/>
  </w:num>
  <w:num w:numId="31">
    <w:abstractNumId w:val="37"/>
  </w:num>
  <w:num w:numId="32">
    <w:abstractNumId w:val="12"/>
  </w:num>
  <w:num w:numId="33">
    <w:abstractNumId w:val="11"/>
  </w:num>
  <w:num w:numId="34">
    <w:abstractNumId w:val="26"/>
  </w:num>
  <w:num w:numId="35">
    <w:abstractNumId w:val="35"/>
  </w:num>
  <w:num w:numId="36">
    <w:abstractNumId w:val="40"/>
  </w:num>
  <w:num w:numId="37">
    <w:abstractNumId w:val="20"/>
  </w:num>
  <w:num w:numId="38">
    <w:abstractNumId w:val="1"/>
  </w:num>
  <w:num w:numId="39">
    <w:abstractNumId w:val="8"/>
  </w:num>
  <w:num w:numId="40">
    <w:abstractNumId w:val="21"/>
  </w:num>
  <w:num w:numId="41">
    <w:abstractNumId w:val="7"/>
  </w:num>
  <w:num w:numId="42">
    <w:abstractNumId w:val="23"/>
  </w:num>
  <w:num w:numId="4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00"/>
  <w:displayHorizontalDrawingGridEvery w:val="0"/>
  <w:displayVerticalDrawingGridEvery w:val="0"/>
  <w:noPunctuationKerning/>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4579C"/>
    <w:rsid w:val="00063FF7"/>
    <w:rsid w:val="000A27CB"/>
    <w:rsid w:val="000A47FA"/>
    <w:rsid w:val="000A65D3"/>
    <w:rsid w:val="000B1E33"/>
    <w:rsid w:val="000D17D3"/>
    <w:rsid w:val="000D689F"/>
    <w:rsid w:val="000E7B7B"/>
    <w:rsid w:val="000E7D62"/>
    <w:rsid w:val="00103357"/>
    <w:rsid w:val="001067C3"/>
    <w:rsid w:val="00114C51"/>
    <w:rsid w:val="00123C9F"/>
    <w:rsid w:val="00126190"/>
    <w:rsid w:val="00130F17"/>
    <w:rsid w:val="001320BF"/>
    <w:rsid w:val="00152D4C"/>
    <w:rsid w:val="00163BC4"/>
    <w:rsid w:val="00191062"/>
    <w:rsid w:val="00192B72"/>
    <w:rsid w:val="001A29D8"/>
    <w:rsid w:val="001A5CAA"/>
    <w:rsid w:val="001B0427"/>
    <w:rsid w:val="001D3A51"/>
    <w:rsid w:val="001D734E"/>
    <w:rsid w:val="001E10D2"/>
    <w:rsid w:val="001E25B4"/>
    <w:rsid w:val="001E44FE"/>
    <w:rsid w:val="00200595"/>
    <w:rsid w:val="00204835"/>
    <w:rsid w:val="00231920"/>
    <w:rsid w:val="0023195C"/>
    <w:rsid w:val="0024282C"/>
    <w:rsid w:val="002460DC"/>
    <w:rsid w:val="00250985"/>
    <w:rsid w:val="002556F6"/>
    <w:rsid w:val="00283105"/>
    <w:rsid w:val="00284C4C"/>
    <w:rsid w:val="00287E68"/>
    <w:rsid w:val="00296529"/>
    <w:rsid w:val="002B27FB"/>
    <w:rsid w:val="002B685A"/>
    <w:rsid w:val="002C57D2"/>
    <w:rsid w:val="002E0D56"/>
    <w:rsid w:val="00301B1E"/>
    <w:rsid w:val="00315186"/>
    <w:rsid w:val="0033343E"/>
    <w:rsid w:val="003512C2"/>
    <w:rsid w:val="00371FB6"/>
    <w:rsid w:val="003763C1"/>
    <w:rsid w:val="00376BBE"/>
    <w:rsid w:val="0039224F"/>
    <w:rsid w:val="00392C0B"/>
    <w:rsid w:val="003A43A4"/>
    <w:rsid w:val="003A7E18"/>
    <w:rsid w:val="003C4C86"/>
    <w:rsid w:val="003C6258"/>
    <w:rsid w:val="003E2904"/>
    <w:rsid w:val="00401927"/>
    <w:rsid w:val="0041027F"/>
    <w:rsid w:val="00412475"/>
    <w:rsid w:val="00423789"/>
    <w:rsid w:val="00440F43"/>
    <w:rsid w:val="00441B6F"/>
    <w:rsid w:val="00446221"/>
    <w:rsid w:val="00450E62"/>
    <w:rsid w:val="004539DB"/>
    <w:rsid w:val="00471A80"/>
    <w:rsid w:val="004D305E"/>
    <w:rsid w:val="004D4277"/>
    <w:rsid w:val="00502516"/>
    <w:rsid w:val="00505F06"/>
    <w:rsid w:val="00506828"/>
    <w:rsid w:val="005224C5"/>
    <w:rsid w:val="0053056E"/>
    <w:rsid w:val="005423D1"/>
    <w:rsid w:val="00554FDA"/>
    <w:rsid w:val="005C784C"/>
    <w:rsid w:val="005D17F6"/>
    <w:rsid w:val="005E5539"/>
    <w:rsid w:val="00602BF5"/>
    <w:rsid w:val="00605A23"/>
    <w:rsid w:val="00617FDD"/>
    <w:rsid w:val="00633614"/>
    <w:rsid w:val="00633F68"/>
    <w:rsid w:val="00636EB2"/>
    <w:rsid w:val="006375B8"/>
    <w:rsid w:val="0066510A"/>
    <w:rsid w:val="00673F9F"/>
    <w:rsid w:val="00686953"/>
    <w:rsid w:val="00687DEA"/>
    <w:rsid w:val="00687E67"/>
    <w:rsid w:val="006967F7"/>
    <w:rsid w:val="006A250C"/>
    <w:rsid w:val="006B21D3"/>
    <w:rsid w:val="006B57D0"/>
    <w:rsid w:val="006D30FF"/>
    <w:rsid w:val="006D6940"/>
    <w:rsid w:val="006F11EC"/>
    <w:rsid w:val="0070082C"/>
    <w:rsid w:val="00713171"/>
    <w:rsid w:val="00723660"/>
    <w:rsid w:val="007325FD"/>
    <w:rsid w:val="007369E6"/>
    <w:rsid w:val="00746E59"/>
    <w:rsid w:val="00754C9A"/>
    <w:rsid w:val="0075599A"/>
    <w:rsid w:val="00761D52"/>
    <w:rsid w:val="0077749E"/>
    <w:rsid w:val="00790ADA"/>
    <w:rsid w:val="00795B33"/>
    <w:rsid w:val="007D2288"/>
    <w:rsid w:val="007E088F"/>
    <w:rsid w:val="007F7B32"/>
    <w:rsid w:val="00804BC2"/>
    <w:rsid w:val="0081431A"/>
    <w:rsid w:val="0083216F"/>
    <w:rsid w:val="008322DA"/>
    <w:rsid w:val="0084258D"/>
    <w:rsid w:val="00860000"/>
    <w:rsid w:val="00863BD3"/>
    <w:rsid w:val="008641ED"/>
    <w:rsid w:val="00866D66"/>
    <w:rsid w:val="008671C6"/>
    <w:rsid w:val="00875803"/>
    <w:rsid w:val="008B459E"/>
    <w:rsid w:val="008E13AE"/>
    <w:rsid w:val="008E1506"/>
    <w:rsid w:val="008E710C"/>
    <w:rsid w:val="008F69D6"/>
    <w:rsid w:val="00902823"/>
    <w:rsid w:val="00915CA6"/>
    <w:rsid w:val="00927834"/>
    <w:rsid w:val="00931E2C"/>
    <w:rsid w:val="009500A6"/>
    <w:rsid w:val="00957C18"/>
    <w:rsid w:val="009659BA"/>
    <w:rsid w:val="00983040"/>
    <w:rsid w:val="009B3FB9"/>
    <w:rsid w:val="009C2465"/>
    <w:rsid w:val="009D35A0"/>
    <w:rsid w:val="009D7EB7"/>
    <w:rsid w:val="009E048A"/>
    <w:rsid w:val="009E08E9"/>
    <w:rsid w:val="009E3DB9"/>
    <w:rsid w:val="009E6E35"/>
    <w:rsid w:val="009F0EDA"/>
    <w:rsid w:val="009F5705"/>
    <w:rsid w:val="00A03B96"/>
    <w:rsid w:val="00A05B19"/>
    <w:rsid w:val="00A1134E"/>
    <w:rsid w:val="00A17E01"/>
    <w:rsid w:val="00A24E7E"/>
    <w:rsid w:val="00A258C3"/>
    <w:rsid w:val="00A347C0"/>
    <w:rsid w:val="00A51431"/>
    <w:rsid w:val="00A539AD"/>
    <w:rsid w:val="00A94063"/>
    <w:rsid w:val="00AA6219"/>
    <w:rsid w:val="00AA74E0"/>
    <w:rsid w:val="00AB60F9"/>
    <w:rsid w:val="00AB703F"/>
    <w:rsid w:val="00AC6BB8"/>
    <w:rsid w:val="00AE008F"/>
    <w:rsid w:val="00B01FCD"/>
    <w:rsid w:val="00B1776C"/>
    <w:rsid w:val="00B52583"/>
    <w:rsid w:val="00B52896"/>
    <w:rsid w:val="00B73C77"/>
    <w:rsid w:val="00B95236"/>
    <w:rsid w:val="00B96BD9"/>
    <w:rsid w:val="00BA1B01"/>
    <w:rsid w:val="00BA2641"/>
    <w:rsid w:val="00BB37AA"/>
    <w:rsid w:val="00BC53A0"/>
    <w:rsid w:val="00BD4326"/>
    <w:rsid w:val="00BE62AD"/>
    <w:rsid w:val="00BF121F"/>
    <w:rsid w:val="00BF1F80"/>
    <w:rsid w:val="00C166EF"/>
    <w:rsid w:val="00C17EB0"/>
    <w:rsid w:val="00C27F5F"/>
    <w:rsid w:val="00C30A0F"/>
    <w:rsid w:val="00C37E61"/>
    <w:rsid w:val="00C4320D"/>
    <w:rsid w:val="00C70F1B"/>
    <w:rsid w:val="00C71A47"/>
    <w:rsid w:val="00C7464C"/>
    <w:rsid w:val="00C85588"/>
    <w:rsid w:val="00CA6F5D"/>
    <w:rsid w:val="00CC6238"/>
    <w:rsid w:val="00CD6755"/>
    <w:rsid w:val="00CD6856"/>
    <w:rsid w:val="00CE0089"/>
    <w:rsid w:val="00CE793C"/>
    <w:rsid w:val="00CF193C"/>
    <w:rsid w:val="00D173F1"/>
    <w:rsid w:val="00D50CEF"/>
    <w:rsid w:val="00D74CB0"/>
    <w:rsid w:val="00D8295D"/>
    <w:rsid w:val="00DC2A65"/>
    <w:rsid w:val="00DE15F0"/>
    <w:rsid w:val="00DE5663"/>
    <w:rsid w:val="00DE78AA"/>
    <w:rsid w:val="00E053D0"/>
    <w:rsid w:val="00E15994"/>
    <w:rsid w:val="00E23231"/>
    <w:rsid w:val="00E3114E"/>
    <w:rsid w:val="00E31A70"/>
    <w:rsid w:val="00E35B02"/>
    <w:rsid w:val="00E66496"/>
    <w:rsid w:val="00E66B35"/>
    <w:rsid w:val="00E66E10"/>
    <w:rsid w:val="00E769F6"/>
    <w:rsid w:val="00E8407C"/>
    <w:rsid w:val="00E84F3C"/>
    <w:rsid w:val="00EA012C"/>
    <w:rsid w:val="00EC6A55"/>
    <w:rsid w:val="00ED0288"/>
    <w:rsid w:val="00EE52CB"/>
    <w:rsid w:val="00EF581D"/>
    <w:rsid w:val="00EF7FD8"/>
    <w:rsid w:val="00F06F59"/>
    <w:rsid w:val="00F17988"/>
    <w:rsid w:val="00F469F0"/>
    <w:rsid w:val="00F53273"/>
    <w:rsid w:val="00F755E4"/>
    <w:rsid w:val="00F77D02"/>
    <w:rsid w:val="00FB3A86"/>
    <w:rsid w:val="00FD36C8"/>
    <w:rsid w:val="00FF38BC"/>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rules v:ext="edit">
        <o:r id="V:Rule1" type="connector" idref="#_x0000_s1026"/>
      </o:rules>
    </o:shapelayout>
  </w:shapeDefaults>
  <w:decimalSymbol w:val="."/>
  <w:listSeparator w:val=","/>
  <w15:docId w15:val="{6F52636C-EC04-4B97-92A6-4FD7D6105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iPriority="5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paragraph" w:styleId="Heading2">
    <w:name w:val="heading 2"/>
    <w:basedOn w:val="Normal"/>
    <w:next w:val="Normal"/>
    <w:link w:val="Heading2Char"/>
    <w:unhideWhenUsed/>
    <w:qFormat/>
    <w:rsid w:val="00063FF7"/>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8322DA"/>
    <w:pPr>
      <w:keepNext/>
      <w:keepLines/>
      <w:spacing w:before="200"/>
      <w:outlineLvl w:val="2"/>
    </w:pPr>
    <w:rPr>
      <w:rFonts w:asciiTheme="majorHAnsi" w:eastAsiaTheme="majorEastAsia" w:hAnsiTheme="majorHAnsi" w:cstheme="majorBidi"/>
      <w:b/>
      <w:bCs/>
      <w:color w:val="4F81BD" w:themeColor="accent1"/>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customStyle="1" w:styleId="UnresolvedMention1">
    <w:name w:val="Unresolved Mention1"/>
    <w:basedOn w:val="DefaultParagraphFont"/>
    <w:uiPriority w:val="99"/>
    <w:semiHidden/>
    <w:unhideWhenUsed/>
    <w:rsid w:val="00287E68"/>
    <w:rPr>
      <w:color w:val="605E5C"/>
      <w:shd w:val="clear" w:color="auto" w:fill="E1DFDD"/>
    </w:rPr>
  </w:style>
  <w:style w:type="character" w:customStyle="1" w:styleId="Heading2Char">
    <w:name w:val="Heading 2 Char"/>
    <w:basedOn w:val="DefaultParagraphFont"/>
    <w:link w:val="Heading2"/>
    <w:rsid w:val="00063FF7"/>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unhideWhenUsed/>
    <w:rsid w:val="00063FF7"/>
    <w:pPr>
      <w:spacing w:before="100" w:beforeAutospacing="1" w:after="100" w:afterAutospacing="1"/>
    </w:pPr>
    <w:rPr>
      <w:rFonts w:ascii="Times New Roman" w:hAnsi="Times New Roman"/>
      <w:sz w:val="24"/>
      <w:szCs w:val="24"/>
      <w:lang w:val="en-IN" w:eastAsia="en-IN"/>
    </w:rPr>
  </w:style>
  <w:style w:type="character" w:styleId="Strong">
    <w:name w:val="Strong"/>
    <w:basedOn w:val="DefaultParagraphFont"/>
    <w:uiPriority w:val="22"/>
    <w:qFormat/>
    <w:rsid w:val="00063FF7"/>
    <w:rPr>
      <w:b/>
      <w:bCs/>
    </w:rPr>
  </w:style>
  <w:style w:type="character" w:customStyle="1" w:styleId="Heading3Char">
    <w:name w:val="Heading 3 Char"/>
    <w:basedOn w:val="DefaultParagraphFont"/>
    <w:link w:val="Heading3"/>
    <w:uiPriority w:val="9"/>
    <w:rsid w:val="008322DA"/>
    <w:rPr>
      <w:rFonts w:asciiTheme="majorHAnsi" w:eastAsiaTheme="majorEastAsia" w:hAnsiTheme="majorHAnsi" w:cstheme="majorBidi"/>
      <w:b/>
      <w:bCs/>
      <w:color w:val="4F81BD" w:themeColor="accent1"/>
      <w:sz w:val="24"/>
      <w:szCs w:val="24"/>
    </w:rPr>
  </w:style>
  <w:style w:type="paragraph" w:styleId="ListParagraph">
    <w:name w:val="List Paragraph"/>
    <w:basedOn w:val="Normal"/>
    <w:uiPriority w:val="34"/>
    <w:qFormat/>
    <w:rsid w:val="008322DA"/>
    <w:pPr>
      <w:ind w:left="720"/>
      <w:contextualSpacing/>
    </w:pPr>
    <w:rPr>
      <w:rFonts w:ascii="Times New Roman" w:hAnsi="Times New Roman"/>
      <w:sz w:val="24"/>
      <w:szCs w:val="24"/>
    </w:rPr>
  </w:style>
  <w:style w:type="character" w:customStyle="1" w:styleId="UnresolvedMention2">
    <w:name w:val="Unresolved Mention2"/>
    <w:basedOn w:val="DefaultParagraphFont"/>
    <w:uiPriority w:val="99"/>
    <w:semiHidden/>
    <w:unhideWhenUsed/>
    <w:rsid w:val="00E2323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0883425">
      <w:bodyDiv w:val="1"/>
      <w:marLeft w:val="0"/>
      <w:marRight w:val="0"/>
      <w:marTop w:val="0"/>
      <w:marBottom w:val="0"/>
      <w:divBdr>
        <w:top w:val="none" w:sz="0" w:space="0" w:color="auto"/>
        <w:left w:val="none" w:sz="0" w:space="0" w:color="auto"/>
        <w:bottom w:val="none" w:sz="0" w:space="0" w:color="auto"/>
        <w:right w:val="none" w:sz="0" w:space="0" w:color="auto"/>
      </w:divBdr>
      <w:divsChild>
        <w:div w:id="1327129293">
          <w:marLeft w:val="0"/>
          <w:marRight w:val="0"/>
          <w:marTop w:val="0"/>
          <w:marBottom w:val="0"/>
          <w:divBdr>
            <w:top w:val="none" w:sz="0" w:space="0" w:color="auto"/>
            <w:left w:val="none" w:sz="0" w:space="0" w:color="auto"/>
            <w:bottom w:val="none" w:sz="0" w:space="0" w:color="auto"/>
            <w:right w:val="none" w:sz="0" w:space="0" w:color="auto"/>
          </w:divBdr>
        </w:div>
      </w:divsChild>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2861884">
      <w:bodyDiv w:val="1"/>
      <w:marLeft w:val="0"/>
      <w:marRight w:val="0"/>
      <w:marTop w:val="0"/>
      <w:marBottom w:val="0"/>
      <w:divBdr>
        <w:top w:val="none" w:sz="0" w:space="0" w:color="auto"/>
        <w:left w:val="none" w:sz="0" w:space="0" w:color="auto"/>
        <w:bottom w:val="none" w:sz="0" w:space="0" w:color="auto"/>
        <w:right w:val="none" w:sz="0" w:space="0" w:color="auto"/>
      </w:divBdr>
      <w:divsChild>
        <w:div w:id="383333527">
          <w:marLeft w:val="0"/>
          <w:marRight w:val="0"/>
          <w:marTop w:val="0"/>
          <w:marBottom w:val="0"/>
          <w:divBdr>
            <w:top w:val="none" w:sz="0" w:space="0" w:color="auto"/>
            <w:left w:val="none" w:sz="0" w:space="0" w:color="auto"/>
            <w:bottom w:val="none" w:sz="0" w:space="0" w:color="auto"/>
            <w:right w:val="none" w:sz="0" w:space="0" w:color="auto"/>
          </w:divBdr>
        </w:div>
      </w:divsChild>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322856959">
      <w:bodyDiv w:val="1"/>
      <w:marLeft w:val="0"/>
      <w:marRight w:val="0"/>
      <w:marTop w:val="0"/>
      <w:marBottom w:val="0"/>
      <w:divBdr>
        <w:top w:val="none" w:sz="0" w:space="0" w:color="auto"/>
        <w:left w:val="none" w:sz="0" w:space="0" w:color="auto"/>
        <w:bottom w:val="none" w:sz="0" w:space="0" w:color="auto"/>
        <w:right w:val="none" w:sz="0" w:space="0" w:color="auto"/>
      </w:divBdr>
      <w:divsChild>
        <w:div w:id="554583372">
          <w:marLeft w:val="0"/>
          <w:marRight w:val="0"/>
          <w:marTop w:val="0"/>
          <w:marBottom w:val="0"/>
          <w:divBdr>
            <w:top w:val="none" w:sz="0" w:space="0" w:color="auto"/>
            <w:left w:val="none" w:sz="0" w:space="0" w:color="auto"/>
            <w:bottom w:val="none" w:sz="0" w:space="0" w:color="auto"/>
            <w:right w:val="none" w:sz="0" w:space="0" w:color="auto"/>
          </w:divBdr>
        </w:div>
      </w:divsChild>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699093667">
      <w:bodyDiv w:val="1"/>
      <w:marLeft w:val="0"/>
      <w:marRight w:val="0"/>
      <w:marTop w:val="0"/>
      <w:marBottom w:val="0"/>
      <w:divBdr>
        <w:top w:val="none" w:sz="0" w:space="0" w:color="auto"/>
        <w:left w:val="none" w:sz="0" w:space="0" w:color="auto"/>
        <w:bottom w:val="none" w:sz="0" w:space="0" w:color="auto"/>
        <w:right w:val="none" w:sz="0" w:space="0" w:color="auto"/>
      </w:divBdr>
      <w:divsChild>
        <w:div w:id="725179229">
          <w:marLeft w:val="0"/>
          <w:marRight w:val="0"/>
          <w:marTop w:val="0"/>
          <w:marBottom w:val="0"/>
          <w:divBdr>
            <w:top w:val="none" w:sz="0" w:space="0" w:color="auto"/>
            <w:left w:val="none" w:sz="0" w:space="0" w:color="auto"/>
            <w:bottom w:val="none" w:sz="0" w:space="0" w:color="auto"/>
            <w:right w:val="none" w:sz="0" w:space="0" w:color="auto"/>
          </w:divBdr>
        </w:div>
      </w:divsChild>
    </w:div>
    <w:div w:id="834609982">
      <w:bodyDiv w:val="1"/>
      <w:marLeft w:val="0"/>
      <w:marRight w:val="0"/>
      <w:marTop w:val="0"/>
      <w:marBottom w:val="0"/>
      <w:divBdr>
        <w:top w:val="none" w:sz="0" w:space="0" w:color="auto"/>
        <w:left w:val="none" w:sz="0" w:space="0" w:color="auto"/>
        <w:bottom w:val="none" w:sz="0" w:space="0" w:color="auto"/>
        <w:right w:val="none" w:sz="0" w:space="0" w:color="auto"/>
      </w:divBdr>
      <w:divsChild>
        <w:div w:id="758065403">
          <w:marLeft w:val="0"/>
          <w:marRight w:val="0"/>
          <w:marTop w:val="0"/>
          <w:marBottom w:val="0"/>
          <w:divBdr>
            <w:top w:val="none" w:sz="0" w:space="0" w:color="auto"/>
            <w:left w:val="none" w:sz="0" w:space="0" w:color="auto"/>
            <w:bottom w:val="none" w:sz="0" w:space="0" w:color="auto"/>
            <w:right w:val="none" w:sz="0" w:space="0" w:color="auto"/>
          </w:divBdr>
        </w:div>
      </w:divsChild>
    </w:div>
    <w:div w:id="928540814">
      <w:bodyDiv w:val="1"/>
      <w:marLeft w:val="0"/>
      <w:marRight w:val="0"/>
      <w:marTop w:val="0"/>
      <w:marBottom w:val="0"/>
      <w:divBdr>
        <w:top w:val="none" w:sz="0" w:space="0" w:color="auto"/>
        <w:left w:val="none" w:sz="0" w:space="0" w:color="auto"/>
        <w:bottom w:val="none" w:sz="0" w:space="0" w:color="auto"/>
        <w:right w:val="none" w:sz="0" w:space="0" w:color="auto"/>
      </w:divBdr>
      <w:divsChild>
        <w:div w:id="2050178160">
          <w:marLeft w:val="0"/>
          <w:marRight w:val="0"/>
          <w:marTop w:val="0"/>
          <w:marBottom w:val="0"/>
          <w:divBdr>
            <w:top w:val="none" w:sz="0" w:space="0" w:color="auto"/>
            <w:left w:val="none" w:sz="0" w:space="0" w:color="auto"/>
            <w:bottom w:val="none" w:sz="0" w:space="0" w:color="auto"/>
            <w:right w:val="none" w:sz="0" w:space="0" w:color="auto"/>
          </w:divBdr>
        </w:div>
      </w:divsChild>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135441643">
      <w:bodyDiv w:val="1"/>
      <w:marLeft w:val="0"/>
      <w:marRight w:val="0"/>
      <w:marTop w:val="0"/>
      <w:marBottom w:val="0"/>
      <w:divBdr>
        <w:top w:val="none" w:sz="0" w:space="0" w:color="auto"/>
        <w:left w:val="none" w:sz="0" w:space="0" w:color="auto"/>
        <w:bottom w:val="none" w:sz="0" w:space="0" w:color="auto"/>
        <w:right w:val="none" w:sz="0" w:space="0" w:color="auto"/>
      </w:divBdr>
    </w:div>
    <w:div w:id="1216046886">
      <w:bodyDiv w:val="1"/>
      <w:marLeft w:val="0"/>
      <w:marRight w:val="0"/>
      <w:marTop w:val="0"/>
      <w:marBottom w:val="0"/>
      <w:divBdr>
        <w:top w:val="none" w:sz="0" w:space="0" w:color="auto"/>
        <w:left w:val="none" w:sz="0" w:space="0" w:color="auto"/>
        <w:bottom w:val="none" w:sz="0" w:space="0" w:color="auto"/>
        <w:right w:val="none" w:sz="0" w:space="0" w:color="auto"/>
      </w:divBdr>
      <w:divsChild>
        <w:div w:id="276835186">
          <w:marLeft w:val="0"/>
          <w:marRight w:val="0"/>
          <w:marTop w:val="0"/>
          <w:marBottom w:val="0"/>
          <w:divBdr>
            <w:top w:val="none" w:sz="0" w:space="0" w:color="auto"/>
            <w:left w:val="none" w:sz="0" w:space="0" w:color="auto"/>
            <w:bottom w:val="none" w:sz="0" w:space="0" w:color="auto"/>
            <w:right w:val="none" w:sz="0" w:space="0" w:color="auto"/>
          </w:divBdr>
        </w:div>
      </w:divsChild>
    </w:div>
    <w:div w:id="1277829105">
      <w:bodyDiv w:val="1"/>
      <w:marLeft w:val="0"/>
      <w:marRight w:val="0"/>
      <w:marTop w:val="0"/>
      <w:marBottom w:val="0"/>
      <w:divBdr>
        <w:top w:val="none" w:sz="0" w:space="0" w:color="auto"/>
        <w:left w:val="none" w:sz="0" w:space="0" w:color="auto"/>
        <w:bottom w:val="none" w:sz="0" w:space="0" w:color="auto"/>
        <w:right w:val="none" w:sz="0" w:space="0" w:color="auto"/>
      </w:divBdr>
      <w:divsChild>
        <w:div w:id="380397430">
          <w:marLeft w:val="0"/>
          <w:marRight w:val="0"/>
          <w:marTop w:val="0"/>
          <w:marBottom w:val="0"/>
          <w:divBdr>
            <w:top w:val="none" w:sz="0" w:space="0" w:color="auto"/>
            <w:left w:val="none" w:sz="0" w:space="0" w:color="auto"/>
            <w:bottom w:val="none" w:sz="0" w:space="0" w:color="auto"/>
            <w:right w:val="none" w:sz="0" w:space="0" w:color="auto"/>
          </w:divBdr>
        </w:div>
      </w:divsChild>
    </w:div>
    <w:div w:id="1378116400">
      <w:bodyDiv w:val="1"/>
      <w:marLeft w:val="0"/>
      <w:marRight w:val="0"/>
      <w:marTop w:val="0"/>
      <w:marBottom w:val="0"/>
      <w:divBdr>
        <w:top w:val="none" w:sz="0" w:space="0" w:color="auto"/>
        <w:left w:val="none" w:sz="0" w:space="0" w:color="auto"/>
        <w:bottom w:val="none" w:sz="0" w:space="0" w:color="auto"/>
        <w:right w:val="none" w:sz="0" w:space="0" w:color="auto"/>
      </w:divBdr>
      <w:divsChild>
        <w:div w:id="1966739669">
          <w:marLeft w:val="0"/>
          <w:marRight w:val="0"/>
          <w:marTop w:val="0"/>
          <w:marBottom w:val="0"/>
          <w:divBdr>
            <w:top w:val="none" w:sz="0" w:space="0" w:color="auto"/>
            <w:left w:val="none" w:sz="0" w:space="0" w:color="auto"/>
            <w:bottom w:val="none" w:sz="0" w:space="0" w:color="auto"/>
            <w:right w:val="none" w:sz="0" w:space="0" w:color="auto"/>
          </w:divBdr>
        </w:div>
      </w:divsChild>
    </w:div>
    <w:div w:id="1379620488">
      <w:bodyDiv w:val="1"/>
      <w:marLeft w:val="0"/>
      <w:marRight w:val="0"/>
      <w:marTop w:val="0"/>
      <w:marBottom w:val="0"/>
      <w:divBdr>
        <w:top w:val="none" w:sz="0" w:space="0" w:color="auto"/>
        <w:left w:val="none" w:sz="0" w:space="0" w:color="auto"/>
        <w:bottom w:val="none" w:sz="0" w:space="0" w:color="auto"/>
        <w:right w:val="none" w:sz="0" w:space="0" w:color="auto"/>
      </w:divBdr>
      <w:divsChild>
        <w:div w:id="933125943">
          <w:marLeft w:val="0"/>
          <w:marRight w:val="0"/>
          <w:marTop w:val="0"/>
          <w:marBottom w:val="0"/>
          <w:divBdr>
            <w:top w:val="none" w:sz="0" w:space="0" w:color="auto"/>
            <w:left w:val="none" w:sz="0" w:space="0" w:color="auto"/>
            <w:bottom w:val="none" w:sz="0" w:space="0" w:color="auto"/>
            <w:right w:val="none" w:sz="0" w:space="0" w:color="auto"/>
          </w:divBdr>
        </w:div>
      </w:divsChild>
    </w:div>
    <w:div w:id="1386569072">
      <w:bodyDiv w:val="1"/>
      <w:marLeft w:val="0"/>
      <w:marRight w:val="0"/>
      <w:marTop w:val="0"/>
      <w:marBottom w:val="0"/>
      <w:divBdr>
        <w:top w:val="none" w:sz="0" w:space="0" w:color="auto"/>
        <w:left w:val="none" w:sz="0" w:space="0" w:color="auto"/>
        <w:bottom w:val="none" w:sz="0" w:space="0" w:color="auto"/>
        <w:right w:val="none" w:sz="0" w:space="0" w:color="auto"/>
      </w:divBdr>
      <w:divsChild>
        <w:div w:id="1120802599">
          <w:marLeft w:val="0"/>
          <w:marRight w:val="0"/>
          <w:marTop w:val="0"/>
          <w:marBottom w:val="0"/>
          <w:divBdr>
            <w:top w:val="none" w:sz="0" w:space="0" w:color="auto"/>
            <w:left w:val="none" w:sz="0" w:space="0" w:color="auto"/>
            <w:bottom w:val="none" w:sz="0" w:space="0" w:color="auto"/>
            <w:right w:val="none" w:sz="0" w:space="0" w:color="auto"/>
          </w:divBdr>
        </w:div>
      </w:divsChild>
    </w:div>
    <w:div w:id="1472795024">
      <w:bodyDiv w:val="1"/>
      <w:marLeft w:val="0"/>
      <w:marRight w:val="0"/>
      <w:marTop w:val="0"/>
      <w:marBottom w:val="0"/>
      <w:divBdr>
        <w:top w:val="none" w:sz="0" w:space="0" w:color="auto"/>
        <w:left w:val="none" w:sz="0" w:space="0" w:color="auto"/>
        <w:bottom w:val="none" w:sz="0" w:space="0" w:color="auto"/>
        <w:right w:val="none" w:sz="0" w:space="0" w:color="auto"/>
      </w:divBdr>
      <w:divsChild>
        <w:div w:id="2090534651">
          <w:marLeft w:val="0"/>
          <w:marRight w:val="0"/>
          <w:marTop w:val="0"/>
          <w:marBottom w:val="0"/>
          <w:divBdr>
            <w:top w:val="none" w:sz="0" w:space="0" w:color="auto"/>
            <w:left w:val="none" w:sz="0" w:space="0" w:color="auto"/>
            <w:bottom w:val="none" w:sz="0" w:space="0" w:color="auto"/>
            <w:right w:val="none" w:sz="0" w:space="0" w:color="auto"/>
          </w:divBdr>
        </w:div>
      </w:divsChild>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806041998">
      <w:bodyDiv w:val="1"/>
      <w:marLeft w:val="0"/>
      <w:marRight w:val="0"/>
      <w:marTop w:val="0"/>
      <w:marBottom w:val="0"/>
      <w:divBdr>
        <w:top w:val="none" w:sz="0" w:space="0" w:color="auto"/>
        <w:left w:val="none" w:sz="0" w:space="0" w:color="auto"/>
        <w:bottom w:val="none" w:sz="0" w:space="0" w:color="auto"/>
        <w:right w:val="none" w:sz="0" w:space="0" w:color="auto"/>
      </w:divBdr>
      <w:divsChild>
        <w:div w:id="960452337">
          <w:marLeft w:val="0"/>
          <w:marRight w:val="0"/>
          <w:marTop w:val="0"/>
          <w:marBottom w:val="0"/>
          <w:divBdr>
            <w:top w:val="none" w:sz="0" w:space="0" w:color="auto"/>
            <w:left w:val="none" w:sz="0" w:space="0" w:color="auto"/>
            <w:bottom w:val="none" w:sz="0" w:space="0" w:color="auto"/>
            <w:right w:val="none" w:sz="0" w:space="0" w:color="auto"/>
          </w:divBdr>
        </w:div>
      </w:divsChild>
    </w:div>
    <w:div w:id="1931425397">
      <w:bodyDiv w:val="1"/>
      <w:marLeft w:val="0"/>
      <w:marRight w:val="0"/>
      <w:marTop w:val="0"/>
      <w:marBottom w:val="0"/>
      <w:divBdr>
        <w:top w:val="none" w:sz="0" w:space="0" w:color="auto"/>
        <w:left w:val="none" w:sz="0" w:space="0" w:color="auto"/>
        <w:bottom w:val="none" w:sz="0" w:space="0" w:color="auto"/>
        <w:right w:val="none" w:sz="0" w:space="0" w:color="auto"/>
      </w:divBdr>
      <w:divsChild>
        <w:div w:id="1081875387">
          <w:marLeft w:val="0"/>
          <w:marRight w:val="0"/>
          <w:marTop w:val="0"/>
          <w:marBottom w:val="0"/>
          <w:divBdr>
            <w:top w:val="none" w:sz="0" w:space="0" w:color="auto"/>
            <w:left w:val="none" w:sz="0" w:space="0" w:color="auto"/>
            <w:bottom w:val="none" w:sz="0" w:space="0" w:color="auto"/>
            <w:right w:val="none" w:sz="0" w:space="0" w:color="auto"/>
          </w:divBdr>
        </w:div>
      </w:divsChild>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4.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0900426251631862"/>
          <c:y val="8.6724615512594236E-2"/>
          <c:w val="0.77547448885086268"/>
          <c:h val="0.66478297739200465"/>
        </c:manualLayout>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Sheet1!$C$42:$D$42</c:f>
              <c:strCache>
                <c:ptCount val="2"/>
                <c:pt idx="0">
                  <c:v>Male</c:v>
                </c:pt>
                <c:pt idx="1">
                  <c:v>Female</c:v>
                </c:pt>
              </c:strCache>
            </c:strRef>
          </c:cat>
          <c:val>
            <c:numRef>
              <c:f>Sheet1!$C$43:$D$43</c:f>
              <c:numCache>
                <c:formatCode>General</c:formatCode>
                <c:ptCount val="2"/>
                <c:pt idx="0">
                  <c:v>27.630000000000031</c:v>
                </c:pt>
                <c:pt idx="1">
                  <c:v>22.939999999999987</c:v>
                </c:pt>
              </c:numCache>
            </c:numRef>
          </c:val>
          <c:extLst>
            <c:ext xmlns:c16="http://schemas.microsoft.com/office/drawing/2014/chart" uri="{C3380CC4-5D6E-409C-BE32-E72D297353CC}">
              <c16:uniqueId val="{00000000-5A0B-4013-9CEF-CC471F023E16}"/>
            </c:ext>
          </c:extLst>
        </c:ser>
        <c:dLbls>
          <c:showLegendKey val="0"/>
          <c:showVal val="0"/>
          <c:showCatName val="0"/>
          <c:showSerName val="0"/>
          <c:showPercent val="0"/>
          <c:showBubbleSize val="0"/>
        </c:dLbls>
        <c:gapWidth val="150"/>
        <c:axId val="97835264"/>
        <c:axId val="97988992"/>
      </c:barChart>
      <c:catAx>
        <c:axId val="97835264"/>
        <c:scaling>
          <c:orientation val="minMax"/>
        </c:scaling>
        <c:delete val="0"/>
        <c:axPos val="b"/>
        <c:numFmt formatCode="General" sourceLinked="1"/>
        <c:majorTickMark val="none"/>
        <c:minorTickMark val="none"/>
        <c:tickLblPos val="nextTo"/>
        <c:spPr>
          <a:ln w="28134">
            <a:solidFill>
              <a:srgbClr val="000000"/>
            </a:solidFill>
            <a:prstDash val="solid"/>
          </a:ln>
        </c:spPr>
        <c:txPr>
          <a:bodyPr rot="0" vert="horz"/>
          <a:lstStyle/>
          <a:p>
            <a:pPr>
              <a:defRPr lang="en-US" sz="1108" b="0" i="0" u="none" strike="noStrike" baseline="0">
                <a:solidFill>
                  <a:srgbClr val="000000"/>
                </a:solidFill>
                <a:latin typeface="Arial"/>
                <a:ea typeface="Arial"/>
                <a:cs typeface="Arial"/>
              </a:defRPr>
            </a:pPr>
            <a:endParaRPr lang="en-US"/>
          </a:p>
        </c:txPr>
        <c:crossAx val="97988992"/>
        <c:crosses val="autoZero"/>
        <c:auto val="1"/>
        <c:lblAlgn val="ctr"/>
        <c:lblOffset val="100"/>
        <c:tickLblSkip val="1"/>
        <c:tickMarkSkip val="1"/>
        <c:noMultiLvlLbl val="0"/>
      </c:catAx>
      <c:valAx>
        <c:axId val="97988992"/>
        <c:scaling>
          <c:orientation val="minMax"/>
        </c:scaling>
        <c:delete val="0"/>
        <c:axPos val="l"/>
        <c:numFmt formatCode="General" sourceLinked="1"/>
        <c:majorTickMark val="none"/>
        <c:minorTickMark val="none"/>
        <c:tickLblPos val="nextTo"/>
        <c:spPr>
          <a:ln w="28134">
            <a:solidFill>
              <a:srgbClr val="000000"/>
            </a:solidFill>
            <a:prstDash val="solid"/>
          </a:ln>
        </c:spPr>
        <c:txPr>
          <a:bodyPr rot="0" vert="horz"/>
          <a:lstStyle/>
          <a:p>
            <a:pPr>
              <a:defRPr lang="en-US" sz="1108" b="0" i="0" u="none" strike="noStrike" baseline="0">
                <a:solidFill>
                  <a:srgbClr val="000000"/>
                </a:solidFill>
                <a:latin typeface="Arial"/>
                <a:ea typeface="Arial"/>
                <a:cs typeface="Arial"/>
              </a:defRPr>
            </a:pPr>
            <a:endParaRPr lang="en-US"/>
          </a:p>
        </c:txPr>
        <c:crossAx val="97835264"/>
        <c:crosses val="autoZero"/>
        <c:crossBetween val="between"/>
      </c:valAx>
      <c:spPr>
        <a:noFill/>
        <a:ln w="28134">
          <a:noFill/>
        </a:ln>
      </c:spPr>
    </c:plotArea>
    <c:plotVisOnly val="1"/>
    <c:dispBlanksAs val="gap"/>
    <c:showDLblsOverMax val="0"/>
  </c:chart>
  <c:spPr>
    <a:solidFill>
      <a:srgbClr val="FFFFFF"/>
    </a:solidFill>
    <a:ln w="3517">
      <a:solidFill>
        <a:srgbClr val="000000"/>
      </a:solidFill>
      <a:prstDash val="solid"/>
    </a:ln>
  </c:spPr>
  <c:txPr>
    <a:bodyPr/>
    <a:lstStyle/>
    <a:p>
      <a:pPr>
        <a:defRPr sz="1108" b="0" i="0" u="none" strike="noStrike" baseline="0">
          <a:solidFill>
            <a:srgbClr val="000000"/>
          </a:solidFill>
          <a:latin typeface="Arial"/>
          <a:ea typeface="Arial"/>
          <a:cs typeface="Arial"/>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70019217565613"/>
          <c:y val="8.4173917654168429E-2"/>
          <c:w val="0.8242251157826701"/>
          <c:h val="0.67464220059663305"/>
        </c:manualLayout>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Sheet1!$C$56:$D$56</c:f>
              <c:strCache>
                <c:ptCount val="2"/>
                <c:pt idx="0">
                  <c:v>Rural Male</c:v>
                </c:pt>
                <c:pt idx="1">
                  <c:v>Rural Female</c:v>
                </c:pt>
              </c:strCache>
            </c:strRef>
          </c:cat>
          <c:val>
            <c:numRef>
              <c:f>Sheet1!$C$57:$D$57</c:f>
              <c:numCache>
                <c:formatCode>General</c:formatCode>
                <c:ptCount val="2"/>
                <c:pt idx="0">
                  <c:v>26.130000000000031</c:v>
                </c:pt>
                <c:pt idx="1">
                  <c:v>22.25</c:v>
                </c:pt>
              </c:numCache>
            </c:numRef>
          </c:val>
          <c:extLst>
            <c:ext xmlns:c16="http://schemas.microsoft.com/office/drawing/2014/chart" uri="{C3380CC4-5D6E-409C-BE32-E72D297353CC}">
              <c16:uniqueId val="{00000000-3CA1-4B96-AD43-1F6925FA689A}"/>
            </c:ext>
          </c:extLst>
        </c:ser>
        <c:dLbls>
          <c:showLegendKey val="0"/>
          <c:showVal val="0"/>
          <c:showCatName val="0"/>
          <c:showSerName val="0"/>
          <c:showPercent val="0"/>
          <c:showBubbleSize val="0"/>
        </c:dLbls>
        <c:gapWidth val="150"/>
        <c:axId val="100570240"/>
        <c:axId val="116003968"/>
      </c:barChart>
      <c:catAx>
        <c:axId val="100570240"/>
        <c:scaling>
          <c:orientation val="minMax"/>
        </c:scaling>
        <c:delete val="0"/>
        <c:axPos val="b"/>
        <c:numFmt formatCode="General" sourceLinked="1"/>
        <c:majorTickMark val="none"/>
        <c:minorTickMark val="none"/>
        <c:tickLblPos val="nextTo"/>
        <c:spPr>
          <a:ln w="28034">
            <a:solidFill>
              <a:srgbClr val="000000"/>
            </a:solidFill>
            <a:prstDash val="solid"/>
          </a:ln>
        </c:spPr>
        <c:txPr>
          <a:bodyPr rot="0" vert="horz"/>
          <a:lstStyle/>
          <a:p>
            <a:pPr>
              <a:defRPr lang="en-US" sz="1104" b="0" i="0" u="none" strike="noStrike" baseline="0">
                <a:solidFill>
                  <a:srgbClr val="000000"/>
                </a:solidFill>
                <a:latin typeface="Arial"/>
                <a:ea typeface="Arial"/>
                <a:cs typeface="Arial"/>
              </a:defRPr>
            </a:pPr>
            <a:endParaRPr lang="en-US"/>
          </a:p>
        </c:txPr>
        <c:crossAx val="116003968"/>
        <c:crosses val="autoZero"/>
        <c:auto val="1"/>
        <c:lblAlgn val="ctr"/>
        <c:lblOffset val="100"/>
        <c:tickLblSkip val="1"/>
        <c:tickMarkSkip val="1"/>
        <c:noMultiLvlLbl val="0"/>
      </c:catAx>
      <c:valAx>
        <c:axId val="116003968"/>
        <c:scaling>
          <c:orientation val="minMax"/>
        </c:scaling>
        <c:delete val="0"/>
        <c:axPos val="l"/>
        <c:numFmt formatCode="General" sourceLinked="1"/>
        <c:majorTickMark val="none"/>
        <c:minorTickMark val="none"/>
        <c:tickLblPos val="nextTo"/>
        <c:spPr>
          <a:ln w="28034">
            <a:solidFill>
              <a:srgbClr val="000000"/>
            </a:solidFill>
            <a:prstDash val="solid"/>
          </a:ln>
        </c:spPr>
        <c:txPr>
          <a:bodyPr rot="0" vert="horz"/>
          <a:lstStyle/>
          <a:p>
            <a:pPr>
              <a:defRPr lang="en-US" sz="1104" b="0" i="0" u="none" strike="noStrike" baseline="0">
                <a:solidFill>
                  <a:srgbClr val="000000"/>
                </a:solidFill>
                <a:latin typeface="Arial"/>
                <a:ea typeface="Arial"/>
                <a:cs typeface="Arial"/>
              </a:defRPr>
            </a:pPr>
            <a:endParaRPr lang="en-US"/>
          </a:p>
        </c:txPr>
        <c:crossAx val="100570240"/>
        <c:crosses val="autoZero"/>
        <c:crossBetween val="between"/>
      </c:valAx>
      <c:spPr>
        <a:noFill/>
        <a:ln w="28034">
          <a:noFill/>
        </a:ln>
      </c:spPr>
    </c:plotArea>
    <c:plotVisOnly val="1"/>
    <c:dispBlanksAs val="gap"/>
    <c:showDLblsOverMax val="0"/>
  </c:chart>
  <c:spPr>
    <a:solidFill>
      <a:srgbClr val="FFFFFF"/>
    </a:solidFill>
    <a:ln w="3504">
      <a:solidFill>
        <a:srgbClr val="000000"/>
      </a:solidFill>
      <a:prstDash val="solid"/>
    </a:ln>
  </c:spPr>
  <c:txPr>
    <a:bodyPr/>
    <a:lstStyle/>
    <a:p>
      <a:pPr>
        <a:defRPr sz="1104" b="0" i="0" u="none" strike="noStrike" baseline="0">
          <a:solidFill>
            <a:srgbClr val="000000"/>
          </a:solidFill>
          <a:latin typeface="Arial"/>
          <a:ea typeface="Arial"/>
          <a:cs typeface="Arial"/>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355294841924574"/>
          <c:y val="8.3809523809523806E-2"/>
          <c:w val="0.78798550958514069"/>
          <c:h val="0.67605069366330117"/>
        </c:manualLayout>
      </c:layout>
      <c:barChart>
        <c:barDir val="col"/>
        <c:grouping val="clustered"/>
        <c:varyColors val="0"/>
        <c:ser>
          <c:idx val="0"/>
          <c:order val="0"/>
          <c:invertIfNegative val="0"/>
          <c:dLbls>
            <c:spPr>
              <a:noFill/>
              <a:ln>
                <a:noFill/>
              </a:ln>
              <a:effectLst/>
            </c:spPr>
            <c:txPr>
              <a:bodyPr/>
              <a:lstStyle/>
              <a:p>
                <a:pPr>
                  <a:defRPr lang="en-US"/>
                </a:pPr>
                <a:endParaRPr lang="en-US"/>
              </a:p>
            </c:txPr>
            <c:showLegendKey val="0"/>
            <c:showVal val="1"/>
            <c:showCatName val="0"/>
            <c:showSerName val="0"/>
            <c:showPercent val="0"/>
            <c:showBubbleSize val="0"/>
            <c:showLeaderLines val="0"/>
            <c:extLst>
              <c:ext xmlns:c15="http://schemas.microsoft.com/office/drawing/2012/chart" uri="{CE6537A1-D6FC-4f65-9D91-7224C49458BB}">
                <c15:showLeaderLines val="0"/>
              </c:ext>
            </c:extLst>
          </c:dLbls>
          <c:cat>
            <c:strRef>
              <c:f>Sheet1!$C$69:$D$69</c:f>
              <c:strCache>
                <c:ptCount val="2"/>
                <c:pt idx="0">
                  <c:v>Urban Male</c:v>
                </c:pt>
                <c:pt idx="1">
                  <c:v>Urban Female</c:v>
                </c:pt>
              </c:strCache>
            </c:strRef>
          </c:cat>
          <c:val>
            <c:numRef>
              <c:f>Sheet1!$C$70:$D$70</c:f>
              <c:numCache>
                <c:formatCode>General</c:formatCode>
                <c:ptCount val="2"/>
                <c:pt idx="0">
                  <c:v>29.130000000000031</c:v>
                </c:pt>
                <c:pt idx="1">
                  <c:v>23.630000000000031</c:v>
                </c:pt>
              </c:numCache>
            </c:numRef>
          </c:val>
          <c:extLst>
            <c:ext xmlns:c16="http://schemas.microsoft.com/office/drawing/2014/chart" uri="{C3380CC4-5D6E-409C-BE32-E72D297353CC}">
              <c16:uniqueId val="{00000000-55D0-42A7-887D-F133C4702FF0}"/>
            </c:ext>
          </c:extLst>
        </c:ser>
        <c:dLbls>
          <c:showLegendKey val="0"/>
          <c:showVal val="0"/>
          <c:showCatName val="0"/>
          <c:showSerName val="0"/>
          <c:showPercent val="0"/>
          <c:showBubbleSize val="0"/>
        </c:dLbls>
        <c:gapWidth val="150"/>
        <c:axId val="98197504"/>
        <c:axId val="98199040"/>
      </c:barChart>
      <c:catAx>
        <c:axId val="98197504"/>
        <c:scaling>
          <c:orientation val="minMax"/>
        </c:scaling>
        <c:delete val="0"/>
        <c:axPos val="b"/>
        <c:numFmt formatCode="General" sourceLinked="1"/>
        <c:majorTickMark val="none"/>
        <c:minorTickMark val="none"/>
        <c:tickLblPos val="nextTo"/>
        <c:spPr>
          <a:ln w="26659">
            <a:solidFill>
              <a:srgbClr val="000000"/>
            </a:solidFill>
            <a:prstDash val="solid"/>
          </a:ln>
        </c:spPr>
        <c:txPr>
          <a:bodyPr rot="0" vert="horz"/>
          <a:lstStyle/>
          <a:p>
            <a:pPr>
              <a:defRPr lang="en-US" sz="1050" b="0" i="0" u="none" strike="noStrike" baseline="0">
                <a:solidFill>
                  <a:srgbClr val="000000"/>
                </a:solidFill>
                <a:latin typeface="Arial"/>
                <a:ea typeface="Arial"/>
                <a:cs typeface="Arial"/>
              </a:defRPr>
            </a:pPr>
            <a:endParaRPr lang="en-US"/>
          </a:p>
        </c:txPr>
        <c:crossAx val="98199040"/>
        <c:crosses val="autoZero"/>
        <c:auto val="1"/>
        <c:lblAlgn val="ctr"/>
        <c:lblOffset val="100"/>
        <c:tickLblSkip val="1"/>
        <c:tickMarkSkip val="1"/>
        <c:noMultiLvlLbl val="0"/>
      </c:catAx>
      <c:valAx>
        <c:axId val="98199040"/>
        <c:scaling>
          <c:orientation val="minMax"/>
        </c:scaling>
        <c:delete val="0"/>
        <c:axPos val="l"/>
        <c:numFmt formatCode="General" sourceLinked="1"/>
        <c:majorTickMark val="none"/>
        <c:minorTickMark val="none"/>
        <c:tickLblPos val="nextTo"/>
        <c:spPr>
          <a:ln w="26659">
            <a:solidFill>
              <a:srgbClr val="000000"/>
            </a:solidFill>
            <a:prstDash val="solid"/>
          </a:ln>
        </c:spPr>
        <c:txPr>
          <a:bodyPr rot="0" vert="horz"/>
          <a:lstStyle/>
          <a:p>
            <a:pPr>
              <a:defRPr lang="en-US" sz="1050" b="0" i="0" u="none" strike="noStrike" baseline="0">
                <a:solidFill>
                  <a:srgbClr val="000000"/>
                </a:solidFill>
                <a:latin typeface="Arial"/>
                <a:ea typeface="Arial"/>
                <a:cs typeface="Arial"/>
              </a:defRPr>
            </a:pPr>
            <a:endParaRPr lang="en-US"/>
          </a:p>
        </c:txPr>
        <c:crossAx val="98197504"/>
        <c:crosses val="autoZero"/>
        <c:crossBetween val="between"/>
      </c:valAx>
      <c:spPr>
        <a:noFill/>
        <a:ln w="26659">
          <a:noFill/>
        </a:ln>
      </c:spPr>
    </c:plotArea>
    <c:plotVisOnly val="1"/>
    <c:dispBlanksAs val="gap"/>
    <c:showDLblsOverMax val="0"/>
  </c:chart>
  <c:spPr>
    <a:solidFill>
      <a:srgbClr val="FFFFFF"/>
    </a:solidFill>
    <a:ln w="3332">
      <a:solidFill>
        <a:srgbClr val="000000"/>
      </a:solidFill>
      <a:prstDash val="solid"/>
    </a:ln>
  </c:spPr>
  <c:txPr>
    <a:bodyPr/>
    <a:lstStyle/>
    <a:p>
      <a:pPr>
        <a:defRPr sz="1076" b="0" i="0" u="none" strike="noStrike" baseline="0">
          <a:solidFill>
            <a:srgbClr val="000000"/>
          </a:solidFill>
          <a:latin typeface="Arial"/>
          <a:ea typeface="Arial"/>
          <a:cs typeface="Arial"/>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25381B-25E4-4103-AC40-CED9B9165E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template.dot</Template>
  <TotalTime>4</TotalTime>
  <Pages>15</Pages>
  <Words>4103</Words>
  <Characters>23392</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Paper Template</vt:lpstr>
    </vt:vector>
  </TitlesOfParts>
  <Company>aaaa</Company>
  <LinksUpToDate>false</LinksUpToDate>
  <CharactersWithSpaces>27441</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1158</cp:lastModifiedBy>
  <cp:revision>5</cp:revision>
  <cp:lastPrinted>1999-07-06T11:00:00Z</cp:lastPrinted>
  <dcterms:created xsi:type="dcterms:W3CDTF">2026-02-06T17:06:00Z</dcterms:created>
  <dcterms:modified xsi:type="dcterms:W3CDTF">2026-02-14T05:31:00Z</dcterms:modified>
</cp:coreProperties>
</file>