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916B4" w14:textId="50686212" w:rsidR="00634CEE" w:rsidRPr="005B0F95" w:rsidRDefault="00E45725" w:rsidP="00E45725">
      <w:pPr>
        <w:spacing w:after="0" w:line="240" w:lineRule="auto"/>
        <w:jc w:val="center"/>
        <w:rPr>
          <w:rFonts w:ascii="Arial" w:hAnsi="Arial" w:cs="Arial"/>
          <w:b/>
          <w:bCs/>
          <w:sz w:val="24"/>
          <w:szCs w:val="24"/>
        </w:rPr>
      </w:pPr>
      <w:r w:rsidRPr="005B0F95">
        <w:rPr>
          <w:rFonts w:ascii="Arial" w:hAnsi="Arial" w:cs="Arial"/>
          <w:b/>
          <w:bCs/>
          <w:sz w:val="24"/>
          <w:szCs w:val="24"/>
        </w:rPr>
        <w:t>Enhancing English Phonetic Competence through Digital Micro-Teaching Strategies in Nigerian Secondary Schools</w:t>
      </w:r>
    </w:p>
    <w:p w14:paraId="12D83634" w14:textId="77777777" w:rsidR="00634CEE" w:rsidRPr="005B0F95" w:rsidRDefault="00634CEE" w:rsidP="00634CEE">
      <w:pPr>
        <w:spacing w:after="0" w:line="240" w:lineRule="auto"/>
        <w:rPr>
          <w:rFonts w:ascii="Arial" w:hAnsi="Arial" w:cs="Arial"/>
          <w:b/>
          <w:bCs/>
          <w:sz w:val="24"/>
          <w:szCs w:val="24"/>
        </w:rPr>
      </w:pPr>
    </w:p>
    <w:p w14:paraId="0C3D3C0C" w14:textId="77777777" w:rsidR="00634CEE" w:rsidRPr="005B0F95" w:rsidRDefault="00634CEE" w:rsidP="00B50270">
      <w:pPr>
        <w:rPr>
          <w:rFonts w:ascii="Arial" w:hAnsi="Arial" w:cs="Arial"/>
          <w:b/>
          <w:bCs/>
          <w:sz w:val="24"/>
          <w:szCs w:val="24"/>
        </w:rPr>
      </w:pPr>
    </w:p>
    <w:p w14:paraId="34DBF8B4" w14:textId="77777777" w:rsidR="00B5128C" w:rsidRPr="005B0F95" w:rsidRDefault="00B5128C" w:rsidP="00B50270">
      <w:pPr>
        <w:rPr>
          <w:rFonts w:ascii="Arial" w:hAnsi="Arial" w:cs="Arial"/>
          <w:b/>
          <w:bCs/>
          <w:sz w:val="24"/>
          <w:szCs w:val="24"/>
        </w:rPr>
      </w:pPr>
    </w:p>
    <w:p w14:paraId="569F37EE" w14:textId="73A671B3" w:rsidR="00634CEE" w:rsidRDefault="00634CEE" w:rsidP="00634CEE">
      <w:pPr>
        <w:spacing w:after="0" w:line="240" w:lineRule="auto"/>
        <w:jc w:val="both"/>
        <w:rPr>
          <w:rFonts w:ascii="Arial" w:hAnsi="Arial" w:cs="Arial"/>
          <w:b/>
          <w:sz w:val="24"/>
          <w:szCs w:val="24"/>
        </w:rPr>
      </w:pPr>
      <w:r w:rsidRPr="005B0F95">
        <w:rPr>
          <w:rFonts w:ascii="Arial" w:hAnsi="Arial" w:cs="Arial"/>
          <w:b/>
          <w:sz w:val="24"/>
          <w:szCs w:val="24"/>
        </w:rPr>
        <w:t>ABSTRACT</w:t>
      </w:r>
    </w:p>
    <w:p w14:paraId="5364D5E4" w14:textId="77777777" w:rsidR="004C0794" w:rsidRPr="005B0F95" w:rsidRDefault="004C0794" w:rsidP="00634CEE">
      <w:pPr>
        <w:spacing w:after="0" w:line="240" w:lineRule="auto"/>
        <w:jc w:val="both"/>
        <w:rPr>
          <w:rFonts w:ascii="Arial" w:hAnsi="Arial" w:cs="Arial"/>
          <w:b/>
          <w:sz w:val="24"/>
          <w:szCs w:val="24"/>
        </w:rPr>
      </w:pPr>
    </w:p>
    <w:p w14:paraId="4D102492" w14:textId="16781403" w:rsidR="00634CEE" w:rsidRDefault="00474AE7" w:rsidP="00634CEE">
      <w:pPr>
        <w:spacing w:after="0" w:line="240" w:lineRule="auto"/>
        <w:jc w:val="both"/>
        <w:rPr>
          <w:rFonts w:ascii="Arial" w:eastAsia="Times New Roman" w:hAnsi="Arial" w:cs="Arial"/>
          <w:kern w:val="0"/>
          <w:sz w:val="24"/>
          <w:szCs w:val="24"/>
          <w14:ligatures w14:val="none"/>
        </w:rPr>
      </w:pPr>
      <w:r w:rsidRPr="005B0F95">
        <w:rPr>
          <w:rFonts w:ascii="Arial" w:eastAsia="Times New Roman" w:hAnsi="Arial" w:cs="Arial"/>
          <w:kern w:val="0"/>
          <w:sz w:val="24"/>
          <w:szCs w:val="24"/>
          <w14:ligatures w14:val="none"/>
        </w:rPr>
        <w:t>The quasi-experimental study investigated the efficacy of digital micro-teaching techniques in improving phonetic competence in English of students in secondary schools in the Federal Capital Territory (FCT), Abuja, Nigeria. Digital technologies provided some hopeful solutions to long-term pronunciation problems especially in educational settings where resources are limited. Intact classes were used to select 60 Senior Secondary I students (n = 30 in experimental and n = 30 in control). The experimental condition over 12 weeks was phonetic training with the use of the combined digital micro-teaching approaches, such as interactive phonetic programs, voice recognition software, VR environments, and gamified education platforms. The control group was instructed through traditional means of teaching. The pre-test-post-test design was used with the use of standardized measurement tools phonetic accuracy, pronunciation fluency, and student engagement. Quantitative data were compared with paired-samples and independent-samples t-tests, ANCOVA, and repeated measures ANOVA, whereas qualitative data (teacher interviews and student focus groups) were compared thematically. Results indicated that the experimental group had statistically significant positive changes in all outcomes measures. The phonetic accuracy significantly improved in comparison to the control group, and pronunciation fluency and the level of engagement also improved considerably. Effects of all measures were significant, representing high teaching effect. ANCOVA outcomes (adjusted by pre-test scores) proved significant treatment effects and ANOVA of repeated measures proved significant time-by-group interaction. The qualitative results supported the quantitative findings further with a high degree of acceptability, higher levels of learner motivation, and better pronunciation confidence being observed by students. Individualized feedback, more practice opportunities, and learner autonomy were mentioned as benefits of this strategy by teachers, but the issues with infrastructure and time management were observed. Lastly, the research shows that digital micro-teaching courses are a viable and pedagogical tool that can be used to enhance the teaching of phonetics in Nigerian secondary schools. The implications of the findings on the design of curriculum, professional development of teachers, and the education technology policy are significant. Hence, long-term retention, scalability, and long-term implementation models should be the subject of future research.</w:t>
      </w:r>
    </w:p>
    <w:p w14:paraId="17A4785B" w14:textId="77777777" w:rsidR="00C35354" w:rsidRPr="005B0F95" w:rsidRDefault="00C35354" w:rsidP="00634CEE">
      <w:pPr>
        <w:spacing w:after="0" w:line="240" w:lineRule="auto"/>
        <w:jc w:val="both"/>
        <w:rPr>
          <w:rFonts w:ascii="Arial" w:hAnsi="Arial" w:cs="Arial"/>
          <w:sz w:val="24"/>
          <w:szCs w:val="24"/>
        </w:rPr>
      </w:pPr>
    </w:p>
    <w:p w14:paraId="2DE3AFB3" w14:textId="47B6D100" w:rsidR="00634CEE" w:rsidRPr="005B0F95" w:rsidRDefault="00634CEE" w:rsidP="00D55132">
      <w:pPr>
        <w:spacing w:line="240" w:lineRule="auto"/>
        <w:jc w:val="both"/>
        <w:rPr>
          <w:rFonts w:ascii="Arial" w:hAnsi="Arial" w:cs="Arial"/>
          <w:sz w:val="24"/>
          <w:szCs w:val="24"/>
        </w:rPr>
      </w:pPr>
      <w:r w:rsidRPr="00C35354">
        <w:rPr>
          <w:rFonts w:ascii="Arial" w:hAnsi="Arial" w:cs="Arial"/>
          <w:b/>
          <w:sz w:val="24"/>
          <w:szCs w:val="24"/>
        </w:rPr>
        <w:t>Keywords:</w:t>
      </w:r>
      <w:r w:rsidRPr="005B0F95">
        <w:rPr>
          <w:rFonts w:ascii="Arial" w:hAnsi="Arial" w:cs="Arial"/>
          <w:sz w:val="24"/>
          <w:szCs w:val="24"/>
        </w:rPr>
        <w:t xml:space="preserve"> Digital micro-teaching, English phonetics, pronunciation instruction, educational technology, quasi-experimental design, secondary education, Nigeria, computer-assisted language learning, phonetic accuracy, voice recognition software</w:t>
      </w:r>
    </w:p>
    <w:p w14:paraId="243562C4" w14:textId="77777777" w:rsidR="00634CEE" w:rsidRPr="005B0F95" w:rsidRDefault="00634CEE" w:rsidP="00D55132">
      <w:pPr>
        <w:pStyle w:val="NoSpacing"/>
        <w:jc w:val="both"/>
        <w:rPr>
          <w:rFonts w:ascii="Arial" w:hAnsi="Arial" w:cs="Arial"/>
          <w:sz w:val="24"/>
          <w:szCs w:val="24"/>
        </w:rPr>
      </w:pPr>
    </w:p>
    <w:p w14:paraId="0F0711C9" w14:textId="391B8122" w:rsidR="00D55132" w:rsidRDefault="00D55132" w:rsidP="00D55132">
      <w:pPr>
        <w:pStyle w:val="NoSpacing"/>
        <w:jc w:val="both"/>
        <w:rPr>
          <w:rFonts w:ascii="Arial" w:hAnsi="Arial" w:cs="Arial"/>
          <w:b/>
          <w:sz w:val="24"/>
          <w:szCs w:val="24"/>
        </w:rPr>
      </w:pPr>
      <w:r w:rsidRPr="005B0F95">
        <w:rPr>
          <w:rFonts w:ascii="Arial" w:hAnsi="Arial" w:cs="Arial"/>
          <w:b/>
          <w:sz w:val="24"/>
          <w:szCs w:val="24"/>
        </w:rPr>
        <w:t>INTRODUCTION</w:t>
      </w:r>
    </w:p>
    <w:p w14:paraId="6F35C932" w14:textId="77777777" w:rsidR="0094401C" w:rsidRPr="005B0F95" w:rsidRDefault="0094401C" w:rsidP="00D55132">
      <w:pPr>
        <w:pStyle w:val="NoSpacing"/>
        <w:jc w:val="both"/>
        <w:rPr>
          <w:rFonts w:ascii="Arial" w:hAnsi="Arial" w:cs="Arial"/>
          <w:b/>
          <w:sz w:val="24"/>
          <w:szCs w:val="24"/>
        </w:rPr>
      </w:pPr>
    </w:p>
    <w:p w14:paraId="4F561224" w14:textId="77777777" w:rsidR="00DF6DBD" w:rsidRPr="005B0F95" w:rsidRDefault="00DF6DBD" w:rsidP="00DF6DBD">
      <w:pPr>
        <w:pStyle w:val="NoSpacing"/>
        <w:ind w:firstLine="720"/>
        <w:jc w:val="both"/>
        <w:rPr>
          <w:rFonts w:ascii="Arial" w:hAnsi="Arial" w:cs="Arial"/>
          <w:sz w:val="24"/>
          <w:szCs w:val="24"/>
        </w:rPr>
      </w:pPr>
      <w:r w:rsidRPr="005B0F95">
        <w:rPr>
          <w:rFonts w:ascii="Arial" w:hAnsi="Arial" w:cs="Arial"/>
          <w:sz w:val="24"/>
          <w:szCs w:val="24"/>
        </w:rPr>
        <w:t xml:space="preserve">In the globalized educational environment, the proficiency of English language is now making a key challenge, phonetic competence being one of the primary aspects </w:t>
      </w:r>
      <w:r w:rsidRPr="005B0F95">
        <w:rPr>
          <w:rFonts w:ascii="Arial" w:hAnsi="Arial" w:cs="Arial"/>
          <w:sz w:val="24"/>
          <w:szCs w:val="24"/>
        </w:rPr>
        <w:lastRenderedPageBreak/>
        <w:t>of communicative competence (</w:t>
      </w:r>
      <w:proofErr w:type="spellStart"/>
      <w:r w:rsidRPr="005B0F95">
        <w:rPr>
          <w:rFonts w:ascii="Arial" w:hAnsi="Arial" w:cs="Arial"/>
          <w:sz w:val="24"/>
          <w:szCs w:val="24"/>
        </w:rPr>
        <w:t>Derwing</w:t>
      </w:r>
      <w:proofErr w:type="spellEnd"/>
      <w:r w:rsidRPr="005B0F95">
        <w:rPr>
          <w:rFonts w:ascii="Arial" w:hAnsi="Arial" w:cs="Arial"/>
          <w:sz w:val="24"/>
          <w:szCs w:val="24"/>
        </w:rPr>
        <w:t xml:space="preserve"> and Munro, 2015; </w:t>
      </w:r>
      <w:proofErr w:type="spellStart"/>
      <w:r w:rsidRPr="005B0F95">
        <w:rPr>
          <w:rFonts w:ascii="Arial" w:hAnsi="Arial" w:cs="Arial"/>
          <w:sz w:val="24"/>
          <w:szCs w:val="24"/>
        </w:rPr>
        <w:t>Gilakjani</w:t>
      </w:r>
      <w:proofErr w:type="spellEnd"/>
      <w:r w:rsidRPr="005B0F95">
        <w:rPr>
          <w:rFonts w:ascii="Arial" w:hAnsi="Arial" w:cs="Arial"/>
          <w:sz w:val="24"/>
          <w:szCs w:val="24"/>
        </w:rPr>
        <w:t xml:space="preserve"> and </w:t>
      </w:r>
      <w:proofErr w:type="spellStart"/>
      <w:r w:rsidRPr="005B0F95">
        <w:rPr>
          <w:rFonts w:ascii="Arial" w:hAnsi="Arial" w:cs="Arial"/>
          <w:sz w:val="24"/>
          <w:szCs w:val="24"/>
        </w:rPr>
        <w:t>Sabouri</w:t>
      </w:r>
      <w:proofErr w:type="spellEnd"/>
      <w:r w:rsidRPr="005B0F95">
        <w:rPr>
          <w:rFonts w:ascii="Arial" w:hAnsi="Arial" w:cs="Arial"/>
          <w:sz w:val="24"/>
          <w:szCs w:val="24"/>
        </w:rPr>
        <w:t xml:space="preserve">, 2016). In secondary schools in Nigeria where English is the official language and used as the medium of instruction, students often experience difficulties in learning English phonetics, especially differentiating and pronouncing sounds that they do not have in their native languages (Gut, 2007; </w:t>
      </w:r>
      <w:proofErr w:type="spellStart"/>
      <w:r w:rsidRPr="005B0F95">
        <w:rPr>
          <w:rFonts w:ascii="Arial" w:hAnsi="Arial" w:cs="Arial"/>
          <w:sz w:val="24"/>
          <w:szCs w:val="24"/>
        </w:rPr>
        <w:t>Jowitt</w:t>
      </w:r>
      <w:proofErr w:type="spellEnd"/>
      <w:r w:rsidRPr="005B0F95">
        <w:rPr>
          <w:rFonts w:ascii="Arial" w:hAnsi="Arial" w:cs="Arial"/>
          <w:sz w:val="24"/>
          <w:szCs w:val="24"/>
        </w:rPr>
        <w:t xml:space="preserve">, 2019; </w:t>
      </w:r>
      <w:proofErr w:type="spellStart"/>
      <w:r w:rsidRPr="005B0F95">
        <w:rPr>
          <w:rFonts w:ascii="Arial" w:hAnsi="Arial" w:cs="Arial"/>
          <w:sz w:val="24"/>
          <w:szCs w:val="24"/>
        </w:rPr>
        <w:t>Udofot</w:t>
      </w:r>
      <w:proofErr w:type="spellEnd"/>
      <w:r w:rsidRPr="005B0F95">
        <w:rPr>
          <w:rFonts w:ascii="Arial" w:hAnsi="Arial" w:cs="Arial"/>
          <w:sz w:val="24"/>
          <w:szCs w:val="24"/>
        </w:rPr>
        <w:t>, 2023). These phonetic complications hinder the general language learning, learning outcomes, and the future career prospects in the ever-</w:t>
      </w:r>
      <w:proofErr w:type="spellStart"/>
      <w:r w:rsidRPr="005B0F95">
        <w:rPr>
          <w:rFonts w:ascii="Arial" w:hAnsi="Arial" w:cs="Arial"/>
          <w:sz w:val="24"/>
          <w:szCs w:val="24"/>
        </w:rPr>
        <w:t>globalised</w:t>
      </w:r>
      <w:proofErr w:type="spellEnd"/>
      <w:r w:rsidRPr="005B0F95">
        <w:rPr>
          <w:rFonts w:ascii="Arial" w:hAnsi="Arial" w:cs="Arial"/>
          <w:sz w:val="24"/>
          <w:szCs w:val="24"/>
        </w:rPr>
        <w:t xml:space="preserve"> economy (</w:t>
      </w:r>
      <w:proofErr w:type="spellStart"/>
      <w:r w:rsidRPr="005B0F95">
        <w:rPr>
          <w:rFonts w:ascii="Arial" w:hAnsi="Arial" w:cs="Arial"/>
          <w:sz w:val="24"/>
          <w:szCs w:val="24"/>
        </w:rPr>
        <w:t>Adedimeji</w:t>
      </w:r>
      <w:proofErr w:type="spellEnd"/>
      <w:r w:rsidRPr="005B0F95">
        <w:rPr>
          <w:rFonts w:ascii="Arial" w:hAnsi="Arial" w:cs="Arial"/>
          <w:sz w:val="24"/>
          <w:szCs w:val="24"/>
        </w:rPr>
        <w:t xml:space="preserve">, 2020; </w:t>
      </w:r>
      <w:proofErr w:type="spellStart"/>
      <w:r w:rsidRPr="005B0F95">
        <w:rPr>
          <w:rFonts w:ascii="Arial" w:hAnsi="Arial" w:cs="Arial"/>
          <w:sz w:val="24"/>
          <w:szCs w:val="24"/>
        </w:rPr>
        <w:t>Olaoye</w:t>
      </w:r>
      <w:proofErr w:type="spellEnd"/>
      <w:r w:rsidRPr="005B0F95">
        <w:rPr>
          <w:rFonts w:ascii="Arial" w:hAnsi="Arial" w:cs="Arial"/>
          <w:sz w:val="24"/>
          <w:szCs w:val="24"/>
        </w:rPr>
        <w:t>, 2022). Conventional methods of teaching phonetics in secondary schools in Nigeria have widely employed teacher-centered educational practices that in most cases do not provide sufficient materials and chances to practice individually (</w:t>
      </w:r>
      <w:proofErr w:type="spellStart"/>
      <w:r w:rsidRPr="005B0F95">
        <w:rPr>
          <w:rFonts w:ascii="Arial" w:hAnsi="Arial" w:cs="Arial"/>
          <w:sz w:val="24"/>
          <w:szCs w:val="24"/>
        </w:rPr>
        <w:t>Okebukola</w:t>
      </w:r>
      <w:proofErr w:type="spellEnd"/>
      <w:r w:rsidRPr="005B0F95">
        <w:rPr>
          <w:rFonts w:ascii="Arial" w:hAnsi="Arial" w:cs="Arial"/>
          <w:sz w:val="24"/>
          <w:szCs w:val="24"/>
        </w:rPr>
        <w:t xml:space="preserve">, 2019; Okorie and </w:t>
      </w:r>
      <w:proofErr w:type="spellStart"/>
      <w:r w:rsidRPr="005B0F95">
        <w:rPr>
          <w:rFonts w:ascii="Arial" w:hAnsi="Arial" w:cs="Arial"/>
          <w:sz w:val="24"/>
          <w:szCs w:val="24"/>
        </w:rPr>
        <w:t>Agwagah</w:t>
      </w:r>
      <w:proofErr w:type="spellEnd"/>
      <w:r w:rsidRPr="005B0F95">
        <w:rPr>
          <w:rFonts w:ascii="Arial" w:hAnsi="Arial" w:cs="Arial"/>
          <w:sz w:val="24"/>
          <w:szCs w:val="24"/>
        </w:rPr>
        <w:t xml:space="preserve">, 2021). These traditional approaches often cannot serve the needs of the various phonetic issues that students experience, as well as offer enough corrective feedback to improve pronunciation (Couper, 2017; Thomson and </w:t>
      </w:r>
      <w:proofErr w:type="spellStart"/>
      <w:r w:rsidRPr="005B0F95">
        <w:rPr>
          <w:rFonts w:ascii="Arial" w:hAnsi="Arial" w:cs="Arial"/>
          <w:sz w:val="24"/>
          <w:szCs w:val="24"/>
        </w:rPr>
        <w:t>Derwing</w:t>
      </w:r>
      <w:proofErr w:type="spellEnd"/>
      <w:r w:rsidRPr="005B0F95">
        <w:rPr>
          <w:rFonts w:ascii="Arial" w:hAnsi="Arial" w:cs="Arial"/>
          <w:sz w:val="24"/>
          <w:szCs w:val="24"/>
        </w:rPr>
        <w:t>, 2015). The common Nigerian English classroom with huge class sizes (usually more than 40), low hours to be spent on pronunciation teaching, and teacher training in phonetic pedagogy, predisposes the systematic phonetic development to be a challenge (</w:t>
      </w:r>
      <w:proofErr w:type="spellStart"/>
      <w:r w:rsidRPr="005B0F95">
        <w:rPr>
          <w:rFonts w:ascii="Arial" w:hAnsi="Arial" w:cs="Arial"/>
          <w:sz w:val="24"/>
          <w:szCs w:val="24"/>
        </w:rPr>
        <w:t>Oladipupo</w:t>
      </w:r>
      <w:proofErr w:type="spellEnd"/>
      <w:r w:rsidRPr="005B0F95">
        <w:rPr>
          <w:rFonts w:ascii="Arial" w:hAnsi="Arial" w:cs="Arial"/>
          <w:sz w:val="24"/>
          <w:szCs w:val="24"/>
        </w:rPr>
        <w:t>, 2020).</w:t>
      </w:r>
    </w:p>
    <w:p w14:paraId="69D7318F" w14:textId="77777777" w:rsidR="00DF6DBD" w:rsidRPr="005B0F95" w:rsidRDefault="00DF6DBD" w:rsidP="00DF6DBD">
      <w:pPr>
        <w:pStyle w:val="NoSpacing"/>
        <w:ind w:firstLine="720"/>
        <w:jc w:val="both"/>
        <w:rPr>
          <w:rFonts w:ascii="Arial" w:hAnsi="Arial" w:cs="Arial"/>
          <w:sz w:val="24"/>
          <w:szCs w:val="24"/>
        </w:rPr>
      </w:pPr>
      <w:r w:rsidRPr="005B0F95">
        <w:rPr>
          <w:rFonts w:ascii="Arial" w:hAnsi="Arial" w:cs="Arial"/>
          <w:sz w:val="24"/>
          <w:szCs w:val="24"/>
        </w:rPr>
        <w:t xml:space="preserve">Created as a method of training teachers (Allen and Ryan, 1969), micro-teaching has grown to become a multifaceted pedagogical approach that can be applied in different educational settings (Fernandez and Robinson, 2006; </w:t>
      </w:r>
      <w:proofErr w:type="spellStart"/>
      <w:r w:rsidRPr="005B0F95">
        <w:rPr>
          <w:rFonts w:ascii="Arial" w:hAnsi="Arial" w:cs="Arial"/>
          <w:sz w:val="24"/>
          <w:szCs w:val="24"/>
        </w:rPr>
        <w:t>Kilic</w:t>
      </w:r>
      <w:proofErr w:type="spellEnd"/>
      <w:r w:rsidRPr="005B0F95">
        <w:rPr>
          <w:rFonts w:ascii="Arial" w:hAnsi="Arial" w:cs="Arial"/>
          <w:sz w:val="24"/>
          <w:szCs w:val="24"/>
        </w:rPr>
        <w:t xml:space="preserve">, 2010; Mahmud and </w:t>
      </w:r>
      <w:proofErr w:type="spellStart"/>
      <w:r w:rsidRPr="005B0F95">
        <w:rPr>
          <w:rFonts w:ascii="Arial" w:hAnsi="Arial" w:cs="Arial"/>
          <w:sz w:val="24"/>
          <w:szCs w:val="24"/>
        </w:rPr>
        <w:t>Rawshon</w:t>
      </w:r>
      <w:proofErr w:type="spellEnd"/>
      <w:r w:rsidRPr="005B0F95">
        <w:rPr>
          <w:rFonts w:ascii="Arial" w:hAnsi="Arial" w:cs="Arial"/>
          <w:sz w:val="24"/>
          <w:szCs w:val="24"/>
        </w:rPr>
        <w:t>, 2013). The practice of this method consists of breaking down the teaching problems into manageable bites enabling concentration of practice, instant feedback and trial and error feedback (Benton-</w:t>
      </w:r>
      <w:proofErr w:type="spellStart"/>
      <w:r w:rsidRPr="005B0F95">
        <w:rPr>
          <w:rFonts w:ascii="Arial" w:hAnsi="Arial" w:cs="Arial"/>
          <w:sz w:val="24"/>
          <w:szCs w:val="24"/>
        </w:rPr>
        <w:t>Kupper</w:t>
      </w:r>
      <w:proofErr w:type="spellEnd"/>
      <w:r w:rsidRPr="005B0F95">
        <w:rPr>
          <w:rFonts w:ascii="Arial" w:hAnsi="Arial" w:cs="Arial"/>
          <w:sz w:val="24"/>
          <w:szCs w:val="24"/>
        </w:rPr>
        <w:t>, 2001; Subramaniam, 2006). In the context of phonetic teaching, micro-teaching allows focusing on individual sounds patterns, complex feedback, and developing phonetic skills systematically by acquiring skills step-by-step (</w:t>
      </w:r>
      <w:proofErr w:type="spellStart"/>
      <w:r w:rsidRPr="005B0F95">
        <w:rPr>
          <w:rFonts w:ascii="Arial" w:hAnsi="Arial" w:cs="Arial"/>
          <w:sz w:val="24"/>
          <w:szCs w:val="24"/>
        </w:rPr>
        <w:t>Levis</w:t>
      </w:r>
      <w:proofErr w:type="spellEnd"/>
      <w:r w:rsidRPr="005B0F95">
        <w:rPr>
          <w:rFonts w:ascii="Arial" w:hAnsi="Arial" w:cs="Arial"/>
          <w:sz w:val="24"/>
          <w:szCs w:val="24"/>
        </w:rPr>
        <w:t xml:space="preserve">, 2018; Saito, 2021). Implementing digital technologies in the educational process has changed learning and teaching in all fields and provided new opportunities to learn interactively, personally, and engagingly (Bates, 2019; Selwyn, 2016; </w:t>
      </w:r>
      <w:proofErr w:type="spellStart"/>
      <w:r w:rsidRPr="005B0F95">
        <w:rPr>
          <w:rFonts w:ascii="Arial" w:hAnsi="Arial" w:cs="Arial"/>
          <w:sz w:val="24"/>
          <w:szCs w:val="24"/>
        </w:rPr>
        <w:t>Zawacki</w:t>
      </w:r>
      <w:proofErr w:type="spellEnd"/>
      <w:r w:rsidRPr="005B0F95">
        <w:rPr>
          <w:rFonts w:ascii="Arial" w:hAnsi="Arial" w:cs="Arial"/>
          <w:sz w:val="24"/>
          <w:szCs w:val="24"/>
        </w:rPr>
        <w:t xml:space="preserve">-Richter et al., 2019). Digital tools in language education in particular offer the affordances that are not available in traditional instruction such as instant automated feedback, the ability to practice indefinitely, multimodality, and adaptive learning paths (Chapelle and </w:t>
      </w:r>
      <w:proofErr w:type="spellStart"/>
      <w:r w:rsidRPr="005B0F95">
        <w:rPr>
          <w:rFonts w:ascii="Arial" w:hAnsi="Arial" w:cs="Arial"/>
          <w:sz w:val="24"/>
          <w:szCs w:val="24"/>
        </w:rPr>
        <w:t>Sauro</w:t>
      </w:r>
      <w:proofErr w:type="spellEnd"/>
      <w:r w:rsidRPr="005B0F95">
        <w:rPr>
          <w:rFonts w:ascii="Arial" w:hAnsi="Arial" w:cs="Arial"/>
          <w:sz w:val="24"/>
          <w:szCs w:val="24"/>
        </w:rPr>
        <w:t xml:space="preserve">, 2017; </w:t>
      </w:r>
      <w:proofErr w:type="spellStart"/>
      <w:r w:rsidRPr="005B0F95">
        <w:rPr>
          <w:rFonts w:ascii="Arial" w:hAnsi="Arial" w:cs="Arial"/>
          <w:sz w:val="24"/>
          <w:szCs w:val="24"/>
        </w:rPr>
        <w:t>Golonka</w:t>
      </w:r>
      <w:proofErr w:type="spellEnd"/>
      <w:r w:rsidRPr="005B0F95">
        <w:rPr>
          <w:rFonts w:ascii="Arial" w:hAnsi="Arial" w:cs="Arial"/>
          <w:sz w:val="24"/>
          <w:szCs w:val="24"/>
        </w:rPr>
        <w:t xml:space="preserve"> et al., 2014; </w:t>
      </w:r>
      <w:proofErr w:type="spellStart"/>
      <w:r w:rsidRPr="005B0F95">
        <w:rPr>
          <w:rFonts w:ascii="Arial" w:hAnsi="Arial" w:cs="Arial"/>
          <w:sz w:val="24"/>
          <w:szCs w:val="24"/>
        </w:rPr>
        <w:t>Shadiev</w:t>
      </w:r>
      <w:proofErr w:type="spellEnd"/>
      <w:r w:rsidRPr="005B0F95">
        <w:rPr>
          <w:rFonts w:ascii="Arial" w:hAnsi="Arial" w:cs="Arial"/>
          <w:sz w:val="24"/>
          <w:szCs w:val="24"/>
        </w:rPr>
        <w:t xml:space="preserve"> and Yang, 2020). The potential of interactive applications in phonetics, voice recognition software, virtual reality, and gamified learning platforms are novel prospects of improving the teaching of phonetics (Cardoso, 2020; </w:t>
      </w:r>
      <w:proofErr w:type="spellStart"/>
      <w:r w:rsidRPr="005B0F95">
        <w:rPr>
          <w:rFonts w:ascii="Arial" w:hAnsi="Arial" w:cs="Arial"/>
          <w:sz w:val="24"/>
          <w:szCs w:val="24"/>
        </w:rPr>
        <w:t>McCrocklin</w:t>
      </w:r>
      <w:proofErr w:type="spellEnd"/>
      <w:r w:rsidRPr="005B0F95">
        <w:rPr>
          <w:rFonts w:ascii="Arial" w:hAnsi="Arial" w:cs="Arial"/>
          <w:sz w:val="24"/>
          <w:szCs w:val="24"/>
        </w:rPr>
        <w:t>, 2016; Pennington and Rogerson-Revell, 2019; Zou et al., 2023).</w:t>
      </w:r>
    </w:p>
    <w:p w14:paraId="11B1F589" w14:textId="3398852D" w:rsidR="00DF6DBD" w:rsidRPr="005B0F95" w:rsidRDefault="00DF6DBD" w:rsidP="00DF6DBD">
      <w:pPr>
        <w:pStyle w:val="NoSpacing"/>
        <w:ind w:firstLine="720"/>
        <w:jc w:val="both"/>
        <w:rPr>
          <w:rFonts w:ascii="Arial" w:hAnsi="Arial" w:cs="Arial"/>
          <w:sz w:val="24"/>
          <w:szCs w:val="24"/>
        </w:rPr>
      </w:pPr>
      <w:r w:rsidRPr="005B0F95">
        <w:rPr>
          <w:rFonts w:ascii="Arial" w:hAnsi="Arial" w:cs="Arial"/>
          <w:sz w:val="24"/>
          <w:szCs w:val="24"/>
        </w:rPr>
        <w:t>The recent technological innovations in the area of automatic speech recognition (ASR), artificial intelligence, and mobile computing have contributed to the fact that increasingly advanced pronunciation tools have become more accessible and affordable (</w:t>
      </w:r>
      <w:proofErr w:type="spellStart"/>
      <w:r w:rsidRPr="005B0F95">
        <w:rPr>
          <w:rFonts w:ascii="Arial" w:hAnsi="Arial" w:cs="Arial"/>
          <w:sz w:val="24"/>
          <w:szCs w:val="24"/>
        </w:rPr>
        <w:t>Liakin</w:t>
      </w:r>
      <w:proofErr w:type="spellEnd"/>
      <w:r w:rsidRPr="005B0F95">
        <w:rPr>
          <w:rFonts w:ascii="Arial" w:hAnsi="Arial" w:cs="Arial"/>
          <w:sz w:val="24"/>
          <w:szCs w:val="24"/>
        </w:rPr>
        <w:t xml:space="preserve"> et al., 2015; </w:t>
      </w:r>
      <w:proofErr w:type="spellStart"/>
      <w:r w:rsidRPr="005B0F95">
        <w:rPr>
          <w:rFonts w:ascii="Arial" w:hAnsi="Arial" w:cs="Arial"/>
          <w:sz w:val="24"/>
          <w:szCs w:val="24"/>
        </w:rPr>
        <w:t>Mroz</w:t>
      </w:r>
      <w:proofErr w:type="spellEnd"/>
      <w:r w:rsidRPr="005B0F95">
        <w:rPr>
          <w:rFonts w:ascii="Arial" w:hAnsi="Arial" w:cs="Arial"/>
          <w:sz w:val="24"/>
          <w:szCs w:val="24"/>
        </w:rPr>
        <w:t xml:space="preserve">, 2018). Depending on voice recognition technologies, it is now possible to get comparatively correct feedback on pronunciation and correct learners without regular teacher feedback (Cardoso et al., 2020; </w:t>
      </w:r>
      <w:proofErr w:type="spellStart"/>
      <w:r w:rsidRPr="005B0F95">
        <w:rPr>
          <w:rFonts w:ascii="Arial" w:hAnsi="Arial" w:cs="Arial"/>
          <w:sz w:val="24"/>
          <w:szCs w:val="24"/>
        </w:rPr>
        <w:t>Shadiev</w:t>
      </w:r>
      <w:proofErr w:type="spellEnd"/>
      <w:r w:rsidRPr="005B0F95">
        <w:rPr>
          <w:rFonts w:ascii="Arial" w:hAnsi="Arial" w:cs="Arial"/>
          <w:sz w:val="24"/>
          <w:szCs w:val="24"/>
        </w:rPr>
        <w:t xml:space="preserve"> et al., 2021). Virtual reality systems help to simulate a feeling of authentic communication and allow learners to train pronunciation in a less stressful setting (Chen, 2016; Legault et al., 2019; </w:t>
      </w:r>
      <w:proofErr w:type="spellStart"/>
      <w:r w:rsidRPr="005B0F95">
        <w:rPr>
          <w:rFonts w:ascii="Arial" w:hAnsi="Arial" w:cs="Arial"/>
          <w:sz w:val="24"/>
          <w:szCs w:val="24"/>
        </w:rPr>
        <w:t>Parmaxi</w:t>
      </w:r>
      <w:proofErr w:type="spellEnd"/>
      <w:r w:rsidRPr="005B0F95">
        <w:rPr>
          <w:rFonts w:ascii="Arial" w:hAnsi="Arial" w:cs="Arial"/>
          <w:sz w:val="24"/>
          <w:szCs w:val="24"/>
        </w:rPr>
        <w:t>, 2020). The elements of gamification take advantage of psychological concepts of motivation and include competitions, achievement, and reward systems that can make language learning tasks more interesting and encourage persistence (</w:t>
      </w:r>
      <w:proofErr w:type="spellStart"/>
      <w:r w:rsidRPr="005B0F95">
        <w:rPr>
          <w:rFonts w:ascii="Arial" w:hAnsi="Arial" w:cs="Arial"/>
          <w:sz w:val="24"/>
          <w:szCs w:val="24"/>
        </w:rPr>
        <w:t>Dehghanzadeh</w:t>
      </w:r>
      <w:proofErr w:type="spellEnd"/>
      <w:r w:rsidRPr="005B0F95">
        <w:rPr>
          <w:rFonts w:ascii="Arial" w:hAnsi="Arial" w:cs="Arial"/>
          <w:sz w:val="24"/>
          <w:szCs w:val="24"/>
        </w:rPr>
        <w:t xml:space="preserve"> et al., 2021; </w:t>
      </w:r>
      <w:proofErr w:type="spellStart"/>
      <w:r w:rsidR="00B5128C" w:rsidRPr="005B0F95">
        <w:rPr>
          <w:rFonts w:ascii="Arial" w:hAnsi="Arial" w:cs="Arial"/>
          <w:sz w:val="24"/>
          <w:szCs w:val="24"/>
        </w:rPr>
        <w:t>Mubarok</w:t>
      </w:r>
      <w:proofErr w:type="spellEnd"/>
      <w:r w:rsidR="00B5128C" w:rsidRPr="005B0F95">
        <w:rPr>
          <w:rFonts w:ascii="Arial" w:hAnsi="Arial" w:cs="Arial"/>
          <w:sz w:val="24"/>
          <w:szCs w:val="24"/>
        </w:rPr>
        <w:t xml:space="preserve"> et al, 2026; </w:t>
      </w:r>
      <w:r w:rsidRPr="005B0F95">
        <w:rPr>
          <w:rFonts w:ascii="Arial" w:hAnsi="Arial" w:cs="Arial"/>
          <w:sz w:val="24"/>
          <w:szCs w:val="24"/>
        </w:rPr>
        <w:t xml:space="preserve">Rachels and </w:t>
      </w:r>
      <w:proofErr w:type="spellStart"/>
      <w:r w:rsidRPr="005B0F95">
        <w:rPr>
          <w:rFonts w:ascii="Arial" w:hAnsi="Arial" w:cs="Arial"/>
          <w:sz w:val="24"/>
          <w:szCs w:val="24"/>
        </w:rPr>
        <w:t>Rockinson-Szapkiw</w:t>
      </w:r>
      <w:proofErr w:type="spellEnd"/>
      <w:r w:rsidRPr="005B0F95">
        <w:rPr>
          <w:rFonts w:ascii="Arial" w:hAnsi="Arial" w:cs="Arial"/>
          <w:sz w:val="24"/>
          <w:szCs w:val="24"/>
        </w:rPr>
        <w:t xml:space="preserve">, 2018; Zou and </w:t>
      </w:r>
      <w:proofErr w:type="spellStart"/>
      <w:r w:rsidRPr="005B0F95">
        <w:rPr>
          <w:rFonts w:ascii="Arial" w:hAnsi="Arial" w:cs="Arial"/>
          <w:sz w:val="24"/>
          <w:szCs w:val="24"/>
        </w:rPr>
        <w:t>Xie</w:t>
      </w:r>
      <w:proofErr w:type="spellEnd"/>
      <w:r w:rsidRPr="005B0F95">
        <w:rPr>
          <w:rFonts w:ascii="Arial" w:hAnsi="Arial" w:cs="Arial"/>
          <w:sz w:val="24"/>
          <w:szCs w:val="24"/>
        </w:rPr>
        <w:t xml:space="preserve">, 2019). Although the literature on the topic of technology-enhanced language learning (TELL) is increasing, </w:t>
      </w:r>
      <w:r w:rsidRPr="005B0F95">
        <w:rPr>
          <w:rFonts w:ascii="Arial" w:hAnsi="Arial" w:cs="Arial"/>
          <w:sz w:val="24"/>
          <w:szCs w:val="24"/>
        </w:rPr>
        <w:lastRenderedPageBreak/>
        <w:t xml:space="preserve">there is a lack of empirical studies on the effectiveness of digital micro-teaching strategies in phonetic instruction in developing countries (Hubbard and Levy, 2016; </w:t>
      </w:r>
      <w:proofErr w:type="spellStart"/>
      <w:r w:rsidRPr="005B0F95">
        <w:rPr>
          <w:rFonts w:ascii="Arial" w:hAnsi="Arial" w:cs="Arial"/>
          <w:sz w:val="24"/>
          <w:szCs w:val="24"/>
        </w:rPr>
        <w:t>Stockwell</w:t>
      </w:r>
      <w:proofErr w:type="spellEnd"/>
      <w:r w:rsidRPr="005B0F95">
        <w:rPr>
          <w:rFonts w:ascii="Arial" w:hAnsi="Arial" w:cs="Arial"/>
          <w:sz w:val="24"/>
          <w:szCs w:val="24"/>
        </w:rPr>
        <w:t>, 2012; Taj et al., 2021). The latter is especially pronounced in the case of the Nigerian and African setting, where technological adoption in education has been posed with a distinct problem set, such as infrastructure shortcomings, technological illiteracy, resource shortages, and contextual pedagogical factors (</w:t>
      </w:r>
      <w:proofErr w:type="spellStart"/>
      <w:r w:rsidRPr="005B0F95">
        <w:rPr>
          <w:rFonts w:ascii="Arial" w:hAnsi="Arial" w:cs="Arial"/>
          <w:sz w:val="24"/>
          <w:szCs w:val="24"/>
        </w:rPr>
        <w:t>Ololube</w:t>
      </w:r>
      <w:proofErr w:type="spellEnd"/>
      <w:r w:rsidRPr="005B0F95">
        <w:rPr>
          <w:rFonts w:ascii="Arial" w:hAnsi="Arial" w:cs="Arial"/>
          <w:sz w:val="24"/>
          <w:szCs w:val="24"/>
        </w:rPr>
        <w:t xml:space="preserve"> et al., 2020; </w:t>
      </w:r>
      <w:proofErr w:type="spellStart"/>
      <w:r w:rsidRPr="005B0F95">
        <w:rPr>
          <w:rFonts w:ascii="Arial" w:hAnsi="Arial" w:cs="Arial"/>
          <w:sz w:val="24"/>
          <w:szCs w:val="24"/>
        </w:rPr>
        <w:t>Owan</w:t>
      </w:r>
      <w:proofErr w:type="spellEnd"/>
      <w:r w:rsidRPr="005B0F95">
        <w:rPr>
          <w:rFonts w:ascii="Arial" w:hAnsi="Arial" w:cs="Arial"/>
          <w:sz w:val="24"/>
          <w:szCs w:val="24"/>
        </w:rPr>
        <w:t xml:space="preserve"> et al., 2023). Learning the operational mechanisms of digital micro-teaching strategies under such limitations can be applied to local educational practice, as well as provide an international contribution to the larger discourse on technology-mediated language education in resource-constrained environments.</w:t>
      </w:r>
    </w:p>
    <w:p w14:paraId="73253FEB" w14:textId="77777777" w:rsidR="00DF6DBD" w:rsidRPr="005B0F95" w:rsidRDefault="00DF6DBD" w:rsidP="00DF6DBD">
      <w:pPr>
        <w:pStyle w:val="NoSpacing"/>
        <w:ind w:firstLine="720"/>
        <w:jc w:val="both"/>
        <w:rPr>
          <w:rFonts w:ascii="Arial" w:hAnsi="Arial" w:cs="Arial"/>
          <w:sz w:val="24"/>
          <w:szCs w:val="24"/>
        </w:rPr>
      </w:pPr>
      <w:r w:rsidRPr="005B0F95">
        <w:rPr>
          <w:rFonts w:ascii="Arial" w:hAnsi="Arial" w:cs="Arial"/>
          <w:sz w:val="24"/>
          <w:szCs w:val="24"/>
        </w:rPr>
        <w:t xml:space="preserve">Moreover, although the studies of single digital tools as tools of pronunciation teaching have been conducted (Cardoso, 2020; </w:t>
      </w:r>
      <w:proofErr w:type="spellStart"/>
      <w:r w:rsidRPr="005B0F95">
        <w:rPr>
          <w:rFonts w:ascii="Arial" w:hAnsi="Arial" w:cs="Arial"/>
          <w:sz w:val="24"/>
          <w:szCs w:val="24"/>
        </w:rPr>
        <w:t>McCrocklin</w:t>
      </w:r>
      <w:proofErr w:type="spellEnd"/>
      <w:r w:rsidRPr="005B0F95">
        <w:rPr>
          <w:rFonts w:ascii="Arial" w:hAnsi="Arial" w:cs="Arial"/>
          <w:sz w:val="24"/>
          <w:szCs w:val="24"/>
        </w:rPr>
        <w:t xml:space="preserve">, 2016), the limited number of studies investigated the combination of various technologies into consistent pedagogical frameworks based on the principles of micro-teaching. Pronunciation teaching studies have highlighted that different, systematically sustained and intensive practice with corrective feedback is required (Lee et al., 2015; Saito, 2012), but issues of the best combinations and sequences of digital tools to meet these pedagogic objectives persist. The present research fills these gaps in research by exploring the efficacy of an assimilated digital micro-teaching method of instructing phonetic in English amongst higher-order secondary schools in Nigeria in a form of rigorous quasi-experimental research. Through the study of both, the results of learning and the results of implementation, this study can offer empirically supported information about the feasibility and success of digital pronunciation instruction in the environment of the developing countries. This study makes contributions to the theoretical and practical aspects of language education. In theory, it extrapolates the principles of micro-teaching to the digital setting of the given field of phonetic training and introduces it into the pedagogy of language learning with technology use (Hubbard and Levy, 2016; </w:t>
      </w:r>
      <w:proofErr w:type="spellStart"/>
      <w:r w:rsidRPr="005B0F95">
        <w:rPr>
          <w:rFonts w:ascii="Arial" w:hAnsi="Arial" w:cs="Arial"/>
          <w:sz w:val="24"/>
          <w:szCs w:val="24"/>
        </w:rPr>
        <w:t>Stockwell</w:t>
      </w:r>
      <w:proofErr w:type="spellEnd"/>
      <w:r w:rsidRPr="005B0F95">
        <w:rPr>
          <w:rFonts w:ascii="Arial" w:hAnsi="Arial" w:cs="Arial"/>
          <w:sz w:val="24"/>
          <w:szCs w:val="24"/>
        </w:rPr>
        <w:t xml:space="preserve"> and Hubbard, 2013). The research gives empirical support on the effectiveness of combined digital methods in the growth of phonetic competence, with gaps to the existing literature especially in the area of African education where such studies are limited (</w:t>
      </w:r>
      <w:proofErr w:type="spellStart"/>
      <w:r w:rsidRPr="005B0F95">
        <w:rPr>
          <w:rFonts w:ascii="Arial" w:hAnsi="Arial" w:cs="Arial"/>
          <w:sz w:val="24"/>
          <w:szCs w:val="24"/>
        </w:rPr>
        <w:t>Owan</w:t>
      </w:r>
      <w:proofErr w:type="spellEnd"/>
      <w:r w:rsidRPr="005B0F95">
        <w:rPr>
          <w:rFonts w:ascii="Arial" w:hAnsi="Arial" w:cs="Arial"/>
          <w:sz w:val="24"/>
          <w:szCs w:val="24"/>
        </w:rPr>
        <w:t xml:space="preserve"> et al., 2023).</w:t>
      </w:r>
    </w:p>
    <w:p w14:paraId="10FC1A9B" w14:textId="7711FF39" w:rsidR="00D55132" w:rsidRPr="005B0F95" w:rsidRDefault="00DF6DBD" w:rsidP="00DF6DBD">
      <w:pPr>
        <w:pStyle w:val="NoSpacing"/>
        <w:ind w:firstLine="720"/>
        <w:jc w:val="both"/>
        <w:rPr>
          <w:rFonts w:ascii="Arial" w:hAnsi="Arial" w:cs="Arial"/>
          <w:sz w:val="24"/>
          <w:szCs w:val="24"/>
        </w:rPr>
      </w:pPr>
      <w:r w:rsidRPr="005B0F95">
        <w:rPr>
          <w:rFonts w:ascii="Arial" w:hAnsi="Arial" w:cs="Arial"/>
          <w:sz w:val="24"/>
          <w:szCs w:val="24"/>
        </w:rPr>
        <w:t xml:space="preserve">Practically, the results provide </w:t>
      </w:r>
      <w:proofErr w:type="spellStart"/>
      <w:r w:rsidRPr="005B0F95">
        <w:rPr>
          <w:rFonts w:ascii="Arial" w:hAnsi="Arial" w:cs="Arial"/>
          <w:sz w:val="24"/>
          <w:szCs w:val="24"/>
        </w:rPr>
        <w:t>dictable</w:t>
      </w:r>
      <w:proofErr w:type="spellEnd"/>
      <w:r w:rsidRPr="005B0F95">
        <w:rPr>
          <w:rFonts w:ascii="Arial" w:hAnsi="Arial" w:cs="Arial"/>
          <w:sz w:val="24"/>
          <w:szCs w:val="24"/>
        </w:rPr>
        <w:t xml:space="preserve"> guidelines to curriculum developers, educational policymakers, and language teachers on how to integrate technology into improving phonetic teaching. To the educational stakeholders of Nigerians in particular, this study offers a situational-based evidence that would inform the decisions made about adopting technology, resources distribution, and teacher professional development programs. Because of the Federal Government of Nigeria focus on the integration of information and communication technology (ICT) into the education system as it is stated in the National Policy on Education </w:t>
      </w:r>
      <w:proofErr w:type="gramStart"/>
      <w:r w:rsidRPr="005B0F95">
        <w:rPr>
          <w:rFonts w:ascii="Arial" w:hAnsi="Arial" w:cs="Arial"/>
          <w:sz w:val="24"/>
          <w:szCs w:val="24"/>
        </w:rPr>
        <w:t>( Federal</w:t>
      </w:r>
      <w:proofErr w:type="gramEnd"/>
      <w:r w:rsidRPr="005B0F95">
        <w:rPr>
          <w:rFonts w:ascii="Arial" w:hAnsi="Arial" w:cs="Arial"/>
          <w:sz w:val="24"/>
          <w:szCs w:val="24"/>
        </w:rPr>
        <w:t xml:space="preserve"> Republic of Nigeria, 2014), empirical data on effective models of technology integration is especially opportune and topical. Moreover, the methodology and results of the study can be used as an example of analogous research in other nations of the developing world with the same educational issues and opportunities. Confronting the educational systems across the globe with the problems of effective technology implementation in the recent past, especially in the wake of heightened digital adoption in the context of the COVID-19 pandemic (</w:t>
      </w:r>
      <w:proofErr w:type="spellStart"/>
      <w:r w:rsidRPr="005B0F95">
        <w:rPr>
          <w:rFonts w:ascii="Arial" w:hAnsi="Arial" w:cs="Arial"/>
          <w:sz w:val="24"/>
          <w:szCs w:val="24"/>
        </w:rPr>
        <w:t>Konig</w:t>
      </w:r>
      <w:proofErr w:type="spellEnd"/>
      <w:r w:rsidRPr="005B0F95">
        <w:rPr>
          <w:rFonts w:ascii="Arial" w:hAnsi="Arial" w:cs="Arial"/>
          <w:sz w:val="24"/>
          <w:szCs w:val="24"/>
        </w:rPr>
        <w:t xml:space="preserve"> et al., 2020), this study provides the evidence in the context of sustainable and pedagogically relevant methodologies of educational technology application in resource-constrained conditions. Also, this research responds to the calls of researchers in the field of pronunciation instruction to conduct more rigorous experimental and quasi-experimental experiments that test the efficacy </w:t>
      </w:r>
      <w:r w:rsidRPr="005B0F95">
        <w:rPr>
          <w:rFonts w:ascii="Arial" w:hAnsi="Arial" w:cs="Arial"/>
          <w:sz w:val="24"/>
          <w:szCs w:val="24"/>
        </w:rPr>
        <w:lastRenderedPageBreak/>
        <w:t xml:space="preserve">of the interventions (Saito, 2021; Thomson and </w:t>
      </w:r>
      <w:proofErr w:type="spellStart"/>
      <w:r w:rsidRPr="005B0F95">
        <w:rPr>
          <w:rFonts w:ascii="Arial" w:hAnsi="Arial" w:cs="Arial"/>
          <w:sz w:val="24"/>
          <w:szCs w:val="24"/>
        </w:rPr>
        <w:t>Derwing</w:t>
      </w:r>
      <w:proofErr w:type="spellEnd"/>
      <w:r w:rsidRPr="005B0F95">
        <w:rPr>
          <w:rFonts w:ascii="Arial" w:hAnsi="Arial" w:cs="Arial"/>
          <w:sz w:val="24"/>
          <w:szCs w:val="24"/>
        </w:rPr>
        <w:t>, 2015). The research has solid evidence in evidence-based practice in the teaching of pronunciation through the application of a controlled comparison design with multiple outcome measures and mixed-methods approach.</w:t>
      </w:r>
    </w:p>
    <w:p w14:paraId="08791A6F" w14:textId="77777777" w:rsidR="00DF6DBD" w:rsidRPr="005B0F95" w:rsidRDefault="00DF6DBD" w:rsidP="00DF6DBD">
      <w:pPr>
        <w:pStyle w:val="NoSpacing"/>
        <w:jc w:val="both"/>
        <w:rPr>
          <w:rFonts w:ascii="Arial" w:hAnsi="Arial" w:cs="Arial"/>
          <w:sz w:val="24"/>
          <w:szCs w:val="24"/>
        </w:rPr>
      </w:pPr>
    </w:p>
    <w:p w14:paraId="32955D9D" w14:textId="41A3A945" w:rsidR="00D55132" w:rsidRPr="005B0F95" w:rsidRDefault="00D55132" w:rsidP="00D55132">
      <w:pPr>
        <w:pStyle w:val="NoSpacing"/>
        <w:jc w:val="both"/>
        <w:rPr>
          <w:rFonts w:ascii="Arial" w:hAnsi="Arial" w:cs="Arial"/>
          <w:sz w:val="24"/>
          <w:szCs w:val="24"/>
        </w:rPr>
      </w:pPr>
      <w:r w:rsidRPr="005B0F95">
        <w:rPr>
          <w:rFonts w:ascii="Arial" w:hAnsi="Arial" w:cs="Arial"/>
          <w:sz w:val="24"/>
          <w:szCs w:val="24"/>
        </w:rPr>
        <w:t>Research Objectives</w:t>
      </w:r>
    </w:p>
    <w:p w14:paraId="27351772" w14:textId="77777777" w:rsidR="00D55132" w:rsidRPr="005B0F95" w:rsidRDefault="00D55132" w:rsidP="00D55132">
      <w:pPr>
        <w:pStyle w:val="NoSpacing"/>
        <w:jc w:val="both"/>
        <w:rPr>
          <w:rFonts w:ascii="Arial" w:hAnsi="Arial" w:cs="Arial"/>
          <w:sz w:val="24"/>
          <w:szCs w:val="24"/>
        </w:rPr>
      </w:pPr>
      <w:r w:rsidRPr="005B0F95">
        <w:rPr>
          <w:rFonts w:ascii="Arial" w:hAnsi="Arial" w:cs="Arial"/>
          <w:sz w:val="24"/>
          <w:szCs w:val="24"/>
        </w:rPr>
        <w:t>This study pursued the following objectives:</w:t>
      </w:r>
    </w:p>
    <w:p w14:paraId="3AD127DD" w14:textId="77777777" w:rsidR="00D55132" w:rsidRPr="005B0F95" w:rsidRDefault="00D55132" w:rsidP="00D55132">
      <w:pPr>
        <w:pStyle w:val="NoSpacing"/>
        <w:numPr>
          <w:ilvl w:val="0"/>
          <w:numId w:val="12"/>
        </w:numPr>
        <w:jc w:val="both"/>
        <w:rPr>
          <w:rFonts w:ascii="Arial" w:hAnsi="Arial" w:cs="Arial"/>
          <w:sz w:val="24"/>
          <w:szCs w:val="24"/>
        </w:rPr>
      </w:pPr>
      <w:r w:rsidRPr="005B0F95">
        <w:rPr>
          <w:rFonts w:ascii="Arial" w:hAnsi="Arial" w:cs="Arial"/>
          <w:sz w:val="24"/>
          <w:szCs w:val="24"/>
        </w:rPr>
        <w:t>To assess the effectiveness of digital micro-teaching strategies in improving students' phonetic accuracy compared to traditional instructional methods</w:t>
      </w:r>
    </w:p>
    <w:p w14:paraId="04F30CA6" w14:textId="77777777" w:rsidR="00D55132" w:rsidRPr="005B0F95" w:rsidRDefault="00D55132" w:rsidP="00D55132">
      <w:pPr>
        <w:pStyle w:val="NoSpacing"/>
        <w:numPr>
          <w:ilvl w:val="0"/>
          <w:numId w:val="12"/>
        </w:numPr>
        <w:jc w:val="both"/>
        <w:rPr>
          <w:rFonts w:ascii="Arial" w:hAnsi="Arial" w:cs="Arial"/>
          <w:sz w:val="24"/>
          <w:szCs w:val="24"/>
        </w:rPr>
      </w:pPr>
      <w:r w:rsidRPr="005B0F95">
        <w:rPr>
          <w:rFonts w:ascii="Arial" w:hAnsi="Arial" w:cs="Arial"/>
          <w:sz w:val="24"/>
          <w:szCs w:val="24"/>
        </w:rPr>
        <w:t>To evaluate the impact of digital micro-teaching approaches on students' pronunciation fluency and communicative confidence</w:t>
      </w:r>
    </w:p>
    <w:p w14:paraId="7B38FB17" w14:textId="77777777" w:rsidR="00D55132" w:rsidRPr="005B0F95" w:rsidRDefault="00D55132" w:rsidP="00D55132">
      <w:pPr>
        <w:pStyle w:val="NoSpacing"/>
        <w:numPr>
          <w:ilvl w:val="0"/>
          <w:numId w:val="12"/>
        </w:numPr>
        <w:jc w:val="both"/>
        <w:rPr>
          <w:rFonts w:ascii="Arial" w:hAnsi="Arial" w:cs="Arial"/>
          <w:sz w:val="24"/>
          <w:szCs w:val="24"/>
        </w:rPr>
      </w:pPr>
      <w:r w:rsidRPr="005B0F95">
        <w:rPr>
          <w:rFonts w:ascii="Arial" w:hAnsi="Arial" w:cs="Arial"/>
          <w:sz w:val="24"/>
          <w:szCs w:val="24"/>
        </w:rPr>
        <w:t>To examine changes in student engagement and motivation resulting from digital micro-teaching interventions</w:t>
      </w:r>
    </w:p>
    <w:p w14:paraId="5405A9CD" w14:textId="77777777" w:rsidR="00D55132" w:rsidRPr="005B0F95" w:rsidRDefault="00D55132" w:rsidP="00D55132">
      <w:pPr>
        <w:pStyle w:val="NoSpacing"/>
        <w:numPr>
          <w:ilvl w:val="0"/>
          <w:numId w:val="12"/>
        </w:numPr>
        <w:jc w:val="both"/>
        <w:rPr>
          <w:rFonts w:ascii="Arial" w:hAnsi="Arial" w:cs="Arial"/>
          <w:sz w:val="24"/>
          <w:szCs w:val="24"/>
        </w:rPr>
      </w:pPr>
      <w:r w:rsidRPr="005B0F95">
        <w:rPr>
          <w:rFonts w:ascii="Arial" w:hAnsi="Arial" w:cs="Arial"/>
          <w:sz w:val="24"/>
          <w:szCs w:val="24"/>
        </w:rPr>
        <w:t>To investigate teacher and student perceptions regarding the usability, effectiveness, and challenges of digital tools in phonetic instruction</w:t>
      </w:r>
    </w:p>
    <w:p w14:paraId="784FEE78" w14:textId="77777777" w:rsidR="00D55132" w:rsidRPr="005B0F95" w:rsidRDefault="00D55132" w:rsidP="00D55132">
      <w:pPr>
        <w:pStyle w:val="NoSpacing"/>
        <w:numPr>
          <w:ilvl w:val="0"/>
          <w:numId w:val="12"/>
        </w:numPr>
        <w:jc w:val="both"/>
        <w:rPr>
          <w:rFonts w:ascii="Arial" w:hAnsi="Arial" w:cs="Arial"/>
          <w:sz w:val="24"/>
          <w:szCs w:val="24"/>
        </w:rPr>
      </w:pPr>
      <w:r w:rsidRPr="005B0F95">
        <w:rPr>
          <w:rFonts w:ascii="Arial" w:hAnsi="Arial" w:cs="Arial"/>
          <w:sz w:val="24"/>
          <w:szCs w:val="24"/>
        </w:rPr>
        <w:t>To identify contextual factors influencing the implementation and effectiveness of digital micro-teaching strategies in Nigerian secondary schools</w:t>
      </w:r>
    </w:p>
    <w:p w14:paraId="0A1528EC" w14:textId="77777777" w:rsidR="00D55132" w:rsidRPr="005B0F95" w:rsidRDefault="00D55132" w:rsidP="00D55132">
      <w:pPr>
        <w:pStyle w:val="NoSpacing"/>
        <w:jc w:val="both"/>
        <w:rPr>
          <w:rFonts w:ascii="Arial" w:hAnsi="Arial" w:cs="Arial"/>
          <w:sz w:val="24"/>
          <w:szCs w:val="24"/>
        </w:rPr>
      </w:pPr>
    </w:p>
    <w:p w14:paraId="2D7C58FF" w14:textId="3A592CB7" w:rsidR="00D55132" w:rsidRPr="005B0F95" w:rsidRDefault="00D55132" w:rsidP="00D55132">
      <w:pPr>
        <w:pStyle w:val="NoSpacing"/>
        <w:jc w:val="both"/>
        <w:rPr>
          <w:rFonts w:ascii="Arial" w:hAnsi="Arial" w:cs="Arial"/>
          <w:sz w:val="24"/>
          <w:szCs w:val="24"/>
        </w:rPr>
      </w:pPr>
      <w:r w:rsidRPr="005B0F95">
        <w:rPr>
          <w:rFonts w:ascii="Arial" w:hAnsi="Arial" w:cs="Arial"/>
          <w:sz w:val="24"/>
          <w:szCs w:val="24"/>
        </w:rPr>
        <w:t>Research Questions</w:t>
      </w:r>
    </w:p>
    <w:p w14:paraId="166EFB97" w14:textId="77777777" w:rsidR="00D55132" w:rsidRPr="005B0F95" w:rsidRDefault="00D55132" w:rsidP="00D55132">
      <w:pPr>
        <w:pStyle w:val="NoSpacing"/>
        <w:jc w:val="both"/>
        <w:rPr>
          <w:rFonts w:ascii="Arial" w:hAnsi="Arial" w:cs="Arial"/>
          <w:sz w:val="24"/>
          <w:szCs w:val="24"/>
        </w:rPr>
      </w:pPr>
      <w:r w:rsidRPr="005B0F95">
        <w:rPr>
          <w:rFonts w:ascii="Arial" w:hAnsi="Arial" w:cs="Arial"/>
          <w:sz w:val="24"/>
          <w:szCs w:val="24"/>
        </w:rPr>
        <w:t>The study sought to answer the following research questions:</w:t>
      </w:r>
    </w:p>
    <w:p w14:paraId="3AB6983D" w14:textId="77777777" w:rsidR="00D55132" w:rsidRPr="005B0F95" w:rsidRDefault="00D55132" w:rsidP="00D55132">
      <w:pPr>
        <w:pStyle w:val="NoSpacing"/>
        <w:numPr>
          <w:ilvl w:val="0"/>
          <w:numId w:val="13"/>
        </w:numPr>
        <w:jc w:val="both"/>
        <w:rPr>
          <w:rFonts w:ascii="Arial" w:hAnsi="Arial" w:cs="Arial"/>
          <w:sz w:val="24"/>
          <w:szCs w:val="24"/>
        </w:rPr>
      </w:pPr>
      <w:r w:rsidRPr="005B0F95">
        <w:rPr>
          <w:rFonts w:ascii="Arial" w:hAnsi="Arial" w:cs="Arial"/>
          <w:sz w:val="24"/>
          <w:szCs w:val="24"/>
        </w:rPr>
        <w:t>To what extent do digital micro-teaching strategies improve phonetic accuracy among secondary school students compared to conventional teaching methods?</w:t>
      </w:r>
    </w:p>
    <w:p w14:paraId="09FB2179" w14:textId="77777777" w:rsidR="00D55132" w:rsidRPr="005B0F95" w:rsidRDefault="00D55132" w:rsidP="00D55132">
      <w:pPr>
        <w:pStyle w:val="NoSpacing"/>
        <w:numPr>
          <w:ilvl w:val="0"/>
          <w:numId w:val="13"/>
        </w:numPr>
        <w:jc w:val="both"/>
        <w:rPr>
          <w:rFonts w:ascii="Arial" w:hAnsi="Arial" w:cs="Arial"/>
          <w:sz w:val="24"/>
          <w:szCs w:val="24"/>
        </w:rPr>
      </w:pPr>
      <w:r w:rsidRPr="005B0F95">
        <w:rPr>
          <w:rFonts w:ascii="Arial" w:hAnsi="Arial" w:cs="Arial"/>
          <w:sz w:val="24"/>
          <w:szCs w:val="24"/>
        </w:rPr>
        <w:t>How do digital micro-teaching approaches influence students' pronunciation fluency and overall phonetic competence?</w:t>
      </w:r>
    </w:p>
    <w:p w14:paraId="023FD31C" w14:textId="77777777" w:rsidR="00D55132" w:rsidRPr="005B0F95" w:rsidRDefault="00D55132" w:rsidP="00D55132">
      <w:pPr>
        <w:pStyle w:val="NoSpacing"/>
        <w:numPr>
          <w:ilvl w:val="0"/>
          <w:numId w:val="13"/>
        </w:numPr>
        <w:jc w:val="both"/>
        <w:rPr>
          <w:rFonts w:ascii="Arial" w:hAnsi="Arial" w:cs="Arial"/>
          <w:sz w:val="24"/>
          <w:szCs w:val="24"/>
        </w:rPr>
      </w:pPr>
      <w:r w:rsidRPr="005B0F95">
        <w:rPr>
          <w:rFonts w:ascii="Arial" w:hAnsi="Arial" w:cs="Arial"/>
          <w:sz w:val="24"/>
          <w:szCs w:val="24"/>
        </w:rPr>
        <w:t>What is the effect of digital micro-teaching strategies on student engagement and motivation in phonetic learning?</w:t>
      </w:r>
    </w:p>
    <w:p w14:paraId="65929CD5" w14:textId="77777777" w:rsidR="00D55132" w:rsidRPr="005B0F95" w:rsidRDefault="00D55132" w:rsidP="00D55132">
      <w:pPr>
        <w:pStyle w:val="NoSpacing"/>
        <w:numPr>
          <w:ilvl w:val="0"/>
          <w:numId w:val="13"/>
        </w:numPr>
        <w:jc w:val="both"/>
        <w:rPr>
          <w:rFonts w:ascii="Arial" w:hAnsi="Arial" w:cs="Arial"/>
          <w:sz w:val="24"/>
          <w:szCs w:val="24"/>
        </w:rPr>
      </w:pPr>
      <w:r w:rsidRPr="005B0F95">
        <w:rPr>
          <w:rFonts w:ascii="Arial" w:hAnsi="Arial" w:cs="Arial"/>
          <w:sz w:val="24"/>
          <w:szCs w:val="24"/>
        </w:rPr>
        <w:t>What are teachers' and students' perceptions of the effectiveness, usability, and challenges associated with digital tools in phonetic instruction?</w:t>
      </w:r>
    </w:p>
    <w:p w14:paraId="4497720B" w14:textId="77777777" w:rsidR="00D55132" w:rsidRPr="005B0F95" w:rsidRDefault="00D55132" w:rsidP="00D55132">
      <w:pPr>
        <w:pStyle w:val="NoSpacing"/>
        <w:numPr>
          <w:ilvl w:val="0"/>
          <w:numId w:val="13"/>
        </w:numPr>
        <w:jc w:val="both"/>
        <w:rPr>
          <w:rFonts w:ascii="Arial" w:hAnsi="Arial" w:cs="Arial"/>
          <w:sz w:val="24"/>
          <w:szCs w:val="24"/>
        </w:rPr>
      </w:pPr>
      <w:r w:rsidRPr="005B0F95">
        <w:rPr>
          <w:rFonts w:ascii="Arial" w:hAnsi="Arial" w:cs="Arial"/>
          <w:sz w:val="24"/>
          <w:szCs w:val="24"/>
        </w:rPr>
        <w:t>What contextual factors facilitate or impede the successful implementation of digital micro-teaching strategies in Nigerian secondary schools?</w:t>
      </w:r>
    </w:p>
    <w:p w14:paraId="552EE8C0" w14:textId="77777777" w:rsidR="00D55132" w:rsidRPr="005B0F95" w:rsidRDefault="00D55132" w:rsidP="00D55132">
      <w:pPr>
        <w:spacing w:after="0" w:line="240" w:lineRule="auto"/>
        <w:rPr>
          <w:rFonts w:ascii="Arial" w:hAnsi="Arial" w:cs="Arial"/>
          <w:sz w:val="24"/>
          <w:szCs w:val="24"/>
        </w:rPr>
      </w:pPr>
    </w:p>
    <w:p w14:paraId="1B69F1B4" w14:textId="531AAA04" w:rsidR="00A4574D" w:rsidRDefault="00A4574D" w:rsidP="00A4574D">
      <w:pPr>
        <w:pStyle w:val="NoSpacing"/>
        <w:jc w:val="both"/>
        <w:rPr>
          <w:rFonts w:ascii="Arial" w:hAnsi="Arial" w:cs="Arial"/>
          <w:b/>
          <w:sz w:val="24"/>
          <w:szCs w:val="24"/>
        </w:rPr>
      </w:pPr>
      <w:r w:rsidRPr="005B0F95">
        <w:rPr>
          <w:rFonts w:ascii="Arial" w:hAnsi="Arial" w:cs="Arial"/>
          <w:b/>
          <w:sz w:val="24"/>
          <w:szCs w:val="24"/>
        </w:rPr>
        <w:t>LITERATURE REVIEW</w:t>
      </w:r>
    </w:p>
    <w:p w14:paraId="40F9391D" w14:textId="77777777" w:rsidR="00C31AB2" w:rsidRPr="005B0F95" w:rsidRDefault="00C31AB2" w:rsidP="00A4574D">
      <w:pPr>
        <w:pStyle w:val="NoSpacing"/>
        <w:jc w:val="both"/>
        <w:rPr>
          <w:rFonts w:ascii="Arial" w:hAnsi="Arial" w:cs="Arial"/>
          <w:b/>
          <w:sz w:val="24"/>
          <w:szCs w:val="24"/>
        </w:rPr>
      </w:pPr>
    </w:p>
    <w:p w14:paraId="4A6A4BEC" w14:textId="77777777" w:rsidR="00A4574D" w:rsidRPr="005B0F95" w:rsidRDefault="00A4574D" w:rsidP="00185F4F">
      <w:pPr>
        <w:pStyle w:val="NoSpacing"/>
        <w:ind w:firstLine="720"/>
        <w:jc w:val="both"/>
        <w:rPr>
          <w:rFonts w:ascii="Arial" w:hAnsi="Arial" w:cs="Arial"/>
          <w:sz w:val="24"/>
          <w:szCs w:val="24"/>
        </w:rPr>
      </w:pPr>
      <w:r w:rsidRPr="005B0F95">
        <w:rPr>
          <w:rFonts w:ascii="Arial" w:hAnsi="Arial" w:cs="Arial"/>
          <w:sz w:val="24"/>
          <w:szCs w:val="24"/>
        </w:rPr>
        <w:t>The significance of phonetic competence in English language acquisition has been extensively documented in contemporary literature, with scholars emphasizing its foundational role in overall communicative competence (</w:t>
      </w:r>
      <w:proofErr w:type="spellStart"/>
      <w:r w:rsidRPr="005B0F95">
        <w:rPr>
          <w:rFonts w:ascii="Arial" w:hAnsi="Arial" w:cs="Arial"/>
          <w:sz w:val="24"/>
          <w:szCs w:val="24"/>
        </w:rPr>
        <w:t>Adedimeji</w:t>
      </w:r>
      <w:proofErr w:type="spellEnd"/>
      <w:r w:rsidRPr="005B0F95">
        <w:rPr>
          <w:rFonts w:ascii="Arial" w:hAnsi="Arial" w:cs="Arial"/>
          <w:sz w:val="24"/>
          <w:szCs w:val="24"/>
        </w:rPr>
        <w:t xml:space="preserve">, 2020; </w:t>
      </w:r>
      <w:proofErr w:type="spellStart"/>
      <w:r w:rsidRPr="005B0F95">
        <w:rPr>
          <w:rFonts w:ascii="Arial" w:hAnsi="Arial" w:cs="Arial"/>
          <w:sz w:val="24"/>
          <w:szCs w:val="24"/>
        </w:rPr>
        <w:t>Olaoye</w:t>
      </w:r>
      <w:proofErr w:type="spellEnd"/>
      <w:r w:rsidRPr="005B0F95">
        <w:rPr>
          <w:rFonts w:ascii="Arial" w:hAnsi="Arial" w:cs="Arial"/>
          <w:sz w:val="24"/>
          <w:szCs w:val="24"/>
        </w:rPr>
        <w:t xml:space="preserve">, 2022). In the Nigerian educational context, where English functions simultaneously as the medium of instruction and an official language, phonetic proficiency assumes particular importance for academic success and professional advancement. </w:t>
      </w:r>
      <w:proofErr w:type="spellStart"/>
      <w:r w:rsidRPr="005B0F95">
        <w:rPr>
          <w:rFonts w:ascii="Arial" w:hAnsi="Arial" w:cs="Arial"/>
          <w:sz w:val="24"/>
          <w:szCs w:val="24"/>
        </w:rPr>
        <w:t>Udofot</w:t>
      </w:r>
      <w:proofErr w:type="spellEnd"/>
      <w:r w:rsidRPr="005B0F95">
        <w:rPr>
          <w:rFonts w:ascii="Arial" w:hAnsi="Arial" w:cs="Arial"/>
          <w:sz w:val="24"/>
          <w:szCs w:val="24"/>
        </w:rPr>
        <w:t xml:space="preserve"> (2023) highlights that Nigerian learners encounter persistent challenges in mastering English phonetics, particularly in distinguishing and producing sounds absent from their native linguistic repertoires. These phonological difficulties stem from the interference of indigenous Nigerian languages, which possess substantially different phonemic inventories and prosodic patterns compared to English (</w:t>
      </w:r>
      <w:proofErr w:type="spellStart"/>
      <w:r w:rsidRPr="005B0F95">
        <w:rPr>
          <w:rFonts w:ascii="Arial" w:hAnsi="Arial" w:cs="Arial"/>
          <w:sz w:val="24"/>
          <w:szCs w:val="24"/>
        </w:rPr>
        <w:t>Jowitt</w:t>
      </w:r>
      <w:proofErr w:type="spellEnd"/>
      <w:r w:rsidRPr="005B0F95">
        <w:rPr>
          <w:rFonts w:ascii="Arial" w:hAnsi="Arial" w:cs="Arial"/>
          <w:sz w:val="24"/>
          <w:szCs w:val="24"/>
        </w:rPr>
        <w:t>, 2019). Recent studies have documented the adverse effects of inadequate phonetic instruction on learners' overall language development and academic performance (</w:t>
      </w:r>
      <w:proofErr w:type="spellStart"/>
      <w:r w:rsidRPr="005B0F95">
        <w:rPr>
          <w:rFonts w:ascii="Arial" w:hAnsi="Arial" w:cs="Arial"/>
          <w:sz w:val="24"/>
          <w:szCs w:val="24"/>
        </w:rPr>
        <w:t>Adedimeji</w:t>
      </w:r>
      <w:proofErr w:type="spellEnd"/>
      <w:r w:rsidRPr="005B0F95">
        <w:rPr>
          <w:rFonts w:ascii="Arial" w:hAnsi="Arial" w:cs="Arial"/>
          <w:sz w:val="24"/>
          <w:szCs w:val="24"/>
        </w:rPr>
        <w:t xml:space="preserve">, 2020). The consequences extend beyond classroom contexts, affecting learners' confidence in oral communication and limiting their participation in global academic and professional discourse. </w:t>
      </w:r>
      <w:proofErr w:type="spellStart"/>
      <w:r w:rsidRPr="005B0F95">
        <w:rPr>
          <w:rFonts w:ascii="Arial" w:hAnsi="Arial" w:cs="Arial"/>
          <w:sz w:val="24"/>
          <w:szCs w:val="24"/>
        </w:rPr>
        <w:t>Olaoye</w:t>
      </w:r>
      <w:proofErr w:type="spellEnd"/>
      <w:r w:rsidRPr="005B0F95">
        <w:rPr>
          <w:rFonts w:ascii="Arial" w:hAnsi="Arial" w:cs="Arial"/>
          <w:sz w:val="24"/>
          <w:szCs w:val="24"/>
        </w:rPr>
        <w:t xml:space="preserve"> (2022) argues that in an increasingly </w:t>
      </w:r>
      <w:r w:rsidRPr="005B0F95">
        <w:rPr>
          <w:rFonts w:ascii="Arial" w:hAnsi="Arial" w:cs="Arial"/>
          <w:sz w:val="24"/>
          <w:szCs w:val="24"/>
        </w:rPr>
        <w:lastRenderedPageBreak/>
        <w:t>interconnected world, phonetic competence serves as a gateway to international opportunities, making it imperative for Nigerian educational institutions to adopt more effective pronunciation teaching methodologies.</w:t>
      </w:r>
    </w:p>
    <w:p w14:paraId="6AEF8C27" w14:textId="2C6570F4" w:rsidR="00A4574D" w:rsidRPr="005B0F95" w:rsidRDefault="00A4574D" w:rsidP="00185F4F">
      <w:pPr>
        <w:pStyle w:val="NoSpacing"/>
        <w:ind w:firstLine="720"/>
        <w:jc w:val="both"/>
        <w:rPr>
          <w:rFonts w:ascii="Arial" w:hAnsi="Arial" w:cs="Arial"/>
          <w:sz w:val="24"/>
          <w:szCs w:val="24"/>
        </w:rPr>
      </w:pPr>
      <w:r w:rsidRPr="005B0F95">
        <w:rPr>
          <w:rFonts w:ascii="Arial" w:hAnsi="Arial" w:cs="Arial"/>
          <w:sz w:val="24"/>
          <w:szCs w:val="24"/>
        </w:rPr>
        <w:t>Contemporary research has critically examined conventional phonetic instruction methods in Nigerian secondary schools, revealing significant pedagogical shortcomings (</w:t>
      </w:r>
      <w:proofErr w:type="spellStart"/>
      <w:r w:rsidRPr="005B0F95">
        <w:rPr>
          <w:rFonts w:ascii="Arial" w:hAnsi="Arial" w:cs="Arial"/>
          <w:sz w:val="24"/>
          <w:szCs w:val="24"/>
        </w:rPr>
        <w:t>Okebukola</w:t>
      </w:r>
      <w:proofErr w:type="spellEnd"/>
      <w:r w:rsidRPr="005B0F95">
        <w:rPr>
          <w:rFonts w:ascii="Arial" w:hAnsi="Arial" w:cs="Arial"/>
          <w:sz w:val="24"/>
          <w:szCs w:val="24"/>
        </w:rPr>
        <w:t xml:space="preserve">, 2019; </w:t>
      </w:r>
      <w:proofErr w:type="spellStart"/>
      <w:r w:rsidRPr="005B0F95">
        <w:rPr>
          <w:rFonts w:ascii="Arial" w:hAnsi="Arial" w:cs="Arial"/>
          <w:sz w:val="24"/>
          <w:szCs w:val="24"/>
        </w:rPr>
        <w:t>Oladipupo</w:t>
      </w:r>
      <w:proofErr w:type="spellEnd"/>
      <w:r w:rsidRPr="005B0F95">
        <w:rPr>
          <w:rFonts w:ascii="Arial" w:hAnsi="Arial" w:cs="Arial"/>
          <w:sz w:val="24"/>
          <w:szCs w:val="24"/>
        </w:rPr>
        <w:t xml:space="preserve">, 2020; Okorie &amp; </w:t>
      </w:r>
      <w:proofErr w:type="spellStart"/>
      <w:r w:rsidRPr="005B0F95">
        <w:rPr>
          <w:rFonts w:ascii="Arial" w:hAnsi="Arial" w:cs="Arial"/>
          <w:sz w:val="24"/>
          <w:szCs w:val="24"/>
        </w:rPr>
        <w:t>Agwagah</w:t>
      </w:r>
      <w:proofErr w:type="spellEnd"/>
      <w:r w:rsidRPr="005B0F95">
        <w:rPr>
          <w:rFonts w:ascii="Arial" w:hAnsi="Arial" w:cs="Arial"/>
          <w:sz w:val="24"/>
          <w:szCs w:val="24"/>
        </w:rPr>
        <w:t xml:space="preserve">, 2021). Traditional approaches typically employ teacher-centered methodologies characterized by minimal student practice opportunities, inadequate corrective feedback, and insufficient individualization to address diverse learner needs. </w:t>
      </w:r>
      <w:proofErr w:type="spellStart"/>
      <w:r w:rsidRPr="005B0F95">
        <w:rPr>
          <w:rFonts w:ascii="Arial" w:hAnsi="Arial" w:cs="Arial"/>
          <w:sz w:val="24"/>
          <w:szCs w:val="24"/>
        </w:rPr>
        <w:t>Oladipupo</w:t>
      </w:r>
      <w:proofErr w:type="spellEnd"/>
      <w:r w:rsidRPr="005B0F95">
        <w:rPr>
          <w:rFonts w:ascii="Arial" w:hAnsi="Arial" w:cs="Arial"/>
          <w:sz w:val="24"/>
          <w:szCs w:val="24"/>
        </w:rPr>
        <w:t xml:space="preserve"> (2020) identifies systemic constraints that compound these pedagogical limitations, including oversized classes frequently exceeding 40 students, limited instructional time allocated to pronunciation teaching, and insufficient teacher preparation in phonetic pedagogy. These structural and pedagogical constraints create learning environments where systematic phonetic development remains elusive for most students. Okorie and </w:t>
      </w:r>
      <w:proofErr w:type="spellStart"/>
      <w:r w:rsidRPr="005B0F95">
        <w:rPr>
          <w:rFonts w:ascii="Arial" w:hAnsi="Arial" w:cs="Arial"/>
          <w:sz w:val="24"/>
          <w:szCs w:val="24"/>
        </w:rPr>
        <w:t>Agwagah</w:t>
      </w:r>
      <w:proofErr w:type="spellEnd"/>
      <w:r w:rsidRPr="005B0F95">
        <w:rPr>
          <w:rFonts w:ascii="Arial" w:hAnsi="Arial" w:cs="Arial"/>
          <w:sz w:val="24"/>
          <w:szCs w:val="24"/>
        </w:rPr>
        <w:t xml:space="preserve"> (2021) observe that traditional methods often reduce pronunciation instruction to sporadic correction of egregious errors rather than systematic skill development. The absence of structured practice opportunities and immediate feedback mechanisms particularly disadvantages learners who require additional support or possess limited exposure to standard English pronunciation models outside the classroom (</w:t>
      </w:r>
      <w:proofErr w:type="spellStart"/>
      <w:r w:rsidRPr="005B0F95">
        <w:rPr>
          <w:rFonts w:ascii="Arial" w:hAnsi="Arial" w:cs="Arial"/>
          <w:sz w:val="24"/>
          <w:szCs w:val="24"/>
        </w:rPr>
        <w:t>Okebukola</w:t>
      </w:r>
      <w:proofErr w:type="spellEnd"/>
      <w:r w:rsidRPr="005B0F95">
        <w:rPr>
          <w:rFonts w:ascii="Arial" w:hAnsi="Arial" w:cs="Arial"/>
          <w:sz w:val="24"/>
          <w:szCs w:val="24"/>
        </w:rPr>
        <w:t>, 2019</w:t>
      </w:r>
      <w:r w:rsidR="00B5128C" w:rsidRPr="005B0F95">
        <w:rPr>
          <w:rFonts w:ascii="Arial" w:hAnsi="Arial" w:cs="Arial"/>
          <w:sz w:val="24"/>
          <w:szCs w:val="24"/>
        </w:rPr>
        <w:t xml:space="preserve">; </w:t>
      </w:r>
      <w:proofErr w:type="spellStart"/>
      <w:r w:rsidR="00B5128C" w:rsidRPr="005B0F95">
        <w:rPr>
          <w:rFonts w:ascii="Arial" w:hAnsi="Arial" w:cs="Arial"/>
          <w:sz w:val="24"/>
          <w:szCs w:val="24"/>
        </w:rPr>
        <w:t>Mubarok</w:t>
      </w:r>
      <w:proofErr w:type="spellEnd"/>
      <w:r w:rsidR="00B5128C" w:rsidRPr="005B0F95">
        <w:rPr>
          <w:rFonts w:ascii="Arial" w:hAnsi="Arial" w:cs="Arial"/>
          <w:sz w:val="24"/>
          <w:szCs w:val="24"/>
        </w:rPr>
        <w:t xml:space="preserve"> et al, 2026</w:t>
      </w:r>
      <w:r w:rsidRPr="005B0F95">
        <w:rPr>
          <w:rFonts w:ascii="Arial" w:hAnsi="Arial" w:cs="Arial"/>
          <w:sz w:val="24"/>
          <w:szCs w:val="24"/>
        </w:rPr>
        <w:t>).</w:t>
      </w:r>
    </w:p>
    <w:p w14:paraId="02E091D5" w14:textId="77777777" w:rsidR="00A4574D" w:rsidRPr="005B0F95" w:rsidRDefault="00A4574D" w:rsidP="00185F4F">
      <w:pPr>
        <w:pStyle w:val="NoSpacing"/>
        <w:ind w:firstLine="720"/>
        <w:jc w:val="both"/>
        <w:rPr>
          <w:rFonts w:ascii="Arial" w:hAnsi="Arial" w:cs="Arial"/>
          <w:sz w:val="24"/>
          <w:szCs w:val="24"/>
        </w:rPr>
      </w:pPr>
      <w:r w:rsidRPr="005B0F95">
        <w:rPr>
          <w:rFonts w:ascii="Arial" w:hAnsi="Arial" w:cs="Arial"/>
          <w:sz w:val="24"/>
          <w:szCs w:val="24"/>
        </w:rPr>
        <w:t>The integration of digital technologies into language education has fundamentally transformed pedagogical possibilities, offering unprecedented opportunities for interactive, personalized, and engaging learning experiences. Recent comprehensive reviews of technology-enhanced language learning demonstrate substantial evidence supporting the effectiveness of digital tools across various language skills (Zou et al., 2023). Digital technologies provide unique affordances that traditional instructional methods cannot replicate, including immediate automated feedback, unlimited practice opportunities, multimodal input presentation, and adaptive learning pathways tailored to individual learner needs (</w:t>
      </w:r>
      <w:proofErr w:type="spellStart"/>
      <w:r w:rsidRPr="005B0F95">
        <w:rPr>
          <w:rFonts w:ascii="Arial" w:hAnsi="Arial" w:cs="Arial"/>
          <w:sz w:val="24"/>
          <w:szCs w:val="24"/>
        </w:rPr>
        <w:t>Shadiev</w:t>
      </w:r>
      <w:proofErr w:type="spellEnd"/>
      <w:r w:rsidRPr="005B0F95">
        <w:rPr>
          <w:rFonts w:ascii="Arial" w:hAnsi="Arial" w:cs="Arial"/>
          <w:sz w:val="24"/>
          <w:szCs w:val="24"/>
        </w:rPr>
        <w:t xml:space="preserve"> &amp; Yang, 2020). Cardoso (2020) synthesizes research on computer-assisted pronunciation teaching, identifying several categories of digital tools with demonstrated effectiveness: interactive phonetic applications that provide visual and auditory models of target sounds, voice recognition software that analyzes learner production and provides corrective feedback, virtual reality environments that create immersive practice contexts, and gamified platforms that leverage motivational principles to enhance engagement and persistence. The technological sophistication and accessibility of these tools have increased dramatically in recent years, making previously laboratory-bound resources available through mobile devices and web-based platforms (</w:t>
      </w:r>
      <w:proofErr w:type="spellStart"/>
      <w:r w:rsidRPr="005B0F95">
        <w:rPr>
          <w:rFonts w:ascii="Arial" w:hAnsi="Arial" w:cs="Arial"/>
          <w:sz w:val="24"/>
          <w:szCs w:val="24"/>
        </w:rPr>
        <w:t>Mroz</w:t>
      </w:r>
      <w:proofErr w:type="spellEnd"/>
      <w:r w:rsidRPr="005B0F95">
        <w:rPr>
          <w:rFonts w:ascii="Arial" w:hAnsi="Arial" w:cs="Arial"/>
          <w:sz w:val="24"/>
          <w:szCs w:val="24"/>
        </w:rPr>
        <w:t xml:space="preserve">, 2018). </w:t>
      </w:r>
      <w:proofErr w:type="spellStart"/>
      <w:r w:rsidRPr="005B0F95">
        <w:rPr>
          <w:rFonts w:ascii="Arial" w:hAnsi="Arial" w:cs="Arial"/>
          <w:sz w:val="24"/>
          <w:szCs w:val="24"/>
        </w:rPr>
        <w:t>McCrocklin</w:t>
      </w:r>
      <w:proofErr w:type="spellEnd"/>
      <w:r w:rsidRPr="005B0F95">
        <w:rPr>
          <w:rFonts w:ascii="Arial" w:hAnsi="Arial" w:cs="Arial"/>
          <w:sz w:val="24"/>
          <w:szCs w:val="24"/>
        </w:rPr>
        <w:t xml:space="preserve"> (2016) emphasizes that effective integration of pronunciation technology requires careful pedagogical design rather than mere technology adoption. Digital tools must be embedded within coherent instructional frameworks that specify learning objectives, scaffold progressive skill development, and provide opportunities for meaningful communicative practice. Pennington and Rogerson-Revell (2019) argue that the most effective technology-enhanced pronunciation instruction combines multiple digital resources within integrated pedagogical approaches rather than relying on isolated tools.</w:t>
      </w:r>
    </w:p>
    <w:p w14:paraId="7C474DF3" w14:textId="77777777" w:rsidR="00A4574D" w:rsidRPr="005B0F95" w:rsidRDefault="00A4574D" w:rsidP="00A4574D">
      <w:pPr>
        <w:pStyle w:val="NoSpacing"/>
        <w:jc w:val="both"/>
        <w:rPr>
          <w:rFonts w:ascii="Arial" w:hAnsi="Arial" w:cs="Arial"/>
          <w:sz w:val="24"/>
          <w:szCs w:val="24"/>
        </w:rPr>
      </w:pPr>
      <w:r w:rsidRPr="005B0F95">
        <w:rPr>
          <w:rFonts w:ascii="Arial" w:hAnsi="Arial" w:cs="Arial"/>
          <w:sz w:val="24"/>
          <w:szCs w:val="24"/>
        </w:rPr>
        <w:t xml:space="preserve">Recent advances in automatic speech recognition (ASR) technology have created powerful opportunities for pronunciation instruction. </w:t>
      </w:r>
      <w:proofErr w:type="spellStart"/>
      <w:r w:rsidRPr="005B0F95">
        <w:rPr>
          <w:rFonts w:ascii="Arial" w:hAnsi="Arial" w:cs="Arial"/>
          <w:sz w:val="24"/>
          <w:szCs w:val="24"/>
        </w:rPr>
        <w:t>Shadiev</w:t>
      </w:r>
      <w:proofErr w:type="spellEnd"/>
      <w:r w:rsidRPr="005B0F95">
        <w:rPr>
          <w:rFonts w:ascii="Arial" w:hAnsi="Arial" w:cs="Arial"/>
          <w:sz w:val="24"/>
          <w:szCs w:val="24"/>
        </w:rPr>
        <w:t xml:space="preserve"> et al. (2021) demonstrate that contemporary ASR systems can provide relatively accurate feedback on learner </w:t>
      </w:r>
      <w:r w:rsidRPr="005B0F95">
        <w:rPr>
          <w:rFonts w:ascii="Arial" w:hAnsi="Arial" w:cs="Arial"/>
          <w:sz w:val="24"/>
          <w:szCs w:val="24"/>
        </w:rPr>
        <w:lastRenderedPageBreak/>
        <w:t>pronunciation, enabling immediate correction without constant teacher intervention. These technologies address a critical limitation of traditional pronunciation instruction by providing learners with unlimited opportunities for individualized practice and feedback. Cardoso et al. (2020) conducted meta-analytic research examining the effectiveness of ASR-based pronunciation instruction, finding moderate to large effect sizes across multiple studies. Their analysis reveals that ASR technologies are particularly effective when integrated into systematic instructional sequences that combine explicit phonetic instruction, guided practice with immediate feedback, and opportunities for communicative application.</w:t>
      </w:r>
    </w:p>
    <w:p w14:paraId="7BE876D6" w14:textId="3A95DB82" w:rsidR="00A4574D" w:rsidRPr="005B0F95" w:rsidRDefault="00A4574D" w:rsidP="00E4058E">
      <w:pPr>
        <w:pStyle w:val="NoSpacing"/>
        <w:ind w:firstLine="720"/>
        <w:jc w:val="both"/>
        <w:rPr>
          <w:rFonts w:ascii="Arial" w:hAnsi="Arial" w:cs="Arial"/>
          <w:sz w:val="24"/>
          <w:szCs w:val="24"/>
        </w:rPr>
      </w:pPr>
      <w:r w:rsidRPr="005B0F95">
        <w:rPr>
          <w:rFonts w:ascii="Arial" w:hAnsi="Arial" w:cs="Arial"/>
          <w:sz w:val="24"/>
          <w:szCs w:val="24"/>
        </w:rPr>
        <w:t xml:space="preserve">Virtual reality (VR) technologies represent another innovative approach to pronunciation instruction, creating immersive environments where learners can practice target sounds and patterns in authentic communicative contexts. Legault et al. (2019) investigated the use of VR for pronunciation learning, finding that immersive environments reduced learner anxiety while increasing engagement and willingness to practice. The reduced anxiety associated with VR practice is particularly significant, as affective factors frequently impede pronunciation development in traditional classroom settings where learners fear embarrassment or negative evaluation. </w:t>
      </w:r>
      <w:proofErr w:type="spellStart"/>
      <w:r w:rsidRPr="005B0F95">
        <w:rPr>
          <w:rFonts w:ascii="Arial" w:hAnsi="Arial" w:cs="Arial"/>
          <w:sz w:val="24"/>
          <w:szCs w:val="24"/>
        </w:rPr>
        <w:t>Parmaxi</w:t>
      </w:r>
      <w:proofErr w:type="spellEnd"/>
      <w:r w:rsidRPr="005B0F95">
        <w:rPr>
          <w:rFonts w:ascii="Arial" w:hAnsi="Arial" w:cs="Arial"/>
          <w:sz w:val="24"/>
          <w:szCs w:val="24"/>
        </w:rPr>
        <w:t xml:space="preserve"> (2020) systematically reviewed research on VR applications in language learning, concluding that immersive technologies show particular promise for developing oral communication skills, including pronunciation, by providing contextualized practice opportunities that simulate real-world communication scenarios.</w:t>
      </w:r>
      <w:r w:rsidR="00E4058E" w:rsidRPr="005B0F95">
        <w:rPr>
          <w:rFonts w:ascii="Arial" w:hAnsi="Arial" w:cs="Arial"/>
          <w:sz w:val="24"/>
          <w:szCs w:val="24"/>
        </w:rPr>
        <w:t xml:space="preserve"> </w:t>
      </w:r>
      <w:r w:rsidRPr="005B0F95">
        <w:rPr>
          <w:rFonts w:ascii="Arial" w:hAnsi="Arial" w:cs="Arial"/>
          <w:sz w:val="24"/>
          <w:szCs w:val="24"/>
        </w:rPr>
        <w:t xml:space="preserve">Gamification </w:t>
      </w:r>
      <w:proofErr w:type="spellStart"/>
      <w:r w:rsidR="00BE12EC" w:rsidRPr="005B0F95">
        <w:rPr>
          <w:rFonts w:ascii="Arial" w:hAnsi="Arial" w:cs="Arial"/>
          <w:sz w:val="24"/>
          <w:szCs w:val="24"/>
        </w:rPr>
        <w:t>Prject</w:t>
      </w:r>
      <w:proofErr w:type="spellEnd"/>
      <w:r w:rsidR="00BE12EC" w:rsidRPr="005B0F95">
        <w:rPr>
          <w:rFonts w:ascii="Arial" w:hAnsi="Arial" w:cs="Arial"/>
          <w:sz w:val="24"/>
          <w:szCs w:val="24"/>
        </w:rPr>
        <w:t xml:space="preserve"> </w:t>
      </w:r>
      <w:r w:rsidR="00C86976" w:rsidRPr="005B0F95">
        <w:rPr>
          <w:rFonts w:ascii="Arial" w:hAnsi="Arial" w:cs="Arial"/>
          <w:sz w:val="24"/>
          <w:szCs w:val="24"/>
        </w:rPr>
        <w:t xml:space="preserve">and </w:t>
      </w:r>
      <w:r w:rsidR="00BE12EC" w:rsidRPr="005B0F95">
        <w:rPr>
          <w:rFonts w:ascii="Arial" w:hAnsi="Arial" w:cs="Arial"/>
          <w:sz w:val="24"/>
          <w:szCs w:val="24"/>
        </w:rPr>
        <w:t>Task based</w:t>
      </w:r>
      <w:r w:rsidR="00C86976" w:rsidRPr="005B0F95">
        <w:rPr>
          <w:rFonts w:ascii="Arial" w:hAnsi="Arial" w:cs="Arial"/>
          <w:sz w:val="24"/>
          <w:szCs w:val="24"/>
        </w:rPr>
        <w:t xml:space="preserve"> instructional strategies have</w:t>
      </w:r>
      <w:r w:rsidRPr="005B0F95">
        <w:rPr>
          <w:rFonts w:ascii="Arial" w:hAnsi="Arial" w:cs="Arial"/>
          <w:sz w:val="24"/>
          <w:szCs w:val="24"/>
        </w:rPr>
        <w:t xml:space="preserve"> emerged as a powerful motivational strategy in language education, applying game design elements to educational contexts to enhance engagement, persistence, and learning outcomes</w:t>
      </w:r>
      <w:r w:rsidR="000143AA" w:rsidRPr="005B0F95">
        <w:rPr>
          <w:rFonts w:ascii="Arial" w:hAnsi="Arial" w:cs="Arial"/>
          <w:sz w:val="24"/>
          <w:szCs w:val="24"/>
        </w:rPr>
        <w:t xml:space="preserve"> (</w:t>
      </w:r>
      <w:proofErr w:type="spellStart"/>
      <w:r w:rsidR="000143AA" w:rsidRPr="005B0F95">
        <w:rPr>
          <w:rFonts w:ascii="Arial" w:hAnsi="Arial" w:cs="Arial"/>
          <w:sz w:val="24"/>
          <w:szCs w:val="24"/>
        </w:rPr>
        <w:t>Nkopuruk</w:t>
      </w:r>
      <w:proofErr w:type="spellEnd"/>
      <w:r w:rsidR="000143AA" w:rsidRPr="005B0F95">
        <w:rPr>
          <w:rFonts w:ascii="Arial" w:hAnsi="Arial" w:cs="Arial"/>
          <w:sz w:val="24"/>
          <w:szCs w:val="24"/>
        </w:rPr>
        <w:t xml:space="preserve"> &amp; Mobolaji, 2025</w:t>
      </w:r>
      <w:r w:rsidR="00C86976" w:rsidRPr="005B0F95">
        <w:rPr>
          <w:rFonts w:ascii="Arial" w:hAnsi="Arial" w:cs="Arial"/>
          <w:sz w:val="24"/>
          <w:szCs w:val="24"/>
        </w:rPr>
        <w:t xml:space="preserve">; Mobolaji, </w:t>
      </w:r>
      <w:proofErr w:type="spellStart"/>
      <w:r w:rsidR="00C86976" w:rsidRPr="005B0F95">
        <w:rPr>
          <w:rFonts w:ascii="Arial" w:hAnsi="Arial" w:cs="Arial"/>
          <w:sz w:val="24"/>
          <w:szCs w:val="24"/>
        </w:rPr>
        <w:t>Nkopuruk</w:t>
      </w:r>
      <w:proofErr w:type="spellEnd"/>
      <w:r w:rsidR="00C86976" w:rsidRPr="005B0F95">
        <w:rPr>
          <w:rFonts w:ascii="Arial" w:hAnsi="Arial" w:cs="Arial"/>
          <w:sz w:val="24"/>
          <w:szCs w:val="24"/>
        </w:rPr>
        <w:t xml:space="preserve">, </w:t>
      </w:r>
      <w:proofErr w:type="spellStart"/>
      <w:r w:rsidR="00C86976" w:rsidRPr="005B0F95">
        <w:rPr>
          <w:rFonts w:ascii="Arial" w:hAnsi="Arial" w:cs="Arial"/>
          <w:sz w:val="24"/>
          <w:szCs w:val="24"/>
        </w:rPr>
        <w:t>Sulayman</w:t>
      </w:r>
      <w:proofErr w:type="spellEnd"/>
      <w:r w:rsidR="00C86976" w:rsidRPr="005B0F95">
        <w:rPr>
          <w:rFonts w:ascii="Arial" w:hAnsi="Arial" w:cs="Arial"/>
          <w:sz w:val="24"/>
          <w:szCs w:val="24"/>
        </w:rPr>
        <w:t xml:space="preserve"> and Mustapha, 2025</w:t>
      </w:r>
      <w:r w:rsidR="00BE12EC" w:rsidRPr="005B0F95">
        <w:rPr>
          <w:rFonts w:ascii="Arial" w:hAnsi="Arial" w:cs="Arial"/>
          <w:sz w:val="24"/>
          <w:szCs w:val="24"/>
        </w:rPr>
        <w:t xml:space="preserve">; </w:t>
      </w:r>
      <w:proofErr w:type="spellStart"/>
      <w:r w:rsidR="00BE12EC" w:rsidRPr="005B0F95">
        <w:rPr>
          <w:rFonts w:ascii="Arial" w:hAnsi="Arial" w:cs="Arial"/>
          <w:sz w:val="24"/>
          <w:szCs w:val="24"/>
        </w:rPr>
        <w:t>Nkopuruk</w:t>
      </w:r>
      <w:proofErr w:type="spellEnd"/>
      <w:r w:rsidR="00BE12EC" w:rsidRPr="005B0F95">
        <w:rPr>
          <w:rFonts w:ascii="Arial" w:hAnsi="Arial" w:cs="Arial"/>
          <w:sz w:val="24"/>
          <w:szCs w:val="24"/>
        </w:rPr>
        <w:t>, 2024</w:t>
      </w:r>
      <w:r w:rsidR="000143AA" w:rsidRPr="005B0F95">
        <w:rPr>
          <w:rFonts w:ascii="Arial" w:hAnsi="Arial" w:cs="Arial"/>
          <w:sz w:val="24"/>
          <w:szCs w:val="24"/>
        </w:rPr>
        <w:t>)</w:t>
      </w:r>
      <w:r w:rsidRPr="005B0F95">
        <w:rPr>
          <w:rFonts w:ascii="Arial" w:hAnsi="Arial" w:cs="Arial"/>
          <w:sz w:val="24"/>
          <w:szCs w:val="24"/>
        </w:rPr>
        <w:t xml:space="preserve">. </w:t>
      </w:r>
      <w:proofErr w:type="spellStart"/>
      <w:r w:rsidRPr="005B0F95">
        <w:rPr>
          <w:rFonts w:ascii="Arial" w:hAnsi="Arial" w:cs="Arial"/>
          <w:sz w:val="24"/>
          <w:szCs w:val="24"/>
        </w:rPr>
        <w:t>Dehghanzadeh</w:t>
      </w:r>
      <w:proofErr w:type="spellEnd"/>
      <w:r w:rsidRPr="005B0F95">
        <w:rPr>
          <w:rFonts w:ascii="Arial" w:hAnsi="Arial" w:cs="Arial"/>
          <w:sz w:val="24"/>
          <w:szCs w:val="24"/>
        </w:rPr>
        <w:t xml:space="preserve"> et al. (2021) examined gamification effects in language learning, finding that game-based approaches significantly increased student motivation, time-on-task, and achievement compared to conventional instruction. The incorporation of competition, achievement badges, progress tracking, and reward mechanisms taps into psychological principles of motivation that sustain learner engagement over extended periods. Rachels and </w:t>
      </w:r>
      <w:proofErr w:type="spellStart"/>
      <w:r w:rsidRPr="005B0F95">
        <w:rPr>
          <w:rFonts w:ascii="Arial" w:hAnsi="Arial" w:cs="Arial"/>
          <w:sz w:val="24"/>
          <w:szCs w:val="24"/>
        </w:rPr>
        <w:t>Rockinson-Szapkiw</w:t>
      </w:r>
      <w:proofErr w:type="spellEnd"/>
      <w:r w:rsidRPr="005B0F95">
        <w:rPr>
          <w:rFonts w:ascii="Arial" w:hAnsi="Arial" w:cs="Arial"/>
          <w:sz w:val="24"/>
          <w:szCs w:val="24"/>
        </w:rPr>
        <w:t xml:space="preserve"> (2018) specifically investigated gamification in pronunciation instruction, demonstrating that gamified pronunciation applications significantly improved both learner engagement and pronunciation accuracy. Zou and </w:t>
      </w:r>
      <w:proofErr w:type="spellStart"/>
      <w:r w:rsidRPr="005B0F95">
        <w:rPr>
          <w:rFonts w:ascii="Arial" w:hAnsi="Arial" w:cs="Arial"/>
          <w:sz w:val="24"/>
          <w:szCs w:val="24"/>
        </w:rPr>
        <w:t>Xie</w:t>
      </w:r>
      <w:proofErr w:type="spellEnd"/>
      <w:r w:rsidRPr="005B0F95">
        <w:rPr>
          <w:rFonts w:ascii="Arial" w:hAnsi="Arial" w:cs="Arial"/>
          <w:sz w:val="24"/>
          <w:szCs w:val="24"/>
        </w:rPr>
        <w:t xml:space="preserve"> (2019) emphasize that effective gamification requires careful design that balances entertainment elements with sound pedagogical principles, ensuring that game mechanics support rather than distract from learning objectives.</w:t>
      </w:r>
    </w:p>
    <w:p w14:paraId="1D3D4E26" w14:textId="223C2995" w:rsidR="00A4574D" w:rsidRPr="005B0F95" w:rsidRDefault="00A4574D" w:rsidP="00E4058E">
      <w:pPr>
        <w:pStyle w:val="NoSpacing"/>
        <w:ind w:firstLine="720"/>
        <w:jc w:val="both"/>
        <w:rPr>
          <w:rFonts w:ascii="Arial" w:hAnsi="Arial" w:cs="Arial"/>
          <w:sz w:val="24"/>
          <w:szCs w:val="24"/>
        </w:rPr>
      </w:pPr>
      <w:r w:rsidRPr="005B0F95">
        <w:rPr>
          <w:rFonts w:ascii="Arial" w:hAnsi="Arial" w:cs="Arial"/>
          <w:sz w:val="24"/>
          <w:szCs w:val="24"/>
        </w:rPr>
        <w:t xml:space="preserve">Despite the proliferation of research on technology-enhanced language learning, significant gaps remain in the literature, particularly regarding developing country contexts. </w:t>
      </w:r>
      <w:proofErr w:type="spellStart"/>
      <w:r w:rsidRPr="005B0F95">
        <w:rPr>
          <w:rFonts w:ascii="Arial" w:hAnsi="Arial" w:cs="Arial"/>
          <w:sz w:val="24"/>
          <w:szCs w:val="24"/>
        </w:rPr>
        <w:t>Owan</w:t>
      </w:r>
      <w:proofErr w:type="spellEnd"/>
      <w:r w:rsidRPr="005B0F95">
        <w:rPr>
          <w:rFonts w:ascii="Arial" w:hAnsi="Arial" w:cs="Arial"/>
          <w:sz w:val="24"/>
          <w:szCs w:val="24"/>
        </w:rPr>
        <w:t xml:space="preserve"> et al. (2023) </w:t>
      </w:r>
      <w:r w:rsidR="00B5128C" w:rsidRPr="005B0F95">
        <w:rPr>
          <w:rFonts w:ascii="Arial" w:hAnsi="Arial" w:cs="Arial"/>
          <w:sz w:val="24"/>
          <w:szCs w:val="24"/>
        </w:rPr>
        <w:t xml:space="preserve">and Bhandari et al (2026) </w:t>
      </w:r>
      <w:r w:rsidRPr="005B0F95">
        <w:rPr>
          <w:rFonts w:ascii="Arial" w:hAnsi="Arial" w:cs="Arial"/>
          <w:sz w:val="24"/>
          <w:szCs w:val="24"/>
        </w:rPr>
        <w:t xml:space="preserve">observe that educational technology research has predominantly focused on developed countries with robust technological infrastructure, leaving questions about effectiveness and implementation in resource-constrained settings inadequately addressed. The unique challenges facing African educational systems, including limited internet connectivity, insufficient technological resources, inadequate teacher training in educational technology, and large class sizes, create implementation contexts substantially different from those in developed countries where most educational technology research has been conducted. </w:t>
      </w:r>
      <w:proofErr w:type="spellStart"/>
      <w:r w:rsidRPr="005B0F95">
        <w:rPr>
          <w:rFonts w:ascii="Arial" w:hAnsi="Arial" w:cs="Arial"/>
          <w:sz w:val="24"/>
          <w:szCs w:val="24"/>
        </w:rPr>
        <w:t>Ololube</w:t>
      </w:r>
      <w:proofErr w:type="spellEnd"/>
      <w:r w:rsidRPr="005B0F95">
        <w:rPr>
          <w:rFonts w:ascii="Arial" w:hAnsi="Arial" w:cs="Arial"/>
          <w:sz w:val="24"/>
          <w:szCs w:val="24"/>
        </w:rPr>
        <w:t xml:space="preserve"> et al. (2020) argue that technology integration models developed in resource-rich contexts cannot be directly transplanted to African schools without careful adaptation to local constraints and opportunities.</w:t>
      </w:r>
      <w:r w:rsidR="00E4058E" w:rsidRPr="005B0F95">
        <w:rPr>
          <w:rFonts w:ascii="Arial" w:hAnsi="Arial" w:cs="Arial"/>
          <w:sz w:val="24"/>
          <w:szCs w:val="24"/>
        </w:rPr>
        <w:t xml:space="preserve"> </w:t>
      </w:r>
      <w:r w:rsidRPr="005B0F95">
        <w:rPr>
          <w:rFonts w:ascii="Arial" w:hAnsi="Arial" w:cs="Arial"/>
          <w:sz w:val="24"/>
          <w:szCs w:val="24"/>
        </w:rPr>
        <w:t xml:space="preserve">Furthermore, </w:t>
      </w:r>
      <w:r w:rsidRPr="005B0F95">
        <w:rPr>
          <w:rFonts w:ascii="Arial" w:hAnsi="Arial" w:cs="Arial"/>
          <w:sz w:val="24"/>
          <w:szCs w:val="24"/>
        </w:rPr>
        <w:lastRenderedPageBreak/>
        <w:t>while individual digital tools for pronunciation instruction have received considerable research attention, integrated approaches that combine multiple technologies within coherent pedagogical frameworks remain underexplored. Saito (2021) advocates for pronunciation instruction research that examines comprehensive interventions incorporating varied practice activities, multiple feedback sources, and sustained engagement over meaningful time periods. Lee et al. (2015) emphasize that pronunciation development requires varied, systematic, and sustained practice with corrective feedback, yet research examining optimal combinations and sequencing of digital tools to achieve these pedagogical conditions remains limited. The question of how different digital technologies might be effectively integrated to create synergistic effects that exceed the benefits of individual tools represents an important direction for future research.</w:t>
      </w:r>
    </w:p>
    <w:p w14:paraId="18FA829C" w14:textId="1211D288" w:rsidR="00A4574D" w:rsidRPr="005B0F95" w:rsidRDefault="00A4574D" w:rsidP="00E4058E">
      <w:pPr>
        <w:pStyle w:val="NoSpacing"/>
        <w:ind w:firstLine="720"/>
        <w:jc w:val="both"/>
        <w:rPr>
          <w:rFonts w:ascii="Arial" w:hAnsi="Arial" w:cs="Arial"/>
          <w:sz w:val="24"/>
          <w:szCs w:val="24"/>
        </w:rPr>
      </w:pPr>
      <w:r w:rsidRPr="005B0F95">
        <w:rPr>
          <w:rFonts w:ascii="Arial" w:hAnsi="Arial" w:cs="Arial"/>
          <w:sz w:val="24"/>
          <w:szCs w:val="24"/>
        </w:rPr>
        <w:t xml:space="preserve">The micro-teaching approach, originally developed for teacher preparation, offers a promising pedagogical framework for structuring pronunciation instruction. Micro-teaching involves decomposing complex skills into manageable components, allowing for focused practice, immediate feedback, and progressive skill development through iterative cycles of practice and refinement. </w:t>
      </w:r>
      <w:proofErr w:type="spellStart"/>
      <w:r w:rsidRPr="005B0F95">
        <w:rPr>
          <w:rFonts w:ascii="Arial" w:hAnsi="Arial" w:cs="Arial"/>
          <w:sz w:val="24"/>
          <w:szCs w:val="24"/>
        </w:rPr>
        <w:t>Kilic</w:t>
      </w:r>
      <w:proofErr w:type="spellEnd"/>
      <w:r w:rsidRPr="005B0F95">
        <w:rPr>
          <w:rFonts w:ascii="Arial" w:hAnsi="Arial" w:cs="Arial"/>
          <w:sz w:val="24"/>
          <w:szCs w:val="24"/>
        </w:rPr>
        <w:t xml:space="preserve"> (2010) and Mahmud and </w:t>
      </w:r>
      <w:proofErr w:type="spellStart"/>
      <w:r w:rsidRPr="005B0F95">
        <w:rPr>
          <w:rFonts w:ascii="Arial" w:hAnsi="Arial" w:cs="Arial"/>
          <w:sz w:val="24"/>
          <w:szCs w:val="24"/>
        </w:rPr>
        <w:t>Rawshon</w:t>
      </w:r>
      <w:proofErr w:type="spellEnd"/>
      <w:r w:rsidRPr="005B0F95">
        <w:rPr>
          <w:rFonts w:ascii="Arial" w:hAnsi="Arial" w:cs="Arial"/>
          <w:sz w:val="24"/>
          <w:szCs w:val="24"/>
        </w:rPr>
        <w:t xml:space="preserve"> (2013) document the effectiveness of micro-teaching approaches across various educational contexts and disciplines. When applied to phonetic instruction, micro-teaching principles enable learners to concentrate on specific sound patterns or phonetic features in isolation before integrating them into more complex communicative tasks. </w:t>
      </w:r>
      <w:proofErr w:type="spellStart"/>
      <w:r w:rsidRPr="005B0F95">
        <w:rPr>
          <w:rFonts w:ascii="Arial" w:hAnsi="Arial" w:cs="Arial"/>
          <w:sz w:val="24"/>
          <w:szCs w:val="24"/>
        </w:rPr>
        <w:t>Levis</w:t>
      </w:r>
      <w:proofErr w:type="spellEnd"/>
      <w:r w:rsidRPr="005B0F95">
        <w:rPr>
          <w:rFonts w:ascii="Arial" w:hAnsi="Arial" w:cs="Arial"/>
          <w:sz w:val="24"/>
          <w:szCs w:val="24"/>
        </w:rPr>
        <w:t xml:space="preserve"> (2018) argues that pronunciation instruction benefits from this systematic, focused approach, allowing learners to develop phonetic competence through progressive mastery of increasingly complex phonological features. Saito (2021) similarly advocates for structured pronunciation instruction that scaffolds learning through carefully sequenced activities targeting specific phonetic elements.</w:t>
      </w:r>
      <w:r w:rsidR="00E4058E" w:rsidRPr="005B0F95">
        <w:rPr>
          <w:rFonts w:ascii="Arial" w:hAnsi="Arial" w:cs="Arial"/>
          <w:sz w:val="24"/>
          <w:szCs w:val="24"/>
        </w:rPr>
        <w:t xml:space="preserve"> </w:t>
      </w:r>
      <w:r w:rsidRPr="005B0F95">
        <w:rPr>
          <w:rFonts w:ascii="Arial" w:hAnsi="Arial" w:cs="Arial"/>
          <w:sz w:val="24"/>
          <w:szCs w:val="24"/>
        </w:rPr>
        <w:t>The integration of digital technologies with micro-teaching principles potentially creates a powerful synergy for pronunciation instruction. Digital tools provide the technological infrastructure for implementing micro-teaching cycles of focused practice, immediate feedback, and iterative refinement, while micro-teaching principles provide the pedagogical framework ensuring that technology use serves clear learning objectives. However, empirical research examining this integration remains scarce. The present study addresses this gap by investigating how digital technologies can be systematically integrated within micro-teaching frameworks to enhance phonetic instruction in Nigerian secondary schools. By examining both learning outcomes and implementation experiences through a rigorous quasi-experimental design, this research contributes empirical evidence regarding the viability and effectiveness of digital micro-teaching approaches in developing country contexts, informing both local educational practice and the broader international discourse on technology-enhanced pronunciation instruction in resource-constrained educational environments.</w:t>
      </w:r>
    </w:p>
    <w:p w14:paraId="5C89A986" w14:textId="77777777" w:rsidR="00913597" w:rsidRPr="005B0F95" w:rsidRDefault="00913597" w:rsidP="00913597">
      <w:pPr>
        <w:spacing w:after="0"/>
        <w:jc w:val="both"/>
        <w:rPr>
          <w:rFonts w:ascii="Arial" w:hAnsi="Arial" w:cs="Arial"/>
          <w:b/>
          <w:sz w:val="24"/>
          <w:szCs w:val="24"/>
        </w:rPr>
      </w:pPr>
    </w:p>
    <w:p w14:paraId="1617A218" w14:textId="3410E953" w:rsidR="00913597" w:rsidRDefault="003F2B73" w:rsidP="00913597">
      <w:pPr>
        <w:spacing w:after="0"/>
        <w:jc w:val="both"/>
        <w:rPr>
          <w:rFonts w:ascii="Arial" w:hAnsi="Arial" w:cs="Arial"/>
          <w:b/>
          <w:sz w:val="24"/>
          <w:szCs w:val="24"/>
        </w:rPr>
      </w:pPr>
      <w:r w:rsidRPr="005B0F95">
        <w:rPr>
          <w:rFonts w:ascii="Arial" w:hAnsi="Arial" w:cs="Arial"/>
          <w:b/>
          <w:sz w:val="24"/>
          <w:szCs w:val="24"/>
        </w:rPr>
        <w:t>METHODOLOGY</w:t>
      </w:r>
    </w:p>
    <w:p w14:paraId="07D3DC30" w14:textId="77777777" w:rsidR="00C31AB2" w:rsidRPr="005B0F95" w:rsidRDefault="00C31AB2" w:rsidP="00913597">
      <w:pPr>
        <w:spacing w:after="0"/>
        <w:jc w:val="both"/>
        <w:rPr>
          <w:rFonts w:ascii="Arial" w:hAnsi="Arial" w:cs="Arial"/>
          <w:b/>
          <w:sz w:val="24"/>
          <w:szCs w:val="24"/>
        </w:rPr>
      </w:pPr>
    </w:p>
    <w:p w14:paraId="4DDBF707" w14:textId="1F2F8466" w:rsidR="005373BC" w:rsidRPr="005B0F95" w:rsidRDefault="00DF6DBD" w:rsidP="005373BC">
      <w:pPr>
        <w:pStyle w:val="NoSpacing"/>
        <w:ind w:firstLine="720"/>
        <w:jc w:val="both"/>
        <w:rPr>
          <w:rFonts w:ascii="Arial" w:hAnsi="Arial" w:cs="Arial"/>
          <w:sz w:val="24"/>
          <w:szCs w:val="24"/>
        </w:rPr>
      </w:pPr>
      <w:r w:rsidRPr="005B0F95">
        <w:rPr>
          <w:rFonts w:ascii="Arial" w:hAnsi="Arial" w:cs="Arial"/>
          <w:sz w:val="24"/>
          <w:szCs w:val="24"/>
        </w:rPr>
        <w:t xml:space="preserve">In this research, the quasi-experimental pre-test post-test control group design was used to evaluate the effectiveness of digital micro-teaching strategies in the development of phonetic competence in students of secondary school. Essentially, the study targeted five English language teachers who were specialists in the field of teaching phonetics and 60 classes in the Senior Secondary Level between the ages of 14-16 years as experimental (n=30) and control (n=30) groups, randomly using </w:t>
      </w:r>
      <w:r w:rsidRPr="005B0F95">
        <w:rPr>
          <w:rFonts w:ascii="Arial" w:hAnsi="Arial" w:cs="Arial"/>
          <w:sz w:val="24"/>
          <w:szCs w:val="24"/>
        </w:rPr>
        <w:lastRenderedPageBreak/>
        <w:t xml:space="preserve">intact classes as allocation methods. The experimental group was provided with 12 weeks of phonetic training based on integrated digital micro-teaching techniques, which included multimedia phonetic practices in simulation learning; use of interactive phonetic application such as the sounds the pronunciation app and phonetics focus to practice specific sounds; use of Google Speech Recognition software which would assess pronunciation accuracy automatically and provide immediate feedbacks; use of virtual reality worlds that will allow phonetic skills to be </w:t>
      </w:r>
      <w:proofErr w:type="spellStart"/>
      <w:r w:rsidRPr="005B0F95">
        <w:rPr>
          <w:rFonts w:ascii="Arial" w:hAnsi="Arial" w:cs="Arial"/>
          <w:sz w:val="24"/>
          <w:szCs w:val="24"/>
        </w:rPr>
        <w:t>practised</w:t>
      </w:r>
      <w:proofErr w:type="spellEnd"/>
      <w:r w:rsidRPr="005B0F95">
        <w:rPr>
          <w:rFonts w:ascii="Arial" w:hAnsi="Arial" w:cs="Arial"/>
          <w:sz w:val="24"/>
          <w:szCs w:val="24"/>
        </w:rPr>
        <w:t xml:space="preserve"> in natural communicative situations; and use of phonetic games that would reinforce phonetic abilities through interactive tasks and the  control group was provided with standard phonemic instructional strategies based on the traditional teacher centered approaches without the use of digital technologies.</w:t>
      </w:r>
    </w:p>
    <w:p w14:paraId="3429C063" w14:textId="1B19F515" w:rsidR="003F2B73" w:rsidRPr="005B0F95" w:rsidRDefault="00DF6DBD" w:rsidP="005373BC">
      <w:pPr>
        <w:pStyle w:val="NoSpacing"/>
        <w:ind w:firstLine="720"/>
        <w:jc w:val="both"/>
        <w:rPr>
          <w:rFonts w:ascii="Arial" w:hAnsi="Arial" w:cs="Arial"/>
          <w:sz w:val="24"/>
          <w:szCs w:val="24"/>
        </w:rPr>
      </w:pPr>
      <w:r w:rsidRPr="005B0F95">
        <w:rPr>
          <w:rFonts w:ascii="Arial" w:hAnsi="Arial" w:cs="Arial"/>
          <w:sz w:val="24"/>
          <w:szCs w:val="24"/>
        </w:rPr>
        <w:t xml:space="preserve"> Both groups had the same standardized phonetic tests at pre-test and post-tests to test phonetic accuracy, pronunciation fluency, and general phonetic competence, and surveys and semi-structured interviews of the students and teachers participating in the study collected qualitative information on the perceptions of digital tool efficacy, usability, engagement, and challenges in the implementation. Paired-samples t-tests and independent-samples t-tests were used to evaluate within- and between-group changes, ANCOVA to control the pre-test scores and evaluate the treatment effects, and thematic analysis to analyze qualitative data through interviews and surveys, which allowed considering both learning outcomes and the experiences of the stakeholders of digital micro-teaching methods in the Nigerian secondary school setting.</w:t>
      </w:r>
    </w:p>
    <w:p w14:paraId="42362F60" w14:textId="77777777" w:rsidR="00DF6DBD" w:rsidRPr="005B0F95" w:rsidRDefault="00DF6DBD" w:rsidP="003F2B73">
      <w:pPr>
        <w:pStyle w:val="NoSpacing"/>
        <w:jc w:val="both"/>
        <w:rPr>
          <w:rFonts w:ascii="Arial" w:hAnsi="Arial" w:cs="Arial"/>
          <w:sz w:val="24"/>
          <w:szCs w:val="24"/>
        </w:rPr>
      </w:pPr>
    </w:p>
    <w:p w14:paraId="0501611E" w14:textId="07971649" w:rsidR="003F2B73" w:rsidRDefault="003F2B73" w:rsidP="003F2B73">
      <w:pPr>
        <w:pStyle w:val="NoSpacing"/>
        <w:jc w:val="both"/>
        <w:rPr>
          <w:rFonts w:ascii="Arial" w:hAnsi="Arial" w:cs="Arial"/>
          <w:b/>
          <w:sz w:val="24"/>
          <w:szCs w:val="24"/>
        </w:rPr>
      </w:pPr>
      <w:r w:rsidRPr="005B0F95">
        <w:rPr>
          <w:rFonts w:ascii="Arial" w:hAnsi="Arial" w:cs="Arial"/>
          <w:b/>
          <w:sz w:val="24"/>
          <w:szCs w:val="24"/>
        </w:rPr>
        <w:t>FINDINGS</w:t>
      </w:r>
    </w:p>
    <w:p w14:paraId="4A3E9CC0" w14:textId="77777777" w:rsidR="003C542D" w:rsidRPr="005B0F95" w:rsidRDefault="003C542D" w:rsidP="003F2B73">
      <w:pPr>
        <w:pStyle w:val="NoSpacing"/>
        <w:jc w:val="both"/>
        <w:rPr>
          <w:rFonts w:ascii="Arial" w:hAnsi="Arial" w:cs="Arial"/>
          <w:b/>
          <w:sz w:val="24"/>
          <w:szCs w:val="24"/>
        </w:rPr>
      </w:pPr>
    </w:p>
    <w:p w14:paraId="20F76BB4"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The analysis of pre-test and post-test data revealed substantial improvements in phonetic competence among students who received instruction through digital micro-teaching strategies compared to those who received conventional instruction. The findings are organized around three primary outcome domains: phonetic accuracy, student engagement and motivation, and stakeholder perceptions of digital tool effectiveness.</w:t>
      </w:r>
    </w:p>
    <w:p w14:paraId="4EEBADE2"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Phonetic Accuracy and Pronunciation Fluency</w:t>
      </w:r>
    </w:p>
    <w:p w14:paraId="427A9A9B" w14:textId="62EB527B" w:rsidR="003F2B73" w:rsidRDefault="003F2B73" w:rsidP="003F2B73">
      <w:pPr>
        <w:pStyle w:val="NoSpacing"/>
        <w:jc w:val="both"/>
        <w:rPr>
          <w:rFonts w:ascii="Arial" w:hAnsi="Arial" w:cs="Arial"/>
          <w:sz w:val="24"/>
          <w:szCs w:val="24"/>
        </w:rPr>
      </w:pPr>
      <w:r w:rsidRPr="005B0F95">
        <w:rPr>
          <w:rFonts w:ascii="Arial" w:hAnsi="Arial" w:cs="Arial"/>
          <w:sz w:val="24"/>
          <w:szCs w:val="24"/>
        </w:rPr>
        <w:t>Table 1 presents the descriptive statistics for phonetic accuracy scores at pre-test and post-test phases for both experimental and control groups. The experimental group demonstrated marked improvement in phonetic accuracy, with mean scores increasing from 54.20 (SD = 8.63) at pre-test to 82.47 (SD = 6.89) at post-test, representing a gain of 28.27 points. In contrast, the control group showed modest improvement, with mean scores increasing from 54.53 (SD = 8.91) to 62.86 (SD = 9.12), representing a gain of only 8.33 points. The standard deviations indicate that the experimental group not only achieved higher mean scores but also demonstrated greater consistency in performance at post-test, with reduced variability compared to the control group.</w:t>
      </w:r>
    </w:p>
    <w:p w14:paraId="78C82C98" w14:textId="77777777" w:rsidR="00465011" w:rsidRPr="005B0F95" w:rsidRDefault="00465011" w:rsidP="003F2B73">
      <w:pPr>
        <w:pStyle w:val="NoSpacing"/>
        <w:jc w:val="both"/>
        <w:rPr>
          <w:rFonts w:ascii="Arial" w:hAnsi="Arial" w:cs="Arial"/>
          <w:sz w:val="24"/>
          <w:szCs w:val="24"/>
        </w:rPr>
      </w:pPr>
    </w:p>
    <w:p w14:paraId="748A0E89" w14:textId="3263C359" w:rsidR="003F2B73" w:rsidRDefault="003F2B73" w:rsidP="00611E74">
      <w:pPr>
        <w:pStyle w:val="NoSpacing"/>
        <w:rPr>
          <w:rFonts w:ascii="Arial" w:hAnsi="Arial" w:cs="Arial"/>
          <w:b/>
          <w:sz w:val="24"/>
          <w:szCs w:val="24"/>
        </w:rPr>
      </w:pPr>
      <w:r w:rsidRPr="00465011">
        <w:rPr>
          <w:rFonts w:ascii="Arial" w:hAnsi="Arial" w:cs="Arial"/>
          <w:b/>
          <w:sz w:val="24"/>
          <w:szCs w:val="24"/>
        </w:rPr>
        <w:t>Table</w:t>
      </w:r>
      <w:r w:rsidR="00611E74" w:rsidRPr="00465011">
        <w:rPr>
          <w:rFonts w:ascii="Arial" w:hAnsi="Arial" w:cs="Arial"/>
          <w:b/>
          <w:sz w:val="24"/>
          <w:szCs w:val="24"/>
        </w:rPr>
        <w:t xml:space="preserve"> 1: </w:t>
      </w:r>
      <w:r w:rsidRPr="00465011">
        <w:rPr>
          <w:rFonts w:ascii="Arial" w:hAnsi="Arial" w:cs="Arial"/>
          <w:b/>
          <w:sz w:val="24"/>
          <w:szCs w:val="24"/>
        </w:rPr>
        <w:t>Descriptive Statistics for Phonetic Accuracy Scores by Group and Time</w:t>
      </w:r>
    </w:p>
    <w:p w14:paraId="3849F830" w14:textId="77777777" w:rsidR="00465011" w:rsidRPr="00465011" w:rsidRDefault="00465011" w:rsidP="00611E74">
      <w:pPr>
        <w:pStyle w:val="NoSpacing"/>
        <w:rPr>
          <w:rFonts w:ascii="Arial" w:hAnsi="Arial" w:cs="Arial"/>
          <w:b/>
          <w:sz w:val="24"/>
          <w:szCs w:val="24"/>
        </w:rPr>
      </w:pPr>
    </w:p>
    <w:tbl>
      <w:tblPr>
        <w:tblW w:w="86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21"/>
        <w:gridCol w:w="1174"/>
        <w:gridCol w:w="378"/>
        <w:gridCol w:w="769"/>
        <w:gridCol w:w="613"/>
        <w:gridCol w:w="1206"/>
        <w:gridCol w:w="1284"/>
        <w:gridCol w:w="1455"/>
      </w:tblGrid>
      <w:tr w:rsidR="00CC0603" w:rsidRPr="005B0F95" w14:paraId="23F5C4AF" w14:textId="77777777" w:rsidTr="00611E74">
        <w:trPr>
          <w:trHeight w:val="288"/>
          <w:tblHeader/>
          <w:tblCellSpacing w:w="15" w:type="dxa"/>
        </w:trPr>
        <w:tc>
          <w:tcPr>
            <w:tcW w:w="0" w:type="auto"/>
            <w:tcBorders>
              <w:top w:val="single" w:sz="4" w:space="0" w:color="auto"/>
              <w:bottom w:val="single" w:sz="4" w:space="0" w:color="auto"/>
            </w:tcBorders>
            <w:vAlign w:val="center"/>
            <w:hideMark/>
          </w:tcPr>
          <w:p w14:paraId="6F5CA2F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Group</w:t>
            </w:r>
          </w:p>
        </w:tc>
        <w:tc>
          <w:tcPr>
            <w:tcW w:w="0" w:type="auto"/>
            <w:tcBorders>
              <w:top w:val="single" w:sz="4" w:space="0" w:color="auto"/>
              <w:bottom w:val="single" w:sz="4" w:space="0" w:color="auto"/>
            </w:tcBorders>
            <w:vAlign w:val="center"/>
            <w:hideMark/>
          </w:tcPr>
          <w:p w14:paraId="4FE5C29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Time</w:t>
            </w:r>
          </w:p>
        </w:tc>
        <w:tc>
          <w:tcPr>
            <w:tcW w:w="0" w:type="auto"/>
            <w:tcBorders>
              <w:top w:val="single" w:sz="4" w:space="0" w:color="auto"/>
              <w:bottom w:val="single" w:sz="4" w:space="0" w:color="auto"/>
            </w:tcBorders>
            <w:vAlign w:val="center"/>
            <w:hideMark/>
          </w:tcPr>
          <w:p w14:paraId="3C67E0DE"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w:t>
            </w:r>
          </w:p>
        </w:tc>
        <w:tc>
          <w:tcPr>
            <w:tcW w:w="0" w:type="auto"/>
            <w:tcBorders>
              <w:top w:val="single" w:sz="4" w:space="0" w:color="auto"/>
              <w:bottom w:val="single" w:sz="4" w:space="0" w:color="auto"/>
            </w:tcBorders>
            <w:vAlign w:val="center"/>
            <w:hideMark/>
          </w:tcPr>
          <w:p w14:paraId="782A8AB3"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Mean</w:t>
            </w:r>
          </w:p>
        </w:tc>
        <w:tc>
          <w:tcPr>
            <w:tcW w:w="0" w:type="auto"/>
            <w:tcBorders>
              <w:top w:val="single" w:sz="4" w:space="0" w:color="auto"/>
              <w:bottom w:val="single" w:sz="4" w:space="0" w:color="auto"/>
            </w:tcBorders>
            <w:vAlign w:val="center"/>
            <w:hideMark/>
          </w:tcPr>
          <w:p w14:paraId="1317DE01"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SD</w:t>
            </w:r>
          </w:p>
        </w:tc>
        <w:tc>
          <w:tcPr>
            <w:tcW w:w="0" w:type="auto"/>
            <w:tcBorders>
              <w:top w:val="single" w:sz="4" w:space="0" w:color="auto"/>
              <w:bottom w:val="single" w:sz="4" w:space="0" w:color="auto"/>
            </w:tcBorders>
            <w:vAlign w:val="center"/>
            <w:hideMark/>
          </w:tcPr>
          <w:p w14:paraId="15AC924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Minimum</w:t>
            </w:r>
          </w:p>
        </w:tc>
        <w:tc>
          <w:tcPr>
            <w:tcW w:w="0" w:type="auto"/>
            <w:tcBorders>
              <w:top w:val="single" w:sz="4" w:space="0" w:color="auto"/>
              <w:bottom w:val="single" w:sz="4" w:space="0" w:color="auto"/>
            </w:tcBorders>
            <w:vAlign w:val="center"/>
            <w:hideMark/>
          </w:tcPr>
          <w:p w14:paraId="18744CF7"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Maximum</w:t>
            </w:r>
          </w:p>
        </w:tc>
        <w:tc>
          <w:tcPr>
            <w:tcW w:w="0" w:type="auto"/>
            <w:tcBorders>
              <w:top w:val="single" w:sz="4" w:space="0" w:color="auto"/>
              <w:bottom w:val="single" w:sz="4" w:space="0" w:color="auto"/>
            </w:tcBorders>
            <w:vAlign w:val="center"/>
            <w:hideMark/>
          </w:tcPr>
          <w:p w14:paraId="40B968C9"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Mean Gain</w:t>
            </w:r>
          </w:p>
        </w:tc>
      </w:tr>
      <w:tr w:rsidR="00CC0603" w:rsidRPr="005B0F95" w14:paraId="20AC5EDD" w14:textId="77777777" w:rsidTr="00611E74">
        <w:trPr>
          <w:trHeight w:val="299"/>
          <w:tblCellSpacing w:w="15" w:type="dxa"/>
        </w:trPr>
        <w:tc>
          <w:tcPr>
            <w:tcW w:w="0" w:type="auto"/>
            <w:vAlign w:val="center"/>
            <w:hideMark/>
          </w:tcPr>
          <w:p w14:paraId="26872300"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Experimental</w:t>
            </w:r>
          </w:p>
        </w:tc>
        <w:tc>
          <w:tcPr>
            <w:tcW w:w="0" w:type="auto"/>
            <w:vAlign w:val="center"/>
            <w:hideMark/>
          </w:tcPr>
          <w:p w14:paraId="29567E09"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Pre-test</w:t>
            </w:r>
          </w:p>
        </w:tc>
        <w:tc>
          <w:tcPr>
            <w:tcW w:w="0" w:type="auto"/>
            <w:vAlign w:val="center"/>
            <w:hideMark/>
          </w:tcPr>
          <w:p w14:paraId="762DDA3C"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30</w:t>
            </w:r>
          </w:p>
        </w:tc>
        <w:tc>
          <w:tcPr>
            <w:tcW w:w="0" w:type="auto"/>
            <w:vAlign w:val="center"/>
            <w:hideMark/>
          </w:tcPr>
          <w:p w14:paraId="581A2E20"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54.20</w:t>
            </w:r>
          </w:p>
        </w:tc>
        <w:tc>
          <w:tcPr>
            <w:tcW w:w="0" w:type="auto"/>
            <w:vAlign w:val="center"/>
            <w:hideMark/>
          </w:tcPr>
          <w:p w14:paraId="7F68650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8.63</w:t>
            </w:r>
          </w:p>
        </w:tc>
        <w:tc>
          <w:tcPr>
            <w:tcW w:w="0" w:type="auto"/>
            <w:vAlign w:val="center"/>
            <w:hideMark/>
          </w:tcPr>
          <w:p w14:paraId="62F9A559"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38.00</w:t>
            </w:r>
          </w:p>
        </w:tc>
        <w:tc>
          <w:tcPr>
            <w:tcW w:w="0" w:type="auto"/>
            <w:vAlign w:val="center"/>
            <w:hideMark/>
          </w:tcPr>
          <w:p w14:paraId="1E492A77"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71.00</w:t>
            </w:r>
          </w:p>
        </w:tc>
        <w:tc>
          <w:tcPr>
            <w:tcW w:w="0" w:type="auto"/>
            <w:vAlign w:val="center"/>
            <w:hideMark/>
          </w:tcPr>
          <w:p w14:paraId="77EED69E"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w:t>
            </w:r>
          </w:p>
        </w:tc>
      </w:tr>
      <w:tr w:rsidR="00CC0603" w:rsidRPr="005B0F95" w14:paraId="594A25F1" w14:textId="77777777" w:rsidTr="00611E74">
        <w:trPr>
          <w:trHeight w:val="288"/>
          <w:tblCellSpacing w:w="15" w:type="dxa"/>
        </w:trPr>
        <w:tc>
          <w:tcPr>
            <w:tcW w:w="0" w:type="auto"/>
            <w:vAlign w:val="center"/>
            <w:hideMark/>
          </w:tcPr>
          <w:p w14:paraId="0FC01AAE"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Experimental</w:t>
            </w:r>
          </w:p>
        </w:tc>
        <w:tc>
          <w:tcPr>
            <w:tcW w:w="0" w:type="auto"/>
            <w:vAlign w:val="center"/>
            <w:hideMark/>
          </w:tcPr>
          <w:p w14:paraId="57CC493F"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Post-test</w:t>
            </w:r>
          </w:p>
        </w:tc>
        <w:tc>
          <w:tcPr>
            <w:tcW w:w="0" w:type="auto"/>
            <w:vAlign w:val="center"/>
            <w:hideMark/>
          </w:tcPr>
          <w:p w14:paraId="5322CD07"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30</w:t>
            </w:r>
          </w:p>
        </w:tc>
        <w:tc>
          <w:tcPr>
            <w:tcW w:w="0" w:type="auto"/>
            <w:vAlign w:val="center"/>
            <w:hideMark/>
          </w:tcPr>
          <w:p w14:paraId="792068E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82.47</w:t>
            </w:r>
          </w:p>
        </w:tc>
        <w:tc>
          <w:tcPr>
            <w:tcW w:w="0" w:type="auto"/>
            <w:vAlign w:val="center"/>
            <w:hideMark/>
          </w:tcPr>
          <w:p w14:paraId="6B6513D9"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6.89</w:t>
            </w:r>
          </w:p>
        </w:tc>
        <w:tc>
          <w:tcPr>
            <w:tcW w:w="0" w:type="auto"/>
            <w:vAlign w:val="center"/>
            <w:hideMark/>
          </w:tcPr>
          <w:p w14:paraId="1FB75303"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68.00</w:t>
            </w:r>
          </w:p>
        </w:tc>
        <w:tc>
          <w:tcPr>
            <w:tcW w:w="0" w:type="auto"/>
            <w:vAlign w:val="center"/>
            <w:hideMark/>
          </w:tcPr>
          <w:p w14:paraId="56F8523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95.00</w:t>
            </w:r>
          </w:p>
        </w:tc>
        <w:tc>
          <w:tcPr>
            <w:tcW w:w="0" w:type="auto"/>
            <w:vAlign w:val="center"/>
            <w:hideMark/>
          </w:tcPr>
          <w:p w14:paraId="0F76BD5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28.27</w:t>
            </w:r>
          </w:p>
        </w:tc>
      </w:tr>
      <w:tr w:rsidR="00CC0603" w:rsidRPr="005B0F95" w14:paraId="2CC1EDFB" w14:textId="77777777" w:rsidTr="00611E74">
        <w:trPr>
          <w:trHeight w:val="299"/>
          <w:tblCellSpacing w:w="15" w:type="dxa"/>
        </w:trPr>
        <w:tc>
          <w:tcPr>
            <w:tcW w:w="0" w:type="auto"/>
            <w:vAlign w:val="center"/>
            <w:hideMark/>
          </w:tcPr>
          <w:p w14:paraId="0C9E7402"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lastRenderedPageBreak/>
              <w:t>Control</w:t>
            </w:r>
          </w:p>
        </w:tc>
        <w:tc>
          <w:tcPr>
            <w:tcW w:w="0" w:type="auto"/>
            <w:vAlign w:val="center"/>
            <w:hideMark/>
          </w:tcPr>
          <w:p w14:paraId="35D521F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Pre-test</w:t>
            </w:r>
          </w:p>
        </w:tc>
        <w:tc>
          <w:tcPr>
            <w:tcW w:w="0" w:type="auto"/>
            <w:vAlign w:val="center"/>
            <w:hideMark/>
          </w:tcPr>
          <w:p w14:paraId="4C847471"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30</w:t>
            </w:r>
          </w:p>
        </w:tc>
        <w:tc>
          <w:tcPr>
            <w:tcW w:w="0" w:type="auto"/>
            <w:vAlign w:val="center"/>
            <w:hideMark/>
          </w:tcPr>
          <w:p w14:paraId="1073F4FC"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54.53</w:t>
            </w:r>
          </w:p>
        </w:tc>
        <w:tc>
          <w:tcPr>
            <w:tcW w:w="0" w:type="auto"/>
            <w:vAlign w:val="center"/>
            <w:hideMark/>
          </w:tcPr>
          <w:p w14:paraId="4B8A2A88"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8.91</w:t>
            </w:r>
          </w:p>
        </w:tc>
        <w:tc>
          <w:tcPr>
            <w:tcW w:w="0" w:type="auto"/>
            <w:vAlign w:val="center"/>
            <w:hideMark/>
          </w:tcPr>
          <w:p w14:paraId="0E8E8C1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37.00</w:t>
            </w:r>
          </w:p>
        </w:tc>
        <w:tc>
          <w:tcPr>
            <w:tcW w:w="0" w:type="auto"/>
            <w:vAlign w:val="center"/>
            <w:hideMark/>
          </w:tcPr>
          <w:p w14:paraId="0DA0D1F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72.00</w:t>
            </w:r>
          </w:p>
        </w:tc>
        <w:tc>
          <w:tcPr>
            <w:tcW w:w="0" w:type="auto"/>
            <w:vAlign w:val="center"/>
            <w:hideMark/>
          </w:tcPr>
          <w:p w14:paraId="6DA34CB0"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w:t>
            </w:r>
          </w:p>
        </w:tc>
      </w:tr>
      <w:tr w:rsidR="00CC0603" w:rsidRPr="005B0F95" w14:paraId="628BA7FF" w14:textId="77777777" w:rsidTr="00611E74">
        <w:trPr>
          <w:trHeight w:val="288"/>
          <w:tblCellSpacing w:w="15" w:type="dxa"/>
        </w:trPr>
        <w:tc>
          <w:tcPr>
            <w:tcW w:w="0" w:type="auto"/>
            <w:vAlign w:val="center"/>
            <w:hideMark/>
          </w:tcPr>
          <w:p w14:paraId="26D37B58"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Control</w:t>
            </w:r>
          </w:p>
        </w:tc>
        <w:tc>
          <w:tcPr>
            <w:tcW w:w="0" w:type="auto"/>
            <w:vAlign w:val="center"/>
            <w:hideMark/>
          </w:tcPr>
          <w:p w14:paraId="1A2FAB8C"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Post-test</w:t>
            </w:r>
          </w:p>
        </w:tc>
        <w:tc>
          <w:tcPr>
            <w:tcW w:w="0" w:type="auto"/>
            <w:vAlign w:val="center"/>
            <w:hideMark/>
          </w:tcPr>
          <w:p w14:paraId="31D4E5C3"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30</w:t>
            </w:r>
          </w:p>
        </w:tc>
        <w:tc>
          <w:tcPr>
            <w:tcW w:w="0" w:type="auto"/>
            <w:vAlign w:val="center"/>
            <w:hideMark/>
          </w:tcPr>
          <w:p w14:paraId="4F7F43C1"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62.86</w:t>
            </w:r>
          </w:p>
        </w:tc>
        <w:tc>
          <w:tcPr>
            <w:tcW w:w="0" w:type="auto"/>
            <w:vAlign w:val="center"/>
            <w:hideMark/>
          </w:tcPr>
          <w:p w14:paraId="60571BC0"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9.12</w:t>
            </w:r>
          </w:p>
        </w:tc>
        <w:tc>
          <w:tcPr>
            <w:tcW w:w="0" w:type="auto"/>
            <w:vAlign w:val="center"/>
            <w:hideMark/>
          </w:tcPr>
          <w:p w14:paraId="08D09063"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45.00</w:t>
            </w:r>
          </w:p>
        </w:tc>
        <w:tc>
          <w:tcPr>
            <w:tcW w:w="0" w:type="auto"/>
            <w:vAlign w:val="center"/>
            <w:hideMark/>
          </w:tcPr>
          <w:p w14:paraId="443FCE34"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78.00</w:t>
            </w:r>
          </w:p>
        </w:tc>
        <w:tc>
          <w:tcPr>
            <w:tcW w:w="0" w:type="auto"/>
            <w:vAlign w:val="center"/>
            <w:hideMark/>
          </w:tcPr>
          <w:p w14:paraId="5ED6691F"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8.33</w:t>
            </w:r>
          </w:p>
        </w:tc>
      </w:tr>
    </w:tbl>
    <w:p w14:paraId="22B8C46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Note. Phonetic accuracy measured on a 100-point scale. SD = Standard Deviation.</w:t>
      </w:r>
    </w:p>
    <w:p w14:paraId="75D0FA65" w14:textId="77777777" w:rsidR="00611E74" w:rsidRPr="005B0F95" w:rsidRDefault="00611E74" w:rsidP="003F2B73">
      <w:pPr>
        <w:pStyle w:val="NoSpacing"/>
        <w:jc w:val="both"/>
        <w:rPr>
          <w:rFonts w:ascii="Arial" w:hAnsi="Arial" w:cs="Arial"/>
          <w:sz w:val="24"/>
          <w:szCs w:val="24"/>
        </w:rPr>
      </w:pPr>
    </w:p>
    <w:p w14:paraId="2553199B" w14:textId="7BE46928" w:rsidR="003F2B73" w:rsidRDefault="003F2B73" w:rsidP="003F2B73">
      <w:pPr>
        <w:pStyle w:val="NoSpacing"/>
        <w:jc w:val="both"/>
        <w:rPr>
          <w:rFonts w:ascii="Arial" w:hAnsi="Arial" w:cs="Arial"/>
          <w:sz w:val="24"/>
          <w:szCs w:val="24"/>
        </w:rPr>
      </w:pPr>
      <w:r w:rsidRPr="005B0F95">
        <w:rPr>
          <w:rFonts w:ascii="Arial" w:hAnsi="Arial" w:cs="Arial"/>
          <w:sz w:val="24"/>
          <w:szCs w:val="24"/>
        </w:rPr>
        <w:t xml:space="preserve">Table 2 presents the results of independent-samples t-tests comparing post-test phonetic accuracy between groups after controlling for pre-test differences. The analysis revealed statistically significant differences between the experimental and control groups on post-test phonetic accuracy scores, </w:t>
      </w:r>
      <w:proofErr w:type="gramStart"/>
      <w:r w:rsidRPr="005B0F95">
        <w:rPr>
          <w:rFonts w:ascii="Arial" w:hAnsi="Arial" w:cs="Arial"/>
          <w:sz w:val="24"/>
          <w:szCs w:val="24"/>
        </w:rPr>
        <w:t>t(</w:t>
      </w:r>
      <w:proofErr w:type="gramEnd"/>
      <w:r w:rsidRPr="005B0F95">
        <w:rPr>
          <w:rFonts w:ascii="Arial" w:hAnsi="Arial" w:cs="Arial"/>
          <w:sz w:val="24"/>
          <w:szCs w:val="24"/>
        </w:rPr>
        <w:t>58) = 10.17, p &lt; .001, with a large effect size (Cohen's d = 2.63). This substantial effect size indicates that the digital micro-teaching intervention produced practically significant improvements in students' phonetic accuracy that extended well beyond statistical significance. The 95% confidence interval for the mean difference ranged from 15.75 to 23.47 points, demonstrating robust and consistent treatment effects across the experimental group.</w:t>
      </w:r>
    </w:p>
    <w:p w14:paraId="04A31174" w14:textId="77777777" w:rsidR="005F46F9" w:rsidRPr="005B0F95" w:rsidRDefault="005F46F9" w:rsidP="003F2B73">
      <w:pPr>
        <w:pStyle w:val="NoSpacing"/>
        <w:jc w:val="both"/>
        <w:rPr>
          <w:rFonts w:ascii="Arial" w:hAnsi="Arial" w:cs="Arial"/>
          <w:sz w:val="24"/>
          <w:szCs w:val="24"/>
        </w:rPr>
      </w:pPr>
    </w:p>
    <w:p w14:paraId="000A0AA8" w14:textId="7EE15498" w:rsidR="003F2B73" w:rsidRDefault="003F2B73" w:rsidP="00611E74">
      <w:pPr>
        <w:pStyle w:val="NoSpacing"/>
        <w:rPr>
          <w:rFonts w:ascii="Arial" w:hAnsi="Arial" w:cs="Arial"/>
          <w:b/>
          <w:sz w:val="24"/>
          <w:szCs w:val="24"/>
        </w:rPr>
      </w:pPr>
      <w:r w:rsidRPr="005F46F9">
        <w:rPr>
          <w:rFonts w:ascii="Arial" w:hAnsi="Arial" w:cs="Arial"/>
          <w:b/>
          <w:sz w:val="24"/>
          <w:szCs w:val="24"/>
        </w:rPr>
        <w:t>Table 2</w:t>
      </w:r>
      <w:r w:rsidR="00611E74" w:rsidRPr="005F46F9">
        <w:rPr>
          <w:rFonts w:ascii="Arial" w:hAnsi="Arial" w:cs="Arial"/>
          <w:b/>
          <w:sz w:val="24"/>
          <w:szCs w:val="24"/>
        </w:rPr>
        <w:t xml:space="preserve">: </w:t>
      </w:r>
      <w:r w:rsidRPr="005F46F9">
        <w:rPr>
          <w:rFonts w:ascii="Arial" w:hAnsi="Arial" w:cs="Arial"/>
          <w:b/>
          <w:sz w:val="24"/>
          <w:szCs w:val="24"/>
        </w:rPr>
        <w:t>Independent-Samples t-Test Results for Post-Test Phonetic Accuracy</w:t>
      </w:r>
    </w:p>
    <w:p w14:paraId="25775A09" w14:textId="77777777" w:rsidR="005F46F9" w:rsidRPr="005F46F9" w:rsidRDefault="005F46F9" w:rsidP="00611E74">
      <w:pPr>
        <w:pStyle w:val="NoSpacing"/>
        <w:rPr>
          <w:rFonts w:ascii="Arial" w:hAnsi="Arial" w:cs="Arial"/>
          <w:b/>
          <w:sz w:val="24"/>
          <w:szCs w:val="24"/>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64"/>
        <w:gridCol w:w="661"/>
        <w:gridCol w:w="327"/>
        <w:gridCol w:w="656"/>
        <w:gridCol w:w="1566"/>
        <w:gridCol w:w="528"/>
        <w:gridCol w:w="1251"/>
        <w:gridCol w:w="1074"/>
      </w:tblGrid>
      <w:tr w:rsidR="00CC0603" w:rsidRPr="005B0F95" w14:paraId="1FF2662A" w14:textId="77777777" w:rsidTr="00611E74">
        <w:trPr>
          <w:tblHeader/>
          <w:tblCellSpacing w:w="15" w:type="dxa"/>
        </w:trPr>
        <w:tc>
          <w:tcPr>
            <w:tcW w:w="0" w:type="auto"/>
            <w:tcBorders>
              <w:top w:val="single" w:sz="4" w:space="0" w:color="auto"/>
              <w:bottom w:val="single" w:sz="4" w:space="0" w:color="auto"/>
            </w:tcBorders>
            <w:vAlign w:val="center"/>
            <w:hideMark/>
          </w:tcPr>
          <w:p w14:paraId="1C477D1D" w14:textId="77777777" w:rsidR="003F2B73" w:rsidRPr="005B0F95" w:rsidRDefault="003F2B73" w:rsidP="00611E74">
            <w:pPr>
              <w:pStyle w:val="NoSpacing"/>
              <w:rPr>
                <w:rFonts w:ascii="Arial" w:hAnsi="Arial" w:cs="Arial"/>
                <w:sz w:val="24"/>
                <w:szCs w:val="24"/>
              </w:rPr>
            </w:pPr>
            <w:r w:rsidRPr="005B0F95">
              <w:rPr>
                <w:rFonts w:ascii="Arial" w:hAnsi="Arial" w:cs="Arial"/>
                <w:sz w:val="24"/>
                <w:szCs w:val="24"/>
              </w:rPr>
              <w:t>Comparison</w:t>
            </w:r>
          </w:p>
        </w:tc>
        <w:tc>
          <w:tcPr>
            <w:tcW w:w="0" w:type="auto"/>
            <w:tcBorders>
              <w:top w:val="single" w:sz="4" w:space="0" w:color="auto"/>
              <w:bottom w:val="single" w:sz="4" w:space="0" w:color="auto"/>
            </w:tcBorders>
            <w:vAlign w:val="center"/>
            <w:hideMark/>
          </w:tcPr>
          <w:p w14:paraId="7D979035"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t</w:t>
            </w:r>
          </w:p>
        </w:tc>
        <w:tc>
          <w:tcPr>
            <w:tcW w:w="0" w:type="auto"/>
            <w:tcBorders>
              <w:top w:val="single" w:sz="4" w:space="0" w:color="auto"/>
              <w:bottom w:val="single" w:sz="4" w:space="0" w:color="auto"/>
            </w:tcBorders>
            <w:vAlign w:val="center"/>
            <w:hideMark/>
          </w:tcPr>
          <w:p w14:paraId="3A844474"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df</w:t>
            </w:r>
          </w:p>
        </w:tc>
        <w:tc>
          <w:tcPr>
            <w:tcW w:w="0" w:type="auto"/>
            <w:tcBorders>
              <w:top w:val="single" w:sz="4" w:space="0" w:color="auto"/>
              <w:bottom w:val="single" w:sz="4" w:space="0" w:color="auto"/>
            </w:tcBorders>
            <w:vAlign w:val="center"/>
            <w:hideMark/>
          </w:tcPr>
          <w:p w14:paraId="7F42F213"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p</w:t>
            </w:r>
          </w:p>
        </w:tc>
        <w:tc>
          <w:tcPr>
            <w:tcW w:w="0" w:type="auto"/>
            <w:tcBorders>
              <w:top w:val="single" w:sz="4" w:space="0" w:color="auto"/>
              <w:bottom w:val="single" w:sz="4" w:space="0" w:color="auto"/>
            </w:tcBorders>
            <w:vAlign w:val="center"/>
            <w:hideMark/>
          </w:tcPr>
          <w:p w14:paraId="464DBE3C"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Mean Difference</w:t>
            </w:r>
          </w:p>
        </w:tc>
        <w:tc>
          <w:tcPr>
            <w:tcW w:w="0" w:type="auto"/>
            <w:tcBorders>
              <w:top w:val="single" w:sz="4" w:space="0" w:color="auto"/>
              <w:bottom w:val="single" w:sz="4" w:space="0" w:color="auto"/>
            </w:tcBorders>
            <w:vAlign w:val="center"/>
            <w:hideMark/>
          </w:tcPr>
          <w:p w14:paraId="2F87DD0A"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SE</w:t>
            </w:r>
          </w:p>
        </w:tc>
        <w:tc>
          <w:tcPr>
            <w:tcW w:w="0" w:type="auto"/>
            <w:tcBorders>
              <w:top w:val="single" w:sz="4" w:space="0" w:color="auto"/>
              <w:bottom w:val="single" w:sz="4" w:space="0" w:color="auto"/>
            </w:tcBorders>
            <w:vAlign w:val="center"/>
            <w:hideMark/>
          </w:tcPr>
          <w:p w14:paraId="0A3788ED"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95% CI</w:t>
            </w:r>
          </w:p>
        </w:tc>
        <w:tc>
          <w:tcPr>
            <w:tcW w:w="0" w:type="auto"/>
            <w:tcBorders>
              <w:top w:val="single" w:sz="4" w:space="0" w:color="auto"/>
              <w:bottom w:val="single" w:sz="4" w:space="0" w:color="auto"/>
            </w:tcBorders>
            <w:vAlign w:val="center"/>
            <w:hideMark/>
          </w:tcPr>
          <w:p w14:paraId="0F8C99BB"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Cohen's d</w:t>
            </w:r>
          </w:p>
        </w:tc>
      </w:tr>
      <w:tr w:rsidR="00CC0603" w:rsidRPr="005B0F95" w14:paraId="77FBDC4D" w14:textId="77777777" w:rsidTr="00611E74">
        <w:trPr>
          <w:tblCellSpacing w:w="15" w:type="dxa"/>
        </w:trPr>
        <w:tc>
          <w:tcPr>
            <w:tcW w:w="0" w:type="auto"/>
            <w:vAlign w:val="center"/>
            <w:hideMark/>
          </w:tcPr>
          <w:p w14:paraId="31461AD2" w14:textId="77777777" w:rsidR="003F2B73" w:rsidRPr="005B0F95" w:rsidRDefault="003F2B73" w:rsidP="00611E74">
            <w:pPr>
              <w:pStyle w:val="NoSpacing"/>
              <w:rPr>
                <w:rFonts w:ascii="Arial" w:hAnsi="Arial" w:cs="Arial"/>
                <w:sz w:val="24"/>
                <w:szCs w:val="24"/>
              </w:rPr>
            </w:pPr>
            <w:r w:rsidRPr="005B0F95">
              <w:rPr>
                <w:rFonts w:ascii="Arial" w:hAnsi="Arial" w:cs="Arial"/>
                <w:sz w:val="24"/>
                <w:szCs w:val="24"/>
              </w:rPr>
              <w:t>Experimental vs. Control (Post-test)</w:t>
            </w:r>
          </w:p>
        </w:tc>
        <w:tc>
          <w:tcPr>
            <w:tcW w:w="0" w:type="auto"/>
            <w:vAlign w:val="center"/>
            <w:hideMark/>
          </w:tcPr>
          <w:p w14:paraId="697FC1A7"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10.17</w:t>
            </w:r>
          </w:p>
        </w:tc>
        <w:tc>
          <w:tcPr>
            <w:tcW w:w="0" w:type="auto"/>
            <w:vAlign w:val="center"/>
            <w:hideMark/>
          </w:tcPr>
          <w:p w14:paraId="65351BED"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58</w:t>
            </w:r>
          </w:p>
        </w:tc>
        <w:tc>
          <w:tcPr>
            <w:tcW w:w="0" w:type="auto"/>
            <w:vAlign w:val="center"/>
            <w:hideMark/>
          </w:tcPr>
          <w:p w14:paraId="417D4164"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&lt; .001</w:t>
            </w:r>
          </w:p>
        </w:tc>
        <w:tc>
          <w:tcPr>
            <w:tcW w:w="0" w:type="auto"/>
            <w:vAlign w:val="center"/>
            <w:hideMark/>
          </w:tcPr>
          <w:p w14:paraId="7D42818D"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19.61</w:t>
            </w:r>
          </w:p>
        </w:tc>
        <w:tc>
          <w:tcPr>
            <w:tcW w:w="0" w:type="auto"/>
            <w:vAlign w:val="center"/>
            <w:hideMark/>
          </w:tcPr>
          <w:p w14:paraId="7B70F176"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1.93</w:t>
            </w:r>
          </w:p>
        </w:tc>
        <w:tc>
          <w:tcPr>
            <w:tcW w:w="0" w:type="auto"/>
            <w:vAlign w:val="center"/>
            <w:hideMark/>
          </w:tcPr>
          <w:p w14:paraId="36EC23CB"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[15.75, 23.47]</w:t>
            </w:r>
          </w:p>
        </w:tc>
        <w:tc>
          <w:tcPr>
            <w:tcW w:w="0" w:type="auto"/>
            <w:vAlign w:val="center"/>
            <w:hideMark/>
          </w:tcPr>
          <w:p w14:paraId="1C25FA31"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2.63</w:t>
            </w:r>
          </w:p>
        </w:tc>
      </w:tr>
    </w:tbl>
    <w:p w14:paraId="143F602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Note. CI = Confidence Interval; SE = Standard Error.</w:t>
      </w:r>
    </w:p>
    <w:p w14:paraId="7D47AD43" w14:textId="77777777" w:rsidR="00611E74" w:rsidRPr="005B0F95" w:rsidRDefault="00611E74" w:rsidP="003F2B73">
      <w:pPr>
        <w:pStyle w:val="NoSpacing"/>
        <w:jc w:val="both"/>
        <w:rPr>
          <w:rFonts w:ascii="Arial" w:hAnsi="Arial" w:cs="Arial"/>
          <w:sz w:val="24"/>
          <w:szCs w:val="24"/>
        </w:rPr>
      </w:pPr>
    </w:p>
    <w:p w14:paraId="5E58541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 xml:space="preserve">Pronunciation fluency scores, measured on a 5-point scale, exhibited similar patterns of improvement. As shown in Table 3, the experimental group's mean fluency scores increased from 2.40 (SD = 0.68) at pre-test to 4.13 (SD = 0.57) at post-test, representing an improvement of 1.73 points. The control group showed more modest gains, improving from 2.35 (SD = 0.71) to 2.97 (SD = 0.69), an increase of only 0.62 points. Independent-samples t-test results indicated significant between-group differences at post-test, </w:t>
      </w:r>
      <w:proofErr w:type="gramStart"/>
      <w:r w:rsidRPr="005B0F95">
        <w:rPr>
          <w:rFonts w:ascii="Arial" w:hAnsi="Arial" w:cs="Arial"/>
          <w:sz w:val="24"/>
          <w:szCs w:val="24"/>
        </w:rPr>
        <w:t>t(</w:t>
      </w:r>
      <w:proofErr w:type="gramEnd"/>
      <w:r w:rsidRPr="005B0F95">
        <w:rPr>
          <w:rFonts w:ascii="Arial" w:hAnsi="Arial" w:cs="Arial"/>
          <w:sz w:val="24"/>
          <w:szCs w:val="24"/>
        </w:rPr>
        <w:t>58) = 7.12, p &lt; .001, Cohen's d = 1.84, confirming that digital micro-teaching strategies substantially enhanced students' pronunciation fluency beyond what was achieved through traditional instruction methods.</w:t>
      </w:r>
    </w:p>
    <w:p w14:paraId="5FF59F2D" w14:textId="77777777" w:rsidR="00611E74" w:rsidRPr="005B0F95" w:rsidRDefault="00611E74" w:rsidP="003F2B73">
      <w:pPr>
        <w:pStyle w:val="NoSpacing"/>
        <w:jc w:val="both"/>
        <w:rPr>
          <w:rFonts w:ascii="Arial" w:hAnsi="Arial" w:cs="Arial"/>
          <w:sz w:val="24"/>
          <w:szCs w:val="24"/>
        </w:rPr>
      </w:pPr>
    </w:p>
    <w:p w14:paraId="7D9FD338" w14:textId="4777A198" w:rsidR="003F2B73" w:rsidRDefault="003F2B73" w:rsidP="00611E74">
      <w:pPr>
        <w:pStyle w:val="NoSpacing"/>
        <w:rPr>
          <w:rFonts w:ascii="Arial" w:hAnsi="Arial" w:cs="Arial"/>
          <w:b/>
          <w:sz w:val="24"/>
          <w:szCs w:val="24"/>
        </w:rPr>
      </w:pPr>
      <w:r w:rsidRPr="009579F4">
        <w:rPr>
          <w:rFonts w:ascii="Arial" w:hAnsi="Arial" w:cs="Arial"/>
          <w:b/>
          <w:sz w:val="24"/>
          <w:szCs w:val="24"/>
        </w:rPr>
        <w:t>Table 3</w:t>
      </w:r>
      <w:r w:rsidR="00611E74" w:rsidRPr="009579F4">
        <w:rPr>
          <w:rFonts w:ascii="Arial" w:hAnsi="Arial" w:cs="Arial"/>
          <w:b/>
          <w:sz w:val="24"/>
          <w:szCs w:val="24"/>
        </w:rPr>
        <w:t xml:space="preserve">: </w:t>
      </w:r>
      <w:r w:rsidRPr="009579F4">
        <w:rPr>
          <w:rFonts w:ascii="Arial" w:hAnsi="Arial" w:cs="Arial"/>
          <w:b/>
          <w:sz w:val="24"/>
          <w:szCs w:val="24"/>
        </w:rPr>
        <w:t>Pronunciation Fluency Scores: Descriptive Statistics and t-Test Results</w:t>
      </w:r>
    </w:p>
    <w:p w14:paraId="537F2B3F" w14:textId="77777777" w:rsidR="009579F4" w:rsidRPr="009579F4" w:rsidRDefault="009579F4" w:rsidP="00611E74">
      <w:pPr>
        <w:pStyle w:val="NoSpacing"/>
        <w:rPr>
          <w:rFonts w:ascii="Arial" w:hAnsi="Arial" w:cs="Arial"/>
          <w:b/>
          <w:sz w:val="24"/>
          <w:szCs w:val="24"/>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1392"/>
        <w:gridCol w:w="1464"/>
        <w:gridCol w:w="1049"/>
        <w:gridCol w:w="528"/>
        <w:gridCol w:w="327"/>
        <w:gridCol w:w="668"/>
        <w:gridCol w:w="1084"/>
      </w:tblGrid>
      <w:tr w:rsidR="00CC0603" w:rsidRPr="005B0F95" w14:paraId="0B3651AA" w14:textId="77777777" w:rsidTr="00611E74">
        <w:trPr>
          <w:tblHeader/>
          <w:tblCellSpacing w:w="15" w:type="dxa"/>
        </w:trPr>
        <w:tc>
          <w:tcPr>
            <w:tcW w:w="0" w:type="auto"/>
            <w:tcBorders>
              <w:top w:val="single" w:sz="4" w:space="0" w:color="auto"/>
              <w:bottom w:val="single" w:sz="4" w:space="0" w:color="auto"/>
            </w:tcBorders>
            <w:vAlign w:val="center"/>
            <w:hideMark/>
          </w:tcPr>
          <w:p w14:paraId="777700C1"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Group</w:t>
            </w:r>
          </w:p>
        </w:tc>
        <w:tc>
          <w:tcPr>
            <w:tcW w:w="0" w:type="auto"/>
            <w:tcBorders>
              <w:top w:val="single" w:sz="4" w:space="0" w:color="auto"/>
              <w:bottom w:val="single" w:sz="4" w:space="0" w:color="auto"/>
            </w:tcBorders>
            <w:vAlign w:val="center"/>
            <w:hideMark/>
          </w:tcPr>
          <w:p w14:paraId="2B64DE3B"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Pre-test M (SD)</w:t>
            </w:r>
          </w:p>
        </w:tc>
        <w:tc>
          <w:tcPr>
            <w:tcW w:w="0" w:type="auto"/>
            <w:tcBorders>
              <w:top w:val="single" w:sz="4" w:space="0" w:color="auto"/>
              <w:bottom w:val="single" w:sz="4" w:space="0" w:color="auto"/>
            </w:tcBorders>
            <w:vAlign w:val="center"/>
            <w:hideMark/>
          </w:tcPr>
          <w:p w14:paraId="57AE497C"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Post-test M (SD)</w:t>
            </w:r>
          </w:p>
        </w:tc>
        <w:tc>
          <w:tcPr>
            <w:tcW w:w="0" w:type="auto"/>
            <w:tcBorders>
              <w:top w:val="single" w:sz="4" w:space="0" w:color="auto"/>
              <w:bottom w:val="single" w:sz="4" w:space="0" w:color="auto"/>
            </w:tcBorders>
            <w:vAlign w:val="center"/>
            <w:hideMark/>
          </w:tcPr>
          <w:p w14:paraId="544601E6"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Mean Gain</w:t>
            </w:r>
          </w:p>
        </w:tc>
        <w:tc>
          <w:tcPr>
            <w:tcW w:w="0" w:type="auto"/>
            <w:tcBorders>
              <w:top w:val="single" w:sz="4" w:space="0" w:color="auto"/>
              <w:bottom w:val="single" w:sz="4" w:space="0" w:color="auto"/>
            </w:tcBorders>
            <w:vAlign w:val="center"/>
            <w:hideMark/>
          </w:tcPr>
          <w:p w14:paraId="1CC3A4F5"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t</w:t>
            </w:r>
          </w:p>
        </w:tc>
        <w:tc>
          <w:tcPr>
            <w:tcW w:w="0" w:type="auto"/>
            <w:tcBorders>
              <w:top w:val="single" w:sz="4" w:space="0" w:color="auto"/>
              <w:bottom w:val="single" w:sz="4" w:space="0" w:color="auto"/>
            </w:tcBorders>
            <w:vAlign w:val="center"/>
            <w:hideMark/>
          </w:tcPr>
          <w:p w14:paraId="189BFAA9"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df</w:t>
            </w:r>
          </w:p>
        </w:tc>
        <w:tc>
          <w:tcPr>
            <w:tcW w:w="0" w:type="auto"/>
            <w:tcBorders>
              <w:top w:val="single" w:sz="4" w:space="0" w:color="auto"/>
              <w:bottom w:val="single" w:sz="4" w:space="0" w:color="auto"/>
            </w:tcBorders>
            <w:vAlign w:val="center"/>
            <w:hideMark/>
          </w:tcPr>
          <w:p w14:paraId="32EBECF4"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p</w:t>
            </w:r>
          </w:p>
        </w:tc>
        <w:tc>
          <w:tcPr>
            <w:tcW w:w="0" w:type="auto"/>
            <w:tcBorders>
              <w:top w:val="single" w:sz="4" w:space="0" w:color="auto"/>
              <w:bottom w:val="single" w:sz="4" w:space="0" w:color="auto"/>
            </w:tcBorders>
            <w:vAlign w:val="center"/>
            <w:hideMark/>
          </w:tcPr>
          <w:p w14:paraId="1FEE1207"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Cohen's d</w:t>
            </w:r>
          </w:p>
        </w:tc>
      </w:tr>
      <w:tr w:rsidR="00CC0603" w:rsidRPr="005B0F95" w14:paraId="13830FD5" w14:textId="77777777" w:rsidTr="00611E74">
        <w:trPr>
          <w:tblCellSpacing w:w="15" w:type="dxa"/>
        </w:trPr>
        <w:tc>
          <w:tcPr>
            <w:tcW w:w="0" w:type="auto"/>
            <w:vAlign w:val="center"/>
            <w:hideMark/>
          </w:tcPr>
          <w:p w14:paraId="3DE7A64C"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Experimental</w:t>
            </w:r>
          </w:p>
        </w:tc>
        <w:tc>
          <w:tcPr>
            <w:tcW w:w="0" w:type="auto"/>
            <w:vAlign w:val="center"/>
            <w:hideMark/>
          </w:tcPr>
          <w:p w14:paraId="7AE38CA5"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2.40 (0.68)</w:t>
            </w:r>
          </w:p>
        </w:tc>
        <w:tc>
          <w:tcPr>
            <w:tcW w:w="0" w:type="auto"/>
            <w:vAlign w:val="center"/>
            <w:hideMark/>
          </w:tcPr>
          <w:p w14:paraId="06978A62"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4.13 (0.57)</w:t>
            </w:r>
          </w:p>
        </w:tc>
        <w:tc>
          <w:tcPr>
            <w:tcW w:w="0" w:type="auto"/>
            <w:vAlign w:val="center"/>
            <w:hideMark/>
          </w:tcPr>
          <w:p w14:paraId="7EA48F90"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1.73</w:t>
            </w:r>
          </w:p>
        </w:tc>
        <w:tc>
          <w:tcPr>
            <w:tcW w:w="0" w:type="auto"/>
            <w:vAlign w:val="center"/>
            <w:hideMark/>
          </w:tcPr>
          <w:p w14:paraId="0A248FD6"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37AEB66C"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499111F"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3F329B78"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r>
      <w:tr w:rsidR="00CC0603" w:rsidRPr="005B0F95" w14:paraId="28B16024" w14:textId="77777777" w:rsidTr="00611E74">
        <w:trPr>
          <w:tblCellSpacing w:w="15" w:type="dxa"/>
        </w:trPr>
        <w:tc>
          <w:tcPr>
            <w:tcW w:w="0" w:type="auto"/>
            <w:vAlign w:val="center"/>
            <w:hideMark/>
          </w:tcPr>
          <w:p w14:paraId="26030B90"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Control</w:t>
            </w:r>
          </w:p>
        </w:tc>
        <w:tc>
          <w:tcPr>
            <w:tcW w:w="0" w:type="auto"/>
            <w:vAlign w:val="center"/>
            <w:hideMark/>
          </w:tcPr>
          <w:p w14:paraId="5DDF5B18"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2.35 (0.71)</w:t>
            </w:r>
          </w:p>
        </w:tc>
        <w:tc>
          <w:tcPr>
            <w:tcW w:w="0" w:type="auto"/>
            <w:vAlign w:val="center"/>
            <w:hideMark/>
          </w:tcPr>
          <w:p w14:paraId="5CB68202"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2.97 (0.69)</w:t>
            </w:r>
          </w:p>
        </w:tc>
        <w:tc>
          <w:tcPr>
            <w:tcW w:w="0" w:type="auto"/>
            <w:vAlign w:val="center"/>
            <w:hideMark/>
          </w:tcPr>
          <w:p w14:paraId="60A65BD8"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0.62</w:t>
            </w:r>
          </w:p>
        </w:tc>
        <w:tc>
          <w:tcPr>
            <w:tcW w:w="0" w:type="auto"/>
            <w:vAlign w:val="center"/>
            <w:hideMark/>
          </w:tcPr>
          <w:p w14:paraId="691E547E"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B9C5C9C"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899A9A8"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A0E7BD4"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r>
      <w:tr w:rsidR="00CC0603" w:rsidRPr="005B0F95" w14:paraId="001344B0" w14:textId="77777777" w:rsidTr="00611E74">
        <w:trPr>
          <w:tblCellSpacing w:w="15" w:type="dxa"/>
        </w:trPr>
        <w:tc>
          <w:tcPr>
            <w:tcW w:w="0" w:type="auto"/>
            <w:vAlign w:val="center"/>
            <w:hideMark/>
          </w:tcPr>
          <w:p w14:paraId="37C1FCA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Between-group comparison</w:t>
            </w:r>
          </w:p>
        </w:tc>
        <w:tc>
          <w:tcPr>
            <w:tcW w:w="0" w:type="auto"/>
            <w:vAlign w:val="center"/>
            <w:hideMark/>
          </w:tcPr>
          <w:p w14:paraId="28074A26"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3AB44A5A"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31954187"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5FFA1EC"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7.12</w:t>
            </w:r>
          </w:p>
        </w:tc>
        <w:tc>
          <w:tcPr>
            <w:tcW w:w="0" w:type="auto"/>
            <w:vAlign w:val="center"/>
            <w:hideMark/>
          </w:tcPr>
          <w:p w14:paraId="7AF3B851"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58</w:t>
            </w:r>
          </w:p>
        </w:tc>
        <w:tc>
          <w:tcPr>
            <w:tcW w:w="0" w:type="auto"/>
            <w:vAlign w:val="center"/>
            <w:hideMark/>
          </w:tcPr>
          <w:p w14:paraId="72F2F69B"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&lt; .001</w:t>
            </w:r>
          </w:p>
        </w:tc>
        <w:tc>
          <w:tcPr>
            <w:tcW w:w="0" w:type="auto"/>
            <w:vAlign w:val="center"/>
            <w:hideMark/>
          </w:tcPr>
          <w:p w14:paraId="6DEB89D3" w14:textId="77777777" w:rsidR="003F2B73" w:rsidRPr="005B0F95" w:rsidRDefault="003F2B73" w:rsidP="00611E74">
            <w:pPr>
              <w:pStyle w:val="NoSpacing"/>
              <w:jc w:val="center"/>
              <w:rPr>
                <w:rFonts w:ascii="Arial" w:hAnsi="Arial" w:cs="Arial"/>
                <w:sz w:val="24"/>
                <w:szCs w:val="24"/>
              </w:rPr>
            </w:pPr>
            <w:r w:rsidRPr="005B0F95">
              <w:rPr>
                <w:rFonts w:ascii="Arial" w:hAnsi="Arial" w:cs="Arial"/>
                <w:sz w:val="24"/>
                <w:szCs w:val="24"/>
              </w:rPr>
              <w:t>1.84</w:t>
            </w:r>
          </w:p>
        </w:tc>
      </w:tr>
    </w:tbl>
    <w:p w14:paraId="7E3ED01A"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Note. Pronunciation fluency measured on a 5-point scale (1 = very poor, 5 = excellent). M = Mean; SD = Standard Deviation.</w:t>
      </w:r>
    </w:p>
    <w:p w14:paraId="68D678E4" w14:textId="77777777" w:rsidR="00611E74" w:rsidRPr="005B0F95" w:rsidRDefault="00611E74" w:rsidP="003F2B73">
      <w:pPr>
        <w:pStyle w:val="NoSpacing"/>
        <w:jc w:val="both"/>
        <w:rPr>
          <w:rFonts w:ascii="Arial" w:hAnsi="Arial" w:cs="Arial"/>
          <w:sz w:val="24"/>
          <w:szCs w:val="24"/>
        </w:rPr>
      </w:pPr>
    </w:p>
    <w:p w14:paraId="4AC2702E"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 xml:space="preserve">To further validate the treatment effects while controlling for potential pre-test differences between groups, Analysis of Covariance (ANCOVA) was conducted with </w:t>
      </w:r>
      <w:r w:rsidRPr="005B0F95">
        <w:rPr>
          <w:rFonts w:ascii="Arial" w:hAnsi="Arial" w:cs="Arial"/>
          <w:sz w:val="24"/>
          <w:szCs w:val="24"/>
        </w:rPr>
        <w:lastRenderedPageBreak/>
        <w:t xml:space="preserve">post-test phonetic accuracy as the dependent variable, group assignment as the independent variable, and pre-test phonetic accuracy as the covariate. Table 4 presents the ANCOVA results, which revealed a significant main effect of group assignment after controlling for pre-test scores, </w:t>
      </w:r>
      <w:proofErr w:type="gramStart"/>
      <w:r w:rsidRPr="005B0F95">
        <w:rPr>
          <w:rFonts w:ascii="Arial" w:hAnsi="Arial" w:cs="Arial"/>
          <w:sz w:val="24"/>
          <w:szCs w:val="24"/>
        </w:rPr>
        <w:t>F(</w:t>
      </w:r>
      <w:proofErr w:type="gramEnd"/>
      <w:r w:rsidRPr="005B0F95">
        <w:rPr>
          <w:rFonts w:ascii="Arial" w:hAnsi="Arial" w:cs="Arial"/>
          <w:sz w:val="24"/>
          <w:szCs w:val="24"/>
        </w:rPr>
        <w:t>1, 57) = 70.89, p &lt; .001, partial η² = .55. The large effect size (partial η² = .55) indicates that group membership (experimental vs. control) accounted for 55% of the variance in post-test phonetic accuracy scores after adjusting for pre-test performance. This confirms that the observed improvements in the experimental group were attributable to the digital micro-teaching intervention rather than pre-existing differences between groups.</w:t>
      </w:r>
    </w:p>
    <w:p w14:paraId="06E8A390" w14:textId="77777777" w:rsidR="00611E74" w:rsidRPr="005B0F95" w:rsidRDefault="00611E74" w:rsidP="003F2B73">
      <w:pPr>
        <w:pStyle w:val="NoSpacing"/>
        <w:jc w:val="both"/>
        <w:rPr>
          <w:rFonts w:ascii="Arial" w:hAnsi="Arial" w:cs="Arial"/>
          <w:sz w:val="24"/>
          <w:szCs w:val="24"/>
        </w:rPr>
      </w:pPr>
    </w:p>
    <w:p w14:paraId="20566A35" w14:textId="79CDFFE2" w:rsidR="003F2B73" w:rsidRDefault="003F2B73" w:rsidP="00611E74">
      <w:pPr>
        <w:pStyle w:val="NoSpacing"/>
        <w:rPr>
          <w:rFonts w:ascii="Arial" w:hAnsi="Arial" w:cs="Arial"/>
          <w:b/>
          <w:sz w:val="24"/>
          <w:szCs w:val="24"/>
        </w:rPr>
      </w:pPr>
      <w:r w:rsidRPr="009058EB">
        <w:rPr>
          <w:rFonts w:ascii="Arial" w:hAnsi="Arial" w:cs="Arial"/>
          <w:b/>
          <w:sz w:val="24"/>
          <w:szCs w:val="24"/>
        </w:rPr>
        <w:t>Table 4</w:t>
      </w:r>
      <w:r w:rsidR="00611E74" w:rsidRPr="009058EB">
        <w:rPr>
          <w:rFonts w:ascii="Arial" w:hAnsi="Arial" w:cs="Arial"/>
          <w:b/>
          <w:sz w:val="24"/>
          <w:szCs w:val="24"/>
        </w:rPr>
        <w:t xml:space="preserve">:  </w:t>
      </w:r>
      <w:r w:rsidRPr="009058EB">
        <w:rPr>
          <w:rFonts w:ascii="Arial" w:hAnsi="Arial" w:cs="Arial"/>
          <w:b/>
          <w:sz w:val="24"/>
          <w:szCs w:val="24"/>
        </w:rPr>
        <w:t>ANCOVA Results for Post-Test Phonetic Accuracy Controlling for Pre-Test Scores</w:t>
      </w:r>
    </w:p>
    <w:p w14:paraId="6EDE8A5E" w14:textId="77777777" w:rsidR="009058EB" w:rsidRPr="009058EB" w:rsidRDefault="009058EB" w:rsidP="00611E74">
      <w:pPr>
        <w:pStyle w:val="NoSpacing"/>
        <w:rPr>
          <w:rFonts w:ascii="Arial" w:hAnsi="Arial" w:cs="Arial"/>
          <w:b/>
          <w:sz w:val="24"/>
          <w:szCs w:val="24"/>
        </w:rPr>
      </w:pPr>
    </w:p>
    <w:tbl>
      <w:tblPr>
        <w:tblW w:w="791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1148"/>
        <w:gridCol w:w="374"/>
        <w:gridCol w:w="1148"/>
        <w:gridCol w:w="761"/>
        <w:gridCol w:w="846"/>
        <w:gridCol w:w="1193"/>
      </w:tblGrid>
      <w:tr w:rsidR="00CC0603" w:rsidRPr="005B0F95" w14:paraId="31F2831B" w14:textId="77777777" w:rsidTr="001D58BF">
        <w:trPr>
          <w:trHeight w:val="281"/>
          <w:tblHeader/>
          <w:tblCellSpacing w:w="15" w:type="dxa"/>
        </w:trPr>
        <w:tc>
          <w:tcPr>
            <w:tcW w:w="0" w:type="auto"/>
            <w:tcBorders>
              <w:top w:val="single" w:sz="4" w:space="0" w:color="auto"/>
              <w:bottom w:val="single" w:sz="4" w:space="0" w:color="auto"/>
            </w:tcBorders>
            <w:vAlign w:val="center"/>
            <w:hideMark/>
          </w:tcPr>
          <w:p w14:paraId="2E35306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Source</w:t>
            </w:r>
          </w:p>
        </w:tc>
        <w:tc>
          <w:tcPr>
            <w:tcW w:w="0" w:type="auto"/>
            <w:tcBorders>
              <w:top w:val="single" w:sz="4" w:space="0" w:color="auto"/>
              <w:bottom w:val="single" w:sz="4" w:space="0" w:color="auto"/>
            </w:tcBorders>
            <w:vAlign w:val="center"/>
            <w:hideMark/>
          </w:tcPr>
          <w:p w14:paraId="498E74EC"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SS</w:t>
            </w:r>
          </w:p>
        </w:tc>
        <w:tc>
          <w:tcPr>
            <w:tcW w:w="0" w:type="auto"/>
            <w:tcBorders>
              <w:top w:val="single" w:sz="4" w:space="0" w:color="auto"/>
              <w:bottom w:val="single" w:sz="4" w:space="0" w:color="auto"/>
            </w:tcBorders>
            <w:vAlign w:val="center"/>
            <w:hideMark/>
          </w:tcPr>
          <w:p w14:paraId="79286097"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df</w:t>
            </w:r>
          </w:p>
        </w:tc>
        <w:tc>
          <w:tcPr>
            <w:tcW w:w="0" w:type="auto"/>
            <w:tcBorders>
              <w:top w:val="single" w:sz="4" w:space="0" w:color="auto"/>
              <w:bottom w:val="single" w:sz="4" w:space="0" w:color="auto"/>
            </w:tcBorders>
            <w:vAlign w:val="center"/>
            <w:hideMark/>
          </w:tcPr>
          <w:p w14:paraId="1D0E7F69"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MS</w:t>
            </w:r>
          </w:p>
        </w:tc>
        <w:tc>
          <w:tcPr>
            <w:tcW w:w="0" w:type="auto"/>
            <w:tcBorders>
              <w:top w:val="single" w:sz="4" w:space="0" w:color="auto"/>
              <w:bottom w:val="single" w:sz="4" w:space="0" w:color="auto"/>
            </w:tcBorders>
            <w:vAlign w:val="center"/>
            <w:hideMark/>
          </w:tcPr>
          <w:p w14:paraId="503AB10A"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F</w:t>
            </w:r>
          </w:p>
        </w:tc>
        <w:tc>
          <w:tcPr>
            <w:tcW w:w="0" w:type="auto"/>
            <w:tcBorders>
              <w:top w:val="single" w:sz="4" w:space="0" w:color="auto"/>
              <w:bottom w:val="single" w:sz="4" w:space="0" w:color="auto"/>
            </w:tcBorders>
            <w:vAlign w:val="center"/>
            <w:hideMark/>
          </w:tcPr>
          <w:p w14:paraId="76A6BAED"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p</w:t>
            </w:r>
          </w:p>
        </w:tc>
        <w:tc>
          <w:tcPr>
            <w:tcW w:w="0" w:type="auto"/>
            <w:tcBorders>
              <w:top w:val="single" w:sz="4" w:space="0" w:color="auto"/>
              <w:bottom w:val="single" w:sz="4" w:space="0" w:color="auto"/>
            </w:tcBorders>
            <w:vAlign w:val="center"/>
            <w:hideMark/>
          </w:tcPr>
          <w:p w14:paraId="755DFE52"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Partial η²</w:t>
            </w:r>
          </w:p>
        </w:tc>
      </w:tr>
      <w:tr w:rsidR="00CC0603" w:rsidRPr="005B0F95" w14:paraId="45ACA21A" w14:textId="77777777" w:rsidTr="001D58BF">
        <w:trPr>
          <w:trHeight w:val="291"/>
          <w:tblCellSpacing w:w="15" w:type="dxa"/>
        </w:trPr>
        <w:tc>
          <w:tcPr>
            <w:tcW w:w="0" w:type="auto"/>
            <w:vAlign w:val="center"/>
            <w:hideMark/>
          </w:tcPr>
          <w:p w14:paraId="3F9C6B44"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Pre-test (covariate)</w:t>
            </w:r>
          </w:p>
        </w:tc>
        <w:tc>
          <w:tcPr>
            <w:tcW w:w="0" w:type="auto"/>
            <w:vAlign w:val="center"/>
            <w:hideMark/>
          </w:tcPr>
          <w:p w14:paraId="6ECBDBFA"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1,247.35</w:t>
            </w:r>
          </w:p>
        </w:tc>
        <w:tc>
          <w:tcPr>
            <w:tcW w:w="0" w:type="auto"/>
            <w:vAlign w:val="center"/>
            <w:hideMark/>
          </w:tcPr>
          <w:p w14:paraId="1DC30294"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w:t>
            </w:r>
          </w:p>
        </w:tc>
        <w:tc>
          <w:tcPr>
            <w:tcW w:w="0" w:type="auto"/>
            <w:vAlign w:val="center"/>
            <w:hideMark/>
          </w:tcPr>
          <w:p w14:paraId="5D46ABE0"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1,247.35</w:t>
            </w:r>
          </w:p>
        </w:tc>
        <w:tc>
          <w:tcPr>
            <w:tcW w:w="0" w:type="auto"/>
            <w:vAlign w:val="center"/>
            <w:hideMark/>
          </w:tcPr>
          <w:p w14:paraId="7B3C8E7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42.18</w:t>
            </w:r>
          </w:p>
        </w:tc>
        <w:tc>
          <w:tcPr>
            <w:tcW w:w="0" w:type="auto"/>
            <w:vAlign w:val="center"/>
            <w:hideMark/>
          </w:tcPr>
          <w:p w14:paraId="5D330A47"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&lt; .001</w:t>
            </w:r>
          </w:p>
        </w:tc>
        <w:tc>
          <w:tcPr>
            <w:tcW w:w="0" w:type="auto"/>
            <w:vAlign w:val="center"/>
            <w:hideMark/>
          </w:tcPr>
          <w:p w14:paraId="0A1E40E7"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.43</w:t>
            </w:r>
          </w:p>
        </w:tc>
      </w:tr>
      <w:tr w:rsidR="00CC0603" w:rsidRPr="005B0F95" w14:paraId="6435C16E" w14:textId="77777777" w:rsidTr="001D58BF">
        <w:trPr>
          <w:trHeight w:val="281"/>
          <w:tblCellSpacing w:w="15" w:type="dxa"/>
        </w:trPr>
        <w:tc>
          <w:tcPr>
            <w:tcW w:w="0" w:type="auto"/>
            <w:vAlign w:val="center"/>
            <w:hideMark/>
          </w:tcPr>
          <w:p w14:paraId="0AD3A487"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Group</w:t>
            </w:r>
          </w:p>
        </w:tc>
        <w:tc>
          <w:tcPr>
            <w:tcW w:w="0" w:type="auto"/>
            <w:vAlign w:val="center"/>
            <w:hideMark/>
          </w:tcPr>
          <w:p w14:paraId="745B83CA"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2,096.72</w:t>
            </w:r>
          </w:p>
        </w:tc>
        <w:tc>
          <w:tcPr>
            <w:tcW w:w="0" w:type="auto"/>
            <w:vAlign w:val="center"/>
            <w:hideMark/>
          </w:tcPr>
          <w:p w14:paraId="75DBD7C9"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w:t>
            </w:r>
          </w:p>
        </w:tc>
        <w:tc>
          <w:tcPr>
            <w:tcW w:w="0" w:type="auto"/>
            <w:vAlign w:val="center"/>
            <w:hideMark/>
          </w:tcPr>
          <w:p w14:paraId="0DF2408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2,096.72</w:t>
            </w:r>
          </w:p>
        </w:tc>
        <w:tc>
          <w:tcPr>
            <w:tcW w:w="0" w:type="auto"/>
            <w:vAlign w:val="center"/>
            <w:hideMark/>
          </w:tcPr>
          <w:p w14:paraId="21A1E398"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70.89</w:t>
            </w:r>
          </w:p>
        </w:tc>
        <w:tc>
          <w:tcPr>
            <w:tcW w:w="0" w:type="auto"/>
            <w:vAlign w:val="center"/>
            <w:hideMark/>
          </w:tcPr>
          <w:p w14:paraId="5AA4F750"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&lt; .001</w:t>
            </w:r>
          </w:p>
        </w:tc>
        <w:tc>
          <w:tcPr>
            <w:tcW w:w="0" w:type="auto"/>
            <w:vAlign w:val="center"/>
            <w:hideMark/>
          </w:tcPr>
          <w:p w14:paraId="05B0A1A4"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.55</w:t>
            </w:r>
          </w:p>
        </w:tc>
      </w:tr>
      <w:tr w:rsidR="00CC0603" w:rsidRPr="005B0F95" w14:paraId="6BB0746A" w14:textId="77777777" w:rsidTr="001D58BF">
        <w:trPr>
          <w:trHeight w:val="291"/>
          <w:tblCellSpacing w:w="15" w:type="dxa"/>
        </w:trPr>
        <w:tc>
          <w:tcPr>
            <w:tcW w:w="0" w:type="auto"/>
            <w:vAlign w:val="center"/>
            <w:hideMark/>
          </w:tcPr>
          <w:p w14:paraId="7D4A8348"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Error</w:t>
            </w:r>
          </w:p>
        </w:tc>
        <w:tc>
          <w:tcPr>
            <w:tcW w:w="0" w:type="auto"/>
            <w:vAlign w:val="center"/>
            <w:hideMark/>
          </w:tcPr>
          <w:p w14:paraId="2E9B57B2"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1,685.93</w:t>
            </w:r>
          </w:p>
        </w:tc>
        <w:tc>
          <w:tcPr>
            <w:tcW w:w="0" w:type="auto"/>
            <w:vAlign w:val="center"/>
            <w:hideMark/>
          </w:tcPr>
          <w:p w14:paraId="188008EE"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57</w:t>
            </w:r>
          </w:p>
        </w:tc>
        <w:tc>
          <w:tcPr>
            <w:tcW w:w="0" w:type="auto"/>
            <w:vAlign w:val="center"/>
            <w:hideMark/>
          </w:tcPr>
          <w:p w14:paraId="02E34DF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29.58</w:t>
            </w:r>
          </w:p>
        </w:tc>
        <w:tc>
          <w:tcPr>
            <w:tcW w:w="0" w:type="auto"/>
            <w:vAlign w:val="center"/>
            <w:hideMark/>
          </w:tcPr>
          <w:p w14:paraId="65326C0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5A66E89D"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38F6B5FD"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r>
      <w:tr w:rsidR="00CC0603" w:rsidRPr="005B0F95" w14:paraId="0EB9344E" w14:textId="77777777" w:rsidTr="001D58BF">
        <w:trPr>
          <w:trHeight w:val="281"/>
          <w:tblCellSpacing w:w="15" w:type="dxa"/>
        </w:trPr>
        <w:tc>
          <w:tcPr>
            <w:tcW w:w="0" w:type="auto"/>
            <w:vAlign w:val="center"/>
            <w:hideMark/>
          </w:tcPr>
          <w:p w14:paraId="6B6EE79D"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Total</w:t>
            </w:r>
          </w:p>
        </w:tc>
        <w:tc>
          <w:tcPr>
            <w:tcW w:w="0" w:type="auto"/>
            <w:vAlign w:val="center"/>
            <w:hideMark/>
          </w:tcPr>
          <w:p w14:paraId="18B85B7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5,030.00</w:t>
            </w:r>
          </w:p>
        </w:tc>
        <w:tc>
          <w:tcPr>
            <w:tcW w:w="0" w:type="auto"/>
            <w:vAlign w:val="center"/>
            <w:hideMark/>
          </w:tcPr>
          <w:p w14:paraId="73998738"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59</w:t>
            </w:r>
          </w:p>
        </w:tc>
        <w:tc>
          <w:tcPr>
            <w:tcW w:w="0" w:type="auto"/>
            <w:vAlign w:val="center"/>
            <w:hideMark/>
          </w:tcPr>
          <w:p w14:paraId="63E568E0"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72F54B30"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7526D4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c>
          <w:tcPr>
            <w:tcW w:w="0" w:type="auto"/>
            <w:vAlign w:val="center"/>
            <w:hideMark/>
          </w:tcPr>
          <w:p w14:paraId="4036BB38"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w:t>
            </w:r>
          </w:p>
        </w:tc>
      </w:tr>
    </w:tbl>
    <w:p w14:paraId="7218497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Note. SS = Sum of Squares; df = degrees of freedom; MS = Mean Square; η² = eta squared.</w:t>
      </w:r>
    </w:p>
    <w:p w14:paraId="28C70564"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Student Engagement and Motivation</w:t>
      </w:r>
    </w:p>
    <w:p w14:paraId="2E72EDD1" w14:textId="77777777" w:rsidR="001D58BF" w:rsidRPr="005B0F95" w:rsidRDefault="001D58BF" w:rsidP="003F2B73">
      <w:pPr>
        <w:pStyle w:val="NoSpacing"/>
        <w:jc w:val="both"/>
        <w:rPr>
          <w:rFonts w:ascii="Arial" w:hAnsi="Arial" w:cs="Arial"/>
          <w:sz w:val="24"/>
          <w:szCs w:val="24"/>
        </w:rPr>
      </w:pPr>
    </w:p>
    <w:p w14:paraId="762698C7"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 xml:space="preserve">The integration of digital micro-teaching strategies produced significant increases in student engagement and motivation toward phonetic learning. Table 5 presents descriptive statistics and paired-samples t-test results for engagement scores measured using a 20-item questionnaire with responses on a 5-point Likert scale. The experimental group demonstrated substantial increases in engagement scores, with means rising from 58.23 (SD = 9.47) at pre-intervention to 78.90 (SD = 7.62) at post-intervention, representing a mean gain of 20.67 points. This improvement was statistically significant, </w:t>
      </w:r>
      <w:proofErr w:type="gramStart"/>
      <w:r w:rsidRPr="005B0F95">
        <w:rPr>
          <w:rFonts w:ascii="Arial" w:hAnsi="Arial" w:cs="Arial"/>
          <w:sz w:val="24"/>
          <w:szCs w:val="24"/>
        </w:rPr>
        <w:t>t(</w:t>
      </w:r>
      <w:proofErr w:type="gramEnd"/>
      <w:r w:rsidRPr="005B0F95">
        <w:rPr>
          <w:rFonts w:ascii="Arial" w:hAnsi="Arial" w:cs="Arial"/>
          <w:sz w:val="24"/>
          <w:szCs w:val="24"/>
        </w:rPr>
        <w:t xml:space="preserve">29) = 12.45, p &lt; .001, Cohen's d = 2.41, indicating a very large effect of the digital intervention on student engagement. In contrast, the control group showed minimal change in engagement, with mean scores increasing only from 57.87 (SD = 9.83) to 60.13 (SD = 9.45), a gain of merely 2.26 points, </w:t>
      </w:r>
      <w:proofErr w:type="gramStart"/>
      <w:r w:rsidRPr="005B0F95">
        <w:rPr>
          <w:rFonts w:ascii="Arial" w:hAnsi="Arial" w:cs="Arial"/>
          <w:sz w:val="24"/>
          <w:szCs w:val="24"/>
        </w:rPr>
        <w:t>t(</w:t>
      </w:r>
      <w:proofErr w:type="gramEnd"/>
      <w:r w:rsidRPr="005B0F95">
        <w:rPr>
          <w:rFonts w:ascii="Arial" w:hAnsi="Arial" w:cs="Arial"/>
          <w:sz w:val="24"/>
          <w:szCs w:val="24"/>
        </w:rPr>
        <w:t>29) = 1.89, p = .069, Cohen's d = 0.24, which was not statistically significant.</w:t>
      </w:r>
    </w:p>
    <w:p w14:paraId="0A1A2872" w14:textId="77777777" w:rsidR="001D58BF" w:rsidRPr="005B0F95" w:rsidRDefault="001D58BF" w:rsidP="003F2B73">
      <w:pPr>
        <w:pStyle w:val="NoSpacing"/>
        <w:jc w:val="both"/>
        <w:rPr>
          <w:rFonts w:ascii="Arial" w:hAnsi="Arial" w:cs="Arial"/>
          <w:sz w:val="24"/>
          <w:szCs w:val="24"/>
        </w:rPr>
      </w:pPr>
    </w:p>
    <w:p w14:paraId="41C00720" w14:textId="01C4B1A3" w:rsidR="003F2B73" w:rsidRDefault="003F2B73" w:rsidP="001D58BF">
      <w:pPr>
        <w:pStyle w:val="NoSpacing"/>
        <w:rPr>
          <w:rFonts w:ascii="Arial" w:hAnsi="Arial" w:cs="Arial"/>
          <w:b/>
          <w:sz w:val="24"/>
          <w:szCs w:val="24"/>
        </w:rPr>
      </w:pPr>
      <w:r w:rsidRPr="004F0A1F">
        <w:rPr>
          <w:rFonts w:ascii="Arial" w:hAnsi="Arial" w:cs="Arial"/>
          <w:b/>
          <w:sz w:val="24"/>
          <w:szCs w:val="24"/>
        </w:rPr>
        <w:t>Table 5</w:t>
      </w:r>
      <w:r w:rsidR="001D58BF" w:rsidRPr="004F0A1F">
        <w:rPr>
          <w:rFonts w:ascii="Arial" w:hAnsi="Arial" w:cs="Arial"/>
          <w:b/>
          <w:sz w:val="24"/>
          <w:szCs w:val="24"/>
        </w:rPr>
        <w:t xml:space="preserve">: </w:t>
      </w:r>
      <w:r w:rsidRPr="004F0A1F">
        <w:rPr>
          <w:rFonts w:ascii="Arial" w:hAnsi="Arial" w:cs="Arial"/>
          <w:b/>
          <w:sz w:val="24"/>
          <w:szCs w:val="24"/>
        </w:rPr>
        <w:t>Student Engagement Scores: Pre-Post Comparisons by Group</w:t>
      </w:r>
    </w:p>
    <w:p w14:paraId="71DF7375" w14:textId="77777777" w:rsidR="004F0A1F" w:rsidRPr="004F0A1F" w:rsidRDefault="004F0A1F" w:rsidP="001D58BF">
      <w:pPr>
        <w:pStyle w:val="NoSpacing"/>
        <w:rPr>
          <w:rFonts w:ascii="Arial" w:hAnsi="Arial" w:cs="Arial"/>
          <w:b/>
          <w:sz w:val="24"/>
          <w:szCs w:val="24"/>
        </w:rPr>
      </w:pPr>
      <w:bookmarkStart w:id="0" w:name="_GoBack"/>
      <w:bookmarkEnd w:id="0"/>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77"/>
        <w:gridCol w:w="1155"/>
        <w:gridCol w:w="1163"/>
        <w:gridCol w:w="1063"/>
        <w:gridCol w:w="661"/>
        <w:gridCol w:w="327"/>
        <w:gridCol w:w="672"/>
        <w:gridCol w:w="1074"/>
        <w:gridCol w:w="1435"/>
      </w:tblGrid>
      <w:tr w:rsidR="00CC0603" w:rsidRPr="005B0F95" w14:paraId="1C967373" w14:textId="77777777" w:rsidTr="001D58BF">
        <w:trPr>
          <w:tblHeader/>
          <w:tblCellSpacing w:w="15" w:type="dxa"/>
        </w:trPr>
        <w:tc>
          <w:tcPr>
            <w:tcW w:w="0" w:type="auto"/>
            <w:tcBorders>
              <w:top w:val="single" w:sz="4" w:space="0" w:color="auto"/>
              <w:bottom w:val="single" w:sz="4" w:space="0" w:color="auto"/>
            </w:tcBorders>
            <w:vAlign w:val="center"/>
            <w:hideMark/>
          </w:tcPr>
          <w:p w14:paraId="7EDE21C6"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Group</w:t>
            </w:r>
          </w:p>
        </w:tc>
        <w:tc>
          <w:tcPr>
            <w:tcW w:w="0" w:type="auto"/>
            <w:tcBorders>
              <w:top w:val="single" w:sz="4" w:space="0" w:color="auto"/>
              <w:bottom w:val="single" w:sz="4" w:space="0" w:color="auto"/>
            </w:tcBorders>
            <w:vAlign w:val="center"/>
            <w:hideMark/>
          </w:tcPr>
          <w:p w14:paraId="2AC2B040" w14:textId="77777777" w:rsidR="003F2B73" w:rsidRPr="005B0F95" w:rsidRDefault="003F2B73" w:rsidP="001D58BF">
            <w:pPr>
              <w:pStyle w:val="NoSpacing"/>
              <w:jc w:val="center"/>
              <w:rPr>
                <w:rFonts w:ascii="Arial" w:hAnsi="Arial" w:cs="Arial"/>
                <w:sz w:val="24"/>
                <w:szCs w:val="24"/>
              </w:rPr>
            </w:pPr>
            <w:proofErr w:type="gramStart"/>
            <w:r w:rsidRPr="005B0F95">
              <w:rPr>
                <w:rFonts w:ascii="Arial" w:hAnsi="Arial" w:cs="Arial"/>
                <w:sz w:val="24"/>
                <w:szCs w:val="24"/>
              </w:rPr>
              <w:t>Pre M</w:t>
            </w:r>
            <w:proofErr w:type="gramEnd"/>
            <w:r w:rsidRPr="005B0F95">
              <w:rPr>
                <w:rFonts w:ascii="Arial" w:hAnsi="Arial" w:cs="Arial"/>
                <w:sz w:val="24"/>
                <w:szCs w:val="24"/>
              </w:rPr>
              <w:t xml:space="preserve"> (SD)</w:t>
            </w:r>
          </w:p>
        </w:tc>
        <w:tc>
          <w:tcPr>
            <w:tcW w:w="0" w:type="auto"/>
            <w:tcBorders>
              <w:top w:val="single" w:sz="4" w:space="0" w:color="auto"/>
              <w:bottom w:val="single" w:sz="4" w:space="0" w:color="auto"/>
            </w:tcBorders>
            <w:vAlign w:val="center"/>
            <w:hideMark/>
          </w:tcPr>
          <w:p w14:paraId="09F062E4"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Post M (SD)</w:t>
            </w:r>
          </w:p>
        </w:tc>
        <w:tc>
          <w:tcPr>
            <w:tcW w:w="0" w:type="auto"/>
            <w:tcBorders>
              <w:top w:val="single" w:sz="4" w:space="0" w:color="auto"/>
              <w:bottom w:val="single" w:sz="4" w:space="0" w:color="auto"/>
            </w:tcBorders>
            <w:vAlign w:val="center"/>
            <w:hideMark/>
          </w:tcPr>
          <w:p w14:paraId="660E7DEC"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Mean Gain</w:t>
            </w:r>
          </w:p>
        </w:tc>
        <w:tc>
          <w:tcPr>
            <w:tcW w:w="0" w:type="auto"/>
            <w:tcBorders>
              <w:top w:val="single" w:sz="4" w:space="0" w:color="auto"/>
              <w:bottom w:val="single" w:sz="4" w:space="0" w:color="auto"/>
            </w:tcBorders>
            <w:vAlign w:val="center"/>
            <w:hideMark/>
          </w:tcPr>
          <w:p w14:paraId="5501B04F"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t</w:t>
            </w:r>
          </w:p>
        </w:tc>
        <w:tc>
          <w:tcPr>
            <w:tcW w:w="0" w:type="auto"/>
            <w:tcBorders>
              <w:top w:val="single" w:sz="4" w:space="0" w:color="auto"/>
              <w:bottom w:val="single" w:sz="4" w:space="0" w:color="auto"/>
            </w:tcBorders>
            <w:vAlign w:val="center"/>
            <w:hideMark/>
          </w:tcPr>
          <w:p w14:paraId="3CD59DE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df</w:t>
            </w:r>
          </w:p>
        </w:tc>
        <w:tc>
          <w:tcPr>
            <w:tcW w:w="0" w:type="auto"/>
            <w:tcBorders>
              <w:top w:val="single" w:sz="4" w:space="0" w:color="auto"/>
              <w:bottom w:val="single" w:sz="4" w:space="0" w:color="auto"/>
            </w:tcBorders>
            <w:vAlign w:val="center"/>
            <w:hideMark/>
          </w:tcPr>
          <w:p w14:paraId="6A180454"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p</w:t>
            </w:r>
          </w:p>
        </w:tc>
        <w:tc>
          <w:tcPr>
            <w:tcW w:w="0" w:type="auto"/>
            <w:tcBorders>
              <w:top w:val="single" w:sz="4" w:space="0" w:color="auto"/>
              <w:bottom w:val="single" w:sz="4" w:space="0" w:color="auto"/>
            </w:tcBorders>
            <w:vAlign w:val="center"/>
            <w:hideMark/>
          </w:tcPr>
          <w:p w14:paraId="366B010E"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Cohen's d</w:t>
            </w:r>
          </w:p>
        </w:tc>
        <w:tc>
          <w:tcPr>
            <w:tcW w:w="0" w:type="auto"/>
            <w:tcBorders>
              <w:top w:val="single" w:sz="4" w:space="0" w:color="auto"/>
              <w:bottom w:val="single" w:sz="4" w:space="0" w:color="auto"/>
            </w:tcBorders>
            <w:vAlign w:val="center"/>
            <w:hideMark/>
          </w:tcPr>
          <w:p w14:paraId="42143733"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95% CI of Gain</w:t>
            </w:r>
          </w:p>
        </w:tc>
      </w:tr>
      <w:tr w:rsidR="00CC0603" w:rsidRPr="005B0F95" w14:paraId="1486D4FC" w14:textId="77777777" w:rsidTr="001D58BF">
        <w:trPr>
          <w:tblCellSpacing w:w="15" w:type="dxa"/>
        </w:trPr>
        <w:tc>
          <w:tcPr>
            <w:tcW w:w="0" w:type="auto"/>
            <w:vAlign w:val="center"/>
            <w:hideMark/>
          </w:tcPr>
          <w:p w14:paraId="52D7C709"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Experimental</w:t>
            </w:r>
          </w:p>
        </w:tc>
        <w:tc>
          <w:tcPr>
            <w:tcW w:w="0" w:type="auto"/>
            <w:vAlign w:val="center"/>
            <w:hideMark/>
          </w:tcPr>
          <w:p w14:paraId="3AFB9051"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58.23 (9.47)</w:t>
            </w:r>
          </w:p>
        </w:tc>
        <w:tc>
          <w:tcPr>
            <w:tcW w:w="0" w:type="auto"/>
            <w:vAlign w:val="center"/>
            <w:hideMark/>
          </w:tcPr>
          <w:p w14:paraId="5FDC4A6A"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78.90 (7.62)</w:t>
            </w:r>
          </w:p>
        </w:tc>
        <w:tc>
          <w:tcPr>
            <w:tcW w:w="0" w:type="auto"/>
            <w:vAlign w:val="center"/>
            <w:hideMark/>
          </w:tcPr>
          <w:p w14:paraId="211FC04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20.67</w:t>
            </w:r>
          </w:p>
        </w:tc>
        <w:tc>
          <w:tcPr>
            <w:tcW w:w="0" w:type="auto"/>
            <w:vAlign w:val="center"/>
            <w:hideMark/>
          </w:tcPr>
          <w:p w14:paraId="5A20B36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12.45</w:t>
            </w:r>
          </w:p>
        </w:tc>
        <w:tc>
          <w:tcPr>
            <w:tcW w:w="0" w:type="auto"/>
            <w:vAlign w:val="center"/>
            <w:hideMark/>
          </w:tcPr>
          <w:p w14:paraId="338FF639"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29</w:t>
            </w:r>
          </w:p>
        </w:tc>
        <w:tc>
          <w:tcPr>
            <w:tcW w:w="0" w:type="auto"/>
            <w:vAlign w:val="center"/>
            <w:hideMark/>
          </w:tcPr>
          <w:p w14:paraId="34E5C731"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&lt; .001</w:t>
            </w:r>
          </w:p>
        </w:tc>
        <w:tc>
          <w:tcPr>
            <w:tcW w:w="0" w:type="auto"/>
            <w:vAlign w:val="center"/>
            <w:hideMark/>
          </w:tcPr>
          <w:p w14:paraId="6E177E83"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2.41</w:t>
            </w:r>
          </w:p>
        </w:tc>
        <w:tc>
          <w:tcPr>
            <w:tcW w:w="0" w:type="auto"/>
            <w:vAlign w:val="center"/>
            <w:hideMark/>
          </w:tcPr>
          <w:p w14:paraId="165D4E0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[17.32, 24.02]</w:t>
            </w:r>
          </w:p>
        </w:tc>
      </w:tr>
      <w:tr w:rsidR="00CC0603" w:rsidRPr="005B0F95" w14:paraId="0CDA42C8" w14:textId="77777777" w:rsidTr="001D58BF">
        <w:trPr>
          <w:tblCellSpacing w:w="15" w:type="dxa"/>
        </w:trPr>
        <w:tc>
          <w:tcPr>
            <w:tcW w:w="0" w:type="auto"/>
            <w:vAlign w:val="center"/>
            <w:hideMark/>
          </w:tcPr>
          <w:p w14:paraId="13A57FBF"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Control</w:t>
            </w:r>
          </w:p>
        </w:tc>
        <w:tc>
          <w:tcPr>
            <w:tcW w:w="0" w:type="auto"/>
            <w:vAlign w:val="center"/>
            <w:hideMark/>
          </w:tcPr>
          <w:p w14:paraId="4F227EB4"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57.87 (9.83)</w:t>
            </w:r>
          </w:p>
        </w:tc>
        <w:tc>
          <w:tcPr>
            <w:tcW w:w="0" w:type="auto"/>
            <w:vAlign w:val="center"/>
            <w:hideMark/>
          </w:tcPr>
          <w:p w14:paraId="7963A1B2"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60.13 (9.45)</w:t>
            </w:r>
          </w:p>
        </w:tc>
        <w:tc>
          <w:tcPr>
            <w:tcW w:w="0" w:type="auto"/>
            <w:vAlign w:val="center"/>
            <w:hideMark/>
          </w:tcPr>
          <w:p w14:paraId="7E3F0F7D"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2.26</w:t>
            </w:r>
          </w:p>
        </w:tc>
        <w:tc>
          <w:tcPr>
            <w:tcW w:w="0" w:type="auto"/>
            <w:vAlign w:val="center"/>
            <w:hideMark/>
          </w:tcPr>
          <w:p w14:paraId="544228E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1.89</w:t>
            </w:r>
          </w:p>
        </w:tc>
        <w:tc>
          <w:tcPr>
            <w:tcW w:w="0" w:type="auto"/>
            <w:vAlign w:val="center"/>
            <w:hideMark/>
          </w:tcPr>
          <w:p w14:paraId="0928989D"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29</w:t>
            </w:r>
          </w:p>
        </w:tc>
        <w:tc>
          <w:tcPr>
            <w:tcW w:w="0" w:type="auto"/>
            <w:vAlign w:val="center"/>
            <w:hideMark/>
          </w:tcPr>
          <w:p w14:paraId="75737F52"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.069</w:t>
            </w:r>
          </w:p>
        </w:tc>
        <w:tc>
          <w:tcPr>
            <w:tcW w:w="0" w:type="auto"/>
            <w:vAlign w:val="center"/>
            <w:hideMark/>
          </w:tcPr>
          <w:p w14:paraId="6AE86725"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0.24</w:t>
            </w:r>
          </w:p>
        </w:tc>
        <w:tc>
          <w:tcPr>
            <w:tcW w:w="0" w:type="auto"/>
            <w:vAlign w:val="center"/>
            <w:hideMark/>
          </w:tcPr>
          <w:p w14:paraId="70C9E81B" w14:textId="77777777" w:rsidR="003F2B73" w:rsidRPr="005B0F95" w:rsidRDefault="003F2B73" w:rsidP="001D58BF">
            <w:pPr>
              <w:pStyle w:val="NoSpacing"/>
              <w:jc w:val="center"/>
              <w:rPr>
                <w:rFonts w:ascii="Arial" w:hAnsi="Arial" w:cs="Arial"/>
                <w:sz w:val="24"/>
                <w:szCs w:val="24"/>
              </w:rPr>
            </w:pPr>
            <w:r w:rsidRPr="005B0F95">
              <w:rPr>
                <w:rFonts w:ascii="Arial" w:hAnsi="Arial" w:cs="Arial"/>
                <w:sz w:val="24"/>
                <w:szCs w:val="24"/>
              </w:rPr>
              <w:t>[-0.19, 4.71]</w:t>
            </w:r>
          </w:p>
        </w:tc>
      </w:tr>
    </w:tbl>
    <w:p w14:paraId="2C40A695"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Note. Engagement measured on 100-point scale derived from 20 items rated 1-5. M = Mean; SD = Standard Deviation; CI = Confidence Interval.</w:t>
      </w:r>
    </w:p>
    <w:p w14:paraId="4277D936" w14:textId="77777777" w:rsidR="001D58BF" w:rsidRPr="005B0F95" w:rsidRDefault="001D58BF" w:rsidP="003F2B73">
      <w:pPr>
        <w:pStyle w:val="NoSpacing"/>
        <w:jc w:val="both"/>
        <w:rPr>
          <w:rFonts w:ascii="Arial" w:hAnsi="Arial" w:cs="Arial"/>
          <w:sz w:val="24"/>
          <w:szCs w:val="24"/>
        </w:rPr>
      </w:pPr>
    </w:p>
    <w:p w14:paraId="4743773F"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 xml:space="preserve">Between-group comparison of post-intervention engagement scores revealed significant differences favoring the experimental group, </w:t>
      </w:r>
      <w:proofErr w:type="gramStart"/>
      <w:r w:rsidRPr="005B0F95">
        <w:rPr>
          <w:rFonts w:ascii="Arial" w:hAnsi="Arial" w:cs="Arial"/>
          <w:sz w:val="24"/>
          <w:szCs w:val="24"/>
        </w:rPr>
        <w:t>t(</w:t>
      </w:r>
      <w:proofErr w:type="gramEnd"/>
      <w:r w:rsidRPr="005B0F95">
        <w:rPr>
          <w:rFonts w:ascii="Arial" w:hAnsi="Arial" w:cs="Arial"/>
          <w:sz w:val="24"/>
          <w:szCs w:val="24"/>
        </w:rPr>
        <w:t xml:space="preserve">58) = 6.73, p &lt; .001, Cohen's </w:t>
      </w:r>
      <w:r w:rsidRPr="005B0F95">
        <w:rPr>
          <w:rFonts w:ascii="Arial" w:hAnsi="Arial" w:cs="Arial"/>
          <w:sz w:val="24"/>
          <w:szCs w:val="24"/>
        </w:rPr>
        <w:lastRenderedPageBreak/>
        <w:t>d = 1.74, confirming that digital micro-teaching strategies substantially enhanced student engagement compared to traditional methods. Analysis of individual engagement questionnaire items revealed that students in the experimental group reported particularly high increases in items related to enjoyment of learning activities (M = 4.27, SD = 0.64), interest in practicing pronunciation outside class (M = 4.13, SD = 0.73), and confidence in their ability to improve pronunciation (M = 4.20, SD = 0.61).</w:t>
      </w:r>
    </w:p>
    <w:p w14:paraId="0AD4BA65" w14:textId="77777777" w:rsidR="001D58BF" w:rsidRPr="005B0F95" w:rsidRDefault="001D58BF" w:rsidP="003F2B73">
      <w:pPr>
        <w:pStyle w:val="NoSpacing"/>
        <w:jc w:val="both"/>
        <w:rPr>
          <w:rFonts w:ascii="Arial" w:hAnsi="Arial" w:cs="Arial"/>
          <w:sz w:val="24"/>
          <w:szCs w:val="24"/>
        </w:rPr>
      </w:pPr>
    </w:p>
    <w:p w14:paraId="024292EB" w14:textId="77777777" w:rsidR="003F2B73" w:rsidRPr="005B0F95" w:rsidRDefault="003F2B73" w:rsidP="003F2B73">
      <w:pPr>
        <w:pStyle w:val="NoSpacing"/>
        <w:jc w:val="both"/>
        <w:rPr>
          <w:rFonts w:ascii="Arial" w:hAnsi="Arial" w:cs="Arial"/>
          <w:sz w:val="24"/>
          <w:szCs w:val="24"/>
        </w:rPr>
      </w:pPr>
      <w:r w:rsidRPr="005B0F95">
        <w:rPr>
          <w:rFonts w:ascii="Arial" w:hAnsi="Arial" w:cs="Arial"/>
          <w:sz w:val="24"/>
          <w:szCs w:val="24"/>
        </w:rPr>
        <w:t>Stakeholder Perceptions and Experiences</w:t>
      </w:r>
    </w:p>
    <w:p w14:paraId="70F8AAAB" w14:textId="430EDB8E" w:rsidR="003F2B73" w:rsidRPr="005B0F95" w:rsidRDefault="003F2B73" w:rsidP="0004080F">
      <w:pPr>
        <w:pStyle w:val="NoSpacing"/>
        <w:jc w:val="both"/>
        <w:rPr>
          <w:rFonts w:ascii="Arial" w:hAnsi="Arial" w:cs="Arial"/>
          <w:sz w:val="24"/>
          <w:szCs w:val="24"/>
        </w:rPr>
      </w:pPr>
      <w:r w:rsidRPr="005B0F95">
        <w:rPr>
          <w:rFonts w:ascii="Arial" w:hAnsi="Arial" w:cs="Arial"/>
          <w:sz w:val="24"/>
          <w:szCs w:val="24"/>
        </w:rPr>
        <w:t>Qualitative analysis of teacher interviews and student focus group discussions provided rich insights into stakeholder perceptions of digital micro-teaching tools and their implementation. Thematic analysis identified three primary themes: acceptability and usability, pedagogical effectiveness, and implementation challenges.</w:t>
      </w:r>
      <w:r w:rsidR="0004080F" w:rsidRPr="005B0F95">
        <w:rPr>
          <w:rFonts w:ascii="Arial" w:hAnsi="Arial" w:cs="Arial"/>
          <w:sz w:val="24"/>
          <w:szCs w:val="24"/>
        </w:rPr>
        <w:t xml:space="preserve"> </w:t>
      </w:r>
      <w:r w:rsidRPr="005B0F95">
        <w:rPr>
          <w:rFonts w:ascii="Arial" w:hAnsi="Arial" w:cs="Arial"/>
          <w:sz w:val="24"/>
          <w:szCs w:val="24"/>
        </w:rPr>
        <w:t>Regarding acceptability and usability, 94% of students in the experimental group expressed positive attitudes toward the digital tools, with 87% reporting that the interactive applications, voice recognition software, VR environments, and gamified platforms made phonetic learning more enjoyable compared to traditional methods. Representative student comments included: "The pronunciation app showed me exactly where my tongue should be, and I could hear the difference immediately" (Student 12, Focus Group 2); "Using VR made me feel like I was really talking to someone, not just repeating sounds in class" (Student 24, Focus Group 4); and "The games made me want to practice more because I wanted to beat my score" (Student 7, Focus Group 1). Students particularly appreciated the immediate feedback provided by voice recognition software, noting that they could practice independently without fear of embarrassment or negative peer evaluation.</w:t>
      </w:r>
    </w:p>
    <w:p w14:paraId="52B7DADD" w14:textId="0CC1C041" w:rsidR="003F2B73" w:rsidRPr="005B0F95" w:rsidRDefault="003F2B73" w:rsidP="0004080F">
      <w:pPr>
        <w:pStyle w:val="NoSpacing"/>
        <w:ind w:firstLine="720"/>
        <w:jc w:val="both"/>
        <w:rPr>
          <w:rFonts w:ascii="Arial" w:hAnsi="Arial" w:cs="Arial"/>
          <w:sz w:val="24"/>
          <w:szCs w:val="24"/>
        </w:rPr>
      </w:pPr>
      <w:r w:rsidRPr="005B0F95">
        <w:rPr>
          <w:rFonts w:ascii="Arial" w:hAnsi="Arial" w:cs="Arial"/>
          <w:sz w:val="24"/>
          <w:szCs w:val="24"/>
        </w:rPr>
        <w:t>Teachers identified multiple pedagogical benefits of digital micro-teaching strategies. All five participating teachers reported that digital tools facilitated more personalized instruction by allowing them to identify specific phonetic difficulties for individual students through automated assessment data. Teachers noted: "The voice recognition software pinpointed exactly which sounds each student struggled with, so I could provide targeted help instead of general pronunciation lessons" (Teacher 3, Interview). Teachers also emphasized that digital tools increased practice opportunities, with one teacher observing: "Students practiced pronunciation much more frequently because they could use the apps at home on their phones. With traditional methods, practice was limited to class time" (Teacher 1, Interview). Additionally, teachers valued how digital micro-teaching enhanced student autonomy, enabling learners to progress at their own pace and revisit challenging content as needed.</w:t>
      </w:r>
      <w:r w:rsidR="0004080F" w:rsidRPr="005B0F95">
        <w:rPr>
          <w:rFonts w:ascii="Arial" w:hAnsi="Arial" w:cs="Arial"/>
          <w:sz w:val="24"/>
          <w:szCs w:val="24"/>
        </w:rPr>
        <w:t xml:space="preserve"> </w:t>
      </w:r>
      <w:r w:rsidRPr="005B0F95">
        <w:rPr>
          <w:rFonts w:ascii="Arial" w:hAnsi="Arial" w:cs="Arial"/>
          <w:sz w:val="24"/>
          <w:szCs w:val="24"/>
        </w:rPr>
        <w:t>The perceived effectiveness of digital tools was overwhelmingly positive among both students and teachers. Among experimental group students, 91% reported improved confidence in their pronunciation abilities, with 89% believing that digital tools contributed substantially to their phonetic improvement. Teachers unanimously agreed (100%) that digital micro-teaching strategies were more effective than traditional methods for developing phonetic competence, citing observable improvements in student pronunciation accuracy, fluency, and willingness to speak English in class.</w:t>
      </w:r>
    </w:p>
    <w:p w14:paraId="23A9EABC" w14:textId="151999D3" w:rsidR="003F2B73" w:rsidRPr="005B0F95" w:rsidRDefault="003F2B73" w:rsidP="0004080F">
      <w:pPr>
        <w:pStyle w:val="NoSpacing"/>
        <w:ind w:firstLine="720"/>
        <w:jc w:val="both"/>
        <w:rPr>
          <w:rFonts w:ascii="Arial" w:hAnsi="Arial" w:cs="Arial"/>
          <w:sz w:val="24"/>
          <w:szCs w:val="24"/>
        </w:rPr>
      </w:pPr>
      <w:r w:rsidRPr="005B0F95">
        <w:rPr>
          <w:rFonts w:ascii="Arial" w:hAnsi="Arial" w:cs="Arial"/>
          <w:sz w:val="24"/>
          <w:szCs w:val="24"/>
        </w:rPr>
        <w:t xml:space="preserve">However, stakeholders also identified implementation challenges that warrant consideration for future applications. Teachers reported initial technical difficulties, including intermittent internet connectivity (mentioned by 4 of 5 teachers), occasional software malfunctions (3 of 5 teachers), and the learning curve associated with integrating multiple digital platforms into instructional sequences (all 5 teachers). Time management emerged as another concern, with teachers noting that introducing </w:t>
      </w:r>
      <w:r w:rsidRPr="005B0F95">
        <w:rPr>
          <w:rFonts w:ascii="Arial" w:hAnsi="Arial" w:cs="Arial"/>
          <w:sz w:val="24"/>
          <w:szCs w:val="24"/>
        </w:rPr>
        <w:lastRenderedPageBreak/>
        <w:t>students to digital tools and troubleshooting technical issues consumed instructional time initially, though this decreased as students became more familiar with the technologies. Three teachers mentioned concerns about ensuring equitable access to digital tools outside school hours, as not all students possessed smartphones or reliable internet connectivity at home.</w:t>
      </w:r>
      <w:r w:rsidR="0004080F" w:rsidRPr="005B0F95">
        <w:rPr>
          <w:rFonts w:ascii="Arial" w:hAnsi="Arial" w:cs="Arial"/>
          <w:sz w:val="24"/>
          <w:szCs w:val="24"/>
        </w:rPr>
        <w:t xml:space="preserve"> </w:t>
      </w:r>
      <w:r w:rsidRPr="005B0F95">
        <w:rPr>
          <w:rFonts w:ascii="Arial" w:hAnsi="Arial" w:cs="Arial"/>
          <w:sz w:val="24"/>
          <w:szCs w:val="24"/>
        </w:rPr>
        <w:t>Despite these challenges, teachers expressed strong support for continued integration of digital micro-teaching strategies, with all five teachers indicating they would voluntarily adopt these approaches in future instruction. One teacher summarized the consensus view: "Yes, there were technical hiccups and it took time to learn the systems, but the results speak for themselves. Students learned more, practiced more, and enjoyed the learning process more than I've seen in 15 years of teaching phonetics" (Teacher 2, Interview).</w:t>
      </w:r>
    </w:p>
    <w:p w14:paraId="5E9FD42A" w14:textId="77777777" w:rsidR="0004080F" w:rsidRPr="005B0F95" w:rsidRDefault="0004080F" w:rsidP="0004080F">
      <w:pPr>
        <w:pStyle w:val="NoSpacing"/>
        <w:jc w:val="both"/>
        <w:rPr>
          <w:rFonts w:ascii="Arial" w:hAnsi="Arial" w:cs="Arial"/>
          <w:b/>
          <w:sz w:val="24"/>
          <w:szCs w:val="24"/>
        </w:rPr>
      </w:pPr>
    </w:p>
    <w:p w14:paraId="04BFB396" w14:textId="14967ECC" w:rsidR="0004080F" w:rsidRDefault="0004080F" w:rsidP="0004080F">
      <w:pPr>
        <w:pStyle w:val="NoSpacing"/>
        <w:jc w:val="both"/>
        <w:rPr>
          <w:rFonts w:ascii="Arial" w:hAnsi="Arial" w:cs="Arial"/>
          <w:b/>
          <w:sz w:val="24"/>
          <w:szCs w:val="24"/>
        </w:rPr>
      </w:pPr>
      <w:r w:rsidRPr="005B0F95">
        <w:rPr>
          <w:rFonts w:ascii="Arial" w:hAnsi="Arial" w:cs="Arial"/>
          <w:b/>
          <w:sz w:val="24"/>
          <w:szCs w:val="24"/>
        </w:rPr>
        <w:t>DISCUSSION</w:t>
      </w:r>
    </w:p>
    <w:p w14:paraId="6C8B08CF" w14:textId="77777777" w:rsidR="00701E61" w:rsidRPr="005B0F95" w:rsidRDefault="00701E61" w:rsidP="0004080F">
      <w:pPr>
        <w:pStyle w:val="NoSpacing"/>
        <w:jc w:val="both"/>
        <w:rPr>
          <w:rFonts w:ascii="Arial" w:hAnsi="Arial" w:cs="Arial"/>
          <w:b/>
          <w:sz w:val="24"/>
          <w:szCs w:val="24"/>
        </w:rPr>
      </w:pPr>
    </w:p>
    <w:p w14:paraId="00F84140" w14:textId="42AC316A" w:rsidR="0004080F" w:rsidRPr="005B0F95" w:rsidRDefault="0004080F" w:rsidP="0004080F">
      <w:pPr>
        <w:pStyle w:val="NoSpacing"/>
        <w:ind w:firstLine="720"/>
        <w:jc w:val="both"/>
        <w:rPr>
          <w:rFonts w:ascii="Arial" w:hAnsi="Arial" w:cs="Arial"/>
          <w:sz w:val="24"/>
          <w:szCs w:val="24"/>
        </w:rPr>
      </w:pPr>
      <w:r w:rsidRPr="005B0F95">
        <w:rPr>
          <w:rFonts w:ascii="Arial" w:hAnsi="Arial" w:cs="Arial"/>
          <w:sz w:val="24"/>
          <w:szCs w:val="24"/>
        </w:rPr>
        <w:t>The findings of this study provide compelling empirical evidence that digital micro-teaching strategies significantly enhance phonetic competence among Nigerian secondary school students, addressing critical gaps identified in previous research regarding effective pronunciation instruction in resource-constrained educational contexts. The substantial improvements observed in phonetic accuracy, pronunciation fluency, and student engagement align with and extend the existing literature on technology-enhanced language learning while offering contextually specific insights for developing country educational settings. The remarkable 28.27-point gain in phonetic accuracy achieved by the experimental group, compared to only 8.33 points in the control group, substantiates the findings of Cardoso et al. (2020), whose meta-analytic research demonstrated moderate to large effect sizes for automatic speech recognition-based pronunciation instruction. The Cohen's d value of 2.63 observed in the present study exceeds effect sizes typically reported in educational technology research, suggesting that integrated digital approaches combining multiple technologies within coherent pedagogical frameworks produce synergistic effects that surpass benefits from isolated tool implementation. This finding corroborates Pennington and Rogerson-Revell's (2019) argument that effective technology-enhanced pronunciation instruction requires systematic integration of multiple digital resources rather than reliance on single applications. The present study's success in achieving such substantial improvements within a 12-week intervention period demonstrates the viability of accelerated phonetic development through strategically designed digital micro-teaching approaches.</w:t>
      </w:r>
    </w:p>
    <w:p w14:paraId="490EF44C" w14:textId="3FAF9A11" w:rsidR="0004080F" w:rsidRPr="005B0F95" w:rsidRDefault="0004080F" w:rsidP="0004080F">
      <w:pPr>
        <w:pStyle w:val="NoSpacing"/>
        <w:ind w:firstLine="720"/>
        <w:jc w:val="both"/>
        <w:rPr>
          <w:rFonts w:ascii="Arial" w:hAnsi="Arial" w:cs="Arial"/>
          <w:sz w:val="24"/>
          <w:szCs w:val="24"/>
        </w:rPr>
      </w:pPr>
      <w:r w:rsidRPr="005B0F95">
        <w:rPr>
          <w:rFonts w:ascii="Arial" w:hAnsi="Arial" w:cs="Arial"/>
          <w:sz w:val="24"/>
          <w:szCs w:val="24"/>
        </w:rPr>
        <w:t xml:space="preserve">The significant improvements in pronunciation fluency observed in this study align with research by </w:t>
      </w:r>
      <w:proofErr w:type="spellStart"/>
      <w:r w:rsidRPr="005B0F95">
        <w:rPr>
          <w:rFonts w:ascii="Arial" w:hAnsi="Arial" w:cs="Arial"/>
          <w:sz w:val="24"/>
          <w:szCs w:val="24"/>
        </w:rPr>
        <w:t>Shadiev</w:t>
      </w:r>
      <w:proofErr w:type="spellEnd"/>
      <w:r w:rsidRPr="005B0F95">
        <w:rPr>
          <w:rFonts w:ascii="Arial" w:hAnsi="Arial" w:cs="Arial"/>
          <w:sz w:val="24"/>
          <w:szCs w:val="24"/>
        </w:rPr>
        <w:t xml:space="preserve"> et al. (2021) and </w:t>
      </w:r>
      <w:proofErr w:type="spellStart"/>
      <w:r w:rsidRPr="005B0F95">
        <w:rPr>
          <w:rFonts w:ascii="Arial" w:hAnsi="Arial" w:cs="Arial"/>
          <w:sz w:val="24"/>
          <w:szCs w:val="24"/>
        </w:rPr>
        <w:t>McCrocklin</w:t>
      </w:r>
      <w:proofErr w:type="spellEnd"/>
      <w:r w:rsidRPr="005B0F95">
        <w:rPr>
          <w:rFonts w:ascii="Arial" w:hAnsi="Arial" w:cs="Arial"/>
          <w:sz w:val="24"/>
          <w:szCs w:val="24"/>
        </w:rPr>
        <w:t xml:space="preserve"> (2016), who documented the effectiveness of voice recognition technologies in providing immediate corrective feedback that facilitates procedural learning and automatization of pronunciation patterns. The experimental group's progression from a mean fluency score of 2.40 to 4.13 on the 5-point scale indicates movement from hesitant, non-fluent production toward confident, relatively automatic pronunciation. This transformation reflects the benefits of unlimited practice opportunities and immediate automated feedback that digital tools provide, addressing the fundamental limitation of traditional instruction identified by Okorie and </w:t>
      </w:r>
      <w:proofErr w:type="spellStart"/>
      <w:r w:rsidRPr="005B0F95">
        <w:rPr>
          <w:rFonts w:ascii="Arial" w:hAnsi="Arial" w:cs="Arial"/>
          <w:sz w:val="24"/>
          <w:szCs w:val="24"/>
        </w:rPr>
        <w:t>Agwagah</w:t>
      </w:r>
      <w:proofErr w:type="spellEnd"/>
      <w:r w:rsidRPr="005B0F95">
        <w:rPr>
          <w:rFonts w:ascii="Arial" w:hAnsi="Arial" w:cs="Arial"/>
          <w:sz w:val="24"/>
          <w:szCs w:val="24"/>
        </w:rPr>
        <w:t xml:space="preserve"> (2021) and </w:t>
      </w:r>
      <w:proofErr w:type="spellStart"/>
      <w:r w:rsidRPr="005B0F95">
        <w:rPr>
          <w:rFonts w:ascii="Arial" w:hAnsi="Arial" w:cs="Arial"/>
          <w:sz w:val="24"/>
          <w:szCs w:val="24"/>
        </w:rPr>
        <w:t>Oladipupo</w:t>
      </w:r>
      <w:proofErr w:type="spellEnd"/>
      <w:r w:rsidRPr="005B0F95">
        <w:rPr>
          <w:rFonts w:ascii="Arial" w:hAnsi="Arial" w:cs="Arial"/>
          <w:sz w:val="24"/>
          <w:szCs w:val="24"/>
        </w:rPr>
        <w:t xml:space="preserve"> (2020) regarding insufficient individualized practice in large Nigerian classrooms. The present findings suggest that digital micro-teaching strategies effectively circumvent resource constraints that typically impede phonetic development in developing country contexts by enabling intensive, individualized practice without proportional increases in teacher workload. </w:t>
      </w:r>
      <w:r w:rsidRPr="005B0F95">
        <w:rPr>
          <w:rFonts w:ascii="Arial" w:hAnsi="Arial" w:cs="Arial"/>
          <w:sz w:val="24"/>
          <w:szCs w:val="24"/>
        </w:rPr>
        <w:lastRenderedPageBreak/>
        <w:t xml:space="preserve">The substantial increase in student engagement (20.67-point gain) corroborates research by </w:t>
      </w:r>
      <w:proofErr w:type="spellStart"/>
      <w:r w:rsidRPr="005B0F95">
        <w:rPr>
          <w:rFonts w:ascii="Arial" w:hAnsi="Arial" w:cs="Arial"/>
          <w:sz w:val="24"/>
          <w:szCs w:val="24"/>
        </w:rPr>
        <w:t>Dehghanzadeh</w:t>
      </w:r>
      <w:proofErr w:type="spellEnd"/>
      <w:r w:rsidRPr="005B0F95">
        <w:rPr>
          <w:rFonts w:ascii="Arial" w:hAnsi="Arial" w:cs="Arial"/>
          <w:sz w:val="24"/>
          <w:szCs w:val="24"/>
        </w:rPr>
        <w:t xml:space="preserve"> et al. (2021) and Rachels and </w:t>
      </w:r>
      <w:proofErr w:type="spellStart"/>
      <w:r w:rsidRPr="005B0F95">
        <w:rPr>
          <w:rFonts w:ascii="Arial" w:hAnsi="Arial" w:cs="Arial"/>
          <w:sz w:val="24"/>
          <w:szCs w:val="24"/>
        </w:rPr>
        <w:t>Rockinson-Szapkiw</w:t>
      </w:r>
      <w:proofErr w:type="spellEnd"/>
      <w:r w:rsidRPr="005B0F95">
        <w:rPr>
          <w:rFonts w:ascii="Arial" w:hAnsi="Arial" w:cs="Arial"/>
          <w:sz w:val="24"/>
          <w:szCs w:val="24"/>
        </w:rPr>
        <w:t xml:space="preserve"> (2018) demonstrating that gamification elements significantly enhance motivation and time-on-task in language learning. The qualitative finding that 87% of experimental group students reported increased interest in practicing pronunciation outside class time particularly validates Zou and </w:t>
      </w:r>
      <w:proofErr w:type="spellStart"/>
      <w:r w:rsidRPr="005B0F95">
        <w:rPr>
          <w:rFonts w:ascii="Arial" w:hAnsi="Arial" w:cs="Arial"/>
          <w:sz w:val="24"/>
          <w:szCs w:val="24"/>
        </w:rPr>
        <w:t>Xie's</w:t>
      </w:r>
      <w:proofErr w:type="spellEnd"/>
      <w:r w:rsidRPr="005B0F95">
        <w:rPr>
          <w:rFonts w:ascii="Arial" w:hAnsi="Arial" w:cs="Arial"/>
          <w:sz w:val="24"/>
          <w:szCs w:val="24"/>
        </w:rPr>
        <w:t xml:space="preserve"> (2019) theoretical framework regarding the motivational mechanisms through which gamified learning environments sustain engagement over extended periods. This finding has profound implications for addressing the limited contact hours available for pronunciation instruction in Nigerian secondary schools, as highlighted by </w:t>
      </w:r>
      <w:proofErr w:type="spellStart"/>
      <w:r w:rsidRPr="005B0F95">
        <w:rPr>
          <w:rFonts w:ascii="Arial" w:hAnsi="Arial" w:cs="Arial"/>
          <w:sz w:val="24"/>
          <w:szCs w:val="24"/>
        </w:rPr>
        <w:t>Oladipupo</w:t>
      </w:r>
      <w:proofErr w:type="spellEnd"/>
      <w:r w:rsidRPr="005B0F95">
        <w:rPr>
          <w:rFonts w:ascii="Arial" w:hAnsi="Arial" w:cs="Arial"/>
          <w:sz w:val="24"/>
          <w:szCs w:val="24"/>
        </w:rPr>
        <w:t xml:space="preserve"> (2020), by effectively extending learning beyond formal instructional time through intrinsically motivated self-directed practice.</w:t>
      </w:r>
    </w:p>
    <w:p w14:paraId="006598BC" w14:textId="436CCDDC" w:rsidR="0004080F" w:rsidRPr="005B0F95" w:rsidRDefault="0004080F" w:rsidP="0004080F">
      <w:pPr>
        <w:pStyle w:val="NoSpacing"/>
        <w:ind w:firstLine="720"/>
        <w:jc w:val="both"/>
        <w:rPr>
          <w:rFonts w:ascii="Arial" w:hAnsi="Arial" w:cs="Arial"/>
          <w:sz w:val="24"/>
          <w:szCs w:val="24"/>
        </w:rPr>
      </w:pPr>
      <w:r w:rsidRPr="005B0F95">
        <w:rPr>
          <w:rFonts w:ascii="Arial" w:hAnsi="Arial" w:cs="Arial"/>
          <w:sz w:val="24"/>
          <w:szCs w:val="24"/>
        </w:rPr>
        <w:t xml:space="preserve">The integration of virtual reality environments for pronunciation practice yielded outcomes consistent with research by Legault et al. (2019) and </w:t>
      </w:r>
      <w:proofErr w:type="spellStart"/>
      <w:r w:rsidRPr="005B0F95">
        <w:rPr>
          <w:rFonts w:ascii="Arial" w:hAnsi="Arial" w:cs="Arial"/>
          <w:sz w:val="24"/>
          <w:szCs w:val="24"/>
        </w:rPr>
        <w:t>Parmaxi</w:t>
      </w:r>
      <w:proofErr w:type="spellEnd"/>
      <w:r w:rsidRPr="005B0F95">
        <w:rPr>
          <w:rFonts w:ascii="Arial" w:hAnsi="Arial" w:cs="Arial"/>
          <w:sz w:val="24"/>
          <w:szCs w:val="24"/>
        </w:rPr>
        <w:t xml:space="preserve"> (2020), who documented reduced learner anxiety and enhanced willingness to communicate in immersive digital environments. Students' qualitative reports that VR practice felt like "really talking to someone" rather than mechanical repetition suggests that immersive technologies address affective barriers to pronunciation development, complementing the cognitive benefits of voice recognition feedback. This finding extends </w:t>
      </w:r>
      <w:proofErr w:type="spellStart"/>
      <w:r w:rsidRPr="005B0F95">
        <w:rPr>
          <w:rFonts w:ascii="Arial" w:hAnsi="Arial" w:cs="Arial"/>
          <w:sz w:val="24"/>
          <w:szCs w:val="24"/>
        </w:rPr>
        <w:t>Parmaxi's</w:t>
      </w:r>
      <w:proofErr w:type="spellEnd"/>
      <w:r w:rsidRPr="005B0F95">
        <w:rPr>
          <w:rFonts w:ascii="Arial" w:hAnsi="Arial" w:cs="Arial"/>
          <w:sz w:val="24"/>
          <w:szCs w:val="24"/>
        </w:rPr>
        <w:t xml:space="preserve"> (2020) systematic review conclusions to the specific domain of phonetic instruction within an African educational context, demonstrating that VR affordances for creating authentic communicative contexts function effectively across diverse cultural and infrastructural settings. The pedagogical framework combining digital technologies with micro-teaching principles proved particularly effective, validating theoretical perspectives advanced by </w:t>
      </w:r>
      <w:proofErr w:type="spellStart"/>
      <w:r w:rsidRPr="005B0F95">
        <w:rPr>
          <w:rFonts w:ascii="Arial" w:hAnsi="Arial" w:cs="Arial"/>
          <w:sz w:val="24"/>
          <w:szCs w:val="24"/>
        </w:rPr>
        <w:t>Levis</w:t>
      </w:r>
      <w:proofErr w:type="spellEnd"/>
      <w:r w:rsidRPr="005B0F95">
        <w:rPr>
          <w:rFonts w:ascii="Arial" w:hAnsi="Arial" w:cs="Arial"/>
          <w:sz w:val="24"/>
          <w:szCs w:val="24"/>
        </w:rPr>
        <w:t xml:space="preserve"> (2018) and Saito (2021) regarding the importance of systematic, focused instruction targeting specific phonetic features through progressive skill development. The micro-teaching approach of decomposing complex pronunciation skills into manageable components, as advocated by </w:t>
      </w:r>
      <w:proofErr w:type="spellStart"/>
      <w:r w:rsidRPr="005B0F95">
        <w:rPr>
          <w:rFonts w:ascii="Arial" w:hAnsi="Arial" w:cs="Arial"/>
          <w:sz w:val="24"/>
          <w:szCs w:val="24"/>
        </w:rPr>
        <w:t>Kilic</w:t>
      </w:r>
      <w:proofErr w:type="spellEnd"/>
      <w:r w:rsidRPr="005B0F95">
        <w:rPr>
          <w:rFonts w:ascii="Arial" w:hAnsi="Arial" w:cs="Arial"/>
          <w:sz w:val="24"/>
          <w:szCs w:val="24"/>
        </w:rPr>
        <w:t xml:space="preserve"> (2010) and Mahmud and </w:t>
      </w:r>
      <w:proofErr w:type="spellStart"/>
      <w:r w:rsidRPr="005B0F95">
        <w:rPr>
          <w:rFonts w:ascii="Arial" w:hAnsi="Arial" w:cs="Arial"/>
          <w:sz w:val="24"/>
          <w:szCs w:val="24"/>
        </w:rPr>
        <w:t>Rawshon</w:t>
      </w:r>
      <w:proofErr w:type="spellEnd"/>
      <w:r w:rsidRPr="005B0F95">
        <w:rPr>
          <w:rFonts w:ascii="Arial" w:hAnsi="Arial" w:cs="Arial"/>
          <w:sz w:val="24"/>
          <w:szCs w:val="24"/>
        </w:rPr>
        <w:t xml:space="preserve"> (2013), appears to synergize effectively with digital tools' capacity for providing focused practice and immediate feedback on discrete phonetic elements. This integrated pedagogical-technological approach addresses gaps identified by Cardoso (2020) and </w:t>
      </w:r>
      <w:proofErr w:type="spellStart"/>
      <w:r w:rsidRPr="005B0F95">
        <w:rPr>
          <w:rFonts w:ascii="Arial" w:hAnsi="Arial" w:cs="Arial"/>
          <w:sz w:val="24"/>
          <w:szCs w:val="24"/>
        </w:rPr>
        <w:t>McCrocklin</w:t>
      </w:r>
      <w:proofErr w:type="spellEnd"/>
      <w:r w:rsidRPr="005B0F95">
        <w:rPr>
          <w:rFonts w:ascii="Arial" w:hAnsi="Arial" w:cs="Arial"/>
          <w:sz w:val="24"/>
          <w:szCs w:val="24"/>
        </w:rPr>
        <w:t xml:space="preserve"> (2016) regarding the need for theoretically grounded frameworks guiding technology integration rather than </w:t>
      </w:r>
      <w:proofErr w:type="spellStart"/>
      <w:r w:rsidRPr="005B0F95">
        <w:rPr>
          <w:rFonts w:ascii="Arial" w:hAnsi="Arial" w:cs="Arial"/>
          <w:sz w:val="24"/>
          <w:szCs w:val="24"/>
        </w:rPr>
        <w:t>atheoretical</w:t>
      </w:r>
      <w:proofErr w:type="spellEnd"/>
      <w:r w:rsidRPr="005B0F95">
        <w:rPr>
          <w:rFonts w:ascii="Arial" w:hAnsi="Arial" w:cs="Arial"/>
          <w:sz w:val="24"/>
          <w:szCs w:val="24"/>
        </w:rPr>
        <w:t xml:space="preserve"> tool adoption.</w:t>
      </w:r>
    </w:p>
    <w:p w14:paraId="54A12230" w14:textId="77777777" w:rsidR="0004080F" w:rsidRPr="005B0F95" w:rsidRDefault="0004080F" w:rsidP="0004080F">
      <w:pPr>
        <w:pStyle w:val="NoSpacing"/>
        <w:ind w:firstLine="720"/>
        <w:jc w:val="both"/>
        <w:rPr>
          <w:rFonts w:ascii="Arial" w:hAnsi="Arial" w:cs="Arial"/>
          <w:sz w:val="24"/>
          <w:szCs w:val="24"/>
        </w:rPr>
      </w:pPr>
      <w:r w:rsidRPr="005B0F95">
        <w:rPr>
          <w:rFonts w:ascii="Arial" w:hAnsi="Arial" w:cs="Arial"/>
          <w:sz w:val="24"/>
          <w:szCs w:val="24"/>
        </w:rPr>
        <w:t xml:space="preserve">However, the implementation challenges identified by participating teachers—technical infrastructure limitations, learning curves associated with multiple platforms, and equity concerns regarding home access—echo broader observations by </w:t>
      </w:r>
      <w:proofErr w:type="spellStart"/>
      <w:r w:rsidRPr="005B0F95">
        <w:rPr>
          <w:rFonts w:ascii="Arial" w:hAnsi="Arial" w:cs="Arial"/>
          <w:sz w:val="24"/>
          <w:szCs w:val="24"/>
        </w:rPr>
        <w:t>Owan</w:t>
      </w:r>
      <w:proofErr w:type="spellEnd"/>
      <w:r w:rsidRPr="005B0F95">
        <w:rPr>
          <w:rFonts w:ascii="Arial" w:hAnsi="Arial" w:cs="Arial"/>
          <w:sz w:val="24"/>
          <w:szCs w:val="24"/>
        </w:rPr>
        <w:t xml:space="preserve"> et al. (2023) and </w:t>
      </w:r>
      <w:proofErr w:type="spellStart"/>
      <w:r w:rsidRPr="005B0F95">
        <w:rPr>
          <w:rFonts w:ascii="Arial" w:hAnsi="Arial" w:cs="Arial"/>
          <w:sz w:val="24"/>
          <w:szCs w:val="24"/>
        </w:rPr>
        <w:t>Ololube</w:t>
      </w:r>
      <w:proofErr w:type="spellEnd"/>
      <w:r w:rsidRPr="005B0F95">
        <w:rPr>
          <w:rFonts w:ascii="Arial" w:hAnsi="Arial" w:cs="Arial"/>
          <w:sz w:val="24"/>
          <w:szCs w:val="24"/>
        </w:rPr>
        <w:t xml:space="preserve"> et al. (2020) regarding contextual factors affecting educational technology adoption in African settings. These findings underscore that while digital micro-teaching strategies demonstrate clear pedagogical effectiveness, sustainable implementation requires addressing systemic infrastructure and capacity-building needs. The teachers' unanimous support for continued adoption despite these challenges suggests that the pedagogical benefits substantially outweigh implementation difficulties, yet successful scaling will require coordinated efforts addressing technical infrastructure, teacher professional development, and equitable access policies. These considerations align with calls by </w:t>
      </w:r>
      <w:proofErr w:type="spellStart"/>
      <w:r w:rsidRPr="005B0F95">
        <w:rPr>
          <w:rFonts w:ascii="Arial" w:hAnsi="Arial" w:cs="Arial"/>
          <w:sz w:val="24"/>
          <w:szCs w:val="24"/>
        </w:rPr>
        <w:t>Owan</w:t>
      </w:r>
      <w:proofErr w:type="spellEnd"/>
      <w:r w:rsidRPr="005B0F95">
        <w:rPr>
          <w:rFonts w:ascii="Arial" w:hAnsi="Arial" w:cs="Arial"/>
          <w:sz w:val="24"/>
          <w:szCs w:val="24"/>
        </w:rPr>
        <w:t xml:space="preserve"> et al. (2023) for context-sensitive educational technology research and implementation models that acknowledge developing countries' unique opportunities and constraints rather than uncritically transplanting approaches designed for resource-rich educational systems.</w:t>
      </w:r>
    </w:p>
    <w:p w14:paraId="02A981F3" w14:textId="77777777" w:rsidR="0004080F" w:rsidRPr="005B0F95" w:rsidRDefault="0004080F" w:rsidP="00B50270">
      <w:pPr>
        <w:rPr>
          <w:rFonts w:ascii="Arial" w:hAnsi="Arial" w:cs="Arial"/>
          <w:b/>
          <w:bCs/>
          <w:sz w:val="24"/>
          <w:szCs w:val="24"/>
        </w:rPr>
      </w:pPr>
    </w:p>
    <w:p w14:paraId="28A30D6B" w14:textId="222D01AB" w:rsidR="00EA0576" w:rsidRDefault="00EA0576" w:rsidP="00EA0576">
      <w:pPr>
        <w:pStyle w:val="NoSpacing"/>
        <w:jc w:val="both"/>
        <w:rPr>
          <w:rFonts w:ascii="Arial" w:hAnsi="Arial" w:cs="Arial"/>
          <w:b/>
          <w:sz w:val="24"/>
          <w:szCs w:val="24"/>
        </w:rPr>
      </w:pPr>
      <w:r w:rsidRPr="005B0F95">
        <w:rPr>
          <w:rFonts w:ascii="Arial" w:hAnsi="Arial" w:cs="Arial"/>
          <w:b/>
          <w:sz w:val="24"/>
          <w:szCs w:val="24"/>
        </w:rPr>
        <w:lastRenderedPageBreak/>
        <w:t>CONCLUSION</w:t>
      </w:r>
    </w:p>
    <w:p w14:paraId="33A5D46A" w14:textId="77777777" w:rsidR="00C27B9A" w:rsidRPr="005B0F95" w:rsidRDefault="00C27B9A" w:rsidP="00EA0576">
      <w:pPr>
        <w:pStyle w:val="NoSpacing"/>
        <w:jc w:val="both"/>
        <w:rPr>
          <w:rFonts w:ascii="Arial" w:hAnsi="Arial" w:cs="Arial"/>
          <w:b/>
          <w:sz w:val="24"/>
          <w:szCs w:val="24"/>
        </w:rPr>
      </w:pPr>
    </w:p>
    <w:p w14:paraId="775FE81B" w14:textId="77777777" w:rsidR="00EA0576" w:rsidRPr="005B0F95" w:rsidRDefault="00EA0576" w:rsidP="00EA0576">
      <w:pPr>
        <w:pStyle w:val="NoSpacing"/>
        <w:ind w:firstLine="720"/>
        <w:jc w:val="both"/>
        <w:rPr>
          <w:rFonts w:ascii="Arial" w:hAnsi="Arial" w:cs="Arial"/>
          <w:sz w:val="24"/>
          <w:szCs w:val="24"/>
        </w:rPr>
      </w:pPr>
      <w:r w:rsidRPr="005B0F95">
        <w:rPr>
          <w:rFonts w:ascii="Arial" w:hAnsi="Arial" w:cs="Arial"/>
          <w:sz w:val="24"/>
          <w:szCs w:val="24"/>
        </w:rPr>
        <w:t xml:space="preserve">This quasi-experimental study provides robust empirical evidence demonstrating that digital micro-teaching strategies constitute a highly effective pedagogical approach for enhancing English phonetic competence among Nigerian secondary school students. The experimental group achieved statistically significant and practically meaningful improvements in phonetic accuracy (28.27-point gain), pronunciation fluency (1.73-point gain), and engagement (20.67-point gain) compared to the control group, with effect sizes ranging from large to very large (Cohen's d = 1.74 to 2.63). These quantitative findings were corroborated by qualitative evidence revealing high levels of student satisfaction (94% positive responses), enhanced motivation (87% increased interest), and perceived effectiveness (91% improved confidence), alongside teachers' unanimous endorsement of digital micro-teaching approaches despite implementation challenges. The successful integration of interactive phonetic applications, voice recognition software, virtual reality environments, and gamified learning platforms within a coherent micro-teaching framework demonstrates that technology-enhanced pronunciation instruction can effectively address persistent challenges in Nigerian English language education, including large class sizes, limited practice opportunities, insufficient individualized feedback, and inadequate teacher-student ratios. The findings align with and extend existing literature on technology-enhanced language learning while offering contextually specific insights for developing country educational settings, particularly regarding the synergistic effects of integrating multiple digital technologies within theoretically grounded pedagogical frameworks. </w:t>
      </w:r>
    </w:p>
    <w:p w14:paraId="124684EF" w14:textId="7088DF82" w:rsidR="00EA0576" w:rsidRPr="005B0F95" w:rsidRDefault="00EA0576" w:rsidP="00EA0576">
      <w:pPr>
        <w:pStyle w:val="NoSpacing"/>
        <w:ind w:firstLine="720"/>
        <w:jc w:val="both"/>
        <w:rPr>
          <w:rFonts w:ascii="Arial" w:hAnsi="Arial" w:cs="Arial"/>
          <w:sz w:val="24"/>
          <w:szCs w:val="24"/>
        </w:rPr>
      </w:pPr>
      <w:r w:rsidRPr="005B0F95">
        <w:rPr>
          <w:rFonts w:ascii="Arial" w:hAnsi="Arial" w:cs="Arial"/>
          <w:sz w:val="24"/>
          <w:szCs w:val="24"/>
        </w:rPr>
        <w:t>Despite identified implementation challenges related to technical infrastructure, teacher preparation, and equitable access, the substantial learning gains and stakeholder support indicate that digital micro-teaching strategies represent a viable and scalable approach for transforming phonetic instruction in resource-constrained contexts. These findings have significant implications for curriculum development, educational technology policy, teacher professional development, and resource allocation decisions in Nigeria and similar developing countries seeking to enhance English language instruction through strategic technology integration. As Nigerian educational systems continue implementing national policies emphasizing information and communication technology integration, this research provides timely empirical evidence supporting specific, pedagogically sound approaches to educational technology adoption that can meaningfully improve student learning outcomes while addressing contextual constraints and opportunities unique to developing country educational environments.</w:t>
      </w:r>
    </w:p>
    <w:p w14:paraId="4DF36C98" w14:textId="77777777" w:rsidR="000F7404" w:rsidRPr="005B0F95" w:rsidRDefault="000F7404" w:rsidP="00EA0576">
      <w:pPr>
        <w:pStyle w:val="NoSpacing"/>
        <w:ind w:firstLine="720"/>
        <w:jc w:val="both"/>
        <w:rPr>
          <w:rFonts w:ascii="Arial" w:hAnsi="Arial" w:cs="Arial"/>
          <w:sz w:val="24"/>
          <w:szCs w:val="24"/>
        </w:rPr>
      </w:pPr>
    </w:p>
    <w:p w14:paraId="6C935A18" w14:textId="77777777" w:rsidR="000F7404" w:rsidRPr="005B0F95" w:rsidRDefault="000F7404" w:rsidP="000F7404">
      <w:pPr>
        <w:rPr>
          <w:rFonts w:ascii="Arial" w:hAnsi="Arial" w:cs="Arial"/>
          <w:b/>
          <w:bCs/>
          <w:sz w:val="24"/>
          <w:szCs w:val="24"/>
        </w:rPr>
      </w:pPr>
      <w:r w:rsidRPr="005B0F95">
        <w:rPr>
          <w:rFonts w:ascii="Arial" w:hAnsi="Arial" w:cs="Arial"/>
          <w:b/>
          <w:bCs/>
          <w:sz w:val="24"/>
          <w:szCs w:val="24"/>
        </w:rPr>
        <w:t>CONFLICT OF INTEREST</w:t>
      </w:r>
    </w:p>
    <w:p w14:paraId="6BF43112" w14:textId="77777777" w:rsidR="000F7404" w:rsidRPr="005B0F95" w:rsidRDefault="000F7404" w:rsidP="000F7404">
      <w:pPr>
        <w:rPr>
          <w:rFonts w:ascii="Arial" w:hAnsi="Arial" w:cs="Arial"/>
          <w:b/>
          <w:bCs/>
          <w:sz w:val="24"/>
          <w:szCs w:val="24"/>
        </w:rPr>
      </w:pPr>
      <w:r w:rsidRPr="005B0F95">
        <w:rPr>
          <w:rFonts w:ascii="Arial" w:hAnsi="Arial" w:cs="Arial"/>
          <w:b/>
          <w:bCs/>
          <w:sz w:val="24"/>
          <w:szCs w:val="24"/>
        </w:rPr>
        <w:t>The authors declare no conflict of interest.</w:t>
      </w:r>
    </w:p>
    <w:p w14:paraId="57C99CDB" w14:textId="77777777" w:rsidR="000F7404" w:rsidRPr="005B0F95" w:rsidRDefault="000F7404" w:rsidP="00EA0576">
      <w:pPr>
        <w:pStyle w:val="NoSpacing"/>
        <w:ind w:firstLine="720"/>
        <w:jc w:val="both"/>
        <w:rPr>
          <w:rFonts w:ascii="Arial" w:hAnsi="Arial" w:cs="Arial"/>
          <w:sz w:val="24"/>
          <w:szCs w:val="24"/>
        </w:rPr>
      </w:pPr>
    </w:p>
    <w:p w14:paraId="493AC2C3" w14:textId="77777777" w:rsidR="00B2022D" w:rsidRPr="005B0F95" w:rsidRDefault="00B2022D" w:rsidP="00B2022D">
      <w:pPr>
        <w:keepNext/>
        <w:keepLines/>
        <w:spacing w:before="120" w:after="120" w:line="360" w:lineRule="auto"/>
        <w:jc w:val="both"/>
        <w:outlineLvl w:val="1"/>
        <w:rPr>
          <w:rFonts w:ascii="Arial" w:eastAsia="Times New Roman" w:hAnsi="Arial" w:cs="Arial"/>
          <w:bCs/>
          <w:kern w:val="0"/>
          <w:sz w:val="24"/>
          <w:szCs w:val="24"/>
          <w:highlight w:val="yellow"/>
          <w:lang w:val="en-GB" w:eastAsia="en-IN"/>
          <w14:ligatures w14:val="none"/>
        </w:rPr>
      </w:pPr>
      <w:bookmarkStart w:id="1" w:name="_Hlk218867759"/>
      <w:r w:rsidRPr="005B0F95">
        <w:rPr>
          <w:rFonts w:ascii="Arial" w:eastAsia="Times New Roman" w:hAnsi="Arial" w:cs="Arial"/>
          <w:bCs/>
          <w:kern w:val="0"/>
          <w:sz w:val="24"/>
          <w:szCs w:val="24"/>
          <w:highlight w:val="yellow"/>
          <w:lang w:val="en-GB" w:eastAsia="en-IN"/>
          <w14:ligatures w14:val="none"/>
        </w:rPr>
        <w:lastRenderedPageBreak/>
        <w:t>Disclaimer (Artificial intelligence)</w:t>
      </w:r>
    </w:p>
    <w:p w14:paraId="6E4E8E1A" w14:textId="76E08DFA" w:rsidR="00B2022D" w:rsidRPr="005B0F95" w:rsidRDefault="00B2022D" w:rsidP="00B2022D">
      <w:pPr>
        <w:keepNext/>
        <w:keepLines/>
        <w:spacing w:before="120" w:after="120" w:line="360" w:lineRule="auto"/>
        <w:jc w:val="both"/>
        <w:outlineLvl w:val="1"/>
        <w:rPr>
          <w:rFonts w:ascii="Arial" w:eastAsia="Times New Roman" w:hAnsi="Arial" w:cs="Arial"/>
          <w:bCs/>
          <w:kern w:val="0"/>
          <w:sz w:val="24"/>
          <w:szCs w:val="24"/>
          <w:lang w:val="en-GB" w:eastAsia="en-IN"/>
          <w14:ligatures w14:val="none"/>
        </w:rPr>
      </w:pPr>
      <w:r w:rsidRPr="005B0F95">
        <w:rPr>
          <w:rFonts w:ascii="Arial" w:eastAsia="Times New Roman" w:hAnsi="Arial" w:cs="Arial"/>
          <w:bCs/>
          <w:kern w:val="0"/>
          <w:sz w:val="24"/>
          <w:szCs w:val="24"/>
          <w:highlight w:val="yellow"/>
          <w:lang w:val="en-GB" w:eastAsia="en-IN"/>
          <w14:ligatures w14:val="none"/>
        </w:rPr>
        <w:t>Author(s) hereby declare that NO generative AI technologies such as Large Language Models (</w:t>
      </w:r>
      <w:proofErr w:type="spellStart"/>
      <w:r w:rsidRPr="005B0F95">
        <w:rPr>
          <w:rFonts w:ascii="Arial" w:eastAsia="Times New Roman" w:hAnsi="Arial" w:cs="Arial"/>
          <w:bCs/>
          <w:kern w:val="0"/>
          <w:sz w:val="24"/>
          <w:szCs w:val="24"/>
          <w:highlight w:val="yellow"/>
          <w:lang w:val="en-GB" w:eastAsia="en-IN"/>
          <w14:ligatures w14:val="none"/>
        </w:rPr>
        <w:t>ChatGPT</w:t>
      </w:r>
      <w:proofErr w:type="spellEnd"/>
      <w:r w:rsidRPr="005B0F95">
        <w:rPr>
          <w:rFonts w:ascii="Arial" w:eastAsia="Times New Roman" w:hAnsi="Arial" w:cs="Arial"/>
          <w:bCs/>
          <w:kern w:val="0"/>
          <w:sz w:val="24"/>
          <w:szCs w:val="24"/>
          <w:highlight w:val="yellow"/>
          <w:lang w:val="en-GB" w:eastAsia="en-IN"/>
          <w14:ligatures w14:val="none"/>
        </w:rPr>
        <w:t>, COPILOT, etc.) and text-to-image generators have been used during the writing or editing of this manuscript.</w:t>
      </w:r>
      <w:r w:rsidRPr="005B0F95">
        <w:rPr>
          <w:rFonts w:ascii="Arial" w:eastAsia="Times New Roman" w:hAnsi="Arial" w:cs="Arial"/>
          <w:bCs/>
          <w:kern w:val="0"/>
          <w:sz w:val="24"/>
          <w:szCs w:val="24"/>
          <w:lang w:val="en-GB" w:eastAsia="en-IN"/>
          <w14:ligatures w14:val="none"/>
        </w:rPr>
        <w:t xml:space="preserve"> </w:t>
      </w:r>
    </w:p>
    <w:bookmarkEnd w:id="1"/>
    <w:p w14:paraId="1825EE37" w14:textId="77777777" w:rsidR="00EA0576" w:rsidRPr="005B0F95" w:rsidRDefault="00EA0576" w:rsidP="00EA0576">
      <w:pPr>
        <w:pStyle w:val="NoSpacing"/>
        <w:jc w:val="both"/>
        <w:rPr>
          <w:rFonts w:ascii="Arial" w:hAnsi="Arial" w:cs="Arial"/>
          <w:sz w:val="24"/>
          <w:szCs w:val="24"/>
        </w:rPr>
      </w:pPr>
    </w:p>
    <w:p w14:paraId="4FB97655" w14:textId="77777777" w:rsidR="00EA0576" w:rsidRPr="005B0F95" w:rsidRDefault="00EA0576">
      <w:pPr>
        <w:rPr>
          <w:rFonts w:ascii="Arial" w:hAnsi="Arial" w:cs="Arial"/>
          <w:sz w:val="24"/>
          <w:szCs w:val="24"/>
        </w:rPr>
      </w:pPr>
    </w:p>
    <w:p w14:paraId="4FEBF846" w14:textId="524DE7F8" w:rsidR="00250E8D" w:rsidRPr="005B0F95" w:rsidRDefault="00EA0576" w:rsidP="00250E8D">
      <w:pPr>
        <w:pStyle w:val="Heading1"/>
        <w:spacing w:before="0" w:after="240" w:line="240" w:lineRule="auto"/>
        <w:jc w:val="both"/>
        <w:rPr>
          <w:rFonts w:ascii="Arial" w:hAnsi="Arial" w:cs="Arial"/>
          <w:b/>
          <w:color w:val="auto"/>
          <w:sz w:val="24"/>
          <w:szCs w:val="24"/>
        </w:rPr>
      </w:pPr>
      <w:r w:rsidRPr="005B0F95">
        <w:rPr>
          <w:rFonts w:ascii="Arial" w:hAnsi="Arial" w:cs="Arial"/>
          <w:b/>
          <w:color w:val="auto"/>
          <w:sz w:val="24"/>
          <w:szCs w:val="24"/>
        </w:rPr>
        <w:t>REFERENCES</w:t>
      </w:r>
    </w:p>
    <w:p w14:paraId="2AA0660E"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Adedimeji</w:t>
      </w:r>
      <w:proofErr w:type="spellEnd"/>
      <w:r w:rsidRPr="005B0F95">
        <w:rPr>
          <w:rFonts w:ascii="Arial" w:hAnsi="Arial" w:cs="Arial"/>
        </w:rPr>
        <w:t xml:space="preserve">, M. A. (2020). </w:t>
      </w:r>
      <w:r w:rsidRPr="005B0F95">
        <w:rPr>
          <w:rStyle w:val="Emphasis"/>
          <w:rFonts w:ascii="Arial" w:hAnsi="Arial" w:cs="Arial"/>
          <w:i w:val="0"/>
        </w:rPr>
        <w:t>English language usage in Nigerian contexts: Patterns and challenges</w:t>
      </w:r>
      <w:r w:rsidRPr="005B0F95">
        <w:rPr>
          <w:rFonts w:ascii="Arial" w:hAnsi="Arial" w:cs="Arial"/>
        </w:rPr>
        <w:t>. University of Lagos Press.</w:t>
      </w:r>
    </w:p>
    <w:p w14:paraId="6677EBA5" w14:textId="318B5302"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Amrate</w:t>
      </w:r>
      <w:proofErr w:type="spellEnd"/>
      <w:r w:rsidRPr="005B0F95">
        <w:rPr>
          <w:rFonts w:ascii="Arial" w:hAnsi="Arial" w:cs="Arial"/>
        </w:rPr>
        <w:t xml:space="preserve">, M., &amp; Tsai, P. H. (2024). Computer-assisted pronunciation training: A systematic review. </w:t>
      </w:r>
      <w:proofErr w:type="spellStart"/>
      <w:r w:rsidRPr="005B0F95">
        <w:rPr>
          <w:rStyle w:val="Emphasis"/>
          <w:rFonts w:ascii="Arial" w:hAnsi="Arial" w:cs="Arial"/>
          <w:i w:val="0"/>
        </w:rPr>
        <w:t>ReCALL</w:t>
      </w:r>
      <w:proofErr w:type="spellEnd"/>
      <w:r w:rsidRPr="005B0F95">
        <w:rPr>
          <w:rFonts w:ascii="Arial" w:hAnsi="Arial" w:cs="Arial"/>
        </w:rPr>
        <w:t xml:space="preserve">, 1–21. </w:t>
      </w:r>
      <w:hyperlink r:id="rId8" w:history="1">
        <w:r w:rsidRPr="005B0F95">
          <w:rPr>
            <w:rStyle w:val="Hyperlink"/>
            <w:rFonts w:ascii="Arial" w:hAnsi="Arial" w:cs="Arial"/>
            <w:color w:val="auto"/>
          </w:rPr>
          <w:t>https://doi.org/10.1017/S0958344024000181</w:t>
        </w:r>
      </w:hyperlink>
      <w:r w:rsidRPr="005B0F95">
        <w:rPr>
          <w:rFonts w:ascii="Arial" w:hAnsi="Arial" w:cs="Arial"/>
        </w:rPr>
        <w:t xml:space="preserve"> </w:t>
      </w:r>
    </w:p>
    <w:p w14:paraId="2197FA80" w14:textId="77777777"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Bello, S., &amp; Adeyemi, T. (2023). A comparative study of vowel shifts in urban and rural Nigerian English speakers. </w:t>
      </w:r>
      <w:r w:rsidRPr="005B0F95">
        <w:rPr>
          <w:rStyle w:val="Emphasis"/>
          <w:rFonts w:ascii="Arial" w:hAnsi="Arial" w:cs="Arial"/>
          <w:i w:val="0"/>
        </w:rPr>
        <w:t>Nigerian Journal of Phonetics, 28</w:t>
      </w:r>
      <w:r w:rsidRPr="005B0F95">
        <w:rPr>
          <w:rFonts w:ascii="Arial" w:hAnsi="Arial" w:cs="Arial"/>
        </w:rPr>
        <w:t>(1), 110–129.</w:t>
      </w:r>
    </w:p>
    <w:p w14:paraId="5E71C702" w14:textId="07D6C8A1"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Cardoso, W. (2020). Computer-assisted pronunciation teaching. In C. A. Chapelle (Ed.), </w:t>
      </w:r>
      <w:r w:rsidRPr="005B0F95">
        <w:rPr>
          <w:rStyle w:val="Emphasis"/>
          <w:rFonts w:ascii="Arial" w:hAnsi="Arial" w:cs="Arial"/>
          <w:i w:val="0"/>
        </w:rPr>
        <w:t>The encyclopedia of applied linguistics</w:t>
      </w:r>
      <w:r w:rsidRPr="005B0F95">
        <w:rPr>
          <w:rFonts w:ascii="Arial" w:hAnsi="Arial" w:cs="Arial"/>
        </w:rPr>
        <w:t xml:space="preserve"> (pp. 1–11). Wiley Blackwell. </w:t>
      </w:r>
      <w:hyperlink r:id="rId9" w:history="1">
        <w:r w:rsidRPr="005B0F95">
          <w:rPr>
            <w:rStyle w:val="Hyperlink"/>
            <w:rFonts w:ascii="Arial" w:hAnsi="Arial" w:cs="Arial"/>
            <w:color w:val="auto"/>
          </w:rPr>
          <w:t>https://doi.org/10.1002/9781405198431.wbeal0196.pub2</w:t>
        </w:r>
      </w:hyperlink>
      <w:r w:rsidRPr="005B0F95">
        <w:rPr>
          <w:rFonts w:ascii="Arial" w:hAnsi="Arial" w:cs="Arial"/>
        </w:rPr>
        <w:t xml:space="preserve"> </w:t>
      </w:r>
    </w:p>
    <w:p w14:paraId="4DEC6EA5" w14:textId="77777777"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Cardoso, W. (2022). Technology for speaking development. In T. </w:t>
      </w:r>
      <w:proofErr w:type="spellStart"/>
      <w:r w:rsidRPr="005B0F95">
        <w:rPr>
          <w:rFonts w:ascii="Arial" w:hAnsi="Arial" w:cs="Arial"/>
        </w:rPr>
        <w:t>Derwing</w:t>
      </w:r>
      <w:proofErr w:type="spellEnd"/>
      <w:r w:rsidRPr="005B0F95">
        <w:rPr>
          <w:rFonts w:ascii="Arial" w:hAnsi="Arial" w:cs="Arial"/>
        </w:rPr>
        <w:t xml:space="preserve">, M. Munro, &amp; R. Thomson (Eds.), </w:t>
      </w:r>
      <w:r w:rsidRPr="005B0F95">
        <w:rPr>
          <w:rStyle w:val="Emphasis"/>
          <w:rFonts w:ascii="Arial" w:hAnsi="Arial" w:cs="Arial"/>
          <w:i w:val="0"/>
        </w:rPr>
        <w:t>The Routledge handbook of second language acquisition and speaking</w:t>
      </w:r>
      <w:r w:rsidRPr="005B0F95">
        <w:rPr>
          <w:rFonts w:ascii="Arial" w:hAnsi="Arial" w:cs="Arial"/>
        </w:rPr>
        <w:t xml:space="preserve"> (pp. 299–313). Routledge.</w:t>
      </w:r>
    </w:p>
    <w:p w14:paraId="025D7E65" w14:textId="2645B7B1"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Cardoso, W., Collins, L., &amp; White, J. (2020). The effects of pronunciation teaching on language learners' spoken accuracy: A meta-analysis. </w:t>
      </w:r>
      <w:r w:rsidRPr="005B0F95">
        <w:rPr>
          <w:rStyle w:val="Emphasis"/>
          <w:rFonts w:ascii="Arial" w:hAnsi="Arial" w:cs="Arial"/>
          <w:i w:val="0"/>
        </w:rPr>
        <w:t>Language Learning &amp; Technology, 24</w:t>
      </w:r>
      <w:r w:rsidRPr="005B0F95">
        <w:rPr>
          <w:rFonts w:ascii="Arial" w:hAnsi="Arial" w:cs="Arial"/>
        </w:rPr>
        <w:t xml:space="preserve">(1), 62–85. </w:t>
      </w:r>
      <w:hyperlink r:id="rId10" w:history="1">
        <w:r w:rsidRPr="005B0F95">
          <w:rPr>
            <w:rStyle w:val="Hyperlink"/>
            <w:rFonts w:ascii="Arial" w:hAnsi="Arial" w:cs="Arial"/>
            <w:color w:val="auto"/>
          </w:rPr>
          <w:t>https://doi.org/10125/44709</w:t>
        </w:r>
      </w:hyperlink>
      <w:r w:rsidRPr="005B0F95">
        <w:rPr>
          <w:rFonts w:ascii="Arial" w:hAnsi="Arial" w:cs="Arial"/>
        </w:rPr>
        <w:t xml:space="preserve"> </w:t>
      </w:r>
    </w:p>
    <w:p w14:paraId="57C6A2FC" w14:textId="3FB0E841"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Dehghanzadeh</w:t>
      </w:r>
      <w:proofErr w:type="spellEnd"/>
      <w:r w:rsidRPr="005B0F95">
        <w:rPr>
          <w:rFonts w:ascii="Arial" w:hAnsi="Arial" w:cs="Arial"/>
        </w:rPr>
        <w:t xml:space="preserve">, H., </w:t>
      </w:r>
      <w:proofErr w:type="spellStart"/>
      <w:r w:rsidRPr="005B0F95">
        <w:rPr>
          <w:rFonts w:ascii="Arial" w:hAnsi="Arial" w:cs="Arial"/>
        </w:rPr>
        <w:t>Fardanesh</w:t>
      </w:r>
      <w:proofErr w:type="spellEnd"/>
      <w:r w:rsidRPr="005B0F95">
        <w:rPr>
          <w:rFonts w:ascii="Arial" w:hAnsi="Arial" w:cs="Arial"/>
        </w:rPr>
        <w:t xml:space="preserve">, H., </w:t>
      </w:r>
      <w:proofErr w:type="spellStart"/>
      <w:r w:rsidRPr="005B0F95">
        <w:rPr>
          <w:rFonts w:ascii="Arial" w:hAnsi="Arial" w:cs="Arial"/>
        </w:rPr>
        <w:t>Hatami</w:t>
      </w:r>
      <w:proofErr w:type="spellEnd"/>
      <w:r w:rsidRPr="005B0F95">
        <w:rPr>
          <w:rFonts w:ascii="Arial" w:hAnsi="Arial" w:cs="Arial"/>
        </w:rPr>
        <w:t xml:space="preserve">, J., </w:t>
      </w:r>
      <w:proofErr w:type="spellStart"/>
      <w:r w:rsidRPr="005B0F95">
        <w:rPr>
          <w:rFonts w:ascii="Arial" w:hAnsi="Arial" w:cs="Arial"/>
        </w:rPr>
        <w:t>Talaee</w:t>
      </w:r>
      <w:proofErr w:type="spellEnd"/>
      <w:r w:rsidRPr="005B0F95">
        <w:rPr>
          <w:rFonts w:ascii="Arial" w:hAnsi="Arial" w:cs="Arial"/>
        </w:rPr>
        <w:t xml:space="preserve">, E., &amp; </w:t>
      </w:r>
      <w:proofErr w:type="spellStart"/>
      <w:r w:rsidRPr="005B0F95">
        <w:rPr>
          <w:rFonts w:ascii="Arial" w:hAnsi="Arial" w:cs="Arial"/>
        </w:rPr>
        <w:t>Noroozi</w:t>
      </w:r>
      <w:proofErr w:type="spellEnd"/>
      <w:r w:rsidRPr="005B0F95">
        <w:rPr>
          <w:rFonts w:ascii="Arial" w:hAnsi="Arial" w:cs="Arial"/>
        </w:rPr>
        <w:t xml:space="preserve">, O. (2021). Using gamification to support learning English as a second language: A systematic review. </w:t>
      </w:r>
      <w:r w:rsidRPr="005B0F95">
        <w:rPr>
          <w:rStyle w:val="Emphasis"/>
          <w:rFonts w:ascii="Arial" w:hAnsi="Arial" w:cs="Arial"/>
          <w:i w:val="0"/>
        </w:rPr>
        <w:t>Computer Assisted Language Learning, 34</w:t>
      </w:r>
      <w:r w:rsidRPr="005B0F95">
        <w:rPr>
          <w:rFonts w:ascii="Arial" w:hAnsi="Arial" w:cs="Arial"/>
        </w:rPr>
        <w:t xml:space="preserve">(7), 934–957. </w:t>
      </w:r>
      <w:hyperlink r:id="rId11" w:history="1">
        <w:r w:rsidRPr="005B0F95">
          <w:rPr>
            <w:rStyle w:val="Hyperlink"/>
            <w:rFonts w:ascii="Arial" w:hAnsi="Arial" w:cs="Arial"/>
            <w:color w:val="auto"/>
          </w:rPr>
          <w:t>https://doi.org/10.1080/09588221.2019.1648298</w:t>
        </w:r>
      </w:hyperlink>
      <w:r w:rsidRPr="005B0F95">
        <w:rPr>
          <w:rFonts w:ascii="Arial" w:hAnsi="Arial" w:cs="Arial"/>
        </w:rPr>
        <w:t xml:space="preserve"> </w:t>
      </w:r>
    </w:p>
    <w:p w14:paraId="7A678386" w14:textId="2BEF8385"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Jowitt</w:t>
      </w:r>
      <w:proofErr w:type="spellEnd"/>
      <w:r w:rsidRPr="005B0F95">
        <w:rPr>
          <w:rFonts w:ascii="Arial" w:hAnsi="Arial" w:cs="Arial"/>
        </w:rPr>
        <w:t xml:space="preserve">, D. (2019). </w:t>
      </w:r>
      <w:r w:rsidRPr="005B0F95">
        <w:rPr>
          <w:rStyle w:val="Emphasis"/>
          <w:rFonts w:ascii="Arial" w:hAnsi="Arial" w:cs="Arial"/>
          <w:i w:val="0"/>
        </w:rPr>
        <w:t>Nigerian English</w:t>
      </w:r>
      <w:r w:rsidRPr="005B0F95">
        <w:rPr>
          <w:rFonts w:ascii="Arial" w:hAnsi="Arial" w:cs="Arial"/>
        </w:rPr>
        <w:t xml:space="preserve">. De Gruyter Mouton. </w:t>
      </w:r>
      <w:hyperlink r:id="rId12" w:history="1">
        <w:r w:rsidRPr="005B0F95">
          <w:rPr>
            <w:rStyle w:val="Hyperlink"/>
            <w:rFonts w:ascii="Arial" w:hAnsi="Arial" w:cs="Arial"/>
            <w:color w:val="auto"/>
          </w:rPr>
          <w:t>https://doi.org/10.1515/9783110619065</w:t>
        </w:r>
      </w:hyperlink>
      <w:r w:rsidRPr="005B0F95">
        <w:rPr>
          <w:rFonts w:ascii="Arial" w:hAnsi="Arial" w:cs="Arial"/>
        </w:rPr>
        <w:t xml:space="preserve"> </w:t>
      </w:r>
    </w:p>
    <w:p w14:paraId="702DA4B0"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Jowitt</w:t>
      </w:r>
      <w:proofErr w:type="spellEnd"/>
      <w:r w:rsidRPr="005B0F95">
        <w:rPr>
          <w:rFonts w:ascii="Arial" w:hAnsi="Arial" w:cs="Arial"/>
        </w:rPr>
        <w:t xml:space="preserve">, D. (2023). </w:t>
      </w:r>
      <w:r w:rsidRPr="005B0F95">
        <w:rPr>
          <w:rStyle w:val="Emphasis"/>
          <w:rFonts w:ascii="Arial" w:hAnsi="Arial" w:cs="Arial"/>
          <w:i w:val="0"/>
        </w:rPr>
        <w:t>Nigerian English usage: Contemporary perspectives</w:t>
      </w:r>
      <w:r w:rsidRPr="005B0F95">
        <w:rPr>
          <w:rFonts w:ascii="Arial" w:hAnsi="Arial" w:cs="Arial"/>
        </w:rPr>
        <w:t xml:space="preserve"> (5th ed.). Longman Nigeria.</w:t>
      </w:r>
    </w:p>
    <w:p w14:paraId="2213DB44"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Kilic</w:t>
      </w:r>
      <w:proofErr w:type="spellEnd"/>
      <w:r w:rsidRPr="005B0F95">
        <w:rPr>
          <w:rFonts w:ascii="Arial" w:hAnsi="Arial" w:cs="Arial"/>
        </w:rPr>
        <w:t xml:space="preserve">, A. (2010). Learner-centered micro teaching in teacher education. </w:t>
      </w:r>
      <w:r w:rsidRPr="005B0F95">
        <w:rPr>
          <w:rStyle w:val="Emphasis"/>
          <w:rFonts w:ascii="Arial" w:hAnsi="Arial" w:cs="Arial"/>
          <w:i w:val="0"/>
        </w:rPr>
        <w:t>International Journal of Instruction, 3</w:t>
      </w:r>
      <w:r w:rsidRPr="005B0F95">
        <w:rPr>
          <w:rFonts w:ascii="Arial" w:hAnsi="Arial" w:cs="Arial"/>
        </w:rPr>
        <w:t>(1), 77–100.</w:t>
      </w:r>
    </w:p>
    <w:p w14:paraId="6ECF85C2" w14:textId="12D03405"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Lee, B., </w:t>
      </w:r>
      <w:proofErr w:type="spellStart"/>
      <w:r w:rsidRPr="005B0F95">
        <w:rPr>
          <w:rFonts w:ascii="Arial" w:hAnsi="Arial" w:cs="Arial"/>
        </w:rPr>
        <w:t>Plonsky</w:t>
      </w:r>
      <w:proofErr w:type="spellEnd"/>
      <w:r w:rsidRPr="005B0F95">
        <w:rPr>
          <w:rFonts w:ascii="Arial" w:hAnsi="Arial" w:cs="Arial"/>
        </w:rPr>
        <w:t xml:space="preserve">, L., &amp; Saito, K. (2020). The effects of perception- vs. production-based pronunciation instruction. </w:t>
      </w:r>
      <w:r w:rsidRPr="005B0F95">
        <w:rPr>
          <w:rStyle w:val="Emphasis"/>
          <w:rFonts w:ascii="Arial" w:hAnsi="Arial" w:cs="Arial"/>
          <w:i w:val="0"/>
        </w:rPr>
        <w:t>System, 88</w:t>
      </w:r>
      <w:r w:rsidRPr="005B0F95">
        <w:rPr>
          <w:rFonts w:ascii="Arial" w:hAnsi="Arial" w:cs="Arial"/>
        </w:rPr>
        <w:t xml:space="preserve">, Article 102185. </w:t>
      </w:r>
      <w:hyperlink r:id="rId13" w:history="1">
        <w:r w:rsidRPr="005B0F95">
          <w:rPr>
            <w:rStyle w:val="Hyperlink"/>
            <w:rFonts w:ascii="Arial" w:hAnsi="Arial" w:cs="Arial"/>
            <w:color w:val="auto"/>
          </w:rPr>
          <w:t>https://doi.org/10.1016/j.system.2019.102185</w:t>
        </w:r>
      </w:hyperlink>
      <w:r w:rsidRPr="005B0F95">
        <w:rPr>
          <w:rFonts w:ascii="Arial" w:hAnsi="Arial" w:cs="Arial"/>
        </w:rPr>
        <w:t xml:space="preserve"> </w:t>
      </w:r>
    </w:p>
    <w:p w14:paraId="2A4B5D50" w14:textId="5301E31E"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lastRenderedPageBreak/>
        <w:t xml:space="preserve">Legault, J., Zhao, J., Chi, Y. A., Chen, W., Klippel, A., &amp; Li, P. (2019). Immersive virtual reality as an effective tool for second language vocabulary learning. </w:t>
      </w:r>
      <w:r w:rsidRPr="005B0F95">
        <w:rPr>
          <w:rStyle w:val="Emphasis"/>
          <w:rFonts w:ascii="Arial" w:hAnsi="Arial" w:cs="Arial"/>
          <w:i w:val="0"/>
        </w:rPr>
        <w:t>Languages, 4</w:t>
      </w:r>
      <w:r w:rsidRPr="005B0F95">
        <w:rPr>
          <w:rFonts w:ascii="Arial" w:hAnsi="Arial" w:cs="Arial"/>
        </w:rPr>
        <w:t xml:space="preserve">(1), Article 13. </w:t>
      </w:r>
      <w:hyperlink r:id="rId14" w:history="1">
        <w:r w:rsidRPr="005B0F95">
          <w:rPr>
            <w:rStyle w:val="Hyperlink"/>
            <w:rFonts w:ascii="Arial" w:hAnsi="Arial" w:cs="Arial"/>
            <w:color w:val="auto"/>
          </w:rPr>
          <w:t>https://doi.org/10.3390/languages4010013</w:t>
        </w:r>
      </w:hyperlink>
      <w:r w:rsidRPr="005B0F95">
        <w:rPr>
          <w:rFonts w:ascii="Arial" w:hAnsi="Arial" w:cs="Arial"/>
        </w:rPr>
        <w:t xml:space="preserve"> </w:t>
      </w:r>
    </w:p>
    <w:p w14:paraId="28478707" w14:textId="1AC9FED8"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Levis</w:t>
      </w:r>
      <w:proofErr w:type="spellEnd"/>
      <w:r w:rsidRPr="005B0F95">
        <w:rPr>
          <w:rFonts w:ascii="Arial" w:hAnsi="Arial" w:cs="Arial"/>
        </w:rPr>
        <w:t xml:space="preserve">, J. M. (2018). </w:t>
      </w:r>
      <w:r w:rsidRPr="005B0F95">
        <w:rPr>
          <w:rStyle w:val="Emphasis"/>
          <w:rFonts w:ascii="Arial" w:hAnsi="Arial" w:cs="Arial"/>
          <w:i w:val="0"/>
        </w:rPr>
        <w:t>Intelligibility, oral communication, and the teaching of pronunciation</w:t>
      </w:r>
      <w:r w:rsidRPr="005B0F95">
        <w:rPr>
          <w:rFonts w:ascii="Arial" w:hAnsi="Arial" w:cs="Arial"/>
        </w:rPr>
        <w:t xml:space="preserve">. Cambridge University Press. </w:t>
      </w:r>
      <w:hyperlink r:id="rId15" w:history="1">
        <w:r w:rsidRPr="005B0F95">
          <w:rPr>
            <w:rStyle w:val="Hyperlink"/>
            <w:rFonts w:ascii="Arial" w:hAnsi="Arial" w:cs="Arial"/>
            <w:color w:val="auto"/>
          </w:rPr>
          <w:t>https://doi.org/10.1017/9781108241564</w:t>
        </w:r>
      </w:hyperlink>
      <w:r w:rsidRPr="005B0F95">
        <w:rPr>
          <w:rFonts w:ascii="Arial" w:hAnsi="Arial" w:cs="Arial"/>
        </w:rPr>
        <w:t xml:space="preserve"> </w:t>
      </w:r>
    </w:p>
    <w:p w14:paraId="5B13DD86" w14:textId="799392D1"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Liakin</w:t>
      </w:r>
      <w:proofErr w:type="spellEnd"/>
      <w:r w:rsidRPr="005B0F95">
        <w:rPr>
          <w:rFonts w:ascii="Arial" w:hAnsi="Arial" w:cs="Arial"/>
        </w:rPr>
        <w:t xml:space="preserve">, D., Cardoso, W., &amp; </w:t>
      </w:r>
      <w:proofErr w:type="spellStart"/>
      <w:r w:rsidRPr="005B0F95">
        <w:rPr>
          <w:rFonts w:ascii="Arial" w:hAnsi="Arial" w:cs="Arial"/>
        </w:rPr>
        <w:t>Liakina</w:t>
      </w:r>
      <w:proofErr w:type="spellEnd"/>
      <w:r w:rsidRPr="005B0F95">
        <w:rPr>
          <w:rFonts w:ascii="Arial" w:hAnsi="Arial" w:cs="Arial"/>
        </w:rPr>
        <w:t xml:space="preserve">, N. (2015). Learning L2 pronunciation with a mobile speech recognizer: French /y/. </w:t>
      </w:r>
      <w:r w:rsidRPr="005B0F95">
        <w:rPr>
          <w:rStyle w:val="Emphasis"/>
          <w:rFonts w:ascii="Arial" w:hAnsi="Arial" w:cs="Arial"/>
          <w:i w:val="0"/>
        </w:rPr>
        <w:t>CALICO Journal, 32</w:t>
      </w:r>
      <w:r w:rsidRPr="005B0F95">
        <w:rPr>
          <w:rFonts w:ascii="Arial" w:hAnsi="Arial" w:cs="Arial"/>
        </w:rPr>
        <w:t xml:space="preserve">(1), 1–25. </w:t>
      </w:r>
      <w:hyperlink r:id="rId16" w:history="1">
        <w:r w:rsidRPr="005B0F95">
          <w:rPr>
            <w:rStyle w:val="Hyperlink"/>
            <w:rFonts w:ascii="Arial" w:hAnsi="Arial" w:cs="Arial"/>
            <w:color w:val="auto"/>
          </w:rPr>
          <w:t>https://doi.org/10.1558/cj.v32i1.25962</w:t>
        </w:r>
      </w:hyperlink>
      <w:r w:rsidRPr="005B0F95">
        <w:rPr>
          <w:rFonts w:ascii="Arial" w:hAnsi="Arial" w:cs="Arial"/>
        </w:rPr>
        <w:t xml:space="preserve"> </w:t>
      </w:r>
    </w:p>
    <w:p w14:paraId="2426508C" w14:textId="77777777"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Mahmud, I., &amp; </w:t>
      </w:r>
      <w:proofErr w:type="spellStart"/>
      <w:r w:rsidRPr="005B0F95">
        <w:rPr>
          <w:rFonts w:ascii="Arial" w:hAnsi="Arial" w:cs="Arial"/>
        </w:rPr>
        <w:t>Rawshon</w:t>
      </w:r>
      <w:proofErr w:type="spellEnd"/>
      <w:r w:rsidRPr="005B0F95">
        <w:rPr>
          <w:rFonts w:ascii="Arial" w:hAnsi="Arial" w:cs="Arial"/>
        </w:rPr>
        <w:t xml:space="preserve">, S. (2013). Micro teaching to improve teaching method: An analysis on students' perspectives. </w:t>
      </w:r>
      <w:r w:rsidRPr="005B0F95">
        <w:rPr>
          <w:rStyle w:val="Emphasis"/>
          <w:rFonts w:ascii="Arial" w:hAnsi="Arial" w:cs="Arial"/>
          <w:i w:val="0"/>
        </w:rPr>
        <w:t>IOSR Journal of Research &amp; Method in Education, 1</w:t>
      </w:r>
      <w:r w:rsidRPr="005B0F95">
        <w:rPr>
          <w:rFonts w:ascii="Arial" w:hAnsi="Arial" w:cs="Arial"/>
        </w:rPr>
        <w:t>(4), 69–76.</w:t>
      </w:r>
    </w:p>
    <w:p w14:paraId="2DD86D43" w14:textId="77777777" w:rsidR="00C86976" w:rsidRPr="005B0F95" w:rsidRDefault="00250E8D" w:rsidP="00C86976">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McCrocklin</w:t>
      </w:r>
      <w:proofErr w:type="spellEnd"/>
      <w:r w:rsidRPr="005B0F95">
        <w:rPr>
          <w:rFonts w:ascii="Arial" w:hAnsi="Arial" w:cs="Arial"/>
        </w:rPr>
        <w:t xml:space="preserve">, S. M. (2016). Pronunciation learner autonomy: The potential of automatic speech recognition. </w:t>
      </w:r>
      <w:r w:rsidRPr="005B0F95">
        <w:rPr>
          <w:rStyle w:val="Emphasis"/>
          <w:rFonts w:ascii="Arial" w:hAnsi="Arial" w:cs="Arial"/>
          <w:i w:val="0"/>
        </w:rPr>
        <w:t>System, 57</w:t>
      </w:r>
      <w:r w:rsidRPr="005B0F95">
        <w:rPr>
          <w:rFonts w:ascii="Arial" w:hAnsi="Arial" w:cs="Arial"/>
        </w:rPr>
        <w:t xml:space="preserve">, 25–42. </w:t>
      </w:r>
      <w:hyperlink r:id="rId17" w:history="1">
        <w:r w:rsidRPr="005B0F95">
          <w:rPr>
            <w:rStyle w:val="Hyperlink"/>
            <w:rFonts w:ascii="Arial" w:hAnsi="Arial" w:cs="Arial"/>
            <w:color w:val="auto"/>
          </w:rPr>
          <w:t>https://doi.org/10.1016/j.system.2015.12.013</w:t>
        </w:r>
      </w:hyperlink>
      <w:r w:rsidRPr="005B0F95">
        <w:rPr>
          <w:rFonts w:ascii="Arial" w:hAnsi="Arial" w:cs="Arial"/>
        </w:rPr>
        <w:t xml:space="preserve"> </w:t>
      </w:r>
    </w:p>
    <w:p w14:paraId="64D21A9B" w14:textId="62E464AD" w:rsidR="00C86976" w:rsidRPr="005B0F95" w:rsidRDefault="00C86976" w:rsidP="00C86976">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Mobolaji, S. O., </w:t>
      </w:r>
      <w:proofErr w:type="spellStart"/>
      <w:r w:rsidRPr="005B0F95">
        <w:rPr>
          <w:rFonts w:ascii="Arial" w:hAnsi="Arial" w:cs="Arial"/>
        </w:rPr>
        <w:t>Nkopuruk</w:t>
      </w:r>
      <w:proofErr w:type="spellEnd"/>
      <w:r w:rsidRPr="005B0F95">
        <w:rPr>
          <w:rFonts w:ascii="Arial" w:hAnsi="Arial" w:cs="Arial"/>
        </w:rPr>
        <w:t xml:space="preserve">, I. N., </w:t>
      </w:r>
      <w:proofErr w:type="spellStart"/>
      <w:r w:rsidRPr="005B0F95">
        <w:rPr>
          <w:rFonts w:ascii="Arial" w:hAnsi="Arial" w:cs="Arial"/>
        </w:rPr>
        <w:t>Sulayman</w:t>
      </w:r>
      <w:proofErr w:type="spellEnd"/>
      <w:r w:rsidRPr="005B0F95">
        <w:rPr>
          <w:rFonts w:ascii="Arial" w:hAnsi="Arial" w:cs="Arial"/>
        </w:rPr>
        <w:t>, S. E., and Mustapha, J. (2025). Implications of Task-Based Language Teaching for Second Language Acquisition in Nigerian Classrooms. International Journal of Education and Evaluation (IJEE) 11(4), 330-342.</w:t>
      </w:r>
    </w:p>
    <w:p w14:paraId="53EC7CC8" w14:textId="60B66EA8"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Mroz</w:t>
      </w:r>
      <w:proofErr w:type="spellEnd"/>
      <w:r w:rsidRPr="005B0F95">
        <w:rPr>
          <w:rFonts w:ascii="Arial" w:hAnsi="Arial" w:cs="Arial"/>
        </w:rPr>
        <w:t xml:space="preserve">, A. (2018). Seeing how people hear you: French learners experiencing intelligibility through automatic speech recognition. </w:t>
      </w:r>
      <w:r w:rsidRPr="005B0F95">
        <w:rPr>
          <w:rStyle w:val="Emphasis"/>
          <w:rFonts w:ascii="Arial" w:hAnsi="Arial" w:cs="Arial"/>
          <w:i w:val="0"/>
        </w:rPr>
        <w:t>Journal of Second Language Pronunciation, 4</w:t>
      </w:r>
      <w:r w:rsidRPr="005B0F95">
        <w:rPr>
          <w:rFonts w:ascii="Arial" w:hAnsi="Arial" w:cs="Arial"/>
        </w:rPr>
        <w:t xml:space="preserve">(1), 119–150. </w:t>
      </w:r>
      <w:hyperlink r:id="rId18" w:history="1">
        <w:r w:rsidRPr="005B0F95">
          <w:rPr>
            <w:rStyle w:val="Hyperlink"/>
            <w:rFonts w:ascii="Arial" w:hAnsi="Arial" w:cs="Arial"/>
            <w:color w:val="auto"/>
          </w:rPr>
          <w:t>https://doi.org/10.1075/jslp.00005.mro</w:t>
        </w:r>
      </w:hyperlink>
      <w:r w:rsidRPr="005B0F95">
        <w:rPr>
          <w:rFonts w:ascii="Arial" w:hAnsi="Arial" w:cs="Arial"/>
        </w:rPr>
        <w:t xml:space="preserve"> </w:t>
      </w:r>
    </w:p>
    <w:p w14:paraId="327BDCFF" w14:textId="63B1AF74"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Ngo, T. T. N., &amp; Chen, H. H. J. (2023). The effectiveness of automatic speech recognition in ESL/EFL pronunciation: A meta-analysis. </w:t>
      </w:r>
      <w:proofErr w:type="spellStart"/>
      <w:r w:rsidRPr="005B0F95">
        <w:rPr>
          <w:rStyle w:val="Emphasis"/>
          <w:rFonts w:ascii="Arial" w:hAnsi="Arial" w:cs="Arial"/>
          <w:i w:val="0"/>
        </w:rPr>
        <w:t>ReCALL</w:t>
      </w:r>
      <w:proofErr w:type="spellEnd"/>
      <w:r w:rsidRPr="005B0F95">
        <w:rPr>
          <w:rStyle w:val="Emphasis"/>
          <w:rFonts w:ascii="Arial" w:hAnsi="Arial" w:cs="Arial"/>
          <w:i w:val="0"/>
        </w:rPr>
        <w:t>, 35</w:t>
      </w:r>
      <w:r w:rsidRPr="005B0F95">
        <w:rPr>
          <w:rFonts w:ascii="Arial" w:hAnsi="Arial" w:cs="Arial"/>
        </w:rPr>
        <w:t xml:space="preserve">(3), 292–309. </w:t>
      </w:r>
      <w:hyperlink r:id="rId19" w:history="1">
        <w:r w:rsidRPr="005B0F95">
          <w:rPr>
            <w:rStyle w:val="Hyperlink"/>
            <w:rFonts w:ascii="Arial" w:hAnsi="Arial" w:cs="Arial"/>
            <w:color w:val="auto"/>
          </w:rPr>
          <w:t>https://doi.org/10.1017/S0958344023000113</w:t>
        </w:r>
      </w:hyperlink>
      <w:r w:rsidRPr="005B0F95">
        <w:rPr>
          <w:rFonts w:ascii="Arial" w:hAnsi="Arial" w:cs="Arial"/>
        </w:rPr>
        <w:t xml:space="preserve"> </w:t>
      </w:r>
    </w:p>
    <w:p w14:paraId="5E1AAC67" w14:textId="79A48E0E" w:rsidR="001B16E1" w:rsidRPr="005B0F95" w:rsidRDefault="001B16E1" w:rsidP="001B16E1">
      <w:pPr>
        <w:pStyle w:val="NormalWeb"/>
        <w:spacing w:after="240"/>
        <w:ind w:left="720" w:hanging="720"/>
        <w:jc w:val="both"/>
        <w:rPr>
          <w:rFonts w:ascii="Arial" w:hAnsi="Arial" w:cs="Arial"/>
        </w:rPr>
      </w:pPr>
      <w:proofErr w:type="spellStart"/>
      <w:r w:rsidRPr="005B0F95">
        <w:rPr>
          <w:rFonts w:ascii="Arial" w:hAnsi="Arial" w:cs="Arial"/>
        </w:rPr>
        <w:t>Nkopuruk</w:t>
      </w:r>
      <w:proofErr w:type="spellEnd"/>
      <w:r w:rsidRPr="005B0F95">
        <w:rPr>
          <w:rFonts w:ascii="Arial" w:hAnsi="Arial" w:cs="Arial"/>
        </w:rPr>
        <w:t xml:space="preserve">, I. N. &amp; Mobolaji, S. O. </w:t>
      </w:r>
      <w:r w:rsidR="000143AA" w:rsidRPr="005B0F95">
        <w:rPr>
          <w:rFonts w:ascii="Arial" w:hAnsi="Arial" w:cs="Arial"/>
        </w:rPr>
        <w:t xml:space="preserve">(2025) </w:t>
      </w:r>
      <w:r w:rsidRPr="005B0F95">
        <w:rPr>
          <w:rFonts w:ascii="Arial" w:hAnsi="Arial" w:cs="Arial"/>
        </w:rPr>
        <w:t>Effects of Gamification Strategy on Senior Secondary School Students’ Academic Performance in English Reading Comprehension. Abuja International Journal of Education, 12(1), 170-197</w:t>
      </w:r>
    </w:p>
    <w:p w14:paraId="786E6B1E" w14:textId="77777777" w:rsidR="009854CB" w:rsidRPr="005B0F95" w:rsidRDefault="009854CB" w:rsidP="00250E8D">
      <w:pPr>
        <w:pStyle w:val="NormalWeb"/>
        <w:spacing w:before="0" w:beforeAutospacing="0" w:after="240" w:afterAutospacing="0"/>
        <w:ind w:left="720" w:hanging="720"/>
        <w:jc w:val="both"/>
        <w:rPr>
          <w:rStyle w:val="Hyperlink"/>
          <w:rFonts w:ascii="Arial" w:hAnsi="Arial" w:cs="Arial"/>
          <w:color w:val="auto"/>
        </w:rPr>
      </w:pPr>
      <w:proofErr w:type="spellStart"/>
      <w:r w:rsidRPr="005B0F95">
        <w:rPr>
          <w:rStyle w:val="Strong"/>
          <w:rFonts w:ascii="Arial" w:hAnsi="Arial" w:cs="Arial"/>
          <w:b w:val="0"/>
        </w:rPr>
        <w:t>Nkopuruk</w:t>
      </w:r>
      <w:proofErr w:type="spellEnd"/>
      <w:r w:rsidRPr="005B0F95">
        <w:rPr>
          <w:rStyle w:val="Strong"/>
          <w:rFonts w:ascii="Arial" w:hAnsi="Arial" w:cs="Arial"/>
          <w:b w:val="0"/>
        </w:rPr>
        <w:t>, I. N.</w:t>
      </w:r>
      <w:r w:rsidRPr="005B0F95">
        <w:rPr>
          <w:rFonts w:ascii="Arial" w:hAnsi="Arial" w:cs="Arial"/>
        </w:rPr>
        <w:t xml:space="preserve"> (2024, December 31). Fostering Critical Thinking and Global Awareness through Project-Based Learning in the 21st Century Classroom. </w:t>
      </w:r>
      <w:r w:rsidRPr="005B0F95">
        <w:rPr>
          <w:rStyle w:val="Emphasis"/>
          <w:rFonts w:ascii="Arial" w:hAnsi="Arial" w:cs="Arial"/>
          <w:i w:val="0"/>
        </w:rPr>
        <w:t>Africa Development and Resources Research Institute Journal</w:t>
      </w:r>
      <w:r w:rsidRPr="005B0F95">
        <w:rPr>
          <w:rFonts w:ascii="Arial" w:hAnsi="Arial" w:cs="Arial"/>
        </w:rPr>
        <w:t xml:space="preserve"> (ADRRI), Ghana, 34(</w:t>
      </w:r>
      <w:proofErr w:type="gramStart"/>
      <w:r w:rsidRPr="005B0F95">
        <w:rPr>
          <w:rFonts w:ascii="Arial" w:hAnsi="Arial" w:cs="Arial"/>
        </w:rPr>
        <w:t>4)(</w:t>
      </w:r>
      <w:proofErr w:type="gramEnd"/>
      <w:r w:rsidRPr="005B0F95">
        <w:rPr>
          <w:rFonts w:ascii="Arial" w:hAnsi="Arial" w:cs="Arial"/>
        </w:rPr>
        <w:t xml:space="preserve">11), 23-37. Available at: </w:t>
      </w:r>
      <w:hyperlink r:id="rId20" w:history="1">
        <w:r w:rsidRPr="005B0F95">
          <w:rPr>
            <w:rStyle w:val="Hyperlink"/>
            <w:rFonts w:ascii="Arial" w:hAnsi="Arial" w:cs="Arial"/>
            <w:color w:val="auto"/>
          </w:rPr>
          <w:t>https://journals.adrri.org/index.php/adrrij/article/view/1172/839</w:t>
        </w:r>
      </w:hyperlink>
    </w:p>
    <w:p w14:paraId="54DA0265" w14:textId="3F104A2C"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Okebukola</w:t>
      </w:r>
      <w:proofErr w:type="spellEnd"/>
      <w:r w:rsidRPr="005B0F95">
        <w:rPr>
          <w:rFonts w:ascii="Arial" w:hAnsi="Arial" w:cs="Arial"/>
        </w:rPr>
        <w:t xml:space="preserve">, P. A. (2019). </w:t>
      </w:r>
      <w:r w:rsidRPr="005B0F95">
        <w:rPr>
          <w:rStyle w:val="Emphasis"/>
          <w:rFonts w:ascii="Arial" w:hAnsi="Arial" w:cs="Arial"/>
          <w:i w:val="0"/>
        </w:rPr>
        <w:t>Quality assurance in Nigerian education</w:t>
      </w:r>
      <w:r w:rsidRPr="005B0F95">
        <w:rPr>
          <w:rFonts w:ascii="Arial" w:hAnsi="Arial" w:cs="Arial"/>
        </w:rPr>
        <w:t>. Sterling-</w:t>
      </w:r>
      <w:proofErr w:type="spellStart"/>
      <w:r w:rsidRPr="005B0F95">
        <w:rPr>
          <w:rFonts w:ascii="Arial" w:hAnsi="Arial" w:cs="Arial"/>
        </w:rPr>
        <w:t>Horden</w:t>
      </w:r>
      <w:proofErr w:type="spellEnd"/>
      <w:r w:rsidRPr="005B0F95">
        <w:rPr>
          <w:rFonts w:ascii="Arial" w:hAnsi="Arial" w:cs="Arial"/>
        </w:rPr>
        <w:t xml:space="preserve"> Publishers.</w:t>
      </w:r>
    </w:p>
    <w:p w14:paraId="4A9ABBC6" w14:textId="77777777"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Okorie, N. C., &amp; </w:t>
      </w:r>
      <w:proofErr w:type="spellStart"/>
      <w:r w:rsidRPr="005B0F95">
        <w:rPr>
          <w:rFonts w:ascii="Arial" w:hAnsi="Arial" w:cs="Arial"/>
        </w:rPr>
        <w:t>Agwagah</w:t>
      </w:r>
      <w:proofErr w:type="spellEnd"/>
      <w:r w:rsidRPr="005B0F95">
        <w:rPr>
          <w:rFonts w:ascii="Arial" w:hAnsi="Arial" w:cs="Arial"/>
        </w:rPr>
        <w:t xml:space="preserve">, U. N. V. (2021). Challenges of teaching English language in Nigerian secondary schools. </w:t>
      </w:r>
      <w:r w:rsidRPr="005B0F95">
        <w:rPr>
          <w:rStyle w:val="Emphasis"/>
          <w:rFonts w:ascii="Arial" w:hAnsi="Arial" w:cs="Arial"/>
          <w:i w:val="0"/>
        </w:rPr>
        <w:t>Journal of Education and Practice, 12</w:t>
      </w:r>
      <w:r w:rsidRPr="005B0F95">
        <w:rPr>
          <w:rFonts w:ascii="Arial" w:hAnsi="Arial" w:cs="Arial"/>
        </w:rPr>
        <w:t>(3), 45–52.</w:t>
      </w:r>
    </w:p>
    <w:p w14:paraId="2D228807"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lastRenderedPageBreak/>
        <w:t>Oladipupo</w:t>
      </w:r>
      <w:proofErr w:type="spellEnd"/>
      <w:r w:rsidRPr="005B0F95">
        <w:rPr>
          <w:rFonts w:ascii="Arial" w:hAnsi="Arial" w:cs="Arial"/>
        </w:rPr>
        <w:t xml:space="preserve">, R. O. (2020). Language teaching methodologies in Nigerian schools: Issues and prospects. </w:t>
      </w:r>
      <w:r w:rsidRPr="005B0F95">
        <w:rPr>
          <w:rStyle w:val="Emphasis"/>
          <w:rFonts w:ascii="Arial" w:hAnsi="Arial" w:cs="Arial"/>
          <w:i w:val="0"/>
        </w:rPr>
        <w:t>Lagos Journal of English Studies, 8</w:t>
      </w:r>
      <w:r w:rsidRPr="005B0F95">
        <w:rPr>
          <w:rFonts w:ascii="Arial" w:hAnsi="Arial" w:cs="Arial"/>
        </w:rPr>
        <w:t>(2), 134–149.</w:t>
      </w:r>
    </w:p>
    <w:p w14:paraId="20C93A01"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Olaoye</w:t>
      </w:r>
      <w:proofErr w:type="spellEnd"/>
      <w:r w:rsidRPr="005B0F95">
        <w:rPr>
          <w:rFonts w:ascii="Arial" w:hAnsi="Arial" w:cs="Arial"/>
        </w:rPr>
        <w:t xml:space="preserve">, A. A. (2022). Phonological competence and English language proficiency among Nigerian undergraduates. </w:t>
      </w:r>
      <w:r w:rsidRPr="005B0F95">
        <w:rPr>
          <w:rStyle w:val="Emphasis"/>
          <w:rFonts w:ascii="Arial" w:hAnsi="Arial" w:cs="Arial"/>
          <w:i w:val="0"/>
        </w:rPr>
        <w:t>African Journal of Applied Linguistics, 7</w:t>
      </w:r>
      <w:r w:rsidRPr="005B0F95">
        <w:rPr>
          <w:rFonts w:ascii="Arial" w:hAnsi="Arial" w:cs="Arial"/>
        </w:rPr>
        <w:t>(1), 88–104.</w:t>
      </w:r>
    </w:p>
    <w:p w14:paraId="62C2FA73"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Ololube</w:t>
      </w:r>
      <w:proofErr w:type="spellEnd"/>
      <w:r w:rsidRPr="005B0F95">
        <w:rPr>
          <w:rFonts w:ascii="Arial" w:hAnsi="Arial" w:cs="Arial"/>
        </w:rPr>
        <w:t xml:space="preserve">, N. P., </w:t>
      </w:r>
      <w:proofErr w:type="spellStart"/>
      <w:r w:rsidRPr="005B0F95">
        <w:rPr>
          <w:rFonts w:ascii="Arial" w:hAnsi="Arial" w:cs="Arial"/>
        </w:rPr>
        <w:t>Ololube</w:t>
      </w:r>
      <w:proofErr w:type="spellEnd"/>
      <w:r w:rsidRPr="005B0F95">
        <w:rPr>
          <w:rFonts w:ascii="Arial" w:hAnsi="Arial" w:cs="Arial"/>
        </w:rPr>
        <w:t xml:space="preserve">, D. O., &amp; </w:t>
      </w:r>
      <w:proofErr w:type="spellStart"/>
      <w:r w:rsidRPr="005B0F95">
        <w:rPr>
          <w:rFonts w:ascii="Arial" w:hAnsi="Arial" w:cs="Arial"/>
        </w:rPr>
        <w:t>Kpolovie</w:t>
      </w:r>
      <w:proofErr w:type="spellEnd"/>
      <w:r w:rsidRPr="005B0F95">
        <w:rPr>
          <w:rFonts w:ascii="Arial" w:hAnsi="Arial" w:cs="Arial"/>
        </w:rPr>
        <w:t xml:space="preserve">, P. J. (2020). Education and technology in Nigeria: Transforming teaching, learning and research for national development. </w:t>
      </w:r>
      <w:r w:rsidRPr="005B0F95">
        <w:rPr>
          <w:rStyle w:val="Emphasis"/>
          <w:rFonts w:ascii="Arial" w:hAnsi="Arial" w:cs="Arial"/>
          <w:i w:val="0"/>
        </w:rPr>
        <w:t>Educational Technology International, 21</w:t>
      </w:r>
      <w:r w:rsidRPr="005B0F95">
        <w:rPr>
          <w:rFonts w:ascii="Arial" w:hAnsi="Arial" w:cs="Arial"/>
        </w:rPr>
        <w:t>(1), 1–23.</w:t>
      </w:r>
    </w:p>
    <w:p w14:paraId="6D0EEF8E" w14:textId="2AE5A0BF"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Owan</w:t>
      </w:r>
      <w:proofErr w:type="spellEnd"/>
      <w:r w:rsidRPr="005B0F95">
        <w:rPr>
          <w:rFonts w:ascii="Arial" w:hAnsi="Arial" w:cs="Arial"/>
        </w:rPr>
        <w:t xml:space="preserve">, V. J., </w:t>
      </w:r>
      <w:proofErr w:type="spellStart"/>
      <w:r w:rsidRPr="005B0F95">
        <w:rPr>
          <w:rFonts w:ascii="Arial" w:hAnsi="Arial" w:cs="Arial"/>
        </w:rPr>
        <w:t>Abang</w:t>
      </w:r>
      <w:proofErr w:type="spellEnd"/>
      <w:r w:rsidRPr="005B0F95">
        <w:rPr>
          <w:rFonts w:ascii="Arial" w:hAnsi="Arial" w:cs="Arial"/>
        </w:rPr>
        <w:t xml:space="preserve">, K. B., </w:t>
      </w:r>
      <w:proofErr w:type="spellStart"/>
      <w:r w:rsidRPr="005B0F95">
        <w:rPr>
          <w:rFonts w:ascii="Arial" w:hAnsi="Arial" w:cs="Arial"/>
        </w:rPr>
        <w:t>Idika</w:t>
      </w:r>
      <w:proofErr w:type="spellEnd"/>
      <w:r w:rsidRPr="005B0F95">
        <w:rPr>
          <w:rFonts w:ascii="Arial" w:hAnsi="Arial" w:cs="Arial"/>
        </w:rPr>
        <w:t xml:space="preserve">, D. O., Etta, E. O., &amp; Bassey, B. A. (2023). Exploring the potential of artificial intelligence tools in educational measurement and assessment. </w:t>
      </w:r>
      <w:r w:rsidRPr="005B0F95">
        <w:rPr>
          <w:rStyle w:val="Emphasis"/>
          <w:rFonts w:ascii="Arial" w:hAnsi="Arial" w:cs="Arial"/>
          <w:i w:val="0"/>
        </w:rPr>
        <w:t>European Journal of Educational Management, 6</w:t>
      </w:r>
      <w:r w:rsidRPr="005B0F95">
        <w:rPr>
          <w:rFonts w:ascii="Arial" w:hAnsi="Arial" w:cs="Arial"/>
        </w:rPr>
        <w:t xml:space="preserve">(1), 1–14. </w:t>
      </w:r>
      <w:hyperlink r:id="rId21" w:history="1">
        <w:r w:rsidRPr="005B0F95">
          <w:rPr>
            <w:rStyle w:val="Hyperlink"/>
            <w:rFonts w:ascii="Arial" w:hAnsi="Arial" w:cs="Arial"/>
            <w:color w:val="auto"/>
          </w:rPr>
          <w:t>https://doi.org/10.12973/eujem.6.1.1</w:t>
        </w:r>
      </w:hyperlink>
      <w:r w:rsidRPr="005B0F95">
        <w:rPr>
          <w:rFonts w:ascii="Arial" w:hAnsi="Arial" w:cs="Arial"/>
        </w:rPr>
        <w:t xml:space="preserve"> </w:t>
      </w:r>
    </w:p>
    <w:p w14:paraId="71091C5C" w14:textId="06D26E2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Oyebola</w:t>
      </w:r>
      <w:proofErr w:type="spellEnd"/>
      <w:r w:rsidRPr="005B0F95">
        <w:rPr>
          <w:rFonts w:ascii="Arial" w:hAnsi="Arial" w:cs="Arial"/>
        </w:rPr>
        <w:t xml:space="preserve">, I. O., &amp; Gut, U. (2020). Intonation patterns in Nigerian English. </w:t>
      </w:r>
      <w:r w:rsidRPr="005B0F95">
        <w:rPr>
          <w:rStyle w:val="Emphasis"/>
          <w:rFonts w:ascii="Arial" w:hAnsi="Arial" w:cs="Arial"/>
          <w:i w:val="0"/>
        </w:rPr>
        <w:t xml:space="preserve">World </w:t>
      </w:r>
      <w:proofErr w:type="spellStart"/>
      <w:r w:rsidRPr="005B0F95">
        <w:rPr>
          <w:rStyle w:val="Emphasis"/>
          <w:rFonts w:ascii="Arial" w:hAnsi="Arial" w:cs="Arial"/>
          <w:i w:val="0"/>
        </w:rPr>
        <w:t>Englishes</w:t>
      </w:r>
      <w:proofErr w:type="spellEnd"/>
      <w:r w:rsidRPr="005B0F95">
        <w:rPr>
          <w:rStyle w:val="Emphasis"/>
          <w:rFonts w:ascii="Arial" w:hAnsi="Arial" w:cs="Arial"/>
          <w:i w:val="0"/>
        </w:rPr>
        <w:t>, 39</w:t>
      </w:r>
      <w:r w:rsidRPr="005B0F95">
        <w:rPr>
          <w:rFonts w:ascii="Arial" w:hAnsi="Arial" w:cs="Arial"/>
        </w:rPr>
        <w:t xml:space="preserve">(4), 612–627. </w:t>
      </w:r>
      <w:hyperlink r:id="rId22" w:history="1">
        <w:r w:rsidRPr="005B0F95">
          <w:rPr>
            <w:rStyle w:val="Hyperlink"/>
            <w:rFonts w:ascii="Arial" w:hAnsi="Arial" w:cs="Arial"/>
            <w:color w:val="auto"/>
          </w:rPr>
          <w:t>https://doi.org/10.1111/weng.12492</w:t>
        </w:r>
      </w:hyperlink>
      <w:r w:rsidRPr="005B0F95">
        <w:rPr>
          <w:rFonts w:ascii="Arial" w:hAnsi="Arial" w:cs="Arial"/>
        </w:rPr>
        <w:t xml:space="preserve"> </w:t>
      </w:r>
    </w:p>
    <w:p w14:paraId="0591E658" w14:textId="30C23E13"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Oyebola</w:t>
      </w:r>
      <w:proofErr w:type="spellEnd"/>
      <w:r w:rsidRPr="005B0F95">
        <w:rPr>
          <w:rFonts w:ascii="Arial" w:hAnsi="Arial" w:cs="Arial"/>
        </w:rPr>
        <w:t xml:space="preserve">, I. O., &amp; </w:t>
      </w:r>
      <w:proofErr w:type="spellStart"/>
      <w:r w:rsidRPr="005B0F95">
        <w:rPr>
          <w:rFonts w:ascii="Arial" w:hAnsi="Arial" w:cs="Arial"/>
        </w:rPr>
        <w:t>Melles</w:t>
      </w:r>
      <w:proofErr w:type="spellEnd"/>
      <w:r w:rsidRPr="005B0F95">
        <w:rPr>
          <w:rFonts w:ascii="Arial" w:hAnsi="Arial" w:cs="Arial"/>
        </w:rPr>
        <w:t xml:space="preserve">, N. J. (2023). Gender and ethnic influences on question intonation in Nigerian English. </w:t>
      </w:r>
      <w:r w:rsidRPr="005B0F95">
        <w:rPr>
          <w:rStyle w:val="Emphasis"/>
          <w:rFonts w:ascii="Arial" w:hAnsi="Arial" w:cs="Arial"/>
          <w:i w:val="0"/>
        </w:rPr>
        <w:t>English World-Wide, 44</w:t>
      </w:r>
      <w:r w:rsidRPr="005B0F95">
        <w:rPr>
          <w:rFonts w:ascii="Arial" w:hAnsi="Arial" w:cs="Arial"/>
        </w:rPr>
        <w:t xml:space="preserve">(2), 145–171. </w:t>
      </w:r>
      <w:hyperlink r:id="rId23" w:history="1">
        <w:r w:rsidRPr="005B0F95">
          <w:rPr>
            <w:rStyle w:val="Hyperlink"/>
            <w:rFonts w:ascii="Arial" w:hAnsi="Arial" w:cs="Arial"/>
            <w:color w:val="auto"/>
          </w:rPr>
          <w:t>https://doi.org/10.1075/eww.00093.oye</w:t>
        </w:r>
      </w:hyperlink>
      <w:r w:rsidRPr="005B0F95">
        <w:rPr>
          <w:rFonts w:ascii="Arial" w:hAnsi="Arial" w:cs="Arial"/>
        </w:rPr>
        <w:t xml:space="preserve"> </w:t>
      </w:r>
    </w:p>
    <w:p w14:paraId="493E6741" w14:textId="5E5A78E5"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Oyebola</w:t>
      </w:r>
      <w:proofErr w:type="spellEnd"/>
      <w:r w:rsidRPr="005B0F95">
        <w:rPr>
          <w:rFonts w:ascii="Arial" w:hAnsi="Arial" w:cs="Arial"/>
        </w:rPr>
        <w:t xml:space="preserve">, I. O., Gut, U., &amp; Fuchs, R. (2025). Sociolinguistic variation in the rhythm of Nigerian English speech. </w:t>
      </w:r>
      <w:r w:rsidRPr="005B0F95">
        <w:rPr>
          <w:rStyle w:val="Emphasis"/>
          <w:rFonts w:ascii="Arial" w:hAnsi="Arial" w:cs="Arial"/>
          <w:i w:val="0"/>
        </w:rPr>
        <w:t xml:space="preserve">World </w:t>
      </w:r>
      <w:proofErr w:type="spellStart"/>
      <w:r w:rsidRPr="005B0F95">
        <w:rPr>
          <w:rStyle w:val="Emphasis"/>
          <w:rFonts w:ascii="Arial" w:hAnsi="Arial" w:cs="Arial"/>
          <w:i w:val="0"/>
        </w:rPr>
        <w:t>Englishes</w:t>
      </w:r>
      <w:proofErr w:type="spellEnd"/>
      <w:r w:rsidRPr="005B0F95">
        <w:rPr>
          <w:rStyle w:val="Emphasis"/>
          <w:rFonts w:ascii="Arial" w:hAnsi="Arial" w:cs="Arial"/>
          <w:i w:val="0"/>
        </w:rPr>
        <w:t>, 46</w:t>
      </w:r>
      <w:r w:rsidRPr="005B0F95">
        <w:rPr>
          <w:rFonts w:ascii="Arial" w:hAnsi="Arial" w:cs="Arial"/>
        </w:rPr>
        <w:t xml:space="preserve">(1), 78–95. </w:t>
      </w:r>
      <w:hyperlink r:id="rId24" w:history="1">
        <w:r w:rsidRPr="005B0F95">
          <w:rPr>
            <w:rStyle w:val="Hyperlink"/>
            <w:rFonts w:ascii="Arial" w:hAnsi="Arial" w:cs="Arial"/>
            <w:color w:val="auto"/>
          </w:rPr>
          <w:t>https://doi.org/10.1111/weng.12733</w:t>
        </w:r>
      </w:hyperlink>
      <w:r w:rsidRPr="005B0F95">
        <w:rPr>
          <w:rFonts w:ascii="Arial" w:hAnsi="Arial" w:cs="Arial"/>
        </w:rPr>
        <w:t xml:space="preserve"> </w:t>
      </w:r>
    </w:p>
    <w:p w14:paraId="7A0C05AC" w14:textId="087BBFA4"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Parmaxi</w:t>
      </w:r>
      <w:proofErr w:type="spellEnd"/>
      <w:r w:rsidRPr="005B0F95">
        <w:rPr>
          <w:rFonts w:ascii="Arial" w:hAnsi="Arial" w:cs="Arial"/>
        </w:rPr>
        <w:t xml:space="preserve">, A. (2020). Virtual reality in language learning: A systematic review and implications for research and practice. </w:t>
      </w:r>
      <w:r w:rsidRPr="005B0F95">
        <w:rPr>
          <w:rStyle w:val="Emphasis"/>
          <w:rFonts w:ascii="Arial" w:hAnsi="Arial" w:cs="Arial"/>
          <w:i w:val="0"/>
        </w:rPr>
        <w:t>Interactive Learning Environments, 31</w:t>
      </w:r>
      <w:r w:rsidRPr="005B0F95">
        <w:rPr>
          <w:rFonts w:ascii="Arial" w:hAnsi="Arial" w:cs="Arial"/>
        </w:rPr>
        <w:t xml:space="preserve">(1), 172–184. </w:t>
      </w:r>
      <w:hyperlink r:id="rId25" w:history="1">
        <w:r w:rsidRPr="005B0F95">
          <w:rPr>
            <w:rStyle w:val="Hyperlink"/>
            <w:rFonts w:ascii="Arial" w:hAnsi="Arial" w:cs="Arial"/>
            <w:color w:val="auto"/>
          </w:rPr>
          <w:t>https://doi.org/10.1080/10494820.2020.1765392</w:t>
        </w:r>
      </w:hyperlink>
      <w:r w:rsidRPr="005B0F95">
        <w:rPr>
          <w:rFonts w:ascii="Arial" w:hAnsi="Arial" w:cs="Arial"/>
        </w:rPr>
        <w:t xml:space="preserve"> </w:t>
      </w:r>
    </w:p>
    <w:p w14:paraId="3A428841" w14:textId="33E9EAFE"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Pennington, M. C., &amp; Rogerson-Revell, P. (2019). </w:t>
      </w:r>
      <w:r w:rsidRPr="005B0F95">
        <w:rPr>
          <w:rStyle w:val="Emphasis"/>
          <w:rFonts w:ascii="Arial" w:hAnsi="Arial" w:cs="Arial"/>
          <w:i w:val="0"/>
        </w:rPr>
        <w:t>English pronunciation teaching and research: Contemporary perspectives</w:t>
      </w:r>
      <w:r w:rsidRPr="005B0F95">
        <w:rPr>
          <w:rFonts w:ascii="Arial" w:hAnsi="Arial" w:cs="Arial"/>
        </w:rPr>
        <w:t xml:space="preserve">. Palgrave Macmillan. </w:t>
      </w:r>
      <w:hyperlink r:id="rId26" w:history="1">
        <w:r w:rsidRPr="005B0F95">
          <w:rPr>
            <w:rStyle w:val="Hyperlink"/>
            <w:rFonts w:ascii="Arial" w:hAnsi="Arial" w:cs="Arial"/>
            <w:color w:val="auto"/>
          </w:rPr>
          <w:t>https://doi.org/10.1057/978-1-137-47677-7</w:t>
        </w:r>
      </w:hyperlink>
      <w:r w:rsidRPr="005B0F95">
        <w:rPr>
          <w:rFonts w:ascii="Arial" w:hAnsi="Arial" w:cs="Arial"/>
        </w:rPr>
        <w:t xml:space="preserve"> </w:t>
      </w:r>
    </w:p>
    <w:p w14:paraId="2571E754" w14:textId="58896F01"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Rachels, J. R., &amp; </w:t>
      </w:r>
      <w:proofErr w:type="spellStart"/>
      <w:r w:rsidRPr="005B0F95">
        <w:rPr>
          <w:rFonts w:ascii="Arial" w:hAnsi="Arial" w:cs="Arial"/>
        </w:rPr>
        <w:t>Rockinson-Szapkiw</w:t>
      </w:r>
      <w:proofErr w:type="spellEnd"/>
      <w:r w:rsidRPr="005B0F95">
        <w:rPr>
          <w:rFonts w:ascii="Arial" w:hAnsi="Arial" w:cs="Arial"/>
        </w:rPr>
        <w:t xml:space="preserve">, A. J. (2018). The effects of a mobile gamification app on elementary students' Spanish achievement and self-efficacy. </w:t>
      </w:r>
      <w:r w:rsidRPr="005B0F95">
        <w:rPr>
          <w:rStyle w:val="Emphasis"/>
          <w:rFonts w:ascii="Arial" w:hAnsi="Arial" w:cs="Arial"/>
          <w:i w:val="0"/>
        </w:rPr>
        <w:t>Computer Assisted Language Learning, 31</w:t>
      </w:r>
      <w:r w:rsidRPr="005B0F95">
        <w:rPr>
          <w:rFonts w:ascii="Arial" w:hAnsi="Arial" w:cs="Arial"/>
        </w:rPr>
        <w:t xml:space="preserve">(1-2), 72–89. </w:t>
      </w:r>
      <w:hyperlink r:id="rId27" w:history="1">
        <w:r w:rsidRPr="005B0F95">
          <w:rPr>
            <w:rStyle w:val="Hyperlink"/>
            <w:rFonts w:ascii="Arial" w:hAnsi="Arial" w:cs="Arial"/>
            <w:color w:val="auto"/>
          </w:rPr>
          <w:t>https://doi.org/10.1080/09588221.2017.1382536</w:t>
        </w:r>
      </w:hyperlink>
      <w:r w:rsidRPr="005B0F95">
        <w:rPr>
          <w:rFonts w:ascii="Arial" w:hAnsi="Arial" w:cs="Arial"/>
        </w:rPr>
        <w:t xml:space="preserve"> </w:t>
      </w:r>
    </w:p>
    <w:p w14:paraId="1DC44075" w14:textId="77777777"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Saito, K. (2021). Effects of instruction on second language pronunciation development: A synthesis and meta-analysis. In T. </w:t>
      </w:r>
      <w:proofErr w:type="spellStart"/>
      <w:r w:rsidRPr="005B0F95">
        <w:rPr>
          <w:rFonts w:ascii="Arial" w:hAnsi="Arial" w:cs="Arial"/>
        </w:rPr>
        <w:t>Derwing</w:t>
      </w:r>
      <w:proofErr w:type="spellEnd"/>
      <w:r w:rsidRPr="005B0F95">
        <w:rPr>
          <w:rFonts w:ascii="Arial" w:hAnsi="Arial" w:cs="Arial"/>
        </w:rPr>
        <w:t xml:space="preserve">, M. Munro, &amp; R. Thomson (Eds.), </w:t>
      </w:r>
      <w:r w:rsidRPr="005B0F95">
        <w:rPr>
          <w:rStyle w:val="Emphasis"/>
          <w:rFonts w:ascii="Arial" w:hAnsi="Arial" w:cs="Arial"/>
          <w:i w:val="0"/>
        </w:rPr>
        <w:t>The Routledge handbook of second language acquisition and pronunciation</w:t>
      </w:r>
      <w:r w:rsidRPr="005B0F95">
        <w:rPr>
          <w:rFonts w:ascii="Arial" w:hAnsi="Arial" w:cs="Arial"/>
        </w:rPr>
        <w:t xml:space="preserve"> (pp. 446–461). Routledge.</w:t>
      </w:r>
    </w:p>
    <w:p w14:paraId="0CE99229"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Shadiev</w:t>
      </w:r>
      <w:proofErr w:type="spellEnd"/>
      <w:r w:rsidRPr="005B0F95">
        <w:rPr>
          <w:rFonts w:ascii="Arial" w:hAnsi="Arial" w:cs="Arial"/>
        </w:rPr>
        <w:t xml:space="preserve">, R., Hwang, W. Y., Chen, N. S., &amp; Huang, Y. M. (2021). Review of speech-to-text recognition technology for enhancing learning. </w:t>
      </w:r>
      <w:r w:rsidRPr="005B0F95">
        <w:rPr>
          <w:rStyle w:val="Emphasis"/>
          <w:rFonts w:ascii="Arial" w:hAnsi="Arial" w:cs="Arial"/>
          <w:i w:val="0"/>
        </w:rPr>
        <w:t>Journal of Educational Technology &amp; Society, 17</w:t>
      </w:r>
      <w:r w:rsidRPr="005B0F95">
        <w:rPr>
          <w:rFonts w:ascii="Arial" w:hAnsi="Arial" w:cs="Arial"/>
        </w:rPr>
        <w:t>(4), 65–84.</w:t>
      </w:r>
    </w:p>
    <w:p w14:paraId="7798F792" w14:textId="2E6633D3"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Shadiev</w:t>
      </w:r>
      <w:proofErr w:type="spellEnd"/>
      <w:r w:rsidRPr="005B0F95">
        <w:rPr>
          <w:rFonts w:ascii="Arial" w:hAnsi="Arial" w:cs="Arial"/>
        </w:rPr>
        <w:t xml:space="preserve">, R., &amp; Yang, M. (2020). Review of studies on technology-enhanced language learning and teaching. </w:t>
      </w:r>
      <w:r w:rsidRPr="005B0F95">
        <w:rPr>
          <w:rStyle w:val="Emphasis"/>
          <w:rFonts w:ascii="Arial" w:hAnsi="Arial" w:cs="Arial"/>
          <w:i w:val="0"/>
        </w:rPr>
        <w:t>Sustainability, 12</w:t>
      </w:r>
      <w:r w:rsidRPr="005B0F95">
        <w:rPr>
          <w:rFonts w:ascii="Arial" w:hAnsi="Arial" w:cs="Arial"/>
        </w:rPr>
        <w:t xml:space="preserve">(2), Article 524. </w:t>
      </w:r>
      <w:hyperlink r:id="rId28" w:history="1">
        <w:r w:rsidRPr="005B0F95">
          <w:rPr>
            <w:rStyle w:val="Hyperlink"/>
            <w:rFonts w:ascii="Arial" w:hAnsi="Arial" w:cs="Arial"/>
            <w:color w:val="auto"/>
          </w:rPr>
          <w:t>https://doi.org/10.3390/su12020524</w:t>
        </w:r>
      </w:hyperlink>
      <w:r w:rsidRPr="005B0F95">
        <w:rPr>
          <w:rFonts w:ascii="Arial" w:hAnsi="Arial" w:cs="Arial"/>
        </w:rPr>
        <w:t xml:space="preserve"> </w:t>
      </w:r>
    </w:p>
    <w:p w14:paraId="425EA396" w14:textId="495EE343"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lastRenderedPageBreak/>
        <w:t>Udofot</w:t>
      </w:r>
      <w:proofErr w:type="spellEnd"/>
      <w:r w:rsidRPr="005B0F95">
        <w:rPr>
          <w:rFonts w:ascii="Arial" w:hAnsi="Arial" w:cs="Arial"/>
        </w:rPr>
        <w:t xml:space="preserve">, I. M. (2021). The phonology of second language acquisition: Igbo learners of English in Nigerian contexts. </w:t>
      </w:r>
      <w:r w:rsidRPr="005B0F95">
        <w:rPr>
          <w:rStyle w:val="Emphasis"/>
          <w:rFonts w:ascii="Arial" w:hAnsi="Arial" w:cs="Arial"/>
          <w:i w:val="0"/>
        </w:rPr>
        <w:t>International Journal of Applied Linguistics, 31</w:t>
      </w:r>
      <w:r w:rsidRPr="005B0F95">
        <w:rPr>
          <w:rFonts w:ascii="Arial" w:hAnsi="Arial" w:cs="Arial"/>
        </w:rPr>
        <w:t xml:space="preserve">(3), 412–435. </w:t>
      </w:r>
      <w:hyperlink r:id="rId29" w:history="1">
        <w:r w:rsidRPr="005B0F95">
          <w:rPr>
            <w:rStyle w:val="Hyperlink"/>
            <w:rFonts w:ascii="Arial" w:hAnsi="Arial" w:cs="Arial"/>
            <w:color w:val="auto"/>
          </w:rPr>
          <w:t>https://doi.org/10.1111/ijal.12351</w:t>
        </w:r>
      </w:hyperlink>
      <w:r w:rsidRPr="005B0F95">
        <w:rPr>
          <w:rFonts w:ascii="Arial" w:hAnsi="Arial" w:cs="Arial"/>
        </w:rPr>
        <w:t xml:space="preserve"> </w:t>
      </w:r>
    </w:p>
    <w:p w14:paraId="43B67B99"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Udofot</w:t>
      </w:r>
      <w:proofErr w:type="spellEnd"/>
      <w:r w:rsidRPr="005B0F95">
        <w:rPr>
          <w:rFonts w:ascii="Arial" w:hAnsi="Arial" w:cs="Arial"/>
        </w:rPr>
        <w:t xml:space="preserve">, I. M. (2022). Phonetics and phonology of Nigerian English. </w:t>
      </w:r>
      <w:r w:rsidRPr="005B0F95">
        <w:rPr>
          <w:rStyle w:val="Emphasis"/>
          <w:rFonts w:ascii="Arial" w:hAnsi="Arial" w:cs="Arial"/>
          <w:i w:val="0"/>
        </w:rPr>
        <w:t>AKSU Journal of English (AKSUJEL), 4</w:t>
      </w:r>
      <w:r w:rsidRPr="005B0F95">
        <w:rPr>
          <w:rFonts w:ascii="Arial" w:hAnsi="Arial" w:cs="Arial"/>
        </w:rPr>
        <w:t>(1), 1–28.</w:t>
      </w:r>
    </w:p>
    <w:p w14:paraId="4AB068B5" w14:textId="77777777" w:rsidR="00250E8D" w:rsidRPr="005B0F95" w:rsidRDefault="00250E8D"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Udofot</w:t>
      </w:r>
      <w:proofErr w:type="spellEnd"/>
      <w:r w:rsidRPr="005B0F95">
        <w:rPr>
          <w:rFonts w:ascii="Arial" w:hAnsi="Arial" w:cs="Arial"/>
        </w:rPr>
        <w:t xml:space="preserve">, I. M. (2023). </w:t>
      </w:r>
      <w:r w:rsidRPr="005B0F95">
        <w:rPr>
          <w:rStyle w:val="Emphasis"/>
          <w:rFonts w:ascii="Arial" w:hAnsi="Arial" w:cs="Arial"/>
          <w:i w:val="0"/>
        </w:rPr>
        <w:t>Nigerian English: Phonetics, phonology and pedagogy</w:t>
      </w:r>
      <w:r w:rsidRPr="005B0F95">
        <w:rPr>
          <w:rFonts w:ascii="Arial" w:hAnsi="Arial" w:cs="Arial"/>
        </w:rPr>
        <w:t xml:space="preserve">. University of </w:t>
      </w:r>
      <w:proofErr w:type="spellStart"/>
      <w:r w:rsidRPr="005B0F95">
        <w:rPr>
          <w:rFonts w:ascii="Arial" w:hAnsi="Arial" w:cs="Arial"/>
        </w:rPr>
        <w:t>Uyo</w:t>
      </w:r>
      <w:proofErr w:type="spellEnd"/>
      <w:r w:rsidRPr="005B0F95">
        <w:rPr>
          <w:rFonts w:ascii="Arial" w:hAnsi="Arial" w:cs="Arial"/>
        </w:rPr>
        <w:t xml:space="preserve"> Press.</w:t>
      </w:r>
    </w:p>
    <w:p w14:paraId="6CADD692" w14:textId="0CF3820F"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Zou, D., Lambert, J., &amp; </w:t>
      </w:r>
      <w:proofErr w:type="spellStart"/>
      <w:r w:rsidRPr="005B0F95">
        <w:rPr>
          <w:rFonts w:ascii="Arial" w:hAnsi="Arial" w:cs="Arial"/>
        </w:rPr>
        <w:t>Xie</w:t>
      </w:r>
      <w:proofErr w:type="spellEnd"/>
      <w:r w:rsidRPr="005B0F95">
        <w:rPr>
          <w:rFonts w:ascii="Arial" w:hAnsi="Arial" w:cs="Arial"/>
        </w:rPr>
        <w:t xml:space="preserve">, H. (2023). Advancing educational technology research through systematic reviews: Implications for complex ways of learning. </w:t>
      </w:r>
      <w:r w:rsidRPr="005B0F95">
        <w:rPr>
          <w:rStyle w:val="Emphasis"/>
          <w:rFonts w:ascii="Arial" w:hAnsi="Arial" w:cs="Arial"/>
          <w:i w:val="0"/>
        </w:rPr>
        <w:t>Educational Technology Research and Development, 71</w:t>
      </w:r>
      <w:r w:rsidRPr="005B0F95">
        <w:rPr>
          <w:rFonts w:ascii="Arial" w:hAnsi="Arial" w:cs="Arial"/>
        </w:rPr>
        <w:t xml:space="preserve">(1), 283–309. </w:t>
      </w:r>
      <w:hyperlink r:id="rId30" w:history="1">
        <w:r w:rsidRPr="005B0F95">
          <w:rPr>
            <w:rStyle w:val="Hyperlink"/>
            <w:rFonts w:ascii="Arial" w:hAnsi="Arial" w:cs="Arial"/>
            <w:color w:val="auto"/>
          </w:rPr>
          <w:t>https://doi.org/10.1007/s11423-022-10161-4</w:t>
        </w:r>
      </w:hyperlink>
      <w:r w:rsidRPr="005B0F95">
        <w:rPr>
          <w:rFonts w:ascii="Arial" w:hAnsi="Arial" w:cs="Arial"/>
        </w:rPr>
        <w:t xml:space="preserve"> </w:t>
      </w:r>
    </w:p>
    <w:p w14:paraId="640D91AD" w14:textId="009CDF6D" w:rsidR="00250E8D" w:rsidRPr="005B0F95" w:rsidRDefault="00250E8D"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Zou, D., &amp; </w:t>
      </w:r>
      <w:proofErr w:type="spellStart"/>
      <w:r w:rsidRPr="005B0F95">
        <w:rPr>
          <w:rFonts w:ascii="Arial" w:hAnsi="Arial" w:cs="Arial"/>
        </w:rPr>
        <w:t>Xie</w:t>
      </w:r>
      <w:proofErr w:type="spellEnd"/>
      <w:r w:rsidRPr="005B0F95">
        <w:rPr>
          <w:rFonts w:ascii="Arial" w:hAnsi="Arial" w:cs="Arial"/>
        </w:rPr>
        <w:t xml:space="preserve">, H. (2019). Flipped learning in higher education: A systematic review. </w:t>
      </w:r>
      <w:r w:rsidRPr="005B0F95">
        <w:rPr>
          <w:rStyle w:val="Emphasis"/>
          <w:rFonts w:ascii="Arial" w:hAnsi="Arial" w:cs="Arial"/>
          <w:i w:val="0"/>
        </w:rPr>
        <w:t>Interactive Learning Environments, 27</w:t>
      </w:r>
      <w:r w:rsidRPr="005B0F95">
        <w:rPr>
          <w:rFonts w:ascii="Arial" w:hAnsi="Arial" w:cs="Arial"/>
        </w:rPr>
        <w:t xml:space="preserve">(5-6), 819–842. </w:t>
      </w:r>
      <w:hyperlink r:id="rId31" w:history="1">
        <w:r w:rsidRPr="005B0F95">
          <w:rPr>
            <w:rStyle w:val="Hyperlink"/>
            <w:rFonts w:ascii="Arial" w:hAnsi="Arial" w:cs="Arial"/>
            <w:color w:val="auto"/>
          </w:rPr>
          <w:t>https://doi.org/10.1080/10494820.2018.1495653</w:t>
        </w:r>
      </w:hyperlink>
      <w:r w:rsidRPr="005B0F95">
        <w:rPr>
          <w:rFonts w:ascii="Arial" w:hAnsi="Arial" w:cs="Arial"/>
        </w:rPr>
        <w:t xml:space="preserve"> </w:t>
      </w:r>
    </w:p>
    <w:p w14:paraId="10B4F578" w14:textId="253CC976" w:rsidR="00B5128C" w:rsidRPr="005B0F95" w:rsidRDefault="00B5128C" w:rsidP="00250E8D">
      <w:pPr>
        <w:pStyle w:val="NormalWeb"/>
        <w:spacing w:before="0" w:beforeAutospacing="0" w:after="240" w:afterAutospacing="0"/>
        <w:ind w:left="720" w:hanging="720"/>
        <w:jc w:val="both"/>
        <w:rPr>
          <w:rFonts w:ascii="Arial" w:hAnsi="Arial" w:cs="Arial"/>
        </w:rPr>
      </w:pPr>
      <w:proofErr w:type="spellStart"/>
      <w:r w:rsidRPr="005B0F95">
        <w:rPr>
          <w:rFonts w:ascii="Arial" w:hAnsi="Arial" w:cs="Arial"/>
        </w:rPr>
        <w:t>Mubarok</w:t>
      </w:r>
      <w:proofErr w:type="spellEnd"/>
      <w:r w:rsidRPr="005B0F95">
        <w:rPr>
          <w:rFonts w:ascii="Arial" w:hAnsi="Arial" w:cs="Arial"/>
        </w:rPr>
        <w:t xml:space="preserve">, H., </w:t>
      </w:r>
      <w:proofErr w:type="spellStart"/>
      <w:r w:rsidRPr="005B0F95">
        <w:rPr>
          <w:rFonts w:ascii="Arial" w:hAnsi="Arial" w:cs="Arial"/>
        </w:rPr>
        <w:t>Yossatorn</w:t>
      </w:r>
      <w:proofErr w:type="spellEnd"/>
      <w:r w:rsidRPr="005B0F95">
        <w:rPr>
          <w:rFonts w:ascii="Arial" w:hAnsi="Arial" w:cs="Arial"/>
        </w:rPr>
        <w:t xml:space="preserve">, Y., </w:t>
      </w:r>
      <w:proofErr w:type="spellStart"/>
      <w:r w:rsidRPr="005B0F95">
        <w:rPr>
          <w:rFonts w:ascii="Arial" w:hAnsi="Arial" w:cs="Arial"/>
        </w:rPr>
        <w:t>Pradana</w:t>
      </w:r>
      <w:proofErr w:type="spellEnd"/>
      <w:r w:rsidRPr="005B0F95">
        <w:rPr>
          <w:rFonts w:ascii="Arial" w:hAnsi="Arial" w:cs="Arial"/>
        </w:rPr>
        <w:t xml:space="preserve">, H. D., </w:t>
      </w:r>
      <w:proofErr w:type="spellStart"/>
      <w:r w:rsidRPr="005B0F95">
        <w:rPr>
          <w:rFonts w:ascii="Arial" w:hAnsi="Arial" w:cs="Arial"/>
        </w:rPr>
        <w:t>Diningrat</w:t>
      </w:r>
      <w:proofErr w:type="spellEnd"/>
      <w:r w:rsidRPr="005B0F95">
        <w:rPr>
          <w:rFonts w:ascii="Arial" w:hAnsi="Arial" w:cs="Arial"/>
        </w:rPr>
        <w:t xml:space="preserve">, S. W. M., </w:t>
      </w:r>
      <w:proofErr w:type="spellStart"/>
      <w:r w:rsidRPr="005B0F95">
        <w:rPr>
          <w:rFonts w:ascii="Arial" w:hAnsi="Arial" w:cs="Arial"/>
        </w:rPr>
        <w:t>Carreza</w:t>
      </w:r>
      <w:proofErr w:type="spellEnd"/>
      <w:r w:rsidRPr="005B0F95">
        <w:rPr>
          <w:rFonts w:ascii="Arial" w:hAnsi="Arial" w:cs="Arial"/>
        </w:rPr>
        <w:t xml:space="preserve">, A. N., &amp; </w:t>
      </w:r>
      <w:proofErr w:type="spellStart"/>
      <w:r w:rsidRPr="005B0F95">
        <w:rPr>
          <w:rFonts w:ascii="Arial" w:hAnsi="Arial" w:cs="Arial"/>
        </w:rPr>
        <w:t>Syahmi</w:t>
      </w:r>
      <w:proofErr w:type="spellEnd"/>
      <w:r w:rsidRPr="005B0F95">
        <w:rPr>
          <w:rFonts w:ascii="Arial" w:hAnsi="Arial" w:cs="Arial"/>
        </w:rPr>
        <w:t>, F. A. (2026). Empowering the Practice-Based Mentoring in Microteaching on Pre-Service ICT Teachers: High and Low Self-Efficacy Analysis. </w:t>
      </w:r>
      <w:r w:rsidRPr="005B0F95">
        <w:rPr>
          <w:rFonts w:ascii="Arial" w:hAnsi="Arial" w:cs="Arial"/>
          <w:iCs/>
        </w:rPr>
        <w:t>International Journal of Research and Community Empowerment</w:t>
      </w:r>
      <w:r w:rsidRPr="005B0F95">
        <w:rPr>
          <w:rFonts w:ascii="Arial" w:hAnsi="Arial" w:cs="Arial"/>
        </w:rPr>
        <w:t>, </w:t>
      </w:r>
      <w:r w:rsidRPr="005B0F95">
        <w:rPr>
          <w:rFonts w:ascii="Arial" w:hAnsi="Arial" w:cs="Arial"/>
          <w:iCs/>
        </w:rPr>
        <w:t>4</w:t>
      </w:r>
      <w:r w:rsidRPr="005B0F95">
        <w:rPr>
          <w:rFonts w:ascii="Arial" w:hAnsi="Arial" w:cs="Arial"/>
        </w:rPr>
        <w:t>(1), 14-21.</w:t>
      </w:r>
    </w:p>
    <w:p w14:paraId="017CE1AD" w14:textId="46813F02" w:rsidR="00B5128C" w:rsidRPr="005B0F95" w:rsidRDefault="00B5128C" w:rsidP="00250E8D">
      <w:pPr>
        <w:pStyle w:val="NormalWeb"/>
        <w:spacing w:before="0" w:beforeAutospacing="0" w:after="240" w:afterAutospacing="0"/>
        <w:ind w:left="720" w:hanging="720"/>
        <w:jc w:val="both"/>
        <w:rPr>
          <w:rFonts w:ascii="Arial" w:hAnsi="Arial" w:cs="Arial"/>
        </w:rPr>
      </w:pPr>
      <w:r w:rsidRPr="005B0F95">
        <w:rPr>
          <w:rFonts w:ascii="Arial" w:hAnsi="Arial" w:cs="Arial"/>
        </w:rPr>
        <w:t xml:space="preserve">Bhandari, L. P., Bhandari, B. L., </w:t>
      </w:r>
      <w:proofErr w:type="spellStart"/>
      <w:r w:rsidRPr="005B0F95">
        <w:rPr>
          <w:rFonts w:ascii="Arial" w:hAnsi="Arial" w:cs="Arial"/>
        </w:rPr>
        <w:t>Baguinat</w:t>
      </w:r>
      <w:proofErr w:type="spellEnd"/>
      <w:r w:rsidRPr="005B0F95">
        <w:rPr>
          <w:rFonts w:ascii="Arial" w:hAnsi="Arial" w:cs="Arial"/>
        </w:rPr>
        <w:t>, N. S., &amp; Tiwari, E. R. (2026). Teaching, technology, and transformation: Exploring teacher identity through discourse and development narratives in Nepal. </w:t>
      </w:r>
      <w:r w:rsidRPr="005B0F95">
        <w:rPr>
          <w:rFonts w:ascii="Arial" w:hAnsi="Arial" w:cs="Arial"/>
          <w:iCs/>
        </w:rPr>
        <w:t>Journal of Pragmatics and Discourse Research</w:t>
      </w:r>
      <w:r w:rsidRPr="005B0F95">
        <w:rPr>
          <w:rFonts w:ascii="Arial" w:hAnsi="Arial" w:cs="Arial"/>
        </w:rPr>
        <w:t>, </w:t>
      </w:r>
      <w:r w:rsidRPr="005B0F95">
        <w:rPr>
          <w:rFonts w:ascii="Arial" w:hAnsi="Arial" w:cs="Arial"/>
          <w:iCs/>
        </w:rPr>
        <w:t>6</w:t>
      </w:r>
      <w:r w:rsidRPr="005B0F95">
        <w:rPr>
          <w:rFonts w:ascii="Arial" w:hAnsi="Arial" w:cs="Arial"/>
        </w:rPr>
        <w:t>(1), 16-31.</w:t>
      </w:r>
    </w:p>
    <w:p w14:paraId="15615822" w14:textId="77777777" w:rsidR="00250E8D" w:rsidRPr="005B0F95" w:rsidRDefault="00250E8D">
      <w:pPr>
        <w:rPr>
          <w:rFonts w:ascii="Arial" w:hAnsi="Arial" w:cs="Arial"/>
          <w:sz w:val="24"/>
          <w:szCs w:val="24"/>
        </w:rPr>
      </w:pPr>
    </w:p>
    <w:sectPr w:rsidR="00250E8D" w:rsidRPr="005B0F95" w:rsidSect="00185F4F">
      <w:headerReference w:type="even" r:id="rId32"/>
      <w:headerReference w:type="default" r:id="rId33"/>
      <w:footerReference w:type="even" r:id="rId34"/>
      <w:footerReference w:type="default" r:id="rId35"/>
      <w:headerReference w:type="first" r:id="rId36"/>
      <w:foot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AC50" w14:textId="77777777" w:rsidR="005654D8" w:rsidRDefault="005654D8" w:rsidP="00D55132">
      <w:pPr>
        <w:spacing w:after="0" w:line="240" w:lineRule="auto"/>
      </w:pPr>
      <w:r>
        <w:separator/>
      </w:r>
    </w:p>
  </w:endnote>
  <w:endnote w:type="continuationSeparator" w:id="0">
    <w:p w14:paraId="633CAA96" w14:textId="77777777" w:rsidR="005654D8" w:rsidRDefault="005654D8" w:rsidP="00D5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4A7A" w14:textId="77777777" w:rsidR="00C605B5" w:rsidRDefault="00C60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799287"/>
      <w:docPartObj>
        <w:docPartGallery w:val="Page Numbers (Bottom of Page)"/>
        <w:docPartUnique/>
      </w:docPartObj>
    </w:sdtPr>
    <w:sdtEndPr>
      <w:rPr>
        <w:noProof/>
      </w:rPr>
    </w:sdtEndPr>
    <w:sdtContent>
      <w:p w14:paraId="09B924E9" w14:textId="3C1C116A" w:rsidR="00D55132" w:rsidRDefault="00D55132">
        <w:pPr>
          <w:pStyle w:val="Footer"/>
          <w:jc w:val="center"/>
        </w:pPr>
        <w:r>
          <w:fldChar w:fldCharType="begin"/>
        </w:r>
        <w:r>
          <w:instrText xml:space="preserve"> PAGE   \* MERGEFORMAT </w:instrText>
        </w:r>
        <w:r>
          <w:fldChar w:fldCharType="separate"/>
        </w:r>
        <w:r w:rsidR="00B5128C">
          <w:rPr>
            <w:noProof/>
          </w:rPr>
          <w:t>16</w:t>
        </w:r>
        <w:r>
          <w:rPr>
            <w:noProof/>
          </w:rPr>
          <w:fldChar w:fldCharType="end"/>
        </w:r>
      </w:p>
    </w:sdtContent>
  </w:sdt>
  <w:p w14:paraId="21172AAF" w14:textId="77777777" w:rsidR="00D55132" w:rsidRDefault="00D55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44DD" w14:textId="77777777" w:rsidR="00C605B5" w:rsidRDefault="00C6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70B48" w14:textId="77777777" w:rsidR="005654D8" w:rsidRDefault="005654D8" w:rsidP="00D55132">
      <w:pPr>
        <w:spacing w:after="0" w:line="240" w:lineRule="auto"/>
      </w:pPr>
      <w:r>
        <w:separator/>
      </w:r>
    </w:p>
  </w:footnote>
  <w:footnote w:type="continuationSeparator" w:id="0">
    <w:p w14:paraId="229BDC1A" w14:textId="77777777" w:rsidR="005654D8" w:rsidRDefault="005654D8" w:rsidP="00D5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237C" w14:textId="7346793B" w:rsidR="00C605B5" w:rsidRDefault="005654D8">
    <w:pPr>
      <w:pStyle w:val="Header"/>
    </w:pPr>
    <w:r>
      <w:rPr>
        <w:noProof/>
      </w:rPr>
      <w:pict w14:anchorId="3A37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F425" w14:textId="7B7A9259" w:rsidR="00C605B5" w:rsidRDefault="005654D8">
    <w:pPr>
      <w:pStyle w:val="Header"/>
    </w:pPr>
    <w:r>
      <w:rPr>
        <w:noProof/>
      </w:rPr>
      <w:pict w14:anchorId="0C1E2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C8B7" w14:textId="3E2F04D6" w:rsidR="00C605B5" w:rsidRDefault="005654D8">
    <w:pPr>
      <w:pStyle w:val="Header"/>
    </w:pPr>
    <w:r>
      <w:rPr>
        <w:noProof/>
      </w:rPr>
      <w:pict w14:anchorId="0367B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02C"/>
    <w:multiLevelType w:val="multilevel"/>
    <w:tmpl w:val="3BD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62411"/>
    <w:multiLevelType w:val="multilevel"/>
    <w:tmpl w:val="C0CC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6217A"/>
    <w:multiLevelType w:val="multilevel"/>
    <w:tmpl w:val="EE7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00473"/>
    <w:multiLevelType w:val="hybridMultilevel"/>
    <w:tmpl w:val="BE008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24197"/>
    <w:multiLevelType w:val="hybridMultilevel"/>
    <w:tmpl w:val="02FAAA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5986"/>
    <w:multiLevelType w:val="multilevel"/>
    <w:tmpl w:val="543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54969"/>
    <w:multiLevelType w:val="multilevel"/>
    <w:tmpl w:val="7C28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53756"/>
    <w:multiLevelType w:val="multilevel"/>
    <w:tmpl w:val="1C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1755"/>
    <w:multiLevelType w:val="multilevel"/>
    <w:tmpl w:val="9D88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D6840"/>
    <w:multiLevelType w:val="multilevel"/>
    <w:tmpl w:val="3DE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B38B1"/>
    <w:multiLevelType w:val="hybridMultilevel"/>
    <w:tmpl w:val="36A26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F0196"/>
    <w:multiLevelType w:val="multilevel"/>
    <w:tmpl w:val="EFE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1F70"/>
    <w:multiLevelType w:val="multilevel"/>
    <w:tmpl w:val="AADAF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6632C"/>
    <w:multiLevelType w:val="multilevel"/>
    <w:tmpl w:val="D294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05279"/>
    <w:multiLevelType w:val="multilevel"/>
    <w:tmpl w:val="4C5E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E02C6"/>
    <w:multiLevelType w:val="multilevel"/>
    <w:tmpl w:val="3BA0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1"/>
  </w:num>
  <w:num w:numId="4">
    <w:abstractNumId w:val="12"/>
  </w:num>
  <w:num w:numId="5">
    <w:abstractNumId w:val="5"/>
  </w:num>
  <w:num w:numId="6">
    <w:abstractNumId w:val="9"/>
  </w:num>
  <w:num w:numId="7">
    <w:abstractNumId w:val="2"/>
  </w:num>
  <w:num w:numId="8">
    <w:abstractNumId w:val="7"/>
  </w:num>
  <w:num w:numId="9">
    <w:abstractNumId w:val="1"/>
  </w:num>
  <w:num w:numId="10">
    <w:abstractNumId w:val="13"/>
  </w:num>
  <w:num w:numId="11">
    <w:abstractNumId w:val="8"/>
  </w:num>
  <w:num w:numId="12">
    <w:abstractNumId w:val="10"/>
  </w:num>
  <w:num w:numId="13">
    <w:abstractNumId w:val="4"/>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70"/>
    <w:rsid w:val="000143AA"/>
    <w:rsid w:val="0004080F"/>
    <w:rsid w:val="000B34C0"/>
    <w:rsid w:val="000C7106"/>
    <w:rsid w:val="000F7404"/>
    <w:rsid w:val="0013405E"/>
    <w:rsid w:val="00185F4F"/>
    <w:rsid w:val="001B16E1"/>
    <w:rsid w:val="001D58BF"/>
    <w:rsid w:val="0022004F"/>
    <w:rsid w:val="00250E8D"/>
    <w:rsid w:val="00272DD9"/>
    <w:rsid w:val="003B6034"/>
    <w:rsid w:val="003C542D"/>
    <w:rsid w:val="003F2B73"/>
    <w:rsid w:val="00465011"/>
    <w:rsid w:val="00474AE7"/>
    <w:rsid w:val="004C0794"/>
    <w:rsid w:val="004F0A1F"/>
    <w:rsid w:val="0052157D"/>
    <w:rsid w:val="005373BC"/>
    <w:rsid w:val="005609A0"/>
    <w:rsid w:val="005654D8"/>
    <w:rsid w:val="005B0F95"/>
    <w:rsid w:val="005B62F7"/>
    <w:rsid w:val="005C0171"/>
    <w:rsid w:val="005F46F9"/>
    <w:rsid w:val="00611E74"/>
    <w:rsid w:val="00634CEE"/>
    <w:rsid w:val="00636817"/>
    <w:rsid w:val="00663049"/>
    <w:rsid w:val="006E51C9"/>
    <w:rsid w:val="00701E61"/>
    <w:rsid w:val="00721FAE"/>
    <w:rsid w:val="007F7A3D"/>
    <w:rsid w:val="008A2B5C"/>
    <w:rsid w:val="009058EB"/>
    <w:rsid w:val="009105C5"/>
    <w:rsid w:val="00913597"/>
    <w:rsid w:val="0094401C"/>
    <w:rsid w:val="009579F4"/>
    <w:rsid w:val="009854CB"/>
    <w:rsid w:val="00A4574D"/>
    <w:rsid w:val="00AD5723"/>
    <w:rsid w:val="00B2022D"/>
    <w:rsid w:val="00B50270"/>
    <w:rsid w:val="00B5128C"/>
    <w:rsid w:val="00B800F6"/>
    <w:rsid w:val="00BE12EC"/>
    <w:rsid w:val="00BF1C30"/>
    <w:rsid w:val="00C07911"/>
    <w:rsid w:val="00C27B9A"/>
    <w:rsid w:val="00C31AB2"/>
    <w:rsid w:val="00C35354"/>
    <w:rsid w:val="00C54DE9"/>
    <w:rsid w:val="00C605B5"/>
    <w:rsid w:val="00C86976"/>
    <w:rsid w:val="00C963AA"/>
    <w:rsid w:val="00CA43CA"/>
    <w:rsid w:val="00CA7819"/>
    <w:rsid w:val="00CC0603"/>
    <w:rsid w:val="00CD5268"/>
    <w:rsid w:val="00D32021"/>
    <w:rsid w:val="00D55132"/>
    <w:rsid w:val="00DD30CB"/>
    <w:rsid w:val="00DF6DBD"/>
    <w:rsid w:val="00E16B89"/>
    <w:rsid w:val="00E4058E"/>
    <w:rsid w:val="00E45725"/>
    <w:rsid w:val="00E879DF"/>
    <w:rsid w:val="00E87F52"/>
    <w:rsid w:val="00EA0576"/>
    <w:rsid w:val="00EC5E13"/>
    <w:rsid w:val="00ED0EB6"/>
    <w:rsid w:val="00ED39CB"/>
    <w:rsid w:val="00EE329A"/>
    <w:rsid w:val="00F22651"/>
    <w:rsid w:val="00F95384"/>
    <w:rsid w:val="00FA03B6"/>
    <w:rsid w:val="00FA2CE7"/>
    <w:rsid w:val="00FE52C4"/>
    <w:rsid w:val="00F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73D31"/>
  <w15:chartTrackingRefBased/>
  <w15:docId w15:val="{868E8D04-0D95-4E7C-9D19-BBFD18F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5513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5513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CEE"/>
    <w:rPr>
      <w:color w:val="0563C1" w:themeColor="hyperlink"/>
      <w:u w:val="single"/>
    </w:rPr>
  </w:style>
  <w:style w:type="paragraph" w:customStyle="1" w:styleId="font-semibold">
    <w:name w:val="font-semibold"/>
    <w:basedOn w:val="Normal"/>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talic">
    <w:name w:val="italic"/>
    <w:basedOn w:val="Normal"/>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D5513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55132"/>
    <w:rPr>
      <w:rFonts w:ascii="Times New Roman" w:eastAsia="Times New Roman" w:hAnsi="Times New Roman" w:cs="Times New Roman"/>
      <w:b/>
      <w:bCs/>
      <w:kern w:val="0"/>
      <w:sz w:val="27"/>
      <w:szCs w:val="27"/>
      <w14:ligatures w14:val="none"/>
    </w:rPr>
  </w:style>
  <w:style w:type="paragraph" w:customStyle="1" w:styleId="mb-2">
    <w:name w:val="mb-2"/>
    <w:basedOn w:val="Normal"/>
    <w:rsid w:val="00D551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55132"/>
    <w:pPr>
      <w:spacing w:after="0" w:line="240" w:lineRule="auto"/>
    </w:pPr>
  </w:style>
  <w:style w:type="paragraph" w:styleId="Header">
    <w:name w:val="header"/>
    <w:basedOn w:val="Normal"/>
    <w:link w:val="HeaderChar"/>
    <w:uiPriority w:val="99"/>
    <w:unhideWhenUsed/>
    <w:rsid w:val="00D5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32"/>
  </w:style>
  <w:style w:type="paragraph" w:styleId="Footer">
    <w:name w:val="footer"/>
    <w:basedOn w:val="Normal"/>
    <w:link w:val="FooterChar"/>
    <w:uiPriority w:val="99"/>
    <w:unhideWhenUsed/>
    <w:rsid w:val="00D5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32"/>
  </w:style>
  <w:style w:type="character" w:customStyle="1" w:styleId="Heading1Char">
    <w:name w:val="Heading 1 Char"/>
    <w:basedOn w:val="DefaultParagraphFont"/>
    <w:link w:val="Heading1"/>
    <w:uiPriority w:val="9"/>
    <w:rsid w:val="00A4574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50E8D"/>
    <w:rPr>
      <w:i/>
      <w:iCs/>
    </w:rPr>
  </w:style>
  <w:style w:type="character" w:styleId="Strong">
    <w:name w:val="Strong"/>
    <w:basedOn w:val="DefaultParagraphFont"/>
    <w:uiPriority w:val="22"/>
    <w:qFormat/>
    <w:rsid w:val="003F2B73"/>
    <w:rPr>
      <w:b/>
      <w:bCs/>
    </w:rPr>
  </w:style>
  <w:style w:type="paragraph" w:customStyle="1" w:styleId="font-claude-response-body">
    <w:name w:val="font-claude-response-body"/>
    <w:basedOn w:val="Normal"/>
    <w:rsid w:val="00EA05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86976"/>
    <w:pPr>
      <w:spacing w:before="80" w:after="40" w:line="240" w:lineRule="auto"/>
      <w:ind w:left="720"/>
      <w:contextualSpacing/>
    </w:pPr>
    <w:rPr>
      <w:rFonts w:ascii="Cambria" w:eastAsia="Calibri" w:hAnsi="Cambria" w:cs="Times New Roman"/>
      <w:kern w:val="0"/>
      <w14:ligatures w14:val="none"/>
    </w:rPr>
  </w:style>
  <w:style w:type="character" w:customStyle="1" w:styleId="UnresolvedMention1">
    <w:name w:val="Unresolved Mention1"/>
    <w:basedOn w:val="DefaultParagraphFont"/>
    <w:uiPriority w:val="99"/>
    <w:semiHidden/>
    <w:unhideWhenUsed/>
    <w:rsid w:val="005B62F7"/>
    <w:rPr>
      <w:color w:val="605E5C"/>
      <w:shd w:val="clear" w:color="auto" w:fill="E1DFDD"/>
    </w:rPr>
  </w:style>
  <w:style w:type="character" w:styleId="CommentReference">
    <w:name w:val="annotation reference"/>
    <w:basedOn w:val="DefaultParagraphFont"/>
    <w:uiPriority w:val="99"/>
    <w:semiHidden/>
    <w:unhideWhenUsed/>
    <w:rsid w:val="00E45725"/>
    <w:rPr>
      <w:sz w:val="16"/>
      <w:szCs w:val="16"/>
    </w:rPr>
  </w:style>
  <w:style w:type="paragraph" w:styleId="CommentText">
    <w:name w:val="annotation text"/>
    <w:basedOn w:val="Normal"/>
    <w:link w:val="CommentTextChar"/>
    <w:uiPriority w:val="99"/>
    <w:semiHidden/>
    <w:unhideWhenUsed/>
    <w:rsid w:val="00E45725"/>
    <w:pPr>
      <w:spacing w:line="240" w:lineRule="auto"/>
    </w:pPr>
    <w:rPr>
      <w:sz w:val="20"/>
      <w:szCs w:val="20"/>
    </w:rPr>
  </w:style>
  <w:style w:type="character" w:customStyle="1" w:styleId="CommentTextChar">
    <w:name w:val="Comment Text Char"/>
    <w:basedOn w:val="DefaultParagraphFont"/>
    <w:link w:val="CommentText"/>
    <w:uiPriority w:val="99"/>
    <w:semiHidden/>
    <w:rsid w:val="00E45725"/>
    <w:rPr>
      <w:sz w:val="20"/>
      <w:szCs w:val="20"/>
    </w:rPr>
  </w:style>
  <w:style w:type="paragraph" w:styleId="CommentSubject">
    <w:name w:val="annotation subject"/>
    <w:basedOn w:val="CommentText"/>
    <w:next w:val="CommentText"/>
    <w:link w:val="CommentSubjectChar"/>
    <w:uiPriority w:val="99"/>
    <w:semiHidden/>
    <w:unhideWhenUsed/>
    <w:rsid w:val="00E45725"/>
    <w:rPr>
      <w:b/>
      <w:bCs/>
    </w:rPr>
  </w:style>
  <w:style w:type="character" w:customStyle="1" w:styleId="CommentSubjectChar">
    <w:name w:val="Comment Subject Char"/>
    <w:basedOn w:val="CommentTextChar"/>
    <w:link w:val="CommentSubject"/>
    <w:uiPriority w:val="99"/>
    <w:semiHidden/>
    <w:rsid w:val="00E45725"/>
    <w:rPr>
      <w:b/>
      <w:bCs/>
      <w:sz w:val="20"/>
      <w:szCs w:val="20"/>
    </w:rPr>
  </w:style>
  <w:style w:type="paragraph" w:styleId="BalloonText">
    <w:name w:val="Balloon Text"/>
    <w:basedOn w:val="Normal"/>
    <w:link w:val="BalloonTextChar"/>
    <w:uiPriority w:val="99"/>
    <w:semiHidden/>
    <w:unhideWhenUsed/>
    <w:rsid w:val="00E45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1419">
      <w:bodyDiv w:val="1"/>
      <w:marLeft w:val="0"/>
      <w:marRight w:val="0"/>
      <w:marTop w:val="0"/>
      <w:marBottom w:val="0"/>
      <w:divBdr>
        <w:top w:val="none" w:sz="0" w:space="0" w:color="auto"/>
        <w:left w:val="none" w:sz="0" w:space="0" w:color="auto"/>
        <w:bottom w:val="none" w:sz="0" w:space="0" w:color="auto"/>
        <w:right w:val="none" w:sz="0" w:space="0" w:color="auto"/>
      </w:divBdr>
    </w:div>
    <w:div w:id="235434422">
      <w:bodyDiv w:val="1"/>
      <w:marLeft w:val="0"/>
      <w:marRight w:val="0"/>
      <w:marTop w:val="0"/>
      <w:marBottom w:val="0"/>
      <w:divBdr>
        <w:top w:val="none" w:sz="0" w:space="0" w:color="auto"/>
        <w:left w:val="none" w:sz="0" w:space="0" w:color="auto"/>
        <w:bottom w:val="none" w:sz="0" w:space="0" w:color="auto"/>
        <w:right w:val="none" w:sz="0" w:space="0" w:color="auto"/>
      </w:divBdr>
    </w:div>
    <w:div w:id="895970944">
      <w:bodyDiv w:val="1"/>
      <w:marLeft w:val="0"/>
      <w:marRight w:val="0"/>
      <w:marTop w:val="0"/>
      <w:marBottom w:val="0"/>
      <w:divBdr>
        <w:top w:val="none" w:sz="0" w:space="0" w:color="auto"/>
        <w:left w:val="none" w:sz="0" w:space="0" w:color="auto"/>
        <w:bottom w:val="none" w:sz="0" w:space="0" w:color="auto"/>
        <w:right w:val="none" w:sz="0" w:space="0" w:color="auto"/>
      </w:divBdr>
    </w:div>
    <w:div w:id="1183862724">
      <w:bodyDiv w:val="1"/>
      <w:marLeft w:val="0"/>
      <w:marRight w:val="0"/>
      <w:marTop w:val="0"/>
      <w:marBottom w:val="0"/>
      <w:divBdr>
        <w:top w:val="none" w:sz="0" w:space="0" w:color="auto"/>
        <w:left w:val="none" w:sz="0" w:space="0" w:color="auto"/>
        <w:bottom w:val="none" w:sz="0" w:space="0" w:color="auto"/>
        <w:right w:val="none" w:sz="0" w:space="0" w:color="auto"/>
      </w:divBdr>
    </w:div>
    <w:div w:id="1215040576">
      <w:bodyDiv w:val="1"/>
      <w:marLeft w:val="0"/>
      <w:marRight w:val="0"/>
      <w:marTop w:val="0"/>
      <w:marBottom w:val="0"/>
      <w:divBdr>
        <w:top w:val="none" w:sz="0" w:space="0" w:color="auto"/>
        <w:left w:val="none" w:sz="0" w:space="0" w:color="auto"/>
        <w:bottom w:val="none" w:sz="0" w:space="0" w:color="auto"/>
        <w:right w:val="none" w:sz="0" w:space="0" w:color="auto"/>
      </w:divBdr>
    </w:div>
    <w:div w:id="1334071070">
      <w:bodyDiv w:val="1"/>
      <w:marLeft w:val="0"/>
      <w:marRight w:val="0"/>
      <w:marTop w:val="0"/>
      <w:marBottom w:val="0"/>
      <w:divBdr>
        <w:top w:val="none" w:sz="0" w:space="0" w:color="auto"/>
        <w:left w:val="none" w:sz="0" w:space="0" w:color="auto"/>
        <w:bottom w:val="none" w:sz="0" w:space="0" w:color="auto"/>
        <w:right w:val="none" w:sz="0" w:space="0" w:color="auto"/>
      </w:divBdr>
    </w:div>
    <w:div w:id="1334189113">
      <w:bodyDiv w:val="1"/>
      <w:marLeft w:val="0"/>
      <w:marRight w:val="0"/>
      <w:marTop w:val="0"/>
      <w:marBottom w:val="0"/>
      <w:divBdr>
        <w:top w:val="none" w:sz="0" w:space="0" w:color="auto"/>
        <w:left w:val="none" w:sz="0" w:space="0" w:color="auto"/>
        <w:bottom w:val="none" w:sz="0" w:space="0" w:color="auto"/>
        <w:right w:val="none" w:sz="0" w:space="0" w:color="auto"/>
      </w:divBdr>
    </w:div>
    <w:div w:id="1391227851">
      <w:bodyDiv w:val="1"/>
      <w:marLeft w:val="0"/>
      <w:marRight w:val="0"/>
      <w:marTop w:val="0"/>
      <w:marBottom w:val="0"/>
      <w:divBdr>
        <w:top w:val="none" w:sz="0" w:space="0" w:color="auto"/>
        <w:left w:val="none" w:sz="0" w:space="0" w:color="auto"/>
        <w:bottom w:val="none" w:sz="0" w:space="0" w:color="auto"/>
        <w:right w:val="none" w:sz="0" w:space="0" w:color="auto"/>
      </w:divBdr>
    </w:div>
    <w:div w:id="1641500238">
      <w:bodyDiv w:val="1"/>
      <w:marLeft w:val="0"/>
      <w:marRight w:val="0"/>
      <w:marTop w:val="0"/>
      <w:marBottom w:val="0"/>
      <w:divBdr>
        <w:top w:val="none" w:sz="0" w:space="0" w:color="auto"/>
        <w:left w:val="none" w:sz="0" w:space="0" w:color="auto"/>
        <w:bottom w:val="none" w:sz="0" w:space="0" w:color="auto"/>
        <w:right w:val="none" w:sz="0" w:space="0" w:color="auto"/>
      </w:divBdr>
    </w:div>
    <w:div w:id="1807502129">
      <w:bodyDiv w:val="1"/>
      <w:marLeft w:val="0"/>
      <w:marRight w:val="0"/>
      <w:marTop w:val="0"/>
      <w:marBottom w:val="0"/>
      <w:divBdr>
        <w:top w:val="none" w:sz="0" w:space="0" w:color="auto"/>
        <w:left w:val="none" w:sz="0" w:space="0" w:color="auto"/>
        <w:bottom w:val="none" w:sz="0" w:space="0" w:color="auto"/>
        <w:right w:val="none" w:sz="0" w:space="0" w:color="auto"/>
      </w:divBdr>
    </w:div>
    <w:div w:id="2092652485">
      <w:bodyDiv w:val="1"/>
      <w:marLeft w:val="0"/>
      <w:marRight w:val="0"/>
      <w:marTop w:val="0"/>
      <w:marBottom w:val="0"/>
      <w:divBdr>
        <w:top w:val="none" w:sz="0" w:space="0" w:color="auto"/>
        <w:left w:val="none" w:sz="0" w:space="0" w:color="auto"/>
        <w:bottom w:val="none" w:sz="0" w:space="0" w:color="auto"/>
        <w:right w:val="none" w:sz="0" w:space="0" w:color="auto"/>
      </w:divBdr>
      <w:divsChild>
        <w:div w:id="1531607449">
          <w:marLeft w:val="0"/>
          <w:marRight w:val="0"/>
          <w:marTop w:val="0"/>
          <w:marBottom w:val="0"/>
          <w:divBdr>
            <w:top w:val="single" w:sz="2" w:space="0" w:color="E5E7EB"/>
            <w:left w:val="single" w:sz="2" w:space="0" w:color="E5E7EB"/>
            <w:bottom w:val="single" w:sz="2" w:space="0" w:color="E5E7EB"/>
            <w:right w:val="single" w:sz="2" w:space="0" w:color="E5E7EB"/>
          </w:divBdr>
          <w:divsChild>
            <w:div w:id="300694501">
              <w:marLeft w:val="0"/>
              <w:marRight w:val="0"/>
              <w:marTop w:val="0"/>
              <w:marBottom w:val="0"/>
              <w:divBdr>
                <w:top w:val="single" w:sz="2" w:space="0" w:color="E5E7EB"/>
                <w:left w:val="single" w:sz="2" w:space="0" w:color="E5E7EB"/>
                <w:bottom w:val="single" w:sz="2" w:space="0" w:color="E5E7EB"/>
                <w:right w:val="single" w:sz="2" w:space="0" w:color="E5E7EB"/>
              </w:divBdr>
              <w:divsChild>
                <w:div w:id="1457529600">
                  <w:marLeft w:val="0"/>
                  <w:marRight w:val="0"/>
                  <w:marTop w:val="360"/>
                  <w:marBottom w:val="0"/>
                  <w:divBdr>
                    <w:top w:val="single" w:sz="2" w:space="0" w:color="3B82F6"/>
                    <w:left w:val="single" w:sz="24" w:space="0" w:color="3B82F6"/>
                    <w:bottom w:val="single" w:sz="2" w:space="0" w:color="3B82F6"/>
                    <w:right w:val="single" w:sz="2" w:space="0" w:color="3B82F6"/>
                  </w:divBdr>
                </w:div>
                <w:div w:id="1061322141">
                  <w:marLeft w:val="0"/>
                  <w:marRight w:val="0"/>
                  <w:marTop w:val="360"/>
                  <w:marBottom w:val="0"/>
                  <w:divBdr>
                    <w:top w:val="single" w:sz="2" w:space="0" w:color="22C55E"/>
                    <w:left w:val="single" w:sz="24" w:space="0" w:color="22C55E"/>
                    <w:bottom w:val="single" w:sz="2" w:space="0" w:color="22C55E"/>
                    <w:right w:val="single" w:sz="2" w:space="0" w:color="22C55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ystem.2019.102185" TargetMode="External"/><Relationship Id="rId18" Type="http://schemas.openxmlformats.org/officeDocument/2006/relationships/hyperlink" Target="https://doi.org/10.1075/jslp.00005.mro" TargetMode="External"/><Relationship Id="rId26" Type="http://schemas.openxmlformats.org/officeDocument/2006/relationships/hyperlink" Target="https://doi.org/10.1057/978-1-137-47677-7" TargetMode="External"/><Relationship Id="rId39" Type="http://schemas.openxmlformats.org/officeDocument/2006/relationships/theme" Target="theme/theme1.xml"/><Relationship Id="rId21" Type="http://schemas.openxmlformats.org/officeDocument/2006/relationships/hyperlink" Target="https://doi.org/10.12973/eujem.6.1.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515/9783110619065" TargetMode="External"/><Relationship Id="rId17" Type="http://schemas.openxmlformats.org/officeDocument/2006/relationships/hyperlink" Target="https://doi.org/10.1016/j.system.2015.12.013" TargetMode="External"/><Relationship Id="rId25" Type="http://schemas.openxmlformats.org/officeDocument/2006/relationships/hyperlink" Target="https://doi.org/10.1080/10494820.2020.176539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58/cj.v32i1.25962" TargetMode="External"/><Relationship Id="rId20" Type="http://schemas.openxmlformats.org/officeDocument/2006/relationships/hyperlink" Target="https://journals.adrri.org/index.php/adrrij/article/view/1172/839" TargetMode="External"/><Relationship Id="rId29" Type="http://schemas.openxmlformats.org/officeDocument/2006/relationships/hyperlink" Target="https://doi.org/10.1111/ijal.12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19.1648298" TargetMode="External"/><Relationship Id="rId24" Type="http://schemas.openxmlformats.org/officeDocument/2006/relationships/hyperlink" Target="https://doi.org/10.1111/weng.127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7/9781108241564" TargetMode="External"/><Relationship Id="rId23" Type="http://schemas.openxmlformats.org/officeDocument/2006/relationships/hyperlink" Target="https://doi.org/10.1075/eww.00093.oye" TargetMode="External"/><Relationship Id="rId28" Type="http://schemas.openxmlformats.org/officeDocument/2006/relationships/hyperlink" Target="https://doi.org/10.3390/su12020524" TargetMode="External"/><Relationship Id="rId36" Type="http://schemas.openxmlformats.org/officeDocument/2006/relationships/header" Target="header3.xml"/><Relationship Id="rId10" Type="http://schemas.openxmlformats.org/officeDocument/2006/relationships/hyperlink" Target="https://doi.org/10125/44709" TargetMode="External"/><Relationship Id="rId19" Type="http://schemas.openxmlformats.org/officeDocument/2006/relationships/hyperlink" Target="https://doi.org/10.1017/S0958344023000113" TargetMode="External"/><Relationship Id="rId31" Type="http://schemas.openxmlformats.org/officeDocument/2006/relationships/hyperlink" Target="https://doi.org/10.1080/10494820.2018.1495653" TargetMode="External"/><Relationship Id="rId4" Type="http://schemas.openxmlformats.org/officeDocument/2006/relationships/settings" Target="settings.xml"/><Relationship Id="rId9" Type="http://schemas.openxmlformats.org/officeDocument/2006/relationships/hyperlink" Target="https://doi.org/10.1002/9781405198431.wbeal0196.pub2" TargetMode="External"/><Relationship Id="rId14" Type="http://schemas.openxmlformats.org/officeDocument/2006/relationships/hyperlink" Target="https://doi.org/10.3390/languages4010013" TargetMode="External"/><Relationship Id="rId22" Type="http://schemas.openxmlformats.org/officeDocument/2006/relationships/hyperlink" Target="https://doi.org/10.1111/weng.12492" TargetMode="External"/><Relationship Id="rId27" Type="http://schemas.openxmlformats.org/officeDocument/2006/relationships/hyperlink" Target="https://doi.org/10.1080/09588221.2017.1382536" TargetMode="External"/><Relationship Id="rId30" Type="http://schemas.openxmlformats.org/officeDocument/2006/relationships/hyperlink" Target="https://doi.org/10.1007/s11423-022-10161-4" TargetMode="External"/><Relationship Id="rId35" Type="http://schemas.openxmlformats.org/officeDocument/2006/relationships/footer" Target="footer2.xml"/><Relationship Id="rId8" Type="http://schemas.openxmlformats.org/officeDocument/2006/relationships/hyperlink" Target="https://doi.org/10.1017/S095834402400018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4D23-E4D5-4298-B3D4-CA9F667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8793</Words>
  <Characters>50125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Imikan Nkopuruk</dc:creator>
  <cp:keywords/>
  <dc:description/>
  <cp:lastModifiedBy>SDI 1158</cp:lastModifiedBy>
  <cp:revision>45</cp:revision>
  <dcterms:created xsi:type="dcterms:W3CDTF">2026-01-28T14:42:00Z</dcterms:created>
  <dcterms:modified xsi:type="dcterms:W3CDTF">2026-02-03T07:33:00Z</dcterms:modified>
</cp:coreProperties>
</file>