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3146" w14:textId="5DE3CD08" w:rsidR="00265709" w:rsidRDefault="00E45A8E" w:rsidP="00C754B5">
      <w:pPr>
        <w:spacing w:line="360" w:lineRule="auto"/>
        <w:jc w:val="center"/>
        <w:rPr>
          <w:rFonts w:ascii="Cambria" w:hAnsi="Cambria"/>
          <w:b/>
          <w:bCs/>
          <w:sz w:val="24"/>
          <w:szCs w:val="24"/>
        </w:rPr>
      </w:pPr>
      <w:r w:rsidRPr="00475658">
        <w:rPr>
          <w:rFonts w:ascii="Cambria" w:hAnsi="Cambria"/>
          <w:b/>
          <w:bCs/>
          <w:sz w:val="24"/>
          <w:szCs w:val="24"/>
        </w:rPr>
        <w:t>Negotiating Government Curriculum Mandates: Filipino English Teachers’ Use of PowerPoint in Classroom Practice</w:t>
      </w:r>
    </w:p>
    <w:p w14:paraId="4C1873B4" w14:textId="77777777" w:rsidR="00B33652" w:rsidRPr="00B33652" w:rsidRDefault="00B33652" w:rsidP="00B33652">
      <w:pPr>
        <w:spacing w:line="360" w:lineRule="auto"/>
        <w:jc w:val="center"/>
        <w:rPr>
          <w:rFonts w:ascii="Cambria" w:hAnsi="Cambria"/>
          <w:sz w:val="24"/>
          <w:szCs w:val="24"/>
          <w:vertAlign w:val="superscript"/>
        </w:rPr>
      </w:pPr>
    </w:p>
    <w:p w14:paraId="2E5B0BB7" w14:textId="77777777" w:rsidR="00E45A8E" w:rsidRPr="00475658" w:rsidRDefault="00E45A8E">
      <w:pPr>
        <w:rPr>
          <w:rFonts w:ascii="Cambria" w:hAnsi="Cambria"/>
          <w:sz w:val="24"/>
          <w:szCs w:val="24"/>
        </w:rPr>
      </w:pPr>
    </w:p>
    <w:p w14:paraId="40525F28" w14:textId="0A86F493" w:rsidR="00E45A8E" w:rsidRPr="00475658" w:rsidRDefault="00E45A8E">
      <w:pPr>
        <w:rPr>
          <w:rFonts w:ascii="Cambria" w:hAnsi="Cambria"/>
          <w:b/>
          <w:bCs/>
          <w:sz w:val="24"/>
          <w:szCs w:val="24"/>
        </w:rPr>
      </w:pPr>
      <w:r w:rsidRPr="00475658">
        <w:rPr>
          <w:rFonts w:ascii="Cambria" w:hAnsi="Cambria"/>
          <w:b/>
          <w:bCs/>
          <w:sz w:val="24"/>
          <w:szCs w:val="24"/>
        </w:rPr>
        <w:t>Abstract</w:t>
      </w:r>
    </w:p>
    <w:p w14:paraId="0ED282D0" w14:textId="0639F814" w:rsidR="00E45A8E" w:rsidRPr="00475658" w:rsidRDefault="00661689" w:rsidP="00E45A8E">
      <w:pPr>
        <w:jc w:val="both"/>
        <w:rPr>
          <w:rFonts w:ascii="Cambria" w:hAnsi="Cambria"/>
          <w:sz w:val="24"/>
          <w:szCs w:val="24"/>
        </w:rPr>
      </w:pPr>
      <w:r w:rsidRPr="00661689">
        <w:rPr>
          <w:rFonts w:ascii="Cambria" w:hAnsi="Cambria"/>
          <w:sz w:val="24"/>
          <w:szCs w:val="24"/>
        </w:rPr>
        <w:t>Despite the widespread use of government-developed lesson plans and digital instructional tools in Philippine secondary schools, little is known about how English teachers interpret and adapt these mandated materials in combination with PowerPoint-based instruction to meet diverse classroom needs.</w:t>
      </w:r>
      <w:r>
        <w:rPr>
          <w:rFonts w:ascii="Cambria" w:hAnsi="Cambria"/>
          <w:sz w:val="24"/>
          <w:szCs w:val="24"/>
        </w:rPr>
        <w:t xml:space="preserve"> </w:t>
      </w:r>
      <w:r w:rsidR="00E45A8E" w:rsidRPr="00475658">
        <w:rPr>
          <w:rFonts w:ascii="Cambria" w:hAnsi="Cambria"/>
          <w:sz w:val="24"/>
          <w:szCs w:val="24"/>
        </w:rPr>
        <w:t>This study examines how Filipino English teachers interpret and implement government-developed lesson plans in combination with PowerPoint-based instruction in secondary school classrooms. It explores teachers’ perceptions of the effectiveness of these instructional resources and the challenges they encounter when adapting centrally designed materials to diverse learner needs. Employing a mixed-methods design, the study involved eight English teachers from a public secondary school in the Philippines. Data were collected through non-participant classroom observations and online questionnaires consisting of both closed-ended and open-ended items. Quantitative data were analysed using descriptive statistics, while qualitative responses were examined through thematic analysis. The findings indicate a strong teacher preference for PowerPoint due to its flexibility, visual affordances, and capacity to support interactive learning. Despite this preference, textbooks remain valued for providing structure, supporting independent learning, and ensuring curriculum coverage. Government-developed lesson plans were perceived as useful for alignment with national standards, but were frequently criticised for their limited flexibility, requiring teachers to adapt them to suit classroom realities. Key challenges identified include time constraints, limited professional training, and unequal access to technological resources. The study highlights the importance of blended instructional approaches that integrate digital tools with conventional materials and underscores the need for greater teacher autonomy, targeted professional development, and improved infrastructure to support effective technology integration in English language teaching.</w:t>
      </w:r>
    </w:p>
    <w:p w14:paraId="7BA0DCA1" w14:textId="0CE19CD5" w:rsidR="00E45A8E" w:rsidRPr="00475658" w:rsidRDefault="00E45A8E" w:rsidP="00E45A8E">
      <w:pPr>
        <w:jc w:val="both"/>
        <w:rPr>
          <w:rFonts w:ascii="Cambria" w:hAnsi="Cambria"/>
          <w:sz w:val="24"/>
          <w:szCs w:val="24"/>
        </w:rPr>
      </w:pPr>
      <w:r w:rsidRPr="00475658">
        <w:rPr>
          <w:rFonts w:ascii="Cambria" w:hAnsi="Cambria"/>
          <w:b/>
          <w:bCs/>
          <w:i/>
          <w:iCs/>
          <w:sz w:val="24"/>
          <w:szCs w:val="24"/>
        </w:rPr>
        <w:t>Keywords:</w:t>
      </w:r>
      <w:r w:rsidRPr="00475658">
        <w:rPr>
          <w:rFonts w:ascii="Cambria" w:hAnsi="Cambria"/>
          <w:sz w:val="24"/>
          <w:szCs w:val="24"/>
        </w:rPr>
        <w:t xml:space="preserve"> English language teaching; government-developed lesson plans; Philippine secondary education; PowerPoint integration; teacher agency</w:t>
      </w:r>
    </w:p>
    <w:p w14:paraId="2D1D8E9A" w14:textId="213A368C" w:rsidR="00E45A8E" w:rsidRPr="00475658" w:rsidRDefault="00E45A8E" w:rsidP="00E45A8E">
      <w:pPr>
        <w:jc w:val="both"/>
        <w:rPr>
          <w:rFonts w:ascii="Cambria" w:hAnsi="Cambria"/>
          <w:b/>
          <w:bCs/>
          <w:sz w:val="24"/>
          <w:szCs w:val="24"/>
        </w:rPr>
      </w:pPr>
      <w:r w:rsidRPr="00475658">
        <w:rPr>
          <w:rFonts w:ascii="Cambria" w:hAnsi="Cambria"/>
          <w:b/>
          <w:bCs/>
          <w:sz w:val="24"/>
          <w:szCs w:val="24"/>
        </w:rPr>
        <w:t>Introduction</w:t>
      </w:r>
    </w:p>
    <w:p w14:paraId="0791A105" w14:textId="54CFE6A2" w:rsidR="00E45A8E" w:rsidRPr="00475658" w:rsidRDefault="00E45A8E" w:rsidP="00E45A8E">
      <w:pPr>
        <w:ind w:firstLine="709"/>
        <w:jc w:val="both"/>
        <w:rPr>
          <w:rFonts w:ascii="Cambria" w:hAnsi="Cambria"/>
          <w:sz w:val="24"/>
          <w:szCs w:val="24"/>
        </w:rPr>
      </w:pPr>
      <w:r w:rsidRPr="00475658">
        <w:rPr>
          <w:rFonts w:ascii="Cambria" w:hAnsi="Cambria"/>
          <w:sz w:val="24"/>
          <w:szCs w:val="24"/>
        </w:rPr>
        <w:t xml:space="preserve">Teaching materials play a central role in shaping classroom practices and learning experiences in English language education. In language teaching, instructional materials may include textbooks, digital resources, multimedia presentations, and teacher-developed materials, each offering different pedagogical affordances </w:t>
      </w:r>
      <w:r w:rsidR="00EB7D45" w:rsidRPr="00475658">
        <w:rPr>
          <w:rFonts w:ascii="Cambria" w:hAnsi="Cambria"/>
          <w:sz w:val="24"/>
          <w:szCs w:val="24"/>
        </w:rPr>
        <w:fldChar w:fldCharType="begin"/>
      </w:r>
      <w:r w:rsidR="00EB7D45" w:rsidRPr="00475658">
        <w:rPr>
          <w:rFonts w:ascii="Cambria" w:hAnsi="Cambria"/>
          <w:sz w:val="24"/>
          <w:szCs w:val="24"/>
        </w:rPr>
        <w:instrText xml:space="preserve"> ADDIN ZOTERO_ITEM CSL_CITATION {"citationID":"AP5TXfDa","properties":{"formattedCitation":"(Tomlinson, 2012)","plainCitation":"(Tomlinson, 2012)","noteIndex":0},"citationItems":[{"id":4615,"uris":["http://zotero.org/users/8206803/items/8ENXNNRK"],"itemData":{"id":4615,"type":"article-journal","abstract":"This article reviews the literature on the relatively new field of materials development for language learning and teaching. It reports the origins and development of the field and then reviews the literature on the evaluation, adaptation, production and exploitation of learning materials. It also reviews the literature, first, on a number of controversial issues in the field, next, on electronic delivery of materials and, third, on research in materials development. It identifies gaps in the literature and makes proposals for future progress in materials development and in the research within the field. Much of the literature focuses on materials for learning English but the same principles apply to materials for learning any L2, as has been acknowledged by some of the authors whose publications focus on materials for learning other languages.","container-title":"Language Teaching","DOI":"10.1017/S0261444811000528","ISSN":"0261-4448, 1475-3049","issue":"2","journalAbbreviation":"Lang. Teach.","language":"en","license":"https://www.cambridge.org/core/terms","page":"143-179","source":"DOI.org (Crossref)","title":"Materials development for language learning and teaching","volume":"45","author":[{"family":"Tomlinson","given":"Brian"}],"issued":{"date-parts":[["2012",4]]}}}],"schema":"https://github.com/citation-style-language/schema/raw/master/csl-citation.json"} </w:instrText>
      </w:r>
      <w:r w:rsidR="00EB7D45" w:rsidRPr="00475658">
        <w:rPr>
          <w:rFonts w:ascii="Cambria" w:hAnsi="Cambria"/>
          <w:sz w:val="24"/>
          <w:szCs w:val="24"/>
        </w:rPr>
        <w:fldChar w:fldCharType="separate"/>
      </w:r>
      <w:r w:rsidR="00EB7D45" w:rsidRPr="00475658">
        <w:rPr>
          <w:rFonts w:ascii="Cambria" w:hAnsi="Cambria"/>
          <w:sz w:val="24"/>
        </w:rPr>
        <w:t>(Tomlinson, 2012)</w:t>
      </w:r>
      <w:r w:rsidR="00EB7D45" w:rsidRPr="00475658">
        <w:rPr>
          <w:rFonts w:ascii="Cambria" w:hAnsi="Cambria"/>
          <w:sz w:val="24"/>
          <w:szCs w:val="24"/>
        </w:rPr>
        <w:fldChar w:fldCharType="end"/>
      </w:r>
      <w:r w:rsidRPr="00475658">
        <w:rPr>
          <w:rFonts w:ascii="Cambria" w:hAnsi="Cambria"/>
          <w:sz w:val="24"/>
          <w:szCs w:val="24"/>
        </w:rPr>
        <w:t>. Digital tools and multimedia resources</w:t>
      </w:r>
      <w:r w:rsidR="00C754B5" w:rsidRPr="00475658">
        <w:rPr>
          <w:rFonts w:ascii="Cambria" w:hAnsi="Cambria"/>
          <w:sz w:val="24"/>
          <w:szCs w:val="24"/>
        </w:rPr>
        <w:t xml:space="preserve"> have</w:t>
      </w:r>
      <w:r w:rsidRPr="00475658">
        <w:rPr>
          <w:rFonts w:ascii="Cambria" w:hAnsi="Cambria"/>
          <w:sz w:val="24"/>
          <w:szCs w:val="24"/>
        </w:rPr>
        <w:t xml:space="preserve"> been shown to support diverse learning styles and promote student engagement, while traditional materials such as textbooks continue to provide structure, continuity, and curricular alignment, especially in resource-constrained contexts (Smart et al., 2020).</w:t>
      </w:r>
    </w:p>
    <w:p w14:paraId="04916448" w14:textId="55E1D00A" w:rsidR="00E45A8E" w:rsidRPr="00475658" w:rsidRDefault="00E45A8E" w:rsidP="00E45A8E">
      <w:pPr>
        <w:ind w:firstLine="709"/>
        <w:jc w:val="both"/>
        <w:rPr>
          <w:rFonts w:ascii="Cambria" w:hAnsi="Cambria"/>
          <w:sz w:val="24"/>
          <w:szCs w:val="24"/>
        </w:rPr>
      </w:pPr>
      <w:r w:rsidRPr="00475658">
        <w:rPr>
          <w:rFonts w:ascii="Cambria" w:hAnsi="Cambria"/>
          <w:sz w:val="24"/>
          <w:szCs w:val="24"/>
        </w:rPr>
        <w:lastRenderedPageBreak/>
        <w:t>In many educational systems, including the Philippines, instructional practices are further shaped by centrally developed curricula and government-produced lesson plans. Under the MATATAG curriculum, the Philippine Department of Education provides standardized lesson plans, textbooks, and teaching guides to ensure coherence and equity across schools (</w:t>
      </w:r>
      <w:proofErr w:type="spellStart"/>
      <w:r w:rsidRPr="00475658">
        <w:rPr>
          <w:rFonts w:ascii="Cambria" w:hAnsi="Cambria"/>
          <w:sz w:val="24"/>
          <w:szCs w:val="24"/>
        </w:rPr>
        <w:t>Kilag</w:t>
      </w:r>
      <w:proofErr w:type="spellEnd"/>
      <w:r w:rsidRPr="00475658">
        <w:rPr>
          <w:rFonts w:ascii="Cambria" w:hAnsi="Cambria"/>
          <w:sz w:val="24"/>
          <w:szCs w:val="24"/>
        </w:rPr>
        <w:t xml:space="preserve"> et al., 2024). While such materials aim to support teachers and promote national consistency, research suggests that centralized instructional resources may also limit contextual flexibility and teacher autonomy, particularly when classroom realities diverge from curriculum assumptions (Ball &amp; Bowe, 1992). Teachers are often required to adapt these materials to address differences in students’ language proficiency, learning needs, and access to resources.</w:t>
      </w:r>
    </w:p>
    <w:p w14:paraId="77680ED5" w14:textId="05153584" w:rsidR="00E45A8E" w:rsidRPr="00475658" w:rsidRDefault="00661689" w:rsidP="00E45A8E">
      <w:pPr>
        <w:ind w:firstLine="709"/>
        <w:jc w:val="both"/>
        <w:rPr>
          <w:rFonts w:ascii="Cambria" w:hAnsi="Cambria"/>
          <w:sz w:val="24"/>
          <w:szCs w:val="24"/>
        </w:rPr>
      </w:pPr>
      <w:r w:rsidRPr="00661689">
        <w:rPr>
          <w:rFonts w:ascii="Cambria" w:hAnsi="Cambria"/>
          <w:sz w:val="24"/>
          <w:szCs w:val="24"/>
        </w:rPr>
        <w:t>Despite the availability of standardized lesson plans and digital instructional tools, teachers often face tensions between curriculum mandates and classroom realities. Government-developed lesson plans may not fully accommodate variations in students’ proficiency levels, access to resources, and learning needs, while the integration of digital tools such as PowerPoint requires pedagogical judgement, time, and technological competence. However, limited empirical research has examined how English teachers navigate these challenges by adapting mandated lesson plans through PowerPoint-based instruction in centralized curriculum contexts such as the Philippines.</w:t>
      </w:r>
      <w:r>
        <w:rPr>
          <w:rFonts w:ascii="Cambria" w:hAnsi="Cambria"/>
          <w:sz w:val="24"/>
          <w:szCs w:val="24"/>
        </w:rPr>
        <w:t xml:space="preserve"> </w:t>
      </w:r>
      <w:r w:rsidR="00E45A8E" w:rsidRPr="00475658">
        <w:rPr>
          <w:rFonts w:ascii="Cambria" w:hAnsi="Cambria"/>
          <w:sz w:val="24"/>
          <w:szCs w:val="24"/>
        </w:rPr>
        <w:t>Alongside government-developed materials, PowerPoint has become a widely used instructional tool in English language teaching. Previous studies report that PowerPoint can enhance lesson clarity, visual engagement, and interactivity when used pedagogically (</w:t>
      </w:r>
      <w:proofErr w:type="spellStart"/>
      <w:r w:rsidR="00E45A8E" w:rsidRPr="00475658">
        <w:rPr>
          <w:rFonts w:ascii="Cambria" w:hAnsi="Cambria"/>
          <w:sz w:val="24"/>
          <w:szCs w:val="24"/>
        </w:rPr>
        <w:t>Ishartono</w:t>
      </w:r>
      <w:proofErr w:type="spellEnd"/>
      <w:r w:rsidR="00E45A8E" w:rsidRPr="00475658">
        <w:rPr>
          <w:rFonts w:ascii="Cambria" w:hAnsi="Cambria"/>
          <w:sz w:val="24"/>
          <w:szCs w:val="24"/>
        </w:rPr>
        <w:t xml:space="preserve"> et al., 2022; </w:t>
      </w:r>
      <w:proofErr w:type="spellStart"/>
      <w:r w:rsidR="00E45A8E" w:rsidRPr="00475658">
        <w:rPr>
          <w:rFonts w:ascii="Cambria" w:hAnsi="Cambria"/>
          <w:sz w:val="24"/>
          <w:szCs w:val="24"/>
        </w:rPr>
        <w:t>Dewi</w:t>
      </w:r>
      <w:proofErr w:type="spellEnd"/>
      <w:r w:rsidR="00E45A8E" w:rsidRPr="00475658">
        <w:rPr>
          <w:rFonts w:ascii="Cambria" w:hAnsi="Cambria"/>
          <w:sz w:val="24"/>
          <w:szCs w:val="24"/>
        </w:rPr>
        <w:t xml:space="preserve"> &amp; </w:t>
      </w:r>
      <w:proofErr w:type="spellStart"/>
      <w:r w:rsidR="00E45A8E" w:rsidRPr="00475658">
        <w:rPr>
          <w:rFonts w:ascii="Cambria" w:hAnsi="Cambria"/>
          <w:sz w:val="24"/>
          <w:szCs w:val="24"/>
        </w:rPr>
        <w:t>Kareviati</w:t>
      </w:r>
      <w:proofErr w:type="spellEnd"/>
      <w:r w:rsidR="00E45A8E" w:rsidRPr="00475658">
        <w:rPr>
          <w:rFonts w:ascii="Cambria" w:hAnsi="Cambria"/>
          <w:sz w:val="24"/>
          <w:szCs w:val="24"/>
        </w:rPr>
        <w:t>, 2021). However, its effectiveness is highly dependent on how it is integrated into teaching, with concerns raised about overreliance, limited interactivity, and insufficient teacher training (León &amp; García-Martínez, 2021; Ahmad et al., 2022). These findings suggest that digital tools alone do not transform teaching practices without informed pedagogical decision-making.</w:t>
      </w:r>
    </w:p>
    <w:p w14:paraId="28C7553E" w14:textId="67DA3C6F" w:rsidR="00E45A8E" w:rsidRPr="00475658" w:rsidRDefault="00E45A8E" w:rsidP="00E45A8E">
      <w:pPr>
        <w:ind w:firstLine="709"/>
        <w:jc w:val="both"/>
        <w:rPr>
          <w:rFonts w:ascii="Cambria" w:hAnsi="Cambria"/>
          <w:sz w:val="24"/>
          <w:szCs w:val="24"/>
        </w:rPr>
      </w:pPr>
      <w:r w:rsidRPr="00475658">
        <w:rPr>
          <w:rFonts w:ascii="Cambria" w:hAnsi="Cambria"/>
          <w:sz w:val="24"/>
          <w:szCs w:val="24"/>
        </w:rPr>
        <w:t>Although existing research has examined textbooks and PowerPoint as separate instructional resources, limited attention has been given to how teachers integrate digital tools with government-developed lesson plans in centralized curriculum contexts. In particular, there is a lack of empirical research exploring teachers’ perspectives on adapting mandated lesson plans through PowerPoint-based instruction to meet diverse classroom needs. Understanding this integration process is crucial, as it highlights how teachers exercise professional judgement and agency within policy constraints.</w:t>
      </w:r>
    </w:p>
    <w:p w14:paraId="5556DBE4" w14:textId="021DEF56" w:rsidR="00E45A8E" w:rsidRPr="00475658" w:rsidRDefault="00E45A8E" w:rsidP="00E45A8E">
      <w:pPr>
        <w:ind w:firstLine="709"/>
        <w:jc w:val="both"/>
        <w:rPr>
          <w:rFonts w:ascii="Cambria" w:hAnsi="Cambria"/>
          <w:sz w:val="24"/>
          <w:szCs w:val="24"/>
        </w:rPr>
      </w:pPr>
      <w:r w:rsidRPr="00475658">
        <w:rPr>
          <w:rFonts w:ascii="Cambria" w:hAnsi="Cambria"/>
          <w:sz w:val="24"/>
          <w:szCs w:val="24"/>
        </w:rPr>
        <w:t>Addressing this gap, the present study examines how Filipino English teachers perceive and use government-developed lesson plans in combination with PowerPoint-based instruction. Drawing on the TPACK framework (Mishra &amp; Koehler, 2006) and the concept of teacher agency (</w:t>
      </w:r>
      <w:proofErr w:type="spellStart"/>
      <w:r w:rsidRPr="00475658">
        <w:rPr>
          <w:rFonts w:ascii="Cambria" w:hAnsi="Cambria"/>
          <w:sz w:val="24"/>
          <w:szCs w:val="24"/>
        </w:rPr>
        <w:t>Biesta</w:t>
      </w:r>
      <w:proofErr w:type="spellEnd"/>
      <w:r w:rsidRPr="00475658">
        <w:rPr>
          <w:rFonts w:ascii="Cambria" w:hAnsi="Cambria"/>
          <w:sz w:val="24"/>
          <w:szCs w:val="24"/>
        </w:rPr>
        <w:t xml:space="preserve"> et al., 2015), the study explores how teachers negotiate curriculum mandates while integrating technology into their classroom practices. By focusing on teachers’ decision-making and instructional adaptations, this study aims to contribute insights into curriculum enactment, technology integration, and teacher professionalism in English language education.</w:t>
      </w:r>
    </w:p>
    <w:p w14:paraId="0112597C" w14:textId="4E519D8D" w:rsidR="00E45A8E" w:rsidRPr="00475658" w:rsidRDefault="00E45A8E" w:rsidP="00E45A8E">
      <w:pPr>
        <w:jc w:val="both"/>
        <w:rPr>
          <w:rFonts w:ascii="Cambria" w:hAnsi="Cambria"/>
          <w:b/>
          <w:bCs/>
          <w:sz w:val="24"/>
          <w:szCs w:val="24"/>
        </w:rPr>
      </w:pPr>
      <w:r w:rsidRPr="00475658">
        <w:rPr>
          <w:rFonts w:ascii="Cambria" w:hAnsi="Cambria"/>
          <w:b/>
          <w:bCs/>
          <w:sz w:val="24"/>
          <w:szCs w:val="24"/>
        </w:rPr>
        <w:t>Literature Review</w:t>
      </w:r>
    </w:p>
    <w:p w14:paraId="62E8F405" w14:textId="0BA779F0" w:rsidR="00E45A8E" w:rsidRPr="00475658" w:rsidRDefault="00E45A8E" w:rsidP="00E45A8E">
      <w:pPr>
        <w:ind w:firstLine="709"/>
        <w:jc w:val="both"/>
        <w:rPr>
          <w:rFonts w:ascii="Cambria" w:hAnsi="Cambria"/>
          <w:sz w:val="24"/>
          <w:szCs w:val="24"/>
        </w:rPr>
      </w:pPr>
      <w:r w:rsidRPr="00475658">
        <w:rPr>
          <w:rFonts w:ascii="Cambria" w:hAnsi="Cambria"/>
          <w:sz w:val="24"/>
          <w:szCs w:val="24"/>
        </w:rPr>
        <w:lastRenderedPageBreak/>
        <w:t>This section reviews literature relevant to the use of instructional materials in English language teaching, focusing on (a) technology integration in language education, (b) the influence of government policy on teaching practices and teacher autonomy, and (c) empirical studies examining curriculum implementation and instructional decision-making.</w:t>
      </w:r>
    </w:p>
    <w:p w14:paraId="7E859D9E" w14:textId="1ADA812A" w:rsidR="00E45A8E" w:rsidRPr="00475658" w:rsidRDefault="00E45A8E" w:rsidP="00E45A8E">
      <w:pPr>
        <w:jc w:val="both"/>
        <w:rPr>
          <w:rFonts w:ascii="Cambria" w:hAnsi="Cambria"/>
          <w:b/>
          <w:bCs/>
          <w:i/>
          <w:iCs/>
          <w:sz w:val="24"/>
          <w:szCs w:val="24"/>
        </w:rPr>
      </w:pPr>
      <w:r w:rsidRPr="00475658">
        <w:rPr>
          <w:rFonts w:ascii="Cambria" w:hAnsi="Cambria"/>
          <w:b/>
          <w:bCs/>
          <w:i/>
          <w:iCs/>
          <w:sz w:val="24"/>
          <w:szCs w:val="24"/>
        </w:rPr>
        <w:t>Technology Integration in English Language Teaching</w:t>
      </w:r>
    </w:p>
    <w:p w14:paraId="063E378F" w14:textId="4B99F343" w:rsidR="00E45A8E" w:rsidRPr="00475658" w:rsidRDefault="00E45A8E" w:rsidP="00E45A8E">
      <w:pPr>
        <w:ind w:firstLine="709"/>
        <w:jc w:val="both"/>
        <w:rPr>
          <w:rFonts w:ascii="Cambria" w:hAnsi="Cambria"/>
          <w:sz w:val="24"/>
          <w:szCs w:val="24"/>
        </w:rPr>
      </w:pPr>
      <w:r w:rsidRPr="00475658">
        <w:rPr>
          <w:rFonts w:ascii="Cambria" w:hAnsi="Cambria"/>
          <w:sz w:val="24"/>
          <w:szCs w:val="24"/>
        </w:rPr>
        <w:t>Digital technologies have increasingly shaped instructional practices in English language education, offering new possibilities for engagement, interaction, and differentiated learning. Among commonly used tools, PowerPoint has gained widespread adoption due to its flexibility, accessibility, and capacity to integrate text, visuals, audio, and interactive elements. Research suggests that when used pedagogically, PowerPoint can enhance learners’ listening, speaking, reading, and writing skills by presenting content in an organised and visually supportive manner (</w:t>
      </w:r>
      <w:proofErr w:type="spellStart"/>
      <w:r w:rsidRPr="00475658">
        <w:rPr>
          <w:rFonts w:ascii="Cambria" w:hAnsi="Cambria"/>
          <w:sz w:val="24"/>
          <w:szCs w:val="24"/>
        </w:rPr>
        <w:t>Vanisree</w:t>
      </w:r>
      <w:proofErr w:type="spellEnd"/>
      <w:r w:rsidRPr="00475658">
        <w:rPr>
          <w:rFonts w:ascii="Cambria" w:hAnsi="Cambria"/>
          <w:sz w:val="24"/>
          <w:szCs w:val="24"/>
        </w:rPr>
        <w:t xml:space="preserve"> et al., 2024).</w:t>
      </w:r>
    </w:p>
    <w:p w14:paraId="64A4015D" w14:textId="6C16245C" w:rsidR="00E45A8E" w:rsidRPr="00475658" w:rsidRDefault="00E45A8E" w:rsidP="00E45A8E">
      <w:pPr>
        <w:ind w:firstLine="709"/>
        <w:jc w:val="both"/>
        <w:rPr>
          <w:rFonts w:ascii="Cambria" w:hAnsi="Cambria"/>
          <w:sz w:val="24"/>
          <w:szCs w:val="24"/>
        </w:rPr>
      </w:pPr>
      <w:r w:rsidRPr="00475658">
        <w:rPr>
          <w:rFonts w:ascii="Cambria" w:hAnsi="Cambria"/>
          <w:sz w:val="24"/>
          <w:szCs w:val="24"/>
        </w:rPr>
        <w:t>Studies in English language classrooms indicate that PowerPoint can increase student attention and motivation, particularly when lessons incorporate multimedia features and interactive tasks (</w:t>
      </w:r>
      <w:proofErr w:type="spellStart"/>
      <w:r w:rsidRPr="00475658">
        <w:rPr>
          <w:rFonts w:ascii="Cambria" w:hAnsi="Cambria"/>
          <w:sz w:val="24"/>
          <w:szCs w:val="24"/>
        </w:rPr>
        <w:t>Dewi</w:t>
      </w:r>
      <w:proofErr w:type="spellEnd"/>
      <w:r w:rsidRPr="00475658">
        <w:rPr>
          <w:rFonts w:ascii="Cambria" w:hAnsi="Cambria"/>
          <w:sz w:val="24"/>
          <w:szCs w:val="24"/>
        </w:rPr>
        <w:t xml:space="preserve"> &amp; </w:t>
      </w:r>
      <w:proofErr w:type="spellStart"/>
      <w:r w:rsidRPr="00475658">
        <w:rPr>
          <w:rFonts w:ascii="Cambria" w:hAnsi="Cambria"/>
          <w:sz w:val="24"/>
          <w:szCs w:val="24"/>
        </w:rPr>
        <w:t>Kareviati</w:t>
      </w:r>
      <w:proofErr w:type="spellEnd"/>
      <w:r w:rsidRPr="00475658">
        <w:rPr>
          <w:rFonts w:ascii="Cambria" w:hAnsi="Cambria"/>
          <w:sz w:val="24"/>
          <w:szCs w:val="24"/>
        </w:rPr>
        <w:t>, 2021). Its effectiveness, however, is closely tied to contextual factors such as teacher expertise, availability of infrastructure, and instructional purpose. Practical challenges—including unstable electricity supply, limited access to projectors, and technical issues—continue to constrain its use in many educational settings, particularly in public schools (</w:t>
      </w:r>
      <w:proofErr w:type="spellStart"/>
      <w:r w:rsidRPr="00475658">
        <w:rPr>
          <w:rFonts w:ascii="Cambria" w:hAnsi="Cambria"/>
          <w:sz w:val="24"/>
          <w:szCs w:val="24"/>
        </w:rPr>
        <w:t>Dewi</w:t>
      </w:r>
      <w:proofErr w:type="spellEnd"/>
      <w:r w:rsidRPr="00475658">
        <w:rPr>
          <w:rFonts w:ascii="Cambria" w:hAnsi="Cambria"/>
          <w:sz w:val="24"/>
          <w:szCs w:val="24"/>
        </w:rPr>
        <w:t xml:space="preserve"> &amp; </w:t>
      </w:r>
      <w:proofErr w:type="spellStart"/>
      <w:r w:rsidRPr="00475658">
        <w:rPr>
          <w:rFonts w:ascii="Cambria" w:hAnsi="Cambria"/>
          <w:sz w:val="24"/>
          <w:szCs w:val="24"/>
        </w:rPr>
        <w:t>Kareviati</w:t>
      </w:r>
      <w:proofErr w:type="spellEnd"/>
      <w:r w:rsidRPr="00475658">
        <w:rPr>
          <w:rFonts w:ascii="Cambria" w:hAnsi="Cambria"/>
          <w:sz w:val="24"/>
          <w:szCs w:val="24"/>
        </w:rPr>
        <w:t>, 2021).</w:t>
      </w:r>
    </w:p>
    <w:p w14:paraId="05EF6CEA" w14:textId="02D54161" w:rsidR="00E45A8E" w:rsidRPr="00475658" w:rsidRDefault="00E45A8E" w:rsidP="00E45A8E">
      <w:pPr>
        <w:ind w:firstLine="709"/>
        <w:jc w:val="both"/>
        <w:rPr>
          <w:rFonts w:ascii="Cambria" w:hAnsi="Cambria"/>
          <w:sz w:val="24"/>
          <w:szCs w:val="24"/>
        </w:rPr>
      </w:pPr>
      <w:r w:rsidRPr="00475658">
        <w:rPr>
          <w:rFonts w:ascii="Cambria" w:hAnsi="Cambria"/>
          <w:sz w:val="24"/>
          <w:szCs w:val="24"/>
        </w:rPr>
        <w:t>Importantly, PowerPoint should not be viewed as a replacement for teachers or traditional instructional approaches. Rather, research emphasises that both traditional and digital methods offer distinct pedagogical strengths, and their effectiveness depends on classroom context, learner needs, and instructional goals (</w:t>
      </w:r>
      <w:proofErr w:type="spellStart"/>
      <w:r w:rsidRPr="00475658">
        <w:rPr>
          <w:rFonts w:ascii="Cambria" w:hAnsi="Cambria"/>
          <w:sz w:val="24"/>
          <w:szCs w:val="24"/>
        </w:rPr>
        <w:t>Madani</w:t>
      </w:r>
      <w:proofErr w:type="spellEnd"/>
      <w:r w:rsidRPr="00475658">
        <w:rPr>
          <w:rFonts w:ascii="Cambria" w:hAnsi="Cambria"/>
          <w:sz w:val="24"/>
          <w:szCs w:val="24"/>
        </w:rPr>
        <w:t xml:space="preserve"> &amp; Musa, 2023). While PowerPoint supports clarity, organisation, and visual engagement, it cannot substitute for teacher–student interaction, scaffolding, or responsive pedagogy. This highlights the need to understand how teachers integrate digital tools alongside other instructional resources rather than treating them as standalone solutions.</w:t>
      </w:r>
    </w:p>
    <w:p w14:paraId="4FF9B6B4" w14:textId="359F4711" w:rsidR="00E45A8E" w:rsidRPr="00475658" w:rsidRDefault="00E45A8E" w:rsidP="00E45A8E">
      <w:pPr>
        <w:jc w:val="both"/>
        <w:rPr>
          <w:rFonts w:ascii="Cambria" w:hAnsi="Cambria"/>
          <w:b/>
          <w:bCs/>
          <w:i/>
          <w:iCs/>
          <w:sz w:val="24"/>
          <w:szCs w:val="24"/>
        </w:rPr>
      </w:pPr>
      <w:r w:rsidRPr="00475658">
        <w:rPr>
          <w:rFonts w:ascii="Cambria" w:hAnsi="Cambria"/>
          <w:b/>
          <w:bCs/>
          <w:i/>
          <w:iCs/>
          <w:sz w:val="24"/>
          <w:szCs w:val="24"/>
        </w:rPr>
        <w:t>Influence of Government Policy on Teaching Practices</w:t>
      </w:r>
    </w:p>
    <w:p w14:paraId="539AA71A" w14:textId="3A7636DC" w:rsidR="00E45A8E" w:rsidRPr="00475658" w:rsidRDefault="00E45A8E" w:rsidP="00E45A8E">
      <w:pPr>
        <w:ind w:firstLine="709"/>
        <w:jc w:val="both"/>
        <w:rPr>
          <w:rFonts w:ascii="Cambria" w:hAnsi="Cambria"/>
          <w:sz w:val="24"/>
          <w:szCs w:val="24"/>
        </w:rPr>
      </w:pPr>
      <w:r w:rsidRPr="00475658">
        <w:rPr>
          <w:rFonts w:ascii="Cambria" w:hAnsi="Cambria"/>
          <w:sz w:val="24"/>
          <w:szCs w:val="24"/>
        </w:rPr>
        <w:t>Teaching practices are not shaped by instructional tools alone but are also strongly influenced by government policies and curriculum mandates. International research demonstrates that centrally imposed curricula often prioritise standardisation and accountability, sometimes at the expense of teacher autonomy. For example, studies on the No Child Left Behind policy in the United States show that high-stakes accountability shifted classroom practices toward test-oriented instruction, reducing opportunities for student-centred and creative teaching (</w:t>
      </w:r>
      <w:proofErr w:type="spellStart"/>
      <w:r w:rsidRPr="00475658">
        <w:rPr>
          <w:rFonts w:ascii="Cambria" w:hAnsi="Cambria"/>
          <w:sz w:val="24"/>
          <w:szCs w:val="24"/>
        </w:rPr>
        <w:t>Vande</w:t>
      </w:r>
      <w:proofErr w:type="spellEnd"/>
      <w:r w:rsidRPr="00475658">
        <w:rPr>
          <w:rFonts w:ascii="Cambria" w:hAnsi="Cambria"/>
          <w:sz w:val="24"/>
          <w:szCs w:val="24"/>
        </w:rPr>
        <w:t xml:space="preserve"> </w:t>
      </w:r>
      <w:proofErr w:type="spellStart"/>
      <w:r w:rsidRPr="00475658">
        <w:rPr>
          <w:rFonts w:ascii="Cambria" w:hAnsi="Cambria"/>
          <w:sz w:val="24"/>
          <w:szCs w:val="24"/>
        </w:rPr>
        <w:t>Corput</w:t>
      </w:r>
      <w:proofErr w:type="spellEnd"/>
      <w:r w:rsidRPr="00475658">
        <w:rPr>
          <w:rFonts w:ascii="Cambria" w:hAnsi="Cambria"/>
          <w:sz w:val="24"/>
          <w:szCs w:val="24"/>
        </w:rPr>
        <w:t>, 2012).</w:t>
      </w:r>
    </w:p>
    <w:p w14:paraId="5A476146" w14:textId="01D481F1" w:rsidR="00E45A8E" w:rsidRPr="00475658" w:rsidRDefault="00E45A8E" w:rsidP="00E45A8E">
      <w:pPr>
        <w:ind w:firstLine="709"/>
        <w:jc w:val="both"/>
        <w:rPr>
          <w:rFonts w:ascii="Cambria" w:hAnsi="Cambria"/>
          <w:sz w:val="24"/>
          <w:szCs w:val="24"/>
        </w:rPr>
      </w:pPr>
      <w:r w:rsidRPr="00475658">
        <w:rPr>
          <w:rFonts w:ascii="Cambria" w:hAnsi="Cambria"/>
          <w:sz w:val="24"/>
          <w:szCs w:val="24"/>
        </w:rPr>
        <w:t xml:space="preserve">Similar patterns have been observed in other contexts. Chan (2012) reports that curriculum reforms in Hong Kong increased expectations for teacher compliance and </w:t>
      </w:r>
      <w:r w:rsidR="00B33652" w:rsidRPr="00475658">
        <w:rPr>
          <w:rFonts w:ascii="Cambria" w:hAnsi="Cambria"/>
          <w:sz w:val="24"/>
          <w:szCs w:val="24"/>
        </w:rPr>
        <w:t>adaptability but</w:t>
      </w:r>
      <w:r w:rsidRPr="00475658">
        <w:rPr>
          <w:rFonts w:ascii="Cambria" w:hAnsi="Cambria"/>
          <w:sz w:val="24"/>
          <w:szCs w:val="24"/>
        </w:rPr>
        <w:t xml:space="preserve"> also intensified workload pressures and professional stress. Although such reforms often include “soft” policy mechanisms such as guidelines and professional development, their effectiveness depends on how well institutional support aligns with teachers’ classroom realities.</w:t>
      </w:r>
    </w:p>
    <w:p w14:paraId="5D0CEDC5" w14:textId="3E41407D" w:rsidR="00E45A8E" w:rsidRPr="00475658" w:rsidRDefault="00E45A8E" w:rsidP="00E45A8E">
      <w:pPr>
        <w:ind w:firstLine="709"/>
        <w:jc w:val="both"/>
        <w:rPr>
          <w:rFonts w:ascii="Cambria" w:hAnsi="Cambria"/>
          <w:sz w:val="24"/>
          <w:szCs w:val="24"/>
        </w:rPr>
      </w:pPr>
      <w:r w:rsidRPr="00475658">
        <w:rPr>
          <w:rFonts w:ascii="Cambria" w:hAnsi="Cambria"/>
          <w:sz w:val="24"/>
          <w:szCs w:val="24"/>
        </w:rPr>
        <w:lastRenderedPageBreak/>
        <w:t>Ball and Bowe’s (1992) policy enactment framework provides a useful lens for understanding these dynamics. They argue that curriculum policies are not implemented mechanically but are interpreted, negotiated, and adapted by teachers within specific institutional and contextual conditions. While national curricula aim to ensure coherence and equity, their implementation is frequently uneven due to differences in resources, school cultures, and local constraints. As a result, teachers may experience tension between compliance with curriculum mandates and responsiveness to student needs, leading to stress, reduced autonomy, and professional frustration.</w:t>
      </w:r>
    </w:p>
    <w:p w14:paraId="2D32D59E" w14:textId="540A9913" w:rsidR="00E45A8E" w:rsidRPr="00475658" w:rsidRDefault="00E45A8E" w:rsidP="00E45A8E">
      <w:pPr>
        <w:ind w:firstLine="709"/>
        <w:jc w:val="both"/>
        <w:rPr>
          <w:rFonts w:ascii="Cambria" w:hAnsi="Cambria"/>
          <w:sz w:val="24"/>
          <w:szCs w:val="24"/>
        </w:rPr>
      </w:pPr>
      <w:r w:rsidRPr="00475658">
        <w:rPr>
          <w:rFonts w:ascii="Cambria" w:hAnsi="Cambria"/>
          <w:sz w:val="24"/>
          <w:szCs w:val="24"/>
        </w:rPr>
        <w:t>In centralized systems, such tensions are particularly evident when teachers are required to follow prescribed lesson plans that may not fully account for learner diversity or classroom conditions. This underscores the importance of examining how teachers exercise professional judgement and agency when working within policy constraints.</w:t>
      </w:r>
    </w:p>
    <w:p w14:paraId="5BB8CD2B" w14:textId="77777777" w:rsidR="00E45A8E" w:rsidRPr="00475658" w:rsidRDefault="00E45A8E" w:rsidP="00E45A8E">
      <w:pPr>
        <w:jc w:val="both"/>
        <w:rPr>
          <w:rFonts w:ascii="Cambria" w:hAnsi="Cambria"/>
          <w:sz w:val="24"/>
          <w:szCs w:val="24"/>
        </w:rPr>
      </w:pPr>
    </w:p>
    <w:p w14:paraId="29EE217C" w14:textId="4AB383E0" w:rsidR="00E45A8E" w:rsidRPr="00475658" w:rsidRDefault="00E45A8E" w:rsidP="00E45A8E">
      <w:pPr>
        <w:jc w:val="both"/>
        <w:rPr>
          <w:rFonts w:ascii="Cambria" w:hAnsi="Cambria"/>
          <w:b/>
          <w:bCs/>
          <w:i/>
          <w:iCs/>
          <w:sz w:val="24"/>
          <w:szCs w:val="24"/>
        </w:rPr>
      </w:pPr>
      <w:r w:rsidRPr="00475658">
        <w:rPr>
          <w:rFonts w:ascii="Cambria" w:hAnsi="Cambria"/>
          <w:b/>
          <w:bCs/>
          <w:i/>
          <w:iCs/>
          <w:sz w:val="24"/>
          <w:szCs w:val="24"/>
        </w:rPr>
        <w:t>Empirical Studies on Curriculum Implementation and Teacher Agency</w:t>
      </w:r>
    </w:p>
    <w:p w14:paraId="7515653E" w14:textId="63D6FD44" w:rsidR="00E45A8E" w:rsidRPr="00475658" w:rsidRDefault="00E45A8E" w:rsidP="00E45A8E">
      <w:pPr>
        <w:ind w:firstLine="709"/>
        <w:jc w:val="both"/>
        <w:rPr>
          <w:rFonts w:ascii="Cambria" w:hAnsi="Cambria"/>
          <w:sz w:val="24"/>
          <w:szCs w:val="24"/>
        </w:rPr>
      </w:pPr>
      <w:r w:rsidRPr="00475658">
        <w:rPr>
          <w:rFonts w:ascii="Cambria" w:hAnsi="Cambria"/>
          <w:sz w:val="24"/>
          <w:szCs w:val="24"/>
        </w:rPr>
        <w:t>Previous studies provide important insights into how teachers negotiate curriculum mandates in practice. Ball and Bowe (1992) demonstrate that curriculum implementation involves complex interpretive processes shaped by institutional roles, resource availability, and professional beliefs. Their work highlights the active role of teachers and department leaders in mediating policy demands rather than passively implementing them.</w:t>
      </w:r>
    </w:p>
    <w:p w14:paraId="555023AE" w14:textId="49BF1230" w:rsidR="00E45A8E" w:rsidRPr="00475658" w:rsidRDefault="00E45A8E" w:rsidP="00E45A8E">
      <w:pPr>
        <w:ind w:firstLine="709"/>
        <w:jc w:val="both"/>
        <w:rPr>
          <w:rFonts w:ascii="Cambria" w:hAnsi="Cambria"/>
          <w:sz w:val="24"/>
          <w:szCs w:val="24"/>
        </w:rPr>
      </w:pPr>
      <w:proofErr w:type="spellStart"/>
      <w:r w:rsidRPr="00475658">
        <w:rPr>
          <w:rFonts w:ascii="Cambria" w:hAnsi="Cambria"/>
          <w:sz w:val="24"/>
          <w:szCs w:val="24"/>
        </w:rPr>
        <w:t>Vande</w:t>
      </w:r>
      <w:proofErr w:type="spellEnd"/>
      <w:r w:rsidRPr="00475658">
        <w:rPr>
          <w:rFonts w:ascii="Cambria" w:hAnsi="Cambria"/>
          <w:sz w:val="24"/>
          <w:szCs w:val="24"/>
        </w:rPr>
        <w:t xml:space="preserve"> </w:t>
      </w:r>
      <w:proofErr w:type="spellStart"/>
      <w:r w:rsidRPr="00475658">
        <w:rPr>
          <w:rFonts w:ascii="Cambria" w:hAnsi="Cambria"/>
          <w:sz w:val="24"/>
          <w:szCs w:val="24"/>
        </w:rPr>
        <w:t>Corput</w:t>
      </w:r>
      <w:proofErr w:type="spellEnd"/>
      <w:r w:rsidRPr="00475658">
        <w:rPr>
          <w:rFonts w:ascii="Cambria" w:hAnsi="Cambria"/>
          <w:sz w:val="24"/>
          <w:szCs w:val="24"/>
        </w:rPr>
        <w:t xml:space="preserve"> (2012) further illustrates how policy-driven accountability influences teaching styles, showing that mandates can shift pedagogical priorities away from student-centred learning. Similarly, Chan (2012) finds that teachers often feel compelled to align with curriculum reforms due to institutional pressures, even when these reforms challenge their professional autonomy or well-being.</w:t>
      </w:r>
    </w:p>
    <w:p w14:paraId="01ECBADB" w14:textId="42299846" w:rsidR="00E45A8E" w:rsidRPr="00475658" w:rsidRDefault="00E45A8E" w:rsidP="00E45A8E">
      <w:pPr>
        <w:ind w:firstLine="709"/>
        <w:jc w:val="both"/>
        <w:rPr>
          <w:rFonts w:ascii="Cambria" w:hAnsi="Cambria"/>
          <w:sz w:val="24"/>
          <w:szCs w:val="24"/>
        </w:rPr>
      </w:pPr>
      <w:r w:rsidRPr="00475658">
        <w:rPr>
          <w:rFonts w:ascii="Cambria" w:hAnsi="Cambria"/>
          <w:sz w:val="24"/>
          <w:szCs w:val="24"/>
        </w:rPr>
        <w:t>While these studies offer valuable insights into curriculum policy and teacher agency, most focus on curriculum implementation broadly rather than on the integration of specific instructional tools. In contrast, research on PowerPoint and other digital resources tends to examine their pedagogical impact in isolation, without sufficient attention to how they are used within mandated curricular frameworks.</w:t>
      </w:r>
    </w:p>
    <w:p w14:paraId="3954FF42" w14:textId="71C9183B" w:rsidR="00E45A8E" w:rsidRPr="00475658" w:rsidRDefault="00E45A8E" w:rsidP="00E45A8E">
      <w:pPr>
        <w:ind w:firstLine="709"/>
        <w:jc w:val="both"/>
        <w:rPr>
          <w:rFonts w:ascii="Cambria" w:hAnsi="Cambria"/>
          <w:sz w:val="24"/>
          <w:szCs w:val="24"/>
        </w:rPr>
      </w:pPr>
      <w:r w:rsidRPr="00475658">
        <w:rPr>
          <w:rFonts w:ascii="Cambria" w:hAnsi="Cambria"/>
          <w:sz w:val="24"/>
          <w:szCs w:val="24"/>
        </w:rPr>
        <w:t>Consequently, there remains limited empirical research exploring how teachers integrate digital tools such as PowerPoint with government-developed lesson plans in centralized education systems. In particular, little is known about how teachers adapt mandated instructional materials through technology to address diverse learner needs while complying with curriculum requirements.</w:t>
      </w:r>
    </w:p>
    <w:p w14:paraId="05CA2166" w14:textId="5A7E21C4" w:rsidR="00E45A8E" w:rsidRPr="00475658" w:rsidRDefault="00E45A8E" w:rsidP="00E45A8E">
      <w:pPr>
        <w:jc w:val="both"/>
        <w:rPr>
          <w:rFonts w:ascii="Cambria" w:hAnsi="Cambria"/>
          <w:b/>
          <w:bCs/>
          <w:i/>
          <w:iCs/>
          <w:sz w:val="24"/>
          <w:szCs w:val="24"/>
        </w:rPr>
      </w:pPr>
      <w:r w:rsidRPr="00475658">
        <w:rPr>
          <w:rFonts w:ascii="Cambria" w:hAnsi="Cambria"/>
          <w:b/>
          <w:bCs/>
          <w:i/>
          <w:iCs/>
          <w:sz w:val="24"/>
          <w:szCs w:val="24"/>
        </w:rPr>
        <w:t>Research Gap</w:t>
      </w:r>
    </w:p>
    <w:p w14:paraId="0203B9BA" w14:textId="33E237B1" w:rsidR="00E45A8E" w:rsidRPr="00475658" w:rsidRDefault="00E45A8E" w:rsidP="00E45A8E">
      <w:pPr>
        <w:ind w:firstLine="709"/>
        <w:jc w:val="both"/>
        <w:rPr>
          <w:rFonts w:ascii="Cambria" w:hAnsi="Cambria"/>
          <w:sz w:val="24"/>
          <w:szCs w:val="24"/>
        </w:rPr>
      </w:pPr>
      <w:r w:rsidRPr="00475658">
        <w:rPr>
          <w:rFonts w:ascii="Cambria" w:hAnsi="Cambria"/>
          <w:sz w:val="24"/>
          <w:szCs w:val="24"/>
        </w:rPr>
        <w:t xml:space="preserve">Although existing literature has examined technology use and curriculum policy separately, few studies have investigated how teachers combine government-developed lesson plans with digital tools in everyday classroom practice. There is a lack of research focusing on teachers’ perspectives and decision-making processes when negotiating </w:t>
      </w:r>
      <w:r w:rsidRPr="00475658">
        <w:rPr>
          <w:rFonts w:ascii="Cambria" w:hAnsi="Cambria"/>
          <w:sz w:val="24"/>
          <w:szCs w:val="24"/>
        </w:rPr>
        <w:lastRenderedPageBreak/>
        <w:t>curriculum mandates through technology integration, particularly in the context of English language teaching in the Philippines.</w:t>
      </w:r>
    </w:p>
    <w:p w14:paraId="3F2B1D03" w14:textId="63F8CA84" w:rsidR="00E45A8E" w:rsidRPr="00475658" w:rsidRDefault="00E45A8E" w:rsidP="00E45A8E">
      <w:pPr>
        <w:ind w:firstLine="709"/>
        <w:jc w:val="both"/>
        <w:rPr>
          <w:rFonts w:ascii="Cambria" w:hAnsi="Cambria"/>
          <w:sz w:val="24"/>
          <w:szCs w:val="24"/>
        </w:rPr>
      </w:pPr>
      <w:r w:rsidRPr="00475658">
        <w:rPr>
          <w:rFonts w:ascii="Cambria" w:hAnsi="Cambria"/>
          <w:sz w:val="24"/>
          <w:szCs w:val="24"/>
        </w:rPr>
        <w:t>Addressing this gap, the present study examines how Filipino English teachers perceive and use government-developed lesson plans in combination with PowerPoint-based instruction. Drawing on the TPACK framework (Mishra &amp; Koehler, 2006) and the concept of teacher agency (</w:t>
      </w:r>
      <w:proofErr w:type="spellStart"/>
      <w:r w:rsidRPr="00475658">
        <w:rPr>
          <w:rFonts w:ascii="Cambria" w:hAnsi="Cambria"/>
          <w:sz w:val="24"/>
          <w:szCs w:val="24"/>
        </w:rPr>
        <w:t>Biesta</w:t>
      </w:r>
      <w:proofErr w:type="spellEnd"/>
      <w:r w:rsidRPr="00475658">
        <w:rPr>
          <w:rFonts w:ascii="Cambria" w:hAnsi="Cambria"/>
          <w:sz w:val="24"/>
          <w:szCs w:val="24"/>
        </w:rPr>
        <w:t xml:space="preserve"> et al., 2015), the study seeks to illuminate how teachers navigate policy expectations while adapting instructional materials to their classroom realities.</w:t>
      </w:r>
    </w:p>
    <w:p w14:paraId="2D6C0783" w14:textId="77777777" w:rsidR="000B0D96" w:rsidRPr="00475658" w:rsidRDefault="000B0D96" w:rsidP="000B0D96">
      <w:pPr>
        <w:jc w:val="both"/>
        <w:rPr>
          <w:rFonts w:ascii="Cambria" w:hAnsi="Cambria"/>
          <w:b/>
          <w:bCs/>
          <w:sz w:val="24"/>
          <w:szCs w:val="24"/>
        </w:rPr>
      </w:pPr>
      <w:r w:rsidRPr="00475658">
        <w:rPr>
          <w:rFonts w:ascii="Cambria" w:hAnsi="Cambria"/>
          <w:b/>
          <w:bCs/>
          <w:sz w:val="24"/>
          <w:szCs w:val="24"/>
        </w:rPr>
        <w:t>Methodology</w:t>
      </w:r>
    </w:p>
    <w:p w14:paraId="0A0C42A0" w14:textId="4CD475E1" w:rsidR="00E45A8E" w:rsidRPr="00475658" w:rsidRDefault="000B0D96" w:rsidP="000B0D96">
      <w:pPr>
        <w:ind w:firstLine="709"/>
        <w:jc w:val="both"/>
        <w:rPr>
          <w:rFonts w:ascii="Cambria" w:hAnsi="Cambria"/>
          <w:sz w:val="24"/>
          <w:szCs w:val="24"/>
        </w:rPr>
      </w:pPr>
      <w:r w:rsidRPr="00475658">
        <w:rPr>
          <w:rFonts w:ascii="Cambria" w:hAnsi="Cambria"/>
          <w:sz w:val="24"/>
          <w:szCs w:val="24"/>
        </w:rPr>
        <w:t>This study adopted a mixed-methods design to examine English teachers’ perceptions and classroom practices related to the use of government-developed lesson plans and PowerPoint-based instruction. Mixed-methods research enables the integration of quantitative and qualitative data to generate a more comprehensive understanding of educational phenomena by combining numerical trends with in-depth contextual insights (Palinkas et al., 2011). This approach was considered appropriate for capturing both patterns in teachers’ instructional preferences and the underlying reasons shaping their pedagogical decisions.</w:t>
      </w:r>
    </w:p>
    <w:p w14:paraId="40E75F57" w14:textId="756640FB" w:rsidR="000B0D96" w:rsidRPr="00475658" w:rsidRDefault="000B0D96" w:rsidP="000B0D96">
      <w:pPr>
        <w:ind w:firstLine="709"/>
        <w:jc w:val="both"/>
        <w:rPr>
          <w:rFonts w:ascii="Cambria" w:hAnsi="Cambria"/>
          <w:sz w:val="24"/>
          <w:szCs w:val="24"/>
        </w:rPr>
      </w:pPr>
      <w:r w:rsidRPr="00475658">
        <w:rPr>
          <w:rFonts w:ascii="Cambria" w:hAnsi="Cambria"/>
          <w:sz w:val="24"/>
          <w:szCs w:val="24"/>
        </w:rPr>
        <w:t>The participants were eight English teachers from a public secondary school in the Philippines. Purposive sampling was used to select teachers who had direct experience using both government-developed lesson plans and PowerPoint in English language teaching. Although the sample size was small, it was appropriate for qualitative inquiry, as thematic saturation was achieved with recurring patterns emerging across participant responses.</w:t>
      </w:r>
    </w:p>
    <w:p w14:paraId="71ADE479" w14:textId="6ED7C734" w:rsidR="000B0D96" w:rsidRPr="00475658" w:rsidRDefault="000B0D96" w:rsidP="000B0D96">
      <w:pPr>
        <w:ind w:firstLine="709"/>
        <w:jc w:val="both"/>
        <w:rPr>
          <w:rFonts w:ascii="Cambria" w:hAnsi="Cambria"/>
          <w:sz w:val="24"/>
          <w:szCs w:val="24"/>
        </w:rPr>
      </w:pPr>
      <w:r w:rsidRPr="00475658">
        <w:rPr>
          <w:rFonts w:ascii="Cambria" w:hAnsi="Cambria"/>
          <w:sz w:val="24"/>
          <w:szCs w:val="24"/>
        </w:rPr>
        <w:t>The teachers ranged in age from 27 to 63 years (M = 39) and had between 4 and 29 years of teaching experience (M = 10), representing early-career, mid-career, and senior educators. They taught at both lower secondary and senior high school levels, allowing for a range of instructional contexts to be examined. Most participants held postgraduate qualifications, indicating strong professional preparation and familiarity with curriculum implementation and instructional design.</w:t>
      </w:r>
    </w:p>
    <w:p w14:paraId="51FA03D9" w14:textId="670216FD" w:rsidR="000B0D96" w:rsidRPr="00475658" w:rsidRDefault="000B0D96" w:rsidP="000B0D96">
      <w:pPr>
        <w:ind w:firstLine="709"/>
        <w:jc w:val="both"/>
        <w:rPr>
          <w:rFonts w:ascii="Cambria" w:hAnsi="Cambria"/>
          <w:sz w:val="24"/>
          <w:szCs w:val="24"/>
        </w:rPr>
      </w:pPr>
      <w:r w:rsidRPr="00475658">
        <w:rPr>
          <w:rFonts w:ascii="Cambria" w:hAnsi="Cambria"/>
          <w:sz w:val="24"/>
          <w:szCs w:val="24"/>
        </w:rPr>
        <w:t>Ethical approval was obtained from the school administration prior to data collection. All participants provided informed consent and were assured of anonymity and confidentiality. Participation was voluntary, and all data were handled in accordance with ethical research standards.</w:t>
      </w:r>
    </w:p>
    <w:p w14:paraId="64A33E75" w14:textId="5638E6EA" w:rsidR="000B0D96" w:rsidRPr="00475658" w:rsidRDefault="000B0D96" w:rsidP="000B0D96">
      <w:pPr>
        <w:ind w:firstLine="709"/>
        <w:jc w:val="both"/>
        <w:rPr>
          <w:rFonts w:ascii="Cambria" w:hAnsi="Cambria"/>
          <w:sz w:val="24"/>
          <w:szCs w:val="24"/>
        </w:rPr>
      </w:pPr>
      <w:r w:rsidRPr="00475658">
        <w:rPr>
          <w:rFonts w:ascii="Cambria" w:hAnsi="Cambria"/>
          <w:sz w:val="24"/>
          <w:szCs w:val="24"/>
        </w:rPr>
        <w:t>Data were collected through non-participant classroom observations and an online questionnaire consisting of both closed-ended and open-ended items. Non-participant observation was used to document classroom practices without researcher intervention, allowing teaching and learning activities to proceed naturally (Chan et al., 2019). To minimise disruption and protect participant privacy, no audio or video recordings were made during observations.</w:t>
      </w:r>
    </w:p>
    <w:p w14:paraId="44E5EF84" w14:textId="5FFF7446" w:rsidR="000B0D96" w:rsidRPr="00475658" w:rsidRDefault="000B0D96" w:rsidP="000B0D96">
      <w:pPr>
        <w:ind w:firstLine="709"/>
        <w:jc w:val="both"/>
        <w:rPr>
          <w:rFonts w:ascii="Cambria" w:hAnsi="Cambria"/>
          <w:sz w:val="24"/>
          <w:szCs w:val="24"/>
        </w:rPr>
      </w:pPr>
      <w:r w:rsidRPr="00475658">
        <w:rPr>
          <w:rFonts w:ascii="Cambria" w:hAnsi="Cambria"/>
          <w:sz w:val="24"/>
          <w:szCs w:val="24"/>
        </w:rPr>
        <w:t xml:space="preserve">The questionnaire was administered online and consisted of three sections. The first section collected demographic information, including age, educational background, </w:t>
      </w:r>
      <w:r w:rsidRPr="00475658">
        <w:rPr>
          <w:rFonts w:ascii="Cambria" w:hAnsi="Cambria"/>
          <w:sz w:val="24"/>
          <w:szCs w:val="24"/>
        </w:rPr>
        <w:lastRenderedPageBreak/>
        <w:t>teaching experience, and level taught. The second section included closed-ended items measured on a five-point Likert scale (1 = strongly disagree to 5 = strongly agree) to capture teachers’ perceptions of PowerPoint use, textbooks, and government-developed lesson plans, as well as challenges encountered in preparing instructional materials. The third section comprised open-ended questions designed to elicit deeper reflections on instructional choices, perceived benefits and constraints, and contextual challenges in adapting teaching materials. To enhance clarity and content validity, the questionnaire was reviewed by two experienced educators prior to distribution, and minor revisions were made based on their feedback.</w:t>
      </w:r>
    </w:p>
    <w:p w14:paraId="7A90CE46" w14:textId="17E745B1" w:rsidR="000B0D96" w:rsidRPr="00475658" w:rsidRDefault="00661689" w:rsidP="00B33652">
      <w:pPr>
        <w:ind w:firstLine="709"/>
        <w:jc w:val="both"/>
        <w:rPr>
          <w:rFonts w:ascii="Cambria" w:hAnsi="Cambria"/>
          <w:sz w:val="24"/>
          <w:szCs w:val="24"/>
        </w:rPr>
      </w:pPr>
      <w:r w:rsidRPr="00661689">
        <w:rPr>
          <w:rFonts w:ascii="Cambria" w:hAnsi="Cambria"/>
          <w:sz w:val="24"/>
          <w:szCs w:val="24"/>
        </w:rPr>
        <w:t>Triangulation was employed by integrating quantitative survey data with qualitative open-ended responses to enhance the credibility of the findings and provide a more nuanced understanding of teachers’ instructional decision-making</w:t>
      </w:r>
      <w:r w:rsidR="000B0D96" w:rsidRPr="00475658">
        <w:rPr>
          <w:rFonts w:ascii="Cambria" w:hAnsi="Cambria"/>
          <w:sz w:val="24"/>
          <w:szCs w:val="24"/>
        </w:rPr>
        <w:t>. Closed-ended questionnaire responses were analysed using descriptive statistics, including means, standard deviations, frequencies, and percentages. Statistical analysis was conducted using SPSS to identify patterns in teachers’ instructional preferences and perceived challenges.</w:t>
      </w:r>
    </w:p>
    <w:p w14:paraId="458779A6" w14:textId="661C9664" w:rsidR="000B0D96" w:rsidRPr="00475658" w:rsidRDefault="000B0D96" w:rsidP="000B0D96">
      <w:pPr>
        <w:ind w:firstLine="709"/>
        <w:jc w:val="both"/>
        <w:rPr>
          <w:rFonts w:ascii="Cambria" w:hAnsi="Cambria"/>
          <w:sz w:val="24"/>
          <w:szCs w:val="24"/>
        </w:rPr>
      </w:pPr>
      <w:r w:rsidRPr="00475658">
        <w:rPr>
          <w:rFonts w:ascii="Cambria" w:hAnsi="Cambria"/>
          <w:sz w:val="24"/>
          <w:szCs w:val="24"/>
        </w:rPr>
        <w:t>Qualitative data from the open-ended responses were analysed using thematic analysis following the six-phase framework proposed by Braun and Clarke (2006). Both inductive and deductive coding strategies were employed. Inductive coding allowed themes to emerge from the data, while deductive coding was informed by existing literature on instructional materials, technology integration, and teacher agency. Data were coded manually through iterative reading, categorisation, and refinement to ensure analytical depth and consistency.</w:t>
      </w:r>
    </w:p>
    <w:p w14:paraId="220848BB" w14:textId="7952B7E8" w:rsidR="000B0D96" w:rsidRPr="00475658" w:rsidRDefault="000B0D96" w:rsidP="000B0D96">
      <w:pPr>
        <w:ind w:firstLine="709"/>
        <w:jc w:val="both"/>
        <w:rPr>
          <w:rFonts w:ascii="Cambria" w:hAnsi="Cambria"/>
          <w:sz w:val="24"/>
          <w:szCs w:val="24"/>
        </w:rPr>
      </w:pPr>
      <w:r w:rsidRPr="00475658">
        <w:rPr>
          <w:rFonts w:ascii="Cambria" w:hAnsi="Cambria"/>
          <w:sz w:val="24"/>
          <w:szCs w:val="24"/>
        </w:rPr>
        <w:t>Triangulation was achieved by comparing quantitative trends with qualitative themes and observational insights. This integrative approach strengthened the trustworthiness of the findings by revealing convergences and divergences across data sources. Methodological triangulation, participant anonymity, ethical safeguards, and iterative coding processes enhanced the credibility and reliability of the study. Although the research was context-specific, the richness of the data provides transferable insights into curriculum enactment and technology integration in similar English language teaching contexts.</w:t>
      </w:r>
    </w:p>
    <w:p w14:paraId="703C8CE2" w14:textId="38B195DF" w:rsidR="000B0D96" w:rsidRPr="00475658" w:rsidRDefault="000B0D96" w:rsidP="000B0D96">
      <w:pPr>
        <w:jc w:val="both"/>
        <w:rPr>
          <w:rFonts w:ascii="Cambria" w:hAnsi="Cambria"/>
          <w:b/>
          <w:bCs/>
          <w:sz w:val="24"/>
          <w:szCs w:val="24"/>
        </w:rPr>
      </w:pPr>
      <w:r w:rsidRPr="00475658">
        <w:rPr>
          <w:rFonts w:ascii="Cambria" w:hAnsi="Cambria"/>
          <w:b/>
          <w:bCs/>
          <w:sz w:val="24"/>
          <w:szCs w:val="24"/>
        </w:rPr>
        <w:t>Findings</w:t>
      </w:r>
    </w:p>
    <w:p w14:paraId="74A11D5F" w14:textId="77777777" w:rsidR="00475658" w:rsidRPr="00475658" w:rsidRDefault="000B0D96" w:rsidP="000B0D96">
      <w:pPr>
        <w:ind w:firstLine="720"/>
        <w:jc w:val="both"/>
        <w:rPr>
          <w:rFonts w:ascii="Cambria" w:hAnsi="Cambria"/>
          <w:sz w:val="24"/>
          <w:szCs w:val="24"/>
        </w:rPr>
      </w:pPr>
      <w:r w:rsidRPr="00475658">
        <w:rPr>
          <w:rFonts w:ascii="Cambria" w:hAnsi="Cambria"/>
          <w:sz w:val="24"/>
          <w:szCs w:val="24"/>
        </w:rPr>
        <w:t xml:space="preserve">This study examined English teachers’ perceptions of PowerPoint-based instruction, textbooks, and government-developed lesson plans. </w:t>
      </w:r>
    </w:p>
    <w:p w14:paraId="048F7FBD" w14:textId="136E37CA" w:rsidR="00475658" w:rsidRPr="00475658" w:rsidRDefault="00475658" w:rsidP="00475658">
      <w:pPr>
        <w:jc w:val="both"/>
        <w:rPr>
          <w:rFonts w:ascii="Cambria" w:hAnsi="Cambria"/>
          <w:b/>
          <w:bCs/>
          <w:i/>
          <w:iCs/>
          <w:sz w:val="24"/>
          <w:szCs w:val="24"/>
        </w:rPr>
      </w:pPr>
      <w:r w:rsidRPr="00475658">
        <w:rPr>
          <w:rFonts w:ascii="Cambria" w:hAnsi="Cambria"/>
          <w:b/>
          <w:bCs/>
          <w:i/>
          <w:iCs/>
          <w:sz w:val="24"/>
          <w:szCs w:val="24"/>
        </w:rPr>
        <w:t>Qua</w:t>
      </w:r>
      <w:r w:rsidR="00661689">
        <w:rPr>
          <w:rFonts w:ascii="Cambria" w:hAnsi="Cambria"/>
          <w:b/>
          <w:bCs/>
          <w:i/>
          <w:iCs/>
          <w:sz w:val="24"/>
          <w:szCs w:val="24"/>
        </w:rPr>
        <w:t>nti</w:t>
      </w:r>
      <w:r w:rsidRPr="00475658">
        <w:rPr>
          <w:rFonts w:ascii="Cambria" w:hAnsi="Cambria"/>
          <w:b/>
          <w:bCs/>
          <w:i/>
          <w:iCs/>
          <w:sz w:val="24"/>
          <w:szCs w:val="24"/>
        </w:rPr>
        <w:t>tative Findings</w:t>
      </w:r>
    </w:p>
    <w:p w14:paraId="46066724" w14:textId="7224B061" w:rsidR="000B0D96" w:rsidRDefault="000B0D96" w:rsidP="00475658">
      <w:pPr>
        <w:jc w:val="both"/>
        <w:rPr>
          <w:rFonts w:ascii="Cambria" w:hAnsi="Cambria"/>
          <w:sz w:val="24"/>
          <w:szCs w:val="24"/>
        </w:rPr>
      </w:pPr>
      <w:r w:rsidRPr="00475658">
        <w:rPr>
          <w:rFonts w:ascii="Cambria" w:hAnsi="Cambria"/>
          <w:sz w:val="24"/>
          <w:szCs w:val="24"/>
        </w:rPr>
        <w:t>Quantitative data were collected using a five-point Likert scale to identify patterns in instructional preferences and perceived challenges.</w:t>
      </w:r>
    </w:p>
    <w:p w14:paraId="0082B73B" w14:textId="03BA82C6" w:rsidR="00A1298B" w:rsidRPr="00475658" w:rsidRDefault="00A1298B" w:rsidP="00475658">
      <w:pPr>
        <w:jc w:val="both"/>
        <w:rPr>
          <w:rFonts w:ascii="Cambria" w:hAnsi="Cambria"/>
          <w:sz w:val="24"/>
          <w:szCs w:val="24"/>
        </w:rPr>
      </w:pPr>
      <w:r>
        <w:rPr>
          <w:rFonts w:ascii="Cambria" w:hAnsi="Cambria"/>
          <w:sz w:val="24"/>
          <w:szCs w:val="24"/>
        </w:rPr>
        <w:t>Table 1</w:t>
      </w:r>
      <w:r w:rsidR="00925F21">
        <w:rPr>
          <w:rFonts w:ascii="Cambria" w:hAnsi="Cambria"/>
          <w:sz w:val="24"/>
          <w:szCs w:val="24"/>
        </w:rPr>
        <w:t xml:space="preserve">: Identification of </w:t>
      </w:r>
      <w:r w:rsidR="00164263">
        <w:rPr>
          <w:rFonts w:ascii="Cambria" w:hAnsi="Cambria"/>
          <w:sz w:val="24"/>
          <w:szCs w:val="24"/>
        </w:rPr>
        <w:t xml:space="preserve">Patterns </w:t>
      </w:r>
      <w:r w:rsidR="00DE7C6D" w:rsidRPr="00475658">
        <w:rPr>
          <w:rFonts w:ascii="Cambria" w:hAnsi="Cambria"/>
          <w:sz w:val="24"/>
          <w:szCs w:val="24"/>
        </w:rPr>
        <w:t xml:space="preserve">in </w:t>
      </w:r>
      <w:r w:rsidR="00DE7C6D">
        <w:rPr>
          <w:rFonts w:ascii="Cambria" w:hAnsi="Cambria"/>
          <w:sz w:val="24"/>
          <w:szCs w:val="24"/>
        </w:rPr>
        <w:t>I</w:t>
      </w:r>
      <w:r w:rsidR="00DE7C6D" w:rsidRPr="00475658">
        <w:rPr>
          <w:rFonts w:ascii="Cambria" w:hAnsi="Cambria"/>
          <w:sz w:val="24"/>
          <w:szCs w:val="24"/>
        </w:rPr>
        <w:t xml:space="preserve">nstructional </w:t>
      </w:r>
      <w:r w:rsidR="00DE7C6D">
        <w:rPr>
          <w:rFonts w:ascii="Cambria" w:hAnsi="Cambria"/>
          <w:sz w:val="24"/>
          <w:szCs w:val="24"/>
        </w:rPr>
        <w:t>P</w:t>
      </w:r>
      <w:r w:rsidR="00DE7C6D" w:rsidRPr="00475658">
        <w:rPr>
          <w:rFonts w:ascii="Cambria" w:hAnsi="Cambria"/>
          <w:sz w:val="24"/>
          <w:szCs w:val="24"/>
        </w:rPr>
        <w:t xml:space="preserve">references and </w:t>
      </w:r>
      <w:r w:rsidR="00DE7C6D">
        <w:rPr>
          <w:rFonts w:ascii="Cambria" w:hAnsi="Cambria"/>
          <w:sz w:val="24"/>
          <w:szCs w:val="24"/>
        </w:rPr>
        <w:t>P</w:t>
      </w:r>
      <w:r w:rsidR="00DE7C6D" w:rsidRPr="00475658">
        <w:rPr>
          <w:rFonts w:ascii="Cambria" w:hAnsi="Cambria"/>
          <w:sz w:val="24"/>
          <w:szCs w:val="24"/>
        </w:rPr>
        <w:t xml:space="preserve">erceived </w:t>
      </w:r>
      <w:r w:rsidR="00DE7C6D">
        <w:rPr>
          <w:rFonts w:ascii="Cambria" w:hAnsi="Cambria"/>
          <w:sz w:val="24"/>
          <w:szCs w:val="24"/>
        </w:rPr>
        <w:t>C</w:t>
      </w:r>
      <w:r w:rsidR="00DE7C6D" w:rsidRPr="00475658">
        <w:rPr>
          <w:rFonts w:ascii="Cambria" w:hAnsi="Cambria"/>
          <w:sz w:val="24"/>
          <w:szCs w:val="24"/>
        </w:rPr>
        <w:t>hallenges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17"/>
        <w:gridCol w:w="1601"/>
        <w:gridCol w:w="1678"/>
        <w:gridCol w:w="1002"/>
        <w:gridCol w:w="1141"/>
        <w:gridCol w:w="664"/>
        <w:gridCol w:w="523"/>
      </w:tblGrid>
      <w:tr w:rsidR="000B0D96" w:rsidRPr="00475658" w14:paraId="0F43DBB5" w14:textId="77777777" w:rsidTr="000B0D96">
        <w:trPr>
          <w:tblHeader/>
          <w:tblCellSpacing w:w="15" w:type="dxa"/>
        </w:trPr>
        <w:tc>
          <w:tcPr>
            <w:tcW w:w="0" w:type="auto"/>
            <w:tcBorders>
              <w:top w:val="single" w:sz="4" w:space="0" w:color="auto"/>
              <w:bottom w:val="single" w:sz="4" w:space="0" w:color="auto"/>
            </w:tcBorders>
            <w:vAlign w:val="center"/>
            <w:hideMark/>
          </w:tcPr>
          <w:p w14:paraId="79762976"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lastRenderedPageBreak/>
              <w:t>Item</w:t>
            </w:r>
          </w:p>
        </w:tc>
        <w:tc>
          <w:tcPr>
            <w:tcW w:w="0" w:type="auto"/>
            <w:tcBorders>
              <w:top w:val="single" w:sz="4" w:space="0" w:color="auto"/>
              <w:bottom w:val="single" w:sz="4" w:space="0" w:color="auto"/>
            </w:tcBorders>
            <w:vAlign w:val="center"/>
            <w:hideMark/>
          </w:tcPr>
          <w:p w14:paraId="45219019"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Strongly Agree / Much Better (%)</w:t>
            </w:r>
          </w:p>
        </w:tc>
        <w:tc>
          <w:tcPr>
            <w:tcW w:w="0" w:type="auto"/>
            <w:tcBorders>
              <w:top w:val="single" w:sz="4" w:space="0" w:color="auto"/>
              <w:bottom w:val="single" w:sz="4" w:space="0" w:color="auto"/>
            </w:tcBorders>
            <w:vAlign w:val="center"/>
            <w:hideMark/>
          </w:tcPr>
          <w:p w14:paraId="33A1EF37"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Agree / Somewhat Better (%)</w:t>
            </w:r>
          </w:p>
        </w:tc>
        <w:tc>
          <w:tcPr>
            <w:tcW w:w="0" w:type="auto"/>
            <w:tcBorders>
              <w:top w:val="single" w:sz="4" w:space="0" w:color="auto"/>
              <w:bottom w:val="single" w:sz="4" w:space="0" w:color="auto"/>
            </w:tcBorders>
            <w:vAlign w:val="center"/>
            <w:hideMark/>
          </w:tcPr>
          <w:p w14:paraId="6662EC8A"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Neutral (%)</w:t>
            </w:r>
          </w:p>
        </w:tc>
        <w:tc>
          <w:tcPr>
            <w:tcW w:w="0" w:type="auto"/>
            <w:tcBorders>
              <w:top w:val="single" w:sz="4" w:space="0" w:color="auto"/>
              <w:bottom w:val="single" w:sz="4" w:space="0" w:color="auto"/>
            </w:tcBorders>
            <w:vAlign w:val="center"/>
            <w:hideMark/>
          </w:tcPr>
          <w:p w14:paraId="7C1968FC"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Disagree (%)</w:t>
            </w:r>
          </w:p>
        </w:tc>
        <w:tc>
          <w:tcPr>
            <w:tcW w:w="0" w:type="auto"/>
            <w:tcBorders>
              <w:top w:val="single" w:sz="4" w:space="0" w:color="auto"/>
              <w:bottom w:val="single" w:sz="4" w:space="0" w:color="auto"/>
            </w:tcBorders>
            <w:vAlign w:val="center"/>
            <w:hideMark/>
          </w:tcPr>
          <w:p w14:paraId="75DD793D"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Mean</w:t>
            </w:r>
          </w:p>
        </w:tc>
        <w:tc>
          <w:tcPr>
            <w:tcW w:w="0" w:type="auto"/>
            <w:tcBorders>
              <w:top w:val="single" w:sz="4" w:space="0" w:color="auto"/>
              <w:bottom w:val="single" w:sz="4" w:space="0" w:color="auto"/>
            </w:tcBorders>
            <w:vAlign w:val="center"/>
            <w:hideMark/>
          </w:tcPr>
          <w:p w14:paraId="4C81165D" w14:textId="77777777" w:rsidR="000B0D96" w:rsidRPr="000B0D96" w:rsidRDefault="000B0D96" w:rsidP="000B0D96">
            <w:pPr>
              <w:spacing w:after="0" w:line="276" w:lineRule="auto"/>
              <w:jc w:val="center"/>
              <w:rPr>
                <w:rFonts w:ascii="Cambria" w:eastAsia="Times New Roman" w:hAnsi="Cambria" w:cs="Times New Roman"/>
                <w:b/>
                <w:bCs/>
                <w:kern w:val="0"/>
                <w:sz w:val="24"/>
                <w:szCs w:val="24"/>
                <w:lang w:eastAsia="en-AU"/>
                <w14:ligatures w14:val="none"/>
              </w:rPr>
            </w:pPr>
            <w:r w:rsidRPr="000B0D96">
              <w:rPr>
                <w:rFonts w:ascii="Cambria" w:eastAsia="Times New Roman" w:hAnsi="Cambria" w:cs="Times New Roman"/>
                <w:b/>
                <w:bCs/>
                <w:kern w:val="0"/>
                <w:sz w:val="24"/>
                <w:szCs w:val="24"/>
                <w:lang w:eastAsia="en-AU"/>
                <w14:ligatures w14:val="none"/>
              </w:rPr>
              <w:t>SD</w:t>
            </w:r>
          </w:p>
        </w:tc>
      </w:tr>
      <w:tr w:rsidR="000B0D96" w:rsidRPr="000B0D96" w14:paraId="7FFAE1DD" w14:textId="77777777" w:rsidTr="000B0D96">
        <w:trPr>
          <w:tblCellSpacing w:w="15" w:type="dxa"/>
        </w:trPr>
        <w:tc>
          <w:tcPr>
            <w:tcW w:w="0" w:type="auto"/>
            <w:vAlign w:val="center"/>
            <w:hideMark/>
          </w:tcPr>
          <w:p w14:paraId="39507423"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Preference for creating PowerPoint over using textbooks</w:t>
            </w:r>
          </w:p>
        </w:tc>
        <w:tc>
          <w:tcPr>
            <w:tcW w:w="0" w:type="auto"/>
            <w:vAlign w:val="center"/>
            <w:hideMark/>
          </w:tcPr>
          <w:p w14:paraId="5E844432"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75.0</w:t>
            </w:r>
          </w:p>
        </w:tc>
        <w:tc>
          <w:tcPr>
            <w:tcW w:w="0" w:type="auto"/>
            <w:vAlign w:val="center"/>
            <w:hideMark/>
          </w:tcPr>
          <w:p w14:paraId="13391812"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105D1F38"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5F834F0E"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4B7CB044"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1.38</w:t>
            </w:r>
          </w:p>
        </w:tc>
        <w:tc>
          <w:tcPr>
            <w:tcW w:w="0" w:type="auto"/>
            <w:vAlign w:val="center"/>
            <w:hideMark/>
          </w:tcPr>
          <w:p w14:paraId="0982F4E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0.74</w:t>
            </w:r>
          </w:p>
        </w:tc>
      </w:tr>
      <w:tr w:rsidR="000B0D96" w:rsidRPr="000B0D96" w14:paraId="2BD5AB12" w14:textId="77777777" w:rsidTr="000B0D96">
        <w:trPr>
          <w:tblCellSpacing w:w="15" w:type="dxa"/>
        </w:trPr>
        <w:tc>
          <w:tcPr>
            <w:tcW w:w="0" w:type="auto"/>
            <w:vAlign w:val="center"/>
            <w:hideMark/>
          </w:tcPr>
          <w:p w14:paraId="56B7DD36"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Government-developed lesson plans support teaching</w:t>
            </w:r>
          </w:p>
        </w:tc>
        <w:tc>
          <w:tcPr>
            <w:tcW w:w="0" w:type="auto"/>
            <w:vAlign w:val="center"/>
            <w:hideMark/>
          </w:tcPr>
          <w:p w14:paraId="66AE3941"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50.0</w:t>
            </w:r>
          </w:p>
        </w:tc>
        <w:tc>
          <w:tcPr>
            <w:tcW w:w="0" w:type="auto"/>
            <w:vAlign w:val="center"/>
            <w:hideMark/>
          </w:tcPr>
          <w:p w14:paraId="44D76E3F"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17AD357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6AE9C4A4"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2529A551"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1.75</w:t>
            </w:r>
          </w:p>
        </w:tc>
        <w:tc>
          <w:tcPr>
            <w:tcW w:w="0" w:type="auto"/>
            <w:vAlign w:val="center"/>
            <w:hideMark/>
          </w:tcPr>
          <w:p w14:paraId="49B7D0E5"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0.89</w:t>
            </w:r>
          </w:p>
        </w:tc>
      </w:tr>
      <w:tr w:rsidR="000B0D96" w:rsidRPr="000B0D96" w14:paraId="17AE1918" w14:textId="77777777" w:rsidTr="000B0D96">
        <w:trPr>
          <w:tblCellSpacing w:w="15" w:type="dxa"/>
        </w:trPr>
        <w:tc>
          <w:tcPr>
            <w:tcW w:w="0" w:type="auto"/>
            <w:vAlign w:val="center"/>
            <w:hideMark/>
          </w:tcPr>
          <w:p w14:paraId="3F10AF20"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Assigned textbooks are necessary in English teaching</w:t>
            </w:r>
          </w:p>
        </w:tc>
        <w:tc>
          <w:tcPr>
            <w:tcW w:w="0" w:type="auto"/>
            <w:vAlign w:val="center"/>
            <w:hideMark/>
          </w:tcPr>
          <w:p w14:paraId="7E1B3371"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87.5</w:t>
            </w:r>
          </w:p>
        </w:tc>
        <w:tc>
          <w:tcPr>
            <w:tcW w:w="0" w:type="auto"/>
            <w:vAlign w:val="center"/>
            <w:hideMark/>
          </w:tcPr>
          <w:p w14:paraId="74916790"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093F06B6"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51F13049"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2CD634E4"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1.38</w:t>
            </w:r>
          </w:p>
        </w:tc>
        <w:tc>
          <w:tcPr>
            <w:tcW w:w="0" w:type="auto"/>
            <w:vAlign w:val="center"/>
            <w:hideMark/>
          </w:tcPr>
          <w:p w14:paraId="30B7D689"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1.08</w:t>
            </w:r>
          </w:p>
        </w:tc>
      </w:tr>
      <w:tr w:rsidR="000B0D96" w:rsidRPr="000B0D96" w14:paraId="56E22D1F" w14:textId="77777777" w:rsidTr="000B0D96">
        <w:trPr>
          <w:tblCellSpacing w:w="15" w:type="dxa"/>
        </w:trPr>
        <w:tc>
          <w:tcPr>
            <w:tcW w:w="0" w:type="auto"/>
            <w:vAlign w:val="center"/>
            <w:hideMark/>
          </w:tcPr>
          <w:p w14:paraId="0D056099"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Difficulty in preparing PowerPoint materials</w:t>
            </w:r>
          </w:p>
        </w:tc>
        <w:tc>
          <w:tcPr>
            <w:tcW w:w="0" w:type="auto"/>
            <w:vAlign w:val="center"/>
            <w:hideMark/>
          </w:tcPr>
          <w:p w14:paraId="22578DDF"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13EA7802"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25.0</w:t>
            </w:r>
          </w:p>
        </w:tc>
        <w:tc>
          <w:tcPr>
            <w:tcW w:w="0" w:type="auto"/>
            <w:vAlign w:val="center"/>
            <w:hideMark/>
          </w:tcPr>
          <w:p w14:paraId="250AAFF5"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50.0</w:t>
            </w:r>
          </w:p>
        </w:tc>
        <w:tc>
          <w:tcPr>
            <w:tcW w:w="0" w:type="auto"/>
            <w:vAlign w:val="center"/>
            <w:hideMark/>
          </w:tcPr>
          <w:p w14:paraId="260D0B91"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12.5</w:t>
            </w:r>
          </w:p>
        </w:tc>
        <w:tc>
          <w:tcPr>
            <w:tcW w:w="0" w:type="auto"/>
            <w:vAlign w:val="center"/>
            <w:hideMark/>
          </w:tcPr>
          <w:p w14:paraId="5D81910A"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2.63</w:t>
            </w:r>
          </w:p>
        </w:tc>
        <w:tc>
          <w:tcPr>
            <w:tcW w:w="0" w:type="auto"/>
            <w:vAlign w:val="center"/>
            <w:hideMark/>
          </w:tcPr>
          <w:p w14:paraId="4EA624E4"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0.92</w:t>
            </w:r>
          </w:p>
        </w:tc>
      </w:tr>
      <w:tr w:rsidR="000B0D96" w:rsidRPr="000B0D96" w14:paraId="1A909EC7" w14:textId="77777777" w:rsidTr="000B0D96">
        <w:trPr>
          <w:tblCellSpacing w:w="15" w:type="dxa"/>
        </w:trPr>
        <w:tc>
          <w:tcPr>
            <w:tcW w:w="0" w:type="auto"/>
            <w:vAlign w:val="center"/>
            <w:hideMark/>
          </w:tcPr>
          <w:p w14:paraId="3DE9E67D"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PowerPoint improves teaching quality</w:t>
            </w:r>
          </w:p>
        </w:tc>
        <w:tc>
          <w:tcPr>
            <w:tcW w:w="0" w:type="auto"/>
            <w:vAlign w:val="center"/>
            <w:hideMark/>
          </w:tcPr>
          <w:p w14:paraId="513C1649"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62.5</w:t>
            </w:r>
          </w:p>
        </w:tc>
        <w:tc>
          <w:tcPr>
            <w:tcW w:w="0" w:type="auto"/>
            <w:vAlign w:val="center"/>
            <w:hideMark/>
          </w:tcPr>
          <w:p w14:paraId="092FD64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37.5</w:t>
            </w:r>
          </w:p>
        </w:tc>
        <w:tc>
          <w:tcPr>
            <w:tcW w:w="0" w:type="auto"/>
            <w:vAlign w:val="center"/>
            <w:hideMark/>
          </w:tcPr>
          <w:p w14:paraId="0B3CEB0B"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3B11B8C6"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31EA4B1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1.38</w:t>
            </w:r>
          </w:p>
        </w:tc>
        <w:tc>
          <w:tcPr>
            <w:tcW w:w="0" w:type="auto"/>
            <w:vAlign w:val="center"/>
            <w:hideMark/>
          </w:tcPr>
          <w:p w14:paraId="04506072"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0.52</w:t>
            </w:r>
          </w:p>
        </w:tc>
      </w:tr>
      <w:tr w:rsidR="000B0D96" w:rsidRPr="000B0D96" w14:paraId="1A129700" w14:textId="77777777" w:rsidTr="000B0D96">
        <w:trPr>
          <w:tblCellSpacing w:w="15" w:type="dxa"/>
        </w:trPr>
        <w:tc>
          <w:tcPr>
            <w:tcW w:w="0" w:type="auto"/>
            <w:vAlign w:val="center"/>
            <w:hideMark/>
          </w:tcPr>
          <w:p w14:paraId="3927F5F6" w14:textId="77777777" w:rsidR="000B0D96" w:rsidRPr="000B0D96" w:rsidRDefault="000B0D96" w:rsidP="000B0D96">
            <w:pPr>
              <w:spacing w:after="0" w:line="276" w:lineRule="auto"/>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Student response compared to textbooks</w:t>
            </w:r>
          </w:p>
        </w:tc>
        <w:tc>
          <w:tcPr>
            <w:tcW w:w="0" w:type="auto"/>
            <w:vAlign w:val="center"/>
            <w:hideMark/>
          </w:tcPr>
          <w:p w14:paraId="4D13A4A6"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62.5</w:t>
            </w:r>
          </w:p>
        </w:tc>
        <w:tc>
          <w:tcPr>
            <w:tcW w:w="0" w:type="auto"/>
            <w:vAlign w:val="center"/>
            <w:hideMark/>
          </w:tcPr>
          <w:p w14:paraId="05A05CAF"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37.5</w:t>
            </w:r>
          </w:p>
        </w:tc>
        <w:tc>
          <w:tcPr>
            <w:tcW w:w="0" w:type="auto"/>
            <w:vAlign w:val="center"/>
            <w:hideMark/>
          </w:tcPr>
          <w:p w14:paraId="74105A05"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325A77B7"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w:t>
            </w:r>
          </w:p>
        </w:tc>
        <w:tc>
          <w:tcPr>
            <w:tcW w:w="0" w:type="auto"/>
            <w:vAlign w:val="center"/>
            <w:hideMark/>
          </w:tcPr>
          <w:p w14:paraId="53AF71BC"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1.38</w:t>
            </w:r>
          </w:p>
        </w:tc>
        <w:tc>
          <w:tcPr>
            <w:tcW w:w="0" w:type="auto"/>
            <w:vAlign w:val="center"/>
            <w:hideMark/>
          </w:tcPr>
          <w:p w14:paraId="0CAB135D" w14:textId="77777777" w:rsidR="000B0D96" w:rsidRPr="000B0D96" w:rsidRDefault="000B0D96" w:rsidP="000B0D96">
            <w:pPr>
              <w:spacing w:after="0" w:line="276" w:lineRule="auto"/>
              <w:jc w:val="center"/>
              <w:rPr>
                <w:rFonts w:ascii="Cambria" w:eastAsia="Times New Roman" w:hAnsi="Cambria" w:cs="Times New Roman"/>
                <w:kern w:val="0"/>
                <w:sz w:val="24"/>
                <w:szCs w:val="24"/>
                <w:lang w:eastAsia="en-AU"/>
                <w14:ligatures w14:val="none"/>
              </w:rPr>
            </w:pPr>
            <w:r w:rsidRPr="000B0D96">
              <w:rPr>
                <w:rFonts w:ascii="Cambria" w:eastAsia="Times New Roman" w:hAnsi="Cambria" w:cs="Times New Roman"/>
                <w:kern w:val="0"/>
                <w:sz w:val="24"/>
                <w:szCs w:val="24"/>
                <w:lang w:eastAsia="en-AU"/>
                <w14:ligatures w14:val="none"/>
              </w:rPr>
              <w:t>0.52</w:t>
            </w:r>
          </w:p>
        </w:tc>
      </w:tr>
    </w:tbl>
    <w:p w14:paraId="33AC12D4" w14:textId="77777777" w:rsidR="000B0D96" w:rsidRPr="00475658" w:rsidRDefault="000B0D96" w:rsidP="000B0D96">
      <w:pPr>
        <w:jc w:val="both"/>
        <w:rPr>
          <w:rFonts w:ascii="Cambria" w:hAnsi="Cambria"/>
          <w:sz w:val="24"/>
          <w:szCs w:val="24"/>
        </w:rPr>
      </w:pPr>
    </w:p>
    <w:p w14:paraId="4947A9AE" w14:textId="518CA0CD" w:rsidR="000B0D96" w:rsidRPr="00475658" w:rsidRDefault="000B0D96" w:rsidP="000B0D96">
      <w:pPr>
        <w:jc w:val="both"/>
        <w:rPr>
          <w:rFonts w:ascii="Cambria" w:hAnsi="Cambria"/>
          <w:i/>
          <w:iCs/>
          <w:sz w:val="24"/>
          <w:szCs w:val="24"/>
        </w:rPr>
      </w:pPr>
      <w:r w:rsidRPr="00475658">
        <w:rPr>
          <w:rFonts w:ascii="Cambria" w:hAnsi="Cambria"/>
          <w:i/>
          <w:iCs/>
          <w:sz w:val="24"/>
          <w:szCs w:val="24"/>
        </w:rPr>
        <w:t>Note: Responses were measured on a five-point Likert scale (1 = Strongly Agree / Much Better; 5 = Strongly Disagree / Much Worse). Percentages are rounded.</w:t>
      </w:r>
    </w:p>
    <w:p w14:paraId="1B5398CC" w14:textId="056A36BA" w:rsidR="0028008B" w:rsidRPr="00475658" w:rsidRDefault="0028008B" w:rsidP="0028008B">
      <w:pPr>
        <w:ind w:firstLine="709"/>
        <w:jc w:val="both"/>
        <w:rPr>
          <w:rFonts w:ascii="Cambria" w:hAnsi="Cambria"/>
          <w:sz w:val="24"/>
          <w:szCs w:val="24"/>
        </w:rPr>
      </w:pPr>
      <w:r w:rsidRPr="00475658">
        <w:rPr>
          <w:rFonts w:ascii="Cambria" w:hAnsi="Cambria"/>
          <w:sz w:val="24"/>
          <w:szCs w:val="24"/>
        </w:rPr>
        <w:t>Quantitative data were collected using a five-point Likert scale completed by eight English teachers to examine their instructional preferences and perceived challenges in using PowerPoint, textbooks, and government-developed lesson plans. Although the sample size was limited, the data reveal consistent and meaningful patterns that provide insight into teachers’ classroom decision-making.</w:t>
      </w:r>
    </w:p>
    <w:p w14:paraId="7A4CE828" w14:textId="65082B18" w:rsidR="0028008B" w:rsidRPr="00475658" w:rsidRDefault="0028008B" w:rsidP="0028008B">
      <w:pPr>
        <w:ind w:firstLine="709"/>
        <w:jc w:val="both"/>
        <w:rPr>
          <w:rFonts w:ascii="Cambria" w:hAnsi="Cambria"/>
          <w:sz w:val="24"/>
          <w:szCs w:val="24"/>
        </w:rPr>
      </w:pPr>
      <w:r w:rsidRPr="00475658">
        <w:rPr>
          <w:rFonts w:ascii="Cambria" w:hAnsi="Cambria"/>
          <w:sz w:val="24"/>
          <w:szCs w:val="24"/>
        </w:rPr>
        <w:t>As shown in Table 1, teachers demonstrated a strong preference for PowerPoint-based instruction. Most respondents indicated that they preferred designing their own PowerPoint materials rather than relying solely on textbooks. This preference reflects teachers’ perception that PowerPoint offers greater adaptability, allowing them to modify content, pacing, and presentation style in response to students’ learning needs. Teachers also reported that PowerPoint facilitates the use of visual and multimedia elements, which they perceived as supporting student engagement and comprehension.</w:t>
      </w:r>
    </w:p>
    <w:p w14:paraId="251A9253" w14:textId="59E944FB" w:rsidR="0028008B" w:rsidRPr="00475658" w:rsidRDefault="0028008B" w:rsidP="0028008B">
      <w:pPr>
        <w:ind w:firstLine="709"/>
        <w:jc w:val="both"/>
        <w:rPr>
          <w:rFonts w:ascii="Cambria" w:hAnsi="Cambria"/>
          <w:sz w:val="24"/>
          <w:szCs w:val="24"/>
        </w:rPr>
      </w:pPr>
      <w:r w:rsidRPr="00475658">
        <w:rPr>
          <w:rFonts w:ascii="Cambria" w:hAnsi="Cambria"/>
          <w:sz w:val="24"/>
          <w:szCs w:val="24"/>
        </w:rPr>
        <w:t>In addition to instructional preference, teachers expressed strong agreement that PowerPoint positively influences teaching quality. This suggests that teachers do not view PowerPoint merely as a presentation tool, but as a pedagogical resource that enhances lesson clarity, supports explanation of complex concepts, and encourages student participation when integrated purposefully. The consistency of responses across these items indicates a shared perception of the pedagogical value of PowerPoint in English language teaching.</w:t>
      </w:r>
    </w:p>
    <w:p w14:paraId="61B10B03" w14:textId="641A2423" w:rsidR="0028008B" w:rsidRPr="00475658" w:rsidRDefault="0028008B" w:rsidP="0028008B">
      <w:pPr>
        <w:ind w:firstLine="709"/>
        <w:jc w:val="both"/>
        <w:rPr>
          <w:rFonts w:ascii="Cambria" w:hAnsi="Cambria"/>
          <w:sz w:val="24"/>
          <w:szCs w:val="24"/>
        </w:rPr>
      </w:pPr>
      <w:r w:rsidRPr="00475658">
        <w:rPr>
          <w:rFonts w:ascii="Cambria" w:hAnsi="Cambria"/>
          <w:sz w:val="24"/>
          <w:szCs w:val="24"/>
        </w:rPr>
        <w:lastRenderedPageBreak/>
        <w:t>Despite this strong endorsement of digital instruction, textbooks remained highly valued. A substantial majority of teachers agreed that assigned textbooks are still necessary for English language teaching. Respondents highlighted the importance of textbooks in providing structure, supporting independent learning, and ensuring systematic coverage of curriculum content. This finding suggests that teachers do not perceive digital tools as replacements for traditional materials, but rather as complementary resources that serve different instructional functions.</w:t>
      </w:r>
    </w:p>
    <w:p w14:paraId="0A7E4C52" w14:textId="3DC67966" w:rsidR="0028008B" w:rsidRPr="00475658" w:rsidRDefault="0028008B" w:rsidP="0028008B">
      <w:pPr>
        <w:ind w:firstLine="709"/>
        <w:jc w:val="both"/>
        <w:rPr>
          <w:rFonts w:ascii="Cambria" w:hAnsi="Cambria"/>
          <w:sz w:val="24"/>
          <w:szCs w:val="24"/>
        </w:rPr>
      </w:pPr>
      <w:r w:rsidRPr="00475658">
        <w:rPr>
          <w:rFonts w:ascii="Cambria" w:hAnsi="Cambria"/>
          <w:sz w:val="24"/>
          <w:szCs w:val="24"/>
        </w:rPr>
        <w:t xml:space="preserve">Teachers’ responses to government-developed lesson plans further illustrate this complementary approach. While many teachers agreed that these lesson plans are helpful for aligning instruction with national curriculum standards, responses also reflected mixed perceptions regarding their flexibility. The data indicate that teachers value the organisational guidance and consistency provided by centrally developed </w:t>
      </w:r>
      <w:r w:rsidR="00B33652" w:rsidRPr="00475658">
        <w:rPr>
          <w:rFonts w:ascii="Cambria" w:hAnsi="Cambria"/>
          <w:sz w:val="24"/>
          <w:szCs w:val="24"/>
        </w:rPr>
        <w:t>materials but</w:t>
      </w:r>
      <w:r w:rsidRPr="00475658">
        <w:rPr>
          <w:rFonts w:ascii="Cambria" w:hAnsi="Cambria"/>
          <w:sz w:val="24"/>
          <w:szCs w:val="24"/>
        </w:rPr>
        <w:t xml:space="preserve"> simultaneously recognise the need to adapt them to better address students’ diverse proficiency levels and classroom contexts.</w:t>
      </w:r>
    </w:p>
    <w:p w14:paraId="589410A6" w14:textId="13EC1CD0" w:rsidR="0028008B" w:rsidRPr="00475658" w:rsidRDefault="0028008B" w:rsidP="0028008B">
      <w:pPr>
        <w:ind w:firstLine="709"/>
        <w:jc w:val="both"/>
        <w:rPr>
          <w:rFonts w:ascii="Cambria" w:hAnsi="Cambria"/>
          <w:sz w:val="24"/>
          <w:szCs w:val="24"/>
        </w:rPr>
      </w:pPr>
      <w:r w:rsidRPr="00475658">
        <w:rPr>
          <w:rFonts w:ascii="Cambria" w:hAnsi="Cambria"/>
          <w:sz w:val="24"/>
          <w:szCs w:val="24"/>
        </w:rPr>
        <w:t>Teachers also reported moderate levels of difficulty in preparing PowerPoint materials. While some respondents indicated that creating digital materials was manageable, others identified challenges related to time constraints, limited technological skills, and insufficient institutional support. The variation in responses suggests differences in teachers’ access to resources and levels of technological confidence, which may influence how effectively digital tools are integrated into instruction.</w:t>
      </w:r>
    </w:p>
    <w:p w14:paraId="1E60801E" w14:textId="434F9994" w:rsidR="000B0D96" w:rsidRPr="00475658" w:rsidRDefault="0028008B" w:rsidP="0028008B">
      <w:pPr>
        <w:ind w:firstLine="709"/>
        <w:jc w:val="both"/>
        <w:rPr>
          <w:rFonts w:ascii="Cambria" w:hAnsi="Cambria"/>
          <w:sz w:val="24"/>
          <w:szCs w:val="24"/>
        </w:rPr>
      </w:pPr>
      <w:r w:rsidRPr="00475658">
        <w:rPr>
          <w:rFonts w:ascii="Cambria" w:hAnsi="Cambria"/>
          <w:sz w:val="24"/>
          <w:szCs w:val="24"/>
        </w:rPr>
        <w:t>Finally, teachers perceived that students generally responded more positively to PowerPoint-based lessons than to textbook-only instruction. This perception reinforces teachers’ preference for multimedia-supported teaching while also acknowledging the continued relevance of textbooks. Taken together, the quantitative findings suggest that teachers adopt a balanced instructional approach, combining the flexibility and engagement of PowerPoint with the structure and reliability of textbooks and government-developed lesson plans.</w:t>
      </w:r>
    </w:p>
    <w:p w14:paraId="5FAFAFF7" w14:textId="428262C8" w:rsidR="0028008B" w:rsidRPr="00475658" w:rsidRDefault="0028008B" w:rsidP="0028008B">
      <w:pPr>
        <w:ind w:firstLine="709"/>
        <w:jc w:val="both"/>
        <w:rPr>
          <w:rFonts w:ascii="Cambria" w:hAnsi="Cambria"/>
          <w:sz w:val="24"/>
          <w:szCs w:val="24"/>
        </w:rPr>
      </w:pPr>
      <w:r w:rsidRPr="00475658">
        <w:rPr>
          <w:rFonts w:ascii="Cambria" w:hAnsi="Cambria"/>
          <w:sz w:val="24"/>
          <w:szCs w:val="24"/>
        </w:rPr>
        <w:t>While the quantitative findings reveal general patterns in teachers’ instructional preferences and perceived challenges, they do not fully capture the reasons behind these patterns or the contextual factors shaping teachers’ instructional decisions. To gain deeper insight into how teachers interpret, adapt, and negotiate the use of PowerPoint, textbooks, and government-developed lesson plans in their everyday practice, qualitative data were analysed in the following section. The qualitative findings provide a more nuanced understanding of teachers’ experiences, highlighting how institutional constraints, professional judgement, and classroom realities influence instructional choices.</w:t>
      </w:r>
    </w:p>
    <w:p w14:paraId="17978CB4" w14:textId="32F8272D" w:rsidR="000B0D96" w:rsidRPr="00475658" w:rsidRDefault="000B0D96" w:rsidP="000B0D96">
      <w:pPr>
        <w:jc w:val="both"/>
        <w:rPr>
          <w:rFonts w:ascii="Cambria" w:hAnsi="Cambria"/>
          <w:b/>
          <w:bCs/>
          <w:i/>
          <w:iCs/>
          <w:sz w:val="24"/>
          <w:szCs w:val="24"/>
        </w:rPr>
      </w:pPr>
      <w:bookmarkStart w:id="0" w:name="_Hlk220015490"/>
      <w:r w:rsidRPr="00475658">
        <w:rPr>
          <w:rFonts w:ascii="Cambria" w:hAnsi="Cambria"/>
          <w:b/>
          <w:bCs/>
          <w:i/>
          <w:iCs/>
          <w:sz w:val="24"/>
          <w:szCs w:val="24"/>
        </w:rPr>
        <w:t>Qualitative Findings</w:t>
      </w:r>
    </w:p>
    <w:bookmarkEnd w:id="0"/>
    <w:p w14:paraId="3969F375" w14:textId="7503C894" w:rsidR="000B0D96" w:rsidRPr="00475658" w:rsidRDefault="000B0D96" w:rsidP="000B0D96">
      <w:pPr>
        <w:ind w:firstLine="709"/>
        <w:jc w:val="both"/>
        <w:rPr>
          <w:rFonts w:ascii="Cambria" w:hAnsi="Cambria"/>
          <w:sz w:val="24"/>
          <w:szCs w:val="24"/>
        </w:rPr>
      </w:pPr>
      <w:r w:rsidRPr="00475658">
        <w:rPr>
          <w:rFonts w:ascii="Cambria" w:hAnsi="Cambria"/>
          <w:sz w:val="24"/>
          <w:szCs w:val="24"/>
        </w:rPr>
        <w:t>Qualitative analysis of open-ended responses identified several recurring themes related to curriculum implementation, instructional materials, and teacher decision-making.</w:t>
      </w:r>
    </w:p>
    <w:p w14:paraId="1112A8F9" w14:textId="2D32D0CD"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Perceptions of Government-Developed Lesson Plans</w:t>
      </w:r>
    </w:p>
    <w:p w14:paraId="6E08A6AB" w14:textId="2F5F011A" w:rsidR="000B0D96" w:rsidRPr="00475658" w:rsidRDefault="000B0D96" w:rsidP="000B0D96">
      <w:pPr>
        <w:ind w:firstLine="709"/>
        <w:jc w:val="both"/>
        <w:rPr>
          <w:rFonts w:ascii="Cambria" w:hAnsi="Cambria"/>
          <w:sz w:val="24"/>
          <w:szCs w:val="24"/>
        </w:rPr>
      </w:pPr>
      <w:r w:rsidRPr="00475658">
        <w:rPr>
          <w:rFonts w:ascii="Cambria" w:hAnsi="Cambria"/>
          <w:sz w:val="24"/>
          <w:szCs w:val="24"/>
        </w:rPr>
        <w:lastRenderedPageBreak/>
        <w:t>Teachers expressed mixed views regarding government-developed lesson plans. Some valued the structure and guidance these plans offer, particularly for maintaining alignment with curriculum standards. Others, however, perceived them as overly rigid and insufficiently responsive to students’ diverse learning needs. Many teachers reported adapting or supplementing these plans to better fit their classroom contexts, illustrating the ongoing negotiation between curriculum mandates and professional judgement.</w:t>
      </w:r>
      <w:r w:rsidR="0028008B" w:rsidRPr="00475658">
        <w:rPr>
          <w:rFonts w:ascii="Cambria" w:hAnsi="Cambria"/>
          <w:sz w:val="24"/>
          <w:szCs w:val="24"/>
        </w:rPr>
        <w:t xml:space="preserve"> While some teachers valued the structure provided by government-developed lesson plans, others perceived them as insufficiently flexible. As one teacher noted, </w:t>
      </w:r>
      <w:r w:rsidR="0028008B" w:rsidRPr="00475658">
        <w:rPr>
          <w:rFonts w:ascii="Cambria" w:hAnsi="Cambria"/>
          <w:i/>
          <w:iCs/>
          <w:sz w:val="24"/>
          <w:szCs w:val="24"/>
        </w:rPr>
        <w:t>“The lesson plans help me follow the curriculum, but I still need to change many parts to suit my students’ level and classroom situation.”</w:t>
      </w:r>
      <w:r w:rsidR="0028008B" w:rsidRPr="00475658">
        <w:rPr>
          <w:rFonts w:ascii="Cambria" w:hAnsi="Cambria"/>
          <w:sz w:val="24"/>
          <w:szCs w:val="24"/>
        </w:rPr>
        <w:t xml:space="preserve"> This illustrates how teachers actively adapt mandated materials to meet contextual needs.</w:t>
      </w:r>
    </w:p>
    <w:p w14:paraId="511DA73B" w14:textId="1DC9D9E1"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Perceived Advantages of PowerPoint</w:t>
      </w:r>
    </w:p>
    <w:p w14:paraId="5A9D7AE6" w14:textId="15A34E18" w:rsidR="000B0D96" w:rsidRPr="00475658" w:rsidRDefault="000B0D96" w:rsidP="000B0D96">
      <w:pPr>
        <w:ind w:firstLine="709"/>
        <w:jc w:val="both"/>
        <w:rPr>
          <w:rFonts w:ascii="Cambria" w:hAnsi="Cambria"/>
          <w:sz w:val="24"/>
          <w:szCs w:val="24"/>
        </w:rPr>
      </w:pPr>
      <w:r w:rsidRPr="00475658">
        <w:rPr>
          <w:rFonts w:ascii="Cambria" w:hAnsi="Cambria"/>
          <w:sz w:val="24"/>
          <w:szCs w:val="24"/>
        </w:rPr>
        <w:t>Teachers identified PowerPoint as an effective instructional tool due to its capacity for material customisation, creativity, and interactive delivery. Participants noted that PowerPoint allowed them to adjust content to student needs, present information more clearly, and engage learners through visuals and multimedia elements. These features were seen as particularly beneficial for supporting comprehension and maintaining student interest.</w:t>
      </w:r>
      <w:r w:rsidR="0028008B" w:rsidRPr="00475658">
        <w:rPr>
          <w:rFonts w:ascii="Cambria" w:hAnsi="Cambria"/>
          <w:sz w:val="24"/>
          <w:szCs w:val="24"/>
        </w:rPr>
        <w:t xml:space="preserve"> </w:t>
      </w:r>
    </w:p>
    <w:p w14:paraId="716D9B53" w14:textId="332A5A1D"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Challenges in Material Preparation</w:t>
      </w:r>
    </w:p>
    <w:p w14:paraId="578D2DCA" w14:textId="571173C7" w:rsidR="000B0D96" w:rsidRPr="00475658" w:rsidRDefault="000B0D96" w:rsidP="000B0D96">
      <w:pPr>
        <w:ind w:firstLine="709"/>
        <w:jc w:val="both"/>
        <w:rPr>
          <w:rFonts w:ascii="Cambria" w:hAnsi="Cambria"/>
          <w:sz w:val="24"/>
          <w:szCs w:val="24"/>
        </w:rPr>
      </w:pPr>
      <w:r w:rsidRPr="00475658">
        <w:rPr>
          <w:rFonts w:ascii="Cambria" w:hAnsi="Cambria"/>
          <w:sz w:val="24"/>
          <w:szCs w:val="24"/>
        </w:rPr>
        <w:t>Despite recognising the benefits of PowerPoint, teachers reported several challenges in creating instructional materials. Common concerns included limited preparation time, lack of access to resources, and insufficient technological skills. These constraints often increased workload and reduced opportunities for innovation, especially in under-resourced school settings.</w:t>
      </w:r>
      <w:r w:rsidR="0028008B" w:rsidRPr="00475658">
        <w:rPr>
          <w:rFonts w:ascii="Cambria" w:hAnsi="Cambria"/>
          <w:sz w:val="24"/>
          <w:szCs w:val="24"/>
        </w:rPr>
        <w:t xml:space="preserve"> Teachers frequently highlighted time constraints and limited technological expertise as major challenges. One participant explained, </w:t>
      </w:r>
      <w:r w:rsidR="0028008B" w:rsidRPr="00475658">
        <w:rPr>
          <w:rFonts w:ascii="Cambria" w:hAnsi="Cambria"/>
          <w:i/>
          <w:iCs/>
          <w:sz w:val="24"/>
          <w:szCs w:val="24"/>
        </w:rPr>
        <w:t>“Preparing one PowerPoint lesson can take hours, and sometimes I still feel it is not effective enough.”</w:t>
      </w:r>
      <w:r w:rsidR="0028008B" w:rsidRPr="00475658">
        <w:rPr>
          <w:rFonts w:ascii="Cambria" w:hAnsi="Cambria"/>
          <w:sz w:val="24"/>
          <w:szCs w:val="24"/>
        </w:rPr>
        <w:t xml:space="preserve"> Such accounts reflect the workload pressures associated with material development.</w:t>
      </w:r>
    </w:p>
    <w:p w14:paraId="6DE637CC" w14:textId="1F147CFB" w:rsidR="000B0D96" w:rsidRPr="00475658" w:rsidRDefault="000B0D96" w:rsidP="0028008B">
      <w:pPr>
        <w:ind w:firstLine="709"/>
        <w:jc w:val="both"/>
        <w:rPr>
          <w:rFonts w:ascii="Cambria" w:hAnsi="Cambria"/>
          <w:b/>
          <w:bCs/>
          <w:i/>
          <w:iCs/>
          <w:sz w:val="24"/>
          <w:szCs w:val="24"/>
        </w:rPr>
      </w:pPr>
      <w:r w:rsidRPr="00475658">
        <w:rPr>
          <w:rFonts w:ascii="Cambria" w:hAnsi="Cambria"/>
          <w:b/>
          <w:bCs/>
          <w:i/>
          <w:iCs/>
          <w:sz w:val="24"/>
          <w:szCs w:val="24"/>
        </w:rPr>
        <w:t>Continued Value of Textbooks</w:t>
      </w:r>
    </w:p>
    <w:p w14:paraId="36A259AD" w14:textId="11B0289F" w:rsidR="000B0D96" w:rsidRPr="00475658" w:rsidRDefault="000B0D96" w:rsidP="000B0D96">
      <w:pPr>
        <w:ind w:firstLine="709"/>
        <w:jc w:val="both"/>
        <w:rPr>
          <w:rFonts w:ascii="Cambria" w:hAnsi="Cambria"/>
          <w:sz w:val="24"/>
          <w:szCs w:val="24"/>
        </w:rPr>
      </w:pPr>
      <w:r w:rsidRPr="00475658">
        <w:rPr>
          <w:rFonts w:ascii="Cambria" w:hAnsi="Cambria"/>
          <w:sz w:val="24"/>
          <w:szCs w:val="24"/>
        </w:rPr>
        <w:t>Textbooks were consistently viewed as reliable and efficient instructional resources. Teachers highlighted their role in saving preparation time, supporting self-directed learning, and providing structured and trustworthy content. While acknowledging that textbooks can limit flexibility, participants emphasised their importance in contexts where digital access is uneven.</w:t>
      </w:r>
    </w:p>
    <w:p w14:paraId="6021B3E1" w14:textId="2E132784"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Integrating PowerPoint and Textbooks</w:t>
      </w:r>
    </w:p>
    <w:p w14:paraId="6F3ECDA3" w14:textId="0CB71693" w:rsidR="00B33652" w:rsidRPr="00475658" w:rsidRDefault="000B0D96" w:rsidP="00661689">
      <w:pPr>
        <w:ind w:firstLine="709"/>
        <w:jc w:val="both"/>
        <w:rPr>
          <w:rFonts w:ascii="Cambria" w:hAnsi="Cambria"/>
          <w:sz w:val="24"/>
          <w:szCs w:val="24"/>
        </w:rPr>
      </w:pPr>
      <w:r w:rsidRPr="00475658">
        <w:rPr>
          <w:rFonts w:ascii="Cambria" w:hAnsi="Cambria"/>
          <w:sz w:val="24"/>
          <w:szCs w:val="24"/>
        </w:rPr>
        <w:t>Rather than viewing PowerPoint and textbooks as competing tools, teachers described them as complementary. PowerPoint was perceived as more engaging and suitable for visual learners, while textbooks provided depth, structure, and continuity. Many teachers advocated for a blended approach that combines digital and traditional materials based on instructional goals and learner needs.</w:t>
      </w:r>
      <w:r w:rsidR="0028008B" w:rsidRPr="00475658">
        <w:rPr>
          <w:rFonts w:ascii="Cambria" w:hAnsi="Cambria"/>
          <w:sz w:val="24"/>
          <w:szCs w:val="24"/>
        </w:rPr>
        <w:t xml:space="preserve"> Teachers described PowerPoint and textbooks as complementary rather than competing resources. As one teacher stated, </w:t>
      </w:r>
      <w:r w:rsidR="0028008B" w:rsidRPr="00475658">
        <w:rPr>
          <w:rFonts w:ascii="Cambria" w:hAnsi="Cambria"/>
          <w:i/>
          <w:iCs/>
          <w:sz w:val="24"/>
          <w:szCs w:val="24"/>
        </w:rPr>
        <w:lastRenderedPageBreak/>
        <w:t>“PowerPoint is good for explaining and engaging students, but textbooks are still important so students can review and study on their own.”</w:t>
      </w:r>
      <w:r w:rsidR="0028008B" w:rsidRPr="00475658">
        <w:rPr>
          <w:rFonts w:ascii="Cambria" w:hAnsi="Cambria"/>
          <w:sz w:val="24"/>
          <w:szCs w:val="24"/>
        </w:rPr>
        <w:t xml:space="preserve"> This reflects a blended instructional approach.</w:t>
      </w:r>
    </w:p>
    <w:p w14:paraId="0D70E5E3" w14:textId="35AC9158"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Time and Instructional Efficiency</w:t>
      </w:r>
    </w:p>
    <w:p w14:paraId="2B81344E" w14:textId="3850B17D" w:rsidR="000B0D96" w:rsidRPr="00475658" w:rsidRDefault="000B0D96" w:rsidP="000B0D96">
      <w:pPr>
        <w:ind w:firstLine="709"/>
        <w:jc w:val="both"/>
        <w:rPr>
          <w:rFonts w:ascii="Cambria" w:hAnsi="Cambria"/>
          <w:sz w:val="24"/>
          <w:szCs w:val="24"/>
        </w:rPr>
      </w:pPr>
      <w:r w:rsidRPr="00475658">
        <w:rPr>
          <w:rFonts w:ascii="Cambria" w:hAnsi="Cambria"/>
          <w:sz w:val="24"/>
          <w:szCs w:val="24"/>
        </w:rPr>
        <w:t>Teachers expressed differing views on lesson preparation time. Some reported that digital tools, including emerging technologies such as AI, could support more efficient preparation. Others noted that material design remained time-consuming due to limited training, lack of templates, and infrastructure constraints. These findings suggest that technological efficiency depends heavily on institutional support and professional development.</w:t>
      </w:r>
    </w:p>
    <w:p w14:paraId="6E2A5335" w14:textId="7505473E" w:rsidR="000B0D96" w:rsidRPr="00475658" w:rsidRDefault="000B0D96" w:rsidP="000B0D96">
      <w:pPr>
        <w:ind w:firstLine="709"/>
        <w:jc w:val="both"/>
        <w:rPr>
          <w:rFonts w:ascii="Cambria" w:hAnsi="Cambria"/>
          <w:b/>
          <w:bCs/>
          <w:i/>
          <w:iCs/>
          <w:sz w:val="24"/>
          <w:szCs w:val="24"/>
        </w:rPr>
      </w:pPr>
      <w:r w:rsidRPr="00475658">
        <w:rPr>
          <w:rFonts w:ascii="Cambria" w:hAnsi="Cambria"/>
          <w:b/>
          <w:bCs/>
          <w:i/>
          <w:iCs/>
          <w:sz w:val="24"/>
          <w:szCs w:val="24"/>
        </w:rPr>
        <w:t>Recommendations for Improving Instructional Practice</w:t>
      </w:r>
    </w:p>
    <w:p w14:paraId="20184178" w14:textId="7E148A29" w:rsidR="000B0D96" w:rsidRPr="00475658" w:rsidRDefault="000B0D96" w:rsidP="000B0D96">
      <w:pPr>
        <w:ind w:firstLine="709"/>
        <w:jc w:val="both"/>
        <w:rPr>
          <w:rFonts w:ascii="Cambria" w:hAnsi="Cambria"/>
          <w:sz w:val="24"/>
          <w:szCs w:val="24"/>
        </w:rPr>
      </w:pPr>
      <w:r w:rsidRPr="00475658">
        <w:rPr>
          <w:rFonts w:ascii="Cambria" w:hAnsi="Cambria"/>
          <w:sz w:val="24"/>
          <w:szCs w:val="24"/>
        </w:rPr>
        <w:t>Participants offered several recommendations to improve teaching conditions, including greater access to technology, more comprehensive teaching resources, and increased flexibility in using government-developed lesson plans. Teachers emphasised the need for autonomy to adapt materials and for targeted professional development to support effective technology integration.</w:t>
      </w:r>
    </w:p>
    <w:p w14:paraId="57EFFC82" w14:textId="1CE74D0B" w:rsidR="0028008B" w:rsidRPr="00C754B5" w:rsidRDefault="0028008B" w:rsidP="0028008B">
      <w:pPr>
        <w:jc w:val="both"/>
        <w:rPr>
          <w:rFonts w:ascii="Cambria" w:hAnsi="Cambria"/>
          <w:b/>
          <w:bCs/>
          <w:sz w:val="24"/>
          <w:szCs w:val="24"/>
        </w:rPr>
      </w:pPr>
      <w:r w:rsidRPr="00475658">
        <w:rPr>
          <w:rFonts w:ascii="Cambria" w:hAnsi="Cambria"/>
          <w:b/>
          <w:bCs/>
          <w:sz w:val="24"/>
          <w:szCs w:val="24"/>
        </w:rPr>
        <w:t xml:space="preserve">Discussion </w:t>
      </w:r>
      <w:bookmarkStart w:id="1" w:name="_GoBack"/>
      <w:bookmarkEnd w:id="1"/>
    </w:p>
    <w:p w14:paraId="01FE7728" w14:textId="45119841" w:rsidR="0028008B" w:rsidRPr="00475658" w:rsidRDefault="0028008B" w:rsidP="0028008B">
      <w:pPr>
        <w:ind w:firstLine="709"/>
        <w:jc w:val="both"/>
        <w:rPr>
          <w:rFonts w:ascii="Cambria" w:hAnsi="Cambria"/>
          <w:sz w:val="24"/>
          <w:szCs w:val="24"/>
        </w:rPr>
      </w:pPr>
      <w:r w:rsidRPr="00475658">
        <w:rPr>
          <w:rFonts w:ascii="Cambria" w:hAnsi="Cambria"/>
          <w:sz w:val="24"/>
          <w:szCs w:val="24"/>
        </w:rPr>
        <w:t>This study demonstrates that English teachers do not simply adopt digital tools or government-developed materials as prescribed; rather, they actively negotiate and combine instructional resources in response to classroom realities. The findings reveal a clear preference for PowerPoint-based instruction due to its interactive and multimedia affordances, which teachers perceive as enhancing student engagement and comprehension. This aligns with research on technology-enhanced instruction showing that multimedia tools can support clearer content delivery and increased learner engagement when used pedagogically (</w:t>
      </w:r>
      <w:proofErr w:type="spellStart"/>
      <w:r w:rsidRPr="00475658">
        <w:rPr>
          <w:rFonts w:ascii="Cambria" w:hAnsi="Cambria"/>
          <w:sz w:val="24"/>
          <w:szCs w:val="24"/>
        </w:rPr>
        <w:t>Ertmer</w:t>
      </w:r>
      <w:proofErr w:type="spellEnd"/>
      <w:r w:rsidRPr="00475658">
        <w:rPr>
          <w:rFonts w:ascii="Cambria" w:hAnsi="Cambria"/>
          <w:sz w:val="24"/>
          <w:szCs w:val="24"/>
        </w:rPr>
        <w:t xml:space="preserve"> &amp; </w:t>
      </w:r>
      <w:proofErr w:type="spellStart"/>
      <w:r w:rsidRPr="00475658">
        <w:rPr>
          <w:rFonts w:ascii="Cambria" w:hAnsi="Cambria"/>
          <w:sz w:val="24"/>
          <w:szCs w:val="24"/>
        </w:rPr>
        <w:t>Ottenbreit</w:t>
      </w:r>
      <w:proofErr w:type="spellEnd"/>
      <w:r w:rsidRPr="00475658">
        <w:rPr>
          <w:rFonts w:ascii="Cambria" w:hAnsi="Cambria"/>
          <w:sz w:val="24"/>
          <w:szCs w:val="24"/>
        </w:rPr>
        <w:t>-Leftwich, 2010; Koehler et al., 2013). However, this preference does not signal a rejection of traditional materials. Instead, textbooks continue to function as essential instructional anchors, valued for their structure, curricular alignment, and support for independent learning.</w:t>
      </w:r>
    </w:p>
    <w:p w14:paraId="70DE60E5" w14:textId="4F0ACE67" w:rsidR="0028008B" w:rsidRPr="00475658" w:rsidRDefault="0028008B" w:rsidP="0028008B">
      <w:pPr>
        <w:ind w:firstLine="709"/>
        <w:jc w:val="both"/>
        <w:rPr>
          <w:rFonts w:ascii="Cambria" w:hAnsi="Cambria"/>
          <w:sz w:val="24"/>
          <w:szCs w:val="24"/>
        </w:rPr>
      </w:pPr>
      <w:r w:rsidRPr="00475658">
        <w:rPr>
          <w:rFonts w:ascii="Cambria" w:hAnsi="Cambria"/>
          <w:sz w:val="24"/>
          <w:szCs w:val="24"/>
        </w:rPr>
        <w:t>The continued use of textbooks alongside PowerPoint challenges linear narratives of technological replacement that frame digital tools as superior substitutes for print-based resources. Rather, the findings support research on blended learning, which emphasises the pedagogical value of integrating digital and traditional materials to serve different instructional purposes (Bonk &amp; Graham, 2006; Graham, 2013). Teachers in this study leveraged PowerPoint to enhance interactivity and responsiveness, while relying on textbooks to ensure coherence, continuity, and accountability. This indicates that effective technology integration is not about substituting materials, but about aligning tools with pedagogical intentions and contextual constraints.</w:t>
      </w:r>
    </w:p>
    <w:p w14:paraId="6C33685D" w14:textId="6C9D289F" w:rsidR="0028008B" w:rsidRPr="00475658" w:rsidRDefault="0028008B" w:rsidP="0028008B">
      <w:pPr>
        <w:ind w:firstLine="709"/>
        <w:jc w:val="both"/>
        <w:rPr>
          <w:rFonts w:ascii="Cambria" w:hAnsi="Cambria"/>
          <w:sz w:val="24"/>
          <w:szCs w:val="24"/>
        </w:rPr>
      </w:pPr>
      <w:r w:rsidRPr="00475658">
        <w:rPr>
          <w:rFonts w:ascii="Cambria" w:hAnsi="Cambria"/>
          <w:sz w:val="24"/>
          <w:szCs w:val="24"/>
        </w:rPr>
        <w:t xml:space="preserve">Teachers’ responses to government-developed lesson plans further underscore the central role of teacher agency in curriculum enactment. While these lesson plans were generally perceived as supportive in providing structure and alignment with national standards, teachers consistently reported the need to adapt them to suit students’ diverse </w:t>
      </w:r>
      <w:r w:rsidRPr="00475658">
        <w:rPr>
          <w:rFonts w:ascii="Cambria" w:hAnsi="Cambria"/>
          <w:sz w:val="24"/>
          <w:szCs w:val="24"/>
        </w:rPr>
        <w:lastRenderedPageBreak/>
        <w:t>proficiency levels and classroom contexts. Drawing on Ball and Bowe’s (1992) policy enactment perspective, these findings illustrate that curriculum policies are not implemented mechanically but are interpreted, translated, and reshaped by teachers in situated practice. Similar arguments are advanced by Braun et al. (2010), who contend that policy enactment is mediated by school contexts, professional judgement, and available resources rather than direct policy compliance.</w:t>
      </w:r>
    </w:p>
    <w:p w14:paraId="73DC53C1" w14:textId="642C487B" w:rsidR="0028008B" w:rsidRPr="00475658" w:rsidRDefault="0028008B" w:rsidP="0028008B">
      <w:pPr>
        <w:ind w:firstLine="709"/>
        <w:jc w:val="both"/>
        <w:rPr>
          <w:rFonts w:ascii="Cambria" w:hAnsi="Cambria"/>
          <w:sz w:val="24"/>
          <w:szCs w:val="24"/>
        </w:rPr>
      </w:pPr>
      <w:r w:rsidRPr="00475658">
        <w:rPr>
          <w:rFonts w:ascii="Cambria" w:hAnsi="Cambria"/>
          <w:sz w:val="24"/>
          <w:szCs w:val="24"/>
        </w:rPr>
        <w:t xml:space="preserve">This tension between standardisation and flexibility reflects broader debates about teacher autonomy under centralised curriculum reforms. Research on teacher agency suggests that teachers operate within “spaces for manoeuvre,” where professional decision-making is shaped by structural, cultural, and material conditions (Priestley et al., 2012; Priestley et al., 2015). In this study, teachers’ adaptation of lesson plans represents an enactment of agency rather than resistance, as they sought to reconcile curriculum mandates with classroom realities. This supports </w:t>
      </w:r>
      <w:proofErr w:type="spellStart"/>
      <w:r w:rsidRPr="00475658">
        <w:rPr>
          <w:rFonts w:ascii="Cambria" w:hAnsi="Cambria"/>
          <w:sz w:val="24"/>
          <w:szCs w:val="24"/>
        </w:rPr>
        <w:t>Biesta</w:t>
      </w:r>
      <w:proofErr w:type="spellEnd"/>
      <w:r w:rsidRPr="00475658">
        <w:rPr>
          <w:rFonts w:ascii="Cambria" w:hAnsi="Cambria"/>
          <w:sz w:val="24"/>
          <w:szCs w:val="24"/>
        </w:rPr>
        <w:t xml:space="preserve"> et al.’s (2015) argument that teacher agency is ecological, emerging from the interaction between individual capacity and contextual affordances.</w:t>
      </w:r>
    </w:p>
    <w:p w14:paraId="3FF08423" w14:textId="32540932" w:rsidR="0028008B" w:rsidRPr="00475658" w:rsidRDefault="0028008B" w:rsidP="0028008B">
      <w:pPr>
        <w:ind w:firstLine="709"/>
        <w:jc w:val="both"/>
        <w:rPr>
          <w:rFonts w:ascii="Cambria" w:hAnsi="Cambria"/>
          <w:sz w:val="24"/>
          <w:szCs w:val="24"/>
        </w:rPr>
      </w:pPr>
      <w:r w:rsidRPr="00475658">
        <w:rPr>
          <w:rFonts w:ascii="Cambria" w:hAnsi="Cambria"/>
          <w:sz w:val="24"/>
          <w:szCs w:val="24"/>
        </w:rPr>
        <w:t>The challenges associated with PowerPoint preparation—particularly time constraints, limited technological skills, and uneven access to resources—further illuminate structural barriers to effective technology integration. Viewed through the Technological Pedagogical Content Knowledge (TPACK) framework (Mishra &amp; Koehler, 2006), these difficulties suggest uneven development across technological, pedagogical, and content knowledge domains. While teachers recognised the pedagogical potential of PowerPoint, limited training and infrastructure constrained their ability to integrate technology effectively. Th</w:t>
      </w:r>
      <w:r w:rsidR="005F3431">
        <w:rPr>
          <w:rFonts w:ascii="Cambria" w:hAnsi="Cambria"/>
          <w:sz w:val="24"/>
          <w:szCs w:val="24"/>
        </w:rPr>
        <w:t>is</w:t>
      </w:r>
      <w:r w:rsidRPr="00475658">
        <w:rPr>
          <w:rFonts w:ascii="Cambria" w:hAnsi="Cambria"/>
          <w:sz w:val="24"/>
          <w:szCs w:val="24"/>
        </w:rPr>
        <w:t xml:space="preserve"> finding echoes broader research showing that teacher beliefs and willingness alone are insufficient without institutional support, professional development, and enabling conditions (</w:t>
      </w:r>
      <w:proofErr w:type="spellStart"/>
      <w:r w:rsidRPr="00475658">
        <w:rPr>
          <w:rFonts w:ascii="Cambria" w:hAnsi="Cambria"/>
          <w:sz w:val="24"/>
          <w:szCs w:val="24"/>
        </w:rPr>
        <w:t>Ertmer</w:t>
      </w:r>
      <w:proofErr w:type="spellEnd"/>
      <w:r w:rsidRPr="00475658">
        <w:rPr>
          <w:rFonts w:ascii="Cambria" w:hAnsi="Cambria"/>
          <w:sz w:val="24"/>
          <w:szCs w:val="24"/>
        </w:rPr>
        <w:t xml:space="preserve"> &amp; </w:t>
      </w:r>
      <w:proofErr w:type="spellStart"/>
      <w:r w:rsidRPr="00475658">
        <w:rPr>
          <w:rFonts w:ascii="Cambria" w:hAnsi="Cambria"/>
          <w:sz w:val="24"/>
          <w:szCs w:val="24"/>
        </w:rPr>
        <w:t>Ottenbreit</w:t>
      </w:r>
      <w:proofErr w:type="spellEnd"/>
      <w:r w:rsidRPr="00475658">
        <w:rPr>
          <w:rFonts w:ascii="Cambria" w:hAnsi="Cambria"/>
          <w:sz w:val="24"/>
          <w:szCs w:val="24"/>
        </w:rPr>
        <w:t xml:space="preserve">-Leftwich, 2010; </w:t>
      </w:r>
      <w:proofErr w:type="spellStart"/>
      <w:r w:rsidRPr="00475658">
        <w:rPr>
          <w:rFonts w:ascii="Cambria" w:hAnsi="Cambria"/>
          <w:sz w:val="24"/>
          <w:szCs w:val="24"/>
        </w:rPr>
        <w:t>Voogt</w:t>
      </w:r>
      <w:proofErr w:type="spellEnd"/>
      <w:r w:rsidRPr="00475658">
        <w:rPr>
          <w:rFonts w:ascii="Cambria" w:hAnsi="Cambria"/>
          <w:sz w:val="24"/>
          <w:szCs w:val="24"/>
        </w:rPr>
        <w:t xml:space="preserve"> et al., 2013).</w:t>
      </w:r>
    </w:p>
    <w:p w14:paraId="61039B98" w14:textId="4DA1C36E" w:rsidR="0028008B" w:rsidRDefault="0028008B" w:rsidP="0028008B">
      <w:pPr>
        <w:ind w:firstLine="709"/>
        <w:jc w:val="both"/>
        <w:rPr>
          <w:rFonts w:ascii="Cambria" w:hAnsi="Cambria"/>
          <w:sz w:val="24"/>
          <w:szCs w:val="24"/>
        </w:rPr>
      </w:pPr>
      <w:r w:rsidRPr="00475658">
        <w:rPr>
          <w:rFonts w:ascii="Cambria" w:hAnsi="Cambria"/>
          <w:sz w:val="24"/>
          <w:szCs w:val="24"/>
        </w:rPr>
        <w:t>Taken together, the findings position teachers as active curriculum agents rather than passive implementers. Their instructional choices reflect professional judgement, contextual sensitivity, and pragmatic adaptation within policy and resource constraints. This reinforces critical curriculum scholarship that views standardised curriculum reforms as negotiated practices rather than linear implementations (Apple, 2004; Fullan, 2007). From this perspective, meaningful educational reform depends not only on curriculum design or technological provision but also on empowering teachers with autonomy, sustained professional learning, and structural support.</w:t>
      </w:r>
    </w:p>
    <w:p w14:paraId="51D34407" w14:textId="30E59E0E" w:rsidR="00763035" w:rsidRPr="00475658" w:rsidRDefault="00763035" w:rsidP="00763035">
      <w:pPr>
        <w:jc w:val="both"/>
        <w:rPr>
          <w:rFonts w:ascii="Cambria" w:hAnsi="Cambria"/>
          <w:sz w:val="24"/>
          <w:szCs w:val="24"/>
        </w:rPr>
      </w:pPr>
      <w:r w:rsidRPr="00475658">
        <w:rPr>
          <w:rFonts w:ascii="Cambria" w:hAnsi="Cambria"/>
          <w:b/>
          <w:bCs/>
          <w:sz w:val="24"/>
          <w:szCs w:val="24"/>
        </w:rPr>
        <w:t>Conclusion</w:t>
      </w:r>
    </w:p>
    <w:p w14:paraId="4C597689" w14:textId="6274F9B9" w:rsidR="0028008B" w:rsidRDefault="0028008B" w:rsidP="0028008B">
      <w:pPr>
        <w:ind w:firstLine="709"/>
        <w:jc w:val="both"/>
        <w:rPr>
          <w:rFonts w:ascii="Cambria" w:hAnsi="Cambria"/>
          <w:sz w:val="24"/>
          <w:szCs w:val="24"/>
        </w:rPr>
      </w:pPr>
      <w:r w:rsidRPr="00475658">
        <w:rPr>
          <w:rFonts w:ascii="Cambria" w:hAnsi="Cambria"/>
          <w:sz w:val="24"/>
          <w:szCs w:val="24"/>
        </w:rPr>
        <w:t xml:space="preserve">In conclusion, this study underscores that effective English language teaching in centralised curriculum contexts requires a flexible, blended, and teacher-centred approach. PowerPoint enhances engagement and instructional clarity, textbooks provide stability and structure, and government-developed lesson plans offer curricular guidance. However, it is teachers’ agency and capacity to integrate these resources thoughtfully that ultimately determine instructional effectiveness. Educational systems that embed flexibility within curriculum frameworks, invest in professional development, and </w:t>
      </w:r>
      <w:r w:rsidRPr="00475658">
        <w:rPr>
          <w:rFonts w:ascii="Cambria" w:hAnsi="Cambria"/>
          <w:sz w:val="24"/>
          <w:szCs w:val="24"/>
        </w:rPr>
        <w:lastRenderedPageBreak/>
        <w:t>address infrastructural inequities are more likely to support responsive and meaningful teaching practices across diverse classroom contexts.</w:t>
      </w:r>
    </w:p>
    <w:p w14:paraId="6B400DF1" w14:textId="77777777" w:rsidR="0094359A" w:rsidRDefault="0094359A" w:rsidP="0028008B">
      <w:pPr>
        <w:ind w:firstLine="709"/>
        <w:jc w:val="both"/>
        <w:rPr>
          <w:rFonts w:ascii="Cambria" w:hAnsi="Cambria"/>
          <w:sz w:val="24"/>
          <w:szCs w:val="24"/>
        </w:rPr>
      </w:pPr>
    </w:p>
    <w:p w14:paraId="04362E39" w14:textId="3F9F04AA" w:rsidR="0094359A" w:rsidRPr="005F3431" w:rsidRDefault="0094359A" w:rsidP="005F3431">
      <w:pPr>
        <w:jc w:val="both"/>
        <w:rPr>
          <w:rFonts w:ascii="Cambria" w:hAnsi="Cambria"/>
          <w:b/>
          <w:bCs/>
          <w:sz w:val="24"/>
          <w:szCs w:val="24"/>
        </w:rPr>
      </w:pPr>
      <w:r w:rsidRPr="005F3431">
        <w:rPr>
          <w:rFonts w:ascii="Cambria" w:hAnsi="Cambria"/>
          <w:b/>
          <w:bCs/>
          <w:sz w:val="24"/>
          <w:szCs w:val="24"/>
        </w:rPr>
        <w:t>COMPETING INTERESTS DISCLAIMER</w:t>
      </w:r>
    </w:p>
    <w:p w14:paraId="2D97F2C3" w14:textId="77777777" w:rsidR="0094359A" w:rsidRPr="0094359A" w:rsidRDefault="0094359A" w:rsidP="005F3431">
      <w:pPr>
        <w:spacing w:line="360" w:lineRule="auto"/>
        <w:ind w:firstLine="709"/>
        <w:jc w:val="both"/>
        <w:rPr>
          <w:rFonts w:ascii="Cambria" w:hAnsi="Cambria"/>
          <w:sz w:val="24"/>
          <w:szCs w:val="24"/>
        </w:rPr>
      </w:pPr>
      <w:r w:rsidRPr="0094359A">
        <w:rPr>
          <w:rFonts w:ascii="Cambria" w:hAnsi="Cambria"/>
          <w:sz w:val="24"/>
          <w:szCs w:val="24"/>
        </w:rPr>
        <w:t>Authors have declared that they have no known competing financial interests OR non-financial interests OR personal relationships that could have appeared to influence the work reported in this paper.</w:t>
      </w:r>
    </w:p>
    <w:p w14:paraId="1EA1BE3F" w14:textId="31A26F92" w:rsidR="00E06B78" w:rsidRPr="005F3431" w:rsidRDefault="005F3431" w:rsidP="005F3431">
      <w:pPr>
        <w:keepNext/>
        <w:keepLines/>
        <w:spacing w:before="120" w:after="120" w:line="360" w:lineRule="auto"/>
        <w:jc w:val="both"/>
        <w:outlineLvl w:val="1"/>
        <w:rPr>
          <w:rFonts w:ascii="Cambria" w:eastAsia="Times New Roman" w:hAnsi="Cambria" w:cs="Times New Roman"/>
          <w:b/>
          <w:kern w:val="0"/>
          <w:sz w:val="24"/>
          <w:szCs w:val="24"/>
          <w:lang w:val="en-GB" w:eastAsia="en-IN"/>
          <w14:ligatures w14:val="none"/>
        </w:rPr>
      </w:pPr>
      <w:bookmarkStart w:id="2" w:name="_Hlk218867759"/>
      <w:bookmarkStart w:id="3" w:name="_Hlk219125673"/>
      <w:r w:rsidRPr="005F3431">
        <w:rPr>
          <w:rFonts w:ascii="Cambria" w:eastAsia="Times New Roman" w:hAnsi="Cambria" w:cs="Times New Roman"/>
          <w:b/>
          <w:kern w:val="0"/>
          <w:sz w:val="24"/>
          <w:szCs w:val="24"/>
          <w:lang w:val="en-GB" w:eastAsia="en-IN"/>
          <w14:ligatures w14:val="none"/>
        </w:rPr>
        <w:t>DISCLAIMER (ARTIFICIAL INTELLIGENCE)</w:t>
      </w:r>
    </w:p>
    <w:bookmarkEnd w:id="2"/>
    <w:bookmarkEnd w:id="3"/>
    <w:p w14:paraId="7826FC60" w14:textId="061276EE" w:rsidR="0094359A" w:rsidRPr="005F3431" w:rsidRDefault="005F3431" w:rsidP="005F3431">
      <w:pPr>
        <w:spacing w:line="360" w:lineRule="auto"/>
        <w:jc w:val="both"/>
        <w:rPr>
          <w:rFonts w:ascii="Cambria" w:hAnsi="Cambria"/>
          <w:sz w:val="24"/>
          <w:szCs w:val="24"/>
        </w:rPr>
      </w:pPr>
      <w:r w:rsidRPr="005F3431">
        <w:rPr>
          <w:rFonts w:ascii="Cambria" w:eastAsia="Times New Roman" w:hAnsi="Cambria" w:cs="Times New Roman"/>
          <w:bCs/>
          <w:kern w:val="0"/>
          <w:sz w:val="24"/>
          <w:szCs w:val="24"/>
          <w:lang w:val="en-GB" w:eastAsia="en-IN"/>
          <w14:ligatures w14:val="none"/>
        </w:rPr>
        <w:t>The author(s) declare that no generative artificial intelligence tools were used to generate or substantially edit the content of this manuscript.</w:t>
      </w:r>
    </w:p>
    <w:p w14:paraId="034FD806" w14:textId="2B74C07C" w:rsidR="00EB7D45" w:rsidRPr="00475658" w:rsidRDefault="00EB7D45" w:rsidP="00EB7D45">
      <w:pPr>
        <w:jc w:val="both"/>
        <w:rPr>
          <w:rFonts w:ascii="Cambria" w:hAnsi="Cambria"/>
          <w:b/>
          <w:bCs/>
          <w:sz w:val="24"/>
          <w:szCs w:val="24"/>
        </w:rPr>
      </w:pPr>
      <w:r w:rsidRPr="00475658">
        <w:rPr>
          <w:rFonts w:ascii="Cambria" w:hAnsi="Cambria"/>
          <w:b/>
          <w:bCs/>
          <w:sz w:val="24"/>
          <w:szCs w:val="24"/>
        </w:rPr>
        <w:t>References</w:t>
      </w:r>
    </w:p>
    <w:p w14:paraId="51C05666" w14:textId="4FAD3CF7"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Ahmad, A., </w:t>
      </w:r>
      <w:proofErr w:type="spellStart"/>
      <w:r w:rsidRPr="00475658">
        <w:rPr>
          <w:rFonts w:ascii="Cambria" w:hAnsi="Cambria"/>
          <w:sz w:val="24"/>
          <w:szCs w:val="24"/>
        </w:rPr>
        <w:t>Maitlo</w:t>
      </w:r>
      <w:proofErr w:type="spellEnd"/>
      <w:r w:rsidRPr="00475658">
        <w:rPr>
          <w:rFonts w:ascii="Cambria" w:hAnsi="Cambria"/>
          <w:sz w:val="24"/>
          <w:szCs w:val="24"/>
        </w:rPr>
        <w:t xml:space="preserve">, S. K. &amp; </w:t>
      </w:r>
      <w:proofErr w:type="spellStart"/>
      <w:r w:rsidRPr="00475658">
        <w:rPr>
          <w:rFonts w:ascii="Cambria" w:hAnsi="Cambria"/>
          <w:sz w:val="24"/>
          <w:szCs w:val="24"/>
        </w:rPr>
        <w:t>Roa</w:t>
      </w:r>
      <w:proofErr w:type="spellEnd"/>
      <w:r w:rsidRPr="00475658">
        <w:rPr>
          <w:rFonts w:ascii="Cambria" w:hAnsi="Cambria"/>
          <w:sz w:val="24"/>
          <w:szCs w:val="24"/>
        </w:rPr>
        <w:t xml:space="preserve"> t, I. S. (2022). Teachers’ </w:t>
      </w:r>
      <w:r w:rsidR="00C754B5">
        <w:rPr>
          <w:rFonts w:ascii="Cambria" w:hAnsi="Cambria"/>
          <w:sz w:val="24"/>
          <w:szCs w:val="24"/>
        </w:rPr>
        <w:t>p</w:t>
      </w:r>
      <w:r w:rsidRPr="00475658">
        <w:rPr>
          <w:rFonts w:ascii="Cambria" w:hAnsi="Cambria"/>
          <w:sz w:val="24"/>
          <w:szCs w:val="24"/>
        </w:rPr>
        <w:t xml:space="preserve">erceptions on the </w:t>
      </w:r>
      <w:r w:rsidR="00C754B5">
        <w:rPr>
          <w:rFonts w:ascii="Cambria" w:hAnsi="Cambria"/>
          <w:sz w:val="24"/>
          <w:szCs w:val="24"/>
        </w:rPr>
        <w:t>u</w:t>
      </w:r>
      <w:r w:rsidRPr="00475658">
        <w:rPr>
          <w:rFonts w:ascii="Cambria" w:hAnsi="Cambria"/>
          <w:sz w:val="24"/>
          <w:szCs w:val="24"/>
        </w:rPr>
        <w:t xml:space="preserve">se of </w:t>
      </w:r>
      <w:r w:rsidR="00C754B5" w:rsidRPr="00475658">
        <w:rPr>
          <w:rFonts w:ascii="Cambria" w:hAnsi="Cambria"/>
          <w:sz w:val="24"/>
          <w:szCs w:val="24"/>
        </w:rPr>
        <w:t xml:space="preserve">power point </w:t>
      </w:r>
      <w:r w:rsidR="00C754B5">
        <w:rPr>
          <w:rFonts w:ascii="Cambria" w:hAnsi="Cambria"/>
          <w:sz w:val="24"/>
          <w:szCs w:val="24"/>
        </w:rPr>
        <w:t>p</w:t>
      </w:r>
      <w:r w:rsidRPr="00475658">
        <w:rPr>
          <w:rFonts w:ascii="Cambria" w:hAnsi="Cambria"/>
          <w:sz w:val="24"/>
          <w:szCs w:val="24"/>
        </w:rPr>
        <w:t xml:space="preserve">resentations in ESL </w:t>
      </w:r>
      <w:r w:rsidR="00C754B5">
        <w:rPr>
          <w:rFonts w:ascii="Cambria" w:hAnsi="Cambria"/>
          <w:sz w:val="24"/>
          <w:szCs w:val="24"/>
        </w:rPr>
        <w:t>c</w:t>
      </w:r>
      <w:r w:rsidRPr="00475658">
        <w:rPr>
          <w:rFonts w:ascii="Cambria" w:hAnsi="Cambria"/>
          <w:sz w:val="24"/>
          <w:szCs w:val="24"/>
        </w:rPr>
        <w:t xml:space="preserve">lassrooms at </w:t>
      </w:r>
      <w:r w:rsidR="00C754B5">
        <w:rPr>
          <w:rFonts w:ascii="Cambria" w:hAnsi="Cambria"/>
          <w:sz w:val="24"/>
          <w:szCs w:val="24"/>
        </w:rPr>
        <w:t>u</w:t>
      </w:r>
      <w:r w:rsidRPr="00475658">
        <w:rPr>
          <w:rFonts w:ascii="Cambria" w:hAnsi="Cambria"/>
          <w:sz w:val="24"/>
          <w:szCs w:val="24"/>
        </w:rPr>
        <w:t xml:space="preserve">niversity </w:t>
      </w:r>
      <w:r w:rsidR="00C754B5">
        <w:rPr>
          <w:rFonts w:ascii="Cambria" w:hAnsi="Cambria"/>
          <w:sz w:val="24"/>
          <w:szCs w:val="24"/>
        </w:rPr>
        <w:t>l</w:t>
      </w:r>
      <w:r w:rsidRPr="00475658">
        <w:rPr>
          <w:rFonts w:ascii="Cambria" w:hAnsi="Cambria"/>
          <w:sz w:val="24"/>
          <w:szCs w:val="24"/>
        </w:rPr>
        <w:t xml:space="preserve">evel in Lahore. </w:t>
      </w:r>
      <w:r w:rsidRPr="00475658">
        <w:rPr>
          <w:rFonts w:ascii="Cambria" w:hAnsi="Cambria"/>
          <w:i/>
          <w:iCs/>
          <w:sz w:val="24"/>
          <w:szCs w:val="24"/>
        </w:rPr>
        <w:t xml:space="preserve">Pakistan Languages </w:t>
      </w:r>
      <w:r w:rsidR="00C754B5">
        <w:rPr>
          <w:rFonts w:ascii="Cambria" w:hAnsi="Cambria"/>
          <w:i/>
          <w:iCs/>
          <w:sz w:val="24"/>
          <w:szCs w:val="24"/>
        </w:rPr>
        <w:t>a</w:t>
      </w:r>
      <w:r w:rsidRPr="00475658">
        <w:rPr>
          <w:rFonts w:ascii="Cambria" w:hAnsi="Cambria"/>
          <w:i/>
          <w:iCs/>
          <w:sz w:val="24"/>
          <w:szCs w:val="24"/>
        </w:rPr>
        <w:t>nd Humanities Review</w:t>
      </w:r>
      <w:r w:rsidRPr="00475658">
        <w:rPr>
          <w:rFonts w:ascii="Cambria" w:hAnsi="Cambria"/>
          <w:sz w:val="24"/>
          <w:szCs w:val="24"/>
        </w:rPr>
        <w:t xml:space="preserve">, </w:t>
      </w:r>
      <w:r w:rsidRPr="00475658">
        <w:rPr>
          <w:rFonts w:ascii="Cambria" w:hAnsi="Cambria"/>
          <w:i/>
          <w:iCs/>
          <w:sz w:val="24"/>
          <w:szCs w:val="24"/>
        </w:rPr>
        <w:t>6</w:t>
      </w:r>
      <w:r w:rsidRPr="00475658">
        <w:rPr>
          <w:rFonts w:ascii="Cambria" w:hAnsi="Cambria"/>
          <w:sz w:val="24"/>
          <w:szCs w:val="24"/>
        </w:rPr>
        <w:t xml:space="preserve">(3), 489–499. </w:t>
      </w:r>
      <w:hyperlink r:id="rId7" w:history="1">
        <w:r w:rsidR="00CA5486" w:rsidRPr="00475658">
          <w:rPr>
            <w:rStyle w:val="Hyperlink"/>
            <w:rFonts w:ascii="Cambria" w:hAnsi="Cambria"/>
            <w:sz w:val="24"/>
            <w:szCs w:val="24"/>
          </w:rPr>
          <w:t>https://doi.org/10.47205/plhr.2022(6-iii)42</w:t>
        </w:r>
      </w:hyperlink>
    </w:p>
    <w:p w14:paraId="79EDB952" w14:textId="0C946531" w:rsidR="00CA5486" w:rsidRPr="00475658" w:rsidRDefault="00CA5486" w:rsidP="00EB7D45">
      <w:pPr>
        <w:spacing w:before="240" w:after="360"/>
        <w:ind w:left="709" w:hanging="709"/>
        <w:rPr>
          <w:rFonts w:ascii="Cambria" w:hAnsi="Cambria"/>
          <w:sz w:val="24"/>
          <w:szCs w:val="24"/>
        </w:rPr>
      </w:pPr>
      <w:r w:rsidRPr="00475658">
        <w:rPr>
          <w:rFonts w:ascii="Cambria" w:hAnsi="Cambria"/>
          <w:sz w:val="24"/>
          <w:szCs w:val="24"/>
        </w:rPr>
        <w:t xml:space="preserve">Apple, M. W. (2004). </w:t>
      </w:r>
      <w:r w:rsidRPr="00475658">
        <w:rPr>
          <w:rFonts w:ascii="Cambria" w:hAnsi="Cambria"/>
          <w:i/>
          <w:iCs/>
          <w:sz w:val="24"/>
          <w:szCs w:val="24"/>
        </w:rPr>
        <w:t>Ideology and curriculum</w:t>
      </w:r>
      <w:r w:rsidRPr="00475658">
        <w:rPr>
          <w:rFonts w:ascii="Cambria" w:hAnsi="Cambria"/>
          <w:sz w:val="24"/>
          <w:szCs w:val="24"/>
        </w:rPr>
        <w:t xml:space="preserve"> (3rd ed.). Routledge</w:t>
      </w:r>
      <w:r w:rsidR="00475658">
        <w:rPr>
          <w:rFonts w:ascii="Cambria" w:hAnsi="Cambria"/>
          <w:sz w:val="24"/>
          <w:szCs w:val="24"/>
        </w:rPr>
        <w:t xml:space="preserve"> </w:t>
      </w:r>
      <w:r w:rsidRPr="00475658">
        <w:rPr>
          <w:rFonts w:ascii="Cambria" w:hAnsi="Cambria"/>
          <w:sz w:val="24"/>
          <w:szCs w:val="24"/>
        </w:rPr>
        <w:t>Falmer.</w:t>
      </w:r>
    </w:p>
    <w:p w14:paraId="7C3F93FD" w14:textId="77679D2E"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Ball, S. J., &amp; Bowe, R. (1992). Subject departments and the ‘implementation’ of national curriculum policy: An overview of the issues. </w:t>
      </w:r>
      <w:r w:rsidRPr="00475658">
        <w:rPr>
          <w:rFonts w:ascii="Cambria" w:hAnsi="Cambria"/>
          <w:i/>
          <w:iCs/>
          <w:sz w:val="24"/>
          <w:szCs w:val="24"/>
        </w:rPr>
        <w:t>Journal of Curriculum Studies</w:t>
      </w:r>
      <w:r w:rsidRPr="00475658">
        <w:rPr>
          <w:rFonts w:ascii="Cambria" w:hAnsi="Cambria"/>
          <w:sz w:val="24"/>
          <w:szCs w:val="24"/>
        </w:rPr>
        <w:t xml:space="preserve">, </w:t>
      </w:r>
      <w:r w:rsidRPr="00475658">
        <w:rPr>
          <w:rFonts w:ascii="Cambria" w:hAnsi="Cambria"/>
          <w:i/>
          <w:iCs/>
          <w:sz w:val="24"/>
          <w:szCs w:val="24"/>
        </w:rPr>
        <w:t>24</w:t>
      </w:r>
      <w:r w:rsidRPr="00475658">
        <w:rPr>
          <w:rFonts w:ascii="Cambria" w:hAnsi="Cambria"/>
          <w:sz w:val="24"/>
          <w:szCs w:val="24"/>
        </w:rPr>
        <w:t xml:space="preserve">(2), 97–115. </w:t>
      </w:r>
      <w:hyperlink r:id="rId8" w:history="1">
        <w:r w:rsidR="00475658" w:rsidRPr="00475658">
          <w:rPr>
            <w:rStyle w:val="Hyperlink"/>
            <w:rFonts w:ascii="Cambria" w:hAnsi="Cambria"/>
            <w:sz w:val="24"/>
            <w:szCs w:val="24"/>
          </w:rPr>
          <w:t>https://doi.org/10.1080/0022027920240201</w:t>
        </w:r>
      </w:hyperlink>
    </w:p>
    <w:p w14:paraId="1C243B93" w14:textId="7B62DCBE" w:rsidR="00475658" w:rsidRPr="00475658" w:rsidRDefault="00475658" w:rsidP="00475658">
      <w:pPr>
        <w:spacing w:before="240" w:after="360"/>
        <w:ind w:left="709" w:hanging="709"/>
        <w:rPr>
          <w:rFonts w:ascii="Cambria" w:hAnsi="Cambria"/>
          <w:sz w:val="24"/>
          <w:szCs w:val="24"/>
        </w:rPr>
      </w:pPr>
      <w:r w:rsidRPr="00475658">
        <w:rPr>
          <w:rFonts w:ascii="Cambria" w:hAnsi="Cambria"/>
          <w:sz w:val="24"/>
          <w:szCs w:val="24"/>
        </w:rPr>
        <w:t xml:space="preserve">Ball, S.J., Maguire, M., &amp; Braun, A. (2011). </w:t>
      </w:r>
      <w:r w:rsidRPr="00475658">
        <w:rPr>
          <w:rFonts w:ascii="Cambria" w:hAnsi="Cambria"/>
          <w:i/>
          <w:iCs/>
          <w:sz w:val="24"/>
          <w:szCs w:val="24"/>
        </w:rPr>
        <w:t xml:space="preserve">How Schools Do Policy: Policy Enactments in Secondary Schools </w:t>
      </w:r>
      <w:r w:rsidRPr="00475658">
        <w:rPr>
          <w:rFonts w:ascii="Cambria" w:hAnsi="Cambria"/>
          <w:sz w:val="24"/>
          <w:szCs w:val="24"/>
        </w:rPr>
        <w:t>(1st ed.). Routledge. https://doi.org/10.4324/9780203153185</w:t>
      </w:r>
    </w:p>
    <w:p w14:paraId="33A40F64" w14:textId="7A3F1221"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Biesta</w:t>
      </w:r>
      <w:proofErr w:type="spellEnd"/>
      <w:r w:rsidRPr="00475658">
        <w:rPr>
          <w:rFonts w:ascii="Cambria" w:hAnsi="Cambria"/>
          <w:sz w:val="24"/>
          <w:szCs w:val="24"/>
        </w:rPr>
        <w:t xml:space="preserve">, G., Priestley, M., &amp; Robinson, S. (2015). The role of beliefs in teacher agency. </w:t>
      </w:r>
      <w:r w:rsidRPr="00475658">
        <w:rPr>
          <w:rFonts w:ascii="Cambria" w:hAnsi="Cambria"/>
          <w:i/>
          <w:iCs/>
          <w:sz w:val="24"/>
          <w:szCs w:val="24"/>
        </w:rPr>
        <w:t>Teachers and Teaching: Theory and Practice</w:t>
      </w:r>
      <w:r w:rsidRPr="00475658">
        <w:rPr>
          <w:rFonts w:ascii="Cambria" w:hAnsi="Cambria"/>
          <w:sz w:val="24"/>
          <w:szCs w:val="24"/>
        </w:rPr>
        <w:t xml:space="preserve">, </w:t>
      </w:r>
      <w:r w:rsidRPr="00475658">
        <w:rPr>
          <w:rFonts w:ascii="Cambria" w:hAnsi="Cambria"/>
          <w:i/>
          <w:iCs/>
          <w:sz w:val="24"/>
          <w:szCs w:val="24"/>
        </w:rPr>
        <w:t>21</w:t>
      </w:r>
      <w:r w:rsidRPr="00475658">
        <w:rPr>
          <w:rFonts w:ascii="Cambria" w:hAnsi="Cambria"/>
          <w:sz w:val="24"/>
          <w:szCs w:val="24"/>
        </w:rPr>
        <w:t xml:space="preserve">(6), 624–640. </w:t>
      </w:r>
      <w:hyperlink r:id="rId9" w:history="1">
        <w:r w:rsidR="00CA5486" w:rsidRPr="00475658">
          <w:rPr>
            <w:rStyle w:val="Hyperlink"/>
            <w:rFonts w:ascii="Cambria" w:hAnsi="Cambria"/>
            <w:sz w:val="24"/>
            <w:szCs w:val="24"/>
          </w:rPr>
          <w:t>https://doi.org/10.1080/13540602.2015.1044325</w:t>
        </w:r>
      </w:hyperlink>
    </w:p>
    <w:p w14:paraId="3C5A0185" w14:textId="77777777" w:rsidR="00CA5486" w:rsidRPr="00CA5486" w:rsidRDefault="00CA5486" w:rsidP="00CA5486">
      <w:pPr>
        <w:spacing w:before="240" w:after="360"/>
        <w:ind w:left="709" w:hanging="709"/>
        <w:rPr>
          <w:rFonts w:ascii="Cambria" w:hAnsi="Cambria"/>
          <w:sz w:val="24"/>
          <w:szCs w:val="24"/>
        </w:rPr>
      </w:pPr>
      <w:r w:rsidRPr="00CA5486">
        <w:rPr>
          <w:rFonts w:ascii="Cambria" w:hAnsi="Cambria"/>
          <w:sz w:val="24"/>
          <w:szCs w:val="24"/>
        </w:rPr>
        <w:t xml:space="preserve">Bonk, C. J., &amp; Graham, C. R. (Eds.). (2006). </w:t>
      </w:r>
      <w:r w:rsidRPr="00CA5486">
        <w:rPr>
          <w:rFonts w:ascii="Cambria" w:hAnsi="Cambria"/>
          <w:i/>
          <w:iCs/>
          <w:sz w:val="24"/>
          <w:szCs w:val="24"/>
        </w:rPr>
        <w:t>The handbook of blended learning: Global perspectives, local designs</w:t>
      </w:r>
      <w:r w:rsidRPr="00CA5486">
        <w:rPr>
          <w:rFonts w:ascii="Cambria" w:hAnsi="Cambria"/>
          <w:sz w:val="24"/>
          <w:szCs w:val="24"/>
        </w:rPr>
        <w:t>. Pfeiffer.</w:t>
      </w:r>
    </w:p>
    <w:p w14:paraId="37EF4C17" w14:textId="3597B88F"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Chan, F. S., </w:t>
      </w:r>
      <w:proofErr w:type="spellStart"/>
      <w:r w:rsidRPr="00475658">
        <w:rPr>
          <w:rFonts w:ascii="Cambria" w:hAnsi="Cambria"/>
          <w:sz w:val="24"/>
          <w:szCs w:val="24"/>
        </w:rPr>
        <w:t>Rimba</w:t>
      </w:r>
      <w:proofErr w:type="spellEnd"/>
      <w:r w:rsidRPr="00475658">
        <w:rPr>
          <w:rFonts w:ascii="Cambria" w:hAnsi="Cambria"/>
          <w:sz w:val="24"/>
          <w:szCs w:val="24"/>
        </w:rPr>
        <w:t xml:space="preserve"> Kurniawan, A. S., </w:t>
      </w:r>
      <w:proofErr w:type="spellStart"/>
      <w:r w:rsidRPr="00475658">
        <w:rPr>
          <w:rFonts w:ascii="Cambria" w:hAnsi="Cambria"/>
          <w:sz w:val="24"/>
          <w:szCs w:val="24"/>
        </w:rPr>
        <w:t>Gusti</w:t>
      </w:r>
      <w:proofErr w:type="spellEnd"/>
      <w:r w:rsidRPr="00475658">
        <w:rPr>
          <w:rFonts w:ascii="Cambria" w:hAnsi="Cambria"/>
          <w:sz w:val="24"/>
          <w:szCs w:val="24"/>
        </w:rPr>
        <w:t xml:space="preserve"> Melinda, L., </w:t>
      </w:r>
      <w:proofErr w:type="spellStart"/>
      <w:r w:rsidRPr="00475658">
        <w:rPr>
          <w:rFonts w:ascii="Cambria" w:hAnsi="Cambria"/>
          <w:sz w:val="24"/>
          <w:szCs w:val="24"/>
        </w:rPr>
        <w:t>Priantini</w:t>
      </w:r>
      <w:proofErr w:type="spellEnd"/>
      <w:r w:rsidRPr="00475658">
        <w:rPr>
          <w:rFonts w:ascii="Cambria" w:hAnsi="Cambria"/>
          <w:sz w:val="24"/>
          <w:szCs w:val="24"/>
        </w:rPr>
        <w:t xml:space="preserve">, R., Reni </w:t>
      </w:r>
      <w:proofErr w:type="spellStart"/>
      <w:r w:rsidRPr="00475658">
        <w:rPr>
          <w:rFonts w:ascii="Cambria" w:hAnsi="Cambria"/>
          <w:sz w:val="24"/>
          <w:szCs w:val="24"/>
        </w:rPr>
        <w:t>Suharti</w:t>
      </w:r>
      <w:proofErr w:type="spellEnd"/>
      <w:r w:rsidRPr="00475658">
        <w:rPr>
          <w:rFonts w:ascii="Cambria" w:hAnsi="Cambria"/>
          <w:sz w:val="24"/>
          <w:szCs w:val="24"/>
        </w:rPr>
        <w:t xml:space="preserve">, S., &amp; </w:t>
      </w:r>
      <w:proofErr w:type="spellStart"/>
      <w:r w:rsidRPr="00475658">
        <w:rPr>
          <w:rFonts w:ascii="Cambria" w:hAnsi="Cambria"/>
          <w:sz w:val="24"/>
          <w:szCs w:val="24"/>
        </w:rPr>
        <w:t>Khodijah</w:t>
      </w:r>
      <w:proofErr w:type="spellEnd"/>
      <w:r w:rsidRPr="00475658">
        <w:rPr>
          <w:rFonts w:ascii="Cambria" w:hAnsi="Cambria"/>
          <w:sz w:val="24"/>
          <w:szCs w:val="24"/>
        </w:rPr>
        <w:t xml:space="preserve">, S. (2019). </w:t>
      </w:r>
      <w:proofErr w:type="spellStart"/>
      <w:r w:rsidRPr="00DE7C6D">
        <w:rPr>
          <w:rFonts w:ascii="Cambria" w:hAnsi="Cambria"/>
          <w:sz w:val="24"/>
          <w:szCs w:val="24"/>
          <w:lang w:val="es-US"/>
        </w:rPr>
        <w:t>Implementasi</w:t>
      </w:r>
      <w:proofErr w:type="spellEnd"/>
      <w:r w:rsidRPr="00DE7C6D">
        <w:rPr>
          <w:rFonts w:ascii="Cambria" w:hAnsi="Cambria"/>
          <w:sz w:val="24"/>
          <w:szCs w:val="24"/>
          <w:lang w:val="es-US"/>
        </w:rPr>
        <w:t xml:space="preserve"> </w:t>
      </w:r>
      <w:proofErr w:type="spellStart"/>
      <w:r w:rsidR="00C754B5" w:rsidRPr="00DE7C6D">
        <w:rPr>
          <w:rFonts w:ascii="Cambria" w:hAnsi="Cambria"/>
          <w:sz w:val="24"/>
          <w:szCs w:val="24"/>
          <w:lang w:val="es-US"/>
        </w:rPr>
        <w:t>p</w:t>
      </w:r>
      <w:r w:rsidRPr="00DE7C6D">
        <w:rPr>
          <w:rFonts w:ascii="Cambria" w:hAnsi="Cambria"/>
          <w:sz w:val="24"/>
          <w:szCs w:val="24"/>
          <w:lang w:val="es-US"/>
        </w:rPr>
        <w:t>endidikan</w:t>
      </w:r>
      <w:proofErr w:type="spellEnd"/>
      <w:r w:rsidRPr="00DE7C6D">
        <w:rPr>
          <w:rFonts w:ascii="Cambria" w:hAnsi="Cambria"/>
          <w:sz w:val="24"/>
          <w:szCs w:val="24"/>
          <w:lang w:val="es-US"/>
        </w:rPr>
        <w:t xml:space="preserve"> </w:t>
      </w:r>
      <w:proofErr w:type="spellStart"/>
      <w:r w:rsidR="00C754B5" w:rsidRPr="00DE7C6D">
        <w:rPr>
          <w:rFonts w:ascii="Cambria" w:hAnsi="Cambria"/>
          <w:sz w:val="24"/>
          <w:szCs w:val="24"/>
          <w:lang w:val="es-US"/>
        </w:rPr>
        <w:t>k</w:t>
      </w:r>
      <w:r w:rsidRPr="00DE7C6D">
        <w:rPr>
          <w:rFonts w:ascii="Cambria" w:hAnsi="Cambria"/>
          <w:sz w:val="24"/>
          <w:szCs w:val="24"/>
          <w:lang w:val="es-US"/>
        </w:rPr>
        <w:t>arakter</w:t>
      </w:r>
      <w:proofErr w:type="spellEnd"/>
      <w:r w:rsidRPr="00DE7C6D">
        <w:rPr>
          <w:rFonts w:ascii="Cambria" w:hAnsi="Cambria"/>
          <w:sz w:val="24"/>
          <w:szCs w:val="24"/>
          <w:lang w:val="es-US"/>
        </w:rPr>
        <w:t xml:space="preserve"> </w:t>
      </w:r>
      <w:proofErr w:type="spellStart"/>
      <w:r w:rsidR="00C754B5" w:rsidRPr="00DE7C6D">
        <w:rPr>
          <w:rFonts w:ascii="Cambria" w:hAnsi="Cambria"/>
          <w:sz w:val="24"/>
          <w:szCs w:val="24"/>
          <w:lang w:val="es-US"/>
        </w:rPr>
        <w:t>d</w:t>
      </w:r>
      <w:r w:rsidRPr="00DE7C6D">
        <w:rPr>
          <w:rFonts w:ascii="Cambria" w:hAnsi="Cambria"/>
          <w:sz w:val="24"/>
          <w:szCs w:val="24"/>
          <w:lang w:val="es-US"/>
        </w:rPr>
        <w:t>isiplin</w:t>
      </w:r>
      <w:proofErr w:type="spellEnd"/>
      <w:r w:rsidRPr="00DE7C6D">
        <w:rPr>
          <w:rFonts w:ascii="Cambria" w:hAnsi="Cambria"/>
          <w:sz w:val="24"/>
          <w:szCs w:val="24"/>
          <w:lang w:val="es-US"/>
        </w:rPr>
        <w:t xml:space="preserve"> </w:t>
      </w:r>
      <w:r w:rsidR="00C754B5" w:rsidRPr="00DE7C6D">
        <w:rPr>
          <w:rFonts w:ascii="Cambria" w:hAnsi="Cambria"/>
          <w:sz w:val="24"/>
          <w:szCs w:val="24"/>
          <w:lang w:val="es-US"/>
        </w:rPr>
        <w:t>p</w:t>
      </w:r>
      <w:r w:rsidRPr="00DE7C6D">
        <w:rPr>
          <w:rFonts w:ascii="Cambria" w:hAnsi="Cambria"/>
          <w:sz w:val="24"/>
          <w:szCs w:val="24"/>
          <w:lang w:val="es-US"/>
        </w:rPr>
        <w:t xml:space="preserve">ada </w:t>
      </w:r>
      <w:proofErr w:type="spellStart"/>
      <w:r w:rsidR="00C754B5" w:rsidRPr="00DE7C6D">
        <w:rPr>
          <w:rFonts w:ascii="Cambria" w:hAnsi="Cambria"/>
          <w:sz w:val="24"/>
          <w:szCs w:val="24"/>
          <w:lang w:val="es-US"/>
        </w:rPr>
        <w:t>p</w:t>
      </w:r>
      <w:r w:rsidRPr="00DE7C6D">
        <w:rPr>
          <w:rFonts w:ascii="Cambria" w:hAnsi="Cambria"/>
          <w:sz w:val="24"/>
          <w:szCs w:val="24"/>
          <w:lang w:val="es-US"/>
        </w:rPr>
        <w:t>eserta</w:t>
      </w:r>
      <w:proofErr w:type="spellEnd"/>
      <w:r w:rsidRPr="00DE7C6D">
        <w:rPr>
          <w:rFonts w:ascii="Cambria" w:hAnsi="Cambria"/>
          <w:sz w:val="24"/>
          <w:szCs w:val="24"/>
          <w:lang w:val="es-US"/>
        </w:rPr>
        <w:t xml:space="preserve"> </w:t>
      </w:r>
      <w:proofErr w:type="spellStart"/>
      <w:r w:rsidR="00C754B5" w:rsidRPr="00DE7C6D">
        <w:rPr>
          <w:rFonts w:ascii="Cambria" w:hAnsi="Cambria"/>
          <w:sz w:val="24"/>
          <w:szCs w:val="24"/>
          <w:lang w:val="es-US"/>
        </w:rPr>
        <w:t>d</w:t>
      </w:r>
      <w:r w:rsidRPr="00DE7C6D">
        <w:rPr>
          <w:rFonts w:ascii="Cambria" w:hAnsi="Cambria"/>
          <w:sz w:val="24"/>
          <w:szCs w:val="24"/>
          <w:lang w:val="es-US"/>
        </w:rPr>
        <w:t>idik</w:t>
      </w:r>
      <w:proofErr w:type="spellEnd"/>
      <w:r w:rsidRPr="00DE7C6D">
        <w:rPr>
          <w:rFonts w:ascii="Cambria" w:hAnsi="Cambria"/>
          <w:sz w:val="24"/>
          <w:szCs w:val="24"/>
          <w:lang w:val="es-US"/>
        </w:rPr>
        <w:t xml:space="preserve"> </w:t>
      </w:r>
      <w:r w:rsidR="00C754B5" w:rsidRPr="00DE7C6D">
        <w:rPr>
          <w:rFonts w:ascii="Cambria" w:hAnsi="Cambria"/>
          <w:sz w:val="24"/>
          <w:szCs w:val="24"/>
          <w:lang w:val="es-US"/>
        </w:rPr>
        <w:t>d</w:t>
      </w:r>
      <w:r w:rsidRPr="00DE7C6D">
        <w:rPr>
          <w:rFonts w:ascii="Cambria" w:hAnsi="Cambria"/>
          <w:sz w:val="24"/>
          <w:szCs w:val="24"/>
          <w:lang w:val="es-US"/>
        </w:rPr>
        <w:t>i S</w:t>
      </w:r>
      <w:r w:rsidR="00C754B5" w:rsidRPr="00DE7C6D">
        <w:rPr>
          <w:rFonts w:ascii="Cambria" w:hAnsi="Cambria"/>
          <w:sz w:val="24"/>
          <w:szCs w:val="24"/>
          <w:lang w:val="es-US"/>
        </w:rPr>
        <w:t>D</w:t>
      </w:r>
      <w:r w:rsidRPr="00DE7C6D">
        <w:rPr>
          <w:rFonts w:ascii="Cambria" w:hAnsi="Cambria"/>
          <w:sz w:val="24"/>
          <w:szCs w:val="24"/>
          <w:lang w:val="es-US"/>
        </w:rPr>
        <w:t xml:space="preserve"> Negeri 187/1 </w:t>
      </w:r>
      <w:proofErr w:type="spellStart"/>
      <w:r w:rsidRPr="00DE7C6D">
        <w:rPr>
          <w:rFonts w:ascii="Cambria" w:hAnsi="Cambria"/>
          <w:sz w:val="24"/>
          <w:szCs w:val="24"/>
          <w:lang w:val="es-US"/>
        </w:rPr>
        <w:t>Teratai</w:t>
      </w:r>
      <w:proofErr w:type="spellEnd"/>
      <w:r w:rsidRPr="00DE7C6D">
        <w:rPr>
          <w:rFonts w:ascii="Cambria" w:hAnsi="Cambria"/>
          <w:sz w:val="24"/>
          <w:szCs w:val="24"/>
          <w:lang w:val="es-US"/>
        </w:rPr>
        <w:t xml:space="preserve">. </w:t>
      </w:r>
      <w:proofErr w:type="spellStart"/>
      <w:r w:rsidRPr="00475658">
        <w:rPr>
          <w:rFonts w:ascii="Cambria" w:hAnsi="Cambria"/>
          <w:i/>
          <w:iCs/>
          <w:sz w:val="24"/>
          <w:szCs w:val="24"/>
        </w:rPr>
        <w:t>Jurnal</w:t>
      </w:r>
      <w:proofErr w:type="spellEnd"/>
      <w:r w:rsidRPr="00475658">
        <w:rPr>
          <w:rFonts w:ascii="Cambria" w:hAnsi="Cambria"/>
          <w:i/>
          <w:iCs/>
          <w:sz w:val="24"/>
          <w:szCs w:val="24"/>
        </w:rPr>
        <w:t xml:space="preserve"> Pendas Mahakam</w:t>
      </w:r>
      <w:r w:rsidRPr="00475658">
        <w:rPr>
          <w:rFonts w:ascii="Cambria" w:hAnsi="Cambria"/>
          <w:sz w:val="24"/>
          <w:szCs w:val="24"/>
        </w:rPr>
        <w:t xml:space="preserve">, </w:t>
      </w:r>
      <w:r w:rsidRPr="00475658">
        <w:rPr>
          <w:rFonts w:ascii="Cambria" w:hAnsi="Cambria"/>
          <w:i/>
          <w:iCs/>
          <w:sz w:val="24"/>
          <w:szCs w:val="24"/>
        </w:rPr>
        <w:t>4</w:t>
      </w:r>
      <w:r w:rsidRPr="00475658">
        <w:rPr>
          <w:rFonts w:ascii="Cambria" w:hAnsi="Cambria"/>
          <w:sz w:val="24"/>
          <w:szCs w:val="24"/>
        </w:rPr>
        <w:t>(2).</w:t>
      </w:r>
    </w:p>
    <w:p w14:paraId="7246E33F" w14:textId="77777777"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lastRenderedPageBreak/>
        <w:t xml:space="preserve">Chan, J. K. S. (2012). Curriculum policy implementation: How schools respond to government’s “soft” policy in the curriculum reform. </w:t>
      </w:r>
      <w:r w:rsidRPr="00475658">
        <w:rPr>
          <w:rFonts w:ascii="Cambria" w:hAnsi="Cambria"/>
          <w:i/>
          <w:iCs/>
          <w:sz w:val="24"/>
          <w:szCs w:val="24"/>
        </w:rPr>
        <w:t>The Curriculum Journal</w:t>
      </w:r>
      <w:r w:rsidRPr="00475658">
        <w:rPr>
          <w:rFonts w:ascii="Cambria" w:hAnsi="Cambria"/>
          <w:sz w:val="24"/>
          <w:szCs w:val="24"/>
        </w:rPr>
        <w:t xml:space="preserve">, </w:t>
      </w:r>
      <w:r w:rsidRPr="00475658">
        <w:rPr>
          <w:rFonts w:ascii="Cambria" w:hAnsi="Cambria"/>
          <w:i/>
          <w:iCs/>
          <w:sz w:val="24"/>
          <w:szCs w:val="24"/>
        </w:rPr>
        <w:t>23</w:t>
      </w:r>
      <w:r w:rsidRPr="00475658">
        <w:rPr>
          <w:rFonts w:ascii="Cambria" w:hAnsi="Cambria"/>
          <w:sz w:val="24"/>
          <w:szCs w:val="24"/>
        </w:rPr>
        <w:t>(3), 371–386. https://doi.org/10.1080/09585176.2012.703378</w:t>
      </w:r>
    </w:p>
    <w:p w14:paraId="2488E060" w14:textId="263A6E66"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Dewi</w:t>
      </w:r>
      <w:proofErr w:type="spellEnd"/>
      <w:r w:rsidRPr="00475658">
        <w:rPr>
          <w:rFonts w:ascii="Cambria" w:hAnsi="Cambria"/>
          <w:sz w:val="24"/>
          <w:szCs w:val="24"/>
        </w:rPr>
        <w:t xml:space="preserve">, T., &amp; </w:t>
      </w:r>
      <w:proofErr w:type="spellStart"/>
      <w:r w:rsidRPr="00475658">
        <w:rPr>
          <w:rFonts w:ascii="Cambria" w:hAnsi="Cambria"/>
          <w:sz w:val="24"/>
          <w:szCs w:val="24"/>
        </w:rPr>
        <w:t>Kareviati</w:t>
      </w:r>
      <w:proofErr w:type="spellEnd"/>
      <w:r w:rsidRPr="00475658">
        <w:rPr>
          <w:rFonts w:ascii="Cambria" w:hAnsi="Cambria"/>
          <w:sz w:val="24"/>
          <w:szCs w:val="24"/>
        </w:rPr>
        <w:t xml:space="preserve">, E. (2021). The Use </w:t>
      </w:r>
      <w:r w:rsidR="00C754B5">
        <w:rPr>
          <w:rFonts w:ascii="Cambria" w:hAnsi="Cambria"/>
          <w:sz w:val="24"/>
          <w:szCs w:val="24"/>
        </w:rPr>
        <w:t>o</w:t>
      </w:r>
      <w:r w:rsidRPr="00475658">
        <w:rPr>
          <w:rFonts w:ascii="Cambria" w:hAnsi="Cambria"/>
          <w:sz w:val="24"/>
          <w:szCs w:val="24"/>
        </w:rPr>
        <w:t xml:space="preserve">f </w:t>
      </w:r>
      <w:r w:rsidR="00C754B5" w:rsidRPr="00475658">
        <w:rPr>
          <w:rFonts w:ascii="Cambria" w:hAnsi="Cambria"/>
          <w:sz w:val="24"/>
          <w:szCs w:val="24"/>
        </w:rPr>
        <w:t>Power point</w:t>
      </w:r>
      <w:r w:rsidRPr="00475658">
        <w:rPr>
          <w:rFonts w:ascii="Cambria" w:hAnsi="Cambria"/>
          <w:sz w:val="24"/>
          <w:szCs w:val="24"/>
        </w:rPr>
        <w:t xml:space="preserve"> </w:t>
      </w:r>
      <w:r w:rsidR="00C754B5">
        <w:rPr>
          <w:rFonts w:ascii="Cambria" w:hAnsi="Cambria"/>
          <w:sz w:val="24"/>
          <w:szCs w:val="24"/>
        </w:rPr>
        <w:t>a</w:t>
      </w:r>
      <w:r w:rsidRPr="00475658">
        <w:rPr>
          <w:rFonts w:ascii="Cambria" w:hAnsi="Cambria"/>
          <w:sz w:val="24"/>
          <w:szCs w:val="24"/>
        </w:rPr>
        <w:t xml:space="preserve">s </w:t>
      </w:r>
      <w:r w:rsidR="00C754B5">
        <w:rPr>
          <w:rFonts w:ascii="Cambria" w:hAnsi="Cambria"/>
          <w:sz w:val="24"/>
          <w:szCs w:val="24"/>
        </w:rPr>
        <w:t>th</w:t>
      </w:r>
      <w:r w:rsidRPr="00475658">
        <w:rPr>
          <w:rFonts w:ascii="Cambria" w:hAnsi="Cambria"/>
          <w:sz w:val="24"/>
          <w:szCs w:val="24"/>
        </w:rPr>
        <w:t xml:space="preserve">e </w:t>
      </w:r>
      <w:r w:rsidR="00C754B5">
        <w:rPr>
          <w:rFonts w:ascii="Cambria" w:hAnsi="Cambria"/>
          <w:sz w:val="24"/>
          <w:szCs w:val="24"/>
        </w:rPr>
        <w:t>i</w:t>
      </w:r>
      <w:r w:rsidRPr="00475658">
        <w:rPr>
          <w:rFonts w:ascii="Cambria" w:hAnsi="Cambria"/>
          <w:sz w:val="24"/>
          <w:szCs w:val="24"/>
        </w:rPr>
        <w:t xml:space="preserve">nstructional </w:t>
      </w:r>
      <w:r w:rsidR="00C754B5">
        <w:rPr>
          <w:rFonts w:ascii="Cambria" w:hAnsi="Cambria"/>
          <w:sz w:val="24"/>
          <w:szCs w:val="24"/>
        </w:rPr>
        <w:t>m</w:t>
      </w:r>
      <w:r w:rsidRPr="00475658">
        <w:rPr>
          <w:rFonts w:ascii="Cambria" w:hAnsi="Cambria"/>
          <w:sz w:val="24"/>
          <w:szCs w:val="24"/>
        </w:rPr>
        <w:t xml:space="preserve">edia </w:t>
      </w:r>
      <w:r w:rsidR="00C754B5">
        <w:rPr>
          <w:rFonts w:ascii="Cambria" w:hAnsi="Cambria"/>
          <w:sz w:val="24"/>
          <w:szCs w:val="24"/>
        </w:rPr>
        <w:t>i</w:t>
      </w:r>
      <w:r w:rsidRPr="00475658">
        <w:rPr>
          <w:rFonts w:ascii="Cambria" w:hAnsi="Cambria"/>
          <w:sz w:val="24"/>
          <w:szCs w:val="24"/>
        </w:rPr>
        <w:t xml:space="preserve">n </w:t>
      </w:r>
      <w:r w:rsidR="00C754B5">
        <w:rPr>
          <w:rFonts w:ascii="Cambria" w:hAnsi="Cambria"/>
          <w:sz w:val="24"/>
          <w:szCs w:val="24"/>
        </w:rPr>
        <w:t>t</w:t>
      </w:r>
      <w:r w:rsidRPr="00475658">
        <w:rPr>
          <w:rFonts w:ascii="Cambria" w:hAnsi="Cambria"/>
          <w:sz w:val="24"/>
          <w:szCs w:val="24"/>
        </w:rPr>
        <w:t xml:space="preserve">eaching English </w:t>
      </w:r>
      <w:r w:rsidR="00C754B5">
        <w:rPr>
          <w:rFonts w:ascii="Cambria" w:hAnsi="Cambria"/>
          <w:sz w:val="24"/>
          <w:szCs w:val="24"/>
        </w:rPr>
        <w:t>f</w:t>
      </w:r>
      <w:r w:rsidRPr="00475658">
        <w:rPr>
          <w:rFonts w:ascii="Cambria" w:hAnsi="Cambria"/>
          <w:sz w:val="24"/>
          <w:szCs w:val="24"/>
        </w:rPr>
        <w:t xml:space="preserve">or </w:t>
      </w:r>
      <w:r w:rsidR="00C754B5">
        <w:rPr>
          <w:rFonts w:ascii="Cambria" w:hAnsi="Cambria"/>
          <w:sz w:val="24"/>
          <w:szCs w:val="24"/>
        </w:rPr>
        <w:t>y</w:t>
      </w:r>
      <w:r w:rsidRPr="00475658">
        <w:rPr>
          <w:rFonts w:ascii="Cambria" w:hAnsi="Cambria"/>
          <w:sz w:val="24"/>
          <w:szCs w:val="24"/>
        </w:rPr>
        <w:t xml:space="preserve">oung </w:t>
      </w:r>
      <w:r w:rsidR="00C754B5">
        <w:rPr>
          <w:rFonts w:ascii="Cambria" w:hAnsi="Cambria"/>
          <w:sz w:val="24"/>
          <w:szCs w:val="24"/>
        </w:rPr>
        <w:t>l</w:t>
      </w:r>
      <w:r w:rsidRPr="00475658">
        <w:rPr>
          <w:rFonts w:ascii="Cambria" w:hAnsi="Cambria"/>
          <w:sz w:val="24"/>
          <w:szCs w:val="24"/>
        </w:rPr>
        <w:t xml:space="preserve">earners. </w:t>
      </w:r>
      <w:r w:rsidRPr="00475658">
        <w:rPr>
          <w:rFonts w:ascii="Cambria" w:hAnsi="Cambria"/>
          <w:i/>
          <w:iCs/>
          <w:sz w:val="24"/>
          <w:szCs w:val="24"/>
        </w:rPr>
        <w:t>Professional Journal of English Education, 4</w:t>
      </w:r>
      <w:r w:rsidRPr="00475658">
        <w:rPr>
          <w:rFonts w:ascii="Cambria" w:hAnsi="Cambria"/>
          <w:sz w:val="24"/>
          <w:szCs w:val="24"/>
        </w:rPr>
        <w:t>(4), 617-621.</w:t>
      </w:r>
    </w:p>
    <w:p w14:paraId="6E6F4C6F" w14:textId="68DFAED3" w:rsidR="00CA5486" w:rsidRPr="00475658" w:rsidRDefault="00CA5486" w:rsidP="00EB7D45">
      <w:pPr>
        <w:spacing w:before="240" w:after="360"/>
        <w:ind w:left="709" w:hanging="709"/>
        <w:rPr>
          <w:rFonts w:ascii="Cambria" w:hAnsi="Cambria"/>
          <w:sz w:val="24"/>
          <w:szCs w:val="24"/>
        </w:rPr>
      </w:pPr>
      <w:proofErr w:type="spellStart"/>
      <w:r w:rsidRPr="00475658">
        <w:rPr>
          <w:rFonts w:ascii="Cambria" w:hAnsi="Cambria"/>
          <w:sz w:val="24"/>
          <w:szCs w:val="24"/>
        </w:rPr>
        <w:t>Ertmer</w:t>
      </w:r>
      <w:proofErr w:type="spellEnd"/>
      <w:r w:rsidRPr="00475658">
        <w:rPr>
          <w:rFonts w:ascii="Cambria" w:hAnsi="Cambria"/>
          <w:sz w:val="24"/>
          <w:szCs w:val="24"/>
        </w:rPr>
        <w:t xml:space="preserve">, P. A., &amp; </w:t>
      </w:r>
      <w:proofErr w:type="spellStart"/>
      <w:r w:rsidRPr="00475658">
        <w:rPr>
          <w:rFonts w:ascii="Cambria" w:hAnsi="Cambria"/>
          <w:sz w:val="24"/>
          <w:szCs w:val="24"/>
        </w:rPr>
        <w:t>Ottenbreit</w:t>
      </w:r>
      <w:proofErr w:type="spellEnd"/>
      <w:r w:rsidRPr="00475658">
        <w:rPr>
          <w:rFonts w:ascii="Cambria" w:hAnsi="Cambria"/>
          <w:sz w:val="24"/>
          <w:szCs w:val="24"/>
        </w:rPr>
        <w:t xml:space="preserve">-Leftwich, A. T. (2010). Teacher technology change: How knowledge, confidence, beliefs, and culture intersect. </w:t>
      </w:r>
      <w:r w:rsidRPr="00475658">
        <w:rPr>
          <w:rFonts w:ascii="Cambria" w:hAnsi="Cambria"/>
          <w:i/>
          <w:iCs/>
          <w:sz w:val="24"/>
          <w:szCs w:val="24"/>
        </w:rPr>
        <w:t>Journal of Research on Technology in Education, 42</w:t>
      </w:r>
      <w:r w:rsidRPr="00475658">
        <w:rPr>
          <w:rFonts w:ascii="Cambria" w:hAnsi="Cambria"/>
          <w:sz w:val="24"/>
          <w:szCs w:val="24"/>
        </w:rPr>
        <w:t xml:space="preserve">(3), 255–284. </w:t>
      </w:r>
      <w:hyperlink r:id="rId10" w:history="1">
        <w:r w:rsidRPr="00475658">
          <w:rPr>
            <w:rStyle w:val="Hyperlink"/>
            <w:rFonts w:ascii="Cambria" w:hAnsi="Cambria"/>
            <w:sz w:val="24"/>
            <w:szCs w:val="24"/>
          </w:rPr>
          <w:t>https://doi.org/10.1080/15391523.2010.10782551</w:t>
        </w:r>
      </w:hyperlink>
    </w:p>
    <w:p w14:paraId="1EB742CD" w14:textId="1C660C37" w:rsidR="00CA5486" w:rsidRPr="00475658" w:rsidRDefault="00CA5486" w:rsidP="00EB7D45">
      <w:pPr>
        <w:spacing w:before="240" w:after="360"/>
        <w:ind w:left="709" w:hanging="709"/>
        <w:rPr>
          <w:rFonts w:ascii="Cambria" w:hAnsi="Cambria"/>
          <w:sz w:val="24"/>
          <w:szCs w:val="24"/>
        </w:rPr>
      </w:pPr>
      <w:r w:rsidRPr="00475658">
        <w:rPr>
          <w:rFonts w:ascii="Cambria" w:hAnsi="Cambria"/>
          <w:sz w:val="24"/>
          <w:szCs w:val="24"/>
        </w:rPr>
        <w:t xml:space="preserve">Fullan, M. (2007). </w:t>
      </w:r>
      <w:r w:rsidRPr="00475658">
        <w:rPr>
          <w:rFonts w:ascii="Cambria" w:hAnsi="Cambria"/>
          <w:i/>
          <w:iCs/>
          <w:sz w:val="24"/>
          <w:szCs w:val="24"/>
        </w:rPr>
        <w:t>The new meaning of educational change</w:t>
      </w:r>
      <w:r w:rsidRPr="00475658">
        <w:rPr>
          <w:rFonts w:ascii="Cambria" w:hAnsi="Cambria"/>
          <w:sz w:val="24"/>
          <w:szCs w:val="24"/>
        </w:rPr>
        <w:t xml:space="preserve"> (4th ed.). Teachers College Press.</w:t>
      </w:r>
    </w:p>
    <w:p w14:paraId="09FB4411" w14:textId="45ED1ABF" w:rsidR="00CA5486" w:rsidRPr="00475658" w:rsidRDefault="00CA5486" w:rsidP="00CA5486">
      <w:pPr>
        <w:spacing w:before="240" w:after="360"/>
        <w:ind w:left="709" w:hanging="709"/>
        <w:rPr>
          <w:rFonts w:ascii="Cambria" w:hAnsi="Cambria"/>
          <w:sz w:val="24"/>
          <w:szCs w:val="24"/>
        </w:rPr>
      </w:pPr>
      <w:r w:rsidRPr="00CA5486">
        <w:rPr>
          <w:rFonts w:ascii="Cambria" w:hAnsi="Cambria"/>
          <w:sz w:val="24"/>
          <w:szCs w:val="24"/>
        </w:rPr>
        <w:t xml:space="preserve">Graham, C. R. (2013). Emerging practice and research in blended learning. In M. G. Moore (Ed.), </w:t>
      </w:r>
      <w:r w:rsidRPr="00CA5486">
        <w:rPr>
          <w:rFonts w:ascii="Cambria" w:hAnsi="Cambria"/>
          <w:i/>
          <w:iCs/>
          <w:sz w:val="24"/>
          <w:szCs w:val="24"/>
        </w:rPr>
        <w:t>Handbook of distance education</w:t>
      </w:r>
      <w:r w:rsidRPr="00CA5486">
        <w:rPr>
          <w:rFonts w:ascii="Cambria" w:hAnsi="Cambria"/>
          <w:sz w:val="24"/>
          <w:szCs w:val="24"/>
        </w:rPr>
        <w:t xml:space="preserve"> (3rd ed., pp. 333–350). Routledge.</w:t>
      </w:r>
    </w:p>
    <w:p w14:paraId="15246379" w14:textId="223F85C8"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Ishartono</w:t>
      </w:r>
      <w:proofErr w:type="spellEnd"/>
      <w:r w:rsidRPr="00475658">
        <w:rPr>
          <w:rFonts w:ascii="Cambria" w:hAnsi="Cambria"/>
          <w:sz w:val="24"/>
          <w:szCs w:val="24"/>
        </w:rPr>
        <w:t xml:space="preserve">, N., </w:t>
      </w:r>
      <w:proofErr w:type="spellStart"/>
      <w:r w:rsidRPr="00475658">
        <w:rPr>
          <w:rFonts w:ascii="Cambria" w:hAnsi="Cambria"/>
          <w:sz w:val="24"/>
          <w:szCs w:val="24"/>
        </w:rPr>
        <w:t>Nurcahyo</w:t>
      </w:r>
      <w:proofErr w:type="spellEnd"/>
      <w:r w:rsidRPr="00475658">
        <w:rPr>
          <w:rFonts w:ascii="Cambria" w:hAnsi="Cambria"/>
          <w:sz w:val="24"/>
          <w:szCs w:val="24"/>
        </w:rPr>
        <w:t xml:space="preserve">, A., bin </w:t>
      </w:r>
      <w:proofErr w:type="spellStart"/>
      <w:r w:rsidRPr="00475658">
        <w:rPr>
          <w:rFonts w:ascii="Cambria" w:hAnsi="Cambria"/>
          <w:sz w:val="24"/>
          <w:szCs w:val="24"/>
        </w:rPr>
        <w:t>Sufahani</w:t>
      </w:r>
      <w:proofErr w:type="spellEnd"/>
      <w:r w:rsidRPr="00475658">
        <w:rPr>
          <w:rFonts w:ascii="Cambria" w:hAnsi="Cambria"/>
          <w:sz w:val="24"/>
          <w:szCs w:val="24"/>
        </w:rPr>
        <w:t xml:space="preserve">, S. F., &amp; </w:t>
      </w:r>
      <w:proofErr w:type="spellStart"/>
      <w:r w:rsidRPr="00475658">
        <w:rPr>
          <w:rFonts w:ascii="Cambria" w:hAnsi="Cambria"/>
          <w:sz w:val="24"/>
          <w:szCs w:val="24"/>
        </w:rPr>
        <w:t>Afiyah</w:t>
      </w:r>
      <w:proofErr w:type="spellEnd"/>
      <w:r w:rsidRPr="00475658">
        <w:rPr>
          <w:rFonts w:ascii="Cambria" w:hAnsi="Cambria"/>
          <w:sz w:val="24"/>
          <w:szCs w:val="24"/>
        </w:rPr>
        <w:t xml:space="preserve">, A. N. (2022). Employing </w:t>
      </w:r>
      <w:r w:rsidR="00C754B5">
        <w:rPr>
          <w:rFonts w:ascii="Cambria" w:hAnsi="Cambria"/>
          <w:sz w:val="24"/>
          <w:szCs w:val="24"/>
        </w:rPr>
        <w:t>p</w:t>
      </w:r>
      <w:r w:rsidRPr="00475658">
        <w:rPr>
          <w:rFonts w:ascii="Cambria" w:hAnsi="Cambria"/>
          <w:sz w:val="24"/>
          <w:szCs w:val="24"/>
        </w:rPr>
        <w:t>ower</w:t>
      </w:r>
      <w:r w:rsidR="00C754B5">
        <w:rPr>
          <w:rFonts w:ascii="Cambria" w:hAnsi="Cambria"/>
          <w:sz w:val="24"/>
          <w:szCs w:val="24"/>
        </w:rPr>
        <w:t xml:space="preserve"> p</w:t>
      </w:r>
      <w:r w:rsidRPr="00475658">
        <w:rPr>
          <w:rFonts w:ascii="Cambria" w:hAnsi="Cambria"/>
          <w:sz w:val="24"/>
          <w:szCs w:val="24"/>
        </w:rPr>
        <w:t xml:space="preserve">oint in the </w:t>
      </w:r>
      <w:r w:rsidR="00C754B5">
        <w:rPr>
          <w:rFonts w:ascii="Cambria" w:hAnsi="Cambria"/>
          <w:sz w:val="24"/>
          <w:szCs w:val="24"/>
        </w:rPr>
        <w:t>f</w:t>
      </w:r>
      <w:r w:rsidRPr="00475658">
        <w:rPr>
          <w:rFonts w:ascii="Cambria" w:hAnsi="Cambria"/>
          <w:sz w:val="24"/>
          <w:szCs w:val="24"/>
        </w:rPr>
        <w:t>lipped-</w:t>
      </w:r>
      <w:r w:rsidR="00C754B5">
        <w:rPr>
          <w:rFonts w:ascii="Cambria" w:hAnsi="Cambria"/>
          <w:sz w:val="24"/>
          <w:szCs w:val="24"/>
        </w:rPr>
        <w:t>l</w:t>
      </w:r>
      <w:r w:rsidRPr="00475658">
        <w:rPr>
          <w:rFonts w:ascii="Cambria" w:hAnsi="Cambria"/>
          <w:sz w:val="24"/>
          <w:szCs w:val="24"/>
        </w:rPr>
        <w:t>earning-</w:t>
      </w:r>
      <w:r w:rsidR="00C754B5">
        <w:rPr>
          <w:rFonts w:ascii="Cambria" w:hAnsi="Cambria"/>
          <w:sz w:val="24"/>
          <w:szCs w:val="24"/>
        </w:rPr>
        <w:t>b</w:t>
      </w:r>
      <w:r w:rsidRPr="00475658">
        <w:rPr>
          <w:rFonts w:ascii="Cambria" w:hAnsi="Cambria"/>
          <w:sz w:val="24"/>
          <w:szCs w:val="24"/>
        </w:rPr>
        <w:t xml:space="preserve">ased </w:t>
      </w:r>
      <w:r w:rsidR="00C754B5">
        <w:rPr>
          <w:rFonts w:ascii="Cambria" w:hAnsi="Cambria"/>
          <w:sz w:val="24"/>
          <w:szCs w:val="24"/>
        </w:rPr>
        <w:t>c</w:t>
      </w:r>
      <w:r w:rsidRPr="00475658">
        <w:rPr>
          <w:rFonts w:ascii="Cambria" w:hAnsi="Cambria"/>
          <w:sz w:val="24"/>
          <w:szCs w:val="24"/>
        </w:rPr>
        <w:t xml:space="preserve">lassroom to </w:t>
      </w:r>
      <w:r w:rsidR="00C754B5">
        <w:rPr>
          <w:rFonts w:ascii="Cambria" w:hAnsi="Cambria"/>
          <w:sz w:val="24"/>
          <w:szCs w:val="24"/>
        </w:rPr>
        <w:t>i</w:t>
      </w:r>
      <w:r w:rsidRPr="00475658">
        <w:rPr>
          <w:rFonts w:ascii="Cambria" w:hAnsi="Cambria"/>
          <w:sz w:val="24"/>
          <w:szCs w:val="24"/>
        </w:rPr>
        <w:t xml:space="preserve">ncrease </w:t>
      </w:r>
      <w:r w:rsidR="00C754B5">
        <w:rPr>
          <w:rFonts w:ascii="Cambria" w:hAnsi="Cambria"/>
          <w:sz w:val="24"/>
          <w:szCs w:val="24"/>
        </w:rPr>
        <w:t>s</w:t>
      </w:r>
      <w:r w:rsidRPr="00475658">
        <w:rPr>
          <w:rFonts w:ascii="Cambria" w:hAnsi="Cambria"/>
          <w:sz w:val="24"/>
          <w:szCs w:val="24"/>
        </w:rPr>
        <w:t xml:space="preserve">tudents’ </w:t>
      </w:r>
      <w:r w:rsidR="00C754B5">
        <w:rPr>
          <w:rFonts w:ascii="Cambria" w:hAnsi="Cambria"/>
          <w:sz w:val="24"/>
          <w:szCs w:val="24"/>
        </w:rPr>
        <w:t>u</w:t>
      </w:r>
      <w:r w:rsidRPr="00475658">
        <w:rPr>
          <w:rFonts w:ascii="Cambria" w:hAnsi="Cambria"/>
          <w:sz w:val="24"/>
          <w:szCs w:val="24"/>
        </w:rPr>
        <w:t xml:space="preserve">nderstanding: Does </w:t>
      </w:r>
      <w:r w:rsidR="00C754B5">
        <w:rPr>
          <w:rFonts w:ascii="Cambria" w:hAnsi="Cambria"/>
          <w:sz w:val="24"/>
          <w:szCs w:val="24"/>
        </w:rPr>
        <w:t>i</w:t>
      </w:r>
      <w:r w:rsidRPr="00475658">
        <w:rPr>
          <w:rFonts w:ascii="Cambria" w:hAnsi="Cambria"/>
          <w:sz w:val="24"/>
          <w:szCs w:val="24"/>
        </w:rPr>
        <w:t xml:space="preserve">t </w:t>
      </w:r>
      <w:r w:rsidR="00C754B5">
        <w:rPr>
          <w:rFonts w:ascii="Cambria" w:hAnsi="Cambria"/>
          <w:sz w:val="24"/>
          <w:szCs w:val="24"/>
        </w:rPr>
        <w:t>h</w:t>
      </w:r>
      <w:r w:rsidRPr="00475658">
        <w:rPr>
          <w:rFonts w:ascii="Cambria" w:hAnsi="Cambria"/>
          <w:sz w:val="24"/>
          <w:szCs w:val="24"/>
        </w:rPr>
        <w:t xml:space="preserve">elp? </w:t>
      </w:r>
      <w:r w:rsidRPr="00475658">
        <w:rPr>
          <w:rFonts w:ascii="Cambria" w:hAnsi="Cambria"/>
          <w:i/>
          <w:iCs/>
          <w:sz w:val="24"/>
          <w:szCs w:val="24"/>
        </w:rPr>
        <w:t>Asian Journal of University Education</w:t>
      </w:r>
      <w:r w:rsidRPr="00475658">
        <w:rPr>
          <w:rFonts w:ascii="Cambria" w:hAnsi="Cambria"/>
          <w:sz w:val="24"/>
          <w:szCs w:val="24"/>
        </w:rPr>
        <w:t xml:space="preserve">, </w:t>
      </w:r>
      <w:r w:rsidRPr="00475658">
        <w:rPr>
          <w:rFonts w:ascii="Cambria" w:hAnsi="Cambria"/>
          <w:i/>
          <w:iCs/>
          <w:sz w:val="24"/>
          <w:szCs w:val="24"/>
        </w:rPr>
        <w:t>18</w:t>
      </w:r>
      <w:r w:rsidRPr="00475658">
        <w:rPr>
          <w:rFonts w:ascii="Cambria" w:hAnsi="Cambria"/>
          <w:sz w:val="24"/>
          <w:szCs w:val="24"/>
        </w:rPr>
        <w:t xml:space="preserve">(3), 649–662. </w:t>
      </w:r>
      <w:hyperlink r:id="rId11" w:history="1">
        <w:r w:rsidR="00CA5486" w:rsidRPr="00475658">
          <w:rPr>
            <w:rStyle w:val="Hyperlink"/>
            <w:rFonts w:ascii="Cambria" w:hAnsi="Cambria"/>
            <w:sz w:val="24"/>
            <w:szCs w:val="24"/>
          </w:rPr>
          <w:t>https://doi.org/10.24191/ajue.v18i3.18952</w:t>
        </w:r>
      </w:hyperlink>
    </w:p>
    <w:p w14:paraId="5C5E1295" w14:textId="7F604BC8" w:rsidR="00EB7D45" w:rsidRPr="00475658" w:rsidRDefault="00EB7D45" w:rsidP="00EB7D45">
      <w:pPr>
        <w:spacing w:before="240" w:after="360"/>
        <w:ind w:left="709" w:hanging="709"/>
        <w:rPr>
          <w:rFonts w:ascii="Cambria" w:hAnsi="Cambria"/>
          <w:sz w:val="24"/>
          <w:szCs w:val="24"/>
        </w:rPr>
      </w:pPr>
      <w:proofErr w:type="spellStart"/>
      <w:r w:rsidRPr="00DE7C6D">
        <w:rPr>
          <w:rFonts w:ascii="Cambria" w:hAnsi="Cambria"/>
          <w:sz w:val="24"/>
          <w:szCs w:val="24"/>
          <w:lang w:val="es-US"/>
        </w:rPr>
        <w:t>Kilag</w:t>
      </w:r>
      <w:proofErr w:type="spellEnd"/>
      <w:r w:rsidRPr="00DE7C6D">
        <w:rPr>
          <w:rFonts w:ascii="Cambria" w:hAnsi="Cambria"/>
          <w:sz w:val="24"/>
          <w:szCs w:val="24"/>
          <w:lang w:val="es-US"/>
        </w:rPr>
        <w:t xml:space="preserve">, O. K. T., </w:t>
      </w:r>
      <w:proofErr w:type="spellStart"/>
      <w:r w:rsidRPr="00DE7C6D">
        <w:rPr>
          <w:rFonts w:ascii="Cambria" w:hAnsi="Cambria"/>
          <w:sz w:val="24"/>
          <w:szCs w:val="24"/>
          <w:lang w:val="es-US"/>
        </w:rPr>
        <w:t>Andrin</w:t>
      </w:r>
      <w:proofErr w:type="spellEnd"/>
      <w:r w:rsidRPr="00DE7C6D">
        <w:rPr>
          <w:rFonts w:ascii="Cambria" w:hAnsi="Cambria"/>
          <w:sz w:val="24"/>
          <w:szCs w:val="24"/>
          <w:lang w:val="es-US"/>
        </w:rPr>
        <w:t xml:space="preserve">, G. R., </w:t>
      </w:r>
      <w:proofErr w:type="spellStart"/>
      <w:r w:rsidRPr="00DE7C6D">
        <w:rPr>
          <w:rFonts w:ascii="Cambria" w:hAnsi="Cambria"/>
          <w:sz w:val="24"/>
          <w:szCs w:val="24"/>
          <w:lang w:val="es-US"/>
        </w:rPr>
        <w:t>Abellanosa</w:t>
      </w:r>
      <w:proofErr w:type="spellEnd"/>
      <w:r w:rsidRPr="00DE7C6D">
        <w:rPr>
          <w:rFonts w:ascii="Cambria" w:hAnsi="Cambria"/>
          <w:sz w:val="24"/>
          <w:szCs w:val="24"/>
          <w:lang w:val="es-US"/>
        </w:rPr>
        <w:t xml:space="preserve">, C., Jr. </w:t>
      </w:r>
      <w:proofErr w:type="spellStart"/>
      <w:r w:rsidRPr="00DE7C6D">
        <w:rPr>
          <w:rFonts w:ascii="Cambria" w:hAnsi="Cambria"/>
          <w:sz w:val="24"/>
          <w:szCs w:val="24"/>
          <w:lang w:val="es-US"/>
        </w:rPr>
        <w:t>Villaver</w:t>
      </w:r>
      <w:proofErr w:type="spellEnd"/>
      <w:r w:rsidRPr="00DE7C6D">
        <w:rPr>
          <w:rFonts w:ascii="Cambria" w:hAnsi="Cambria"/>
          <w:sz w:val="24"/>
          <w:szCs w:val="24"/>
          <w:lang w:val="es-US"/>
        </w:rPr>
        <w:t xml:space="preserve"> Marlon T, Uy, F. T., &amp; </w:t>
      </w:r>
      <w:proofErr w:type="spellStart"/>
      <w:r w:rsidRPr="00DE7C6D">
        <w:rPr>
          <w:rFonts w:ascii="Cambria" w:hAnsi="Cambria"/>
          <w:sz w:val="24"/>
          <w:szCs w:val="24"/>
          <w:lang w:val="es-US"/>
        </w:rPr>
        <w:t>Sasan</w:t>
      </w:r>
      <w:proofErr w:type="spellEnd"/>
      <w:r w:rsidRPr="00DE7C6D">
        <w:rPr>
          <w:rFonts w:ascii="Cambria" w:hAnsi="Cambria"/>
          <w:sz w:val="24"/>
          <w:szCs w:val="24"/>
          <w:lang w:val="es-US"/>
        </w:rPr>
        <w:t xml:space="preserve">, J. M. V. (2024). </w:t>
      </w:r>
      <w:r w:rsidRPr="00475658">
        <w:rPr>
          <w:rFonts w:ascii="Cambria" w:hAnsi="Cambria"/>
          <w:sz w:val="24"/>
          <w:szCs w:val="24"/>
        </w:rPr>
        <w:t xml:space="preserve">MATATAG </w:t>
      </w:r>
      <w:r w:rsidR="00C754B5">
        <w:rPr>
          <w:rFonts w:ascii="Cambria" w:hAnsi="Cambria"/>
          <w:sz w:val="24"/>
          <w:szCs w:val="24"/>
        </w:rPr>
        <w:t>c</w:t>
      </w:r>
      <w:r w:rsidRPr="00475658">
        <w:rPr>
          <w:rFonts w:ascii="Cambria" w:hAnsi="Cambria"/>
          <w:sz w:val="24"/>
          <w:szCs w:val="24"/>
        </w:rPr>
        <w:t xml:space="preserve">urriculum </w:t>
      </w:r>
      <w:r w:rsidR="00C754B5">
        <w:rPr>
          <w:rFonts w:ascii="Cambria" w:hAnsi="Cambria"/>
          <w:sz w:val="24"/>
          <w:szCs w:val="24"/>
        </w:rPr>
        <w:t>r</w:t>
      </w:r>
      <w:r w:rsidRPr="00475658">
        <w:rPr>
          <w:rFonts w:ascii="Cambria" w:hAnsi="Cambria"/>
          <w:sz w:val="24"/>
          <w:szCs w:val="24"/>
        </w:rPr>
        <w:t xml:space="preserve">ollout: Understanding </w:t>
      </w:r>
      <w:r w:rsidR="00C754B5">
        <w:rPr>
          <w:rFonts w:ascii="Cambria" w:hAnsi="Cambria"/>
          <w:sz w:val="24"/>
          <w:szCs w:val="24"/>
        </w:rPr>
        <w:t>c</w:t>
      </w:r>
      <w:r w:rsidRPr="00475658">
        <w:rPr>
          <w:rFonts w:ascii="Cambria" w:hAnsi="Cambria"/>
          <w:sz w:val="24"/>
          <w:szCs w:val="24"/>
        </w:rPr>
        <w:t xml:space="preserve">hallenges for </w:t>
      </w:r>
      <w:r w:rsidR="00C754B5">
        <w:rPr>
          <w:rFonts w:ascii="Cambria" w:hAnsi="Cambria"/>
          <w:sz w:val="24"/>
          <w:szCs w:val="24"/>
        </w:rPr>
        <w:t>e</w:t>
      </w:r>
      <w:r w:rsidRPr="00475658">
        <w:rPr>
          <w:rFonts w:ascii="Cambria" w:hAnsi="Cambria"/>
          <w:sz w:val="24"/>
          <w:szCs w:val="24"/>
        </w:rPr>
        <w:t xml:space="preserve">ffective </w:t>
      </w:r>
      <w:r w:rsidR="00C754B5">
        <w:rPr>
          <w:rFonts w:ascii="Cambria" w:hAnsi="Cambria"/>
          <w:sz w:val="24"/>
          <w:szCs w:val="24"/>
        </w:rPr>
        <w:t>i</w:t>
      </w:r>
      <w:r w:rsidRPr="00475658">
        <w:rPr>
          <w:rFonts w:ascii="Cambria" w:hAnsi="Cambria"/>
          <w:sz w:val="24"/>
          <w:szCs w:val="24"/>
        </w:rPr>
        <w:t xml:space="preserve">mplementation. </w:t>
      </w:r>
      <w:r w:rsidRPr="00475658">
        <w:rPr>
          <w:rFonts w:ascii="Cambria" w:hAnsi="Cambria"/>
          <w:i/>
          <w:iCs/>
          <w:sz w:val="24"/>
          <w:szCs w:val="24"/>
        </w:rPr>
        <w:t xml:space="preserve">International Multidisciplinary Journal </w:t>
      </w:r>
      <w:r w:rsidR="00C754B5" w:rsidRPr="00475658">
        <w:rPr>
          <w:rFonts w:ascii="Cambria" w:hAnsi="Cambria"/>
          <w:i/>
          <w:iCs/>
          <w:sz w:val="24"/>
          <w:szCs w:val="24"/>
        </w:rPr>
        <w:t>of</w:t>
      </w:r>
      <w:r w:rsidRPr="00475658">
        <w:rPr>
          <w:rFonts w:ascii="Cambria" w:hAnsi="Cambria"/>
          <w:i/>
          <w:iCs/>
          <w:sz w:val="24"/>
          <w:szCs w:val="24"/>
        </w:rPr>
        <w:t xml:space="preserve"> Research </w:t>
      </w:r>
      <w:r w:rsidR="00C754B5">
        <w:rPr>
          <w:rFonts w:ascii="Cambria" w:hAnsi="Cambria"/>
          <w:i/>
          <w:iCs/>
          <w:sz w:val="24"/>
          <w:szCs w:val="24"/>
        </w:rPr>
        <w:t>f</w:t>
      </w:r>
      <w:r w:rsidRPr="00475658">
        <w:rPr>
          <w:rFonts w:ascii="Cambria" w:hAnsi="Cambria"/>
          <w:i/>
          <w:iCs/>
          <w:sz w:val="24"/>
          <w:szCs w:val="24"/>
        </w:rPr>
        <w:t>or Innovation, Sustainability, And Excellence (I</w:t>
      </w:r>
      <w:r w:rsidR="00C754B5">
        <w:rPr>
          <w:rFonts w:ascii="Cambria" w:hAnsi="Cambria"/>
          <w:i/>
          <w:iCs/>
          <w:sz w:val="24"/>
          <w:szCs w:val="24"/>
        </w:rPr>
        <w:t>MJRIS</w:t>
      </w:r>
      <w:r w:rsidR="00C754B5" w:rsidRPr="00475658">
        <w:rPr>
          <w:rFonts w:ascii="Cambria" w:hAnsi="Cambria"/>
          <w:i/>
          <w:iCs/>
          <w:sz w:val="24"/>
          <w:szCs w:val="24"/>
        </w:rPr>
        <w:t>),</w:t>
      </w:r>
      <w:r w:rsidRPr="00475658">
        <w:rPr>
          <w:rFonts w:ascii="Cambria" w:hAnsi="Cambria"/>
          <w:sz w:val="24"/>
          <w:szCs w:val="24"/>
        </w:rPr>
        <w:t xml:space="preserve"> </w:t>
      </w:r>
      <w:r w:rsidRPr="00475658">
        <w:rPr>
          <w:rFonts w:ascii="Cambria" w:hAnsi="Cambria"/>
          <w:i/>
          <w:iCs/>
          <w:sz w:val="24"/>
          <w:szCs w:val="24"/>
        </w:rPr>
        <w:t>1</w:t>
      </w:r>
      <w:r w:rsidRPr="00475658">
        <w:rPr>
          <w:rFonts w:ascii="Cambria" w:hAnsi="Cambria"/>
          <w:sz w:val="24"/>
          <w:szCs w:val="24"/>
        </w:rPr>
        <w:t xml:space="preserve">(5), 172–177. </w:t>
      </w:r>
      <w:hyperlink r:id="rId12" w:history="1">
        <w:r w:rsidR="00CA5486" w:rsidRPr="00475658">
          <w:rPr>
            <w:rStyle w:val="Hyperlink"/>
            <w:rFonts w:ascii="Cambria" w:hAnsi="Cambria"/>
            <w:sz w:val="24"/>
            <w:szCs w:val="24"/>
          </w:rPr>
          <w:t>https://doi.org/10.5281/zenodo.11183037</w:t>
        </w:r>
      </w:hyperlink>
    </w:p>
    <w:p w14:paraId="76AC1572" w14:textId="004BC2BA" w:rsidR="00CA5486" w:rsidRPr="00475658" w:rsidRDefault="00CA5486" w:rsidP="00EB7D45">
      <w:pPr>
        <w:spacing w:before="240" w:after="360"/>
        <w:ind w:left="709" w:hanging="709"/>
        <w:rPr>
          <w:rFonts w:ascii="Cambria" w:hAnsi="Cambria"/>
          <w:sz w:val="24"/>
          <w:szCs w:val="24"/>
        </w:rPr>
      </w:pPr>
      <w:r w:rsidRPr="00475658">
        <w:rPr>
          <w:rFonts w:ascii="Cambria" w:hAnsi="Cambria"/>
          <w:sz w:val="24"/>
          <w:szCs w:val="24"/>
        </w:rPr>
        <w:t xml:space="preserve">Koehler, M. J., Mishra, P., </w:t>
      </w:r>
      <w:proofErr w:type="spellStart"/>
      <w:r w:rsidRPr="00475658">
        <w:rPr>
          <w:rFonts w:ascii="Cambria" w:hAnsi="Cambria"/>
          <w:sz w:val="24"/>
          <w:szCs w:val="24"/>
        </w:rPr>
        <w:t>Kereluik</w:t>
      </w:r>
      <w:proofErr w:type="spellEnd"/>
      <w:r w:rsidRPr="00475658">
        <w:rPr>
          <w:rFonts w:ascii="Cambria" w:hAnsi="Cambria"/>
          <w:sz w:val="24"/>
          <w:szCs w:val="24"/>
        </w:rPr>
        <w:t xml:space="preserve">, K., Shin, T. S., &amp; Graham, C. R. (2013). The technological pedagogical content knowledge framework. In M. J. Spector, B. B. </w:t>
      </w:r>
      <w:proofErr w:type="spellStart"/>
      <w:r w:rsidRPr="00475658">
        <w:rPr>
          <w:rFonts w:ascii="Cambria" w:hAnsi="Cambria"/>
          <w:sz w:val="24"/>
          <w:szCs w:val="24"/>
        </w:rPr>
        <w:t>Lockee</w:t>
      </w:r>
      <w:proofErr w:type="spellEnd"/>
      <w:r w:rsidRPr="00475658">
        <w:rPr>
          <w:rFonts w:ascii="Cambria" w:hAnsi="Cambria"/>
          <w:sz w:val="24"/>
          <w:szCs w:val="24"/>
        </w:rPr>
        <w:t xml:space="preserve">, S. E. </w:t>
      </w:r>
      <w:proofErr w:type="spellStart"/>
      <w:r w:rsidRPr="00475658">
        <w:rPr>
          <w:rFonts w:ascii="Cambria" w:hAnsi="Cambria"/>
          <w:sz w:val="24"/>
          <w:szCs w:val="24"/>
        </w:rPr>
        <w:t>Smaldino</w:t>
      </w:r>
      <w:proofErr w:type="spellEnd"/>
      <w:r w:rsidRPr="00475658">
        <w:rPr>
          <w:rFonts w:ascii="Cambria" w:hAnsi="Cambria"/>
          <w:sz w:val="24"/>
          <w:szCs w:val="24"/>
        </w:rPr>
        <w:t xml:space="preserve">, &amp; M. C. Herring (Eds.), </w:t>
      </w:r>
      <w:r w:rsidRPr="00475658">
        <w:rPr>
          <w:rFonts w:ascii="Cambria" w:hAnsi="Cambria"/>
          <w:i/>
          <w:iCs/>
          <w:sz w:val="24"/>
          <w:szCs w:val="24"/>
        </w:rPr>
        <w:t>Handbook of research on educational communications and technology</w:t>
      </w:r>
      <w:r w:rsidRPr="00475658">
        <w:rPr>
          <w:rFonts w:ascii="Cambria" w:hAnsi="Cambria"/>
          <w:sz w:val="24"/>
          <w:szCs w:val="24"/>
        </w:rPr>
        <w:t xml:space="preserve"> (pp. 101–111). Springer. https://doi.org/10.1007/978-1-4614-3185-5_9</w:t>
      </w:r>
    </w:p>
    <w:p w14:paraId="1796ADB7" w14:textId="3E63D7E2"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León, S. P., &amp; García-Martínez, I. (2021). Impact of the provision of </w:t>
      </w:r>
      <w:r w:rsidR="00C754B5">
        <w:rPr>
          <w:rFonts w:ascii="Cambria" w:hAnsi="Cambria"/>
          <w:sz w:val="24"/>
          <w:szCs w:val="24"/>
        </w:rPr>
        <w:t>p</w:t>
      </w:r>
      <w:r w:rsidRPr="00475658">
        <w:rPr>
          <w:rFonts w:ascii="Cambria" w:hAnsi="Cambria"/>
          <w:sz w:val="24"/>
          <w:szCs w:val="24"/>
        </w:rPr>
        <w:t>ower</w:t>
      </w:r>
      <w:r w:rsidR="00C754B5">
        <w:rPr>
          <w:rFonts w:ascii="Cambria" w:hAnsi="Cambria"/>
          <w:sz w:val="24"/>
          <w:szCs w:val="24"/>
        </w:rPr>
        <w:t xml:space="preserve"> p</w:t>
      </w:r>
      <w:r w:rsidRPr="00475658">
        <w:rPr>
          <w:rFonts w:ascii="Cambria" w:hAnsi="Cambria"/>
          <w:sz w:val="24"/>
          <w:szCs w:val="24"/>
        </w:rPr>
        <w:t xml:space="preserve">oint slides on learning. </w:t>
      </w:r>
      <w:r w:rsidRPr="00475658">
        <w:rPr>
          <w:rFonts w:ascii="Cambria" w:hAnsi="Cambria"/>
          <w:i/>
          <w:iCs/>
          <w:sz w:val="24"/>
          <w:szCs w:val="24"/>
        </w:rPr>
        <w:t>Computers &amp; Education</w:t>
      </w:r>
      <w:r w:rsidRPr="00475658">
        <w:rPr>
          <w:rFonts w:ascii="Cambria" w:hAnsi="Cambria"/>
          <w:sz w:val="24"/>
          <w:szCs w:val="24"/>
        </w:rPr>
        <w:t xml:space="preserve">, </w:t>
      </w:r>
      <w:r w:rsidRPr="00475658">
        <w:rPr>
          <w:rFonts w:ascii="Cambria" w:hAnsi="Cambria"/>
          <w:i/>
          <w:iCs/>
          <w:sz w:val="24"/>
          <w:szCs w:val="24"/>
        </w:rPr>
        <w:t>173</w:t>
      </w:r>
      <w:r w:rsidRPr="00475658">
        <w:rPr>
          <w:rFonts w:ascii="Cambria" w:hAnsi="Cambria"/>
          <w:sz w:val="24"/>
          <w:szCs w:val="24"/>
        </w:rPr>
        <w:t>(104283), 1–11. https://doi.org/10.1016/j.compedu.2021.104283</w:t>
      </w:r>
    </w:p>
    <w:p w14:paraId="461781A3" w14:textId="77777777" w:rsidR="00EB7D45"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Madani</w:t>
      </w:r>
      <w:proofErr w:type="spellEnd"/>
      <w:r w:rsidRPr="00475658">
        <w:rPr>
          <w:rFonts w:ascii="Cambria" w:hAnsi="Cambria"/>
          <w:sz w:val="24"/>
          <w:szCs w:val="24"/>
        </w:rPr>
        <w:t>, B., &amp; Musa, Y. (2023). The Advantages and Disadvantages of Using PowerPoint in Teaching English Language.</w:t>
      </w:r>
    </w:p>
    <w:p w14:paraId="3C4DAAE8" w14:textId="26F8B98F" w:rsidR="00C754B5" w:rsidRPr="00475658" w:rsidRDefault="00C754B5" w:rsidP="00C754B5">
      <w:pPr>
        <w:spacing w:before="240" w:after="360"/>
        <w:ind w:left="709" w:hanging="709"/>
        <w:rPr>
          <w:rFonts w:ascii="Cambria" w:hAnsi="Cambria"/>
          <w:sz w:val="24"/>
          <w:szCs w:val="24"/>
        </w:rPr>
      </w:pPr>
      <w:r w:rsidRPr="00475658">
        <w:rPr>
          <w:rFonts w:ascii="Cambria" w:hAnsi="Cambria"/>
          <w:sz w:val="24"/>
          <w:szCs w:val="24"/>
        </w:rPr>
        <w:lastRenderedPageBreak/>
        <w:t xml:space="preserve">Mishra, P., &amp; Koehler, M. J. (2006). Technological </w:t>
      </w:r>
      <w:r>
        <w:rPr>
          <w:rFonts w:ascii="Cambria" w:hAnsi="Cambria"/>
          <w:sz w:val="24"/>
          <w:szCs w:val="24"/>
        </w:rPr>
        <w:t>p</w:t>
      </w:r>
      <w:r w:rsidRPr="00475658">
        <w:rPr>
          <w:rFonts w:ascii="Cambria" w:hAnsi="Cambria"/>
          <w:sz w:val="24"/>
          <w:szCs w:val="24"/>
        </w:rPr>
        <w:t xml:space="preserve">edagogical </w:t>
      </w:r>
      <w:r>
        <w:rPr>
          <w:rFonts w:ascii="Cambria" w:hAnsi="Cambria"/>
          <w:sz w:val="24"/>
          <w:szCs w:val="24"/>
        </w:rPr>
        <w:t>c</w:t>
      </w:r>
      <w:r w:rsidRPr="00475658">
        <w:rPr>
          <w:rFonts w:ascii="Cambria" w:hAnsi="Cambria"/>
          <w:sz w:val="24"/>
          <w:szCs w:val="24"/>
        </w:rPr>
        <w:t xml:space="preserve">ontent </w:t>
      </w:r>
      <w:r>
        <w:rPr>
          <w:rFonts w:ascii="Cambria" w:hAnsi="Cambria"/>
          <w:sz w:val="24"/>
          <w:szCs w:val="24"/>
        </w:rPr>
        <w:t>k</w:t>
      </w:r>
      <w:r w:rsidRPr="00475658">
        <w:rPr>
          <w:rFonts w:ascii="Cambria" w:hAnsi="Cambria"/>
          <w:sz w:val="24"/>
          <w:szCs w:val="24"/>
        </w:rPr>
        <w:t xml:space="preserve">nowledge: A </w:t>
      </w:r>
      <w:r>
        <w:rPr>
          <w:rFonts w:ascii="Cambria" w:hAnsi="Cambria"/>
          <w:sz w:val="24"/>
          <w:szCs w:val="24"/>
        </w:rPr>
        <w:t>f</w:t>
      </w:r>
      <w:r w:rsidRPr="00475658">
        <w:rPr>
          <w:rFonts w:ascii="Cambria" w:hAnsi="Cambria"/>
          <w:sz w:val="24"/>
          <w:szCs w:val="24"/>
        </w:rPr>
        <w:t xml:space="preserve">ramework for </w:t>
      </w:r>
      <w:r>
        <w:rPr>
          <w:rFonts w:ascii="Cambria" w:hAnsi="Cambria"/>
          <w:sz w:val="24"/>
          <w:szCs w:val="24"/>
        </w:rPr>
        <w:t>t</w:t>
      </w:r>
      <w:r w:rsidRPr="00475658">
        <w:rPr>
          <w:rFonts w:ascii="Cambria" w:hAnsi="Cambria"/>
          <w:sz w:val="24"/>
          <w:szCs w:val="24"/>
        </w:rPr>
        <w:t xml:space="preserve">eacher </w:t>
      </w:r>
      <w:r>
        <w:rPr>
          <w:rFonts w:ascii="Cambria" w:hAnsi="Cambria"/>
          <w:sz w:val="24"/>
          <w:szCs w:val="24"/>
        </w:rPr>
        <w:t>k</w:t>
      </w:r>
      <w:r w:rsidRPr="00475658">
        <w:rPr>
          <w:rFonts w:ascii="Cambria" w:hAnsi="Cambria"/>
          <w:sz w:val="24"/>
          <w:szCs w:val="24"/>
        </w:rPr>
        <w:t xml:space="preserve">nowledge. </w:t>
      </w:r>
      <w:r w:rsidRPr="00475658">
        <w:rPr>
          <w:rFonts w:ascii="Cambria" w:hAnsi="Cambria"/>
          <w:i/>
          <w:iCs/>
          <w:sz w:val="24"/>
          <w:szCs w:val="24"/>
        </w:rPr>
        <w:t>Teachers College Record</w:t>
      </w:r>
      <w:r w:rsidRPr="00475658">
        <w:rPr>
          <w:rFonts w:ascii="Cambria" w:hAnsi="Cambria"/>
          <w:sz w:val="24"/>
          <w:szCs w:val="24"/>
        </w:rPr>
        <w:t xml:space="preserve">, </w:t>
      </w:r>
      <w:r w:rsidRPr="00475658">
        <w:rPr>
          <w:rFonts w:ascii="Cambria" w:hAnsi="Cambria"/>
          <w:i/>
          <w:iCs/>
          <w:sz w:val="24"/>
          <w:szCs w:val="24"/>
        </w:rPr>
        <w:t>108</w:t>
      </w:r>
      <w:r w:rsidRPr="00475658">
        <w:rPr>
          <w:rFonts w:ascii="Cambria" w:hAnsi="Cambria"/>
          <w:sz w:val="24"/>
          <w:szCs w:val="24"/>
        </w:rPr>
        <w:t>(6), 1017–1054.</w:t>
      </w:r>
    </w:p>
    <w:p w14:paraId="0ED52C00" w14:textId="1643D9EF" w:rsidR="00EB7D45"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Palinkas, L. A., Aarons, G. A., Horwitz, S., Chamberlain, P., Hurlburt, M., &amp; Landsverk, J. (2011). Mixed method designs in implementation research. </w:t>
      </w:r>
      <w:r w:rsidRPr="00475658">
        <w:rPr>
          <w:rFonts w:ascii="Cambria" w:hAnsi="Cambria"/>
          <w:i/>
          <w:iCs/>
          <w:sz w:val="24"/>
          <w:szCs w:val="24"/>
        </w:rPr>
        <w:t>Administration and Policy in Mental Health and Mental Health Services Research</w:t>
      </w:r>
      <w:r w:rsidRPr="00475658">
        <w:rPr>
          <w:rFonts w:ascii="Cambria" w:hAnsi="Cambria"/>
          <w:sz w:val="24"/>
          <w:szCs w:val="24"/>
        </w:rPr>
        <w:t xml:space="preserve">, </w:t>
      </w:r>
      <w:r w:rsidRPr="00475658">
        <w:rPr>
          <w:rFonts w:ascii="Cambria" w:hAnsi="Cambria"/>
          <w:i/>
          <w:iCs/>
          <w:sz w:val="24"/>
          <w:szCs w:val="24"/>
        </w:rPr>
        <w:t>38</w:t>
      </w:r>
      <w:r w:rsidRPr="00475658">
        <w:rPr>
          <w:rFonts w:ascii="Cambria" w:hAnsi="Cambria"/>
          <w:sz w:val="24"/>
          <w:szCs w:val="24"/>
        </w:rPr>
        <w:t xml:space="preserve">(1), 44–53. </w:t>
      </w:r>
      <w:hyperlink r:id="rId13" w:history="1">
        <w:r w:rsidR="00C754B5" w:rsidRPr="006B7858">
          <w:rPr>
            <w:rStyle w:val="Hyperlink"/>
            <w:rFonts w:ascii="Cambria" w:hAnsi="Cambria"/>
            <w:sz w:val="24"/>
            <w:szCs w:val="24"/>
          </w:rPr>
          <w:t>https://doi.org/10.1007/s10488-010-0314-z</w:t>
        </w:r>
      </w:hyperlink>
    </w:p>
    <w:p w14:paraId="440C69A2" w14:textId="6B3B0509" w:rsidR="00C754B5" w:rsidRPr="00475658" w:rsidRDefault="00C754B5" w:rsidP="00C754B5">
      <w:pPr>
        <w:spacing w:before="240" w:after="360"/>
        <w:ind w:left="709" w:hanging="709"/>
        <w:rPr>
          <w:rFonts w:ascii="Cambria" w:hAnsi="Cambria"/>
          <w:sz w:val="24"/>
          <w:szCs w:val="24"/>
        </w:rPr>
      </w:pPr>
      <w:r w:rsidRPr="00DE7C6D">
        <w:rPr>
          <w:rFonts w:ascii="Cambria" w:hAnsi="Cambria"/>
          <w:sz w:val="24"/>
          <w:szCs w:val="24"/>
          <w:lang w:val="es-US"/>
        </w:rPr>
        <w:t xml:space="preserve">Priestley, M., </w:t>
      </w:r>
      <w:proofErr w:type="spellStart"/>
      <w:r w:rsidRPr="00DE7C6D">
        <w:rPr>
          <w:rFonts w:ascii="Cambria" w:hAnsi="Cambria"/>
          <w:sz w:val="24"/>
          <w:szCs w:val="24"/>
          <w:lang w:val="es-US"/>
        </w:rPr>
        <w:t>Biesta</w:t>
      </w:r>
      <w:proofErr w:type="spellEnd"/>
      <w:r w:rsidRPr="00DE7C6D">
        <w:rPr>
          <w:rFonts w:ascii="Cambria" w:hAnsi="Cambria"/>
          <w:sz w:val="24"/>
          <w:szCs w:val="24"/>
          <w:lang w:val="es-US"/>
        </w:rPr>
        <w:t xml:space="preserve">, G.J.J., </w:t>
      </w:r>
      <w:proofErr w:type="spellStart"/>
      <w:r w:rsidRPr="00DE7C6D">
        <w:rPr>
          <w:rFonts w:ascii="Cambria" w:hAnsi="Cambria"/>
          <w:sz w:val="24"/>
          <w:szCs w:val="24"/>
          <w:lang w:val="es-US"/>
        </w:rPr>
        <w:t>Philippou</w:t>
      </w:r>
      <w:proofErr w:type="spellEnd"/>
      <w:r w:rsidRPr="00DE7C6D">
        <w:rPr>
          <w:rFonts w:ascii="Cambria" w:hAnsi="Cambria"/>
          <w:sz w:val="24"/>
          <w:szCs w:val="24"/>
          <w:lang w:val="es-US"/>
        </w:rPr>
        <w:t xml:space="preserve">, S. &amp; Robinson, S. (2015). </w:t>
      </w:r>
      <w:r w:rsidRPr="00C754B5">
        <w:rPr>
          <w:rFonts w:ascii="Cambria" w:hAnsi="Cambria"/>
          <w:i/>
          <w:iCs/>
          <w:sz w:val="24"/>
          <w:szCs w:val="24"/>
        </w:rPr>
        <w:t xml:space="preserve">The Teacher </w:t>
      </w:r>
      <w:r w:rsidR="005F3431">
        <w:rPr>
          <w:rFonts w:ascii="Cambria" w:hAnsi="Cambria"/>
          <w:i/>
          <w:iCs/>
          <w:sz w:val="24"/>
          <w:szCs w:val="24"/>
        </w:rPr>
        <w:t>a</w:t>
      </w:r>
      <w:r w:rsidRPr="00C754B5">
        <w:rPr>
          <w:rFonts w:ascii="Cambria" w:hAnsi="Cambria"/>
          <w:i/>
          <w:iCs/>
          <w:sz w:val="24"/>
          <w:szCs w:val="24"/>
        </w:rPr>
        <w:t>nd The Curriculum: Exploring Teacher Agency</w:t>
      </w:r>
      <w:r w:rsidRPr="00475658">
        <w:rPr>
          <w:rFonts w:ascii="Cambria" w:hAnsi="Cambria"/>
          <w:sz w:val="24"/>
          <w:szCs w:val="24"/>
        </w:rPr>
        <w:t>. In D. Wyse, L. Hayward &amp; J. Pandya (Eds.), The SAGE Handbook of Curriculum, Pedagogy and Assessment. London: SAGE Publications Ltd</w:t>
      </w:r>
    </w:p>
    <w:p w14:paraId="62C598C1" w14:textId="7C93D35B" w:rsidR="00C754B5" w:rsidRPr="00475658" w:rsidRDefault="00C754B5" w:rsidP="00C754B5">
      <w:pPr>
        <w:spacing w:before="240" w:after="360"/>
        <w:ind w:left="709" w:hanging="709"/>
        <w:rPr>
          <w:rFonts w:ascii="Cambria" w:hAnsi="Cambria"/>
          <w:sz w:val="24"/>
          <w:szCs w:val="24"/>
        </w:rPr>
      </w:pPr>
      <w:r w:rsidRPr="00475658">
        <w:rPr>
          <w:rFonts w:ascii="Cambria" w:hAnsi="Cambria"/>
          <w:sz w:val="24"/>
          <w:szCs w:val="24"/>
        </w:rPr>
        <w:t xml:space="preserve">Priestley, M., Edwards, R., Priestley, A., &amp; Miller, K. (2012). Teacher </w:t>
      </w:r>
      <w:r>
        <w:rPr>
          <w:rFonts w:ascii="Cambria" w:hAnsi="Cambria"/>
          <w:sz w:val="24"/>
          <w:szCs w:val="24"/>
        </w:rPr>
        <w:t>a</w:t>
      </w:r>
      <w:r w:rsidRPr="00475658">
        <w:rPr>
          <w:rFonts w:ascii="Cambria" w:hAnsi="Cambria"/>
          <w:sz w:val="24"/>
          <w:szCs w:val="24"/>
        </w:rPr>
        <w:t xml:space="preserve">gency in </w:t>
      </w:r>
      <w:r>
        <w:rPr>
          <w:rFonts w:ascii="Cambria" w:hAnsi="Cambria"/>
          <w:sz w:val="24"/>
          <w:szCs w:val="24"/>
        </w:rPr>
        <w:t>c</w:t>
      </w:r>
      <w:r w:rsidRPr="00475658">
        <w:rPr>
          <w:rFonts w:ascii="Cambria" w:hAnsi="Cambria"/>
          <w:sz w:val="24"/>
          <w:szCs w:val="24"/>
        </w:rPr>
        <w:t xml:space="preserve">urriculum </w:t>
      </w:r>
      <w:r>
        <w:rPr>
          <w:rFonts w:ascii="Cambria" w:hAnsi="Cambria"/>
          <w:sz w:val="24"/>
          <w:szCs w:val="24"/>
        </w:rPr>
        <w:t>m</w:t>
      </w:r>
      <w:r w:rsidRPr="00475658">
        <w:rPr>
          <w:rFonts w:ascii="Cambria" w:hAnsi="Cambria"/>
          <w:sz w:val="24"/>
          <w:szCs w:val="24"/>
        </w:rPr>
        <w:t xml:space="preserve">aking: Agents of </w:t>
      </w:r>
      <w:r>
        <w:rPr>
          <w:rFonts w:ascii="Cambria" w:hAnsi="Cambria"/>
          <w:sz w:val="24"/>
          <w:szCs w:val="24"/>
        </w:rPr>
        <w:t>c</w:t>
      </w:r>
      <w:r w:rsidRPr="00475658">
        <w:rPr>
          <w:rFonts w:ascii="Cambria" w:hAnsi="Cambria"/>
          <w:sz w:val="24"/>
          <w:szCs w:val="24"/>
        </w:rPr>
        <w:t xml:space="preserve">hange and </w:t>
      </w:r>
      <w:r>
        <w:rPr>
          <w:rFonts w:ascii="Cambria" w:hAnsi="Cambria"/>
          <w:sz w:val="24"/>
          <w:szCs w:val="24"/>
        </w:rPr>
        <w:t>s</w:t>
      </w:r>
      <w:r w:rsidRPr="00475658">
        <w:rPr>
          <w:rFonts w:ascii="Cambria" w:hAnsi="Cambria"/>
          <w:sz w:val="24"/>
          <w:szCs w:val="24"/>
        </w:rPr>
        <w:t xml:space="preserve">paces for </w:t>
      </w:r>
      <w:r>
        <w:rPr>
          <w:rFonts w:ascii="Cambria" w:hAnsi="Cambria"/>
          <w:sz w:val="24"/>
          <w:szCs w:val="24"/>
        </w:rPr>
        <w:t>m</w:t>
      </w:r>
      <w:r w:rsidRPr="00475658">
        <w:rPr>
          <w:rFonts w:ascii="Cambria" w:hAnsi="Cambria"/>
          <w:sz w:val="24"/>
          <w:szCs w:val="24"/>
        </w:rPr>
        <w:t xml:space="preserve">anoeuvre. </w:t>
      </w:r>
      <w:r w:rsidRPr="00C754B5">
        <w:rPr>
          <w:rFonts w:ascii="Cambria" w:hAnsi="Cambria"/>
          <w:i/>
          <w:iCs/>
          <w:sz w:val="24"/>
          <w:szCs w:val="24"/>
        </w:rPr>
        <w:t>Curriculum Inquiry, 42</w:t>
      </w:r>
      <w:r w:rsidRPr="00475658">
        <w:rPr>
          <w:rFonts w:ascii="Cambria" w:hAnsi="Cambria"/>
          <w:sz w:val="24"/>
          <w:szCs w:val="24"/>
        </w:rPr>
        <w:t>(2), 191–214. https://doi.org/10.1111/j.1467-873X.2012.00588.x</w:t>
      </w:r>
    </w:p>
    <w:p w14:paraId="2C660A47" w14:textId="4E204504"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Smart, A., Sinclair, M., </w:t>
      </w:r>
      <w:proofErr w:type="spellStart"/>
      <w:r w:rsidRPr="00475658">
        <w:rPr>
          <w:rFonts w:ascii="Cambria" w:hAnsi="Cambria"/>
          <w:sz w:val="24"/>
          <w:szCs w:val="24"/>
        </w:rPr>
        <w:t>Benavot</w:t>
      </w:r>
      <w:proofErr w:type="spellEnd"/>
      <w:r w:rsidRPr="00475658">
        <w:rPr>
          <w:rFonts w:ascii="Cambria" w:hAnsi="Cambria"/>
          <w:sz w:val="24"/>
          <w:szCs w:val="24"/>
        </w:rPr>
        <w:t xml:space="preserve">, A., Bernard, J., </w:t>
      </w:r>
      <w:proofErr w:type="spellStart"/>
      <w:r w:rsidRPr="00475658">
        <w:rPr>
          <w:rFonts w:ascii="Cambria" w:hAnsi="Cambria"/>
          <w:sz w:val="24"/>
          <w:szCs w:val="24"/>
        </w:rPr>
        <w:t>Chabbott</w:t>
      </w:r>
      <w:proofErr w:type="spellEnd"/>
      <w:r w:rsidRPr="00475658">
        <w:rPr>
          <w:rFonts w:ascii="Cambria" w:hAnsi="Cambria"/>
          <w:sz w:val="24"/>
          <w:szCs w:val="24"/>
        </w:rPr>
        <w:t xml:space="preserve">, C., Russel, S. G., &amp; Williams, J. (2020). Learning for uncertain futures: the role of textbooks, curriculum, and pedagogy. </w:t>
      </w:r>
      <w:r w:rsidRPr="00475658">
        <w:rPr>
          <w:rFonts w:ascii="Cambria" w:hAnsi="Cambria"/>
          <w:i/>
          <w:iCs/>
          <w:sz w:val="24"/>
          <w:szCs w:val="24"/>
        </w:rPr>
        <w:t xml:space="preserve">Background Paper for the Futures of Education Initiative. Commissioned by UNESCO, </w:t>
      </w:r>
      <w:r w:rsidRPr="00475658">
        <w:rPr>
          <w:rFonts w:ascii="Cambria" w:hAnsi="Cambria"/>
          <w:sz w:val="24"/>
          <w:szCs w:val="24"/>
        </w:rPr>
        <w:t>1–18.</w:t>
      </w:r>
    </w:p>
    <w:p w14:paraId="61A5155D" w14:textId="77777777" w:rsidR="00EB7D45" w:rsidRPr="00475658" w:rsidRDefault="00EB7D45" w:rsidP="00EB7D45">
      <w:pPr>
        <w:spacing w:before="240" w:after="360"/>
        <w:ind w:left="709" w:hanging="709"/>
        <w:rPr>
          <w:rFonts w:ascii="Cambria" w:hAnsi="Cambria"/>
          <w:sz w:val="24"/>
          <w:szCs w:val="24"/>
        </w:rPr>
      </w:pPr>
      <w:r w:rsidRPr="00475658">
        <w:rPr>
          <w:rFonts w:ascii="Cambria" w:hAnsi="Cambria"/>
          <w:sz w:val="24"/>
          <w:szCs w:val="24"/>
        </w:rPr>
        <w:t xml:space="preserve">Tomlinson, B. (2012). Materials development for language learning and teaching. </w:t>
      </w:r>
      <w:r w:rsidRPr="00475658">
        <w:rPr>
          <w:rFonts w:ascii="Cambria" w:hAnsi="Cambria"/>
          <w:i/>
          <w:iCs/>
          <w:sz w:val="24"/>
          <w:szCs w:val="24"/>
        </w:rPr>
        <w:t>Language Teaching,</w:t>
      </w:r>
      <w:r w:rsidRPr="00475658">
        <w:rPr>
          <w:rFonts w:ascii="Cambria" w:hAnsi="Cambria"/>
          <w:sz w:val="24"/>
          <w:szCs w:val="24"/>
        </w:rPr>
        <w:t xml:space="preserve"> </w:t>
      </w:r>
      <w:r w:rsidRPr="00475658">
        <w:rPr>
          <w:rFonts w:ascii="Cambria" w:hAnsi="Cambria"/>
          <w:i/>
          <w:iCs/>
          <w:sz w:val="24"/>
          <w:szCs w:val="24"/>
        </w:rPr>
        <w:t>45</w:t>
      </w:r>
      <w:r w:rsidRPr="00475658">
        <w:rPr>
          <w:rFonts w:ascii="Cambria" w:hAnsi="Cambria"/>
          <w:sz w:val="24"/>
          <w:szCs w:val="24"/>
        </w:rPr>
        <w:t>(2), 143–179. https://doi.org/10.1017/S0261444811000528</w:t>
      </w:r>
    </w:p>
    <w:p w14:paraId="15318D3E" w14:textId="6DA6497E"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Vande</w:t>
      </w:r>
      <w:proofErr w:type="spellEnd"/>
      <w:r w:rsidRPr="00475658">
        <w:rPr>
          <w:rFonts w:ascii="Cambria" w:hAnsi="Cambria"/>
          <w:sz w:val="24"/>
          <w:szCs w:val="24"/>
        </w:rPr>
        <w:t xml:space="preserve"> </w:t>
      </w:r>
      <w:proofErr w:type="spellStart"/>
      <w:r w:rsidRPr="00475658">
        <w:rPr>
          <w:rFonts w:ascii="Cambria" w:hAnsi="Cambria"/>
          <w:sz w:val="24"/>
          <w:szCs w:val="24"/>
        </w:rPr>
        <w:t>Corput</w:t>
      </w:r>
      <w:proofErr w:type="spellEnd"/>
      <w:r w:rsidRPr="00475658">
        <w:rPr>
          <w:rFonts w:ascii="Cambria" w:hAnsi="Cambria"/>
          <w:sz w:val="24"/>
          <w:szCs w:val="24"/>
        </w:rPr>
        <w:t xml:space="preserve">, A. (2012). Teaching to the </w:t>
      </w:r>
      <w:r w:rsidR="00C754B5">
        <w:rPr>
          <w:rFonts w:ascii="Cambria" w:hAnsi="Cambria"/>
          <w:sz w:val="24"/>
          <w:szCs w:val="24"/>
        </w:rPr>
        <w:t>t</w:t>
      </w:r>
      <w:r w:rsidRPr="00475658">
        <w:rPr>
          <w:rFonts w:ascii="Cambria" w:hAnsi="Cambria"/>
          <w:sz w:val="24"/>
          <w:szCs w:val="24"/>
        </w:rPr>
        <w:t xml:space="preserve">est: How </w:t>
      </w:r>
      <w:r w:rsidR="00C754B5">
        <w:rPr>
          <w:rFonts w:ascii="Cambria" w:hAnsi="Cambria"/>
          <w:sz w:val="24"/>
          <w:szCs w:val="24"/>
        </w:rPr>
        <w:t>f</w:t>
      </w:r>
      <w:r w:rsidRPr="00475658">
        <w:rPr>
          <w:rFonts w:ascii="Cambria" w:hAnsi="Cambria"/>
          <w:sz w:val="24"/>
          <w:szCs w:val="24"/>
        </w:rPr>
        <w:t xml:space="preserve">ederal </w:t>
      </w:r>
      <w:r w:rsidR="00C754B5">
        <w:rPr>
          <w:rFonts w:ascii="Cambria" w:hAnsi="Cambria"/>
          <w:sz w:val="24"/>
          <w:szCs w:val="24"/>
        </w:rPr>
        <w:t>m</w:t>
      </w:r>
      <w:r w:rsidRPr="00475658">
        <w:rPr>
          <w:rFonts w:ascii="Cambria" w:hAnsi="Cambria"/>
          <w:sz w:val="24"/>
          <w:szCs w:val="24"/>
        </w:rPr>
        <w:t xml:space="preserve">andates </w:t>
      </w:r>
      <w:r w:rsidR="00C754B5">
        <w:rPr>
          <w:rFonts w:ascii="Cambria" w:hAnsi="Cambria"/>
          <w:sz w:val="24"/>
          <w:szCs w:val="24"/>
        </w:rPr>
        <w:t>a</w:t>
      </w:r>
      <w:r w:rsidRPr="00475658">
        <w:rPr>
          <w:rFonts w:ascii="Cambria" w:hAnsi="Cambria"/>
          <w:sz w:val="24"/>
          <w:szCs w:val="24"/>
        </w:rPr>
        <w:t xml:space="preserve">ffect </w:t>
      </w:r>
      <w:r w:rsidR="00C754B5">
        <w:rPr>
          <w:rFonts w:ascii="Cambria" w:hAnsi="Cambria"/>
          <w:sz w:val="24"/>
          <w:szCs w:val="24"/>
        </w:rPr>
        <w:t>e</w:t>
      </w:r>
      <w:r w:rsidRPr="00475658">
        <w:rPr>
          <w:rFonts w:ascii="Cambria" w:hAnsi="Cambria"/>
          <w:sz w:val="24"/>
          <w:szCs w:val="24"/>
        </w:rPr>
        <w:t xml:space="preserve">lementary </w:t>
      </w:r>
      <w:r w:rsidR="00C754B5">
        <w:rPr>
          <w:rFonts w:ascii="Cambria" w:hAnsi="Cambria"/>
          <w:sz w:val="24"/>
          <w:szCs w:val="24"/>
        </w:rPr>
        <w:t>e</w:t>
      </w:r>
      <w:r w:rsidRPr="00475658">
        <w:rPr>
          <w:rFonts w:ascii="Cambria" w:hAnsi="Cambria"/>
          <w:sz w:val="24"/>
          <w:szCs w:val="24"/>
        </w:rPr>
        <w:t xml:space="preserve">ducators’ </w:t>
      </w:r>
      <w:r w:rsidR="00C754B5">
        <w:rPr>
          <w:rFonts w:ascii="Cambria" w:hAnsi="Cambria"/>
          <w:sz w:val="24"/>
          <w:szCs w:val="24"/>
        </w:rPr>
        <w:t>t</w:t>
      </w:r>
      <w:r w:rsidRPr="00475658">
        <w:rPr>
          <w:rFonts w:ascii="Cambria" w:hAnsi="Cambria"/>
          <w:sz w:val="24"/>
          <w:szCs w:val="24"/>
        </w:rPr>
        <w:t xml:space="preserve">eaching </w:t>
      </w:r>
      <w:r w:rsidR="00C754B5">
        <w:rPr>
          <w:rFonts w:ascii="Cambria" w:hAnsi="Cambria"/>
          <w:sz w:val="24"/>
          <w:szCs w:val="24"/>
        </w:rPr>
        <w:t>s</w:t>
      </w:r>
      <w:r w:rsidRPr="00475658">
        <w:rPr>
          <w:rFonts w:ascii="Cambria" w:hAnsi="Cambria"/>
          <w:sz w:val="24"/>
          <w:szCs w:val="24"/>
        </w:rPr>
        <w:t xml:space="preserve">tyles. </w:t>
      </w:r>
      <w:r w:rsidRPr="00475658">
        <w:rPr>
          <w:rFonts w:ascii="Cambria" w:hAnsi="Cambria"/>
          <w:i/>
          <w:iCs/>
          <w:sz w:val="24"/>
          <w:szCs w:val="24"/>
        </w:rPr>
        <w:t>Kennesaw Journal of Undergraduate Research</w:t>
      </w:r>
      <w:r w:rsidRPr="00475658">
        <w:rPr>
          <w:rFonts w:ascii="Cambria" w:hAnsi="Cambria"/>
          <w:sz w:val="24"/>
          <w:szCs w:val="24"/>
        </w:rPr>
        <w:t xml:space="preserve">, </w:t>
      </w:r>
      <w:r w:rsidRPr="00475658">
        <w:rPr>
          <w:rFonts w:ascii="Cambria" w:hAnsi="Cambria"/>
          <w:i/>
          <w:iCs/>
          <w:sz w:val="24"/>
          <w:szCs w:val="24"/>
        </w:rPr>
        <w:t>2</w:t>
      </w:r>
      <w:r w:rsidRPr="00475658">
        <w:rPr>
          <w:rFonts w:ascii="Cambria" w:hAnsi="Cambria"/>
          <w:sz w:val="24"/>
          <w:szCs w:val="24"/>
        </w:rPr>
        <w:t>(1). https://doi.org/10.32727/25.2019.6</w:t>
      </w:r>
    </w:p>
    <w:p w14:paraId="2904520D" w14:textId="38EB6E11" w:rsidR="00EB7D45" w:rsidRPr="00475658" w:rsidRDefault="00EB7D45" w:rsidP="00EB7D45">
      <w:pPr>
        <w:spacing w:before="240" w:after="360"/>
        <w:ind w:left="709" w:hanging="709"/>
        <w:rPr>
          <w:rFonts w:ascii="Cambria" w:hAnsi="Cambria"/>
          <w:sz w:val="24"/>
          <w:szCs w:val="24"/>
        </w:rPr>
      </w:pPr>
      <w:proofErr w:type="spellStart"/>
      <w:r w:rsidRPr="00475658">
        <w:rPr>
          <w:rFonts w:ascii="Cambria" w:hAnsi="Cambria"/>
          <w:sz w:val="24"/>
          <w:szCs w:val="24"/>
        </w:rPr>
        <w:t>Vanisree</w:t>
      </w:r>
      <w:proofErr w:type="spellEnd"/>
      <w:r w:rsidRPr="00475658">
        <w:rPr>
          <w:rFonts w:ascii="Cambria" w:hAnsi="Cambria"/>
          <w:sz w:val="24"/>
          <w:szCs w:val="24"/>
        </w:rPr>
        <w:t xml:space="preserve">, M., </w:t>
      </w:r>
      <w:proofErr w:type="spellStart"/>
      <w:r w:rsidRPr="00475658">
        <w:rPr>
          <w:rFonts w:ascii="Cambria" w:hAnsi="Cambria"/>
          <w:sz w:val="24"/>
          <w:szCs w:val="24"/>
        </w:rPr>
        <w:t>Mahitha</w:t>
      </w:r>
      <w:proofErr w:type="spellEnd"/>
      <w:r w:rsidRPr="00475658">
        <w:rPr>
          <w:rFonts w:ascii="Cambria" w:hAnsi="Cambria"/>
          <w:sz w:val="24"/>
          <w:szCs w:val="24"/>
        </w:rPr>
        <w:t xml:space="preserve">, V., &amp; Prasanna, S. S. L. (2024). Innovative </w:t>
      </w:r>
      <w:r w:rsidR="00C754B5">
        <w:rPr>
          <w:rFonts w:ascii="Cambria" w:hAnsi="Cambria"/>
          <w:sz w:val="24"/>
          <w:szCs w:val="24"/>
        </w:rPr>
        <w:t>a</w:t>
      </w:r>
      <w:r w:rsidRPr="00475658">
        <w:rPr>
          <w:rFonts w:ascii="Cambria" w:hAnsi="Cambria"/>
          <w:sz w:val="24"/>
          <w:szCs w:val="24"/>
        </w:rPr>
        <w:t xml:space="preserve">pproaches to LSRW </w:t>
      </w:r>
      <w:r w:rsidR="00C754B5">
        <w:rPr>
          <w:rFonts w:ascii="Cambria" w:hAnsi="Cambria"/>
          <w:sz w:val="24"/>
          <w:szCs w:val="24"/>
        </w:rPr>
        <w:t>s</w:t>
      </w:r>
      <w:r w:rsidRPr="00475658">
        <w:rPr>
          <w:rFonts w:ascii="Cambria" w:hAnsi="Cambria"/>
          <w:sz w:val="24"/>
          <w:szCs w:val="24"/>
        </w:rPr>
        <w:t xml:space="preserve">kills </w:t>
      </w:r>
      <w:r w:rsidR="00C754B5">
        <w:rPr>
          <w:rFonts w:ascii="Cambria" w:hAnsi="Cambria"/>
          <w:sz w:val="24"/>
          <w:szCs w:val="24"/>
        </w:rPr>
        <w:t>d</w:t>
      </w:r>
      <w:r w:rsidRPr="00475658">
        <w:rPr>
          <w:rFonts w:ascii="Cambria" w:hAnsi="Cambria"/>
          <w:sz w:val="24"/>
          <w:szCs w:val="24"/>
        </w:rPr>
        <w:t xml:space="preserve">evelopment </w:t>
      </w:r>
      <w:r w:rsidR="00C754B5">
        <w:rPr>
          <w:rFonts w:ascii="Cambria" w:hAnsi="Cambria"/>
          <w:sz w:val="24"/>
          <w:szCs w:val="24"/>
        </w:rPr>
        <w:t>u</w:t>
      </w:r>
      <w:r w:rsidRPr="00475658">
        <w:rPr>
          <w:rFonts w:ascii="Cambria" w:hAnsi="Cambria"/>
          <w:sz w:val="24"/>
          <w:szCs w:val="24"/>
        </w:rPr>
        <w:t xml:space="preserve">sing </w:t>
      </w:r>
      <w:r w:rsidR="00C754B5">
        <w:rPr>
          <w:rFonts w:ascii="Cambria" w:hAnsi="Cambria"/>
          <w:sz w:val="24"/>
          <w:szCs w:val="24"/>
        </w:rPr>
        <w:t>p</w:t>
      </w:r>
      <w:r w:rsidRPr="00475658">
        <w:rPr>
          <w:rFonts w:ascii="Cambria" w:hAnsi="Cambria"/>
          <w:sz w:val="24"/>
          <w:szCs w:val="24"/>
        </w:rPr>
        <w:t>ower</w:t>
      </w:r>
      <w:r w:rsidR="00C754B5">
        <w:rPr>
          <w:rFonts w:ascii="Cambria" w:hAnsi="Cambria"/>
          <w:sz w:val="24"/>
          <w:szCs w:val="24"/>
        </w:rPr>
        <w:t xml:space="preserve"> p</w:t>
      </w:r>
      <w:r w:rsidRPr="00475658">
        <w:rPr>
          <w:rFonts w:ascii="Cambria" w:hAnsi="Cambria"/>
          <w:sz w:val="24"/>
          <w:szCs w:val="24"/>
        </w:rPr>
        <w:t xml:space="preserve">oint </w:t>
      </w:r>
      <w:r w:rsidR="00C754B5">
        <w:rPr>
          <w:rFonts w:ascii="Cambria" w:hAnsi="Cambria"/>
          <w:sz w:val="24"/>
          <w:szCs w:val="24"/>
        </w:rPr>
        <w:t>p</w:t>
      </w:r>
      <w:r w:rsidRPr="00475658">
        <w:rPr>
          <w:rFonts w:ascii="Cambria" w:hAnsi="Cambria"/>
          <w:sz w:val="24"/>
          <w:szCs w:val="24"/>
        </w:rPr>
        <w:t xml:space="preserve">resentations: A Review. </w:t>
      </w:r>
      <w:r w:rsidRPr="00475658">
        <w:rPr>
          <w:rFonts w:ascii="Cambria" w:hAnsi="Cambria"/>
          <w:i/>
          <w:iCs/>
          <w:sz w:val="24"/>
          <w:szCs w:val="24"/>
        </w:rPr>
        <w:t>Integrated Journal for Research in Arts and Humanities</w:t>
      </w:r>
      <w:r w:rsidRPr="00475658">
        <w:rPr>
          <w:rFonts w:ascii="Cambria" w:hAnsi="Cambria"/>
          <w:sz w:val="24"/>
          <w:szCs w:val="24"/>
        </w:rPr>
        <w:t xml:space="preserve">, </w:t>
      </w:r>
      <w:r w:rsidRPr="00475658">
        <w:rPr>
          <w:rFonts w:ascii="Cambria" w:hAnsi="Cambria"/>
          <w:i/>
          <w:iCs/>
          <w:sz w:val="24"/>
          <w:szCs w:val="24"/>
        </w:rPr>
        <w:t>4</w:t>
      </w:r>
      <w:r w:rsidRPr="00475658">
        <w:rPr>
          <w:rFonts w:ascii="Cambria" w:hAnsi="Cambria"/>
          <w:sz w:val="24"/>
          <w:szCs w:val="24"/>
        </w:rPr>
        <w:t xml:space="preserve">(3), 186–190. </w:t>
      </w:r>
      <w:hyperlink r:id="rId14" w:history="1">
        <w:r w:rsidR="00CA5486" w:rsidRPr="00475658">
          <w:rPr>
            <w:rStyle w:val="Hyperlink"/>
            <w:rFonts w:ascii="Cambria" w:hAnsi="Cambria"/>
            <w:sz w:val="24"/>
            <w:szCs w:val="24"/>
          </w:rPr>
          <w:t>https://doi.org/10.55544/ijrah.4.1.27</w:t>
        </w:r>
      </w:hyperlink>
    </w:p>
    <w:p w14:paraId="7012EDF2" w14:textId="15E1B483" w:rsidR="00CA5486" w:rsidRPr="00EB7D45" w:rsidRDefault="00CA5486" w:rsidP="00EB7D45">
      <w:pPr>
        <w:spacing w:before="240" w:after="360"/>
        <w:ind w:left="709" w:hanging="709"/>
        <w:rPr>
          <w:rFonts w:ascii="Cambria" w:hAnsi="Cambria"/>
          <w:sz w:val="24"/>
          <w:szCs w:val="24"/>
        </w:rPr>
      </w:pPr>
      <w:proofErr w:type="spellStart"/>
      <w:r w:rsidRPr="00475658">
        <w:rPr>
          <w:rFonts w:ascii="Cambria" w:hAnsi="Cambria"/>
          <w:sz w:val="24"/>
          <w:szCs w:val="24"/>
        </w:rPr>
        <w:t>Voogt</w:t>
      </w:r>
      <w:proofErr w:type="spellEnd"/>
      <w:r w:rsidRPr="00475658">
        <w:rPr>
          <w:rFonts w:ascii="Cambria" w:hAnsi="Cambria"/>
          <w:sz w:val="24"/>
          <w:szCs w:val="24"/>
        </w:rPr>
        <w:t xml:space="preserve">, J., </w:t>
      </w:r>
      <w:proofErr w:type="spellStart"/>
      <w:r w:rsidRPr="00475658">
        <w:rPr>
          <w:rFonts w:ascii="Cambria" w:hAnsi="Cambria"/>
          <w:sz w:val="24"/>
          <w:szCs w:val="24"/>
        </w:rPr>
        <w:t>Erstad</w:t>
      </w:r>
      <w:proofErr w:type="spellEnd"/>
      <w:r w:rsidRPr="00475658">
        <w:rPr>
          <w:rFonts w:ascii="Cambria" w:hAnsi="Cambria"/>
          <w:sz w:val="24"/>
          <w:szCs w:val="24"/>
        </w:rPr>
        <w:t>, O., Dede, C., &amp; Mishra, P. (2013). Challenges to learning and schooling in the digital networked world of the 21st century. </w:t>
      </w:r>
      <w:r w:rsidRPr="00475658">
        <w:rPr>
          <w:rFonts w:ascii="Cambria" w:hAnsi="Cambria"/>
          <w:i/>
          <w:iCs/>
          <w:sz w:val="24"/>
          <w:szCs w:val="24"/>
        </w:rPr>
        <w:t>Journal of Computer Assisted Learning</w:t>
      </w:r>
      <w:r w:rsidRPr="00475658">
        <w:rPr>
          <w:rFonts w:ascii="Cambria" w:hAnsi="Cambria"/>
          <w:sz w:val="24"/>
          <w:szCs w:val="24"/>
        </w:rPr>
        <w:t>, </w:t>
      </w:r>
      <w:r w:rsidRPr="00475658">
        <w:rPr>
          <w:rFonts w:ascii="Cambria" w:hAnsi="Cambria"/>
          <w:i/>
          <w:iCs/>
          <w:sz w:val="24"/>
          <w:szCs w:val="24"/>
        </w:rPr>
        <w:t>29</w:t>
      </w:r>
      <w:r w:rsidRPr="00475658">
        <w:rPr>
          <w:rFonts w:ascii="Cambria" w:hAnsi="Cambria"/>
          <w:sz w:val="24"/>
          <w:szCs w:val="24"/>
        </w:rPr>
        <w:t>(5), 403–413. https://doi.org/10.1111/jcal.12029</w:t>
      </w:r>
    </w:p>
    <w:p w14:paraId="2E02BE0A" w14:textId="013CF749" w:rsidR="00EB7D45" w:rsidRPr="00E45A8E" w:rsidRDefault="00EB7D45" w:rsidP="00EB7D45">
      <w:pPr>
        <w:jc w:val="both"/>
        <w:rPr>
          <w:rFonts w:ascii="Cambria" w:hAnsi="Cambria"/>
          <w:sz w:val="24"/>
          <w:szCs w:val="24"/>
        </w:rPr>
      </w:pPr>
    </w:p>
    <w:sectPr w:rsidR="00EB7D45" w:rsidRPr="00E45A8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123DF" w14:textId="77777777" w:rsidR="005F14A7" w:rsidRDefault="005F14A7" w:rsidP="00F2531E">
      <w:pPr>
        <w:spacing w:after="0" w:line="240" w:lineRule="auto"/>
      </w:pPr>
      <w:r>
        <w:separator/>
      </w:r>
    </w:p>
  </w:endnote>
  <w:endnote w:type="continuationSeparator" w:id="0">
    <w:p w14:paraId="73331ED2" w14:textId="77777777" w:rsidR="005F14A7" w:rsidRDefault="005F14A7" w:rsidP="00F2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EFBDB" w14:textId="77777777" w:rsidR="00F2531E" w:rsidRDefault="00F2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50EB" w14:textId="77777777" w:rsidR="00F2531E" w:rsidRDefault="00F25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3E51" w14:textId="77777777" w:rsidR="00F2531E" w:rsidRDefault="00F2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1DEC8" w14:textId="77777777" w:rsidR="005F14A7" w:rsidRDefault="005F14A7" w:rsidP="00F2531E">
      <w:pPr>
        <w:spacing w:after="0" w:line="240" w:lineRule="auto"/>
      </w:pPr>
      <w:r>
        <w:separator/>
      </w:r>
    </w:p>
  </w:footnote>
  <w:footnote w:type="continuationSeparator" w:id="0">
    <w:p w14:paraId="250B6125" w14:textId="77777777" w:rsidR="005F14A7" w:rsidRDefault="005F14A7" w:rsidP="00F2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7326" w14:textId="4B7FBFAE" w:rsidR="00F2531E" w:rsidRDefault="005F14A7">
    <w:pPr>
      <w:pStyle w:val="Header"/>
    </w:pPr>
    <w:r>
      <w:rPr>
        <w:noProof/>
      </w:rPr>
      <w:pict w14:anchorId="4DD6F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57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4D85" w14:textId="2F743639" w:rsidR="00F2531E" w:rsidRDefault="005F14A7">
    <w:pPr>
      <w:pStyle w:val="Header"/>
    </w:pPr>
    <w:r>
      <w:rPr>
        <w:noProof/>
      </w:rPr>
      <w:pict w14:anchorId="507EE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57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8B2F" w14:textId="40EE8ECC" w:rsidR="00F2531E" w:rsidRDefault="005F14A7">
    <w:pPr>
      <w:pStyle w:val="Header"/>
    </w:pPr>
    <w:r>
      <w:rPr>
        <w:noProof/>
      </w:rPr>
      <w:pict w14:anchorId="68CDF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57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1C2F"/>
    <w:multiLevelType w:val="hybridMultilevel"/>
    <w:tmpl w:val="C27EDAF2"/>
    <w:lvl w:ilvl="0" w:tplc="0BCAC6B0">
      <w:start w:val="1"/>
      <w:numFmt w:val="decimal"/>
      <w:lvlText w:val="%1."/>
      <w:lvlJc w:val="left"/>
      <w:pPr>
        <w:ind w:left="1440" w:hanging="360"/>
      </w:pPr>
      <w:rPr>
        <w:rFonts w:hint="default"/>
        <w:color w:val="2F5496" w:themeColor="accent1" w:themeShade="BF"/>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3C6C3A24"/>
    <w:multiLevelType w:val="hybridMultilevel"/>
    <w:tmpl w:val="87540732"/>
    <w:lvl w:ilvl="0" w:tplc="7EFC22F8">
      <w:start w:val="1"/>
      <w:numFmt w:val="decimal"/>
      <w:lvlText w:val="%1."/>
      <w:lvlJc w:val="left"/>
      <w:pPr>
        <w:ind w:left="360" w:hanging="360"/>
      </w:pPr>
      <w:rPr>
        <w:rFonts w:hint="default"/>
        <w:color w:val="2F5496" w:themeColor="accent1" w:themeShade="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EB1C5A"/>
    <w:multiLevelType w:val="multilevel"/>
    <w:tmpl w:val="D952D52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YzMrM0NDOxMDA0NjVX0lEKTi0uzszPAykwrAUASfrd+iwAAAA="/>
  </w:docVars>
  <w:rsids>
    <w:rsidRoot w:val="00E45A8E"/>
    <w:rsid w:val="00071B41"/>
    <w:rsid w:val="000B0D96"/>
    <w:rsid w:val="00164263"/>
    <w:rsid w:val="00180CCA"/>
    <w:rsid w:val="00265709"/>
    <w:rsid w:val="0028008B"/>
    <w:rsid w:val="002E6035"/>
    <w:rsid w:val="00475658"/>
    <w:rsid w:val="005F14A7"/>
    <w:rsid w:val="005F3431"/>
    <w:rsid w:val="00661689"/>
    <w:rsid w:val="00691941"/>
    <w:rsid w:val="006E5E99"/>
    <w:rsid w:val="00763035"/>
    <w:rsid w:val="007A52DF"/>
    <w:rsid w:val="007E7FEC"/>
    <w:rsid w:val="008D2BAC"/>
    <w:rsid w:val="00925F21"/>
    <w:rsid w:val="0094121F"/>
    <w:rsid w:val="0094359A"/>
    <w:rsid w:val="00A1298B"/>
    <w:rsid w:val="00A84AC7"/>
    <w:rsid w:val="00AC6443"/>
    <w:rsid w:val="00AE0D7D"/>
    <w:rsid w:val="00B33652"/>
    <w:rsid w:val="00B70613"/>
    <w:rsid w:val="00B75C60"/>
    <w:rsid w:val="00B80015"/>
    <w:rsid w:val="00C04617"/>
    <w:rsid w:val="00C105A7"/>
    <w:rsid w:val="00C754B5"/>
    <w:rsid w:val="00CA5486"/>
    <w:rsid w:val="00DE7C6D"/>
    <w:rsid w:val="00DF45A9"/>
    <w:rsid w:val="00E06B78"/>
    <w:rsid w:val="00E45A8E"/>
    <w:rsid w:val="00EB7D45"/>
    <w:rsid w:val="00F2531E"/>
    <w:rsid w:val="00F63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B9678B"/>
  <w15:chartTrackingRefBased/>
  <w15:docId w15:val="{CDA9F75C-9DEF-4AF4-94C4-F471449F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5A9"/>
    <w:pPr>
      <w:keepNext/>
      <w:keepLines/>
      <w:spacing w:after="0" w:line="360" w:lineRule="auto"/>
      <w:outlineLvl w:val="0"/>
    </w:pPr>
    <w:rPr>
      <w:rFonts w:ascii="Cambria" w:eastAsiaTheme="majorEastAsia" w:hAnsi="Cambria" w:cstheme="majorBidi"/>
      <w:b/>
      <w:color w:val="2F5496" w:themeColor="accent1" w:themeShade="BF"/>
      <w:sz w:val="24"/>
      <w:szCs w:val="32"/>
      <w:lang w:val="en-US"/>
    </w:rPr>
  </w:style>
  <w:style w:type="paragraph" w:styleId="Heading2">
    <w:name w:val="heading 2"/>
    <w:basedOn w:val="Normal"/>
    <w:next w:val="Normal"/>
    <w:link w:val="Heading2Char"/>
    <w:uiPriority w:val="9"/>
    <w:unhideWhenUsed/>
    <w:qFormat/>
    <w:rsid w:val="00DF45A9"/>
    <w:pPr>
      <w:keepNext/>
      <w:keepLines/>
      <w:numPr>
        <w:numId w:val="4"/>
      </w:numPr>
      <w:spacing w:after="0" w:line="480" w:lineRule="auto"/>
      <w:ind w:left="357" w:hanging="357"/>
      <w:outlineLvl w:val="1"/>
    </w:pPr>
    <w:rPr>
      <w:rFonts w:ascii="Cambria" w:eastAsia="Arial" w:hAnsi="Cambria" w:cs="Arial"/>
      <w:b/>
      <w:i/>
      <w:color w:val="2F5496" w:themeColor="accent1" w:themeShade="BF"/>
      <w:sz w:val="24"/>
      <w:szCs w:val="32"/>
      <w:lang w:val="en-GB" w:eastAsia="en-AU"/>
    </w:rPr>
  </w:style>
  <w:style w:type="paragraph" w:styleId="Heading3">
    <w:name w:val="heading 3"/>
    <w:basedOn w:val="Normal"/>
    <w:next w:val="Normal"/>
    <w:link w:val="Heading3Char"/>
    <w:uiPriority w:val="9"/>
    <w:unhideWhenUsed/>
    <w:qFormat/>
    <w:rsid w:val="00DF45A9"/>
    <w:pPr>
      <w:keepNext/>
      <w:keepLines/>
      <w:tabs>
        <w:tab w:val="num" w:pos="720"/>
      </w:tabs>
      <w:spacing w:after="0"/>
      <w:ind w:left="360" w:hanging="360"/>
      <w:outlineLvl w:val="2"/>
    </w:pPr>
    <w:rPr>
      <w:rFonts w:ascii="Cambria" w:eastAsiaTheme="majorEastAsia" w:hAnsi="Cambria" w:cstheme="majorBidi"/>
      <w:b/>
      <w:color w:val="1F3763" w:themeColor="accent1" w:themeShade="7F"/>
      <w:sz w:val="24"/>
      <w:szCs w:val="24"/>
      <w:lang w:val="en-US"/>
    </w:rPr>
  </w:style>
  <w:style w:type="paragraph" w:styleId="Heading4">
    <w:name w:val="heading 4"/>
    <w:basedOn w:val="Normal"/>
    <w:next w:val="Normal"/>
    <w:link w:val="Heading4Char"/>
    <w:uiPriority w:val="9"/>
    <w:semiHidden/>
    <w:unhideWhenUsed/>
    <w:qFormat/>
    <w:rsid w:val="00E45A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5A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5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5A9"/>
    <w:rPr>
      <w:rFonts w:ascii="Cambria" w:eastAsiaTheme="majorEastAsia" w:hAnsi="Cambria" w:cstheme="majorBidi"/>
      <w:b/>
      <w:color w:val="2F5496" w:themeColor="accent1" w:themeShade="BF"/>
      <w:sz w:val="24"/>
      <w:szCs w:val="32"/>
      <w:lang w:val="en-US"/>
    </w:rPr>
  </w:style>
  <w:style w:type="character" w:customStyle="1" w:styleId="Heading2Char">
    <w:name w:val="Heading 2 Char"/>
    <w:basedOn w:val="DefaultParagraphFont"/>
    <w:link w:val="Heading2"/>
    <w:uiPriority w:val="9"/>
    <w:rsid w:val="00DF45A9"/>
    <w:rPr>
      <w:rFonts w:ascii="Cambria" w:eastAsia="Arial" w:hAnsi="Cambria" w:cs="Arial"/>
      <w:b/>
      <w:i/>
      <w:color w:val="2F5496" w:themeColor="accent1" w:themeShade="BF"/>
      <w:sz w:val="24"/>
      <w:szCs w:val="32"/>
      <w:lang w:val="en-GB" w:eastAsia="en-AU"/>
    </w:rPr>
  </w:style>
  <w:style w:type="character" w:customStyle="1" w:styleId="Heading3Char">
    <w:name w:val="Heading 3 Char"/>
    <w:basedOn w:val="DefaultParagraphFont"/>
    <w:link w:val="Heading3"/>
    <w:uiPriority w:val="9"/>
    <w:rsid w:val="00DF45A9"/>
    <w:rPr>
      <w:rFonts w:ascii="Cambria" w:eastAsiaTheme="majorEastAsia" w:hAnsi="Cambria" w:cstheme="majorBidi"/>
      <w:b/>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45A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5A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5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A8E"/>
    <w:rPr>
      <w:rFonts w:eastAsiaTheme="majorEastAsia" w:cstheme="majorBidi"/>
      <w:color w:val="272727" w:themeColor="text1" w:themeTint="D8"/>
    </w:rPr>
  </w:style>
  <w:style w:type="paragraph" w:styleId="Title">
    <w:name w:val="Title"/>
    <w:basedOn w:val="Normal"/>
    <w:next w:val="Normal"/>
    <w:link w:val="TitleChar"/>
    <w:uiPriority w:val="10"/>
    <w:qFormat/>
    <w:rsid w:val="00E45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A8E"/>
    <w:pPr>
      <w:spacing w:before="160"/>
      <w:jc w:val="center"/>
    </w:pPr>
    <w:rPr>
      <w:i/>
      <w:iCs/>
      <w:color w:val="404040" w:themeColor="text1" w:themeTint="BF"/>
    </w:rPr>
  </w:style>
  <w:style w:type="character" w:customStyle="1" w:styleId="QuoteChar">
    <w:name w:val="Quote Char"/>
    <w:basedOn w:val="DefaultParagraphFont"/>
    <w:link w:val="Quote"/>
    <w:uiPriority w:val="29"/>
    <w:rsid w:val="00E45A8E"/>
    <w:rPr>
      <w:i/>
      <w:iCs/>
      <w:color w:val="404040" w:themeColor="text1" w:themeTint="BF"/>
    </w:rPr>
  </w:style>
  <w:style w:type="paragraph" w:styleId="ListParagraph">
    <w:name w:val="List Paragraph"/>
    <w:basedOn w:val="Normal"/>
    <w:uiPriority w:val="34"/>
    <w:qFormat/>
    <w:rsid w:val="00E45A8E"/>
    <w:pPr>
      <w:ind w:left="720"/>
      <w:contextualSpacing/>
    </w:pPr>
  </w:style>
  <w:style w:type="character" w:styleId="IntenseEmphasis">
    <w:name w:val="Intense Emphasis"/>
    <w:basedOn w:val="DefaultParagraphFont"/>
    <w:uiPriority w:val="21"/>
    <w:qFormat/>
    <w:rsid w:val="00E45A8E"/>
    <w:rPr>
      <w:i/>
      <w:iCs/>
      <w:color w:val="2F5496" w:themeColor="accent1" w:themeShade="BF"/>
    </w:rPr>
  </w:style>
  <w:style w:type="paragraph" w:styleId="IntenseQuote">
    <w:name w:val="Intense Quote"/>
    <w:basedOn w:val="Normal"/>
    <w:next w:val="Normal"/>
    <w:link w:val="IntenseQuoteChar"/>
    <w:uiPriority w:val="30"/>
    <w:qFormat/>
    <w:rsid w:val="00E45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A8E"/>
    <w:rPr>
      <w:i/>
      <w:iCs/>
      <w:color w:val="2F5496" w:themeColor="accent1" w:themeShade="BF"/>
    </w:rPr>
  </w:style>
  <w:style w:type="character" w:styleId="IntenseReference">
    <w:name w:val="Intense Reference"/>
    <w:basedOn w:val="DefaultParagraphFont"/>
    <w:uiPriority w:val="32"/>
    <w:qFormat/>
    <w:rsid w:val="00E45A8E"/>
    <w:rPr>
      <w:b/>
      <w:bCs/>
      <w:smallCaps/>
      <w:color w:val="2F5496" w:themeColor="accent1" w:themeShade="BF"/>
      <w:spacing w:val="5"/>
    </w:rPr>
  </w:style>
  <w:style w:type="character" w:styleId="Hyperlink">
    <w:name w:val="Hyperlink"/>
    <w:basedOn w:val="DefaultParagraphFont"/>
    <w:uiPriority w:val="99"/>
    <w:unhideWhenUsed/>
    <w:rsid w:val="00CA5486"/>
    <w:rPr>
      <w:color w:val="0563C1" w:themeColor="hyperlink"/>
      <w:u w:val="single"/>
    </w:rPr>
  </w:style>
  <w:style w:type="character" w:styleId="UnresolvedMention">
    <w:name w:val="Unresolved Mention"/>
    <w:basedOn w:val="DefaultParagraphFont"/>
    <w:uiPriority w:val="99"/>
    <w:semiHidden/>
    <w:unhideWhenUsed/>
    <w:rsid w:val="00CA5486"/>
    <w:rPr>
      <w:color w:val="605E5C"/>
      <w:shd w:val="clear" w:color="auto" w:fill="E1DFDD"/>
    </w:rPr>
  </w:style>
  <w:style w:type="paragraph" w:styleId="Header">
    <w:name w:val="header"/>
    <w:basedOn w:val="Normal"/>
    <w:link w:val="HeaderChar"/>
    <w:uiPriority w:val="99"/>
    <w:unhideWhenUsed/>
    <w:rsid w:val="00F25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31E"/>
  </w:style>
  <w:style w:type="paragraph" w:styleId="Footer">
    <w:name w:val="footer"/>
    <w:basedOn w:val="Normal"/>
    <w:link w:val="FooterChar"/>
    <w:uiPriority w:val="99"/>
    <w:unhideWhenUsed/>
    <w:rsid w:val="00F25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2027920240201" TargetMode="External"/><Relationship Id="rId13" Type="http://schemas.openxmlformats.org/officeDocument/2006/relationships/hyperlink" Target="https://doi.org/10.1007/s10488-010-0314-z"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47205/plhr.2022(6-iii)42" TargetMode="External"/><Relationship Id="rId12" Type="http://schemas.openxmlformats.org/officeDocument/2006/relationships/hyperlink" Target="https://doi.org/10.5281/zenodo.1118303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4191/ajue.v18i3.1895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80/15391523.2010.1078255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80/13540602.2015.1044325" TargetMode="External"/><Relationship Id="rId14" Type="http://schemas.openxmlformats.org/officeDocument/2006/relationships/hyperlink" Target="https://doi.org/10.55544/ijrah.4.1.2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14</Pages>
  <Words>6205</Words>
  <Characters>35370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Rini Deddy</dc:creator>
  <cp:keywords/>
  <dc:description/>
  <cp:lastModifiedBy>SDI 1022</cp:lastModifiedBy>
  <cp:revision>21</cp:revision>
  <dcterms:created xsi:type="dcterms:W3CDTF">2026-01-22T05:10:00Z</dcterms:created>
  <dcterms:modified xsi:type="dcterms:W3CDTF">2026-01-30T11:39:00Z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id="YiBLOqaz"/&gt;&lt;style id="http://www.zotero.org/styles/apa" locale="en-AU"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1c08ab41-079c-47b8-8289-56baa77fa5b1</vt:lpwstr>
  </property>
</Properties>
</file>