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18B" w:rsidRPr="002B518B" w:rsidRDefault="002B518B" w:rsidP="008800D8">
      <w:pPr>
        <w:pStyle w:val="Heading1"/>
        <w:rPr>
          <w:sz w:val="44"/>
        </w:rPr>
      </w:pPr>
      <w:r w:rsidRPr="002B518B">
        <w:rPr>
          <w:highlight w:val="yellow"/>
        </w:rPr>
        <w:t>Creating Positive Learning Environments in Higher Education: An Integrative Review of Classroom Management</w:t>
      </w:r>
      <w:r w:rsidRPr="002B518B">
        <w:rPr>
          <w:sz w:val="44"/>
        </w:rPr>
        <w:t xml:space="preserve"> </w:t>
      </w:r>
    </w:p>
    <w:p w:rsidR="00755BDC" w:rsidRDefault="00755BDC" w:rsidP="002B518B">
      <w:pPr>
        <w:pStyle w:val="Heading3"/>
        <w:jc w:val="both"/>
      </w:pPr>
      <w:r>
        <w:t>Abstract</w:t>
      </w:r>
    </w:p>
    <w:p w:rsidR="00755BDC" w:rsidRDefault="00755BDC" w:rsidP="002B518B">
      <w:pPr>
        <w:pStyle w:val="NormalWeb"/>
        <w:jc w:val="both"/>
      </w:pPr>
      <w:r>
        <w:t>Creating positive learning environments in higher education is increasingly recognized as a core determinant of student engagement, persistence, and equitable academic outcomes. Yet “classroom management” in universities is still too often interpreted narrowly as the control of disruptions rather than the intentional design of conditions that support learning, belonging, and professional identity formation. This review synthesizes interdisciplinary evidence on how instructors can shape classroom climates through proactive course structure, autonomy-supportive teaching, inclusive design, relationship-centered communication, fair and transparent assessment, and restorative responses to conflict. We integrate research showing that active learning and structured course designs can improve achievement and narrow equity gaps, while belonging-supportive messaging and identity-safe climates can buffer students—especially those from historically marginalized groups—against threat and disengagement. We also examine contemporary challenges in higher education classrooms, including incivility, perceived unfairness, and the emotional burdens of sensitive course content, highlighting trauma-informed and restorative approaches that maintain rigor while improving psychological safety. Across these themes, we argue that positive learning environments are not “soft” add-ons; they are an instructional infrastructure that enables deep learning by reducing ambiguity, increasing trust, and aligning expectations with supportive accountability. The review concludes with an integrative framework linking design, relationships, equity, and response-to-disruption as mutually reinforcing pathways, and it identifies research and practice priorities for institutions seeking scalable improvements in teaching quality and student success.</w:t>
      </w:r>
    </w:p>
    <w:p w:rsidR="00755BDC" w:rsidRDefault="00755BDC" w:rsidP="002B518B">
      <w:pPr>
        <w:pStyle w:val="NormalWeb"/>
        <w:jc w:val="both"/>
      </w:pPr>
      <w:r>
        <w:rPr>
          <w:rStyle w:val="Strong"/>
        </w:rPr>
        <w:t>Keywords:</w:t>
      </w:r>
      <w:r>
        <w:t xml:space="preserve"> classroom management; higher education; learning environment; student engagement; autonomy support; restorative practices; formative assessment</w:t>
      </w:r>
    </w:p>
    <w:p w:rsidR="00755BDC" w:rsidRDefault="00755BDC" w:rsidP="002B518B">
      <w:pPr>
        <w:jc w:val="both"/>
      </w:pPr>
    </w:p>
    <w:p w:rsidR="00755BDC" w:rsidRDefault="00755BDC" w:rsidP="002B518B">
      <w:pPr>
        <w:pStyle w:val="Heading2"/>
        <w:jc w:val="both"/>
      </w:pPr>
      <w:r>
        <w:t>1. Introduction</w:t>
      </w:r>
    </w:p>
    <w:p w:rsidR="00755BDC" w:rsidRDefault="00755BDC" w:rsidP="002B518B">
      <w:pPr>
        <w:pStyle w:val="NormalWeb"/>
        <w:jc w:val="both"/>
      </w:pPr>
      <w:r>
        <w:t>Higher education classrooms are diverse social systems: students enter with unequal prior preparation, varying motivations and identities, different cultural and linguistic repertoires, and distinct constraints related to work, family responsibilities, and health. Within the same course, instructors may also face large enrollments, mixed modalities (in-person and hybrid), heightened expectations for responsiveness, and increasing mental-health concerns among students. In this context, the concept of “classroom management” must be broadened beyond rule enforcement toward the deliberate creation of learning conditions—cognitive, emotional, social, and structural—that support participation and academic progress.</w:t>
      </w:r>
    </w:p>
    <w:p w:rsidR="00755BDC" w:rsidRDefault="00755BDC" w:rsidP="002B518B">
      <w:pPr>
        <w:pStyle w:val="NormalWeb"/>
        <w:jc w:val="both"/>
      </w:pPr>
      <w:r>
        <w:t xml:space="preserve">A “positive learning environment” in higher education can be understood as a climate where students experience (a) clarity about goals and standards, (b) a sense of academic and </w:t>
      </w:r>
      <w:r>
        <w:lastRenderedPageBreak/>
        <w:t xml:space="preserve">interpersonal safety, (c) meaningful opportunities to participate and practice, and (d) fair treatment and respect. These features are consistently associated with engagement and persistence, and they are especially consequential for students who may be vulnerable to stereotype threat, low belonging, or uncertainty about whether they “fit” in academic spaces. Evidence from large syntheses in STEM education shows that shifting away from passive lecture toward active learning and structured instruction can improve performance and reduce achievement gaps (Freeman et al., 2014; </w:t>
      </w:r>
      <w:proofErr w:type="spellStart"/>
      <w:r>
        <w:t>Haak</w:t>
      </w:r>
      <w:proofErr w:type="spellEnd"/>
      <w:r>
        <w:t xml:space="preserve"> et al., 2011; Theobald et al., 2020). </w:t>
      </w:r>
    </w:p>
    <w:p w:rsidR="00755BDC" w:rsidRDefault="00755BDC" w:rsidP="002B518B">
      <w:pPr>
        <w:pStyle w:val="Heading3"/>
        <w:jc w:val="both"/>
      </w:pPr>
      <w:r>
        <w:t>1.1. Scope and objectives</w:t>
      </w:r>
    </w:p>
    <w:p w:rsidR="00755BDC" w:rsidRDefault="00755BDC" w:rsidP="002B518B">
      <w:pPr>
        <w:pStyle w:val="NormalWeb"/>
        <w:jc w:val="both"/>
      </w:pPr>
      <w:r>
        <w:t xml:space="preserve">This review focuses on classroom management in </w:t>
      </w:r>
      <w:r>
        <w:rPr>
          <w:rStyle w:val="Strong"/>
        </w:rPr>
        <w:t>higher education institutions</w:t>
      </w:r>
      <w:r>
        <w:t>, emphasizing integrative perspectives that connect: (</w:t>
      </w:r>
      <w:proofErr w:type="spellStart"/>
      <w:r>
        <w:t>i</w:t>
      </w:r>
      <w:proofErr w:type="spellEnd"/>
      <w:r>
        <w:t>) course design and structure, (ii) instructor–student relationships and communication, (iii) motivation and autonomy support, (iv) inclusion, belonging, and trauma-informed teaching, (v) prevention and response to incivility and conflict, and (vi) assessment and feedback practices that sustain a positive climate. The objectives are to:</w:t>
      </w:r>
    </w:p>
    <w:p w:rsidR="00755BDC" w:rsidRDefault="00755BDC" w:rsidP="002B518B">
      <w:pPr>
        <w:pStyle w:val="NormalWeb"/>
        <w:numPr>
          <w:ilvl w:val="0"/>
          <w:numId w:val="41"/>
        </w:numPr>
        <w:jc w:val="both"/>
      </w:pPr>
      <w:r>
        <w:t>synthesize high-quality empirical and review evidence relevant to positive learning environments in higher education;</w:t>
      </w:r>
    </w:p>
    <w:p w:rsidR="00755BDC" w:rsidRDefault="00755BDC" w:rsidP="002B518B">
      <w:pPr>
        <w:pStyle w:val="NormalWeb"/>
        <w:numPr>
          <w:ilvl w:val="0"/>
          <w:numId w:val="41"/>
        </w:numPr>
        <w:jc w:val="both"/>
      </w:pPr>
      <w:r>
        <w:t>translate this evidence into actionable classroom management principles; and</w:t>
      </w:r>
    </w:p>
    <w:p w:rsidR="00755BDC" w:rsidRDefault="00755BDC" w:rsidP="002B518B">
      <w:pPr>
        <w:pStyle w:val="NormalWeb"/>
        <w:numPr>
          <w:ilvl w:val="0"/>
          <w:numId w:val="41"/>
        </w:numPr>
        <w:jc w:val="both"/>
      </w:pPr>
      <w:r>
        <w:t>propose an integrative framework and research priorities for institutions and instructors.</w:t>
      </w:r>
    </w:p>
    <w:p w:rsidR="00755BDC" w:rsidRDefault="00755BDC" w:rsidP="002B518B">
      <w:pPr>
        <w:jc w:val="both"/>
      </w:pPr>
    </w:p>
    <w:p w:rsidR="00755BDC" w:rsidRDefault="00755BDC" w:rsidP="002B518B">
      <w:pPr>
        <w:pStyle w:val="Heading2"/>
        <w:jc w:val="both"/>
      </w:pPr>
      <w:r>
        <w:t>2. Conceptual foundations and review approach</w:t>
      </w:r>
    </w:p>
    <w:p w:rsidR="00755BDC" w:rsidRDefault="00755BDC" w:rsidP="002B518B">
      <w:pPr>
        <w:pStyle w:val="Heading3"/>
        <w:jc w:val="both"/>
      </w:pPr>
      <w:r>
        <w:t>2.1. Reframing classroom management for higher education</w:t>
      </w:r>
    </w:p>
    <w:p w:rsidR="00755BDC" w:rsidRDefault="00755BDC" w:rsidP="002B518B">
      <w:pPr>
        <w:pStyle w:val="NormalWeb"/>
        <w:jc w:val="both"/>
      </w:pPr>
      <w:r>
        <w:t xml:space="preserve">In higher education, authority structures differ from K–12 contexts: students are legal adults, participation may be voluntary, and disciplinary power is often limited or routed through administrative systems. This means that classroom management depends heavily on </w:t>
      </w:r>
      <w:r>
        <w:rPr>
          <w:rStyle w:val="Emphasis"/>
          <w:rFonts w:eastAsiaTheme="majorEastAsia"/>
        </w:rPr>
        <w:t>instructional legitimacy</w:t>
      </w:r>
      <w:r>
        <w:t>: students’ perceptions that the course is organized, standards are clear, learning activities are meaningful, and the instructor is fair and respectful. When these conditions are met, compliance is less relevant because engagement becomes intrinsically and socially motivated.</w:t>
      </w:r>
    </w:p>
    <w:p w:rsidR="00755BDC" w:rsidRDefault="00755BDC" w:rsidP="002B518B">
      <w:pPr>
        <w:pStyle w:val="NormalWeb"/>
        <w:jc w:val="both"/>
      </w:pPr>
      <w:r>
        <w:t>Student engagement theories help explain why “environment” matters. Engagement is shaped at an “educational interface” where institutional conditions, course demands, and students’ psychosocial resources interact (</w:t>
      </w:r>
      <w:proofErr w:type="spellStart"/>
      <w:r>
        <w:t>Kahu</w:t>
      </w:r>
      <w:proofErr w:type="spellEnd"/>
      <w:r>
        <w:t xml:space="preserve">, 2013; </w:t>
      </w:r>
      <w:proofErr w:type="spellStart"/>
      <w:r>
        <w:t>Kahu</w:t>
      </w:r>
      <w:proofErr w:type="spellEnd"/>
      <w:r>
        <w:t xml:space="preserve"> &amp; Nelson, 2018). In this view, classroom management is not a separate skill set but a continuous process of aligning expectations, relationships, and learning supports in ways that make engagement more likely and disengagement less adaptive.</w:t>
      </w:r>
    </w:p>
    <w:p w:rsidR="00755BDC" w:rsidRDefault="00755BDC" w:rsidP="002B518B">
      <w:pPr>
        <w:pStyle w:val="Heading3"/>
        <w:jc w:val="both"/>
      </w:pPr>
      <w:r>
        <w:t>2.2. Evidence-informed domains of positive learning environments</w:t>
      </w:r>
    </w:p>
    <w:p w:rsidR="00755BDC" w:rsidRDefault="00755BDC" w:rsidP="002B518B">
      <w:pPr>
        <w:pStyle w:val="NormalWeb"/>
        <w:jc w:val="both"/>
      </w:pPr>
      <w:r>
        <w:t>Across the literature, four domains recur as levers for positive climates:</w:t>
      </w:r>
    </w:p>
    <w:p w:rsidR="00755BDC" w:rsidRDefault="00755BDC" w:rsidP="002B518B">
      <w:pPr>
        <w:pStyle w:val="NormalWeb"/>
        <w:tabs>
          <w:tab w:val="left" w:pos="7938"/>
        </w:tabs>
        <w:jc w:val="both"/>
      </w:pPr>
      <w:r>
        <w:rPr>
          <w:rStyle w:val="Strong"/>
        </w:rPr>
        <w:lastRenderedPageBreak/>
        <w:t>(a) Structure and transparency:</w:t>
      </w:r>
      <w:r>
        <w:t xml:space="preserve"> clarity of outcomes, routines, and assessment criteria reduces uncertainty and helps students plan their effort. Highly structured courses can improve performance and reduce failure rates without reducing rigor (Eddy &amp; Hogan, 2014; </w:t>
      </w:r>
      <w:proofErr w:type="spellStart"/>
      <w:r>
        <w:t>Haak</w:t>
      </w:r>
      <w:proofErr w:type="spellEnd"/>
      <w:r>
        <w:t xml:space="preserve"> et al., 2011). </w:t>
      </w:r>
    </w:p>
    <w:p w:rsidR="00755BDC" w:rsidRDefault="00755BDC" w:rsidP="002B518B">
      <w:pPr>
        <w:pStyle w:val="NormalWeb"/>
        <w:jc w:val="both"/>
      </w:pPr>
      <w:r>
        <w:rPr>
          <w:rStyle w:val="Strong"/>
        </w:rPr>
        <w:t>(b) Relationships and communication:</w:t>
      </w:r>
      <w:r>
        <w:t xml:space="preserve"> instructor behaviors that communicate care, approachability, and responsiveness—often discussed as immediacy—are associated with improved affecti</w:t>
      </w:r>
      <w:r w:rsidR="00551EB4">
        <w:t>ve outcomes and engagement (Liu</w:t>
      </w:r>
      <w:r>
        <w:t xml:space="preserve">, 2021). </w:t>
      </w:r>
    </w:p>
    <w:p w:rsidR="00755BDC" w:rsidRDefault="00755BDC" w:rsidP="002B518B">
      <w:pPr>
        <w:pStyle w:val="NormalWeb"/>
        <w:jc w:val="both"/>
      </w:pPr>
      <w:r>
        <w:rPr>
          <w:rStyle w:val="Strong"/>
        </w:rPr>
        <w:t>(c) Motivation and autonomy support:</w:t>
      </w:r>
      <w:r>
        <w:t xml:space="preserve"> autonomy-supportive teaching (providing meaningful rationales, acknowledging perspectives, supporting choice within structure) is linked to motivation and achievement, including in higher education meta-analytic evidence (Okada, 2023). </w:t>
      </w:r>
    </w:p>
    <w:p w:rsidR="00755BDC" w:rsidRDefault="00755BDC" w:rsidP="002B518B">
      <w:pPr>
        <w:pStyle w:val="NormalWeb"/>
        <w:jc w:val="both"/>
      </w:pPr>
      <w:r>
        <w:rPr>
          <w:rStyle w:val="Strong"/>
        </w:rPr>
        <w:t>(d) Equity, belonging, and psychological safety:</w:t>
      </w:r>
      <w:r>
        <w:t xml:space="preserve"> students’ sense of belonging and perceptions of identity safety shape willingness to participate, seek help, and persist. Belonging can be cultivated through climate and messaging, and it can affect long-term academic outcomes (Walton &amp; Cohen, 2011). </w:t>
      </w:r>
    </w:p>
    <w:p w:rsidR="00755BDC" w:rsidRDefault="00755BDC" w:rsidP="002B518B">
      <w:pPr>
        <w:pStyle w:val="Heading3"/>
        <w:jc w:val="both"/>
      </w:pPr>
      <w:r>
        <w:t>2.3. Methods for literature selection</w:t>
      </w:r>
    </w:p>
    <w:p w:rsidR="00755BDC" w:rsidRDefault="009156D7" w:rsidP="002B518B">
      <w:pPr>
        <w:pStyle w:val="NormalWeb"/>
        <w:jc w:val="both"/>
      </w:pPr>
      <w:r w:rsidRPr="009156D7">
        <w:rPr>
          <w:highlight w:val="yellow"/>
        </w:rPr>
        <w:t>This manuscript is written as a “Narrative Review”</w:t>
      </w:r>
      <w:r>
        <w:t xml:space="preserve">. </w:t>
      </w:r>
      <w:r w:rsidR="00755BDC">
        <w:t>A targeted literature search was conducted to identify peer-reviewed evidence relevant to positive learning environments and classroom management in higher education.</w:t>
      </w:r>
    </w:p>
    <w:p w:rsidR="00755BDC" w:rsidRDefault="00755BDC" w:rsidP="002B518B">
      <w:pPr>
        <w:pStyle w:val="NormalWeb"/>
        <w:jc w:val="both"/>
      </w:pPr>
      <w:r>
        <w:rPr>
          <w:rStyle w:val="Strong"/>
        </w:rPr>
        <w:t>Databases searched:</w:t>
      </w:r>
      <w:r>
        <w:t xml:space="preserve"> Scopus, Web of Science Core Collection, ERIC, PsycINFO, and PubMed (for education-adjacent fields such as medical education and psychology).</w:t>
      </w:r>
    </w:p>
    <w:p w:rsidR="00755BDC" w:rsidRDefault="00755BDC" w:rsidP="002B518B">
      <w:pPr>
        <w:pStyle w:val="NormalWeb"/>
        <w:jc w:val="both"/>
      </w:pPr>
      <w:r>
        <w:rPr>
          <w:rStyle w:val="Strong"/>
        </w:rPr>
        <w:t>Date range:</w:t>
      </w:r>
      <w:r>
        <w:t xml:space="preserve"> January 2010 to October 2025, with inclusion of a small number of seminal earlier works where repeatedly cited as foundational (e.g., belonging interventions).</w:t>
      </w:r>
    </w:p>
    <w:p w:rsidR="00755BDC" w:rsidRDefault="00755BDC" w:rsidP="002B518B">
      <w:pPr>
        <w:pStyle w:val="NormalWeb"/>
        <w:jc w:val="both"/>
      </w:pPr>
      <w:r>
        <w:rPr>
          <w:rStyle w:val="Strong"/>
        </w:rPr>
        <w:t>Example search strings (adapted per database):</w:t>
      </w:r>
    </w:p>
    <w:p w:rsidR="00755BDC" w:rsidRDefault="00755BDC" w:rsidP="002B518B">
      <w:pPr>
        <w:pStyle w:val="NormalWeb"/>
        <w:numPr>
          <w:ilvl w:val="0"/>
          <w:numId w:val="42"/>
        </w:numPr>
        <w:jc w:val="both"/>
      </w:pPr>
      <w:r>
        <w:t>(“classroom management” OR “learning environment” OR “classroom climate” OR “teaching presence” OR “teacher immediacy”) AND (“higher education” OR university OR college)</w:t>
      </w:r>
    </w:p>
    <w:p w:rsidR="00755BDC" w:rsidRDefault="00755BDC" w:rsidP="002B518B">
      <w:pPr>
        <w:pStyle w:val="NormalWeb"/>
        <w:numPr>
          <w:ilvl w:val="0"/>
          <w:numId w:val="42"/>
        </w:numPr>
        <w:jc w:val="both"/>
      </w:pPr>
      <w:r>
        <w:t>(“student engagement” AND “higher education” AND (climate OR belonging OR “autonomy support” OR “course structure”))</w:t>
      </w:r>
    </w:p>
    <w:p w:rsidR="00755BDC" w:rsidRDefault="00755BDC" w:rsidP="002B518B">
      <w:pPr>
        <w:pStyle w:val="NormalWeb"/>
        <w:numPr>
          <w:ilvl w:val="0"/>
          <w:numId w:val="42"/>
        </w:numPr>
        <w:jc w:val="both"/>
      </w:pPr>
      <w:r>
        <w:t>(incivility OR “classroom injustice” OR conflict) AND (university OR college)</w:t>
      </w:r>
    </w:p>
    <w:p w:rsidR="00755BDC" w:rsidRDefault="00755BDC" w:rsidP="002B518B">
      <w:pPr>
        <w:pStyle w:val="NormalWeb"/>
        <w:numPr>
          <w:ilvl w:val="0"/>
          <w:numId w:val="42"/>
        </w:numPr>
        <w:jc w:val="both"/>
      </w:pPr>
      <w:r>
        <w:t>(“universal design for learning” OR UDL OR “inclusive teaching”) AND (“higher education” OR university)</w:t>
      </w:r>
    </w:p>
    <w:p w:rsidR="00755BDC" w:rsidRDefault="00755BDC" w:rsidP="002B518B">
      <w:pPr>
        <w:pStyle w:val="NormalWeb"/>
        <w:jc w:val="both"/>
      </w:pPr>
      <w:r>
        <w:rPr>
          <w:rStyle w:val="Strong"/>
        </w:rPr>
        <w:t>Inclusion criteria:</w:t>
      </w:r>
      <w:r>
        <w:t xml:space="preserve"> peer-reviewed journal articles (empirical studies, systematic reviews, meta-analyses, or high-quality conceptual reviews) that (</w:t>
      </w:r>
      <w:proofErr w:type="spellStart"/>
      <w:r>
        <w:t>i</w:t>
      </w:r>
      <w:proofErr w:type="spellEnd"/>
      <w:r>
        <w:t>) focused on higher education learners/instructors or provided directly transferable evidence to higher education classrooms, and (ii) addressed at least one of the domains in Section 2.2.</w:t>
      </w:r>
    </w:p>
    <w:p w:rsidR="00755BDC" w:rsidRDefault="00755BDC" w:rsidP="002B518B">
      <w:pPr>
        <w:pStyle w:val="NormalWeb"/>
        <w:jc w:val="both"/>
      </w:pPr>
      <w:r>
        <w:rPr>
          <w:rStyle w:val="Strong"/>
        </w:rPr>
        <w:t>Exclusion criteria:</w:t>
      </w:r>
      <w:r>
        <w:t xml:space="preserve"> non-peer-reviewed opinion pieces, articles focused solely on K–12 without clear transferability, and studies lacking methodological transparency.</w:t>
      </w:r>
    </w:p>
    <w:p w:rsidR="00755BDC" w:rsidRDefault="00755BDC" w:rsidP="002B518B">
      <w:pPr>
        <w:jc w:val="both"/>
      </w:pPr>
    </w:p>
    <w:p w:rsidR="009B3A8A" w:rsidRDefault="009B3A8A" w:rsidP="002B518B">
      <w:pPr>
        <w:pStyle w:val="Heading2"/>
        <w:jc w:val="both"/>
      </w:pPr>
      <w:r>
        <w:t>3. Proactive classroom management through course design</w:t>
      </w:r>
    </w:p>
    <w:p w:rsidR="009B3A8A" w:rsidRDefault="009B3A8A" w:rsidP="002B518B">
      <w:pPr>
        <w:pStyle w:val="Heading3"/>
        <w:jc w:val="both"/>
      </w:pPr>
      <w:r>
        <w:t>3.1. Constructive alignment and explicit learning pathways</w:t>
      </w:r>
    </w:p>
    <w:p w:rsidR="009B3A8A" w:rsidRDefault="009B3A8A" w:rsidP="002B518B">
      <w:pPr>
        <w:pStyle w:val="NormalWeb"/>
        <w:jc w:val="both"/>
      </w:pPr>
      <w:r>
        <w:t xml:space="preserve">In higher education, many “classroom management” challenges emerge not from student intent, but from ambiguity: unclear expectations, shifting assessment rules, or inconsistent learning routines. Proactive course design reduces this ambiguity by making the learning pathway visible and predictable from the first week. A well-aligned course begins with clearly stated learning outcomes and then engineers a coherent chain from learning activities to assessments, so students can see what “good performance” looks like and how to achieve it. When expectations are explicit and the pathway is stable, students expend less effort on guessing what the instructor wants and more effort on learning tasks, which reduces frustration-driven disengagement and the kinds of low-level disruptions that arise when students feel lost or unfairly evaluated. The evidence base on “course structure” in undergraduate classrooms shows that increasing structure—through regular practice opportunities, clear preparation guidance, and frequent checkpoints—can improve performance and participation patterns (Eddy &amp; Hogan, 2014; </w:t>
      </w:r>
      <w:proofErr w:type="spellStart"/>
      <w:r>
        <w:t>Haak</w:t>
      </w:r>
      <w:proofErr w:type="spellEnd"/>
      <w:r>
        <w:t xml:space="preserve"> et al., 2011</w:t>
      </w:r>
      <w:r w:rsidR="002F05FB">
        <w:t xml:space="preserve">; </w:t>
      </w:r>
      <w:r w:rsidR="002F05FB" w:rsidRPr="002F05FB">
        <w:t>Albayrak et al., 2022</w:t>
      </w:r>
      <w:r>
        <w:t>).</w:t>
      </w:r>
    </w:p>
    <w:p w:rsidR="009B3A8A" w:rsidRDefault="009B3A8A" w:rsidP="002B518B">
      <w:pPr>
        <w:pStyle w:val="NormalWeb"/>
        <w:jc w:val="both"/>
      </w:pPr>
      <w:r>
        <w:t>Designing explicit pathways also means planning for heterogeneity in prior knowledge, language proficiency, and academic socialization. Transparent sequencing (e.g., weekly learning goals, preparatory prompts, and visible links between class activities and assessments) can function as an equity-oriented management strategy because it reduces the advantage held by students who already understand the hidden rules of higher education. Research indicates that structured and active learning approaches can reduce achievement gaps in introductory courses, implying that “management through design” has both pedagogical and inclusion payoffs (</w:t>
      </w:r>
      <w:proofErr w:type="spellStart"/>
      <w:r>
        <w:t>Haak</w:t>
      </w:r>
      <w:proofErr w:type="spellEnd"/>
      <w:r>
        <w:t xml:space="preserve"> et al., 2011; Theobald et al., 2020). In practical terms, proactive design externalizes what expert learners do implicitly: it clarifies how to prepare, how to participate, and how to evaluate one’s progress, thereby lowering conflict around grading, participation, and perceived instructor arbitrariness.</w:t>
      </w:r>
    </w:p>
    <w:p w:rsidR="009B3A8A" w:rsidRDefault="009B3A8A" w:rsidP="002B518B">
      <w:pPr>
        <w:pStyle w:val="Heading3"/>
        <w:jc w:val="both"/>
      </w:pPr>
      <w:r>
        <w:t>3.2. Establishing predictable routines and participation norms</w:t>
      </w:r>
    </w:p>
    <w:p w:rsidR="009B3A8A" w:rsidRDefault="009B3A8A" w:rsidP="002B518B">
      <w:pPr>
        <w:pStyle w:val="NormalWeb"/>
        <w:jc w:val="both"/>
      </w:pPr>
      <w:r>
        <w:t>Predictability is a core psychological condition for a positive learning environment. Course design can create predictability by embedding stable routines into the rhythm of weekly teaching: consistent openings (e.g., brief retrieval or warm-up prompts), predictable transitions into active work, and clear closure cues (e.g., minute-papers or “what changed in my thinking” reflections). These routines are not merely organizational; they serve management functions by reducing downtime, lowering anxiety, and communicating that participation is expected and scaffolded. Active learning, when carefully designed, tends to improve learning outcomes across STEM and non-STEM domains (Freeman et al., 2014), and it can also narrow inequities when combined with inclusive participation structures (Theobald et al., 2020).</w:t>
      </w:r>
    </w:p>
    <w:p w:rsidR="009B3A8A" w:rsidRDefault="009B3A8A" w:rsidP="002B518B">
      <w:pPr>
        <w:pStyle w:val="NormalWeb"/>
        <w:jc w:val="both"/>
      </w:pPr>
      <w:r>
        <w:t xml:space="preserve">However, instructors in higher education often face a predictable challenge: students may initially interpret active learning as disorganization, excessive difficulty, or “teaching myself.” Experimental evidence shows that students can </w:t>
      </w:r>
      <w:r>
        <w:rPr>
          <w:rStyle w:val="Emphasis"/>
        </w:rPr>
        <w:t>learn more</w:t>
      </w:r>
      <w:r>
        <w:t xml:space="preserve"> in active formats while </w:t>
      </w:r>
      <w:r>
        <w:rPr>
          <w:rStyle w:val="Emphasis"/>
        </w:rPr>
        <w:lastRenderedPageBreak/>
        <w:t>feeling</w:t>
      </w:r>
      <w:r>
        <w:t xml:space="preserve"> like they learn less, partly because increased cognitive effort is misread as poor learning (</w:t>
      </w:r>
      <w:proofErr w:type="spellStart"/>
      <w:r>
        <w:t>Deslauriers</w:t>
      </w:r>
      <w:proofErr w:type="spellEnd"/>
      <w:r>
        <w:t xml:space="preserve"> et al., 2019). This is directly relevant to classroom management because negative perceptions can manifest as resistance, off-task behaviors, or complaints that erode the classroom climate. Proactive design addresses this risk by building “explanation moments” into the course: early, brief, repeated rationales for why particular activities are used, what evidence supports them, and how students should judge their progress. Research on reducing resistance to active learning emphasizes that instructor strategies—especially those that explain purpose and facilitate productive participation—are associated with more positive student responses (Andrews et al., 2022; </w:t>
      </w:r>
      <w:proofErr w:type="spellStart"/>
      <w:r>
        <w:t>Tharayil</w:t>
      </w:r>
      <w:proofErr w:type="spellEnd"/>
      <w:r>
        <w:t xml:space="preserve"> et al., 2018). In other words, management is not only about responding to behavior; it is also about designing participation so that students understand the rules, the reasons, and the supports.</w:t>
      </w:r>
    </w:p>
    <w:p w:rsidR="009B3A8A" w:rsidRDefault="009B3A8A" w:rsidP="002B518B">
      <w:pPr>
        <w:pStyle w:val="Heading3"/>
        <w:jc w:val="both"/>
      </w:pPr>
      <w:r>
        <w:t>3.3. Transparent policies and “kindly firm” course documentation</w:t>
      </w:r>
    </w:p>
    <w:p w:rsidR="009B3A8A" w:rsidRDefault="009B3A8A" w:rsidP="002B518B">
      <w:pPr>
        <w:pStyle w:val="NormalWeb"/>
        <w:jc w:val="both"/>
      </w:pPr>
      <w:r>
        <w:t>A course syllabus and associated documents (assessment briefs, rubrics, weekly guides) function as climate-setting tools. Their role in classroom management is often underestimated: tone and clarity shape how students interpret instructor credibility, fairness, and approachability—factors that influence whether students comply with norms, seek help early, or disengage. Empirical work suggests that syllabus tone affects students’ perceptions of the instructor and the course, with more supportive language shaping more favorable impressions (Harnish &amp; Bridges, 2011). From a design standpoint, the goal is not to eliminate boundaries; it is to communicate boundaries in a way that preserves dignity and reduces adversarial dynamics.</w:t>
      </w:r>
    </w:p>
    <w:p w:rsidR="009B3A8A" w:rsidRDefault="009B3A8A" w:rsidP="002B518B">
      <w:pPr>
        <w:pStyle w:val="NormalWeb"/>
        <w:jc w:val="both"/>
      </w:pPr>
      <w:r>
        <w:t>Transparency is equally important in assessment communication. When grading criteria, feedback cycles, and academic integrity expectations are vague, conflict becomes more likely because students may attribute outcomes to bias or inconsistency rather than to performance. Recent work on assessment transparency highlights how students interpret “who owns” the assessment relationship, underscoring that clarity and mutual responsibility are central to trust (</w:t>
      </w:r>
      <w:proofErr w:type="spellStart"/>
      <w:r w:rsidR="00FC411B" w:rsidRPr="00FC411B">
        <w:t>Gonsalves</w:t>
      </w:r>
      <w:proofErr w:type="spellEnd"/>
      <w:r w:rsidR="00FC411B">
        <w:t xml:space="preserve"> and </w:t>
      </w:r>
      <w:r w:rsidR="00FC411B" w:rsidRPr="00FC411B">
        <w:t>Lin</w:t>
      </w:r>
      <w:r w:rsidR="00FC411B">
        <w:t>, 2025</w:t>
      </w:r>
      <w:r>
        <w:t>). Proactively managed courses therefore make assessment processes legible: criteria are shared early; exemplars and common pitfalls are discussed; and feedback is framed as information for improvement rather than as a judgment of identity. This reduces grade-related disputes and supports a classroom environment in which evaluation is experienced as predictable and learning-oriented.</w:t>
      </w:r>
    </w:p>
    <w:p w:rsidR="009B3A8A" w:rsidRDefault="009B3A8A" w:rsidP="002B518B">
      <w:pPr>
        <w:pStyle w:val="Heading3"/>
        <w:jc w:val="both"/>
      </w:pPr>
      <w:r>
        <w:t>3.4. Designing collaborative structures that prevent conflict and exclusion</w:t>
      </w:r>
    </w:p>
    <w:p w:rsidR="009B3A8A" w:rsidRDefault="009B3A8A" w:rsidP="002B518B">
      <w:pPr>
        <w:pStyle w:val="NormalWeb"/>
        <w:jc w:val="both"/>
      </w:pPr>
      <w:r>
        <w:t>Group work can elevate engagement and learning, but it can also generate management problems—social loafing, dominance, silence, and interpersonal friction—if collaboration is treated as an informal add-on rather than as a designed learning system. Proactive course design mitigates these risks by specifying how groups form, what roles exist, how accountability is shared, and how students can resolve process problems before they escalate. Evidence-based guidance emphasizes that equity and inclusion in group work improves when instructors intentionally design participation structures rather than assuming collaboration will self-organize (Wilson et al., 2018).</w:t>
      </w:r>
    </w:p>
    <w:p w:rsidR="009B3A8A" w:rsidRDefault="009B3A8A" w:rsidP="002B518B">
      <w:pPr>
        <w:pStyle w:val="NormalWeb"/>
        <w:jc w:val="both"/>
      </w:pPr>
      <w:r>
        <w:t xml:space="preserve">From a management lens, group work design should anticipate predictable failure points. Role rotation can prevent stable hierarchies; structured turn-taking protocols can reduce dominance; and individual accountability checkpoints can deter free-riding. Importantly, these structures also align with the broader evidence that active learning—especially when </w:t>
      </w:r>
      <w:r>
        <w:lastRenderedPageBreak/>
        <w:t>systematically implemented—supports student outcomes and narrows inequities (Freeman et al., 2014; Theobald et al., 2020). Well-designed collaboration thus becomes a preventive management tool: it reduces the interpersonal and procedural conflicts that otherwise spill into instructor time, classroom tension, and perceptions of unfairness.</w:t>
      </w:r>
    </w:p>
    <w:p w:rsidR="009B3A8A" w:rsidRDefault="009B3A8A" w:rsidP="002B518B">
      <w:pPr>
        <w:pStyle w:val="Heading3"/>
        <w:jc w:val="both"/>
      </w:pPr>
      <w:r>
        <w:t>3.5. Assessment rhythm, feedback loops, and early-course stabilization</w:t>
      </w:r>
    </w:p>
    <w:p w:rsidR="009B3A8A" w:rsidRDefault="009B3A8A" w:rsidP="002B518B">
      <w:pPr>
        <w:pStyle w:val="NormalWeb"/>
        <w:jc w:val="both"/>
      </w:pPr>
      <w:r>
        <w:t xml:space="preserve">A proactive course uses assessment not only to measure learning, but also to stabilize the learning environment. Frequent low-stakes checks—brief quizzes, short reflections, or practice submissions—serve as “early warning systems” that identify confusion before it becomes disengagement. Studies on increased course structure emphasize the value of regular practice and feedback opportunities for improving performance and participation (Eddy &amp; Hogan, 2014; </w:t>
      </w:r>
      <w:proofErr w:type="spellStart"/>
      <w:r>
        <w:t>Haak</w:t>
      </w:r>
      <w:proofErr w:type="spellEnd"/>
      <w:r>
        <w:t xml:space="preserve"> et al., 2011). From a management perspective, these feedback loops reduce the probability of late-semester crises that often trigger conflict (missed deadlines, high-stakes panic, accusations of unfairness).</w:t>
      </w:r>
    </w:p>
    <w:p w:rsidR="009B3A8A" w:rsidRDefault="009B3A8A" w:rsidP="002B518B">
      <w:pPr>
        <w:pStyle w:val="NormalWeb"/>
        <w:jc w:val="both"/>
      </w:pPr>
      <w:r>
        <w:t>Design should also anticipate the perception gap associated with cognitively demanding learning. Because students may initially experience effort as evidence of failure (</w:t>
      </w:r>
      <w:proofErr w:type="spellStart"/>
      <w:r>
        <w:t>Deslauriers</w:t>
      </w:r>
      <w:proofErr w:type="spellEnd"/>
      <w:r>
        <w:t xml:space="preserve"> et al., 2019), early assessments can be framed as formative and diagnostic, reinforcing that struggle is expected and productive when paired with guidance. Instructor explanation and facilitation strategies—embedded as part of the assessment rhythm—can further reduce resistance and support persistence (Andrews et al., 2022; </w:t>
      </w:r>
      <w:proofErr w:type="spellStart"/>
      <w:r>
        <w:t>Tharayil</w:t>
      </w:r>
      <w:proofErr w:type="spellEnd"/>
      <w:r>
        <w:t xml:space="preserve"> et al., 2018). When students receive early confirmation that the course has consistent rules, predictable supports, and fair evaluation, the classroom climate becomes more cooperative, and management becomes less reactive.</w:t>
      </w:r>
    </w:p>
    <w:p w:rsidR="00755BDC" w:rsidRDefault="00755BDC" w:rsidP="002B518B">
      <w:pPr>
        <w:jc w:val="both"/>
      </w:pPr>
    </w:p>
    <w:p w:rsidR="00683EC3" w:rsidRPr="00683EC3" w:rsidRDefault="00683EC3" w:rsidP="002B518B">
      <w:pPr>
        <w:pStyle w:val="Heading2"/>
        <w:jc w:val="both"/>
      </w:pPr>
      <w:r w:rsidRPr="00683EC3">
        <w:t>4. Relationship-centered management: communication, immediacy, and trust</w:t>
      </w:r>
    </w:p>
    <w:p w:rsidR="00683EC3" w:rsidRPr="00683EC3" w:rsidRDefault="00683EC3" w:rsidP="002B518B">
      <w:pPr>
        <w:pStyle w:val="Heading3"/>
        <w:jc w:val="both"/>
      </w:pPr>
      <w:r w:rsidRPr="00683EC3">
        <w:t>4.1. Why relationships function as “management” in higher education</w:t>
      </w:r>
    </w:p>
    <w:p w:rsidR="00683EC3" w:rsidRPr="00683EC3" w:rsidRDefault="00683EC3" w:rsidP="002B518B">
      <w:pPr>
        <w:spacing w:before="100" w:beforeAutospacing="1" w:after="100" w:afterAutospacing="1" w:line="240" w:lineRule="auto"/>
        <w:jc w:val="both"/>
        <w:rPr>
          <w:rFonts w:ascii="Times New Roman" w:eastAsia="Times New Roman" w:hAnsi="Times New Roman" w:cs="Times New Roman"/>
          <w:sz w:val="24"/>
          <w:szCs w:val="24"/>
          <w:lang w:val="en-US"/>
        </w:rPr>
      </w:pPr>
      <w:r w:rsidRPr="00683EC3">
        <w:rPr>
          <w:rFonts w:ascii="Times New Roman" w:eastAsia="Times New Roman" w:hAnsi="Times New Roman" w:cs="Times New Roman"/>
          <w:sz w:val="24"/>
          <w:szCs w:val="24"/>
          <w:lang w:val="en-US"/>
        </w:rPr>
        <w:t>In higher education, many of the behaviors typically labelled as “classroom management” (participation norms, on-task attention, respectful discourse, academic integrity, productive group work, and willingness to seek help early) are not sustained primarily by surveillance or punishment; they are sustained by relationship quality. When students experience the instructor as fair, predictable, and genuinely invested in their learning, they are more likely to interpret course demands as legitimate rather than arbitrary, and to regulate their own behavior accordingly. This matters because university classrooms are often diverse in age, language background, preparedness, and power distance expectations; under these conditions, “rules” without relational grounding can be experienced as controlling, culturally misaligned, or inconsistent. Relationship-centered management therefore treats communication as the core infrastructure of order: the instructor’s talk and presence signal whether the classroom is a cooperative learning community or a high-risk space where mistakes will be punished and voices will be dismissed. In this sense, relationship work is proactive—done early and continuously—so that disruptions are less frequent and easier to repair when they occur (</w:t>
      </w:r>
      <w:proofErr w:type="spellStart"/>
      <w:r w:rsidRPr="00683EC3">
        <w:rPr>
          <w:rFonts w:ascii="Times New Roman" w:eastAsia="Times New Roman" w:hAnsi="Times New Roman" w:cs="Times New Roman"/>
          <w:sz w:val="24"/>
          <w:szCs w:val="24"/>
          <w:lang w:val="en-US"/>
        </w:rPr>
        <w:t>Kahu</w:t>
      </w:r>
      <w:proofErr w:type="spellEnd"/>
      <w:r w:rsidRPr="00683EC3">
        <w:rPr>
          <w:rFonts w:ascii="Times New Roman" w:eastAsia="Times New Roman" w:hAnsi="Times New Roman" w:cs="Times New Roman"/>
          <w:sz w:val="24"/>
          <w:szCs w:val="24"/>
          <w:lang w:val="en-US"/>
        </w:rPr>
        <w:t xml:space="preserve"> &amp; Nelson, 2018). </w:t>
      </w:r>
    </w:p>
    <w:p w:rsidR="00683EC3" w:rsidRPr="00683EC3" w:rsidRDefault="00683EC3" w:rsidP="002B518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83EC3">
        <w:rPr>
          <w:rFonts w:ascii="Times New Roman" w:eastAsia="Times New Roman" w:hAnsi="Times New Roman" w:cs="Times New Roman"/>
          <w:b/>
          <w:bCs/>
          <w:sz w:val="27"/>
          <w:szCs w:val="27"/>
          <w:lang w:val="en-US"/>
        </w:rPr>
        <w:lastRenderedPageBreak/>
        <w:t>4.2. Communication practices that build clarity, legitimacy, and belonging</w:t>
      </w:r>
    </w:p>
    <w:p w:rsidR="00683EC3" w:rsidRPr="00683EC3" w:rsidRDefault="00683EC3" w:rsidP="002B518B">
      <w:pPr>
        <w:spacing w:before="100" w:beforeAutospacing="1" w:after="100" w:afterAutospacing="1" w:line="240" w:lineRule="auto"/>
        <w:jc w:val="both"/>
        <w:rPr>
          <w:rFonts w:ascii="Times New Roman" w:eastAsia="Times New Roman" w:hAnsi="Times New Roman" w:cs="Times New Roman"/>
          <w:sz w:val="24"/>
          <w:szCs w:val="24"/>
          <w:lang w:val="en-US"/>
        </w:rPr>
      </w:pPr>
      <w:r w:rsidRPr="00683EC3">
        <w:rPr>
          <w:rFonts w:ascii="Times New Roman" w:eastAsia="Times New Roman" w:hAnsi="Times New Roman" w:cs="Times New Roman"/>
          <w:sz w:val="24"/>
          <w:szCs w:val="24"/>
          <w:lang w:val="en-US"/>
        </w:rPr>
        <w:t xml:space="preserve">Relationship-centered management begins with communication that reduces uncertainty and prevents misinterpretation. Students are more likely to comply with norms they understand and perceive as relevant to learning goals. Clarity is not only “explaining the syllabus”; it is repeatedly translating expectations into concrete examples (what a high-quality discussion post looks like, what counts as collaboration vs. misconduct, what respectful disagreement sounds like in this discipline), and doing so with consistent language across announcements, rubrics, and feedback. Communication also functions relationally: when instructors use confirming messages—acknowledging students’ questions as meaningful, </w:t>
      </w:r>
      <w:proofErr w:type="spellStart"/>
      <w:r w:rsidRPr="00683EC3">
        <w:rPr>
          <w:rFonts w:ascii="Times New Roman" w:eastAsia="Times New Roman" w:hAnsi="Times New Roman" w:cs="Times New Roman"/>
          <w:sz w:val="24"/>
          <w:szCs w:val="24"/>
          <w:lang w:val="en-US"/>
        </w:rPr>
        <w:t>signalling</w:t>
      </w:r>
      <w:proofErr w:type="spellEnd"/>
      <w:r w:rsidRPr="00683EC3">
        <w:rPr>
          <w:rFonts w:ascii="Times New Roman" w:eastAsia="Times New Roman" w:hAnsi="Times New Roman" w:cs="Times New Roman"/>
          <w:sz w:val="24"/>
          <w:szCs w:val="24"/>
          <w:lang w:val="en-US"/>
        </w:rPr>
        <w:t xml:space="preserve"> that contributions are valued, and responding in ways that preserve students’ dignity—students report stronger classroom connectedness and improved learning-related outcomes (</w:t>
      </w:r>
      <w:proofErr w:type="spellStart"/>
      <w:r w:rsidRPr="00683EC3">
        <w:rPr>
          <w:rFonts w:ascii="Times New Roman" w:eastAsia="Times New Roman" w:hAnsi="Times New Roman" w:cs="Times New Roman"/>
          <w:sz w:val="24"/>
          <w:szCs w:val="24"/>
          <w:lang w:val="en-US"/>
        </w:rPr>
        <w:t>Aloia</w:t>
      </w:r>
      <w:proofErr w:type="spellEnd"/>
      <w:r w:rsidRPr="00683EC3">
        <w:rPr>
          <w:rFonts w:ascii="Times New Roman" w:eastAsia="Times New Roman" w:hAnsi="Times New Roman" w:cs="Times New Roman"/>
          <w:sz w:val="24"/>
          <w:szCs w:val="24"/>
          <w:lang w:val="en-US"/>
        </w:rPr>
        <w:t xml:space="preserve">, 2021; </w:t>
      </w:r>
      <w:proofErr w:type="spellStart"/>
      <w:r w:rsidRPr="00683EC3">
        <w:rPr>
          <w:rFonts w:ascii="Times New Roman" w:eastAsia="Times New Roman" w:hAnsi="Times New Roman" w:cs="Times New Roman"/>
          <w:sz w:val="24"/>
          <w:szCs w:val="24"/>
          <w:lang w:val="en-US"/>
        </w:rPr>
        <w:t>Sidelinger</w:t>
      </w:r>
      <w:proofErr w:type="spellEnd"/>
      <w:r w:rsidRPr="00683EC3">
        <w:rPr>
          <w:rFonts w:ascii="Times New Roman" w:eastAsia="Times New Roman" w:hAnsi="Times New Roman" w:cs="Times New Roman"/>
          <w:sz w:val="24"/>
          <w:szCs w:val="24"/>
          <w:lang w:val="en-US"/>
        </w:rPr>
        <w:t xml:space="preserve"> &amp; Booth-Butterfield, 2010). Confirmation is especially important in higher education because many students hesitate to speak due to fear of being judged as “underprepared,” especially first-generation learners, linguistic minorities, or students returning after gaps in study. By normalizing questions, naming struggle as expected, and inviting office-hour contact as a routine resource (not a remedial one), instructors lower the social cost of engagement and reduce avoidance behaviors that can look like “disruption” (e.g., withdrawal, sarcasm, passive resistance). </w:t>
      </w:r>
    </w:p>
    <w:p w:rsidR="00683EC3" w:rsidRPr="00683EC3" w:rsidRDefault="00683EC3" w:rsidP="002B518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83EC3">
        <w:rPr>
          <w:rFonts w:ascii="Times New Roman" w:eastAsia="Times New Roman" w:hAnsi="Times New Roman" w:cs="Times New Roman"/>
          <w:b/>
          <w:bCs/>
          <w:sz w:val="27"/>
          <w:szCs w:val="27"/>
          <w:lang w:val="en-US"/>
        </w:rPr>
        <w:t>4.3. Immediacy as a tool for motivation, de-escalation, and participation</w:t>
      </w:r>
    </w:p>
    <w:p w:rsidR="00683EC3" w:rsidRPr="00683EC3" w:rsidRDefault="00683EC3" w:rsidP="002B518B">
      <w:pPr>
        <w:spacing w:before="100" w:beforeAutospacing="1" w:after="100" w:afterAutospacing="1" w:line="240" w:lineRule="auto"/>
        <w:jc w:val="both"/>
        <w:rPr>
          <w:rFonts w:ascii="Times New Roman" w:eastAsia="Times New Roman" w:hAnsi="Times New Roman" w:cs="Times New Roman"/>
          <w:sz w:val="24"/>
          <w:szCs w:val="24"/>
          <w:lang w:val="en-US"/>
        </w:rPr>
      </w:pPr>
      <w:r w:rsidRPr="00683EC3">
        <w:rPr>
          <w:rFonts w:ascii="Times New Roman" w:eastAsia="Times New Roman" w:hAnsi="Times New Roman" w:cs="Times New Roman"/>
          <w:sz w:val="24"/>
          <w:szCs w:val="24"/>
          <w:lang w:val="en-US"/>
        </w:rPr>
        <w:t>Teacher immediacy—verbal and non-verbal behaviors that reduce psychological distance—has been repeatedly linked to student motivation and more positive classroom climates. A systematic review synthesizing this literature reports largely positive associations between immediacy and student motivation across many university learning contexts (Liu., 2021). In practice, immediacy does not mean being “casual” or lowering standards; it means expressing professional warmth while sustaining academic rigor. Verbal immediacy can include learning and using students’ names, employing inclusive pronouns (“we” and “our goals”), inviting questions with low-stakes prompts, and briefly explaining the rationale behind policies. Non-verbal immediacy can include eye contact, approachable posture, vocal variety, and movement that communicates attentiveness rather than distance. Evidence from instructional communication research also suggests immediacy relates to affective and cognitive learning outcomes in higher education settings (</w:t>
      </w:r>
      <w:proofErr w:type="spellStart"/>
      <w:r w:rsidRPr="00683EC3">
        <w:rPr>
          <w:rFonts w:ascii="Times New Roman" w:eastAsia="Times New Roman" w:hAnsi="Times New Roman" w:cs="Times New Roman"/>
          <w:sz w:val="24"/>
          <w:szCs w:val="24"/>
          <w:lang w:val="en-US"/>
        </w:rPr>
        <w:t>LeFebvre</w:t>
      </w:r>
      <w:proofErr w:type="spellEnd"/>
      <w:r w:rsidRPr="00683EC3">
        <w:rPr>
          <w:rFonts w:ascii="Times New Roman" w:eastAsia="Times New Roman" w:hAnsi="Times New Roman" w:cs="Times New Roman"/>
          <w:sz w:val="24"/>
          <w:szCs w:val="24"/>
          <w:lang w:val="en-US"/>
        </w:rPr>
        <w:t xml:space="preserve"> &amp; Allen, 2014). These behaviors matter for management because they reduce escalation: students are less likely to interpret corrective feedback as personal attack when it comes from an instructor they experience as attentive and respectful. Moreover, immediacy creates “micro-permissions” for participation, particularly for quieter students who need repeated cues that they will not be embarrassed for trying. Importantly, immediacy should be inclusive: some students may experience direct eye contact or public calling-out as uncomfortable; thus, offering multiple participation pathways (chat, anonymous question tools, small-group spokesperson roles) allows immediacy to support equity rather than impose a single interaction style (Liu, 2021). </w:t>
      </w:r>
    </w:p>
    <w:p w:rsidR="00683EC3" w:rsidRPr="00683EC3" w:rsidRDefault="00683EC3" w:rsidP="002B518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83EC3">
        <w:rPr>
          <w:rFonts w:ascii="Times New Roman" w:eastAsia="Times New Roman" w:hAnsi="Times New Roman" w:cs="Times New Roman"/>
          <w:b/>
          <w:bCs/>
          <w:sz w:val="27"/>
          <w:szCs w:val="27"/>
          <w:lang w:val="en-US"/>
        </w:rPr>
        <w:t>4.4. Trust, credibility, and the moral authority of classroom norms</w:t>
      </w:r>
    </w:p>
    <w:p w:rsidR="00683EC3" w:rsidRPr="00683EC3" w:rsidRDefault="00683EC3" w:rsidP="002B518B">
      <w:pPr>
        <w:spacing w:before="100" w:beforeAutospacing="1" w:after="100" w:afterAutospacing="1" w:line="240" w:lineRule="auto"/>
        <w:jc w:val="both"/>
        <w:rPr>
          <w:rFonts w:ascii="Times New Roman" w:eastAsia="Times New Roman" w:hAnsi="Times New Roman" w:cs="Times New Roman"/>
          <w:sz w:val="24"/>
          <w:szCs w:val="24"/>
          <w:lang w:val="en-US"/>
        </w:rPr>
      </w:pPr>
      <w:r w:rsidRPr="00683EC3">
        <w:rPr>
          <w:rFonts w:ascii="Times New Roman" w:eastAsia="Times New Roman" w:hAnsi="Times New Roman" w:cs="Times New Roman"/>
          <w:sz w:val="24"/>
          <w:szCs w:val="24"/>
          <w:lang w:val="en-US"/>
        </w:rPr>
        <w:t xml:space="preserve">Trust in higher education classrooms is strongly shaped by perceived credibility: students’ beliefs that the instructor is competent, honest, and cares about students’ success. Meta-analytic work in instructional communication has shown teacher credibility is meaningfully associated with student outcomes and with instructor behaviors that students interpret as competent and supportive (Finn et al., 2009). Trust also depends on consistency. When </w:t>
      </w:r>
      <w:r w:rsidRPr="00683EC3">
        <w:rPr>
          <w:rFonts w:ascii="Times New Roman" w:eastAsia="Times New Roman" w:hAnsi="Times New Roman" w:cs="Times New Roman"/>
          <w:sz w:val="24"/>
          <w:szCs w:val="24"/>
          <w:lang w:val="en-US"/>
        </w:rPr>
        <w:lastRenderedPageBreak/>
        <w:t>deadlines, grading standards, and participation norms are applied unevenly, students may respond with disengagement, conflict, or “testing boundaries.” Relationship-centered management therefore treats fairness as a daily communicative practice: transparent grading criteria, timely feedback, and explicit explanations when exceptions are granted. Research also shows that confirmation and connectedness processes can influence learning pathways; when students feel supported and connected, they are more likely to remain involved rather than withdrawing when challenged (</w:t>
      </w:r>
      <w:proofErr w:type="spellStart"/>
      <w:r w:rsidRPr="00683EC3">
        <w:rPr>
          <w:rFonts w:ascii="Times New Roman" w:eastAsia="Times New Roman" w:hAnsi="Times New Roman" w:cs="Times New Roman"/>
          <w:sz w:val="24"/>
          <w:szCs w:val="24"/>
          <w:lang w:val="en-US"/>
        </w:rPr>
        <w:t>Aloia</w:t>
      </w:r>
      <w:proofErr w:type="spellEnd"/>
      <w:r w:rsidRPr="00683EC3">
        <w:rPr>
          <w:rFonts w:ascii="Times New Roman" w:eastAsia="Times New Roman" w:hAnsi="Times New Roman" w:cs="Times New Roman"/>
          <w:sz w:val="24"/>
          <w:szCs w:val="24"/>
          <w:lang w:val="en-US"/>
        </w:rPr>
        <w:t xml:space="preserve">, 2021; Burns et al., 2018). Trust is additionally built through repair. In real classrooms, instructors occasionally miss a question, respond too quickly, or fail to recognize how a comment lands across cultures. A brief repair—naming what happened, clarifying intent without defensiveness, and stating the standard the class will follow—can prevent small ruptures from becoming chronic resistance. In this way, trust becomes the instructor’s “moral authority”: norms are followed not because students fear penalties, but because they view the instructor as legitimate and the classroom as worth protecting. </w:t>
      </w:r>
    </w:p>
    <w:p w:rsidR="00683EC3" w:rsidRPr="00683EC3" w:rsidRDefault="00683EC3" w:rsidP="002B518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83EC3">
        <w:rPr>
          <w:rFonts w:ascii="Times New Roman" w:eastAsia="Times New Roman" w:hAnsi="Times New Roman" w:cs="Times New Roman"/>
          <w:b/>
          <w:bCs/>
          <w:sz w:val="27"/>
          <w:szCs w:val="27"/>
          <w:lang w:val="en-US"/>
        </w:rPr>
        <w:t>4.5. Rapport and boundaries: professional warmth without role confusion</w:t>
      </w:r>
    </w:p>
    <w:p w:rsidR="00683EC3" w:rsidRPr="00683EC3" w:rsidRDefault="00683EC3" w:rsidP="002B518B">
      <w:pPr>
        <w:spacing w:before="100" w:beforeAutospacing="1" w:after="100" w:afterAutospacing="1" w:line="240" w:lineRule="auto"/>
        <w:jc w:val="both"/>
        <w:rPr>
          <w:rFonts w:ascii="Times New Roman" w:eastAsia="Times New Roman" w:hAnsi="Times New Roman" w:cs="Times New Roman"/>
          <w:sz w:val="24"/>
          <w:szCs w:val="24"/>
          <w:lang w:val="en-US"/>
        </w:rPr>
      </w:pPr>
      <w:r w:rsidRPr="00683EC3">
        <w:rPr>
          <w:rFonts w:ascii="Times New Roman" w:eastAsia="Times New Roman" w:hAnsi="Times New Roman" w:cs="Times New Roman"/>
          <w:sz w:val="24"/>
          <w:szCs w:val="24"/>
          <w:lang w:val="en-US"/>
        </w:rPr>
        <w:t xml:space="preserve">Rapport is often discussed as a “nice extra,” but in relationship-centered management it is a mechanism that increases cooperation and reduces adversarial dynamics. Qualitative evidence on rapport-building in face-to-face higher education classrooms emphasizes that rapport is sustained through repeated, small behaviors (accessibility, responsive feedback, respectful humor, remembering prior interactions) and through contextual choices that humanize the course without diluting academic expectations (Flanigan et al., 2021). Caring behaviors also matter: students’ perceptions that the instructor cares correlate with greater engagement and willingness to persist, especially in difficult courses (Meyers, 2009). However, rapport is most effective when paired with clear boundaries. Over-familiarity can increase perceptions of favoritism or create ambiguity about standards. The goal is “warm demand”: high expectations communicated with respect, frequent formative feedback, and predictable procedures for disagreement (e.g., how to challenge a grade, how to handle sensitive topics). When rapport and boundaries coexist, students tend to interpret correction as coaching rather than control, which is precisely the shift that makes classroom management in higher education sustainable. </w:t>
      </w:r>
    </w:p>
    <w:p w:rsidR="00683EC3" w:rsidRPr="00683EC3" w:rsidRDefault="00683EC3" w:rsidP="002B518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83EC3">
        <w:rPr>
          <w:rFonts w:ascii="Times New Roman" w:eastAsia="Times New Roman" w:hAnsi="Times New Roman" w:cs="Times New Roman"/>
          <w:b/>
          <w:bCs/>
          <w:sz w:val="27"/>
          <w:szCs w:val="27"/>
          <w:lang w:val="en-US"/>
        </w:rPr>
        <w:t>4.6. Relationship-centered management as prevention of incivility</w:t>
      </w:r>
    </w:p>
    <w:p w:rsidR="00683EC3" w:rsidRPr="00683EC3" w:rsidRDefault="00683EC3" w:rsidP="002B518B">
      <w:pPr>
        <w:spacing w:before="100" w:beforeAutospacing="1" w:after="100" w:afterAutospacing="1" w:line="240" w:lineRule="auto"/>
        <w:jc w:val="both"/>
        <w:rPr>
          <w:rFonts w:ascii="Times New Roman" w:eastAsia="Times New Roman" w:hAnsi="Times New Roman" w:cs="Times New Roman"/>
          <w:sz w:val="24"/>
          <w:szCs w:val="24"/>
          <w:lang w:val="en-US"/>
        </w:rPr>
      </w:pPr>
      <w:r w:rsidRPr="00683EC3">
        <w:rPr>
          <w:rFonts w:ascii="Times New Roman" w:eastAsia="Times New Roman" w:hAnsi="Times New Roman" w:cs="Times New Roman"/>
          <w:sz w:val="24"/>
          <w:szCs w:val="24"/>
          <w:lang w:val="en-US"/>
        </w:rPr>
        <w:t xml:space="preserve">Finally, relationship-centered management is protective against incivility and erosion of climate, especially in large or high-stress programs. Incivility is not only a “student problem”; students’ experiences of lecturer behavior can shape motivation, self-efficacy, and performance. Evidence from Vietnamese higher education, for example, links lecturer incivility to worse academic outcomes and identifies social support as a relevant moderator (Nguyen-Viet &amp; Nguyen, 2024). While contexts vary, the implication is broadly relevant: respectful communication and trust-building are not merely interpersonal preferences—they are part of the learning environment’s safety architecture. Instructors can reduce risk by setting norms for discussion early, modelling respectful disagreement, responding quickly to small signs of disrespect, and using private, dignity-preserving interventions when correction is needed. When such practices are anchored in credibility, immediacy, and confirmation, they function as proactive management: the class becomes easier to lead because students experience it as a cooperative space with shared purpose. </w:t>
      </w:r>
    </w:p>
    <w:p w:rsidR="00755BDC" w:rsidRDefault="00755BDC" w:rsidP="002B518B">
      <w:pPr>
        <w:jc w:val="both"/>
      </w:pPr>
    </w:p>
    <w:p w:rsidR="00755BDC" w:rsidRDefault="00755BDC" w:rsidP="002B518B">
      <w:pPr>
        <w:pStyle w:val="Heading2"/>
        <w:jc w:val="both"/>
      </w:pPr>
      <w:r>
        <w:lastRenderedPageBreak/>
        <w:t>5. Motivation and autonomy support as classroom management</w:t>
      </w:r>
    </w:p>
    <w:p w:rsidR="00755BDC" w:rsidRDefault="00755BDC" w:rsidP="002B518B">
      <w:pPr>
        <w:pStyle w:val="Heading3"/>
        <w:jc w:val="both"/>
      </w:pPr>
      <w:r>
        <w:t>5.1. Why autonomy matters in higher education</w:t>
      </w:r>
    </w:p>
    <w:p w:rsidR="00755BDC" w:rsidRDefault="00755BDC" w:rsidP="002B518B">
      <w:pPr>
        <w:pStyle w:val="NormalWeb"/>
        <w:jc w:val="both"/>
      </w:pPr>
      <w:r>
        <w:t>University students have multiple competing demands and high sensitivity to whether course activities feel meaningful. Self-determination theory emphasizes that motivation is stronger and more sustainable when students experience autonomy, competence, and relatedness. Higher-education meta-analytic evidence suggests perceived autonomy support is positively associated with achievement-related outcomes (Okada, 2023).</w:t>
      </w:r>
    </w:p>
    <w:p w:rsidR="00755BDC" w:rsidRDefault="00755BDC" w:rsidP="002B518B">
      <w:pPr>
        <w:pStyle w:val="Heading3"/>
        <w:jc w:val="both"/>
      </w:pPr>
      <w:r>
        <w:t>5.2. Autonomy support with structure, not instead of structure</w:t>
      </w:r>
    </w:p>
    <w:p w:rsidR="00755BDC" w:rsidRDefault="00755BDC" w:rsidP="002B518B">
      <w:pPr>
        <w:pStyle w:val="NormalWeb"/>
        <w:jc w:val="both"/>
      </w:pPr>
      <w:r>
        <w:t>A common misconception is that autonomy-supportive teaching is equivalent to permissiveness. In reality, autonomy support works best with structure: clear expectations paired with meaningful rationales, options within boundaries, and respectful language. A systematic review of autonomy support and student engagement highlights strategies such as offering choices, acknowledging negative emotions, using non-controlling language, and providing explanatory rationales (Yang et al., 2022).</w:t>
      </w:r>
    </w:p>
    <w:p w:rsidR="00755BDC" w:rsidRDefault="00755BDC" w:rsidP="002B518B">
      <w:pPr>
        <w:pStyle w:val="NormalWeb"/>
        <w:jc w:val="both"/>
      </w:pPr>
      <w:r>
        <w:t>These strategies also reduce classroom management problems by lowering psychological reactance (“You can’t make me”), increasing cooperation, and improving persistence during challenging tasks. Autonomy support is therefore a preventative management approach: it reduces the likelihood that students experience course demands as arbitrary impositions.</w:t>
      </w:r>
    </w:p>
    <w:p w:rsidR="00755BDC" w:rsidRDefault="00755BDC" w:rsidP="002B518B">
      <w:pPr>
        <w:jc w:val="both"/>
      </w:pPr>
    </w:p>
    <w:p w:rsidR="00755BDC" w:rsidRDefault="00755BDC" w:rsidP="002B518B">
      <w:pPr>
        <w:pStyle w:val="Heading2"/>
        <w:jc w:val="both"/>
      </w:pPr>
      <w:r>
        <w:t>6. Inclusion, belonging, and trauma-informed perspectives</w:t>
      </w:r>
    </w:p>
    <w:p w:rsidR="00755BDC" w:rsidRDefault="00755BDC" w:rsidP="002B518B">
      <w:pPr>
        <w:pStyle w:val="Heading3"/>
        <w:jc w:val="both"/>
      </w:pPr>
      <w:r>
        <w:t>6.1. Belonging as a participation mechanism</w:t>
      </w:r>
    </w:p>
    <w:p w:rsidR="00755BDC" w:rsidRDefault="00755BDC" w:rsidP="002B518B">
      <w:pPr>
        <w:pStyle w:val="NormalWeb"/>
        <w:jc w:val="both"/>
      </w:pPr>
      <w:r>
        <w:t>Belonging is not a vague feeling; it is a behavioral mechanism. When students believe they belong, they are more willing to speak, collaborate, seek help, and persist after setbacks. Reviews note that definitions and measurement of belonging vary, but the construct consistently relates to engagement and persistence in higher education (Dias-</w:t>
      </w:r>
      <w:proofErr w:type="spellStart"/>
      <w:r>
        <w:t>Broens</w:t>
      </w:r>
      <w:proofErr w:type="spellEnd"/>
      <w:r>
        <w:t xml:space="preserve"> et al., 2024).</w:t>
      </w:r>
    </w:p>
    <w:p w:rsidR="00755BDC" w:rsidRDefault="00755BDC" w:rsidP="002B518B">
      <w:pPr>
        <w:pStyle w:val="NormalWeb"/>
        <w:jc w:val="both"/>
      </w:pPr>
      <w:r>
        <w:t>Classic experimental evidence shows that belonging-supportive interventions can improve academic and health outcomes over time for minority students by reframing adversity as common and transient (Walton &amp; Cohen, 2011). Classroom management implications are immediate: instructors should communicate early that struggle is normal, support is available, and competence is developed through practice—not fixed. This reduces threat interpretations that often precede withdrawal or conflict.</w:t>
      </w:r>
    </w:p>
    <w:p w:rsidR="00755BDC" w:rsidRDefault="00755BDC" w:rsidP="002B518B">
      <w:pPr>
        <w:pStyle w:val="Heading3"/>
        <w:jc w:val="both"/>
      </w:pPr>
      <w:r>
        <w:t>6.2. Inclusive policies and Universal Design for Learning</w:t>
      </w:r>
    </w:p>
    <w:p w:rsidR="00755BDC" w:rsidRDefault="00755BDC" w:rsidP="002B518B">
      <w:pPr>
        <w:pStyle w:val="NormalWeb"/>
        <w:jc w:val="both"/>
      </w:pPr>
      <w:r>
        <w:t xml:space="preserve">Inclusive classrooms are supported not only by instructor goodwill but by systematic design that anticipates variability. A systematic review of inclusive policies and practices in higher </w:t>
      </w:r>
      <w:r>
        <w:lastRenderedPageBreak/>
        <w:t>education highlights that inclusion is multifaceted—covering teaching practices, institutional supports, and structural barriers—and that fragmented implementation can limit impact (</w:t>
      </w:r>
      <w:proofErr w:type="spellStart"/>
      <w:r>
        <w:t>Filippou</w:t>
      </w:r>
      <w:proofErr w:type="spellEnd"/>
      <w:r>
        <w:t xml:space="preserve"> et al., 2025).</w:t>
      </w:r>
    </w:p>
    <w:p w:rsidR="00755BDC" w:rsidRDefault="00755BDC" w:rsidP="002B518B">
      <w:pPr>
        <w:pStyle w:val="NormalWeb"/>
        <w:jc w:val="both"/>
      </w:pPr>
      <w:r>
        <w:t>Universal Design for Learning (UDL) provides a widely used framework for designing multiple means of engagement, representation, and action/expression. A recent systematic review of UDL in higher education (Teaching in Higher Education) indicates growing empirical attention to how UDL-informed design can support participation and accessibility across diverse learners (</w:t>
      </w:r>
      <w:proofErr w:type="spellStart"/>
      <w:r w:rsidR="002F05FB" w:rsidRPr="002F05FB">
        <w:t>Almeqdad</w:t>
      </w:r>
      <w:proofErr w:type="spellEnd"/>
      <w:r>
        <w:t xml:space="preserve"> et al., 20</w:t>
      </w:r>
      <w:r w:rsidR="002F05FB">
        <w:t>23</w:t>
      </w:r>
      <w:r>
        <w:t>). For classroom management, UDL reduces “predictable problems”: if only one mode of participation is valued, students with constraints are more likely to disengage or appear “unmotivated.” Multiple pathways make engagement more feasible and reduce conflict around accommodations.</w:t>
      </w:r>
    </w:p>
    <w:p w:rsidR="00755BDC" w:rsidRDefault="00755BDC" w:rsidP="002B518B">
      <w:pPr>
        <w:pStyle w:val="Heading3"/>
        <w:jc w:val="both"/>
      </w:pPr>
      <w:r>
        <w:t>6.3. Trauma-informed pedagogy and sensitive content</w:t>
      </w:r>
    </w:p>
    <w:p w:rsidR="00755BDC" w:rsidRDefault="00755BDC" w:rsidP="002B518B">
      <w:pPr>
        <w:pStyle w:val="NormalWeb"/>
        <w:jc w:val="both"/>
      </w:pPr>
      <w:r>
        <w:t>Some higher education classrooms include distressing material (e.g., violence, discrimination, disasters, clinical topics). Trauma-informed pedagogy does not require removing such content; it requires teaching it in ways that reduce unnecessary harm while preserving learning goals. A qualitative study on trauma-informed pedagogy in higher education highlights the importance of preparation, choice in engagement, check-ins, and clear support pathways, while also noting gaps in training and institutional policy (</w:t>
      </w:r>
      <w:proofErr w:type="spellStart"/>
      <w:r>
        <w:t>Bitanihirwe</w:t>
      </w:r>
      <w:proofErr w:type="spellEnd"/>
      <w:r>
        <w:t xml:space="preserve"> &amp; Imad, 2023).</w:t>
      </w:r>
    </w:p>
    <w:p w:rsidR="00755BDC" w:rsidRDefault="00755BDC" w:rsidP="002B518B">
      <w:pPr>
        <w:pStyle w:val="NormalWeb"/>
        <w:jc w:val="both"/>
      </w:pPr>
      <w:r>
        <w:t>Trauma-informed strategies overlap with good classroom management: predictable structure, respectful communication, and relational trust. Importantly, trauma-informed approaches also address instructor wellbeing (e.g., co-regulation, peer support), which indirectly affects classroom climate.</w:t>
      </w:r>
    </w:p>
    <w:p w:rsidR="00755BDC" w:rsidRDefault="00755BDC" w:rsidP="002B518B">
      <w:pPr>
        <w:jc w:val="both"/>
      </w:pPr>
    </w:p>
    <w:p w:rsidR="00755BDC" w:rsidRDefault="00755BDC" w:rsidP="002B518B">
      <w:pPr>
        <w:pStyle w:val="Heading2"/>
        <w:jc w:val="both"/>
      </w:pPr>
      <w:r>
        <w:t>7. Managing conflict, incivility, and perceptions of unfairness</w:t>
      </w:r>
    </w:p>
    <w:p w:rsidR="00755BDC" w:rsidRDefault="00755BDC" w:rsidP="002B518B">
      <w:pPr>
        <w:pStyle w:val="Heading3"/>
        <w:jc w:val="both"/>
      </w:pPr>
      <w:r>
        <w:t>7.1. Incivility in higher education as a climate signal</w:t>
      </w:r>
    </w:p>
    <w:p w:rsidR="00755BDC" w:rsidRDefault="00755BDC" w:rsidP="002B518B">
      <w:pPr>
        <w:pStyle w:val="NormalWeb"/>
        <w:jc w:val="both"/>
      </w:pPr>
      <w:r>
        <w:t>Incivility and disruption in higher education can stem from stress, unclear norms, perceived disrespect, cultural misunderstandings, or broader institutional inequities. Rather than treating incivility solely as individual misbehavior, contemporary scholarship emphasizes the social and identity dynamics of incivility and how it may be differentially experienced across groups (Hudgins et al., 2023).</w:t>
      </w:r>
    </w:p>
    <w:p w:rsidR="00755BDC" w:rsidRDefault="00755BDC" w:rsidP="002B518B">
      <w:pPr>
        <w:pStyle w:val="NormalWeb"/>
        <w:jc w:val="both"/>
      </w:pPr>
      <w:r>
        <w:t>For instructors, prevention is more scalable than reaction. Prevention includes: explicit norms for discussion and collaboration; transparent policies with rationales; consistent enforcement; and early intervention through private, respectful conversations. When harm occurs, responses should focus on accountability and repair rather than humiliation, which tends to escalate conflict.</w:t>
      </w:r>
    </w:p>
    <w:p w:rsidR="00755BDC" w:rsidRDefault="00755BDC" w:rsidP="002B518B">
      <w:pPr>
        <w:pStyle w:val="Heading3"/>
        <w:jc w:val="both"/>
      </w:pPr>
      <w:r>
        <w:t>7.2. Classroom justice and the management of resentment</w:t>
      </w:r>
    </w:p>
    <w:p w:rsidR="00755BDC" w:rsidRDefault="00755BDC" w:rsidP="002B518B">
      <w:pPr>
        <w:pStyle w:val="NormalWeb"/>
        <w:jc w:val="both"/>
      </w:pPr>
      <w:r>
        <w:lastRenderedPageBreak/>
        <w:t>Students’ perceptions of unfairness can produce strong emotional responses (anger, disgust) and damaging behaviors (dissent, verbal aggression, withdrawal). Evidence indicates that perceived instructor injustice is associated with consequential student reactions (</w:t>
      </w:r>
      <w:proofErr w:type="spellStart"/>
      <w:r>
        <w:t>Chory</w:t>
      </w:r>
      <w:proofErr w:type="spellEnd"/>
      <w:r>
        <w:t xml:space="preserve"> &amp; Horan, 2017). This makes fairness a management issue, not just an ethical ideal. Fairness is strengthened by: clear grading criteria; opportunities to demonstrate learning; consistent application of policies; transparent explanations for decisions; and error-correction mechanisms (e.g., regrade requests with justification, rubric-based feedback).</w:t>
      </w:r>
    </w:p>
    <w:p w:rsidR="00755BDC" w:rsidRDefault="00755BDC" w:rsidP="002B518B">
      <w:pPr>
        <w:pStyle w:val="Heading3"/>
        <w:jc w:val="both"/>
      </w:pPr>
      <w:r>
        <w:t>7.3. Restorative approaches in higher education classrooms</w:t>
      </w:r>
    </w:p>
    <w:p w:rsidR="00755BDC" w:rsidRDefault="00755BDC" w:rsidP="002B518B">
      <w:pPr>
        <w:pStyle w:val="NormalWeb"/>
        <w:jc w:val="both"/>
      </w:pPr>
      <w:r>
        <w:t>Restorative practices focus on repairing harm, strengthening relationships, and rebuilding community norms. Although much restorative research originates in K–12, higher education applications are expanding. A recent open-access study of restorative justice implementation across higher education institutions highlights both enthusiasm and practical barriers (resources, shared understanding, normalization into routines), offering implementation insights relevant to classroom-level practice (</w:t>
      </w:r>
      <w:proofErr w:type="spellStart"/>
      <w:r>
        <w:t>Bussu</w:t>
      </w:r>
      <w:proofErr w:type="spellEnd"/>
      <w:r>
        <w:t xml:space="preserve"> &amp; Karp, 2025).</w:t>
      </w:r>
    </w:p>
    <w:p w:rsidR="00755BDC" w:rsidRDefault="00755BDC" w:rsidP="002B518B">
      <w:pPr>
        <w:pStyle w:val="NormalWeb"/>
        <w:jc w:val="both"/>
      </w:pPr>
      <w:r>
        <w:t>At the classroom level, “restorative” can mean facilitated dialogues after conflict, structured reflection on harm and needs, and agreements about future behavior. The aim is to preserve dignity while maintaining boundaries and protecting learning.</w:t>
      </w:r>
    </w:p>
    <w:p w:rsidR="00755BDC" w:rsidRDefault="00755BDC" w:rsidP="002B518B">
      <w:pPr>
        <w:jc w:val="both"/>
      </w:pPr>
    </w:p>
    <w:p w:rsidR="00755BDC" w:rsidRDefault="00755BDC" w:rsidP="002B518B">
      <w:pPr>
        <w:pStyle w:val="Heading2"/>
        <w:jc w:val="both"/>
      </w:pPr>
      <w:r>
        <w:t>8. Assessment and feedback as climate-building practices</w:t>
      </w:r>
    </w:p>
    <w:p w:rsidR="00755BDC" w:rsidRDefault="00755BDC" w:rsidP="002B518B">
      <w:pPr>
        <w:pStyle w:val="Heading3"/>
        <w:jc w:val="both"/>
      </w:pPr>
      <w:r>
        <w:t>8.1. Formative assessment and feedback for learning</w:t>
      </w:r>
    </w:p>
    <w:p w:rsidR="00755BDC" w:rsidRDefault="00755BDC" w:rsidP="002B518B">
      <w:pPr>
        <w:pStyle w:val="NormalWeb"/>
        <w:jc w:val="both"/>
      </w:pPr>
      <w:r>
        <w:t>Assessment is one of the most powerful climate signals: it communicates what counts, who is valued, and whether growth is possible. A systematic review of causal evidence on formative assessment and feedback in higher education indicates that well-designed formative practices can support learning, but effects depend on implementation quality and context (Morris et al., 2021).</w:t>
      </w:r>
    </w:p>
    <w:p w:rsidR="00755BDC" w:rsidRDefault="00755BDC" w:rsidP="002B518B">
      <w:pPr>
        <w:pStyle w:val="NormalWeb"/>
        <w:jc w:val="both"/>
      </w:pPr>
      <w:r>
        <w:t>For classroom management, formative assessment reduces high-stakes tension and creates regular opportunities to recalibrate. When students receive feedback early and often, they are less likely to experience assessment as arbitrary judgment and more likely to see it as guidance. Clear feedback cycles also reduce conflict about grades because students understand how performance is evaluated and how to improve.</w:t>
      </w:r>
    </w:p>
    <w:p w:rsidR="00755BDC" w:rsidRDefault="00755BDC" w:rsidP="002B518B">
      <w:pPr>
        <w:pStyle w:val="Heading3"/>
        <w:jc w:val="both"/>
      </w:pPr>
      <w:r>
        <w:t>8.2. Feedback literacy and student agency</w:t>
      </w:r>
    </w:p>
    <w:p w:rsidR="00755BDC" w:rsidRDefault="00755BDC" w:rsidP="002B518B">
      <w:pPr>
        <w:pStyle w:val="NormalWeb"/>
        <w:jc w:val="both"/>
      </w:pPr>
      <w:r>
        <w:t>Positive environments are reinforced when feedback is usable. Instructors can support feedback literacy by: (a) explaining what feedback is for, (b) asking students to plan revisions, (c) using exemplars, and (d) connecting feedback to explicit criteria. These practices align with autonomy support: students feel capable of acting on feedback rather than merely receiving evaluation.</w:t>
      </w:r>
    </w:p>
    <w:p w:rsidR="00755BDC" w:rsidRDefault="00755BDC" w:rsidP="002B518B">
      <w:pPr>
        <w:jc w:val="both"/>
      </w:pPr>
    </w:p>
    <w:p w:rsidR="00755BDC" w:rsidRDefault="00755BDC" w:rsidP="002B518B">
      <w:pPr>
        <w:pStyle w:val="Heading2"/>
        <w:jc w:val="both"/>
      </w:pPr>
      <w:r>
        <w:lastRenderedPageBreak/>
        <w:t>9. Conclusions</w:t>
      </w:r>
    </w:p>
    <w:p w:rsidR="00683EC3" w:rsidRDefault="00683EC3" w:rsidP="002B518B">
      <w:pPr>
        <w:pStyle w:val="NormalWeb"/>
        <w:numPr>
          <w:ilvl w:val="0"/>
          <w:numId w:val="43"/>
        </w:numPr>
        <w:jc w:val="both"/>
      </w:pPr>
      <w:r>
        <w:rPr>
          <w:rStyle w:val="Strong"/>
        </w:rPr>
        <w:t>Classroom management in higher education is fundamentally design- and relationship-driven.</w:t>
      </w:r>
      <w:r>
        <w:t xml:space="preserve"> The most sustainable “management” is achieved when course structures, participation routines, and instructor communication collectively reduce uncertainty and support engagement rather than relying on reactive control.</w:t>
      </w:r>
    </w:p>
    <w:p w:rsidR="00683EC3" w:rsidRDefault="00683EC3" w:rsidP="002B518B">
      <w:pPr>
        <w:pStyle w:val="NormalWeb"/>
        <w:numPr>
          <w:ilvl w:val="0"/>
          <w:numId w:val="43"/>
        </w:numPr>
        <w:jc w:val="both"/>
      </w:pPr>
      <w:r>
        <w:rPr>
          <w:rStyle w:val="Strong"/>
        </w:rPr>
        <w:t>Positive learning environments begin with clarity.</w:t>
      </w:r>
      <w:r>
        <w:t xml:space="preserve"> Clear learning outcomes, consistent weekly rhythms, transparent assessment criteria, and predictable feedback cycles lower confusion, reduce frustration, and prevent many conflicts that emerge from perceived arbitrariness.</w:t>
      </w:r>
    </w:p>
    <w:p w:rsidR="00683EC3" w:rsidRDefault="00683EC3" w:rsidP="002B518B">
      <w:pPr>
        <w:pStyle w:val="NormalWeb"/>
        <w:numPr>
          <w:ilvl w:val="0"/>
          <w:numId w:val="43"/>
        </w:numPr>
        <w:jc w:val="both"/>
      </w:pPr>
      <w:r>
        <w:rPr>
          <w:rStyle w:val="Strong"/>
        </w:rPr>
        <w:t>Engagement is strengthened when participation is scaffolded and normalized.</w:t>
      </w:r>
      <w:r>
        <w:t xml:space="preserve"> Students are more willing to contribute when instructors explicitly teach discussion norms, provide multiple low-risk ways to participate, and regularly reinforce that questions and mistakes are expected parts of learning.</w:t>
      </w:r>
    </w:p>
    <w:p w:rsidR="00683EC3" w:rsidRDefault="00683EC3" w:rsidP="002B518B">
      <w:pPr>
        <w:pStyle w:val="NormalWeb"/>
        <w:numPr>
          <w:ilvl w:val="0"/>
          <w:numId w:val="43"/>
        </w:numPr>
        <w:jc w:val="both"/>
      </w:pPr>
      <w:r>
        <w:rPr>
          <w:rStyle w:val="Strong"/>
        </w:rPr>
        <w:t>Immediacy and respectful communication are preventive management tools.</w:t>
      </w:r>
      <w:r>
        <w:t xml:space="preserve"> Professional warmth, approachability, and timely responsiveness increase cooperation, reduce misinterpretation of corrective feedback, and make it easier to de-escalate tensions before they disrupt the learning climate.</w:t>
      </w:r>
    </w:p>
    <w:p w:rsidR="00683EC3" w:rsidRDefault="00683EC3" w:rsidP="002B518B">
      <w:pPr>
        <w:pStyle w:val="NormalWeb"/>
        <w:numPr>
          <w:ilvl w:val="0"/>
          <w:numId w:val="43"/>
        </w:numPr>
        <w:jc w:val="both"/>
      </w:pPr>
      <w:r>
        <w:rPr>
          <w:rStyle w:val="Strong"/>
        </w:rPr>
        <w:t>Trust is built through fairness, consistency, and repair.</w:t>
      </w:r>
      <w:r>
        <w:t xml:space="preserve"> Students are more likely to accept challenging standards when policies are applied consistently, decisions are explained transparently, and minor relational ruptures are addressed quickly with calm, dignity-preserving corrections.</w:t>
      </w:r>
    </w:p>
    <w:p w:rsidR="00683EC3" w:rsidRDefault="00683EC3" w:rsidP="002B518B">
      <w:pPr>
        <w:pStyle w:val="NormalWeb"/>
        <w:numPr>
          <w:ilvl w:val="0"/>
          <w:numId w:val="43"/>
        </w:numPr>
        <w:jc w:val="both"/>
      </w:pPr>
      <w:r>
        <w:rPr>
          <w:rStyle w:val="Strong"/>
        </w:rPr>
        <w:t>Equity and inclusion are core components of effective management, not optional additions.</w:t>
      </w:r>
      <w:r>
        <w:t xml:space="preserve"> Learning environments become more stable and productive when instruction anticipates learner variability, reduces hidden barriers, and ensures that all students can access participation, support, and assessment pathways.</w:t>
      </w:r>
    </w:p>
    <w:p w:rsidR="00683EC3" w:rsidRDefault="00683EC3" w:rsidP="002B518B">
      <w:pPr>
        <w:pStyle w:val="NormalWeb"/>
        <w:numPr>
          <w:ilvl w:val="0"/>
          <w:numId w:val="43"/>
        </w:numPr>
        <w:jc w:val="both"/>
      </w:pPr>
      <w:r>
        <w:rPr>
          <w:rStyle w:val="Strong"/>
        </w:rPr>
        <w:t>Managing conflict requires both boundaries and restoration.</w:t>
      </w:r>
      <w:r>
        <w:t xml:space="preserve"> Effective instructors </w:t>
      </w:r>
      <w:bookmarkStart w:id="0" w:name="_GoBack"/>
      <w:bookmarkEnd w:id="0"/>
      <w:r>
        <w:t>respond to incivility or disruption with supportive accountability—protecting the learning space while focusing on repair, reflection, and future-oriented agreements when appropriate.</w:t>
      </w:r>
    </w:p>
    <w:p w:rsidR="00683EC3" w:rsidRDefault="00683EC3" w:rsidP="002B518B">
      <w:pPr>
        <w:pStyle w:val="NormalWeb"/>
        <w:numPr>
          <w:ilvl w:val="0"/>
          <w:numId w:val="43"/>
        </w:numPr>
        <w:jc w:val="both"/>
      </w:pPr>
      <w:r>
        <w:rPr>
          <w:rStyle w:val="Strong"/>
        </w:rPr>
        <w:t>Assessment practices shape classroom climate as strongly as teaching practices.</w:t>
      </w:r>
      <w:r>
        <w:t xml:space="preserve"> Low-stakes practice opportunities, meaningful formative feedback, and transparent grading reduce anxiety, support persistence, and lower the likelihood of grade disputes and disengagement.</w:t>
      </w:r>
    </w:p>
    <w:p w:rsidR="00683EC3" w:rsidRDefault="00683EC3" w:rsidP="002B518B">
      <w:pPr>
        <w:pStyle w:val="NormalWeb"/>
        <w:numPr>
          <w:ilvl w:val="0"/>
          <w:numId w:val="43"/>
        </w:numPr>
        <w:jc w:val="both"/>
      </w:pPr>
      <w:r>
        <w:rPr>
          <w:rStyle w:val="Strong"/>
        </w:rPr>
        <w:t>Institutional support determines scalability.</w:t>
      </w:r>
      <w:r>
        <w:t xml:space="preserve"> Faculty development, inclusive teaching resources, coherent conduct processes, and recognition of teaching labor enable instructors to implement evidence-informed practices consistently across departments and class sizes.</w:t>
      </w:r>
    </w:p>
    <w:p w:rsidR="00683EC3" w:rsidRDefault="00683EC3" w:rsidP="002B518B">
      <w:pPr>
        <w:pStyle w:val="NormalWeb"/>
        <w:numPr>
          <w:ilvl w:val="0"/>
          <w:numId w:val="43"/>
        </w:numPr>
        <w:jc w:val="both"/>
      </w:pPr>
      <w:r>
        <w:rPr>
          <w:rStyle w:val="Strong"/>
        </w:rPr>
        <w:t>An integrative approach is the most practical path forward.</w:t>
      </w:r>
      <w:r>
        <w:t xml:space="preserve"> The strongest positive learning environments emerge when course design, communication, motivation support, inclusion, and conflict response are treated as interconnected elements of one system aimed at helping students learn well and participate confidently.</w:t>
      </w:r>
    </w:p>
    <w:p w:rsidR="00755BDC" w:rsidRDefault="00755BDC" w:rsidP="002B518B">
      <w:pPr>
        <w:jc w:val="both"/>
      </w:pPr>
    </w:p>
    <w:p w:rsidR="00755BDC" w:rsidRDefault="00755BDC" w:rsidP="002B518B">
      <w:pPr>
        <w:pStyle w:val="Heading2"/>
        <w:jc w:val="both"/>
      </w:pPr>
      <w:r>
        <w:t>10. Limitations</w:t>
      </w:r>
    </w:p>
    <w:p w:rsidR="009156D7" w:rsidRPr="009156D7" w:rsidRDefault="009156D7" w:rsidP="002B518B">
      <w:pPr>
        <w:pStyle w:val="NormalWeb"/>
        <w:numPr>
          <w:ilvl w:val="0"/>
          <w:numId w:val="44"/>
        </w:numPr>
        <w:jc w:val="both"/>
        <w:rPr>
          <w:rStyle w:val="Strong"/>
          <w:bCs w:val="0"/>
          <w:highlight w:val="yellow"/>
        </w:rPr>
      </w:pPr>
      <w:r w:rsidRPr="009156D7">
        <w:rPr>
          <w:rStyle w:val="Strong"/>
          <w:bCs w:val="0"/>
          <w:highlight w:val="yellow"/>
        </w:rPr>
        <w:t xml:space="preserve">Review Design: </w:t>
      </w:r>
      <w:r w:rsidRPr="009156D7">
        <w:rPr>
          <w:highlight w:val="yellow"/>
        </w:rPr>
        <w:t>This manuscript is written as a “Narrative Review”. Therefore any specific format (ex. Preferred Reporting Items for Systematic Reviews and Meta-</w:t>
      </w:r>
      <w:r w:rsidRPr="009156D7">
        <w:rPr>
          <w:highlight w:val="yellow"/>
        </w:rPr>
        <w:lastRenderedPageBreak/>
        <w:t>Analyses (PRISMA) guidelines are not required and followed during literature selection</w:t>
      </w:r>
      <w:r>
        <w:rPr>
          <w:highlight w:val="yellow"/>
        </w:rPr>
        <w:t xml:space="preserve"> and analysis</w:t>
      </w:r>
      <w:r w:rsidRPr="009156D7">
        <w:rPr>
          <w:highlight w:val="yellow"/>
        </w:rPr>
        <w:t xml:space="preserve">. </w:t>
      </w:r>
    </w:p>
    <w:p w:rsidR="007F1928" w:rsidRDefault="007F1928" w:rsidP="002B518B">
      <w:pPr>
        <w:pStyle w:val="NormalWeb"/>
        <w:numPr>
          <w:ilvl w:val="0"/>
          <w:numId w:val="44"/>
        </w:numPr>
        <w:jc w:val="both"/>
      </w:pPr>
      <w:r>
        <w:rPr>
          <w:rStyle w:val="Strong"/>
        </w:rPr>
        <w:t>Breadth versus depth:</w:t>
      </w:r>
      <w:r>
        <w:t xml:space="preserve"> This review integrates multiple perspectives (design, communication, motivation, inclusion, and conflict response). While this supports a holistic framework, it limits the depth of treatment for any single theoretical tradition or discipline-specific teaching context.</w:t>
      </w:r>
    </w:p>
    <w:p w:rsidR="007F1928" w:rsidRDefault="007F1928" w:rsidP="002B518B">
      <w:pPr>
        <w:pStyle w:val="NormalWeb"/>
        <w:numPr>
          <w:ilvl w:val="0"/>
          <w:numId w:val="44"/>
        </w:numPr>
        <w:jc w:val="both"/>
      </w:pPr>
      <w:r>
        <w:rPr>
          <w:rStyle w:val="Strong"/>
        </w:rPr>
        <w:t>Variation in definitions and measures:</w:t>
      </w:r>
      <w:r>
        <w:t xml:space="preserve"> Key constructs such as “positive learning environment,” “belonging,” “immediacy,” and “trust” are defined and measured differently across studies, which can make direct comparisons and unified effect interpretations difficult.</w:t>
      </w:r>
    </w:p>
    <w:p w:rsidR="007F1928" w:rsidRDefault="007F1928" w:rsidP="002B518B">
      <w:pPr>
        <w:pStyle w:val="NormalWeb"/>
        <w:numPr>
          <w:ilvl w:val="0"/>
          <w:numId w:val="44"/>
        </w:numPr>
        <w:jc w:val="both"/>
      </w:pPr>
      <w:r>
        <w:rPr>
          <w:rStyle w:val="Strong"/>
        </w:rPr>
        <w:t>Context sensitivity of interventions:</w:t>
      </w:r>
      <w:r>
        <w:t xml:space="preserve"> Practices such as active learning, highly structured course design, restorative responses, and trauma-informed approaches can yield different results depending on class size, modality (online/hybrid/in-person), student demographics, institutional culture, and instructor expertise.</w:t>
      </w:r>
    </w:p>
    <w:p w:rsidR="007F1928" w:rsidRDefault="007F1928" w:rsidP="002B518B">
      <w:pPr>
        <w:pStyle w:val="NormalWeb"/>
        <w:numPr>
          <w:ilvl w:val="0"/>
          <w:numId w:val="44"/>
        </w:numPr>
        <w:jc w:val="both"/>
      </w:pPr>
      <w:r>
        <w:rPr>
          <w:rStyle w:val="Strong"/>
        </w:rPr>
        <w:t>Implementation quality is unevenly studied:</w:t>
      </w:r>
      <w:r>
        <w:t xml:space="preserve"> Many studies report outcomes without fully documenting fidelity, instructor training, or the practical constraints that shape adoption (time, workload, assessment demands). This limits the ability to identify which components are essential for success.</w:t>
      </w:r>
    </w:p>
    <w:p w:rsidR="007F1928" w:rsidRDefault="007F1928" w:rsidP="002B518B">
      <w:pPr>
        <w:pStyle w:val="NormalWeb"/>
        <w:numPr>
          <w:ilvl w:val="0"/>
          <w:numId w:val="44"/>
        </w:numPr>
        <w:jc w:val="both"/>
      </w:pPr>
      <w:r>
        <w:rPr>
          <w:rStyle w:val="Strong"/>
        </w:rPr>
        <w:t>Potential publication and reporting bias:</w:t>
      </w:r>
      <w:r>
        <w:t xml:space="preserve"> Research that finds positive or statistically significant effects is more likely to be published, which may overstate typical impacts and underrepresent null results or unintended consequences.</w:t>
      </w:r>
    </w:p>
    <w:p w:rsidR="007F1928" w:rsidRDefault="007F1928" w:rsidP="002B518B">
      <w:pPr>
        <w:pStyle w:val="NormalWeb"/>
        <w:numPr>
          <w:ilvl w:val="0"/>
          <w:numId w:val="44"/>
        </w:numPr>
        <w:jc w:val="both"/>
      </w:pPr>
      <w:r>
        <w:rPr>
          <w:rStyle w:val="Strong"/>
        </w:rPr>
        <w:t>Limited evidence in some disciplines and regions:</w:t>
      </w:r>
      <w:r>
        <w:t xml:space="preserve"> The strongest evidence base is often concentrated in particular fields (commonly STEM and education-related contexts) and in certain geographic regions, reducing certainty about generalizability to all disciplines, cultures, and institutional types.</w:t>
      </w:r>
    </w:p>
    <w:p w:rsidR="007F1928" w:rsidRDefault="007F1928" w:rsidP="002B518B">
      <w:pPr>
        <w:pStyle w:val="NormalWeb"/>
        <w:numPr>
          <w:ilvl w:val="0"/>
          <w:numId w:val="44"/>
        </w:numPr>
        <w:jc w:val="both"/>
      </w:pPr>
      <w:r>
        <w:rPr>
          <w:rStyle w:val="Strong"/>
        </w:rPr>
        <w:t>Student voice and intersectionality gaps:</w:t>
      </w:r>
      <w:r>
        <w:t xml:space="preserve"> Some studies do not sufficiently capture how classroom management practices are experienced differently across intersecting identities (e.g., first-generation status, language background, disability), which can obscure equity-relevant nuances.</w:t>
      </w:r>
    </w:p>
    <w:p w:rsidR="007F1928" w:rsidRDefault="007F1928" w:rsidP="002B518B">
      <w:pPr>
        <w:pStyle w:val="NormalWeb"/>
        <w:numPr>
          <w:ilvl w:val="0"/>
          <w:numId w:val="44"/>
        </w:numPr>
        <w:jc w:val="both"/>
      </w:pPr>
      <w:r>
        <w:rPr>
          <w:rStyle w:val="Strong"/>
        </w:rPr>
        <w:t>Rapidly evolving higher education conditions:</w:t>
      </w:r>
      <w:r>
        <w:t xml:space="preserve"> Shifts in technology use, generative AI norms, mental health needs, and post-pandemic teaching modalities evolve faster than the research cycle, so recommendations may require periodic updating.</w:t>
      </w:r>
    </w:p>
    <w:p w:rsidR="00353C68" w:rsidRDefault="00353C68" w:rsidP="002B518B">
      <w:pPr>
        <w:pStyle w:val="NormalWeb"/>
        <w:jc w:val="both"/>
      </w:pPr>
    </w:p>
    <w:p w:rsidR="00353C68" w:rsidRDefault="00353C68" w:rsidP="002B518B">
      <w:pPr>
        <w:pStyle w:val="NormalWeb"/>
        <w:jc w:val="both"/>
      </w:pPr>
    </w:p>
    <w:p w:rsidR="00353C68" w:rsidRPr="00B12E54" w:rsidRDefault="00353C68" w:rsidP="002B518B">
      <w:pPr>
        <w:jc w:val="both"/>
        <w:rPr>
          <w:rFonts w:ascii="Calibri" w:eastAsia="Calibri" w:hAnsi="Calibri" w:cs="Times New Roman"/>
          <w:b/>
          <w:kern w:val="2"/>
          <w:highlight w:val="yellow"/>
          <w:lang w:val="en-US"/>
        </w:rPr>
      </w:pPr>
      <w:bookmarkStart w:id="1" w:name="_Hlk197682619"/>
      <w:bookmarkStart w:id="2" w:name="_Hlk180402183"/>
      <w:bookmarkStart w:id="3" w:name="_Hlk183680988"/>
      <w:bookmarkStart w:id="4" w:name="_Hlk197351200"/>
      <w:r w:rsidRPr="00B12E54">
        <w:rPr>
          <w:rFonts w:ascii="Calibri" w:eastAsia="Calibri" w:hAnsi="Calibri" w:cs="Times New Roman"/>
          <w:b/>
          <w:kern w:val="2"/>
          <w:highlight w:val="yellow"/>
          <w:lang w:val="en-US"/>
        </w:rPr>
        <w:t>Disclaimer (Artificial intelligence)</w:t>
      </w:r>
    </w:p>
    <w:p w:rsidR="00353C68" w:rsidRPr="009C5487" w:rsidRDefault="00353C68" w:rsidP="002B518B">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rsidR="00353C68" w:rsidRPr="009C5487" w:rsidRDefault="00353C68" w:rsidP="002B518B">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rsidR="00353C68" w:rsidRPr="009C5487" w:rsidRDefault="00353C68" w:rsidP="002B518B">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rsidR="00353C68" w:rsidRPr="009C5487" w:rsidRDefault="00353C68" w:rsidP="002B518B">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53C68" w:rsidRPr="009C5487" w:rsidRDefault="00353C68" w:rsidP="002B518B">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Details of the AI usage are given below:</w:t>
      </w:r>
    </w:p>
    <w:p w:rsidR="00353C68" w:rsidRPr="009C5487" w:rsidRDefault="00353C68" w:rsidP="002B518B">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rsidR="00353C68" w:rsidRPr="009C5487" w:rsidRDefault="00353C68" w:rsidP="002B518B">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rsidR="00353C68" w:rsidRPr="00F870EF" w:rsidRDefault="00353C68" w:rsidP="002B518B">
      <w:pPr>
        <w:jc w:val="both"/>
        <w:rPr>
          <w:rFonts w:ascii="Calibri" w:eastAsia="Calibri" w:hAnsi="Calibri" w:cs="Times New Roman"/>
          <w:kern w:val="2"/>
          <w:lang w:val="en-US"/>
        </w:rPr>
      </w:pPr>
      <w:bookmarkStart w:id="5" w:name="_Hlk197682629"/>
      <w:bookmarkEnd w:id="1"/>
      <w:r w:rsidRPr="009C5487">
        <w:rPr>
          <w:rFonts w:ascii="Calibri" w:eastAsia="Calibri" w:hAnsi="Calibri" w:cs="Times New Roman"/>
          <w:kern w:val="2"/>
          <w:highlight w:val="yellow"/>
          <w:lang w:val="en-US"/>
        </w:rPr>
        <w:t>3.</w:t>
      </w:r>
      <w:bookmarkStart w:id="6" w:name="_Hlk187485061"/>
      <w:bookmarkEnd w:id="2"/>
      <w:bookmarkEnd w:id="3"/>
      <w:bookmarkEnd w:id="5"/>
    </w:p>
    <w:bookmarkEnd w:id="4"/>
    <w:bookmarkEnd w:id="6"/>
    <w:p w:rsidR="00353C68" w:rsidRDefault="00353C68" w:rsidP="002B518B">
      <w:pPr>
        <w:pStyle w:val="NormalWeb"/>
        <w:jc w:val="both"/>
      </w:pPr>
    </w:p>
    <w:p w:rsidR="00755BDC" w:rsidRDefault="00755BDC" w:rsidP="002B518B">
      <w:pPr>
        <w:jc w:val="both"/>
      </w:pPr>
    </w:p>
    <w:p w:rsidR="00755BDC" w:rsidRDefault="00755BDC" w:rsidP="002B518B">
      <w:pPr>
        <w:pStyle w:val="Heading2"/>
        <w:jc w:val="both"/>
      </w:pPr>
      <w:r>
        <w:t xml:space="preserve">References </w:t>
      </w:r>
    </w:p>
    <w:p w:rsidR="008800D8" w:rsidRPr="008800D8" w:rsidRDefault="008800D8" w:rsidP="00B12E54">
      <w:pPr>
        <w:pStyle w:val="NormalWeb"/>
        <w:numPr>
          <w:ilvl w:val="0"/>
          <w:numId w:val="45"/>
        </w:numPr>
        <w:jc w:val="both"/>
      </w:pPr>
      <w:r w:rsidRPr="008800D8">
        <w:rPr>
          <w:color w:val="222222"/>
          <w:shd w:val="clear" w:color="auto" w:fill="FFFFFF"/>
        </w:rPr>
        <w:t xml:space="preserve">Albayrak, D., &amp; </w:t>
      </w:r>
      <w:proofErr w:type="spellStart"/>
      <w:r w:rsidRPr="008800D8">
        <w:rPr>
          <w:color w:val="222222"/>
          <w:shd w:val="clear" w:color="auto" w:fill="FFFFFF"/>
        </w:rPr>
        <w:t>Ateskan</w:t>
      </w:r>
      <w:proofErr w:type="spellEnd"/>
      <w:r w:rsidRPr="008800D8">
        <w:rPr>
          <w:color w:val="222222"/>
          <w:shd w:val="clear" w:color="auto" w:fill="FFFFFF"/>
        </w:rPr>
        <w:t>, A. (2022). Classroom management in higher education: A systematic literature review. </w:t>
      </w:r>
      <w:r w:rsidRPr="008800D8">
        <w:rPr>
          <w:i/>
          <w:iCs/>
          <w:color w:val="222222"/>
          <w:shd w:val="clear" w:color="auto" w:fill="FFFFFF"/>
        </w:rPr>
        <w:t>Journal of Further and Higher Education</w:t>
      </w:r>
      <w:r w:rsidRPr="008800D8">
        <w:rPr>
          <w:color w:val="222222"/>
          <w:shd w:val="clear" w:color="auto" w:fill="FFFFFF"/>
        </w:rPr>
        <w:t>, </w:t>
      </w:r>
      <w:r w:rsidRPr="008800D8">
        <w:rPr>
          <w:i/>
          <w:iCs/>
          <w:color w:val="222222"/>
          <w:shd w:val="clear" w:color="auto" w:fill="FFFFFF"/>
        </w:rPr>
        <w:t>46</w:t>
      </w:r>
      <w:r w:rsidRPr="008800D8">
        <w:rPr>
          <w:color w:val="222222"/>
          <w:shd w:val="clear" w:color="auto" w:fill="FFFFFF"/>
        </w:rPr>
        <w:t>(7), 1006-</w:t>
      </w:r>
      <w:proofErr w:type="gramStart"/>
      <w:r w:rsidRPr="008800D8">
        <w:rPr>
          <w:color w:val="222222"/>
          <w:shd w:val="clear" w:color="auto" w:fill="FFFFFF"/>
        </w:rPr>
        <w:t>1022.</w:t>
      </w:r>
      <w:r w:rsidRPr="008800D8">
        <w:t>.</w:t>
      </w:r>
      <w:proofErr w:type="gramEnd"/>
      <w:r w:rsidRPr="008800D8">
        <w:t xml:space="preserve"> </w:t>
      </w:r>
      <w:hyperlink r:id="rId8" w:history="1">
        <w:r w:rsidRPr="008800D8">
          <w:rPr>
            <w:rStyle w:val="Hyperlink"/>
          </w:rPr>
          <w:t>https://doi.org/10.1080/0309877X.2022.2038099</w:t>
        </w:r>
      </w:hyperlink>
      <w:r w:rsidRPr="008800D8">
        <w:t xml:space="preserve"> </w:t>
      </w:r>
    </w:p>
    <w:p w:rsidR="008800D8" w:rsidRPr="008800D8" w:rsidRDefault="008800D8" w:rsidP="00B12E54">
      <w:pPr>
        <w:pStyle w:val="NormalWeb"/>
        <w:numPr>
          <w:ilvl w:val="0"/>
          <w:numId w:val="45"/>
        </w:numPr>
        <w:jc w:val="both"/>
      </w:pPr>
      <w:proofErr w:type="spellStart"/>
      <w:r w:rsidRPr="008800D8">
        <w:t>Almeqdad</w:t>
      </w:r>
      <w:proofErr w:type="spellEnd"/>
      <w:r w:rsidRPr="008800D8">
        <w:t xml:space="preserve">, Q. I., </w:t>
      </w:r>
      <w:proofErr w:type="spellStart"/>
      <w:r w:rsidRPr="008800D8">
        <w:t>Alodat</w:t>
      </w:r>
      <w:proofErr w:type="spellEnd"/>
      <w:r w:rsidRPr="008800D8">
        <w:t xml:space="preserve">, A. M., </w:t>
      </w:r>
      <w:proofErr w:type="spellStart"/>
      <w:r w:rsidRPr="008800D8">
        <w:t>Alquraan</w:t>
      </w:r>
      <w:proofErr w:type="spellEnd"/>
      <w:r w:rsidRPr="008800D8">
        <w:t xml:space="preserve">, M. F., </w:t>
      </w:r>
      <w:proofErr w:type="spellStart"/>
      <w:r w:rsidRPr="008800D8">
        <w:t>Mohaidat</w:t>
      </w:r>
      <w:proofErr w:type="spellEnd"/>
      <w:r w:rsidRPr="008800D8">
        <w:t>, M. A., &amp; Al-</w:t>
      </w:r>
      <w:proofErr w:type="spellStart"/>
      <w:r w:rsidRPr="008800D8">
        <w:t>Makhzoomy</w:t>
      </w:r>
      <w:proofErr w:type="spellEnd"/>
      <w:r w:rsidRPr="008800D8">
        <w:t xml:space="preserve">, A. K. (2023). The effectiveness of universal design for learning: A systematic review of the literature and meta-analysis. Cogent Education, 10(1), 2218191. </w:t>
      </w:r>
      <w:hyperlink r:id="rId9" w:history="1">
        <w:r w:rsidRPr="008800D8">
          <w:rPr>
            <w:rStyle w:val="Hyperlink"/>
          </w:rPr>
          <w:t>https://doi.org/10.1080/2331186X.2023.2218191</w:t>
        </w:r>
      </w:hyperlink>
      <w:r w:rsidRPr="008800D8">
        <w:t xml:space="preserve"> </w:t>
      </w:r>
    </w:p>
    <w:p w:rsidR="008800D8" w:rsidRPr="00B12E54" w:rsidRDefault="008800D8" w:rsidP="00B12E54">
      <w:pPr>
        <w:pStyle w:val="ListParagraph"/>
        <w:numPr>
          <w:ilvl w:val="0"/>
          <w:numId w:val="45"/>
        </w:numPr>
        <w:jc w:val="both"/>
        <w:rPr>
          <w:rFonts w:ascii="Times New Roman" w:hAnsi="Times New Roman" w:cs="Times New Roman"/>
          <w:sz w:val="24"/>
          <w:szCs w:val="24"/>
        </w:rPr>
      </w:pPr>
      <w:proofErr w:type="spellStart"/>
      <w:r w:rsidRPr="00B12E54">
        <w:rPr>
          <w:rFonts w:ascii="Times New Roman" w:hAnsi="Times New Roman" w:cs="Times New Roman"/>
          <w:sz w:val="24"/>
          <w:szCs w:val="24"/>
        </w:rPr>
        <w:t>Aloia</w:t>
      </w:r>
      <w:proofErr w:type="spellEnd"/>
      <w:r w:rsidRPr="00B12E54">
        <w:rPr>
          <w:rFonts w:ascii="Times New Roman" w:hAnsi="Times New Roman" w:cs="Times New Roman"/>
          <w:sz w:val="24"/>
          <w:szCs w:val="24"/>
        </w:rPr>
        <w:t xml:space="preserve">, L. S. (2021). Student learning: The influence of instructor and student confirmation, classroom connectedness, and self-efficacy. Journalism &amp; Mass Communication Educator, 76(2), 202-215. </w:t>
      </w:r>
      <w:hyperlink r:id="rId10" w:history="1">
        <w:r w:rsidRPr="00B12E54">
          <w:rPr>
            <w:rStyle w:val="Hyperlink"/>
            <w:rFonts w:ascii="Times New Roman" w:hAnsi="Times New Roman" w:cs="Times New Roman"/>
            <w:sz w:val="24"/>
            <w:szCs w:val="24"/>
          </w:rPr>
          <w:t>https://doi.org/10.1177/1077695820944265</w:t>
        </w:r>
      </w:hyperlink>
      <w:r w:rsidRPr="00B12E54">
        <w:rPr>
          <w:rFonts w:ascii="Times New Roman" w:hAnsi="Times New Roman" w:cs="Times New Roman"/>
          <w:sz w:val="24"/>
          <w:szCs w:val="24"/>
        </w:rPr>
        <w:t xml:space="preserve"> </w:t>
      </w:r>
    </w:p>
    <w:p w:rsidR="008800D8" w:rsidRPr="00B12E54" w:rsidRDefault="008800D8" w:rsidP="00B12E54">
      <w:pPr>
        <w:pStyle w:val="ListParagraph"/>
        <w:numPr>
          <w:ilvl w:val="0"/>
          <w:numId w:val="45"/>
        </w:numPr>
        <w:jc w:val="both"/>
        <w:rPr>
          <w:rFonts w:ascii="Times New Roman" w:hAnsi="Times New Roman" w:cs="Times New Roman"/>
          <w:sz w:val="24"/>
          <w:szCs w:val="24"/>
        </w:rPr>
      </w:pPr>
      <w:r w:rsidRPr="00B12E54">
        <w:rPr>
          <w:rFonts w:ascii="Times New Roman" w:hAnsi="Times New Roman" w:cs="Times New Roman"/>
          <w:sz w:val="24"/>
          <w:szCs w:val="24"/>
        </w:rPr>
        <w:t xml:space="preserve">Andrews, M., Prince, M., </w:t>
      </w:r>
      <w:proofErr w:type="spellStart"/>
      <w:r w:rsidRPr="00B12E54">
        <w:rPr>
          <w:rFonts w:ascii="Times New Roman" w:hAnsi="Times New Roman" w:cs="Times New Roman"/>
          <w:sz w:val="24"/>
          <w:szCs w:val="24"/>
        </w:rPr>
        <w:t>Finelli</w:t>
      </w:r>
      <w:proofErr w:type="spellEnd"/>
      <w:r w:rsidRPr="00B12E54">
        <w:rPr>
          <w:rFonts w:ascii="Times New Roman" w:hAnsi="Times New Roman" w:cs="Times New Roman"/>
          <w:sz w:val="24"/>
          <w:szCs w:val="24"/>
        </w:rPr>
        <w:t xml:space="preserve">, C., Graham, M., Borrego, M., &amp; </w:t>
      </w:r>
      <w:proofErr w:type="spellStart"/>
      <w:r w:rsidRPr="00B12E54">
        <w:rPr>
          <w:rFonts w:ascii="Times New Roman" w:hAnsi="Times New Roman" w:cs="Times New Roman"/>
          <w:sz w:val="24"/>
          <w:szCs w:val="24"/>
        </w:rPr>
        <w:t>Husman</w:t>
      </w:r>
      <w:proofErr w:type="spellEnd"/>
      <w:r w:rsidRPr="00B12E54">
        <w:rPr>
          <w:rFonts w:ascii="Times New Roman" w:hAnsi="Times New Roman" w:cs="Times New Roman"/>
          <w:sz w:val="24"/>
          <w:szCs w:val="24"/>
        </w:rPr>
        <w:t xml:space="preserve">, J. (2022). Explanation and facilitation strategies reduce student resistance to active learning. College Teaching, 70(4), 530-540. </w:t>
      </w:r>
      <w:hyperlink r:id="rId11" w:history="1">
        <w:r w:rsidRPr="00B12E54">
          <w:rPr>
            <w:rStyle w:val="Hyperlink"/>
            <w:rFonts w:ascii="Times New Roman" w:hAnsi="Times New Roman" w:cs="Times New Roman"/>
            <w:sz w:val="24"/>
            <w:szCs w:val="24"/>
          </w:rPr>
          <w:t>https://doi.org/10.1080/87567555.2021.1987183</w:t>
        </w:r>
      </w:hyperlink>
      <w:r w:rsidRPr="00B12E54">
        <w:rPr>
          <w:rFonts w:ascii="Times New Roman" w:hAnsi="Times New Roman" w:cs="Times New Roman"/>
          <w:sz w:val="24"/>
          <w:szCs w:val="24"/>
        </w:rPr>
        <w:t xml:space="preserve"> </w:t>
      </w:r>
    </w:p>
    <w:p w:rsidR="008800D8" w:rsidRPr="008800D8" w:rsidRDefault="008800D8" w:rsidP="00B12E54">
      <w:pPr>
        <w:pStyle w:val="NormalWeb"/>
        <w:numPr>
          <w:ilvl w:val="0"/>
          <w:numId w:val="45"/>
        </w:numPr>
        <w:jc w:val="both"/>
      </w:pPr>
      <w:proofErr w:type="spellStart"/>
      <w:r w:rsidRPr="008800D8">
        <w:t>Balwant</w:t>
      </w:r>
      <w:proofErr w:type="spellEnd"/>
      <w:r w:rsidRPr="008800D8">
        <w:t xml:space="preserve">, P. T. (2016). Transformational instructor-leadership in higher education teaching: A meta-analytic review and research agenda. </w:t>
      </w:r>
      <w:r w:rsidRPr="008800D8">
        <w:rPr>
          <w:rStyle w:val="Emphasis"/>
        </w:rPr>
        <w:t>Journal of Leadership Studies, 9</w:t>
      </w:r>
      <w:r w:rsidRPr="008800D8">
        <w:t xml:space="preserve">(4), 20–42. </w:t>
      </w:r>
      <w:hyperlink r:id="rId12" w:tgtFrame="_new" w:history="1">
        <w:r w:rsidRPr="008800D8">
          <w:rPr>
            <w:rStyle w:val="Hyperlink"/>
          </w:rPr>
          <w:t>https://doi.org/10.1002/jls.21423</w:t>
        </w:r>
      </w:hyperlink>
    </w:p>
    <w:p w:rsidR="008800D8" w:rsidRPr="008800D8" w:rsidRDefault="008800D8" w:rsidP="00B12E54">
      <w:pPr>
        <w:pStyle w:val="NormalWeb"/>
        <w:numPr>
          <w:ilvl w:val="0"/>
          <w:numId w:val="45"/>
        </w:numPr>
        <w:jc w:val="both"/>
      </w:pPr>
      <w:proofErr w:type="spellStart"/>
      <w:r w:rsidRPr="008800D8">
        <w:t>Bitanihirwe</w:t>
      </w:r>
      <w:proofErr w:type="spellEnd"/>
      <w:r w:rsidRPr="008800D8">
        <w:t xml:space="preserve">, B., &amp; Imad, M. (2023). Gauging trauma-informed pedagogy in higher education: A UK case study. </w:t>
      </w:r>
      <w:r w:rsidRPr="008800D8">
        <w:rPr>
          <w:rStyle w:val="Emphasis"/>
          <w:rFonts w:eastAsiaTheme="majorEastAsia"/>
        </w:rPr>
        <w:t>Frontiers in Education, 8</w:t>
      </w:r>
      <w:r w:rsidRPr="008800D8">
        <w:t xml:space="preserve">, 1256996. </w:t>
      </w:r>
      <w:hyperlink r:id="rId13" w:history="1">
        <w:r w:rsidRPr="008800D8">
          <w:rPr>
            <w:rStyle w:val="Hyperlink"/>
          </w:rPr>
          <w:t>https://doi.org/10.3389/feduc.2023.1256996</w:t>
        </w:r>
      </w:hyperlink>
      <w:r w:rsidRPr="008800D8">
        <w:t xml:space="preserve"> </w:t>
      </w:r>
    </w:p>
    <w:p w:rsidR="008800D8" w:rsidRPr="008800D8" w:rsidRDefault="008800D8" w:rsidP="00B12E54">
      <w:pPr>
        <w:pStyle w:val="NormalWeb"/>
        <w:numPr>
          <w:ilvl w:val="0"/>
          <w:numId w:val="45"/>
        </w:numPr>
        <w:jc w:val="both"/>
      </w:pPr>
      <w:r w:rsidRPr="008800D8">
        <w:rPr>
          <w:color w:val="222222"/>
          <w:shd w:val="clear" w:color="auto" w:fill="FFFFFF"/>
        </w:rPr>
        <w:t>Burns, M. E., Houser, M. L., &amp; Farris, K. L. (2018). Theory of planned behavior in the classroom: An examination of the instructor confirmation-interaction model. </w:t>
      </w:r>
      <w:r w:rsidRPr="008800D8">
        <w:rPr>
          <w:i/>
          <w:iCs/>
          <w:color w:val="222222"/>
          <w:shd w:val="clear" w:color="auto" w:fill="FFFFFF"/>
        </w:rPr>
        <w:t>Higher Education</w:t>
      </w:r>
      <w:r w:rsidRPr="008800D8">
        <w:rPr>
          <w:color w:val="222222"/>
          <w:shd w:val="clear" w:color="auto" w:fill="FFFFFF"/>
        </w:rPr>
        <w:t>, </w:t>
      </w:r>
      <w:r w:rsidRPr="008800D8">
        <w:rPr>
          <w:i/>
          <w:iCs/>
          <w:color w:val="222222"/>
          <w:shd w:val="clear" w:color="auto" w:fill="FFFFFF"/>
        </w:rPr>
        <w:t>75</w:t>
      </w:r>
      <w:r w:rsidRPr="008800D8">
        <w:rPr>
          <w:color w:val="222222"/>
          <w:shd w:val="clear" w:color="auto" w:fill="FFFFFF"/>
        </w:rPr>
        <w:t xml:space="preserve">(6), 1091-1108. </w:t>
      </w:r>
      <w:hyperlink r:id="rId14" w:history="1">
        <w:r w:rsidRPr="008800D8">
          <w:rPr>
            <w:rStyle w:val="Hyperlink"/>
          </w:rPr>
          <w:t>https://doi.org/10.1007/s10734-017-0187-0</w:t>
        </w:r>
      </w:hyperlink>
    </w:p>
    <w:p w:rsidR="008800D8" w:rsidRPr="008800D8" w:rsidRDefault="008800D8" w:rsidP="00B12E54">
      <w:pPr>
        <w:pStyle w:val="NormalWeb"/>
        <w:numPr>
          <w:ilvl w:val="0"/>
          <w:numId w:val="45"/>
        </w:numPr>
        <w:jc w:val="both"/>
      </w:pPr>
      <w:proofErr w:type="spellStart"/>
      <w:r w:rsidRPr="008800D8">
        <w:rPr>
          <w:color w:val="222222"/>
          <w:shd w:val="clear" w:color="auto" w:fill="FFFFFF"/>
        </w:rPr>
        <w:t>Bussu</w:t>
      </w:r>
      <w:proofErr w:type="spellEnd"/>
      <w:r w:rsidRPr="008800D8">
        <w:rPr>
          <w:color w:val="222222"/>
          <w:shd w:val="clear" w:color="auto" w:fill="FFFFFF"/>
        </w:rPr>
        <w:t>, A., &amp; Karp, D. (2025). Restorative Justice in Higher Education: An Analysis of Challenges, Strategies, and Achievements Using Normalization Process Theory. </w:t>
      </w:r>
      <w:r w:rsidRPr="008800D8">
        <w:rPr>
          <w:i/>
          <w:iCs/>
          <w:color w:val="222222"/>
          <w:shd w:val="clear" w:color="auto" w:fill="FFFFFF"/>
        </w:rPr>
        <w:t>Innovative Higher Education</w:t>
      </w:r>
      <w:r w:rsidRPr="008800D8">
        <w:rPr>
          <w:color w:val="222222"/>
          <w:shd w:val="clear" w:color="auto" w:fill="FFFFFF"/>
        </w:rPr>
        <w:t xml:space="preserve">, 1-33. </w:t>
      </w:r>
      <w:hyperlink r:id="rId15" w:history="1">
        <w:r w:rsidRPr="008800D8">
          <w:rPr>
            <w:rStyle w:val="Hyperlink"/>
          </w:rPr>
          <w:t>https://doi.org/10.1007/s10755-025-09846-5</w:t>
        </w:r>
      </w:hyperlink>
      <w:r w:rsidRPr="008800D8">
        <w:t xml:space="preserve"> </w:t>
      </w:r>
    </w:p>
    <w:p w:rsidR="008800D8" w:rsidRPr="008800D8" w:rsidRDefault="008800D8" w:rsidP="00B12E54">
      <w:pPr>
        <w:pStyle w:val="NormalWeb"/>
        <w:numPr>
          <w:ilvl w:val="0"/>
          <w:numId w:val="45"/>
        </w:numPr>
        <w:jc w:val="both"/>
      </w:pPr>
      <w:r w:rsidRPr="008800D8">
        <w:t xml:space="preserve">Canning, E. A., </w:t>
      </w:r>
      <w:proofErr w:type="spellStart"/>
      <w:r w:rsidRPr="008800D8">
        <w:t>Muenks</w:t>
      </w:r>
      <w:proofErr w:type="spellEnd"/>
      <w:r w:rsidRPr="008800D8">
        <w:t xml:space="preserve">, K., Green, D. J., &amp; Murphy, M. C. (2019). STEM faculty who believe ability is fixed have larger racial achievement gaps and inspire less student motivation in their classes. Science advances, 5(2), eaau4734. </w:t>
      </w:r>
      <w:hyperlink r:id="rId16" w:history="1">
        <w:r w:rsidRPr="008800D8">
          <w:rPr>
            <w:rStyle w:val="Hyperlink"/>
          </w:rPr>
          <w:t>https://doi.org/10.1126/sciadv.aau4734</w:t>
        </w:r>
      </w:hyperlink>
      <w:r w:rsidRPr="008800D8">
        <w:t xml:space="preserve"> </w:t>
      </w:r>
    </w:p>
    <w:p w:rsidR="008800D8" w:rsidRPr="008800D8" w:rsidRDefault="008800D8" w:rsidP="00B12E54">
      <w:pPr>
        <w:pStyle w:val="NormalWeb"/>
        <w:numPr>
          <w:ilvl w:val="0"/>
          <w:numId w:val="45"/>
        </w:numPr>
        <w:jc w:val="both"/>
      </w:pPr>
      <w:proofErr w:type="spellStart"/>
      <w:r w:rsidRPr="008800D8">
        <w:t>Chory</w:t>
      </w:r>
      <w:proofErr w:type="spellEnd"/>
      <w:r w:rsidRPr="008800D8">
        <w:t xml:space="preserve">, R. M., Horan, S. M., &amp; Houser, M. L. (2017). Justice in the higher education classroom: Students’ perceptions of unfairness and responses to instructors. </w:t>
      </w:r>
      <w:r w:rsidRPr="008800D8">
        <w:lastRenderedPageBreak/>
        <w:t xml:space="preserve">Innovative Higher Education, 42(4), 321-336. </w:t>
      </w:r>
      <w:hyperlink r:id="rId17" w:history="1">
        <w:r w:rsidRPr="008800D8">
          <w:rPr>
            <w:rStyle w:val="Hyperlink"/>
          </w:rPr>
          <w:t>https://doi.org/10.1007/s10755-017-9388-9</w:t>
        </w:r>
      </w:hyperlink>
      <w:r w:rsidRPr="008800D8">
        <w:t xml:space="preserve"> </w:t>
      </w:r>
    </w:p>
    <w:p w:rsidR="008800D8" w:rsidRPr="008800D8" w:rsidRDefault="008800D8" w:rsidP="00B12E54">
      <w:pPr>
        <w:pStyle w:val="NormalWeb"/>
        <w:numPr>
          <w:ilvl w:val="0"/>
          <w:numId w:val="45"/>
        </w:numPr>
        <w:jc w:val="both"/>
      </w:pPr>
      <w:proofErr w:type="spellStart"/>
      <w:r w:rsidRPr="008800D8">
        <w:rPr>
          <w:color w:val="222222"/>
          <w:shd w:val="clear" w:color="auto" w:fill="FFFFFF"/>
        </w:rPr>
        <w:t>Deslauriers</w:t>
      </w:r>
      <w:proofErr w:type="spellEnd"/>
      <w:r w:rsidRPr="008800D8">
        <w:rPr>
          <w:color w:val="222222"/>
          <w:shd w:val="clear" w:color="auto" w:fill="FFFFFF"/>
        </w:rPr>
        <w:t>, L., McCarty, L. S., Miller, K., Callaghan, K., &amp; Kestin, G. (2019). Measuring actual learning versus feeling of learning in response to being actively engaged in the classroom. </w:t>
      </w:r>
      <w:r w:rsidRPr="008800D8">
        <w:rPr>
          <w:i/>
          <w:iCs/>
          <w:color w:val="222222"/>
          <w:shd w:val="clear" w:color="auto" w:fill="FFFFFF"/>
        </w:rPr>
        <w:t>Proceedings of the National Academy of Sciences</w:t>
      </w:r>
      <w:r w:rsidRPr="008800D8">
        <w:rPr>
          <w:color w:val="222222"/>
          <w:shd w:val="clear" w:color="auto" w:fill="FFFFFF"/>
        </w:rPr>
        <w:t>, </w:t>
      </w:r>
      <w:r w:rsidRPr="008800D8">
        <w:rPr>
          <w:i/>
          <w:iCs/>
          <w:color w:val="222222"/>
          <w:shd w:val="clear" w:color="auto" w:fill="FFFFFF"/>
        </w:rPr>
        <w:t>116</w:t>
      </w:r>
      <w:r w:rsidRPr="008800D8">
        <w:rPr>
          <w:color w:val="222222"/>
          <w:shd w:val="clear" w:color="auto" w:fill="FFFFFF"/>
        </w:rPr>
        <w:t xml:space="preserve">(39), 19251-19257. </w:t>
      </w:r>
      <w:hyperlink r:id="rId18" w:tgtFrame="_new" w:history="1">
        <w:r w:rsidRPr="008800D8">
          <w:rPr>
            <w:rStyle w:val="Hyperlink"/>
          </w:rPr>
          <w:t>https://doi.org/10.1073/pnas.1821936116</w:t>
        </w:r>
      </w:hyperlink>
      <w:r>
        <w:t xml:space="preserve"> </w:t>
      </w:r>
    </w:p>
    <w:p w:rsidR="008800D8" w:rsidRPr="008800D8" w:rsidRDefault="008800D8" w:rsidP="00B12E54">
      <w:pPr>
        <w:pStyle w:val="NormalWeb"/>
        <w:numPr>
          <w:ilvl w:val="0"/>
          <w:numId w:val="45"/>
        </w:numPr>
        <w:jc w:val="both"/>
      </w:pPr>
      <w:r w:rsidRPr="008800D8">
        <w:rPr>
          <w:color w:val="222222"/>
          <w:shd w:val="clear" w:color="auto" w:fill="FFFFFF"/>
        </w:rPr>
        <w:t>Dias-</w:t>
      </w:r>
      <w:proofErr w:type="spellStart"/>
      <w:r w:rsidRPr="008800D8">
        <w:rPr>
          <w:color w:val="222222"/>
          <w:shd w:val="clear" w:color="auto" w:fill="FFFFFF"/>
        </w:rPr>
        <w:t>Broens</w:t>
      </w:r>
      <w:proofErr w:type="spellEnd"/>
      <w:r w:rsidRPr="008800D8">
        <w:rPr>
          <w:color w:val="222222"/>
          <w:shd w:val="clear" w:color="auto" w:fill="FFFFFF"/>
        </w:rPr>
        <w:t xml:space="preserve">, A. S., </w:t>
      </w:r>
      <w:proofErr w:type="spellStart"/>
      <w:r w:rsidRPr="008800D8">
        <w:rPr>
          <w:color w:val="222222"/>
          <w:shd w:val="clear" w:color="auto" w:fill="FFFFFF"/>
        </w:rPr>
        <w:t>Meeuwisse</w:t>
      </w:r>
      <w:proofErr w:type="spellEnd"/>
      <w:r w:rsidRPr="008800D8">
        <w:rPr>
          <w:color w:val="222222"/>
          <w:shd w:val="clear" w:color="auto" w:fill="FFFFFF"/>
        </w:rPr>
        <w:t xml:space="preserve">, M., &amp; </w:t>
      </w:r>
      <w:proofErr w:type="spellStart"/>
      <w:r w:rsidRPr="008800D8">
        <w:rPr>
          <w:color w:val="222222"/>
          <w:shd w:val="clear" w:color="auto" w:fill="FFFFFF"/>
        </w:rPr>
        <w:t>Severiens</w:t>
      </w:r>
      <w:proofErr w:type="spellEnd"/>
      <w:r w:rsidRPr="008800D8">
        <w:rPr>
          <w:color w:val="222222"/>
          <w:shd w:val="clear" w:color="auto" w:fill="FFFFFF"/>
        </w:rPr>
        <w:t>, S. E. (2024). The definition and measurement of sense of belonging in higher education: A systematic literature review with a special focus on students’ ethnicity and generation status in higher education. </w:t>
      </w:r>
      <w:r w:rsidRPr="008800D8">
        <w:rPr>
          <w:i/>
          <w:iCs/>
          <w:color w:val="222222"/>
          <w:shd w:val="clear" w:color="auto" w:fill="FFFFFF"/>
        </w:rPr>
        <w:t>Educational Research Review</w:t>
      </w:r>
      <w:r w:rsidRPr="008800D8">
        <w:rPr>
          <w:color w:val="222222"/>
          <w:shd w:val="clear" w:color="auto" w:fill="FFFFFF"/>
        </w:rPr>
        <w:t>, </w:t>
      </w:r>
      <w:r w:rsidRPr="008800D8">
        <w:rPr>
          <w:i/>
          <w:iCs/>
          <w:color w:val="222222"/>
          <w:shd w:val="clear" w:color="auto" w:fill="FFFFFF"/>
        </w:rPr>
        <w:t>45</w:t>
      </w:r>
      <w:r w:rsidRPr="008800D8">
        <w:rPr>
          <w:color w:val="222222"/>
          <w:shd w:val="clear" w:color="auto" w:fill="FFFFFF"/>
        </w:rPr>
        <w:t xml:space="preserve">, 100622. </w:t>
      </w:r>
      <w:hyperlink r:id="rId19" w:history="1">
        <w:r w:rsidRPr="008800D8">
          <w:rPr>
            <w:rStyle w:val="Hyperlink"/>
          </w:rPr>
          <w:t>https://doi.org/10.1016/j.edurev.2024.100622</w:t>
        </w:r>
      </w:hyperlink>
    </w:p>
    <w:p w:rsidR="008800D8" w:rsidRPr="008800D8" w:rsidRDefault="008800D8" w:rsidP="00B12E54">
      <w:pPr>
        <w:pStyle w:val="NormalWeb"/>
        <w:numPr>
          <w:ilvl w:val="0"/>
          <w:numId w:val="45"/>
        </w:numPr>
        <w:jc w:val="both"/>
      </w:pPr>
      <w:r w:rsidRPr="008800D8">
        <w:rPr>
          <w:color w:val="222222"/>
          <w:shd w:val="clear" w:color="auto" w:fill="FFFFFF"/>
        </w:rPr>
        <w:t xml:space="preserve">Eddy, S. L., &amp; Hogan, K. A. (2014). Getting under the hood: How and for whom does increasing course structure </w:t>
      </w:r>
      <w:proofErr w:type="gramStart"/>
      <w:r w:rsidRPr="008800D8">
        <w:rPr>
          <w:color w:val="222222"/>
          <w:shd w:val="clear" w:color="auto" w:fill="FFFFFF"/>
        </w:rPr>
        <w:t>work?.</w:t>
      </w:r>
      <w:proofErr w:type="gramEnd"/>
      <w:r w:rsidRPr="008800D8">
        <w:rPr>
          <w:color w:val="222222"/>
          <w:shd w:val="clear" w:color="auto" w:fill="FFFFFF"/>
        </w:rPr>
        <w:t> </w:t>
      </w:r>
      <w:r w:rsidRPr="008800D8">
        <w:rPr>
          <w:i/>
          <w:iCs/>
          <w:color w:val="222222"/>
          <w:shd w:val="clear" w:color="auto" w:fill="FFFFFF"/>
        </w:rPr>
        <w:t>CBE—Life Sciences Education</w:t>
      </w:r>
      <w:r w:rsidRPr="008800D8">
        <w:rPr>
          <w:color w:val="222222"/>
          <w:shd w:val="clear" w:color="auto" w:fill="FFFFFF"/>
        </w:rPr>
        <w:t>, </w:t>
      </w:r>
      <w:r w:rsidRPr="008800D8">
        <w:rPr>
          <w:i/>
          <w:iCs/>
          <w:color w:val="222222"/>
          <w:shd w:val="clear" w:color="auto" w:fill="FFFFFF"/>
        </w:rPr>
        <w:t>13</w:t>
      </w:r>
      <w:r w:rsidRPr="008800D8">
        <w:rPr>
          <w:color w:val="222222"/>
          <w:shd w:val="clear" w:color="auto" w:fill="FFFFFF"/>
        </w:rPr>
        <w:t>(3), 453-</w:t>
      </w:r>
      <w:proofErr w:type="gramStart"/>
      <w:r w:rsidRPr="008800D8">
        <w:rPr>
          <w:color w:val="222222"/>
          <w:shd w:val="clear" w:color="auto" w:fill="FFFFFF"/>
        </w:rPr>
        <w:t>468.</w:t>
      </w:r>
      <w:r w:rsidRPr="008800D8">
        <w:t>.</w:t>
      </w:r>
      <w:proofErr w:type="gramEnd"/>
      <w:r w:rsidRPr="008800D8">
        <w:t xml:space="preserve"> </w:t>
      </w:r>
      <w:hyperlink r:id="rId20" w:tgtFrame="_new" w:history="1">
        <w:r w:rsidRPr="008800D8">
          <w:rPr>
            <w:rStyle w:val="Hyperlink"/>
          </w:rPr>
          <w:t>https://doi.org/10.1187/cbe.14-03-0050</w:t>
        </w:r>
      </w:hyperlink>
    </w:p>
    <w:p w:rsidR="008800D8" w:rsidRPr="008800D8" w:rsidRDefault="008800D8" w:rsidP="00B12E54">
      <w:pPr>
        <w:pStyle w:val="NormalWeb"/>
        <w:numPr>
          <w:ilvl w:val="0"/>
          <w:numId w:val="45"/>
        </w:numPr>
        <w:jc w:val="both"/>
      </w:pPr>
      <w:proofErr w:type="spellStart"/>
      <w:r w:rsidRPr="008800D8">
        <w:rPr>
          <w:color w:val="222222"/>
          <w:shd w:val="clear" w:color="auto" w:fill="FFFFFF"/>
        </w:rPr>
        <w:t>Filippou</w:t>
      </w:r>
      <w:proofErr w:type="spellEnd"/>
      <w:r w:rsidRPr="008800D8">
        <w:rPr>
          <w:color w:val="222222"/>
          <w:shd w:val="clear" w:color="auto" w:fill="FFFFFF"/>
        </w:rPr>
        <w:t xml:space="preserve">, K., Acquah, E. O., &amp; </w:t>
      </w:r>
      <w:proofErr w:type="spellStart"/>
      <w:r w:rsidRPr="008800D8">
        <w:rPr>
          <w:color w:val="222222"/>
          <w:shd w:val="clear" w:color="auto" w:fill="FFFFFF"/>
        </w:rPr>
        <w:t>Bengs</w:t>
      </w:r>
      <w:proofErr w:type="spellEnd"/>
      <w:r w:rsidRPr="008800D8">
        <w:rPr>
          <w:color w:val="222222"/>
          <w:shd w:val="clear" w:color="auto" w:fill="FFFFFF"/>
        </w:rPr>
        <w:t>, A. (2025). Inclusive policies and practices in higher education: A systematic literature review. </w:t>
      </w:r>
      <w:r w:rsidRPr="008800D8">
        <w:rPr>
          <w:i/>
          <w:iCs/>
          <w:color w:val="222222"/>
          <w:shd w:val="clear" w:color="auto" w:fill="FFFFFF"/>
        </w:rPr>
        <w:t>Review of Education</w:t>
      </w:r>
      <w:r w:rsidRPr="008800D8">
        <w:rPr>
          <w:color w:val="222222"/>
          <w:shd w:val="clear" w:color="auto" w:fill="FFFFFF"/>
        </w:rPr>
        <w:t>, </w:t>
      </w:r>
      <w:r w:rsidRPr="008800D8">
        <w:rPr>
          <w:i/>
          <w:iCs/>
          <w:color w:val="222222"/>
          <w:shd w:val="clear" w:color="auto" w:fill="FFFFFF"/>
        </w:rPr>
        <w:t>13</w:t>
      </w:r>
      <w:r w:rsidRPr="008800D8">
        <w:rPr>
          <w:color w:val="222222"/>
          <w:shd w:val="clear" w:color="auto" w:fill="FFFFFF"/>
        </w:rPr>
        <w:t>(1), e</w:t>
      </w:r>
      <w:proofErr w:type="gramStart"/>
      <w:r w:rsidRPr="008800D8">
        <w:rPr>
          <w:color w:val="222222"/>
          <w:shd w:val="clear" w:color="auto" w:fill="FFFFFF"/>
        </w:rPr>
        <w:t>70034.</w:t>
      </w:r>
      <w:r w:rsidRPr="008800D8">
        <w:t>.</w:t>
      </w:r>
      <w:proofErr w:type="gramEnd"/>
      <w:r w:rsidRPr="008800D8">
        <w:t xml:space="preserve"> </w:t>
      </w:r>
      <w:hyperlink r:id="rId21" w:history="1">
        <w:r w:rsidRPr="008800D8">
          <w:rPr>
            <w:rStyle w:val="Hyperlink"/>
          </w:rPr>
          <w:t>https://doi.org/10.1002/rev3.70034</w:t>
        </w:r>
      </w:hyperlink>
      <w:r w:rsidRPr="008800D8">
        <w:t xml:space="preserve"> </w:t>
      </w:r>
    </w:p>
    <w:p w:rsidR="008800D8" w:rsidRPr="008800D8" w:rsidRDefault="008800D8" w:rsidP="00B12E54">
      <w:pPr>
        <w:pStyle w:val="NormalWeb"/>
        <w:numPr>
          <w:ilvl w:val="0"/>
          <w:numId w:val="45"/>
        </w:numPr>
        <w:jc w:val="both"/>
      </w:pPr>
      <w:r w:rsidRPr="008800D8">
        <w:rPr>
          <w:color w:val="222222"/>
          <w:shd w:val="clear" w:color="auto" w:fill="FFFFFF"/>
        </w:rPr>
        <w:t xml:space="preserve">Finn, A. N., </w:t>
      </w:r>
      <w:proofErr w:type="spellStart"/>
      <w:r w:rsidRPr="008800D8">
        <w:rPr>
          <w:color w:val="222222"/>
          <w:shd w:val="clear" w:color="auto" w:fill="FFFFFF"/>
        </w:rPr>
        <w:t>Schrodt</w:t>
      </w:r>
      <w:proofErr w:type="spellEnd"/>
      <w:r w:rsidRPr="008800D8">
        <w:rPr>
          <w:color w:val="222222"/>
          <w:shd w:val="clear" w:color="auto" w:fill="FFFFFF"/>
        </w:rPr>
        <w:t xml:space="preserve">, P., Witt, P. L., </w:t>
      </w:r>
      <w:proofErr w:type="spellStart"/>
      <w:r w:rsidRPr="008800D8">
        <w:rPr>
          <w:color w:val="222222"/>
          <w:shd w:val="clear" w:color="auto" w:fill="FFFFFF"/>
        </w:rPr>
        <w:t>Elledge</w:t>
      </w:r>
      <w:proofErr w:type="spellEnd"/>
      <w:r w:rsidRPr="008800D8">
        <w:rPr>
          <w:color w:val="222222"/>
          <w:shd w:val="clear" w:color="auto" w:fill="FFFFFF"/>
        </w:rPr>
        <w:t xml:space="preserve">, N., </w:t>
      </w:r>
      <w:proofErr w:type="spellStart"/>
      <w:r w:rsidRPr="008800D8">
        <w:rPr>
          <w:color w:val="222222"/>
          <w:shd w:val="clear" w:color="auto" w:fill="FFFFFF"/>
        </w:rPr>
        <w:t>Jernberg</w:t>
      </w:r>
      <w:proofErr w:type="spellEnd"/>
      <w:r w:rsidRPr="008800D8">
        <w:rPr>
          <w:color w:val="222222"/>
          <w:shd w:val="clear" w:color="auto" w:fill="FFFFFF"/>
        </w:rPr>
        <w:t>, K. A., &amp; Larson, L. M. (2009). A meta-analytical review of teacher credibility and its associations with teacher behaviors and student outcomes. </w:t>
      </w:r>
      <w:r w:rsidRPr="008800D8">
        <w:rPr>
          <w:i/>
          <w:iCs/>
          <w:color w:val="222222"/>
          <w:shd w:val="clear" w:color="auto" w:fill="FFFFFF"/>
        </w:rPr>
        <w:t>Communication education</w:t>
      </w:r>
      <w:r w:rsidRPr="008800D8">
        <w:rPr>
          <w:color w:val="222222"/>
          <w:shd w:val="clear" w:color="auto" w:fill="FFFFFF"/>
        </w:rPr>
        <w:t>, </w:t>
      </w:r>
      <w:r w:rsidRPr="008800D8">
        <w:rPr>
          <w:i/>
          <w:iCs/>
          <w:color w:val="222222"/>
          <w:shd w:val="clear" w:color="auto" w:fill="FFFFFF"/>
        </w:rPr>
        <w:t>58</w:t>
      </w:r>
      <w:r w:rsidRPr="008800D8">
        <w:rPr>
          <w:color w:val="222222"/>
          <w:shd w:val="clear" w:color="auto" w:fill="FFFFFF"/>
        </w:rPr>
        <w:t xml:space="preserve">(4), 516-537. </w:t>
      </w:r>
      <w:hyperlink r:id="rId22" w:history="1">
        <w:r w:rsidRPr="008800D8">
          <w:rPr>
            <w:rStyle w:val="Hyperlink"/>
          </w:rPr>
          <w:t>https://doi.org/10.1080/03634520903131154</w:t>
        </w:r>
      </w:hyperlink>
      <w:r w:rsidRPr="008800D8">
        <w:t xml:space="preserve">  </w:t>
      </w:r>
    </w:p>
    <w:p w:rsidR="008800D8" w:rsidRPr="008800D8" w:rsidRDefault="008800D8" w:rsidP="00B12E54">
      <w:pPr>
        <w:pStyle w:val="NormalWeb"/>
        <w:numPr>
          <w:ilvl w:val="0"/>
          <w:numId w:val="45"/>
        </w:numPr>
        <w:jc w:val="both"/>
      </w:pPr>
      <w:r w:rsidRPr="008800D8">
        <w:rPr>
          <w:color w:val="222222"/>
          <w:shd w:val="clear" w:color="auto" w:fill="FFFFFF"/>
        </w:rPr>
        <w:t xml:space="preserve">Flanigan, A. E., Ray, E., </w:t>
      </w:r>
      <w:proofErr w:type="spellStart"/>
      <w:r w:rsidRPr="008800D8">
        <w:rPr>
          <w:color w:val="222222"/>
          <w:shd w:val="clear" w:color="auto" w:fill="FFFFFF"/>
        </w:rPr>
        <w:t>Titsworth</w:t>
      </w:r>
      <w:proofErr w:type="spellEnd"/>
      <w:r w:rsidRPr="008800D8">
        <w:rPr>
          <w:color w:val="222222"/>
          <w:shd w:val="clear" w:color="auto" w:fill="FFFFFF"/>
        </w:rPr>
        <w:t xml:space="preserve">, S., </w:t>
      </w:r>
      <w:proofErr w:type="spellStart"/>
      <w:r w:rsidRPr="008800D8">
        <w:rPr>
          <w:color w:val="222222"/>
          <w:shd w:val="clear" w:color="auto" w:fill="FFFFFF"/>
        </w:rPr>
        <w:t>Hosek</w:t>
      </w:r>
      <w:proofErr w:type="spellEnd"/>
      <w:r w:rsidRPr="008800D8">
        <w:rPr>
          <w:color w:val="222222"/>
          <w:shd w:val="clear" w:color="auto" w:fill="FFFFFF"/>
        </w:rPr>
        <w:t>, A. M., &amp; Kim, J. H. Y. (2023). Initiating and maintaining student-instructor rapport in face-to-face classes. </w:t>
      </w:r>
      <w:r w:rsidRPr="008800D8">
        <w:rPr>
          <w:i/>
          <w:iCs/>
          <w:color w:val="222222"/>
          <w:shd w:val="clear" w:color="auto" w:fill="FFFFFF"/>
        </w:rPr>
        <w:t>Teaching in Higher Education</w:t>
      </w:r>
      <w:r w:rsidRPr="008800D8">
        <w:rPr>
          <w:color w:val="222222"/>
          <w:shd w:val="clear" w:color="auto" w:fill="FFFFFF"/>
        </w:rPr>
        <w:t>, </w:t>
      </w:r>
      <w:r w:rsidRPr="008800D8">
        <w:rPr>
          <w:i/>
          <w:iCs/>
          <w:color w:val="222222"/>
          <w:shd w:val="clear" w:color="auto" w:fill="FFFFFF"/>
        </w:rPr>
        <w:t>28</w:t>
      </w:r>
      <w:r w:rsidRPr="008800D8">
        <w:rPr>
          <w:color w:val="222222"/>
          <w:shd w:val="clear" w:color="auto" w:fill="FFFFFF"/>
        </w:rPr>
        <w:t xml:space="preserve">(7), 1620-1639. </w:t>
      </w:r>
      <w:hyperlink r:id="rId23" w:history="1">
        <w:r w:rsidRPr="008800D8">
          <w:rPr>
            <w:rStyle w:val="Hyperlink"/>
          </w:rPr>
          <w:t>https://doi.org/10.1080/13562517.2021.1918662</w:t>
        </w:r>
      </w:hyperlink>
      <w:r w:rsidRPr="008800D8">
        <w:t xml:space="preserve">  </w:t>
      </w:r>
      <w:r w:rsidRPr="008800D8">
        <w:rPr>
          <w:color w:val="222222"/>
          <w:shd w:val="clear" w:color="auto" w:fill="FFFFFF"/>
        </w:rPr>
        <w:t xml:space="preserve">  </w:t>
      </w:r>
    </w:p>
    <w:p w:rsidR="008800D8" w:rsidRPr="008800D8" w:rsidRDefault="008800D8" w:rsidP="00B12E54">
      <w:pPr>
        <w:pStyle w:val="NormalWeb"/>
        <w:numPr>
          <w:ilvl w:val="0"/>
          <w:numId w:val="45"/>
        </w:numPr>
        <w:jc w:val="both"/>
      </w:pPr>
      <w:r w:rsidRPr="008800D8">
        <w:t xml:space="preserve">Freeman, S., Eddy, S. L., McDonough, M., Smith, M. K., </w:t>
      </w:r>
      <w:proofErr w:type="spellStart"/>
      <w:r w:rsidRPr="008800D8">
        <w:t>Okoroafor</w:t>
      </w:r>
      <w:proofErr w:type="spellEnd"/>
      <w:r w:rsidRPr="008800D8">
        <w:t xml:space="preserve">, N., </w:t>
      </w:r>
      <w:proofErr w:type="spellStart"/>
      <w:r w:rsidRPr="008800D8">
        <w:t>Jordt</w:t>
      </w:r>
      <w:proofErr w:type="spellEnd"/>
      <w:r w:rsidRPr="008800D8">
        <w:t xml:space="preserve">, H., &amp; </w:t>
      </w:r>
      <w:proofErr w:type="spellStart"/>
      <w:r w:rsidRPr="008800D8">
        <w:t>Wenderoth</w:t>
      </w:r>
      <w:proofErr w:type="spellEnd"/>
      <w:r w:rsidRPr="008800D8">
        <w:t xml:space="preserve">, M. P. (2014). Active learning increases student performance in science, engineering, and mathematics. </w:t>
      </w:r>
      <w:r w:rsidRPr="008800D8">
        <w:rPr>
          <w:rStyle w:val="Emphasis"/>
          <w:rFonts w:eastAsiaTheme="majorEastAsia"/>
        </w:rPr>
        <w:t>Proceedings of the National Academy of Sciences, 111</w:t>
      </w:r>
      <w:r w:rsidRPr="008800D8">
        <w:t xml:space="preserve">(23), 8410–8415. </w:t>
      </w:r>
      <w:hyperlink r:id="rId24" w:tgtFrame="_new" w:history="1">
        <w:r w:rsidRPr="008800D8">
          <w:rPr>
            <w:rStyle w:val="Hyperlink"/>
          </w:rPr>
          <w:t>https://doi.org/10.1073/pnas.1319030111</w:t>
        </w:r>
      </w:hyperlink>
    </w:p>
    <w:p w:rsidR="008800D8" w:rsidRPr="008800D8" w:rsidRDefault="008800D8" w:rsidP="00B12E54">
      <w:pPr>
        <w:pStyle w:val="NormalWeb"/>
        <w:numPr>
          <w:ilvl w:val="0"/>
          <w:numId w:val="45"/>
        </w:numPr>
        <w:jc w:val="both"/>
      </w:pPr>
      <w:proofErr w:type="spellStart"/>
      <w:r w:rsidRPr="008800D8">
        <w:rPr>
          <w:color w:val="222222"/>
          <w:shd w:val="clear" w:color="auto" w:fill="FFFFFF"/>
        </w:rPr>
        <w:t>Gonsalves</w:t>
      </w:r>
      <w:proofErr w:type="spellEnd"/>
      <w:r w:rsidRPr="008800D8">
        <w:rPr>
          <w:color w:val="222222"/>
          <w:shd w:val="clear" w:color="auto" w:fill="FFFFFF"/>
        </w:rPr>
        <w:t>, C., &amp; Lin, Z. (2025). Clear in advance to whom? Exploring ‘</w:t>
      </w:r>
      <w:proofErr w:type="spellStart"/>
      <w:r w:rsidRPr="008800D8">
        <w:rPr>
          <w:color w:val="222222"/>
          <w:shd w:val="clear" w:color="auto" w:fill="FFFFFF"/>
        </w:rPr>
        <w:t>transparency’of</w:t>
      </w:r>
      <w:proofErr w:type="spellEnd"/>
      <w:r w:rsidRPr="008800D8">
        <w:rPr>
          <w:color w:val="222222"/>
          <w:shd w:val="clear" w:color="auto" w:fill="FFFFFF"/>
        </w:rPr>
        <w:t xml:space="preserve"> assessment practices in UK higher education institution assessment policy. </w:t>
      </w:r>
      <w:r w:rsidRPr="008800D8">
        <w:rPr>
          <w:i/>
          <w:iCs/>
          <w:color w:val="222222"/>
          <w:shd w:val="clear" w:color="auto" w:fill="FFFFFF"/>
        </w:rPr>
        <w:t>Studies in Higher Education</w:t>
      </w:r>
      <w:r w:rsidRPr="008800D8">
        <w:rPr>
          <w:color w:val="222222"/>
          <w:shd w:val="clear" w:color="auto" w:fill="FFFFFF"/>
        </w:rPr>
        <w:t>, </w:t>
      </w:r>
      <w:r w:rsidRPr="008800D8">
        <w:rPr>
          <w:i/>
          <w:iCs/>
          <w:color w:val="222222"/>
          <w:shd w:val="clear" w:color="auto" w:fill="FFFFFF"/>
        </w:rPr>
        <w:t>50</w:t>
      </w:r>
      <w:r w:rsidRPr="008800D8">
        <w:rPr>
          <w:color w:val="222222"/>
          <w:shd w:val="clear" w:color="auto" w:fill="FFFFFF"/>
        </w:rPr>
        <w:t xml:space="preserve">(7), 1454-1470. </w:t>
      </w:r>
      <w:hyperlink r:id="rId25" w:tgtFrame="_new" w:history="1">
        <w:r w:rsidRPr="008800D8">
          <w:rPr>
            <w:rStyle w:val="Hyperlink"/>
          </w:rPr>
          <w:t>https://doi.org/10.1080/03075079.2024.2381124</w:t>
        </w:r>
      </w:hyperlink>
    </w:p>
    <w:p w:rsidR="008800D8" w:rsidRPr="008800D8" w:rsidRDefault="008800D8" w:rsidP="00B12E54">
      <w:pPr>
        <w:pStyle w:val="NormalWeb"/>
        <w:numPr>
          <w:ilvl w:val="0"/>
          <w:numId w:val="45"/>
        </w:numPr>
        <w:jc w:val="both"/>
      </w:pPr>
      <w:proofErr w:type="spellStart"/>
      <w:r w:rsidRPr="008800D8">
        <w:rPr>
          <w:color w:val="222222"/>
          <w:shd w:val="clear" w:color="auto" w:fill="FFFFFF"/>
        </w:rPr>
        <w:t>Haak</w:t>
      </w:r>
      <w:proofErr w:type="spellEnd"/>
      <w:r w:rsidRPr="008800D8">
        <w:rPr>
          <w:color w:val="222222"/>
          <w:shd w:val="clear" w:color="auto" w:fill="FFFFFF"/>
        </w:rPr>
        <w:t xml:space="preserve">, D. C., </w:t>
      </w:r>
      <w:proofErr w:type="spellStart"/>
      <w:r w:rsidRPr="008800D8">
        <w:rPr>
          <w:color w:val="222222"/>
          <w:shd w:val="clear" w:color="auto" w:fill="FFFFFF"/>
        </w:rPr>
        <w:t>HilleRisLambers</w:t>
      </w:r>
      <w:proofErr w:type="spellEnd"/>
      <w:r w:rsidRPr="008800D8">
        <w:rPr>
          <w:color w:val="222222"/>
          <w:shd w:val="clear" w:color="auto" w:fill="FFFFFF"/>
        </w:rPr>
        <w:t xml:space="preserve">, J., </w:t>
      </w:r>
      <w:proofErr w:type="spellStart"/>
      <w:r w:rsidRPr="008800D8">
        <w:rPr>
          <w:color w:val="222222"/>
          <w:shd w:val="clear" w:color="auto" w:fill="FFFFFF"/>
        </w:rPr>
        <w:t>Pitre</w:t>
      </w:r>
      <w:proofErr w:type="spellEnd"/>
      <w:r w:rsidRPr="008800D8">
        <w:rPr>
          <w:color w:val="222222"/>
          <w:shd w:val="clear" w:color="auto" w:fill="FFFFFF"/>
        </w:rPr>
        <w:t>, E., &amp; Freeman, S. (2011). Increased structure and active learning reduce the achievement gap in introductory biology. </w:t>
      </w:r>
      <w:r w:rsidRPr="008800D8">
        <w:rPr>
          <w:i/>
          <w:iCs/>
          <w:color w:val="222222"/>
          <w:shd w:val="clear" w:color="auto" w:fill="FFFFFF"/>
        </w:rPr>
        <w:t>Science</w:t>
      </w:r>
      <w:r w:rsidRPr="008800D8">
        <w:rPr>
          <w:color w:val="222222"/>
          <w:shd w:val="clear" w:color="auto" w:fill="FFFFFF"/>
        </w:rPr>
        <w:t>, </w:t>
      </w:r>
      <w:r w:rsidRPr="008800D8">
        <w:rPr>
          <w:i/>
          <w:iCs/>
          <w:color w:val="222222"/>
          <w:shd w:val="clear" w:color="auto" w:fill="FFFFFF"/>
        </w:rPr>
        <w:t>332</w:t>
      </w:r>
      <w:r w:rsidRPr="008800D8">
        <w:rPr>
          <w:color w:val="222222"/>
          <w:shd w:val="clear" w:color="auto" w:fill="FFFFFF"/>
        </w:rPr>
        <w:t xml:space="preserve">(6034), 1213-1216. </w:t>
      </w:r>
      <w:hyperlink r:id="rId26" w:history="1">
        <w:r w:rsidRPr="008800D8">
          <w:rPr>
            <w:rStyle w:val="Hyperlink"/>
          </w:rPr>
          <w:t>https://doi.org/10.1126/science.1204820</w:t>
        </w:r>
      </w:hyperlink>
      <w:r w:rsidRPr="008800D8">
        <w:t xml:space="preserve"> </w:t>
      </w:r>
    </w:p>
    <w:p w:rsidR="008800D8" w:rsidRPr="008800D8" w:rsidRDefault="008800D8" w:rsidP="00B12E54">
      <w:pPr>
        <w:pStyle w:val="NormalWeb"/>
        <w:numPr>
          <w:ilvl w:val="0"/>
          <w:numId w:val="45"/>
        </w:numPr>
        <w:jc w:val="both"/>
      </w:pPr>
      <w:r w:rsidRPr="008800D8">
        <w:rPr>
          <w:color w:val="222222"/>
          <w:shd w:val="clear" w:color="auto" w:fill="FFFFFF"/>
        </w:rPr>
        <w:t>Harnish, R. J., &amp; Bridges, K. R. (2011). Effect of syllabus tone: Students’ perceptions of instructor and course. </w:t>
      </w:r>
      <w:r w:rsidRPr="008800D8">
        <w:rPr>
          <w:i/>
          <w:iCs/>
          <w:color w:val="222222"/>
          <w:shd w:val="clear" w:color="auto" w:fill="FFFFFF"/>
        </w:rPr>
        <w:t>Social Psychology of Education</w:t>
      </w:r>
      <w:r w:rsidRPr="008800D8">
        <w:rPr>
          <w:color w:val="222222"/>
          <w:shd w:val="clear" w:color="auto" w:fill="FFFFFF"/>
        </w:rPr>
        <w:t>, </w:t>
      </w:r>
      <w:r w:rsidRPr="008800D8">
        <w:rPr>
          <w:i/>
          <w:iCs/>
          <w:color w:val="222222"/>
          <w:shd w:val="clear" w:color="auto" w:fill="FFFFFF"/>
        </w:rPr>
        <w:t>14</w:t>
      </w:r>
      <w:r w:rsidRPr="008800D8">
        <w:rPr>
          <w:color w:val="222222"/>
          <w:shd w:val="clear" w:color="auto" w:fill="FFFFFF"/>
        </w:rPr>
        <w:t xml:space="preserve">(3), 319-330. </w:t>
      </w:r>
      <w:hyperlink r:id="rId27" w:history="1">
        <w:r w:rsidRPr="008800D8">
          <w:rPr>
            <w:rStyle w:val="Hyperlink"/>
          </w:rPr>
          <w:t>https://doi.org/10.1007/s11218-011-9152-4</w:t>
        </w:r>
      </w:hyperlink>
      <w:r w:rsidRPr="008800D8">
        <w:t xml:space="preserve"> </w:t>
      </w:r>
    </w:p>
    <w:p w:rsidR="008800D8" w:rsidRPr="008800D8" w:rsidRDefault="008800D8" w:rsidP="00B12E54">
      <w:pPr>
        <w:pStyle w:val="NormalWeb"/>
        <w:numPr>
          <w:ilvl w:val="0"/>
          <w:numId w:val="45"/>
        </w:numPr>
        <w:jc w:val="both"/>
      </w:pPr>
      <w:r w:rsidRPr="008800D8">
        <w:rPr>
          <w:color w:val="222222"/>
          <w:shd w:val="clear" w:color="auto" w:fill="FFFFFF"/>
        </w:rPr>
        <w:t>Hudgins, T., Layne, D., Kusch, C. E., &amp; Lounsbury, K. (2023). An analysis of the perceptions of incivility in higher education. </w:t>
      </w:r>
      <w:r w:rsidRPr="008800D8">
        <w:rPr>
          <w:i/>
          <w:iCs/>
          <w:color w:val="222222"/>
          <w:shd w:val="clear" w:color="auto" w:fill="FFFFFF"/>
        </w:rPr>
        <w:t>Journal of Academic Ethics</w:t>
      </w:r>
      <w:r w:rsidRPr="008800D8">
        <w:rPr>
          <w:color w:val="222222"/>
          <w:shd w:val="clear" w:color="auto" w:fill="FFFFFF"/>
        </w:rPr>
        <w:t>, </w:t>
      </w:r>
      <w:r w:rsidRPr="008800D8">
        <w:rPr>
          <w:i/>
          <w:iCs/>
          <w:color w:val="222222"/>
          <w:shd w:val="clear" w:color="auto" w:fill="FFFFFF"/>
        </w:rPr>
        <w:t>21</w:t>
      </w:r>
      <w:r w:rsidRPr="008800D8">
        <w:rPr>
          <w:color w:val="222222"/>
          <w:shd w:val="clear" w:color="auto" w:fill="FFFFFF"/>
        </w:rPr>
        <w:t xml:space="preserve">(2), 177-191. </w:t>
      </w:r>
      <w:hyperlink r:id="rId28" w:history="1">
        <w:r w:rsidRPr="008800D8">
          <w:rPr>
            <w:rStyle w:val="Hyperlink"/>
          </w:rPr>
          <w:t>https://doi.org/10.1007/s10805-022-09448-2</w:t>
        </w:r>
      </w:hyperlink>
      <w:r w:rsidRPr="008800D8">
        <w:t xml:space="preserve"> </w:t>
      </w:r>
    </w:p>
    <w:p w:rsidR="008800D8" w:rsidRPr="008800D8" w:rsidRDefault="008800D8" w:rsidP="00B12E54">
      <w:pPr>
        <w:pStyle w:val="NormalWeb"/>
        <w:numPr>
          <w:ilvl w:val="0"/>
          <w:numId w:val="45"/>
        </w:numPr>
        <w:jc w:val="both"/>
      </w:pPr>
      <w:proofErr w:type="spellStart"/>
      <w:r w:rsidRPr="008800D8">
        <w:rPr>
          <w:color w:val="222222"/>
          <w:shd w:val="clear" w:color="auto" w:fill="FFFFFF"/>
        </w:rPr>
        <w:t>Kahu</w:t>
      </w:r>
      <w:proofErr w:type="spellEnd"/>
      <w:r w:rsidRPr="008800D8">
        <w:rPr>
          <w:color w:val="222222"/>
          <w:shd w:val="clear" w:color="auto" w:fill="FFFFFF"/>
        </w:rPr>
        <w:t>, E. R. (2013). Framing student engagement in higher education. </w:t>
      </w:r>
      <w:r w:rsidRPr="008800D8">
        <w:rPr>
          <w:i/>
          <w:iCs/>
          <w:color w:val="222222"/>
          <w:shd w:val="clear" w:color="auto" w:fill="FFFFFF"/>
        </w:rPr>
        <w:t>Studies in higher education</w:t>
      </w:r>
      <w:r w:rsidRPr="008800D8">
        <w:rPr>
          <w:color w:val="222222"/>
          <w:shd w:val="clear" w:color="auto" w:fill="FFFFFF"/>
        </w:rPr>
        <w:t>, </w:t>
      </w:r>
      <w:r w:rsidRPr="008800D8">
        <w:rPr>
          <w:i/>
          <w:iCs/>
          <w:color w:val="222222"/>
          <w:shd w:val="clear" w:color="auto" w:fill="FFFFFF"/>
        </w:rPr>
        <w:t>38</w:t>
      </w:r>
      <w:r w:rsidRPr="008800D8">
        <w:rPr>
          <w:color w:val="222222"/>
          <w:shd w:val="clear" w:color="auto" w:fill="FFFFFF"/>
        </w:rPr>
        <w:t xml:space="preserve">(5), 758-773. </w:t>
      </w:r>
      <w:hyperlink r:id="rId29" w:history="1">
        <w:r w:rsidRPr="008800D8">
          <w:rPr>
            <w:rStyle w:val="Hyperlink"/>
          </w:rPr>
          <w:t>https://doi.org/10.1080/03075079.2011.598505</w:t>
        </w:r>
      </w:hyperlink>
      <w:r w:rsidRPr="008800D8">
        <w:t xml:space="preserve"> </w:t>
      </w:r>
    </w:p>
    <w:p w:rsidR="008800D8" w:rsidRPr="008800D8" w:rsidRDefault="008800D8" w:rsidP="00B12E54">
      <w:pPr>
        <w:pStyle w:val="NormalWeb"/>
        <w:numPr>
          <w:ilvl w:val="0"/>
          <w:numId w:val="45"/>
        </w:numPr>
        <w:jc w:val="both"/>
      </w:pPr>
      <w:proofErr w:type="spellStart"/>
      <w:r w:rsidRPr="008800D8">
        <w:rPr>
          <w:color w:val="222222"/>
          <w:shd w:val="clear" w:color="auto" w:fill="FFFFFF"/>
        </w:rPr>
        <w:t>Kahu</w:t>
      </w:r>
      <w:proofErr w:type="spellEnd"/>
      <w:r w:rsidRPr="008800D8">
        <w:rPr>
          <w:color w:val="222222"/>
          <w:shd w:val="clear" w:color="auto" w:fill="FFFFFF"/>
        </w:rPr>
        <w:t>, E. R., &amp; Nelson, K. (2018). Student engagement in the educational interface: Understanding the mechanisms of student success. </w:t>
      </w:r>
      <w:r w:rsidRPr="008800D8">
        <w:rPr>
          <w:i/>
          <w:iCs/>
          <w:color w:val="222222"/>
          <w:shd w:val="clear" w:color="auto" w:fill="FFFFFF"/>
        </w:rPr>
        <w:t>Higher education research &amp; development</w:t>
      </w:r>
      <w:r w:rsidRPr="008800D8">
        <w:rPr>
          <w:color w:val="222222"/>
          <w:shd w:val="clear" w:color="auto" w:fill="FFFFFF"/>
        </w:rPr>
        <w:t>, </w:t>
      </w:r>
      <w:r w:rsidRPr="008800D8">
        <w:rPr>
          <w:i/>
          <w:iCs/>
          <w:color w:val="222222"/>
          <w:shd w:val="clear" w:color="auto" w:fill="FFFFFF"/>
        </w:rPr>
        <w:t>37</w:t>
      </w:r>
      <w:r w:rsidRPr="008800D8">
        <w:rPr>
          <w:color w:val="222222"/>
          <w:shd w:val="clear" w:color="auto" w:fill="FFFFFF"/>
        </w:rPr>
        <w:t xml:space="preserve">(1), 58-71. </w:t>
      </w:r>
      <w:hyperlink r:id="rId30" w:history="1">
        <w:r w:rsidRPr="008800D8">
          <w:rPr>
            <w:rStyle w:val="Hyperlink"/>
          </w:rPr>
          <w:t>https://doi.org/10.1080/07294360.2017.1344197</w:t>
        </w:r>
      </w:hyperlink>
      <w:r w:rsidRPr="008800D8">
        <w:t xml:space="preserve"> </w:t>
      </w:r>
    </w:p>
    <w:p w:rsidR="008800D8" w:rsidRPr="008800D8" w:rsidRDefault="008800D8" w:rsidP="00B12E54">
      <w:pPr>
        <w:pStyle w:val="NormalWeb"/>
        <w:numPr>
          <w:ilvl w:val="0"/>
          <w:numId w:val="45"/>
        </w:numPr>
        <w:jc w:val="both"/>
      </w:pPr>
      <w:proofErr w:type="spellStart"/>
      <w:r w:rsidRPr="008800D8">
        <w:rPr>
          <w:color w:val="222222"/>
          <w:shd w:val="clear" w:color="auto" w:fill="FFFFFF"/>
        </w:rPr>
        <w:t>LeFebvre</w:t>
      </w:r>
      <w:proofErr w:type="spellEnd"/>
      <w:r w:rsidRPr="008800D8">
        <w:rPr>
          <w:color w:val="222222"/>
          <w:shd w:val="clear" w:color="auto" w:fill="FFFFFF"/>
        </w:rPr>
        <w:t>, L., &amp; Allen, M. (2014). Teacher immediacy and student learning: An examination of lecture/laboratory and self-contained course sections. </w:t>
      </w:r>
      <w:r w:rsidRPr="008800D8">
        <w:rPr>
          <w:i/>
          <w:iCs/>
          <w:color w:val="222222"/>
          <w:shd w:val="clear" w:color="auto" w:fill="FFFFFF"/>
        </w:rPr>
        <w:t xml:space="preserve">Journal of the </w:t>
      </w:r>
      <w:r w:rsidRPr="008800D8">
        <w:rPr>
          <w:i/>
          <w:iCs/>
          <w:color w:val="222222"/>
          <w:shd w:val="clear" w:color="auto" w:fill="FFFFFF"/>
        </w:rPr>
        <w:lastRenderedPageBreak/>
        <w:t>Scholarship of Teaching and Learning</w:t>
      </w:r>
      <w:r w:rsidRPr="008800D8">
        <w:rPr>
          <w:color w:val="222222"/>
          <w:shd w:val="clear" w:color="auto" w:fill="FFFFFF"/>
        </w:rPr>
        <w:t xml:space="preserve">, 29-45. </w:t>
      </w:r>
      <w:hyperlink r:id="rId31" w:tgtFrame="_new" w:history="1">
        <w:r w:rsidRPr="008800D8">
          <w:rPr>
            <w:rStyle w:val="Hyperlink"/>
          </w:rPr>
          <w:t>https://doi.org/10.14434/josotl.v14i2.4002</w:t>
        </w:r>
      </w:hyperlink>
      <w:r w:rsidRPr="008800D8">
        <w:t xml:space="preserve"> </w:t>
      </w:r>
    </w:p>
    <w:p w:rsidR="008800D8" w:rsidRPr="008800D8" w:rsidRDefault="008800D8" w:rsidP="00B12E54">
      <w:pPr>
        <w:pStyle w:val="NormalWeb"/>
        <w:numPr>
          <w:ilvl w:val="0"/>
          <w:numId w:val="45"/>
        </w:numPr>
        <w:jc w:val="both"/>
      </w:pPr>
      <w:r w:rsidRPr="008800D8">
        <w:rPr>
          <w:color w:val="222222"/>
          <w:shd w:val="clear" w:color="auto" w:fill="FFFFFF"/>
        </w:rPr>
        <w:t>Liu, W. (2021). Does teacher immediacy affect students? A systematic review of the association between teacher verbal and non-verbal immediacy and student motivation. </w:t>
      </w:r>
      <w:r w:rsidRPr="008800D8">
        <w:rPr>
          <w:i/>
          <w:iCs/>
          <w:color w:val="222222"/>
          <w:shd w:val="clear" w:color="auto" w:fill="FFFFFF"/>
        </w:rPr>
        <w:t>Frontiers in Psychology</w:t>
      </w:r>
      <w:r w:rsidRPr="008800D8">
        <w:rPr>
          <w:color w:val="222222"/>
          <w:shd w:val="clear" w:color="auto" w:fill="FFFFFF"/>
        </w:rPr>
        <w:t>, </w:t>
      </w:r>
      <w:r w:rsidRPr="008800D8">
        <w:rPr>
          <w:i/>
          <w:iCs/>
          <w:color w:val="222222"/>
          <w:shd w:val="clear" w:color="auto" w:fill="FFFFFF"/>
        </w:rPr>
        <w:t>12</w:t>
      </w:r>
      <w:r w:rsidRPr="008800D8">
        <w:rPr>
          <w:color w:val="222222"/>
          <w:shd w:val="clear" w:color="auto" w:fill="FFFFFF"/>
        </w:rPr>
        <w:t xml:space="preserve">, 713978. </w:t>
      </w:r>
      <w:hyperlink r:id="rId32" w:tgtFrame="_new" w:history="1">
        <w:r w:rsidRPr="008800D8">
          <w:rPr>
            <w:rStyle w:val="Hyperlink"/>
          </w:rPr>
          <w:t>https://doi.org/10.3389/fpsyg.2021.713978</w:t>
        </w:r>
      </w:hyperlink>
      <w:r w:rsidRPr="008800D8">
        <w:t xml:space="preserve"> </w:t>
      </w:r>
    </w:p>
    <w:p w:rsidR="008800D8" w:rsidRPr="008800D8" w:rsidRDefault="008800D8" w:rsidP="00B12E54">
      <w:pPr>
        <w:pStyle w:val="NormalWeb"/>
        <w:numPr>
          <w:ilvl w:val="0"/>
          <w:numId w:val="45"/>
        </w:numPr>
        <w:jc w:val="both"/>
      </w:pPr>
      <w:r w:rsidRPr="008800D8">
        <w:rPr>
          <w:color w:val="222222"/>
          <w:shd w:val="clear" w:color="auto" w:fill="FFFFFF"/>
        </w:rPr>
        <w:t xml:space="preserve">Meyers, S. A. (2009). Do your students care whether you care about </w:t>
      </w:r>
      <w:proofErr w:type="gramStart"/>
      <w:r w:rsidRPr="008800D8">
        <w:rPr>
          <w:color w:val="222222"/>
          <w:shd w:val="clear" w:color="auto" w:fill="FFFFFF"/>
        </w:rPr>
        <w:t>them?.</w:t>
      </w:r>
      <w:proofErr w:type="gramEnd"/>
      <w:r w:rsidRPr="008800D8">
        <w:rPr>
          <w:color w:val="222222"/>
          <w:shd w:val="clear" w:color="auto" w:fill="FFFFFF"/>
        </w:rPr>
        <w:t> </w:t>
      </w:r>
      <w:r w:rsidRPr="008800D8">
        <w:rPr>
          <w:i/>
          <w:iCs/>
          <w:color w:val="222222"/>
          <w:shd w:val="clear" w:color="auto" w:fill="FFFFFF"/>
        </w:rPr>
        <w:t>College Teaching</w:t>
      </w:r>
      <w:r w:rsidRPr="008800D8">
        <w:rPr>
          <w:color w:val="222222"/>
          <w:shd w:val="clear" w:color="auto" w:fill="FFFFFF"/>
        </w:rPr>
        <w:t>, </w:t>
      </w:r>
      <w:r w:rsidRPr="008800D8">
        <w:rPr>
          <w:i/>
          <w:iCs/>
          <w:color w:val="222222"/>
          <w:shd w:val="clear" w:color="auto" w:fill="FFFFFF"/>
        </w:rPr>
        <w:t>57</w:t>
      </w:r>
      <w:r w:rsidRPr="008800D8">
        <w:rPr>
          <w:color w:val="222222"/>
          <w:shd w:val="clear" w:color="auto" w:fill="FFFFFF"/>
        </w:rPr>
        <w:t xml:space="preserve">(4), 205-210. </w:t>
      </w:r>
      <w:hyperlink r:id="rId33" w:history="1">
        <w:r w:rsidRPr="008800D8">
          <w:rPr>
            <w:rStyle w:val="Hyperlink"/>
          </w:rPr>
          <w:t>https://doi.org/10.1080/87567550903218620</w:t>
        </w:r>
      </w:hyperlink>
      <w:r w:rsidRPr="008800D8">
        <w:t xml:space="preserve"> </w:t>
      </w:r>
    </w:p>
    <w:p w:rsidR="008800D8" w:rsidRPr="008800D8" w:rsidRDefault="008800D8" w:rsidP="00B12E54">
      <w:pPr>
        <w:pStyle w:val="NormalWeb"/>
        <w:numPr>
          <w:ilvl w:val="0"/>
          <w:numId w:val="45"/>
        </w:numPr>
        <w:jc w:val="both"/>
      </w:pPr>
      <w:r w:rsidRPr="008800D8">
        <w:rPr>
          <w:color w:val="222222"/>
          <w:shd w:val="clear" w:color="auto" w:fill="FFFFFF"/>
        </w:rPr>
        <w:t>Morris, R., Perry, T., &amp; Wardle, L. (2021). Formative assessment and feedback for learning in higher education: A systematic review. </w:t>
      </w:r>
      <w:r w:rsidRPr="008800D8">
        <w:rPr>
          <w:i/>
          <w:iCs/>
          <w:color w:val="222222"/>
          <w:shd w:val="clear" w:color="auto" w:fill="FFFFFF"/>
        </w:rPr>
        <w:t>Review of Education</w:t>
      </w:r>
      <w:r w:rsidRPr="008800D8">
        <w:rPr>
          <w:color w:val="222222"/>
          <w:shd w:val="clear" w:color="auto" w:fill="FFFFFF"/>
        </w:rPr>
        <w:t>, </w:t>
      </w:r>
      <w:r w:rsidRPr="008800D8">
        <w:rPr>
          <w:i/>
          <w:iCs/>
          <w:color w:val="222222"/>
          <w:shd w:val="clear" w:color="auto" w:fill="FFFFFF"/>
        </w:rPr>
        <w:t>9</w:t>
      </w:r>
      <w:r w:rsidRPr="008800D8">
        <w:rPr>
          <w:color w:val="222222"/>
          <w:shd w:val="clear" w:color="auto" w:fill="FFFFFF"/>
        </w:rPr>
        <w:t xml:space="preserve">(3), e3292. </w:t>
      </w:r>
      <w:hyperlink r:id="rId34" w:tgtFrame="_new" w:history="1">
        <w:r w:rsidRPr="008800D8">
          <w:rPr>
            <w:rStyle w:val="Hyperlink"/>
          </w:rPr>
          <w:t>https://doi.org/10.1002/rev3.3292</w:t>
        </w:r>
      </w:hyperlink>
      <w:r w:rsidRPr="008800D8">
        <w:t xml:space="preserve"> </w:t>
      </w:r>
    </w:p>
    <w:p w:rsidR="008800D8" w:rsidRPr="008800D8" w:rsidRDefault="008800D8" w:rsidP="00B12E54">
      <w:pPr>
        <w:pStyle w:val="NormalWeb"/>
        <w:numPr>
          <w:ilvl w:val="0"/>
          <w:numId w:val="45"/>
        </w:numPr>
        <w:jc w:val="both"/>
      </w:pPr>
      <w:r w:rsidRPr="008800D8">
        <w:rPr>
          <w:color w:val="222222"/>
          <w:shd w:val="clear" w:color="auto" w:fill="FFFFFF"/>
        </w:rPr>
        <w:t>Nguyen-Viet, B., &amp; Nguyen, P. M. (2024). The Impact of Lecturer Incivility on Student Academic Performance and the Role of Social Support in Vietnamese Higher Education. </w:t>
      </w:r>
      <w:r w:rsidRPr="008800D8">
        <w:rPr>
          <w:i/>
          <w:iCs/>
          <w:color w:val="222222"/>
          <w:shd w:val="clear" w:color="auto" w:fill="FFFFFF"/>
        </w:rPr>
        <w:t>SAGE Open</w:t>
      </w:r>
      <w:r w:rsidRPr="008800D8">
        <w:rPr>
          <w:color w:val="222222"/>
          <w:shd w:val="clear" w:color="auto" w:fill="FFFFFF"/>
        </w:rPr>
        <w:t>, </w:t>
      </w:r>
      <w:r w:rsidRPr="008800D8">
        <w:rPr>
          <w:i/>
          <w:iCs/>
          <w:color w:val="222222"/>
          <w:shd w:val="clear" w:color="auto" w:fill="FFFFFF"/>
        </w:rPr>
        <w:t>14</w:t>
      </w:r>
      <w:r w:rsidRPr="008800D8">
        <w:rPr>
          <w:color w:val="222222"/>
          <w:shd w:val="clear" w:color="auto" w:fill="FFFFFF"/>
        </w:rPr>
        <w:t xml:space="preserve">(4), 21582440241309713. </w:t>
      </w:r>
      <w:hyperlink r:id="rId35" w:history="1">
        <w:r w:rsidRPr="008800D8">
          <w:rPr>
            <w:rStyle w:val="Hyperlink"/>
          </w:rPr>
          <w:t>https://doi.org/10.1177/21582440241309713</w:t>
        </w:r>
      </w:hyperlink>
      <w:r w:rsidRPr="008800D8">
        <w:t xml:space="preserve"> </w:t>
      </w:r>
    </w:p>
    <w:p w:rsidR="008800D8" w:rsidRPr="008800D8" w:rsidRDefault="008800D8" w:rsidP="00B12E54">
      <w:pPr>
        <w:pStyle w:val="NormalWeb"/>
        <w:numPr>
          <w:ilvl w:val="0"/>
          <w:numId w:val="45"/>
        </w:numPr>
        <w:jc w:val="both"/>
      </w:pPr>
      <w:r w:rsidRPr="008800D8">
        <w:rPr>
          <w:color w:val="222222"/>
          <w:shd w:val="clear" w:color="auto" w:fill="FFFFFF"/>
        </w:rPr>
        <w:t>Okada, R. (2023). Effects of perceived autonomy support on academic achievement and motivation among higher education students: A meta‐analysis. </w:t>
      </w:r>
      <w:r w:rsidRPr="008800D8">
        <w:rPr>
          <w:i/>
          <w:iCs/>
          <w:color w:val="222222"/>
          <w:shd w:val="clear" w:color="auto" w:fill="FFFFFF"/>
        </w:rPr>
        <w:t>Japanese Psychological Research</w:t>
      </w:r>
      <w:r w:rsidRPr="008800D8">
        <w:rPr>
          <w:color w:val="222222"/>
          <w:shd w:val="clear" w:color="auto" w:fill="FFFFFF"/>
        </w:rPr>
        <w:t>, </w:t>
      </w:r>
      <w:r w:rsidRPr="008800D8">
        <w:rPr>
          <w:i/>
          <w:iCs/>
          <w:color w:val="222222"/>
          <w:shd w:val="clear" w:color="auto" w:fill="FFFFFF"/>
        </w:rPr>
        <w:t>65</w:t>
      </w:r>
      <w:r w:rsidRPr="008800D8">
        <w:rPr>
          <w:color w:val="222222"/>
          <w:shd w:val="clear" w:color="auto" w:fill="FFFFFF"/>
        </w:rPr>
        <w:t xml:space="preserve">(3), 230-242. </w:t>
      </w:r>
      <w:hyperlink r:id="rId36" w:history="1">
        <w:r w:rsidRPr="008800D8">
          <w:rPr>
            <w:rStyle w:val="Hyperlink"/>
          </w:rPr>
          <w:t>https://doi.org/10.1111/jpr.12380</w:t>
        </w:r>
      </w:hyperlink>
      <w:r w:rsidRPr="008800D8">
        <w:t xml:space="preserve"> </w:t>
      </w:r>
    </w:p>
    <w:p w:rsidR="008800D8" w:rsidRPr="008800D8" w:rsidRDefault="008800D8" w:rsidP="00B12E54">
      <w:pPr>
        <w:pStyle w:val="NormalWeb"/>
        <w:numPr>
          <w:ilvl w:val="0"/>
          <w:numId w:val="45"/>
        </w:numPr>
        <w:jc w:val="both"/>
      </w:pPr>
      <w:proofErr w:type="spellStart"/>
      <w:r w:rsidRPr="008800D8">
        <w:rPr>
          <w:color w:val="222222"/>
          <w:shd w:val="clear" w:color="auto" w:fill="FFFFFF"/>
        </w:rPr>
        <w:t>Schrodt</w:t>
      </w:r>
      <w:proofErr w:type="spellEnd"/>
      <w:r w:rsidRPr="008800D8">
        <w:rPr>
          <w:color w:val="222222"/>
          <w:shd w:val="clear" w:color="auto" w:fill="FFFFFF"/>
        </w:rPr>
        <w:t xml:space="preserve">, P., Witt, P. L., </w:t>
      </w:r>
      <w:proofErr w:type="spellStart"/>
      <w:r w:rsidRPr="008800D8">
        <w:rPr>
          <w:color w:val="222222"/>
          <w:shd w:val="clear" w:color="auto" w:fill="FFFFFF"/>
        </w:rPr>
        <w:t>Turman</w:t>
      </w:r>
      <w:proofErr w:type="spellEnd"/>
      <w:r w:rsidRPr="008800D8">
        <w:rPr>
          <w:color w:val="222222"/>
          <w:shd w:val="clear" w:color="auto" w:fill="FFFFFF"/>
        </w:rPr>
        <w:t xml:space="preserve">, P. D., Myers, S. A., Barton, M. H., &amp; </w:t>
      </w:r>
      <w:proofErr w:type="spellStart"/>
      <w:r w:rsidRPr="008800D8">
        <w:rPr>
          <w:color w:val="222222"/>
          <w:shd w:val="clear" w:color="auto" w:fill="FFFFFF"/>
        </w:rPr>
        <w:t>Jernberg</w:t>
      </w:r>
      <w:proofErr w:type="spellEnd"/>
      <w:r w:rsidRPr="008800D8">
        <w:rPr>
          <w:color w:val="222222"/>
          <w:shd w:val="clear" w:color="auto" w:fill="FFFFFF"/>
        </w:rPr>
        <w:t>, K. A. (2009). Instructor credibility as a mediator of instructors’ prosocial communication behaviors and students’ learning outcomes. </w:t>
      </w:r>
      <w:r w:rsidRPr="008800D8">
        <w:rPr>
          <w:i/>
          <w:iCs/>
          <w:color w:val="222222"/>
          <w:shd w:val="clear" w:color="auto" w:fill="FFFFFF"/>
        </w:rPr>
        <w:t>Communication Education</w:t>
      </w:r>
      <w:r w:rsidRPr="008800D8">
        <w:rPr>
          <w:color w:val="222222"/>
          <w:shd w:val="clear" w:color="auto" w:fill="FFFFFF"/>
        </w:rPr>
        <w:t>, </w:t>
      </w:r>
      <w:r w:rsidRPr="008800D8">
        <w:rPr>
          <w:i/>
          <w:iCs/>
          <w:color w:val="222222"/>
          <w:shd w:val="clear" w:color="auto" w:fill="FFFFFF"/>
        </w:rPr>
        <w:t>58</w:t>
      </w:r>
      <w:r w:rsidRPr="008800D8">
        <w:rPr>
          <w:color w:val="222222"/>
          <w:shd w:val="clear" w:color="auto" w:fill="FFFFFF"/>
        </w:rPr>
        <w:t xml:space="preserve">(3), 350-371. </w:t>
      </w:r>
      <w:hyperlink r:id="rId37" w:history="1">
        <w:r w:rsidRPr="008800D8">
          <w:rPr>
            <w:rStyle w:val="Hyperlink"/>
          </w:rPr>
          <w:t>https://doi.org/10.1080/03634520902926851</w:t>
        </w:r>
      </w:hyperlink>
      <w:r w:rsidRPr="008800D8">
        <w:t xml:space="preserve"> </w:t>
      </w:r>
    </w:p>
    <w:p w:rsidR="008800D8" w:rsidRPr="008800D8" w:rsidRDefault="008800D8" w:rsidP="00B12E54">
      <w:pPr>
        <w:pStyle w:val="NormalWeb"/>
        <w:numPr>
          <w:ilvl w:val="0"/>
          <w:numId w:val="45"/>
        </w:numPr>
        <w:jc w:val="both"/>
      </w:pPr>
      <w:proofErr w:type="spellStart"/>
      <w:r w:rsidRPr="008800D8">
        <w:rPr>
          <w:color w:val="222222"/>
          <w:shd w:val="clear" w:color="auto" w:fill="FFFFFF"/>
        </w:rPr>
        <w:t>Sidelinger</w:t>
      </w:r>
      <w:proofErr w:type="spellEnd"/>
      <w:r w:rsidRPr="008800D8">
        <w:rPr>
          <w:color w:val="222222"/>
          <w:shd w:val="clear" w:color="auto" w:fill="FFFFFF"/>
        </w:rPr>
        <w:t>, R. J., &amp; Booth-Butterfield, M. (2010). Co-constructing student involvement: An examination of teacher confirmation and student-to-student connectedness in the college classroom. </w:t>
      </w:r>
      <w:r w:rsidRPr="008800D8">
        <w:rPr>
          <w:i/>
          <w:iCs/>
          <w:color w:val="222222"/>
          <w:shd w:val="clear" w:color="auto" w:fill="FFFFFF"/>
        </w:rPr>
        <w:t>Communication Education</w:t>
      </w:r>
      <w:r w:rsidRPr="008800D8">
        <w:rPr>
          <w:color w:val="222222"/>
          <w:shd w:val="clear" w:color="auto" w:fill="FFFFFF"/>
        </w:rPr>
        <w:t>, </w:t>
      </w:r>
      <w:r w:rsidRPr="008800D8">
        <w:rPr>
          <w:i/>
          <w:iCs/>
          <w:color w:val="222222"/>
          <w:shd w:val="clear" w:color="auto" w:fill="FFFFFF"/>
        </w:rPr>
        <w:t>59</w:t>
      </w:r>
      <w:r w:rsidRPr="008800D8">
        <w:rPr>
          <w:color w:val="222222"/>
          <w:shd w:val="clear" w:color="auto" w:fill="FFFFFF"/>
        </w:rPr>
        <w:t xml:space="preserve">(2), 165-184. </w:t>
      </w:r>
      <w:hyperlink r:id="rId38" w:history="1">
        <w:r w:rsidRPr="008800D8">
          <w:rPr>
            <w:rStyle w:val="Hyperlink"/>
          </w:rPr>
          <w:t>https://doi.org/10.1080/03634520903390867</w:t>
        </w:r>
      </w:hyperlink>
      <w:r w:rsidRPr="008800D8">
        <w:t xml:space="preserve"> </w:t>
      </w:r>
    </w:p>
    <w:p w:rsidR="008800D8" w:rsidRPr="008800D8" w:rsidRDefault="008800D8" w:rsidP="00B12E54">
      <w:pPr>
        <w:pStyle w:val="NormalWeb"/>
        <w:numPr>
          <w:ilvl w:val="0"/>
          <w:numId w:val="45"/>
        </w:numPr>
        <w:jc w:val="both"/>
      </w:pPr>
      <w:proofErr w:type="spellStart"/>
      <w:r w:rsidRPr="008800D8">
        <w:rPr>
          <w:color w:val="222222"/>
          <w:shd w:val="clear" w:color="auto" w:fill="FFFFFF"/>
        </w:rPr>
        <w:t>Tharayil</w:t>
      </w:r>
      <w:proofErr w:type="spellEnd"/>
      <w:r w:rsidRPr="008800D8">
        <w:rPr>
          <w:color w:val="222222"/>
          <w:shd w:val="clear" w:color="auto" w:fill="FFFFFF"/>
        </w:rPr>
        <w:t xml:space="preserve">, S., Borrego, M., Prince, M., Nguyen, K. A., Shekhar, P., </w:t>
      </w:r>
      <w:proofErr w:type="spellStart"/>
      <w:r w:rsidRPr="008800D8">
        <w:rPr>
          <w:color w:val="222222"/>
          <w:shd w:val="clear" w:color="auto" w:fill="FFFFFF"/>
        </w:rPr>
        <w:t>Finelli</w:t>
      </w:r>
      <w:proofErr w:type="spellEnd"/>
      <w:r w:rsidRPr="008800D8">
        <w:rPr>
          <w:color w:val="222222"/>
          <w:shd w:val="clear" w:color="auto" w:fill="FFFFFF"/>
        </w:rPr>
        <w:t>, C. J., &amp; Waters, C. (2018). Strategies to mitigate student resistance to active learning. </w:t>
      </w:r>
      <w:r w:rsidRPr="008800D8">
        <w:rPr>
          <w:i/>
          <w:iCs/>
          <w:color w:val="222222"/>
          <w:shd w:val="clear" w:color="auto" w:fill="FFFFFF"/>
        </w:rPr>
        <w:t>International journal of STEM education</w:t>
      </w:r>
      <w:r w:rsidRPr="008800D8">
        <w:rPr>
          <w:color w:val="222222"/>
          <w:shd w:val="clear" w:color="auto" w:fill="FFFFFF"/>
        </w:rPr>
        <w:t>, </w:t>
      </w:r>
      <w:r w:rsidRPr="008800D8">
        <w:rPr>
          <w:i/>
          <w:iCs/>
          <w:color w:val="222222"/>
          <w:shd w:val="clear" w:color="auto" w:fill="FFFFFF"/>
        </w:rPr>
        <w:t>5</w:t>
      </w:r>
      <w:r w:rsidRPr="008800D8">
        <w:rPr>
          <w:color w:val="222222"/>
          <w:shd w:val="clear" w:color="auto" w:fill="FFFFFF"/>
        </w:rPr>
        <w:t xml:space="preserve">(1), 7. </w:t>
      </w:r>
      <w:hyperlink r:id="rId39" w:tgtFrame="_new" w:history="1">
        <w:r w:rsidRPr="008800D8">
          <w:rPr>
            <w:rStyle w:val="Hyperlink"/>
          </w:rPr>
          <w:t>https://doi.org/10.1186/s40594-018-0102-y</w:t>
        </w:r>
      </w:hyperlink>
      <w:r w:rsidRPr="008800D8">
        <w:t xml:space="preserve"> </w:t>
      </w:r>
    </w:p>
    <w:p w:rsidR="008800D8" w:rsidRPr="008800D8" w:rsidRDefault="008800D8" w:rsidP="00B12E54">
      <w:pPr>
        <w:pStyle w:val="NormalWeb"/>
        <w:numPr>
          <w:ilvl w:val="0"/>
          <w:numId w:val="45"/>
        </w:numPr>
        <w:jc w:val="both"/>
      </w:pPr>
      <w:r w:rsidRPr="008800D8">
        <w:rPr>
          <w:color w:val="222222"/>
          <w:shd w:val="clear" w:color="auto" w:fill="FFFFFF"/>
        </w:rPr>
        <w:t>Theobald, E. J., Hill, M. J., Tran, E., Agrawal, S., Arroyo, E. N., Behling, S., ... &amp; Freeman, S. (2020). Active learning narrows achievement gaps for underrepresented students in undergraduate science, technology, engineering, and math. </w:t>
      </w:r>
      <w:r w:rsidRPr="008800D8">
        <w:rPr>
          <w:i/>
          <w:iCs/>
          <w:color w:val="222222"/>
          <w:shd w:val="clear" w:color="auto" w:fill="FFFFFF"/>
        </w:rPr>
        <w:t>Proceedings of the National Academy of Sciences</w:t>
      </w:r>
      <w:r w:rsidRPr="008800D8">
        <w:rPr>
          <w:color w:val="222222"/>
          <w:shd w:val="clear" w:color="auto" w:fill="FFFFFF"/>
        </w:rPr>
        <w:t>, </w:t>
      </w:r>
      <w:r w:rsidRPr="008800D8">
        <w:rPr>
          <w:i/>
          <w:iCs/>
          <w:color w:val="222222"/>
          <w:shd w:val="clear" w:color="auto" w:fill="FFFFFF"/>
        </w:rPr>
        <w:t>117</w:t>
      </w:r>
      <w:r w:rsidRPr="008800D8">
        <w:rPr>
          <w:color w:val="222222"/>
          <w:shd w:val="clear" w:color="auto" w:fill="FFFFFF"/>
        </w:rPr>
        <w:t xml:space="preserve">(12), 6476-6483. </w:t>
      </w:r>
      <w:hyperlink r:id="rId40" w:tgtFrame="_new" w:history="1">
        <w:r w:rsidRPr="008800D8">
          <w:rPr>
            <w:rStyle w:val="Hyperlink"/>
          </w:rPr>
          <w:t>https://doi.org/10.1073/pnas.1916903117</w:t>
        </w:r>
      </w:hyperlink>
      <w:r w:rsidRPr="008800D8">
        <w:t xml:space="preserve"> </w:t>
      </w:r>
    </w:p>
    <w:p w:rsidR="008800D8" w:rsidRPr="008800D8" w:rsidRDefault="008800D8" w:rsidP="00B12E54">
      <w:pPr>
        <w:pStyle w:val="NormalWeb"/>
        <w:numPr>
          <w:ilvl w:val="0"/>
          <w:numId w:val="45"/>
        </w:numPr>
        <w:jc w:val="both"/>
      </w:pPr>
      <w:r w:rsidRPr="008800D8">
        <w:rPr>
          <w:color w:val="222222"/>
          <w:shd w:val="clear" w:color="auto" w:fill="FFFFFF"/>
        </w:rPr>
        <w:t>Walton, G. M., &amp; Cohen, G. L. (2011). A brief social-belonging intervention improves academic and health outcomes of minority students. </w:t>
      </w:r>
      <w:r w:rsidRPr="008800D8">
        <w:rPr>
          <w:i/>
          <w:iCs/>
          <w:color w:val="222222"/>
          <w:shd w:val="clear" w:color="auto" w:fill="FFFFFF"/>
        </w:rPr>
        <w:t>Science</w:t>
      </w:r>
      <w:r w:rsidRPr="008800D8">
        <w:rPr>
          <w:color w:val="222222"/>
          <w:shd w:val="clear" w:color="auto" w:fill="FFFFFF"/>
        </w:rPr>
        <w:t>, </w:t>
      </w:r>
      <w:r w:rsidRPr="008800D8">
        <w:rPr>
          <w:i/>
          <w:iCs/>
          <w:color w:val="222222"/>
          <w:shd w:val="clear" w:color="auto" w:fill="FFFFFF"/>
        </w:rPr>
        <w:t>331</w:t>
      </w:r>
      <w:r w:rsidRPr="008800D8">
        <w:rPr>
          <w:color w:val="222222"/>
          <w:shd w:val="clear" w:color="auto" w:fill="FFFFFF"/>
        </w:rPr>
        <w:t xml:space="preserve">(6023), 1447-1451. </w:t>
      </w:r>
      <w:hyperlink r:id="rId41" w:history="1">
        <w:r w:rsidRPr="008800D8">
          <w:rPr>
            <w:rStyle w:val="Hyperlink"/>
          </w:rPr>
          <w:t>https://doi.org/10.1126/science.1198364</w:t>
        </w:r>
      </w:hyperlink>
      <w:r w:rsidRPr="008800D8">
        <w:t xml:space="preserve"> </w:t>
      </w:r>
    </w:p>
    <w:p w:rsidR="008800D8" w:rsidRPr="008800D8" w:rsidRDefault="008800D8" w:rsidP="00B12E54">
      <w:pPr>
        <w:pStyle w:val="NormalWeb"/>
        <w:numPr>
          <w:ilvl w:val="0"/>
          <w:numId w:val="45"/>
        </w:numPr>
        <w:jc w:val="both"/>
      </w:pPr>
      <w:r w:rsidRPr="008800D8">
        <w:t xml:space="preserve">Wilson, K. J., Brickman, P., &amp; </w:t>
      </w:r>
      <w:proofErr w:type="spellStart"/>
      <w:r w:rsidRPr="008800D8">
        <w:t>Brame</w:t>
      </w:r>
      <w:proofErr w:type="spellEnd"/>
      <w:r w:rsidRPr="008800D8">
        <w:t xml:space="preserve">, C. J. (2018). Group work. </w:t>
      </w:r>
      <w:r w:rsidRPr="008800D8">
        <w:rPr>
          <w:rStyle w:val="Emphasis"/>
        </w:rPr>
        <w:t>CBE—Life Sciences Education, 17</w:t>
      </w:r>
      <w:r w:rsidRPr="008800D8">
        <w:t xml:space="preserve">(1), es3. </w:t>
      </w:r>
      <w:hyperlink r:id="rId42" w:tgtFrame="_new" w:history="1">
        <w:r w:rsidRPr="008800D8">
          <w:rPr>
            <w:rStyle w:val="Hyperlink"/>
          </w:rPr>
          <w:t>https://doi.org/10.1187/cbe.17-12-0258</w:t>
        </w:r>
      </w:hyperlink>
    </w:p>
    <w:p w:rsidR="008800D8" w:rsidRPr="008800D8" w:rsidRDefault="008800D8" w:rsidP="00B12E54">
      <w:pPr>
        <w:pStyle w:val="NormalWeb"/>
        <w:numPr>
          <w:ilvl w:val="0"/>
          <w:numId w:val="45"/>
        </w:numPr>
        <w:jc w:val="both"/>
      </w:pPr>
      <w:r w:rsidRPr="008800D8">
        <w:rPr>
          <w:color w:val="222222"/>
          <w:shd w:val="clear" w:color="auto" w:fill="FFFFFF"/>
        </w:rPr>
        <w:t>Yang, D., Chen, P., Wang, H., Wang, K., &amp; Huang, R. (2022). Teachers' autonomy support and student engagement: A systematic literature review of longitudinal studies. </w:t>
      </w:r>
      <w:r w:rsidRPr="008800D8">
        <w:rPr>
          <w:i/>
          <w:iCs/>
          <w:color w:val="222222"/>
          <w:shd w:val="clear" w:color="auto" w:fill="FFFFFF"/>
        </w:rPr>
        <w:t>Frontiers in Psychology</w:t>
      </w:r>
      <w:r w:rsidRPr="008800D8">
        <w:rPr>
          <w:color w:val="222222"/>
          <w:shd w:val="clear" w:color="auto" w:fill="FFFFFF"/>
        </w:rPr>
        <w:t>, </w:t>
      </w:r>
      <w:r w:rsidRPr="008800D8">
        <w:rPr>
          <w:i/>
          <w:iCs/>
          <w:color w:val="222222"/>
          <w:shd w:val="clear" w:color="auto" w:fill="FFFFFF"/>
        </w:rPr>
        <w:t>13</w:t>
      </w:r>
      <w:r w:rsidRPr="008800D8">
        <w:rPr>
          <w:color w:val="222222"/>
          <w:shd w:val="clear" w:color="auto" w:fill="FFFFFF"/>
        </w:rPr>
        <w:t xml:space="preserve">, 925955. </w:t>
      </w:r>
      <w:hyperlink r:id="rId43" w:tgtFrame="_new" w:history="1">
        <w:r w:rsidRPr="008800D8">
          <w:rPr>
            <w:rStyle w:val="Hyperlink"/>
          </w:rPr>
          <w:t>https://doi.org/10.3389/fpsyg.2022.925955</w:t>
        </w:r>
      </w:hyperlink>
      <w:r>
        <w:t xml:space="preserve"> </w:t>
      </w:r>
    </w:p>
    <w:p w:rsidR="00683EC3" w:rsidRDefault="00683EC3" w:rsidP="002B518B">
      <w:pPr>
        <w:pStyle w:val="NormalWeb"/>
        <w:jc w:val="both"/>
      </w:pPr>
    </w:p>
    <w:p w:rsidR="009B3A8A" w:rsidRDefault="009B3A8A" w:rsidP="002B518B">
      <w:pPr>
        <w:pStyle w:val="NormalWeb"/>
        <w:jc w:val="both"/>
      </w:pPr>
    </w:p>
    <w:p w:rsidR="008A4BFC" w:rsidRPr="00C40318" w:rsidRDefault="008A4BFC" w:rsidP="002B518B">
      <w:pPr>
        <w:jc w:val="both"/>
      </w:pPr>
    </w:p>
    <w:sectPr w:rsidR="008A4BFC" w:rsidRPr="00C40318" w:rsidSect="00CB6EB6">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50C" w:rsidRDefault="009A450C" w:rsidP="00E27404">
      <w:pPr>
        <w:spacing w:after="0" w:line="240" w:lineRule="auto"/>
      </w:pPr>
      <w:r>
        <w:separator/>
      </w:r>
    </w:p>
  </w:endnote>
  <w:endnote w:type="continuationSeparator" w:id="0">
    <w:p w:rsidR="009A450C" w:rsidRDefault="009A450C" w:rsidP="00E27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04" w:rsidRDefault="00E27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04" w:rsidRDefault="00E27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04" w:rsidRDefault="00E27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50C" w:rsidRDefault="009A450C" w:rsidP="00E27404">
      <w:pPr>
        <w:spacing w:after="0" w:line="240" w:lineRule="auto"/>
      </w:pPr>
      <w:r>
        <w:separator/>
      </w:r>
    </w:p>
  </w:footnote>
  <w:footnote w:type="continuationSeparator" w:id="0">
    <w:p w:rsidR="009A450C" w:rsidRDefault="009A450C" w:rsidP="00E27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04" w:rsidRDefault="009A45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585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04" w:rsidRDefault="009A45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585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04" w:rsidRDefault="009A45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585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1ED4"/>
    <w:multiLevelType w:val="hybridMultilevel"/>
    <w:tmpl w:val="D144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15A73"/>
    <w:multiLevelType w:val="hybridMultilevel"/>
    <w:tmpl w:val="54E0B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04FC8"/>
    <w:multiLevelType w:val="multilevel"/>
    <w:tmpl w:val="BFC2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20F0D"/>
    <w:multiLevelType w:val="multilevel"/>
    <w:tmpl w:val="382E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6614C"/>
    <w:multiLevelType w:val="hybridMultilevel"/>
    <w:tmpl w:val="B39E3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E693F"/>
    <w:multiLevelType w:val="multilevel"/>
    <w:tmpl w:val="E6A8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31D4B"/>
    <w:multiLevelType w:val="multilevel"/>
    <w:tmpl w:val="E3CC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250F13"/>
    <w:multiLevelType w:val="multilevel"/>
    <w:tmpl w:val="21CA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E07787"/>
    <w:multiLevelType w:val="hybridMultilevel"/>
    <w:tmpl w:val="6F8A9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8141E8"/>
    <w:multiLevelType w:val="hybridMultilevel"/>
    <w:tmpl w:val="2CFC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F57BD"/>
    <w:multiLevelType w:val="multilevel"/>
    <w:tmpl w:val="7DC8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346B06"/>
    <w:multiLevelType w:val="hybridMultilevel"/>
    <w:tmpl w:val="3E8CD2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06150D1"/>
    <w:multiLevelType w:val="hybridMultilevel"/>
    <w:tmpl w:val="7070E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3F5942"/>
    <w:multiLevelType w:val="hybridMultilevel"/>
    <w:tmpl w:val="90207FBE"/>
    <w:lvl w:ilvl="0" w:tplc="0409000F">
      <w:start w:val="1"/>
      <w:numFmt w:val="decimal"/>
      <w:lvlText w:val="%1."/>
      <w:lvlJc w:val="left"/>
      <w:pPr>
        <w:ind w:left="720" w:hanging="360"/>
      </w:pPr>
    </w:lvl>
    <w:lvl w:ilvl="1" w:tplc="2DF0BAD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6D6D5C"/>
    <w:multiLevelType w:val="hybridMultilevel"/>
    <w:tmpl w:val="7A709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556EF7"/>
    <w:multiLevelType w:val="hybridMultilevel"/>
    <w:tmpl w:val="8910D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0D11D0"/>
    <w:multiLevelType w:val="hybridMultilevel"/>
    <w:tmpl w:val="362A6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2F03EA"/>
    <w:multiLevelType w:val="hybridMultilevel"/>
    <w:tmpl w:val="BB2C0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F87B85"/>
    <w:multiLevelType w:val="hybridMultilevel"/>
    <w:tmpl w:val="D576A6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0"/>
  </w:num>
  <w:num w:numId="3">
    <w:abstractNumId w:val="38"/>
  </w:num>
  <w:num w:numId="4">
    <w:abstractNumId w:val="41"/>
  </w:num>
  <w:num w:numId="5">
    <w:abstractNumId w:val="32"/>
  </w:num>
  <w:num w:numId="6">
    <w:abstractNumId w:val="4"/>
  </w:num>
  <w:num w:numId="7">
    <w:abstractNumId w:val="36"/>
  </w:num>
  <w:num w:numId="8">
    <w:abstractNumId w:val="9"/>
  </w:num>
  <w:num w:numId="9">
    <w:abstractNumId w:val="7"/>
  </w:num>
  <w:num w:numId="10">
    <w:abstractNumId w:val="22"/>
  </w:num>
  <w:num w:numId="11">
    <w:abstractNumId w:val="6"/>
  </w:num>
  <w:num w:numId="12">
    <w:abstractNumId w:val="26"/>
  </w:num>
  <w:num w:numId="13">
    <w:abstractNumId w:val="8"/>
  </w:num>
  <w:num w:numId="14">
    <w:abstractNumId w:val="31"/>
  </w:num>
  <w:num w:numId="15">
    <w:abstractNumId w:val="2"/>
  </w:num>
  <w:num w:numId="16">
    <w:abstractNumId w:val="15"/>
  </w:num>
  <w:num w:numId="17">
    <w:abstractNumId w:val="18"/>
  </w:num>
  <w:num w:numId="18">
    <w:abstractNumId w:val="24"/>
  </w:num>
  <w:num w:numId="19">
    <w:abstractNumId w:val="19"/>
  </w:num>
  <w:num w:numId="20">
    <w:abstractNumId w:val="27"/>
  </w:num>
  <w:num w:numId="21">
    <w:abstractNumId w:val="30"/>
  </w:num>
  <w:num w:numId="22">
    <w:abstractNumId w:val="43"/>
  </w:num>
  <w:num w:numId="23">
    <w:abstractNumId w:val="1"/>
  </w:num>
  <w:num w:numId="24">
    <w:abstractNumId w:val="21"/>
  </w:num>
  <w:num w:numId="25">
    <w:abstractNumId w:val="10"/>
  </w:num>
  <w:num w:numId="26">
    <w:abstractNumId w:val="35"/>
  </w:num>
  <w:num w:numId="27">
    <w:abstractNumId w:val="14"/>
  </w:num>
  <w:num w:numId="28">
    <w:abstractNumId w:val="11"/>
  </w:num>
  <w:num w:numId="29">
    <w:abstractNumId w:val="23"/>
  </w:num>
  <w:num w:numId="30">
    <w:abstractNumId w:val="17"/>
  </w:num>
  <w:num w:numId="31">
    <w:abstractNumId w:val="0"/>
  </w:num>
  <w:num w:numId="32">
    <w:abstractNumId w:val="33"/>
  </w:num>
  <w:num w:numId="33">
    <w:abstractNumId w:val="44"/>
  </w:num>
  <w:num w:numId="34">
    <w:abstractNumId w:val="34"/>
  </w:num>
  <w:num w:numId="35">
    <w:abstractNumId w:val="28"/>
  </w:num>
  <w:num w:numId="36">
    <w:abstractNumId w:val="3"/>
  </w:num>
  <w:num w:numId="37">
    <w:abstractNumId w:val="25"/>
  </w:num>
  <w:num w:numId="38">
    <w:abstractNumId w:val="42"/>
  </w:num>
  <w:num w:numId="39">
    <w:abstractNumId w:val="39"/>
  </w:num>
  <w:num w:numId="40">
    <w:abstractNumId w:val="37"/>
  </w:num>
  <w:num w:numId="41">
    <w:abstractNumId w:val="16"/>
  </w:num>
  <w:num w:numId="42">
    <w:abstractNumId w:val="5"/>
  </w:num>
  <w:num w:numId="43">
    <w:abstractNumId w:val="20"/>
  </w:num>
  <w:num w:numId="44">
    <w:abstractNumId w:val="29"/>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1sDC3sDQyMzYxtrRQ0lEKTi0uzszPAykwrAUA7isxyiwAAAA="/>
  </w:docVars>
  <w:rsids>
    <w:rsidRoot w:val="00761CB6"/>
    <w:rsid w:val="000425DD"/>
    <w:rsid w:val="00053D7A"/>
    <w:rsid w:val="0006037D"/>
    <w:rsid w:val="0006413B"/>
    <w:rsid w:val="000643E7"/>
    <w:rsid w:val="000A0EB4"/>
    <w:rsid w:val="000C4F0E"/>
    <w:rsid w:val="000F27AA"/>
    <w:rsid w:val="001261CC"/>
    <w:rsid w:val="00126ADF"/>
    <w:rsid w:val="00131E50"/>
    <w:rsid w:val="00135191"/>
    <w:rsid w:val="00142919"/>
    <w:rsid w:val="001560E3"/>
    <w:rsid w:val="00156616"/>
    <w:rsid w:val="00186E2A"/>
    <w:rsid w:val="001A165A"/>
    <w:rsid w:val="001A3703"/>
    <w:rsid w:val="001A7A4E"/>
    <w:rsid w:val="001E6EC5"/>
    <w:rsid w:val="00202F35"/>
    <w:rsid w:val="00220368"/>
    <w:rsid w:val="0022042D"/>
    <w:rsid w:val="0024324D"/>
    <w:rsid w:val="00260455"/>
    <w:rsid w:val="00271A26"/>
    <w:rsid w:val="00284F1F"/>
    <w:rsid w:val="002A4C47"/>
    <w:rsid w:val="002B518B"/>
    <w:rsid w:val="002B76E6"/>
    <w:rsid w:val="002C48BB"/>
    <w:rsid w:val="002F05FB"/>
    <w:rsid w:val="002F4C0C"/>
    <w:rsid w:val="00307595"/>
    <w:rsid w:val="0031286E"/>
    <w:rsid w:val="00353C68"/>
    <w:rsid w:val="003664CE"/>
    <w:rsid w:val="003975AE"/>
    <w:rsid w:val="003A104D"/>
    <w:rsid w:val="003A4787"/>
    <w:rsid w:val="003B3553"/>
    <w:rsid w:val="003B400E"/>
    <w:rsid w:val="003B6CCD"/>
    <w:rsid w:val="003C31E9"/>
    <w:rsid w:val="003F02C5"/>
    <w:rsid w:val="00405181"/>
    <w:rsid w:val="004132B1"/>
    <w:rsid w:val="004148F5"/>
    <w:rsid w:val="00416C8C"/>
    <w:rsid w:val="00456E20"/>
    <w:rsid w:val="004A5427"/>
    <w:rsid w:val="004C1A63"/>
    <w:rsid w:val="004C6306"/>
    <w:rsid w:val="004E7311"/>
    <w:rsid w:val="00516AA1"/>
    <w:rsid w:val="0052448D"/>
    <w:rsid w:val="0054487D"/>
    <w:rsid w:val="00551EB4"/>
    <w:rsid w:val="0055462C"/>
    <w:rsid w:val="0056389E"/>
    <w:rsid w:val="00564FB4"/>
    <w:rsid w:val="00571246"/>
    <w:rsid w:val="0061521F"/>
    <w:rsid w:val="00622C65"/>
    <w:rsid w:val="00626F6E"/>
    <w:rsid w:val="00632906"/>
    <w:rsid w:val="00661483"/>
    <w:rsid w:val="006618F5"/>
    <w:rsid w:val="0067007E"/>
    <w:rsid w:val="00676549"/>
    <w:rsid w:val="0067685B"/>
    <w:rsid w:val="00683EC3"/>
    <w:rsid w:val="00692471"/>
    <w:rsid w:val="00695D59"/>
    <w:rsid w:val="006A2C8B"/>
    <w:rsid w:val="006A39B3"/>
    <w:rsid w:val="006C781D"/>
    <w:rsid w:val="006D1049"/>
    <w:rsid w:val="006D455D"/>
    <w:rsid w:val="006E4B0A"/>
    <w:rsid w:val="006F708E"/>
    <w:rsid w:val="00711B14"/>
    <w:rsid w:val="00713825"/>
    <w:rsid w:val="00720F41"/>
    <w:rsid w:val="00755BDC"/>
    <w:rsid w:val="00761CB6"/>
    <w:rsid w:val="0078275D"/>
    <w:rsid w:val="007B437D"/>
    <w:rsid w:val="007C7951"/>
    <w:rsid w:val="007D03BC"/>
    <w:rsid w:val="007E249F"/>
    <w:rsid w:val="007F1928"/>
    <w:rsid w:val="00804929"/>
    <w:rsid w:val="008107F6"/>
    <w:rsid w:val="00812006"/>
    <w:rsid w:val="0083179B"/>
    <w:rsid w:val="008374C4"/>
    <w:rsid w:val="00856AFD"/>
    <w:rsid w:val="008800D8"/>
    <w:rsid w:val="008811F8"/>
    <w:rsid w:val="00883166"/>
    <w:rsid w:val="008A4BFC"/>
    <w:rsid w:val="008F3850"/>
    <w:rsid w:val="009156D7"/>
    <w:rsid w:val="00951A3D"/>
    <w:rsid w:val="009929A7"/>
    <w:rsid w:val="00992B92"/>
    <w:rsid w:val="00994A4A"/>
    <w:rsid w:val="009A450C"/>
    <w:rsid w:val="009B3A8A"/>
    <w:rsid w:val="009B55DE"/>
    <w:rsid w:val="009D0B9D"/>
    <w:rsid w:val="009D5BA5"/>
    <w:rsid w:val="009F0120"/>
    <w:rsid w:val="00A029C3"/>
    <w:rsid w:val="00A2270F"/>
    <w:rsid w:val="00A478B2"/>
    <w:rsid w:val="00A50845"/>
    <w:rsid w:val="00A5299F"/>
    <w:rsid w:val="00A54719"/>
    <w:rsid w:val="00A57A87"/>
    <w:rsid w:val="00A7055A"/>
    <w:rsid w:val="00AA4644"/>
    <w:rsid w:val="00AB0C7A"/>
    <w:rsid w:val="00AE651D"/>
    <w:rsid w:val="00AF7425"/>
    <w:rsid w:val="00B06888"/>
    <w:rsid w:val="00B1065D"/>
    <w:rsid w:val="00B12E54"/>
    <w:rsid w:val="00B451DB"/>
    <w:rsid w:val="00B84C19"/>
    <w:rsid w:val="00BB6828"/>
    <w:rsid w:val="00BC43AE"/>
    <w:rsid w:val="00BD22E5"/>
    <w:rsid w:val="00BD36DD"/>
    <w:rsid w:val="00BF0896"/>
    <w:rsid w:val="00BF26BF"/>
    <w:rsid w:val="00C13468"/>
    <w:rsid w:val="00C3420C"/>
    <w:rsid w:val="00C40318"/>
    <w:rsid w:val="00C404E0"/>
    <w:rsid w:val="00C57B8F"/>
    <w:rsid w:val="00C6694F"/>
    <w:rsid w:val="00C7136B"/>
    <w:rsid w:val="00C93A8A"/>
    <w:rsid w:val="00C94C46"/>
    <w:rsid w:val="00CB6EB6"/>
    <w:rsid w:val="00CE0C42"/>
    <w:rsid w:val="00CE5BFA"/>
    <w:rsid w:val="00D07932"/>
    <w:rsid w:val="00D40796"/>
    <w:rsid w:val="00D63323"/>
    <w:rsid w:val="00D75C9D"/>
    <w:rsid w:val="00DC6BC2"/>
    <w:rsid w:val="00DF20BB"/>
    <w:rsid w:val="00DF5AB4"/>
    <w:rsid w:val="00E041FF"/>
    <w:rsid w:val="00E125DA"/>
    <w:rsid w:val="00E27404"/>
    <w:rsid w:val="00E643E8"/>
    <w:rsid w:val="00E7044C"/>
    <w:rsid w:val="00E76785"/>
    <w:rsid w:val="00EA043F"/>
    <w:rsid w:val="00EA45FD"/>
    <w:rsid w:val="00EC4D6C"/>
    <w:rsid w:val="00EE2E7D"/>
    <w:rsid w:val="00F13040"/>
    <w:rsid w:val="00F6047F"/>
    <w:rsid w:val="00F63AB5"/>
    <w:rsid w:val="00F754E8"/>
    <w:rsid w:val="00FA03AB"/>
    <w:rsid w:val="00FA7321"/>
    <w:rsid w:val="00FB6475"/>
    <w:rsid w:val="00FB6656"/>
    <w:rsid w:val="00FC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91DAE3"/>
  <w15:docId w15:val="{6A35A8DE-0A77-41B4-A3F0-59E9A9B4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E2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04"/>
  </w:style>
  <w:style w:type="paragraph" w:styleId="Footer">
    <w:name w:val="footer"/>
    <w:basedOn w:val="Normal"/>
    <w:link w:val="FooterChar"/>
    <w:uiPriority w:val="99"/>
    <w:unhideWhenUsed/>
    <w:rsid w:val="00E2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04"/>
  </w:style>
  <w:style w:type="character" w:styleId="FollowedHyperlink">
    <w:name w:val="FollowedHyperlink"/>
    <w:basedOn w:val="DefaultParagraphFont"/>
    <w:uiPriority w:val="99"/>
    <w:semiHidden/>
    <w:unhideWhenUsed/>
    <w:rsid w:val="002F05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educ.2023.1256996" TargetMode="External"/><Relationship Id="rId18" Type="http://schemas.openxmlformats.org/officeDocument/2006/relationships/hyperlink" Target="https://doi.org/10.1073/pnas.1821936116" TargetMode="External"/><Relationship Id="rId26" Type="http://schemas.openxmlformats.org/officeDocument/2006/relationships/hyperlink" Target="https://doi.org/10.1126/science.1204820" TargetMode="External"/><Relationship Id="rId39" Type="http://schemas.openxmlformats.org/officeDocument/2006/relationships/hyperlink" Target="https://doi.org/10.1186/s40594-018-0102-y" TargetMode="External"/><Relationship Id="rId21" Type="http://schemas.openxmlformats.org/officeDocument/2006/relationships/hyperlink" Target="https://doi.org/10.1002/rev3.70034" TargetMode="External"/><Relationship Id="rId34" Type="http://schemas.openxmlformats.org/officeDocument/2006/relationships/hyperlink" Target="https://doi.org/10.1002/rev3.3292" TargetMode="External"/><Relationship Id="rId42" Type="http://schemas.openxmlformats.org/officeDocument/2006/relationships/hyperlink" Target="https://doi.org/10.1187/cbe.17-12-0258"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26/sciadv.aau4734" TargetMode="External"/><Relationship Id="rId29" Type="http://schemas.openxmlformats.org/officeDocument/2006/relationships/hyperlink" Target="https://doi.org/10.1080/03075079.2011.598505" TargetMode="External"/><Relationship Id="rId11" Type="http://schemas.openxmlformats.org/officeDocument/2006/relationships/hyperlink" Target="https://doi.org/10.1080/87567555.2021.1987183" TargetMode="External"/><Relationship Id="rId24" Type="http://schemas.openxmlformats.org/officeDocument/2006/relationships/hyperlink" Target="https://doi.org/10.1073/pnas.1319030111" TargetMode="External"/><Relationship Id="rId32" Type="http://schemas.openxmlformats.org/officeDocument/2006/relationships/hyperlink" Target="https://doi.org/10.3389/fpsyg.2021.713978" TargetMode="External"/><Relationship Id="rId37" Type="http://schemas.openxmlformats.org/officeDocument/2006/relationships/hyperlink" Target="https://doi.org/10.1080/03634520902926851" TargetMode="External"/><Relationship Id="rId40" Type="http://schemas.openxmlformats.org/officeDocument/2006/relationships/hyperlink" Target="https://doi.org/10.1073/pnas.1916903117"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7/s10755-025-09846-5" TargetMode="External"/><Relationship Id="rId23" Type="http://schemas.openxmlformats.org/officeDocument/2006/relationships/hyperlink" Target="https://doi.org/10.1080/13562517.2021.1918662" TargetMode="External"/><Relationship Id="rId28" Type="http://schemas.openxmlformats.org/officeDocument/2006/relationships/hyperlink" Target="https://doi.org/10.1007/s10805-022-09448-2" TargetMode="External"/><Relationship Id="rId36" Type="http://schemas.openxmlformats.org/officeDocument/2006/relationships/hyperlink" Target="https://doi.org/10.1111/jpr.12380" TargetMode="External"/><Relationship Id="rId49" Type="http://schemas.openxmlformats.org/officeDocument/2006/relationships/footer" Target="footer3.xml"/><Relationship Id="rId10" Type="http://schemas.openxmlformats.org/officeDocument/2006/relationships/hyperlink" Target="https://doi.org/10.1177/1077695820944265" TargetMode="External"/><Relationship Id="rId19" Type="http://schemas.openxmlformats.org/officeDocument/2006/relationships/hyperlink" Target="https://doi.org/10.1016/j.edurev.2024.100622" TargetMode="External"/><Relationship Id="rId31" Type="http://schemas.openxmlformats.org/officeDocument/2006/relationships/hyperlink" Target="https://doi.org/10.14434/josotl.v14i2.4002"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2331186X.2023.2218191" TargetMode="External"/><Relationship Id="rId14" Type="http://schemas.openxmlformats.org/officeDocument/2006/relationships/hyperlink" Target="https://doi.org/10.1007/s10734-017-0187-0" TargetMode="External"/><Relationship Id="rId22" Type="http://schemas.openxmlformats.org/officeDocument/2006/relationships/hyperlink" Target="https://doi.org/10.1080/03634520903131154" TargetMode="External"/><Relationship Id="rId27" Type="http://schemas.openxmlformats.org/officeDocument/2006/relationships/hyperlink" Target="https://doi.org/10.1007/s11218-011-9152-4" TargetMode="External"/><Relationship Id="rId30" Type="http://schemas.openxmlformats.org/officeDocument/2006/relationships/hyperlink" Target="https://doi.org/10.1080/07294360.2017.1344197" TargetMode="External"/><Relationship Id="rId35" Type="http://schemas.openxmlformats.org/officeDocument/2006/relationships/hyperlink" Target="https://doi.org/10.1177/21582440241309713" TargetMode="External"/><Relationship Id="rId43" Type="http://schemas.openxmlformats.org/officeDocument/2006/relationships/hyperlink" Target="https://doi.org/10.3389/fpsyg.2022.925955" TargetMode="External"/><Relationship Id="rId48" Type="http://schemas.openxmlformats.org/officeDocument/2006/relationships/header" Target="header3.xml"/><Relationship Id="rId8" Type="http://schemas.openxmlformats.org/officeDocument/2006/relationships/hyperlink" Target="https://doi.org/10.1080/0309877X.2022.2038099"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02/jls.21423?utm_source=chatgpt.com" TargetMode="External"/><Relationship Id="rId17" Type="http://schemas.openxmlformats.org/officeDocument/2006/relationships/hyperlink" Target="https://doi.org/10.1007/s10755-017-9388-9" TargetMode="External"/><Relationship Id="rId25" Type="http://schemas.openxmlformats.org/officeDocument/2006/relationships/hyperlink" Target="https://doi.org/10.1080/03075079.2024.2381124" TargetMode="External"/><Relationship Id="rId33" Type="http://schemas.openxmlformats.org/officeDocument/2006/relationships/hyperlink" Target="https://doi.org/10.1080/87567550903218620" TargetMode="External"/><Relationship Id="rId38" Type="http://schemas.openxmlformats.org/officeDocument/2006/relationships/hyperlink" Target="https://doi.org/10.1080/03634520903390867" TargetMode="External"/><Relationship Id="rId46" Type="http://schemas.openxmlformats.org/officeDocument/2006/relationships/footer" Target="footer1.xml"/><Relationship Id="rId20" Type="http://schemas.openxmlformats.org/officeDocument/2006/relationships/hyperlink" Target="https://doi.org/10.1187/cbe.14-03-0050" TargetMode="External"/><Relationship Id="rId41" Type="http://schemas.openxmlformats.org/officeDocument/2006/relationships/hyperlink" Target="https://doi.org/10.1126/science.119836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D5636-8454-47B1-9455-4ADCFEF2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16</Pages>
  <Words>7709</Words>
  <Characters>43946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Editor-1183</cp:lastModifiedBy>
  <cp:revision>4</cp:revision>
  <cp:lastPrinted>2025-12-13T07:14:00Z</cp:lastPrinted>
  <dcterms:created xsi:type="dcterms:W3CDTF">2025-12-18T07:44:00Z</dcterms:created>
  <dcterms:modified xsi:type="dcterms:W3CDTF">2025-12-19T07:33:00Z</dcterms:modified>
</cp:coreProperties>
</file>