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20836" w14:textId="5CA1D1DC" w:rsidR="00840899" w:rsidRDefault="00217168" w:rsidP="00765E0D">
      <w:pPr>
        <w:jc w:val="both"/>
        <w:rPr>
          <w:rStyle w:val="Emphasis"/>
          <w:rFonts w:eastAsia="Arial Unicode MS" w:hint="eastAsia"/>
          <w:b/>
          <w:bCs/>
          <w:i w:val="0"/>
          <w:iCs w:val="0"/>
        </w:rPr>
      </w:pPr>
      <w:r w:rsidRPr="00941AD9">
        <w:rPr>
          <w:rStyle w:val="Emphasis"/>
          <w:rFonts w:eastAsia="Arial Unicode MS" w:hint="eastAsia"/>
          <w:b/>
          <w:bCs/>
          <w:i w:val="0"/>
          <w:iCs w:val="0"/>
        </w:rPr>
        <w:t xml:space="preserve">A Secure Framework </w:t>
      </w:r>
      <w:r>
        <w:rPr>
          <w:rStyle w:val="Emphasis"/>
          <w:rFonts w:eastAsia="Arial Unicode MS"/>
          <w:b/>
          <w:bCs/>
          <w:i w:val="0"/>
          <w:iCs w:val="0"/>
        </w:rPr>
        <w:t>f</w:t>
      </w:r>
      <w:r w:rsidRPr="00941AD9">
        <w:rPr>
          <w:rStyle w:val="Emphasis"/>
          <w:rFonts w:eastAsia="Arial Unicode MS" w:hint="eastAsia"/>
          <w:b/>
          <w:bCs/>
          <w:i w:val="0"/>
          <w:iCs w:val="0"/>
        </w:rPr>
        <w:t xml:space="preserve">or Strengthening Fraud </w:t>
      </w:r>
      <w:r>
        <w:rPr>
          <w:rStyle w:val="Emphasis"/>
          <w:rFonts w:eastAsia="Arial Unicode MS"/>
          <w:b/>
          <w:bCs/>
          <w:i w:val="0"/>
          <w:iCs w:val="0"/>
        </w:rPr>
        <w:t>a</w:t>
      </w:r>
      <w:r w:rsidRPr="00941AD9">
        <w:rPr>
          <w:rStyle w:val="Emphasis"/>
          <w:rFonts w:eastAsia="Arial Unicode MS" w:hint="eastAsia"/>
          <w:b/>
          <w:bCs/>
          <w:i w:val="0"/>
          <w:iCs w:val="0"/>
        </w:rPr>
        <w:t xml:space="preserve">nd Error Detection </w:t>
      </w:r>
      <w:r>
        <w:rPr>
          <w:rStyle w:val="Emphasis"/>
          <w:rFonts w:eastAsia="Arial Unicode MS"/>
          <w:b/>
          <w:bCs/>
          <w:i w:val="0"/>
          <w:iCs w:val="0"/>
        </w:rPr>
        <w:t>i</w:t>
      </w:r>
      <w:r w:rsidRPr="00941AD9">
        <w:rPr>
          <w:rStyle w:val="Emphasis"/>
          <w:rFonts w:eastAsia="Arial Unicode MS" w:hint="eastAsia"/>
          <w:b/>
          <w:bCs/>
          <w:i w:val="0"/>
          <w:iCs w:val="0"/>
        </w:rPr>
        <w:t xml:space="preserve">n It Audit Systems </w:t>
      </w:r>
      <w:r>
        <w:rPr>
          <w:rStyle w:val="Emphasis"/>
          <w:rFonts w:eastAsia="Arial Unicode MS"/>
          <w:b/>
          <w:bCs/>
          <w:i w:val="0"/>
          <w:iCs w:val="0"/>
        </w:rPr>
        <w:t>i</w:t>
      </w:r>
      <w:r w:rsidRPr="00941AD9">
        <w:rPr>
          <w:rStyle w:val="Emphasis"/>
          <w:rFonts w:eastAsia="Arial Unicode MS" w:hint="eastAsia"/>
          <w:b/>
          <w:bCs/>
          <w:i w:val="0"/>
          <w:iCs w:val="0"/>
        </w:rPr>
        <w:t>n U.S. Banks</w:t>
      </w:r>
    </w:p>
    <w:p w14:paraId="4F7FE068" w14:textId="69FEB10E" w:rsidR="00D17E06" w:rsidRDefault="00D17E06" w:rsidP="00D17E06">
      <w:pPr>
        <w:jc w:val="both"/>
        <w:rPr>
          <w:rFonts w:ascii="Arial" w:eastAsia="Arial" w:hAnsi="Arial" w:cs="Arial"/>
          <w:b/>
          <w:bCs/>
          <w:sz w:val="16"/>
          <w:szCs w:val="16"/>
        </w:rPr>
      </w:pPr>
    </w:p>
    <w:p w14:paraId="523828BE" w14:textId="77777777" w:rsidR="00D17E06" w:rsidRPr="00941AD9" w:rsidRDefault="00D17E06" w:rsidP="00765E0D">
      <w:pPr>
        <w:jc w:val="both"/>
        <w:rPr>
          <w:rFonts w:ascii="Arial" w:hAnsi="Arial" w:cs="Arial"/>
          <w:b/>
          <w:bCs/>
          <w:i/>
          <w:iCs/>
        </w:rPr>
      </w:pPr>
    </w:p>
    <w:p w14:paraId="453B8EA8" w14:textId="77777777" w:rsidR="000F00AE" w:rsidRDefault="00EA7DCF" w:rsidP="00A25A15">
      <w:pPr>
        <w:spacing w:before="100" w:beforeAutospacing="1" w:after="100" w:afterAutospacing="1"/>
        <w:jc w:val="both"/>
        <w:rPr>
          <w:rFonts w:ascii="Arial" w:eastAsia="Arial" w:hAnsi="Arial" w:cs="Arial"/>
          <w:b/>
        </w:rPr>
      </w:pPr>
      <w:r w:rsidRPr="00EA7DCF">
        <w:rPr>
          <w:rFonts w:ascii="Arial" w:eastAsia="Arial" w:hAnsi="Arial" w:cs="Arial"/>
          <w:b/>
        </w:rPr>
        <w:t>ABSTRACT</w:t>
      </w:r>
    </w:p>
    <w:p w14:paraId="386364EC" w14:textId="77777777" w:rsidR="00A25A15" w:rsidRDefault="000F00AE" w:rsidP="00A25A15">
      <w:pPr>
        <w:spacing w:before="100" w:beforeAutospacing="1" w:after="100" w:afterAutospacing="1"/>
        <w:jc w:val="both"/>
        <w:rPr>
          <w:rFonts w:ascii="Arial" w:hAnsi="Arial" w:cs="Arial"/>
          <w:b/>
        </w:rPr>
      </w:pPr>
      <w:r w:rsidRPr="000F00AE">
        <w:rPr>
          <w:rFonts w:ascii="Arial" w:hAnsi="Arial" w:cs="Arial"/>
          <w:b/>
        </w:rPr>
        <w:t>Background</w:t>
      </w:r>
    </w:p>
    <w:p w14:paraId="012FA4F3" w14:textId="14A02973" w:rsidR="00EA6BC0" w:rsidRPr="00EA6BC0" w:rsidRDefault="00EA6BC0" w:rsidP="00A25A15">
      <w:pPr>
        <w:spacing w:before="100" w:beforeAutospacing="1" w:after="100" w:afterAutospacing="1"/>
        <w:jc w:val="both"/>
        <w:rPr>
          <w:rFonts w:ascii="Arial" w:hAnsi="Arial" w:cs="Arial"/>
          <w:b/>
        </w:rPr>
      </w:pPr>
      <w:r w:rsidRPr="00EA6BC0">
        <w:rPr>
          <w:rFonts w:ascii="Arial" w:hAnsi="Arial" w:cs="Arial"/>
          <w:bCs/>
        </w:rPr>
        <w:t xml:space="preserve">The US banking sector is continually becoming more dependent on complex IT infrastructure, which exposes it to greater risks of sophisticated fraud and transactional errors. The heavy reliance on technology has rendered traditional audit mechanisms obsolete and </w:t>
      </w:r>
      <w:proofErr w:type="spellStart"/>
      <w:r w:rsidRPr="00EA6BC0">
        <w:rPr>
          <w:rFonts w:ascii="Arial" w:hAnsi="Arial" w:cs="Arial"/>
          <w:bCs/>
        </w:rPr>
        <w:t>u</w:t>
      </w:r>
      <w:r w:rsidR="00CE5BEA">
        <w:rPr>
          <w:rFonts w:ascii="Arial" w:hAnsi="Arial" w:cs="Arial"/>
          <w:bCs/>
        </w:rPr>
        <w:t>f</w:t>
      </w:r>
      <w:r w:rsidRPr="00EA6BC0">
        <w:rPr>
          <w:rFonts w:ascii="Arial" w:hAnsi="Arial" w:cs="Arial"/>
          <w:bCs/>
        </w:rPr>
        <w:t>nable</w:t>
      </w:r>
      <w:proofErr w:type="spellEnd"/>
      <w:r w:rsidRPr="00EA6BC0">
        <w:rPr>
          <w:rFonts w:ascii="Arial" w:hAnsi="Arial" w:cs="Arial"/>
          <w:bCs/>
        </w:rPr>
        <w:t xml:space="preserve"> to track evolving threats. Consequently, this failure puts both financial transaction integrity and regulatory compliance at risk.</w:t>
      </w:r>
    </w:p>
    <w:p w14:paraId="5CBFEE8E" w14:textId="4ABC7158" w:rsidR="000F00AE" w:rsidRDefault="000F00AE" w:rsidP="00A25A15">
      <w:pPr>
        <w:spacing w:before="100" w:beforeAutospacing="1" w:after="100" w:afterAutospacing="1"/>
        <w:jc w:val="both"/>
        <w:rPr>
          <w:rFonts w:ascii="Arial" w:eastAsia="Arial" w:hAnsi="Arial" w:cs="Arial"/>
          <w:b/>
          <w:bCs/>
        </w:rPr>
      </w:pPr>
      <w:r>
        <w:rPr>
          <w:rFonts w:ascii="Arial" w:eastAsia="Arial" w:hAnsi="Arial" w:cs="Arial"/>
          <w:b/>
          <w:bCs/>
        </w:rPr>
        <w:t>Objective</w:t>
      </w:r>
    </w:p>
    <w:p w14:paraId="2675FB35" w14:textId="77777777" w:rsid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The main goal of this paper is to create a complete framework to improve the detection of fraud and errors in IT audit systems. To achieve this, the limitations of current audit systems and real-world implementation challenges were examined. The proposed framework was then validated using actual data, while advanced analytics were explored to enhance detection accuracy.</w:t>
      </w:r>
    </w:p>
    <w:p w14:paraId="16CC4605" w14:textId="1732E783" w:rsidR="007E52A4" w:rsidRDefault="007E52A4" w:rsidP="00A25A15">
      <w:pPr>
        <w:spacing w:before="100" w:beforeAutospacing="1" w:after="100" w:afterAutospacing="1"/>
        <w:jc w:val="both"/>
        <w:rPr>
          <w:rFonts w:ascii="Arial" w:eastAsia="Arial" w:hAnsi="Arial" w:cs="Arial"/>
        </w:rPr>
      </w:pPr>
      <w:r>
        <w:rPr>
          <w:rFonts w:ascii="Arial" w:eastAsia="Arial" w:hAnsi="Arial" w:cs="Arial"/>
          <w:b/>
          <w:bCs/>
        </w:rPr>
        <w:t>Research Method</w:t>
      </w:r>
    </w:p>
    <w:p w14:paraId="1FD218C0" w14:textId="5A227E1B"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The study used a mixed, methods approach to cover the audit landscape in a comprehensive manner.</w:t>
      </w:r>
      <w:r>
        <w:rPr>
          <w:rFonts w:ascii="Arial" w:eastAsia="Arial" w:hAnsi="Arial" w:cs="Arial"/>
        </w:rPr>
        <w:t xml:space="preserve"> </w:t>
      </w:r>
      <w:r w:rsidRPr="00EA6BC0">
        <w:rPr>
          <w:rFonts w:ascii="Arial" w:eastAsia="Arial" w:hAnsi="Arial" w:cs="Arial"/>
        </w:rPr>
        <w:t>The study combined a theoretical integration of standards like COBIT, COSO, and TAM with semi-structured interviews of industry professionals.</w:t>
      </w:r>
      <w:r>
        <w:rPr>
          <w:rFonts w:ascii="Arial" w:eastAsia="Arial" w:hAnsi="Arial" w:cs="Arial"/>
        </w:rPr>
        <w:t xml:space="preserve"> </w:t>
      </w:r>
      <w:r w:rsidRPr="00EA6BC0">
        <w:rPr>
          <w:rFonts w:ascii="Arial" w:eastAsia="Arial" w:hAnsi="Arial" w:cs="Arial"/>
        </w:rPr>
        <w:t>Besides that, real, world and simulated data scenarios were utilized in the study to both apply and corroborate the framework, thus conducting a thorough testing of its effectiveness, accuracy, and efficiency in a realistic banking environment.</w:t>
      </w:r>
    </w:p>
    <w:p w14:paraId="5FAA8933" w14:textId="1BF28763" w:rsidR="00A25A15" w:rsidRDefault="007E52A4" w:rsidP="00A25A15">
      <w:pPr>
        <w:spacing w:before="100" w:beforeAutospacing="1" w:after="100" w:afterAutospacing="1"/>
        <w:jc w:val="both"/>
        <w:rPr>
          <w:rFonts w:ascii="Arial" w:eastAsia="Arial" w:hAnsi="Arial" w:cs="Arial"/>
          <w:b/>
          <w:bCs/>
        </w:rPr>
      </w:pPr>
      <w:r>
        <w:rPr>
          <w:rFonts w:ascii="Arial" w:eastAsia="Arial" w:hAnsi="Arial" w:cs="Arial"/>
          <w:b/>
          <w:bCs/>
        </w:rPr>
        <w:t>Research Result</w:t>
      </w:r>
      <w:r w:rsidR="00217168">
        <w:rPr>
          <w:rFonts w:ascii="Arial" w:eastAsia="Arial" w:hAnsi="Arial" w:cs="Arial"/>
          <w:b/>
          <w:bCs/>
        </w:rPr>
        <w:t xml:space="preserve"> and conclusion</w:t>
      </w:r>
    </w:p>
    <w:p w14:paraId="6EFCB84F" w14:textId="1FB0E0BE" w:rsidR="00EA6BC0" w:rsidRPr="00EA6BC0" w:rsidRDefault="00EA6BC0" w:rsidP="00A25A15">
      <w:pPr>
        <w:spacing w:before="100" w:beforeAutospacing="1" w:after="100" w:afterAutospacing="1"/>
        <w:jc w:val="both"/>
        <w:rPr>
          <w:rFonts w:ascii="Arial" w:eastAsia="Arial" w:hAnsi="Arial" w:cs="Arial"/>
          <w:b/>
          <w:bCs/>
        </w:rPr>
      </w:pPr>
      <w:r w:rsidRPr="00EA6BC0">
        <w:rPr>
          <w:rFonts w:ascii="Arial" w:eastAsia="Arial" w:hAnsi="Arial" w:cs="Arial"/>
        </w:rPr>
        <w:t>Findings reveal that current IT audit systems are limited by their reliance on static, rule-based procedures, which often fail to detect complex fraud schemes due to poor data integration. However, the research demonstrates that deploying advanced analytics—specifically big data and machine learning—significantly expands the capability to process massive datasets and uncover concealed irregularities.</w:t>
      </w:r>
    </w:p>
    <w:p w14:paraId="205AE6FB" w14:textId="3ADA879F"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 xml:space="preserve"> Results of the validation experiments showed that a significant factor in successful uptake was the reliance on very specific control components featuring stringent access restrictions, proper segregation of tasks and automated monitoring on a continual basis. The current research has confirmed that a transition to a continuous, data- driven audit framework gives the U.S. banking sector an opportunity to change their mode from being reactive in compliance to being proactive in risk management.</w:t>
      </w:r>
    </w:p>
    <w:p w14:paraId="7B7EE089" w14:textId="77777777" w:rsidR="007E52A4" w:rsidRDefault="007E52A4" w:rsidP="00A25A15">
      <w:pPr>
        <w:spacing w:before="100" w:beforeAutospacing="1" w:after="100" w:afterAutospacing="1"/>
        <w:jc w:val="both"/>
        <w:rPr>
          <w:rFonts w:ascii="Arial" w:eastAsia="Arial" w:hAnsi="Arial" w:cs="Arial"/>
        </w:rPr>
      </w:pPr>
    </w:p>
    <w:p w14:paraId="019C9C1A" w14:textId="77777777" w:rsidR="00A25A15" w:rsidRDefault="00A25A15" w:rsidP="00A25A15">
      <w:pPr>
        <w:spacing w:before="100" w:beforeAutospacing="1" w:after="100" w:afterAutospacing="1"/>
        <w:jc w:val="both"/>
        <w:rPr>
          <w:rFonts w:ascii="Arial" w:eastAsia="Arial" w:hAnsi="Arial" w:cs="Arial"/>
          <w:iCs/>
        </w:rPr>
      </w:pPr>
      <w:r>
        <w:rPr>
          <w:rFonts w:ascii="Arial" w:eastAsia="Arial" w:hAnsi="Arial" w:cs="Arial"/>
          <w:b/>
          <w:bCs/>
        </w:rPr>
        <w:t>Keywords</w:t>
      </w:r>
      <w:r w:rsidRPr="00941AD9">
        <w:rPr>
          <w:rFonts w:ascii="Arial" w:eastAsia="Arial" w:hAnsi="Arial" w:cs="Arial"/>
          <w:iCs/>
        </w:rPr>
        <w:t xml:space="preserve"> </w:t>
      </w:r>
    </w:p>
    <w:p w14:paraId="3F1C0430" w14:textId="7A85FF35" w:rsidR="00941AD9" w:rsidRPr="00A25A15" w:rsidRDefault="00A25A15" w:rsidP="00A25A15">
      <w:pPr>
        <w:spacing w:before="100" w:beforeAutospacing="1" w:after="100" w:afterAutospacing="1"/>
        <w:jc w:val="both"/>
        <w:rPr>
          <w:rFonts w:ascii="Arial" w:eastAsia="Arial" w:hAnsi="Arial" w:cs="Arial"/>
          <w:iCs/>
        </w:rPr>
      </w:pPr>
      <w:r w:rsidRPr="00941AD9">
        <w:rPr>
          <w:rFonts w:ascii="Arial" w:eastAsia="Arial" w:hAnsi="Arial" w:cs="Arial"/>
          <w:iCs/>
        </w:rPr>
        <w:t>IT</w:t>
      </w:r>
      <w:r w:rsidR="00941AD9" w:rsidRPr="00941AD9">
        <w:rPr>
          <w:rFonts w:ascii="Arial" w:eastAsia="Arial" w:hAnsi="Arial" w:cs="Arial"/>
          <w:iCs/>
        </w:rPr>
        <w:t xml:space="preserve"> Audit Systems, Fraud Detection, U.S. Banking Sector, Data Analytics, Machine Learning, Continuous Monitoring, </w:t>
      </w:r>
      <w:r w:rsidR="00941AD9">
        <w:rPr>
          <w:rFonts w:ascii="Arial" w:eastAsia="Arial" w:hAnsi="Arial" w:cs="Arial"/>
          <w:iCs/>
        </w:rPr>
        <w:t xml:space="preserve">COSO, </w:t>
      </w:r>
      <w:r w:rsidR="00941AD9" w:rsidRPr="00941AD9">
        <w:rPr>
          <w:rFonts w:ascii="Arial" w:eastAsia="Arial" w:hAnsi="Arial" w:cs="Arial"/>
          <w:iCs/>
        </w:rPr>
        <w:t>COBIT</w:t>
      </w:r>
    </w:p>
    <w:p w14:paraId="35927691" w14:textId="34F11102"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1.0 Introduction</w:t>
      </w:r>
    </w:p>
    <w:p w14:paraId="31344C1D" w14:textId="2CBB1152"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 xml:space="preserve">Information technology (IT) audit is the assessment of the management controls in an information technology infrastructure and business applications </w:t>
      </w:r>
      <w:sdt>
        <w:sdtPr>
          <w:rPr>
            <w:rFonts w:ascii="Arial" w:eastAsia="Arial" w:hAnsi="Arial" w:cs="Arial"/>
          </w:rPr>
          <w:id w:val="-1161928542"/>
          <w:citation/>
        </w:sdtPr>
        <w:sdtEndPr/>
        <w:sdtContent>
          <w:r w:rsidR="003A13EF">
            <w:rPr>
              <w:rFonts w:ascii="Arial" w:eastAsia="Arial" w:hAnsi="Arial" w:cs="Arial"/>
            </w:rPr>
            <w:fldChar w:fldCharType="begin"/>
          </w:r>
          <w:r w:rsidR="003A13EF">
            <w:rPr>
              <w:rFonts w:ascii="Arial" w:eastAsia="Arial" w:hAnsi="Arial" w:cs="Arial"/>
              <w:lang w:val="en-ZW"/>
            </w:rPr>
            <w:instrText xml:space="preserve"> CITATION Ham25 \l 12297 </w:instrText>
          </w:r>
          <w:r w:rsidR="003A13EF">
            <w:rPr>
              <w:rFonts w:ascii="Arial" w:eastAsia="Arial" w:hAnsi="Arial" w:cs="Arial"/>
            </w:rPr>
            <w:fldChar w:fldCharType="separate"/>
          </w:r>
          <w:r w:rsidR="00D17E06" w:rsidRPr="00D17E06">
            <w:rPr>
              <w:rFonts w:ascii="Arial" w:eastAsia="Arial" w:hAnsi="Arial" w:cs="Arial"/>
              <w:noProof/>
              <w:lang w:val="en-ZW"/>
            </w:rPr>
            <w:t>(Hamidovic, 2025)</w:t>
          </w:r>
          <w:r w:rsidR="003A13EF">
            <w:rPr>
              <w:rFonts w:ascii="Arial" w:eastAsia="Arial" w:hAnsi="Arial" w:cs="Arial"/>
            </w:rPr>
            <w:fldChar w:fldCharType="end"/>
          </w:r>
        </w:sdtContent>
      </w:sdt>
      <w:r w:rsidRPr="00EA6BC0">
        <w:rPr>
          <w:rFonts w:ascii="Arial" w:eastAsia="Arial" w:hAnsi="Arial" w:cs="Arial"/>
        </w:rPr>
        <w:t xml:space="preserve">. The United States’ banking sector is becoming more and more dependent on Information Technology (IT) systems, so it is critical to have </w:t>
      </w:r>
      <w:r w:rsidRPr="00EA6BC0">
        <w:rPr>
          <w:rFonts w:ascii="Arial" w:eastAsia="Arial" w:hAnsi="Arial" w:cs="Arial"/>
        </w:rPr>
        <w:lastRenderedPageBreak/>
        <w:t>strong audit processes in place to identify and stop fraud and mistakes. Due to rising fraud rates, traditional manual and sample-based audit approaches are no longer adequate for modern IT systems. To address this gap, this research develops a comprehensive framework for enhancing fraud and error detection, specifically tailored to the U.S. banking industry. The framework will make use of cutting-edge technologies, data analytics, and best practices to facilitate the early detection, avoidance, and reduction of hazards. The findings of this study will give American banking institutions insightful advice on how to improve their IT auditing procedures. This chapter encompasses the contextual information of the study, the problem statement, the research objectives, the research hypotheses, the research scope, the challenges encountered during the investigation, and a summary that closes the chapter.</w:t>
      </w:r>
    </w:p>
    <w:p w14:paraId="4FEB0FFC" w14:textId="1AF5A048"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1.1 Background of the study</w:t>
      </w:r>
    </w:p>
    <w:p w14:paraId="27FAE51C" w14:textId="556FB4D1"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At the moment, auditing is at a crucial point. In particular, the auditing profession is facing challenges from real-time business methods and information technology advancements. Information technology auditing started as Electronic Data Processing (EDP) and has developed greatly as a result of the rise in technology in accounting systems and the need for IT control. The automated audit process is aided by the use of generalized audit software (GAS) and computer assisted audit methods (CAATS). Technology is ever evolving as noted above there has been a shift from manual auditing which was the traditional way of doing things to the use of auditing using computers. The use of CAATS and GAS constantly has to be updated in order to match with the skills of fraudsters and hackers, tighter controls and frameworks have to be in place to enhance fraud and error detection in IT audit systems. The banking sector in the United States has embraced digital transformation to improve client experiences, increase efficiency, and streamline operations because of the rapid improvement of information technology (IT) systems. The United States’ retail sector has experienced an upswing in the electronic payment system and this has led to high rates of electronic card fraud and counterfeit card fraud. Recently there have been high risks and concerns associated with this greater reliance on technology. In the banking industry, fraud and mistakes can have dire repercussions, such as monetary losses, harm to one's reputation, and a decline in public confidence. In a recent U.S. court case involving a commercial bank and a customer named David, the bank's IT audit trail successfully identified unauthorized fraudulent payments. Consequently, the court ordered the bank to fully reimburse the affected customer.</w:t>
      </w:r>
    </w:p>
    <w:p w14:paraId="5F341C0A" w14:textId="22141904"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 xml:space="preserve">In recent years, the United States has witnessed a surge in fraudulent activities and errors, driven by factors such as technological advancements, cyber threats, and internal control weaknesses. In August 2022 a large U.S. commercial bank lost $31 000 000 due to fraud from an employee, the false transaction reversal was identified in the information systems department </w:t>
      </w:r>
      <w:sdt>
        <w:sdtPr>
          <w:rPr>
            <w:rFonts w:ascii="Arial" w:eastAsia="Arial" w:hAnsi="Arial" w:cs="Arial"/>
          </w:rPr>
          <w:id w:val="298346189"/>
          <w:citation/>
        </w:sdtPr>
        <w:sdtEndPr/>
        <w:sdtContent>
          <w:r w:rsidR="003A13EF">
            <w:rPr>
              <w:rFonts w:ascii="Arial" w:eastAsia="Arial" w:hAnsi="Arial" w:cs="Arial"/>
            </w:rPr>
            <w:fldChar w:fldCharType="begin"/>
          </w:r>
          <w:r w:rsidR="003A13EF">
            <w:rPr>
              <w:rFonts w:ascii="Arial" w:eastAsia="Arial" w:hAnsi="Arial" w:cs="Arial"/>
              <w:lang w:val="en-ZW"/>
            </w:rPr>
            <w:instrText xml:space="preserve"> CITATION Dep22 \l 12297 </w:instrText>
          </w:r>
          <w:r w:rsidR="003A13EF">
            <w:rPr>
              <w:rFonts w:ascii="Arial" w:eastAsia="Arial" w:hAnsi="Arial" w:cs="Arial"/>
            </w:rPr>
            <w:fldChar w:fldCharType="separate"/>
          </w:r>
          <w:r w:rsidR="00D17E06" w:rsidRPr="00D17E06">
            <w:rPr>
              <w:rFonts w:ascii="Arial" w:eastAsia="Arial" w:hAnsi="Arial" w:cs="Arial"/>
              <w:noProof/>
              <w:lang w:val="en-ZW"/>
            </w:rPr>
            <w:t>(Department of Justice, 2022)</w:t>
          </w:r>
          <w:r w:rsidR="003A13EF">
            <w:rPr>
              <w:rFonts w:ascii="Arial" w:eastAsia="Arial" w:hAnsi="Arial" w:cs="Arial"/>
            </w:rPr>
            <w:fldChar w:fldCharType="end"/>
          </w:r>
        </w:sdtContent>
      </w:sdt>
      <w:r w:rsidR="003A13EF">
        <w:rPr>
          <w:rFonts w:ascii="Arial" w:eastAsia="Arial" w:hAnsi="Arial" w:cs="Arial"/>
        </w:rPr>
        <w:t xml:space="preserve">. </w:t>
      </w:r>
      <w:r w:rsidRPr="00EA6BC0">
        <w:rPr>
          <w:rFonts w:ascii="Arial" w:eastAsia="Arial" w:hAnsi="Arial" w:cs="Arial"/>
        </w:rPr>
        <w:t xml:space="preserve">According to </w:t>
      </w:r>
      <w:sdt>
        <w:sdtPr>
          <w:rPr>
            <w:rFonts w:ascii="Arial" w:eastAsia="Arial" w:hAnsi="Arial" w:cs="Arial"/>
          </w:rPr>
          <w:id w:val="-1540973276"/>
          <w:citation/>
        </w:sdtPr>
        <w:sdtEndPr/>
        <w:sdtContent>
          <w:r w:rsidR="003A13EF">
            <w:rPr>
              <w:rFonts w:ascii="Arial" w:eastAsia="Arial" w:hAnsi="Arial" w:cs="Arial"/>
            </w:rPr>
            <w:fldChar w:fldCharType="begin"/>
          </w:r>
          <w:r w:rsidR="003A13EF">
            <w:rPr>
              <w:rFonts w:ascii="Arial" w:eastAsia="Arial" w:hAnsi="Arial" w:cs="Arial"/>
              <w:lang w:val="en-ZW"/>
            </w:rPr>
            <w:instrText xml:space="preserve"> CITATION Lex22 \l 12297 </w:instrText>
          </w:r>
          <w:r w:rsidR="003A13EF">
            <w:rPr>
              <w:rFonts w:ascii="Arial" w:eastAsia="Arial" w:hAnsi="Arial" w:cs="Arial"/>
            </w:rPr>
            <w:fldChar w:fldCharType="separate"/>
          </w:r>
          <w:r w:rsidR="00D17E06" w:rsidRPr="00D17E06">
            <w:rPr>
              <w:rFonts w:ascii="Arial" w:eastAsia="Arial" w:hAnsi="Arial" w:cs="Arial"/>
              <w:noProof/>
              <w:lang w:val="en-ZW"/>
            </w:rPr>
            <w:t>(Solutions, 2022)</w:t>
          </w:r>
          <w:r w:rsidR="003A13EF">
            <w:rPr>
              <w:rFonts w:ascii="Arial" w:eastAsia="Arial" w:hAnsi="Arial" w:cs="Arial"/>
            </w:rPr>
            <w:fldChar w:fldCharType="end"/>
          </w:r>
        </w:sdtContent>
      </w:sdt>
      <w:r w:rsidRPr="00EA6BC0">
        <w:rPr>
          <w:rFonts w:ascii="Arial" w:eastAsia="Arial" w:hAnsi="Arial" w:cs="Arial"/>
        </w:rPr>
        <w:t xml:space="preserve"> a new analysis from LexisNexis Risk Solutions, banks experienced an increase in monthly fraud attacks in 2021 compared to the previous year. According to the research, since 2020, the average monthly volume of fraud attacks for banks with annual turnover of more than $10 million has climbed from 1,977 to 2,320. During the COVID-19 lockdown, the United States saw a spike in the usage of mobile banking, online banking, and ecommerce, which increased the country's demand for cybersecurity. The efficacy of conventional audit methodologies, which predominantly depend on manual procedures and sample-based testing, has been demonstrated to be insufficient in identifying and mitigating these dynamic hazards present in IT systems. Additionally, the framework ought to make use of data analytics, best practices, and cutting-edge technology to offer a proactive method of detecting hazards and bolstering internal controls. United States’ banking institutions may lay a strong basis for identifying and averting fraud and mistakes in their IT systems by creating an extensive framework. With the help of this framework, organizations will be able to recognize vulnerabilities, put in place practical controls, and react quickly to new threats.</w:t>
      </w:r>
    </w:p>
    <w:p w14:paraId="5F52444C" w14:textId="77777777"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1.2 Problem Statement</w:t>
      </w:r>
    </w:p>
    <w:p w14:paraId="5AAA0555"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 xml:space="preserve">There has been an increase in fraud and errors in the United States’ banking industry, putting clients and banks at serious danger of financial loss and reputational harm. The banking industry is becoming more and more dependent on Information Technology (IT) systems, making traditional auditing techniques ineffective in identifying and averting fraud and mistakes. Comprehensive frameworks that are especially </w:t>
      </w:r>
      <w:r w:rsidRPr="00EA6BC0">
        <w:rPr>
          <w:rFonts w:ascii="Arial" w:eastAsia="Arial" w:hAnsi="Arial" w:cs="Arial"/>
        </w:rPr>
        <w:lastRenderedPageBreak/>
        <w:t>made to improve fraud and mistake detection in IT audit systems that are adapted to the particular needs and difficulties faced by banks in the United States are scarce. Thus, the creation of a framework that closes these gaps and offers practical solutions to improve fraud and mistake detection in IT audit systems for the United States’ banking industry is imperative.</w:t>
      </w:r>
    </w:p>
    <w:p w14:paraId="5E469D9C" w14:textId="77777777"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1.3 Research Objectives</w:t>
      </w:r>
    </w:p>
    <w:p w14:paraId="4DE33D56"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To review and analyze the existing IT audit systems and frameworks for fraud and error detection, identifying their limitations and areas for improvement</w:t>
      </w:r>
    </w:p>
    <w:p w14:paraId="21B4E6C2"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To identify the challenges and considerations in the implementation and adoption of the framework in real-world IT audit environments</w:t>
      </w:r>
    </w:p>
    <w:p w14:paraId="34056423"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To implement the framework using real-world, assessing its effectiveness, accuracy and efficiency in detecting fraud and errors</w:t>
      </w:r>
    </w:p>
    <w:p w14:paraId="4DDF6D61"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To investigate advanced analytical techniques that can be applied to enhance fraud and error detection in IT audit systems</w:t>
      </w:r>
    </w:p>
    <w:p w14:paraId="064D464B" w14:textId="77777777"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1.4 Research Questions</w:t>
      </w:r>
    </w:p>
    <w:p w14:paraId="6A9344D7"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What are the limitations and challenges of existing IT audit systems in detecting and preventing fraud and errors??</w:t>
      </w:r>
    </w:p>
    <w:p w14:paraId="2EC4E26B"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What are the key components and principles that affect fraud and error detection in IT audit systems??</w:t>
      </w:r>
    </w:p>
    <w:p w14:paraId="522EF571"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How can the framework be implemented and validated using real-world or simulated data to assess its effectiveness in detecting fraud and errors??</w:t>
      </w:r>
    </w:p>
    <w:p w14:paraId="6E8AD055"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What advanced analytical techniques can be applied to enhance fraud and error detection in IT audit systems??</w:t>
      </w:r>
    </w:p>
    <w:p w14:paraId="71DF7432" w14:textId="77777777"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1.5 Justification of the study</w:t>
      </w:r>
    </w:p>
    <w:p w14:paraId="6C95C29C" w14:textId="77777777" w:rsidR="00EA6BC0" w:rsidRPr="00EA6BC0" w:rsidRDefault="00EA6BC0" w:rsidP="00A25A15">
      <w:pPr>
        <w:spacing w:before="100" w:beforeAutospacing="1" w:after="100" w:afterAutospacing="1"/>
        <w:jc w:val="both"/>
        <w:rPr>
          <w:rFonts w:ascii="Arial" w:eastAsia="Arial" w:hAnsi="Arial" w:cs="Arial"/>
        </w:rPr>
      </w:pPr>
      <w:r w:rsidRPr="00EA6BC0">
        <w:rPr>
          <w:rFonts w:ascii="Arial" w:eastAsia="Arial" w:hAnsi="Arial" w:cs="Arial"/>
        </w:rPr>
        <w:t>The purpose of this study is to create a thorough framework for improving the identification of fraud and errors in IT audit systems, with a focus on the United States’ banking sector. By putting up a framework that combines cutting-edge technologies, industry best practices, and regional concerns, the study seeks to close the gaps and overcome the difficulties in the present audit methodologies. There has been a high rise in fraud cases in the U.S. Banking Sector due to weak information technology audit systems. Previous research has largely focused on theoretical models, such as the Fraud Triangle, to explain why employees commit fraud. In contrast, this study employs a mixed-methods approach to address practical, on-the-ground challenges in detecting and preventing fraud as it occurs. The framework will offer banking institutions in the United States direction on how to enhance internal controls and better identify and stop fraud and mistakes in IT systems through practical steps, control mechanisms, and risk assessment approaches. Enhancing the banking sector's resilience, security, and dependability in the United States is the ultimate goal in order to protect financial resources and uphold public confidence in the sector.</w:t>
      </w:r>
    </w:p>
    <w:p w14:paraId="67965611" w14:textId="77777777" w:rsidR="00840899" w:rsidRPr="00EA7DCF" w:rsidRDefault="00EA7DCF" w:rsidP="00A25A15">
      <w:pPr>
        <w:spacing w:before="100" w:beforeAutospacing="1" w:after="100" w:afterAutospacing="1"/>
        <w:jc w:val="both"/>
        <w:rPr>
          <w:rFonts w:ascii="Arial" w:hAnsi="Arial" w:cs="Arial"/>
        </w:rPr>
      </w:pPr>
      <w:r w:rsidRPr="00EA7DCF">
        <w:rPr>
          <w:rFonts w:ascii="Arial" w:eastAsia="Arial" w:hAnsi="Arial" w:cs="Arial"/>
          <w:b/>
        </w:rPr>
        <w:t>1.6 Significance of the study</w:t>
      </w:r>
    </w:p>
    <w:p w14:paraId="723B4DB1" w14:textId="77777777" w:rsidR="00EA6BC0" w:rsidRDefault="00EA6BC0" w:rsidP="00A25A15">
      <w:pPr>
        <w:spacing w:before="100" w:beforeAutospacing="1" w:after="100" w:afterAutospacing="1"/>
        <w:jc w:val="both"/>
        <w:rPr>
          <w:rFonts w:ascii="Arial" w:hAnsi="Arial" w:cs="Arial"/>
        </w:rPr>
      </w:pPr>
      <w:r w:rsidRPr="00EA6BC0">
        <w:rPr>
          <w:rFonts w:ascii="Arial" w:hAnsi="Arial" w:cs="Arial"/>
        </w:rPr>
        <w:t xml:space="preserve">This work is important to various groups of people such as the government, the banking sector, and the academic community. Firstly, for government bodies and regulatory authorities, a major benefit of the research is the contribution in clarifying how well the current information technology (IT) audit systems detect fraud and enforce regulations. The government can leverage the findings of this study to develop </w:t>
      </w:r>
      <w:r w:rsidRPr="00EA6BC0">
        <w:rPr>
          <w:rFonts w:ascii="Arial" w:hAnsi="Arial" w:cs="Arial"/>
        </w:rPr>
        <w:lastRenderedPageBreak/>
        <w:t>more effective strategies aimed at increasing the effectiveness of audits. This way, government interventions in guarding the nation's treasure and preventing mishandling will be more successful. The banking sector, as well as other financial institutions in the United States, can also directly benefit from the research outputs. Besides, the financial institutions can strengthen their IT audit functions and, therefore, reinforce their overall security by adopting the suggested framework of the study. What happens is that by this, they gain the ability to identify accurately and thereby control the risk of fraudulent transactions more effectively. This capability is fundamental for ensuring compliance with legal requirements, customer protection, and the integrity of the financial system in general.</w:t>
      </w:r>
    </w:p>
    <w:p w14:paraId="6820789C" w14:textId="77777777" w:rsidR="00EA6BC0" w:rsidRPr="00EA6BC0" w:rsidRDefault="00EA6BC0" w:rsidP="00A25A15">
      <w:pPr>
        <w:spacing w:before="100" w:beforeAutospacing="1" w:after="100" w:afterAutospacing="1"/>
        <w:jc w:val="both"/>
        <w:rPr>
          <w:rFonts w:ascii="Arial" w:hAnsi="Arial" w:cs="Arial"/>
        </w:rPr>
      </w:pPr>
      <w:r w:rsidRPr="00EA6BC0">
        <w:rPr>
          <w:rFonts w:ascii="Arial" w:hAnsi="Arial" w:cs="Arial"/>
        </w:rPr>
        <w:t>This paper significantly advances the field by validating the SECURE framework, a novel model that bridges the gap between theoretical standards and real-world application through the integration of risk assessment, automated monitoring, and regulatory compliance. By demonstrating the effectiveness of these mutually reinforcing elements, the research contributes to the academic dialogue on fraud detection, thus using static rule- based methods as a starting point and moving toward a dynamic, multi, layered defense system. In this way, the SECURE framework can be considered a base point for subsequent researchers at the crossroads of artificial intelligence, fintech, and risk management.</w:t>
      </w:r>
    </w:p>
    <w:p w14:paraId="615090E8" w14:textId="77777777" w:rsidR="00A25A15" w:rsidRDefault="00543901" w:rsidP="00A25A15">
      <w:pPr>
        <w:spacing w:before="100" w:beforeAutospacing="1" w:after="100" w:afterAutospacing="1"/>
        <w:jc w:val="both"/>
        <w:rPr>
          <w:rFonts w:ascii="Arial" w:eastAsia="Arial" w:hAnsi="Arial" w:cs="Arial"/>
          <w:b/>
          <w:bCs/>
        </w:rPr>
      </w:pPr>
      <w:r>
        <w:rPr>
          <w:rFonts w:ascii="Arial" w:eastAsia="Arial" w:hAnsi="Arial" w:cs="Arial"/>
          <w:b/>
          <w:bCs/>
        </w:rPr>
        <w:t>2.0 Literature Review</w:t>
      </w:r>
      <w:bookmarkStart w:id="0" w:name="_Toc167905225"/>
    </w:p>
    <w:p w14:paraId="0DF7F7CC" w14:textId="7BE0274C" w:rsidR="001D11E1" w:rsidRPr="00A25A15" w:rsidRDefault="001D11E1" w:rsidP="00A25A15">
      <w:pPr>
        <w:spacing w:before="100" w:beforeAutospacing="1" w:after="100" w:afterAutospacing="1"/>
        <w:jc w:val="both"/>
        <w:rPr>
          <w:rFonts w:ascii="Arial" w:eastAsia="Arial" w:hAnsi="Arial" w:cs="Arial"/>
          <w:b/>
          <w:bCs/>
        </w:rPr>
      </w:pPr>
      <w:r w:rsidRPr="001D11E1">
        <w:rPr>
          <w:rFonts w:ascii="Arial" w:hAnsi="Arial" w:cs="Arial"/>
          <w:b/>
          <w:bCs/>
        </w:rPr>
        <w:t>2.1 Theoretical Review</w:t>
      </w:r>
      <w:bookmarkEnd w:id="0"/>
    </w:p>
    <w:p w14:paraId="762D82F3" w14:textId="77777777" w:rsidR="00EA6BC0" w:rsidRPr="00EA6BC0" w:rsidRDefault="00EA6BC0" w:rsidP="00A25A15">
      <w:pPr>
        <w:spacing w:before="100" w:beforeAutospacing="1" w:after="100" w:afterAutospacing="1"/>
        <w:jc w:val="both"/>
      </w:pPr>
      <w:r w:rsidRPr="00EA6BC0">
        <w:t>The aim of this theoretical review is to assess existing frameworks and concepts relevant to fraud and error detection in U.S. banking IT audit systems. By identifying these foundational elements, the review establishes a basis for developing a comprehensive framework tailored to the specific challenges of the industry. Theories considered for this study include fraud triangle theory, agency theory, technology acceptance model, and the COBIT framework.</w:t>
      </w:r>
    </w:p>
    <w:p w14:paraId="01AD41C4" w14:textId="58FFE0F6" w:rsidR="00704FEB" w:rsidRPr="00704FEB" w:rsidRDefault="00704FEB" w:rsidP="00A25A15">
      <w:pPr>
        <w:pStyle w:val="Heading2"/>
        <w:spacing w:before="100" w:beforeAutospacing="1" w:after="100" w:afterAutospacing="1"/>
        <w:jc w:val="both"/>
        <w:rPr>
          <w:rFonts w:ascii="Arial" w:eastAsia="SimSun" w:hAnsi="Arial" w:cs="Arial"/>
          <w:sz w:val="20"/>
          <w:szCs w:val="20"/>
        </w:rPr>
      </w:pPr>
      <w:bookmarkStart w:id="1" w:name="_Toc167905226"/>
      <w:r w:rsidRPr="00704FEB">
        <w:rPr>
          <w:rFonts w:ascii="Arial" w:eastAsia="SimSun" w:hAnsi="Arial" w:cs="Arial"/>
          <w:sz w:val="20"/>
          <w:szCs w:val="20"/>
        </w:rPr>
        <w:t>2.1.1 Fraud Triangle Theory</w:t>
      </w:r>
      <w:bookmarkEnd w:id="1"/>
    </w:p>
    <w:p w14:paraId="230DB352" w14:textId="2E50B703" w:rsidR="00EA6BC0" w:rsidRPr="00EA6BC0" w:rsidRDefault="00EA6BC0" w:rsidP="00A25A15">
      <w:pPr>
        <w:spacing w:before="100" w:beforeAutospacing="1" w:after="100" w:afterAutospacing="1"/>
        <w:jc w:val="both"/>
      </w:pPr>
      <w:r w:rsidRPr="00EA6BC0">
        <w:t xml:space="preserve">According to the theory, there are three factors: </w:t>
      </w:r>
      <w:r w:rsidR="00A25A15">
        <w:t>pressure,</w:t>
      </w:r>
      <w:r w:rsidR="00A25A15" w:rsidRPr="00EA6BC0">
        <w:t xml:space="preserve"> opportunity</w:t>
      </w:r>
      <w:r w:rsidR="00A25A15">
        <w:t xml:space="preserve"> and rationalization</w:t>
      </w:r>
      <w:r w:rsidR="00A25A15" w:rsidRPr="00EA6BC0">
        <w:t xml:space="preserve"> that</w:t>
      </w:r>
      <w:r w:rsidRPr="00EA6BC0">
        <w:t xml:space="preserve"> explain fraud. A fraud is an employee's or an entity's personal gain by an intentional act of deception</w:t>
      </w:r>
      <w:sdt>
        <w:sdtPr>
          <w:id w:val="1499543483"/>
          <w:citation/>
        </w:sdtPr>
        <w:sdtEndPr/>
        <w:sdtContent>
          <w:r w:rsidR="003A13EF">
            <w:fldChar w:fldCharType="begin"/>
          </w:r>
          <w:r w:rsidR="003A13EF">
            <w:rPr>
              <w:lang w:val="en-ZW"/>
            </w:rPr>
            <w:instrText xml:space="preserve"> CITATION Rom21 \l 12297 </w:instrText>
          </w:r>
          <w:r w:rsidR="003A13EF">
            <w:fldChar w:fldCharType="separate"/>
          </w:r>
          <w:r w:rsidR="00D17E06">
            <w:rPr>
              <w:noProof/>
              <w:lang w:val="en-ZW"/>
            </w:rPr>
            <w:t xml:space="preserve"> </w:t>
          </w:r>
          <w:r w:rsidR="00D17E06" w:rsidRPr="00D17E06">
            <w:rPr>
              <w:noProof/>
              <w:lang w:val="en-ZW"/>
            </w:rPr>
            <w:t>(Romney, 2021)</w:t>
          </w:r>
          <w:r w:rsidR="003A13EF">
            <w:fldChar w:fldCharType="end"/>
          </w:r>
        </w:sdtContent>
      </w:sdt>
      <w:r w:rsidR="003A13EF">
        <w:t>.</w:t>
      </w:r>
      <w:r w:rsidRPr="00EA6BC0">
        <w:t xml:space="preserve"> Put differently, fraud is an intentional deception by a worker or a company for their own benefit. In fact, fraud can be considered as any dishonest acts aimed at getting an unfair advantage or making an illegal profit. Furthermore, an illegal act perpetrated in such a way that the perpetrator(s) defraud a third party (or parties) and thereby benefit themselves. Fraud is an illegal act designed to deceive a third party for personal benefit. According to</w:t>
      </w:r>
      <w:r w:rsidR="00661C18">
        <w:t xml:space="preserve"> </w:t>
      </w:r>
      <w:sdt>
        <w:sdtPr>
          <w:id w:val="835115534"/>
          <w:citation/>
        </w:sdtPr>
        <w:sdtEndPr/>
        <w:sdtContent>
          <w:r w:rsidR="00661C18">
            <w:fldChar w:fldCharType="begin"/>
          </w:r>
          <w:r w:rsidR="00661C18">
            <w:rPr>
              <w:lang w:val="en-ZW"/>
            </w:rPr>
            <w:instrText xml:space="preserve"> CITATION Hom20 \l 12297 </w:instrText>
          </w:r>
          <w:r w:rsidR="00661C18">
            <w:fldChar w:fldCharType="separate"/>
          </w:r>
          <w:r w:rsidR="00D17E06" w:rsidRPr="00D17E06">
            <w:rPr>
              <w:noProof/>
              <w:lang w:val="en-ZW"/>
            </w:rPr>
            <w:t>(Homer, 2020)</w:t>
          </w:r>
          <w:r w:rsidR="00661C18">
            <w:fldChar w:fldCharType="end"/>
          </w:r>
        </w:sdtContent>
      </w:sdt>
      <w:r w:rsidRPr="00EA6BC0">
        <w:t>, the "Fraud Triangle" posits that individuals are driven to commit these acts when three specific conditions converge: perceived pressure, opportunity, and rationalization. In recent times, the fraud triangle has been widely used by anti-fraud officers to explain the situations that might tempt individuals or even companies to commit fraud</w:t>
      </w:r>
      <w:r w:rsidR="00661C18">
        <w:t xml:space="preserve">. </w:t>
      </w:r>
      <w:r w:rsidRPr="00EA6BC0">
        <w:t xml:space="preserve">At the same time, the model can serve to signal attention to general industry or economic factors that might elevate overall risk. </w:t>
      </w:r>
    </w:p>
    <w:p w14:paraId="4F6BE167" w14:textId="0EA80A34"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i/>
        </w:rPr>
        <w:t>Figure 1: Fraud Triangle Model</w:t>
      </w:r>
    </w:p>
    <w:p w14:paraId="78B30162"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noProof/>
        </w:rPr>
        <w:lastRenderedPageBreak/>
        <w:drawing>
          <wp:inline distT="0" distB="0" distL="0" distR="0" wp14:anchorId="7B969821" wp14:editId="4F92BF0C">
            <wp:extent cx="4869180" cy="253736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stretch>
                      <a:fillRect/>
                    </a:stretch>
                  </pic:blipFill>
                  <pic:spPr>
                    <a:xfrm>
                      <a:off x="0" y="0"/>
                      <a:ext cx="4918343" cy="2562988"/>
                    </a:xfrm>
                    <a:prstGeom prst="rect">
                      <a:avLst/>
                    </a:prstGeom>
                  </pic:spPr>
                </pic:pic>
              </a:graphicData>
            </a:graphic>
          </wp:inline>
        </w:drawing>
      </w:r>
    </w:p>
    <w:p w14:paraId="06490C0F" w14:textId="07075364" w:rsidR="00840899" w:rsidRDefault="00EA7DCF" w:rsidP="00A25A15">
      <w:pPr>
        <w:spacing w:before="100" w:beforeAutospacing="1" w:after="100" w:afterAutospacing="1"/>
        <w:jc w:val="both"/>
        <w:rPr>
          <w:rFonts w:ascii="Arial" w:hAnsi="Arial" w:cs="Arial"/>
          <w:i/>
        </w:rPr>
      </w:pPr>
      <w:r w:rsidRPr="00EA7DCF">
        <w:rPr>
          <w:rFonts w:ascii="Arial" w:hAnsi="Arial" w:cs="Arial"/>
          <w:i/>
        </w:rPr>
        <w:t xml:space="preserve">Source: Adapted from Donald R. Cressey (Fraud Triangle) </w:t>
      </w:r>
    </w:p>
    <w:p w14:paraId="05B2E3AF" w14:textId="77777777" w:rsidR="00704FEB" w:rsidRPr="00704FEB" w:rsidRDefault="00704FEB" w:rsidP="00A25A15">
      <w:pPr>
        <w:spacing w:before="100" w:beforeAutospacing="1" w:after="100" w:afterAutospacing="1"/>
        <w:jc w:val="both"/>
        <w:rPr>
          <w:rFonts w:ascii="Arial" w:hAnsi="Arial" w:cs="Arial"/>
          <w:b/>
          <w:bCs/>
          <w:i/>
        </w:rPr>
      </w:pPr>
    </w:p>
    <w:p w14:paraId="57E0E05A" w14:textId="71FA5085" w:rsidR="00704FEB" w:rsidRDefault="00704FEB" w:rsidP="00A25A15">
      <w:pPr>
        <w:pStyle w:val="Heading2"/>
        <w:spacing w:before="100" w:beforeAutospacing="1" w:after="100" w:afterAutospacing="1"/>
        <w:jc w:val="both"/>
        <w:rPr>
          <w:sz w:val="20"/>
          <w:szCs w:val="20"/>
        </w:rPr>
      </w:pPr>
      <w:bookmarkStart w:id="2" w:name="_Toc167905228"/>
      <w:r w:rsidRPr="00704FEB">
        <w:rPr>
          <w:sz w:val="20"/>
          <w:szCs w:val="20"/>
        </w:rPr>
        <w:t>2.1.</w:t>
      </w:r>
      <w:r w:rsidR="00455F14">
        <w:rPr>
          <w:sz w:val="20"/>
          <w:szCs w:val="20"/>
        </w:rPr>
        <w:t>2</w:t>
      </w:r>
      <w:r w:rsidRPr="00704FEB">
        <w:rPr>
          <w:sz w:val="20"/>
          <w:szCs w:val="20"/>
        </w:rPr>
        <w:t xml:space="preserve"> Technology Acceptance Model (TAM)</w:t>
      </w:r>
      <w:bookmarkEnd w:id="2"/>
    </w:p>
    <w:p w14:paraId="62CB8168" w14:textId="07368E59" w:rsidR="00EA6BC0" w:rsidRPr="00EA6BC0" w:rsidRDefault="00EA6BC0" w:rsidP="00A25A15">
      <w:pPr>
        <w:spacing w:before="100" w:beforeAutospacing="1" w:after="100" w:afterAutospacing="1"/>
        <w:jc w:val="both"/>
      </w:pPr>
      <w:r w:rsidRPr="00EA6BC0">
        <w:t xml:space="preserve">The Technology Acceptance Model (TAM) illustrates how individuals adopt information systems. The Technology Acceptance Model (TAM) stipulates that users' behavioral intentions are a significant factor in technology acceptance </w:t>
      </w:r>
      <w:sdt>
        <w:sdtPr>
          <w:id w:val="-572199287"/>
          <w:citation/>
        </w:sdtPr>
        <w:sdtEndPr/>
        <w:sdtContent>
          <w:r w:rsidR="00661C18">
            <w:fldChar w:fldCharType="begin"/>
          </w:r>
          <w:r w:rsidR="00661C18">
            <w:rPr>
              <w:lang w:val="en-ZW"/>
            </w:rPr>
            <w:instrText xml:space="preserve"> CITATION Kam20 \l 12297 </w:instrText>
          </w:r>
          <w:r w:rsidR="00661C18">
            <w:fldChar w:fldCharType="separate"/>
          </w:r>
          <w:r w:rsidR="00D17E06" w:rsidRPr="00D17E06">
            <w:rPr>
              <w:noProof/>
              <w:lang w:val="en-ZW"/>
            </w:rPr>
            <w:t>(Kamal, 2020)</w:t>
          </w:r>
          <w:r w:rsidR="00661C18">
            <w:fldChar w:fldCharType="end"/>
          </w:r>
        </w:sdtContent>
      </w:sdt>
      <w:r w:rsidRPr="00EA6BC0">
        <w:t>. Behavioral intentions are derived from the users' views about the technology being helpful and easy to use. TAM depicts technology acceptance as a three, stage in which external stimuli (system design features) trigger cognitive reactions (perceived utility and usability), which then lead to affective responses (intention and attitude towards using the technology), thus influencing user behavior.</w:t>
      </w:r>
    </w:p>
    <w:p w14:paraId="408FEC8A" w14:textId="3F16C772" w:rsidR="00EA6BC0" w:rsidRPr="00EA6BC0" w:rsidRDefault="00EA6BC0" w:rsidP="00A25A15">
      <w:pPr>
        <w:spacing w:before="100" w:beforeAutospacing="1" w:after="100" w:afterAutospacing="1"/>
        <w:jc w:val="both"/>
      </w:pPr>
      <w:r w:rsidRPr="00EA6BC0">
        <w:t xml:space="preserve"> Perceived utility and simplicity of use encompass the expectation of positive behavioral outcomes and the belief that the behavior will not require much effort. The development of the model and the indicators for technology adoption has significantly impacted the practice while also making substantial theoretical contributions. The method of measuring the application of IS usability has made it possible to determine the intentions of consumers towards technological innovations.</w:t>
      </w:r>
    </w:p>
    <w:p w14:paraId="0AB0B37D"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i/>
        </w:rPr>
        <w:t>Figure 2: Technology Acceptance Model</w:t>
      </w:r>
    </w:p>
    <w:p w14:paraId="37E28B77"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noProof/>
        </w:rPr>
        <w:drawing>
          <wp:inline distT="0" distB="0" distL="0" distR="0" wp14:anchorId="37F502D4" wp14:editId="4D7A45E6">
            <wp:extent cx="5303520" cy="21002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9"/>
                    <a:stretch>
                      <a:fillRect/>
                    </a:stretch>
                  </pic:blipFill>
                  <pic:spPr>
                    <a:xfrm>
                      <a:off x="0" y="0"/>
                      <a:ext cx="5303520" cy="2100254"/>
                    </a:xfrm>
                    <a:prstGeom prst="rect">
                      <a:avLst/>
                    </a:prstGeom>
                  </pic:spPr>
                </pic:pic>
              </a:graphicData>
            </a:graphic>
          </wp:inline>
        </w:drawing>
      </w:r>
    </w:p>
    <w:p w14:paraId="090D31E5" w14:textId="77777777" w:rsidR="00840899" w:rsidRDefault="00EA7DCF" w:rsidP="00A25A15">
      <w:pPr>
        <w:spacing w:before="100" w:beforeAutospacing="1" w:after="100" w:afterAutospacing="1"/>
        <w:jc w:val="both"/>
        <w:rPr>
          <w:rFonts w:ascii="Arial" w:hAnsi="Arial" w:cs="Arial"/>
          <w:i/>
        </w:rPr>
      </w:pPr>
      <w:r w:rsidRPr="00EA7DCF">
        <w:rPr>
          <w:rFonts w:ascii="Arial" w:hAnsi="Arial" w:cs="Arial"/>
          <w:i/>
        </w:rPr>
        <w:lastRenderedPageBreak/>
        <w:t>Source: Online illustration of TAM (adapted).</w:t>
      </w:r>
    </w:p>
    <w:p w14:paraId="401691BC" w14:textId="515DA495" w:rsidR="00704FEB" w:rsidRDefault="00704FEB" w:rsidP="00A25A15">
      <w:pPr>
        <w:pStyle w:val="Heading2"/>
        <w:spacing w:before="100" w:beforeAutospacing="1" w:after="100" w:afterAutospacing="1"/>
        <w:jc w:val="both"/>
        <w:rPr>
          <w:rFonts w:ascii="Arial" w:hAnsi="Arial" w:cs="Arial"/>
          <w:sz w:val="20"/>
          <w:szCs w:val="20"/>
        </w:rPr>
      </w:pPr>
      <w:bookmarkStart w:id="3" w:name="_Toc167905229"/>
      <w:r w:rsidRPr="00704FEB">
        <w:rPr>
          <w:rFonts w:ascii="Arial" w:hAnsi="Arial" w:cs="Arial"/>
          <w:sz w:val="20"/>
          <w:szCs w:val="20"/>
        </w:rPr>
        <w:t>2.1.</w:t>
      </w:r>
      <w:r w:rsidR="00455F14">
        <w:rPr>
          <w:rFonts w:ascii="Arial" w:hAnsi="Arial" w:cs="Arial"/>
          <w:sz w:val="20"/>
          <w:szCs w:val="20"/>
        </w:rPr>
        <w:t>3</w:t>
      </w:r>
      <w:r w:rsidRPr="00704FEB">
        <w:rPr>
          <w:rFonts w:ascii="Arial" w:hAnsi="Arial" w:cs="Arial"/>
          <w:sz w:val="20"/>
          <w:szCs w:val="20"/>
        </w:rPr>
        <w:t xml:space="preserve"> COBIT Framework</w:t>
      </w:r>
      <w:bookmarkEnd w:id="3"/>
    </w:p>
    <w:p w14:paraId="4A71DAA2" w14:textId="7914436C" w:rsidR="003F5515" w:rsidRPr="003F5515" w:rsidRDefault="003F5515" w:rsidP="00A25A15">
      <w:pPr>
        <w:spacing w:before="100" w:beforeAutospacing="1" w:after="100" w:afterAutospacing="1"/>
        <w:jc w:val="both"/>
      </w:pPr>
      <w:r w:rsidRPr="003F5515">
        <w:t xml:space="preserve">COBIT is the abbreviation of Control Objectives for Information and Related Technology. The primary goal of the tool is to bridge the gap that exists between risks, control objectives, and technology challenges. COBIT 5 is a universally recognized standard that can be applied to almost any company regardless of the industry. COBIT 5 ensures that an organization's information systems are reliable, controlled, and of good quality. COBIT helps organizations derive maximum value from their IT by establishing a governance structure that balances risk, objectives, and </w:t>
      </w:r>
      <w:r w:rsidR="00661C18" w:rsidRPr="003F5515">
        <w:t>resources</w:t>
      </w:r>
      <w:r w:rsidR="00661C18">
        <w:t xml:space="preserve"> </w:t>
      </w:r>
      <w:sdt>
        <w:sdtPr>
          <w:id w:val="-485174248"/>
          <w:citation/>
        </w:sdtPr>
        <w:sdtEndPr/>
        <w:sdtContent>
          <w:r w:rsidR="00661C18">
            <w:fldChar w:fldCharType="begin"/>
          </w:r>
          <w:r w:rsidR="00661C18">
            <w:rPr>
              <w:lang w:val="en-ZW"/>
            </w:rPr>
            <w:instrText xml:space="preserve"> CITATION Tan25 \l 12297 </w:instrText>
          </w:r>
          <w:r w:rsidR="00661C18">
            <w:fldChar w:fldCharType="separate"/>
          </w:r>
          <w:r w:rsidR="00D17E06" w:rsidRPr="00D17E06">
            <w:rPr>
              <w:noProof/>
              <w:lang w:val="en-ZW"/>
            </w:rPr>
            <w:t>(Tangka, 2025)</w:t>
          </w:r>
          <w:r w:rsidR="00661C18">
            <w:fldChar w:fldCharType="end"/>
          </w:r>
        </w:sdtContent>
      </w:sdt>
      <w:r w:rsidR="00661C18" w:rsidRPr="003F5515">
        <w:t>.</w:t>
      </w:r>
      <w:r w:rsidRPr="003F5515">
        <w:t xml:space="preserve"> A set of five principles is used to establish this balance. Since the principles are very general, they were designed with this in mind. They can adapt to the needs of the company no matter how large or complex it is.</w:t>
      </w:r>
    </w:p>
    <w:p w14:paraId="48772C4B"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i/>
        </w:rPr>
        <w:t>Figure 3: COBIT 5 Principles</w:t>
      </w:r>
    </w:p>
    <w:p w14:paraId="1EEB1137"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noProof/>
        </w:rPr>
        <w:drawing>
          <wp:inline distT="0" distB="0" distL="0" distR="0" wp14:anchorId="66D85BF3" wp14:editId="3289CE2D">
            <wp:extent cx="4168140" cy="274828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0"/>
                    <a:stretch>
                      <a:fillRect/>
                    </a:stretch>
                  </pic:blipFill>
                  <pic:spPr>
                    <a:xfrm>
                      <a:off x="0" y="0"/>
                      <a:ext cx="4175920" cy="2753410"/>
                    </a:xfrm>
                    <a:prstGeom prst="rect">
                      <a:avLst/>
                    </a:prstGeom>
                  </pic:spPr>
                </pic:pic>
              </a:graphicData>
            </a:graphic>
          </wp:inline>
        </w:drawing>
      </w:r>
    </w:p>
    <w:p w14:paraId="3B0027E6" w14:textId="77777777" w:rsidR="00840899" w:rsidRPr="00EA7DCF" w:rsidRDefault="00EA7DCF" w:rsidP="00A25A15">
      <w:pPr>
        <w:spacing w:before="100" w:beforeAutospacing="1" w:after="100" w:afterAutospacing="1"/>
        <w:jc w:val="both"/>
        <w:rPr>
          <w:rFonts w:ascii="Arial" w:hAnsi="Arial" w:cs="Arial"/>
        </w:rPr>
      </w:pPr>
      <w:r w:rsidRPr="00EA7DCF">
        <w:rPr>
          <w:rFonts w:ascii="Arial" w:hAnsi="Arial" w:cs="Arial"/>
          <w:i/>
        </w:rPr>
        <w:t>Source: ISACA COBIT 5 principles – online illustration.</w:t>
      </w:r>
    </w:p>
    <w:p w14:paraId="6B87B932" w14:textId="77777777" w:rsidR="00704FEB" w:rsidRDefault="00704FEB" w:rsidP="00A25A15">
      <w:pPr>
        <w:spacing w:before="100" w:beforeAutospacing="1" w:after="100" w:afterAutospacing="1"/>
        <w:jc w:val="both"/>
        <w:rPr>
          <w:rFonts w:ascii="Arial" w:hAnsi="Arial" w:cs="Arial"/>
          <w:b/>
        </w:rPr>
      </w:pPr>
    </w:p>
    <w:p w14:paraId="2FBA84C7" w14:textId="77777777" w:rsidR="00704FEB" w:rsidRDefault="00704FEB" w:rsidP="00A25A15">
      <w:pPr>
        <w:pStyle w:val="Heading2"/>
        <w:spacing w:before="100" w:beforeAutospacing="1" w:after="100" w:afterAutospacing="1"/>
        <w:jc w:val="both"/>
        <w:rPr>
          <w:rFonts w:ascii="Arial" w:hAnsi="Arial" w:cs="Arial"/>
          <w:sz w:val="20"/>
          <w:szCs w:val="20"/>
          <w:shd w:val="clear" w:color="auto" w:fill="FFFFFF"/>
        </w:rPr>
      </w:pPr>
      <w:bookmarkStart w:id="4" w:name="_Toc167905230"/>
      <w:r w:rsidRPr="00704FEB">
        <w:rPr>
          <w:rFonts w:ascii="Arial" w:hAnsi="Arial" w:cs="Arial"/>
          <w:sz w:val="20"/>
          <w:szCs w:val="20"/>
          <w:shd w:val="clear" w:color="auto" w:fill="FFFFFF"/>
        </w:rPr>
        <w:t>2.2 Information Technology Audit systems and its role in the Banking Secto</w:t>
      </w:r>
      <w:bookmarkEnd w:id="4"/>
      <w:r>
        <w:rPr>
          <w:rFonts w:ascii="Arial" w:hAnsi="Arial" w:cs="Arial"/>
          <w:sz w:val="20"/>
          <w:szCs w:val="20"/>
          <w:shd w:val="clear" w:color="auto" w:fill="FFFFFF"/>
        </w:rPr>
        <w:t>r</w:t>
      </w:r>
    </w:p>
    <w:p w14:paraId="11AAA50C" w14:textId="3D3EC475" w:rsidR="00704FEB" w:rsidRDefault="00704FEB" w:rsidP="00A25A15">
      <w:pPr>
        <w:pStyle w:val="Heading2"/>
        <w:spacing w:before="100" w:beforeAutospacing="1" w:after="100" w:afterAutospacing="1"/>
        <w:jc w:val="both"/>
        <w:rPr>
          <w:rFonts w:ascii="Arial" w:hAnsi="Arial" w:cs="Arial"/>
          <w:sz w:val="20"/>
          <w:szCs w:val="20"/>
          <w:shd w:val="clear" w:color="auto" w:fill="FFFFFF"/>
        </w:rPr>
      </w:pPr>
      <w:r w:rsidRPr="00704FEB">
        <w:rPr>
          <w:rFonts w:ascii="Arial" w:hAnsi="Arial" w:cs="Arial"/>
          <w:sz w:val="20"/>
          <w:szCs w:val="20"/>
          <w:shd w:val="clear" w:color="auto" w:fill="FFFFFF"/>
        </w:rPr>
        <w:t xml:space="preserve"> </w:t>
      </w:r>
      <w:bookmarkStart w:id="5" w:name="_Toc167905231"/>
      <w:r w:rsidRPr="00704FEB">
        <w:rPr>
          <w:rFonts w:ascii="Arial" w:hAnsi="Arial" w:cs="Arial"/>
          <w:sz w:val="20"/>
          <w:szCs w:val="20"/>
          <w:shd w:val="clear" w:color="auto" w:fill="FFFFFF"/>
        </w:rPr>
        <w:t>2.2.1</w:t>
      </w:r>
      <w:r w:rsidR="00635B2D">
        <w:rPr>
          <w:rFonts w:ascii="Arial" w:hAnsi="Arial" w:cs="Arial"/>
          <w:sz w:val="20"/>
          <w:szCs w:val="20"/>
          <w:shd w:val="clear" w:color="auto" w:fill="FFFFFF"/>
        </w:rPr>
        <w:t xml:space="preserve"> Information Technology</w:t>
      </w:r>
      <w:r w:rsidRPr="00704FEB">
        <w:rPr>
          <w:rFonts w:ascii="Arial" w:hAnsi="Arial" w:cs="Arial"/>
          <w:sz w:val="20"/>
          <w:szCs w:val="20"/>
          <w:shd w:val="clear" w:color="auto" w:fill="FFFFFF"/>
        </w:rPr>
        <w:t xml:space="preserve"> Auditing</w:t>
      </w:r>
      <w:bookmarkEnd w:id="5"/>
    </w:p>
    <w:p w14:paraId="6C3BAEE5" w14:textId="77777777" w:rsidR="003F5515" w:rsidRPr="003F5515" w:rsidRDefault="003F5515" w:rsidP="00A25A15">
      <w:pPr>
        <w:spacing w:before="100" w:beforeAutospacing="1" w:after="100" w:afterAutospacing="1"/>
        <w:jc w:val="both"/>
      </w:pPr>
      <w:r w:rsidRPr="003F5515">
        <w:t>Information technology (IT) audit systems are the processes, methodologies, and practices used to assess and evaluate the efficacy, efficiency, and security of an organization's IT infrastructure, systems, and controls. Examining IT policies, processes, and procedures is part of these systems in order to find weaknesses, evaluate risks, and make sure that industry standards and laws are being followed.</w:t>
      </w:r>
    </w:p>
    <w:p w14:paraId="6DC2C77E" w14:textId="30647D78" w:rsidR="003F5515" w:rsidRPr="003F5515" w:rsidRDefault="003F5515" w:rsidP="00A25A15">
      <w:pPr>
        <w:spacing w:before="100" w:beforeAutospacing="1" w:after="100" w:afterAutospacing="1"/>
        <w:jc w:val="both"/>
      </w:pPr>
      <w:r w:rsidRPr="003F5515">
        <w:t xml:space="preserve">IT audit systems are very important to the banking industry because they ensure the integrity, safety, and reliability of data and IT systems. They help banks to identify and manage risks, protect customer information, comply with regulations, and safeguard the privacy, availability, and security of financial data. </w:t>
      </w:r>
      <w:sdt>
        <w:sdtPr>
          <w:id w:val="140394412"/>
          <w:citation/>
        </w:sdtPr>
        <w:sdtEndPr/>
        <w:sdtContent>
          <w:r w:rsidR="00F4779B">
            <w:fldChar w:fldCharType="begin"/>
          </w:r>
          <w:r w:rsidR="00F4779B">
            <w:rPr>
              <w:lang w:val="en-ZW"/>
            </w:rPr>
            <w:instrText xml:space="preserve"> CITATION Oye25 \l 12297 </w:instrText>
          </w:r>
          <w:r w:rsidR="00F4779B">
            <w:fldChar w:fldCharType="separate"/>
          </w:r>
          <w:r w:rsidR="00D17E06" w:rsidRPr="00D17E06">
            <w:rPr>
              <w:noProof/>
              <w:lang w:val="en-ZW"/>
            </w:rPr>
            <w:t>(Oyedotun, 2025)</w:t>
          </w:r>
          <w:r w:rsidR="00F4779B">
            <w:fldChar w:fldCharType="end"/>
          </w:r>
        </w:sdtContent>
      </w:sdt>
      <w:r w:rsidR="00F4779B">
        <w:t xml:space="preserve"> </w:t>
      </w:r>
      <w:r w:rsidRPr="003F5515">
        <w:t xml:space="preserve">points out that IT audit systems play a vital role in the banking sector by helping to evaluate IT controls, detect and prevent fraud, ensure data accuracy, and enhance operational efficiency. </w:t>
      </w:r>
      <w:r w:rsidRPr="003F5515">
        <w:lastRenderedPageBreak/>
        <w:t xml:space="preserve">These tools enable banks to pinpoint weaknesses in their IT applications and infrastructure, review internal controls, and propose changes. </w:t>
      </w:r>
    </w:p>
    <w:p w14:paraId="2405728F" w14:textId="11C8D495" w:rsidR="00635B2D" w:rsidRDefault="00635B2D" w:rsidP="00A25A15">
      <w:pPr>
        <w:pStyle w:val="Heading2"/>
        <w:spacing w:before="100" w:beforeAutospacing="1" w:after="100" w:afterAutospacing="1"/>
        <w:jc w:val="both"/>
        <w:rPr>
          <w:rFonts w:ascii="Arial" w:eastAsia="Times New Roman" w:hAnsi="Arial" w:cs="Arial"/>
          <w:sz w:val="20"/>
          <w:szCs w:val="20"/>
        </w:rPr>
      </w:pPr>
      <w:bookmarkStart w:id="6" w:name="_Toc167905233"/>
      <w:r w:rsidRPr="00635B2D">
        <w:rPr>
          <w:rFonts w:ascii="Arial" w:eastAsia="Times New Roman" w:hAnsi="Arial" w:cs="Arial"/>
          <w:sz w:val="20"/>
          <w:szCs w:val="20"/>
        </w:rPr>
        <w:t>2.2.2 Value addition in improved IT controls</w:t>
      </w:r>
      <w:bookmarkEnd w:id="6"/>
    </w:p>
    <w:p w14:paraId="6E25F8FC" w14:textId="5E991F7F" w:rsidR="003F5515" w:rsidRPr="003F5515" w:rsidRDefault="003F5515" w:rsidP="00A25A15">
      <w:pPr>
        <w:spacing w:before="100" w:beforeAutospacing="1" w:after="100" w:afterAutospacing="1"/>
        <w:jc w:val="both"/>
      </w:pPr>
      <w:r w:rsidRPr="003F5515">
        <w:t>The understanding of accounting has evolved beyond basic ledgers and controls to include a diverse range of professionals, such as engineers and IT specialists. By applying critical thinking and broad organizational knowledge, these internal auditors provide advice that enables businesses to make well-informed decisions. One such example is computer science meeting accountancy. Accountants with computer skills as well as accounting knowledge have produced computerized accounting systems like Sage and Pastel, just to mention a few concepts.</w:t>
      </w:r>
    </w:p>
    <w:p w14:paraId="400D9052" w14:textId="5026A4BD" w:rsidR="003F5515" w:rsidRPr="003F5515" w:rsidRDefault="003F5515" w:rsidP="00A25A15">
      <w:pPr>
        <w:spacing w:before="100" w:beforeAutospacing="1" w:after="100" w:afterAutospacing="1"/>
        <w:jc w:val="both"/>
      </w:pPr>
      <w:r w:rsidRPr="003F5515">
        <w:t>On the banking side, it is very important to have a well-functioning IT security policy. The matters of system availability (the continuous presence of system resources for the use of the organization) and confidentiality (restricting access only to authorized users) are two of the main points discussed. A strategy of computer online security is the use of encryption. Biometrics, digital/electronic signatures, and the Data Encryption Standard (DES) are examples of what can be used in conjunction with encrypting the data. Organizations face greater regulatory demands to safeguard customer data. Besides the regular customers, hackers, and other external attackers, are constantly targeting corporate intranets and websites</w:t>
      </w:r>
      <w:r w:rsidR="00F4779B">
        <w:t>.</w:t>
      </w:r>
    </w:p>
    <w:p w14:paraId="5742973B" w14:textId="77777777" w:rsidR="00635B2D" w:rsidRPr="00635B2D" w:rsidRDefault="00635B2D" w:rsidP="00A25A15">
      <w:pPr>
        <w:pStyle w:val="Heading2"/>
        <w:spacing w:before="100" w:beforeAutospacing="1" w:after="100" w:afterAutospacing="1"/>
        <w:jc w:val="both"/>
        <w:rPr>
          <w:rFonts w:ascii="Arial" w:eastAsia="Times New Roman" w:hAnsi="Arial" w:cs="Arial"/>
          <w:sz w:val="20"/>
          <w:szCs w:val="20"/>
        </w:rPr>
      </w:pPr>
      <w:bookmarkStart w:id="7" w:name="_Toc167905236"/>
      <w:r w:rsidRPr="00635B2D">
        <w:rPr>
          <w:rFonts w:ascii="Arial" w:eastAsia="Times New Roman" w:hAnsi="Arial" w:cs="Arial"/>
          <w:sz w:val="20"/>
          <w:szCs w:val="20"/>
        </w:rPr>
        <w:t>2.2.6 Information Technology Auditing Framework and Improvement of the corporate Governance and Governance processes</w:t>
      </w:r>
      <w:bookmarkEnd w:id="7"/>
    </w:p>
    <w:p w14:paraId="437CE060" w14:textId="6CF7DB5A" w:rsidR="003F5515" w:rsidRPr="003F5515" w:rsidRDefault="003F5515" w:rsidP="00A25A15">
      <w:pPr>
        <w:spacing w:before="100" w:beforeAutospacing="1" w:after="100" w:afterAutospacing="1"/>
        <w:jc w:val="both"/>
      </w:pPr>
      <w:r w:rsidRPr="003F5515">
        <w:t>IT frameworks provide a structured approach to aligning company objectives and governance principles with IT operations and strategy. By implementing IT frameworks, enterprises can ensure openness and ethical standards of IT related activities, make clearer decisions, make processes, and establish definite accountability mechanisms. IT frameworks serve as a guide in establishing and carrying out effective governance practices across various areas such as risk assessment, compliance, and performance evaluation. One major benefit of these frameworks is that they offer a structured approach for managing IT risks, ensuring regulatory compliance, and monitoring system effectiveness</w:t>
      </w:r>
      <w:r w:rsidR="00F4779B">
        <w:t xml:space="preserve"> </w:t>
      </w:r>
      <w:sdt>
        <w:sdtPr>
          <w:id w:val="-1792435918"/>
          <w:citation/>
        </w:sdtPr>
        <w:sdtEndPr/>
        <w:sdtContent>
          <w:r w:rsidR="00F4779B">
            <w:fldChar w:fldCharType="begin"/>
          </w:r>
          <w:r w:rsidR="00F4779B">
            <w:rPr>
              <w:lang w:val="en-ZW"/>
            </w:rPr>
            <w:instrText xml:space="preserve"> CITATION Cal23 \l 12297 </w:instrText>
          </w:r>
          <w:r w:rsidR="00F4779B">
            <w:fldChar w:fldCharType="separate"/>
          </w:r>
          <w:r w:rsidR="00D17E06" w:rsidRPr="00D17E06">
            <w:rPr>
              <w:noProof/>
              <w:lang w:val="en-ZW"/>
            </w:rPr>
            <w:t>(Calder, 2023)</w:t>
          </w:r>
          <w:r w:rsidR="00F4779B">
            <w:fldChar w:fldCharType="end"/>
          </w:r>
        </w:sdtContent>
      </w:sdt>
      <w:r w:rsidRPr="003F5515">
        <w:t>. Essentially, they act as a roadmap that enables businesses to meet both industry standards and legal requirements. By putting controls, policies, and procedures in place through IT frameworks, organizations can ensure that they follow all relevant laws, regulations, and guidelines</w:t>
      </w:r>
      <w:r w:rsidR="00F4779B">
        <w:t>.</w:t>
      </w:r>
    </w:p>
    <w:p w14:paraId="71B4031B" w14:textId="77777777" w:rsidR="00961E37" w:rsidRDefault="00961E37" w:rsidP="00A25A15">
      <w:pPr>
        <w:pStyle w:val="Heading2"/>
        <w:spacing w:before="100" w:beforeAutospacing="1" w:after="100" w:afterAutospacing="1"/>
        <w:jc w:val="both"/>
        <w:rPr>
          <w:rFonts w:eastAsia="Times New Roman"/>
          <w:sz w:val="20"/>
          <w:szCs w:val="20"/>
        </w:rPr>
      </w:pPr>
      <w:bookmarkStart w:id="8" w:name="_Toc167905249"/>
      <w:r w:rsidRPr="00961E37">
        <w:rPr>
          <w:rFonts w:eastAsia="Times New Roman"/>
          <w:sz w:val="20"/>
          <w:szCs w:val="20"/>
        </w:rPr>
        <w:t>2.3 Research Gaps</w:t>
      </w:r>
      <w:bookmarkEnd w:id="8"/>
    </w:p>
    <w:p w14:paraId="08716885" w14:textId="77777777" w:rsidR="003F5515" w:rsidRPr="003F5515" w:rsidRDefault="003F5515" w:rsidP="00A25A15">
      <w:pPr>
        <w:spacing w:before="100" w:beforeAutospacing="1" w:after="100" w:afterAutospacing="1"/>
        <w:jc w:val="both"/>
      </w:pPr>
      <w:r w:rsidRPr="003F5515">
        <w:t>Data analytics has become a critical tool for detecting fraud. However, research regarding the application of advanced techniques—such as machine learning and natural language processing—within the U.S. banking sector remains scarce. Delivering mechanical and cognitive automation capabilities, such as robotic process automation, should be evaluated with artificial intelligence functionalities to be capable of extending detection accuracy and crisis handler response time. Additionally, there is a significant missing element of understanding how regulatory compliance can be effortlessly embedded in these technical frameworks. Investigations should be done on how best fraud detection systems can meet the regulations imposed on the U.S. banking industry without non-compliance risks due to technological progress.</w:t>
      </w:r>
    </w:p>
    <w:p w14:paraId="18FAC3FE" w14:textId="77777777" w:rsidR="003F5515" w:rsidRPr="003F5515" w:rsidRDefault="003F5515" w:rsidP="00A25A15">
      <w:pPr>
        <w:spacing w:before="100" w:beforeAutospacing="1" w:after="100" w:afterAutospacing="1"/>
        <w:jc w:val="both"/>
      </w:pPr>
      <w:r w:rsidRPr="003F5515">
        <w:t>On top of technology, the human and organizational aspects of fraud prevention also present major challenges. Although the importance of employee awareness is well recognized, little research provides clear guidance on the exact kinds of training that would enable U.S. bank employees to spot and report irregularities in IT audit systems. In addition, developing a theoretical framework without simultaneously exploring its real-world application is like being theoretical only. Thus, research in the future should focus on whether such frameworks can be essentially implemented in the U.S. banking sector. It is crucial that the studies highlight, as possible barriers, the issues of limited technological infrastructure, organizational culture, and lack of resources that may hamper the effective implementation of such frameworks.</w:t>
      </w:r>
    </w:p>
    <w:p w14:paraId="1EE78541" w14:textId="77777777" w:rsidR="000528F5" w:rsidRDefault="000528F5" w:rsidP="00A25A15">
      <w:pPr>
        <w:spacing w:before="100" w:beforeAutospacing="1" w:after="100" w:afterAutospacing="1"/>
        <w:jc w:val="both"/>
      </w:pPr>
    </w:p>
    <w:p w14:paraId="3B7EA3B9"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bookmarkStart w:id="9" w:name="_Toc167905250"/>
      <w:r w:rsidRPr="000528F5">
        <w:rPr>
          <w:rFonts w:ascii="Arial" w:eastAsia="Times New Roman" w:hAnsi="Arial" w:cs="Arial"/>
          <w:sz w:val="20"/>
          <w:szCs w:val="20"/>
        </w:rPr>
        <w:t>2.4 The Research Study Contributions</w:t>
      </w:r>
      <w:bookmarkEnd w:id="9"/>
    </w:p>
    <w:p w14:paraId="47ACE707" w14:textId="77777777" w:rsidR="003F5515" w:rsidRPr="003F5515" w:rsidRDefault="003F5515" w:rsidP="00A25A15">
      <w:pPr>
        <w:spacing w:before="100" w:beforeAutospacing="1" w:after="100" w:afterAutospacing="1"/>
        <w:jc w:val="both"/>
      </w:pPr>
      <w:r w:rsidRPr="003F5515">
        <w:t>This study employs a mixed-methods approach, integrating both quantitative and qualitative data. Consequently, it establishes a comprehensive foundation for understanding the current state of fraud detection in the U.S. banking sector. With the help of this in-depth data gathering, other researchers can further research the area by studying new trends and thoroughly examining the proposed framework.</w:t>
      </w:r>
    </w:p>
    <w:p w14:paraId="6638FD39" w14:textId="77777777" w:rsidR="003F5515" w:rsidRPr="003F5515" w:rsidRDefault="003F5515" w:rsidP="00A25A15">
      <w:pPr>
        <w:spacing w:before="100" w:beforeAutospacing="1" w:after="100" w:afterAutospacing="1"/>
        <w:jc w:val="both"/>
      </w:pPr>
      <w:r w:rsidRPr="003F5515">
        <w:t>In fact, with the help of this research approach, other investigators are given the opportunity to verify the effectiveness of the framework, discover its advantages and disadvantages, and modify its elements according to the outcomes of practical implementation. The case study approach offers detailed insights into the operational challenges and external factors affecting IT audit systems. Consequently, these findings provide a robust foundation for validating and refining the proposed framework.</w:t>
      </w:r>
    </w:p>
    <w:p w14:paraId="4952A6D1" w14:textId="77777777" w:rsidR="003F5515" w:rsidRPr="003F5515" w:rsidRDefault="003F5515" w:rsidP="00A25A15">
      <w:pPr>
        <w:spacing w:before="100" w:beforeAutospacing="1" w:after="100" w:afterAutospacing="1"/>
        <w:jc w:val="both"/>
      </w:pPr>
      <w:r w:rsidRPr="003F5515">
        <w:t>Beyond direct testing, the case study results serve as an essential baseline for future comparative analyses. This allows subsequent investigators to examine similarities and differences across other banks, regions, or countries with similar socioeconomic contexts. Importantly, the method's focus on direct communication with major stakeholders, such as bank personnel and IT audit experts, guarantees that the study reflects the ground realities and a range of perspectives on fraud detection. Future researchers should actively engage stakeholders to secure support from regulators and policymakers. This collaboration facilitates the joint creation of solutions and ensures the broad acceptance of efficient research findings.</w:t>
      </w:r>
    </w:p>
    <w:p w14:paraId="10DF4BFC" w14:textId="6172CEE6" w:rsidR="000528F5" w:rsidRPr="00755101" w:rsidRDefault="000528F5" w:rsidP="00A25A15">
      <w:pPr>
        <w:spacing w:before="100" w:beforeAutospacing="1" w:after="100" w:afterAutospacing="1"/>
        <w:jc w:val="both"/>
        <w:rPr>
          <w:rFonts w:eastAsia="Times New Roman" w:cs="Times New Roman"/>
          <w:b/>
          <w:szCs w:val="24"/>
        </w:rPr>
      </w:pPr>
      <w:r w:rsidRPr="00755101">
        <w:rPr>
          <w:rFonts w:eastAsia="Times New Roman" w:cs="Times New Roman"/>
          <w:b/>
          <w:szCs w:val="24"/>
        </w:rPr>
        <w:t>2.5 Conceptual Framework</w:t>
      </w:r>
    </w:p>
    <w:p w14:paraId="651CCD54" w14:textId="77777777" w:rsidR="003F5515" w:rsidRPr="003F5515" w:rsidRDefault="003F5515" w:rsidP="00A25A15">
      <w:pPr>
        <w:spacing w:before="100" w:beforeAutospacing="1" w:after="100" w:afterAutospacing="1"/>
        <w:jc w:val="both"/>
        <w:rPr>
          <w:rFonts w:eastAsia="Times New Roman" w:cs="Times New Roman"/>
          <w:szCs w:val="24"/>
        </w:rPr>
      </w:pPr>
      <w:r w:rsidRPr="003F5515">
        <w:rPr>
          <w:rFonts w:eastAsia="Times New Roman" w:cs="Times New Roman"/>
          <w:szCs w:val="24"/>
        </w:rPr>
        <w:t>The banking industry has significant difficulties in identifying and avoiding fraud and errors inside their IT audit systems in an increasingly technologically advanced world. In order to tackle these obstacles, a thorough and organized strategy is necessary. The SECURE framework, a unique conceptual framework created specially to improve fraud and error detection in banks' IT audit systems, is presented in this study. Banks may protect their financial operations and reputation, strengthen their IT audit processes, and keep ahead of growing fraud risks by implementing the SECURE framework. The SECURE framework encompasses six key components: Systematic Risk Assessment (S), Effective Controls Implementation (E), Continuous Monitoring (C), Utilize Data Analytics (U), Regulatory Compliance (R), and Employee Training and Awareness (E). Through the integration of these elements, the SECURE framework offers a comprehensive and pre-emptive strategy for reducing fraud and mistakes, guaranteeing the integrity and safety of IT audit systems in the banking industry.</w:t>
      </w:r>
    </w:p>
    <w:p w14:paraId="72E259D6" w14:textId="77777777" w:rsidR="000528F5" w:rsidRPr="007E39D6" w:rsidRDefault="000528F5" w:rsidP="00A25A15">
      <w:pPr>
        <w:spacing w:before="100" w:beforeAutospacing="1" w:after="100" w:afterAutospacing="1"/>
        <w:jc w:val="both"/>
      </w:pPr>
      <w:r w:rsidRPr="00B13C71">
        <w:t>Figure 4: Secure Framework</w:t>
      </w:r>
    </w:p>
    <w:p w14:paraId="709D57CE" w14:textId="77777777" w:rsidR="000528F5" w:rsidRPr="007E39D6" w:rsidRDefault="000528F5" w:rsidP="00A25A15">
      <w:pPr>
        <w:spacing w:before="100" w:beforeAutospacing="1" w:after="100" w:afterAutospacing="1"/>
        <w:jc w:val="both"/>
        <w:rPr>
          <w:rFonts w:eastAsia="Times New Roman" w:cs="Times New Roman"/>
          <w:szCs w:val="24"/>
        </w:rPr>
      </w:pPr>
    </w:p>
    <w:p w14:paraId="5F3E7DC8" w14:textId="77777777" w:rsidR="000528F5" w:rsidRDefault="000528F5" w:rsidP="00A25A15">
      <w:pPr>
        <w:keepNext/>
        <w:spacing w:before="100" w:beforeAutospacing="1" w:after="100" w:afterAutospacing="1"/>
        <w:jc w:val="both"/>
      </w:pPr>
      <w:r w:rsidRPr="007E39D6">
        <w:rPr>
          <w:rFonts w:eastAsia="Times New Roman" w:cs="Times New Roman"/>
          <w:noProof/>
          <w:szCs w:val="24"/>
        </w:rPr>
        <w:lastRenderedPageBreak/>
        <w:drawing>
          <wp:inline distT="0" distB="0" distL="0" distR="0" wp14:anchorId="5741F9D4" wp14:editId="7D18D348">
            <wp:extent cx="5006340" cy="3387090"/>
            <wp:effectExtent l="38100" t="57150" r="41910" b="4191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32981D4"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bookmarkStart w:id="10" w:name="_Toc167905251"/>
      <w:r w:rsidRPr="000528F5">
        <w:rPr>
          <w:rFonts w:ascii="Arial" w:eastAsia="Times New Roman" w:hAnsi="Arial" w:cs="Arial"/>
          <w:sz w:val="20"/>
          <w:szCs w:val="20"/>
        </w:rPr>
        <w:t>2.5.1 Systematic Risk Assessment (S)</w:t>
      </w:r>
      <w:bookmarkEnd w:id="10"/>
    </w:p>
    <w:p w14:paraId="61B4A079" w14:textId="77777777" w:rsidR="003F5515" w:rsidRPr="003F5515" w:rsidRDefault="003F5515" w:rsidP="00A25A15">
      <w:pPr>
        <w:pStyle w:val="Heading2"/>
        <w:spacing w:before="100" w:beforeAutospacing="1" w:after="100" w:afterAutospacing="1"/>
        <w:rPr>
          <w:rFonts w:ascii="Arial" w:eastAsia="Times New Roman" w:hAnsi="Arial" w:cs="Arial"/>
          <w:b w:val="0"/>
          <w:bCs w:val="0"/>
          <w:sz w:val="20"/>
          <w:szCs w:val="20"/>
        </w:rPr>
      </w:pPr>
      <w:bookmarkStart w:id="11" w:name="_Toc167905252"/>
      <w:r w:rsidRPr="003F5515">
        <w:rPr>
          <w:rFonts w:ascii="Arial" w:eastAsia="Times New Roman" w:hAnsi="Arial" w:cs="Arial"/>
          <w:b w:val="0"/>
          <w:bCs w:val="0"/>
          <w:sz w:val="20"/>
          <w:szCs w:val="20"/>
        </w:rPr>
        <w:t>The first part of the SECURE framework concentrates on carrying out a methodical risk assessment that is unique to the banking industry. This entails determining and evaluating the main fraud and error risks in bank IT audit systems in the context of your research. You can learn more about the precise risks and vulnerabilities that require attention by carrying out an extensive risk assessment.</w:t>
      </w:r>
    </w:p>
    <w:p w14:paraId="6DBADDD9"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r w:rsidRPr="000528F5">
        <w:rPr>
          <w:rFonts w:ascii="Arial" w:eastAsia="Times New Roman" w:hAnsi="Arial" w:cs="Arial"/>
          <w:sz w:val="20"/>
          <w:szCs w:val="20"/>
        </w:rPr>
        <w:t>2.5.2 Effective Controls Implementation (E)</w:t>
      </w:r>
      <w:bookmarkEnd w:id="11"/>
    </w:p>
    <w:p w14:paraId="02D61713" w14:textId="77777777" w:rsidR="003F5515" w:rsidRPr="003F5515" w:rsidRDefault="003F5515" w:rsidP="00A25A15">
      <w:pPr>
        <w:spacing w:before="100" w:beforeAutospacing="1" w:after="100" w:afterAutospacing="1" w:line="276" w:lineRule="auto"/>
        <w:jc w:val="both"/>
        <w:rPr>
          <w:rFonts w:ascii="Arial" w:eastAsia="Arial" w:hAnsi="Arial" w:cs="Arial"/>
          <w:highlight w:val="white"/>
        </w:rPr>
      </w:pPr>
      <w:bookmarkStart w:id="12" w:name="_Toc167905253"/>
      <w:r w:rsidRPr="003F5515">
        <w:rPr>
          <w:rFonts w:ascii="Arial" w:eastAsia="Arial" w:hAnsi="Arial" w:cs="Arial"/>
          <w:highlight w:val="white"/>
        </w:rPr>
        <w:t>The SECURE framework's second component places a strong emphasis on putting in place reliable controls to stop and identify fraud and mistakes. This pertains to your research because it entails creating and putting into place efficient control mechanisms for IT audit systems in banks. This could involve user authentication procedures, access controls, job separation, and other risk-mitigation techniques.</w:t>
      </w:r>
    </w:p>
    <w:p w14:paraId="615190FF"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r w:rsidRPr="000528F5">
        <w:rPr>
          <w:rFonts w:ascii="Arial" w:eastAsia="Times New Roman" w:hAnsi="Arial" w:cs="Arial"/>
          <w:sz w:val="20"/>
          <w:szCs w:val="20"/>
        </w:rPr>
        <w:t>2.5.3 Continuous Monitoring (C)</w:t>
      </w:r>
      <w:bookmarkEnd w:id="12"/>
    </w:p>
    <w:p w14:paraId="4451037C" w14:textId="77777777" w:rsidR="003F5515" w:rsidRPr="003F5515" w:rsidRDefault="003F5515" w:rsidP="00A25A15">
      <w:pPr>
        <w:pStyle w:val="Heading2"/>
        <w:spacing w:before="100" w:beforeAutospacing="1" w:after="100" w:afterAutospacing="1"/>
        <w:jc w:val="both"/>
        <w:rPr>
          <w:rFonts w:ascii="Arial" w:eastAsia="Times New Roman" w:hAnsi="Arial" w:cs="Arial"/>
          <w:b w:val="0"/>
          <w:bCs w:val="0"/>
          <w:sz w:val="20"/>
          <w:szCs w:val="20"/>
        </w:rPr>
      </w:pPr>
      <w:bookmarkStart w:id="13" w:name="_Toc167905254"/>
      <w:r w:rsidRPr="003F5515">
        <w:rPr>
          <w:rFonts w:ascii="Arial" w:eastAsia="Times New Roman" w:hAnsi="Arial" w:cs="Arial"/>
          <w:b w:val="0"/>
          <w:bCs w:val="0"/>
          <w:sz w:val="20"/>
          <w:szCs w:val="20"/>
        </w:rPr>
        <w:t>The third component of the SECURE architecture focuses on putting in place a continuous monitoring system to identify faults and possible fraud in real time. This part of your research entails putting automated monitoring tools and procedures into bank IT audit systems. This makes it possible to proactively identify suspicious activity and departures from typical patterns, enabling prompt action and inquiry.</w:t>
      </w:r>
    </w:p>
    <w:p w14:paraId="63C3EC93"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r w:rsidRPr="000528F5">
        <w:rPr>
          <w:rFonts w:ascii="Arial" w:eastAsia="Times New Roman" w:hAnsi="Arial" w:cs="Arial"/>
          <w:sz w:val="20"/>
          <w:szCs w:val="20"/>
        </w:rPr>
        <w:t>2.5.4 Utilize Data Analytics (U)</w:t>
      </w:r>
      <w:bookmarkEnd w:id="13"/>
    </w:p>
    <w:p w14:paraId="711CE97A" w14:textId="77777777" w:rsidR="00A25A15" w:rsidRDefault="003F5515" w:rsidP="00A25A15">
      <w:pPr>
        <w:spacing w:before="100" w:beforeAutospacing="1" w:after="100" w:afterAutospacing="1"/>
        <w:jc w:val="both"/>
        <w:rPr>
          <w:rFonts w:eastAsia="Times New Roman" w:cs="Times New Roman"/>
          <w:szCs w:val="24"/>
        </w:rPr>
      </w:pPr>
      <w:r w:rsidRPr="003F5515">
        <w:rPr>
          <w:rFonts w:eastAsia="Times New Roman" w:cs="Times New Roman"/>
          <w:szCs w:val="24"/>
        </w:rPr>
        <w:t>The significance of data analytics in fraud and mistake detection is acknowledged by the SECURE framework. This component of your research entails using data analytics tools and methodologies to find anomalies, patterns, and trends that point to fraud and mistakes in bank IT audit systems. To improve the detecting skills, this can entail applying techniques like statistical analysis, machine learning, or data mining</w:t>
      </w:r>
    </w:p>
    <w:p w14:paraId="6F4FA920" w14:textId="3C6E5E1A" w:rsidR="000528F5" w:rsidRPr="00A25A15" w:rsidRDefault="003F5515" w:rsidP="00A25A15">
      <w:pPr>
        <w:spacing w:before="100" w:beforeAutospacing="1" w:after="100" w:afterAutospacing="1"/>
        <w:jc w:val="both"/>
        <w:rPr>
          <w:rFonts w:eastAsia="Times New Roman" w:cs="Times New Roman"/>
          <w:szCs w:val="24"/>
        </w:rPr>
      </w:pPr>
      <w:r w:rsidRPr="003F5515">
        <w:rPr>
          <w:rFonts w:eastAsia="Times New Roman" w:cs="Times New Roman"/>
          <w:szCs w:val="24"/>
        </w:rPr>
        <w:lastRenderedPageBreak/>
        <w:t>.</w:t>
      </w:r>
      <w:bookmarkStart w:id="14" w:name="_Toc167905255"/>
      <w:r w:rsidR="000528F5" w:rsidRPr="00A25A15">
        <w:rPr>
          <w:rFonts w:ascii="Arial" w:eastAsia="Times New Roman" w:hAnsi="Arial" w:cs="Arial"/>
          <w:b/>
          <w:bCs/>
        </w:rPr>
        <w:t>2.5.5 Regulatory Compliance (R)</w:t>
      </w:r>
      <w:bookmarkEnd w:id="14"/>
    </w:p>
    <w:p w14:paraId="6A3E12AB" w14:textId="77777777" w:rsidR="003F5515" w:rsidRPr="003F5515" w:rsidRDefault="003F5515" w:rsidP="00A25A15">
      <w:pPr>
        <w:pStyle w:val="Heading2"/>
        <w:spacing w:before="100" w:beforeAutospacing="1" w:after="100" w:afterAutospacing="1"/>
        <w:rPr>
          <w:rFonts w:ascii="Arial" w:eastAsia="Times New Roman" w:hAnsi="Arial" w:cs="Arial"/>
          <w:b w:val="0"/>
          <w:bCs w:val="0"/>
          <w:sz w:val="20"/>
          <w:szCs w:val="20"/>
        </w:rPr>
      </w:pPr>
      <w:bookmarkStart w:id="15" w:name="_Toc167905256"/>
      <w:r w:rsidRPr="003F5515">
        <w:rPr>
          <w:rFonts w:ascii="Arial" w:eastAsia="Times New Roman" w:hAnsi="Arial" w:cs="Arial"/>
          <w:b w:val="0"/>
          <w:bCs w:val="0"/>
          <w:sz w:val="20"/>
          <w:szCs w:val="20"/>
        </w:rPr>
        <w:t>The SECURE framework places a strong emphasis on the necessity of adhering to all applicable legal obligations and industry standards while conducting IT audits in banks. This part of your investigation is making sure that the fraud detection techniques and IT audit systems in place comply with the banking industry's unique regulatory environment. This guarantees that the framework in place satisfies all legal and regulatory requirements.</w:t>
      </w:r>
    </w:p>
    <w:p w14:paraId="7E660483" w14:textId="77777777" w:rsidR="000528F5" w:rsidRPr="000528F5" w:rsidRDefault="000528F5" w:rsidP="00A25A15">
      <w:pPr>
        <w:pStyle w:val="Heading2"/>
        <w:spacing w:before="100" w:beforeAutospacing="1" w:after="100" w:afterAutospacing="1"/>
        <w:jc w:val="both"/>
        <w:rPr>
          <w:rFonts w:ascii="Arial" w:eastAsia="Times New Roman" w:hAnsi="Arial" w:cs="Arial"/>
          <w:sz w:val="20"/>
          <w:szCs w:val="20"/>
        </w:rPr>
      </w:pPr>
      <w:r w:rsidRPr="000528F5">
        <w:rPr>
          <w:rFonts w:ascii="Arial" w:eastAsia="Times New Roman" w:hAnsi="Arial" w:cs="Arial"/>
          <w:sz w:val="20"/>
          <w:szCs w:val="20"/>
        </w:rPr>
        <w:t>2.5.6 Employee Training Awareness (E)</w:t>
      </w:r>
      <w:bookmarkEnd w:id="15"/>
    </w:p>
    <w:p w14:paraId="5496F27E" w14:textId="77777777" w:rsidR="003F5515" w:rsidRPr="003F5515" w:rsidRDefault="003F5515" w:rsidP="00A25A15">
      <w:pPr>
        <w:spacing w:before="100" w:beforeAutospacing="1" w:after="100" w:afterAutospacing="1"/>
        <w:jc w:val="both"/>
        <w:rPr>
          <w:rFonts w:eastAsia="Times New Roman" w:cs="Times New Roman"/>
          <w:szCs w:val="24"/>
        </w:rPr>
      </w:pPr>
      <w:r w:rsidRPr="003F5515">
        <w:rPr>
          <w:rFonts w:eastAsia="Times New Roman" w:cs="Times New Roman"/>
          <w:szCs w:val="24"/>
        </w:rPr>
        <w:t>The last part of the SECURE framework concentrates on offering thorough training courses to improve staff members' comprehension and awareness of fraud and error detection. Creating and executing training programmed for bank staff members engaged in IT audit systems is what your research entails. You may give employees the tools they need to actively participate in fraud prevention and detection activities by teaching them about fraud risks, detection strategies, and the significance of their roles.</w:t>
      </w:r>
    </w:p>
    <w:p w14:paraId="5415E4ED" w14:textId="77777777" w:rsidR="0085510F" w:rsidRPr="0085510F" w:rsidRDefault="0085510F" w:rsidP="00A25A15">
      <w:pPr>
        <w:spacing w:before="100" w:beforeAutospacing="1" w:after="100" w:afterAutospacing="1"/>
        <w:jc w:val="both"/>
      </w:pPr>
      <w:r w:rsidRPr="0085510F">
        <w:t>The SECURE framework incorporates several unique elements that set it apart from other frameworks for enhancing fraud and error detection in IT audit systems. The SECURE framework's uniqueness lies in its comprehensive approach, focus on technology and data analytics, customization for the banking sector in the United States, emphasis on employee training and awareness, and integration of regulatory compliance. These characteristics make the SECURE framework a tailored and effective tool for enhancing fraud and error detection in IT audit systems in the United States’ banking industry.</w:t>
      </w:r>
    </w:p>
    <w:p w14:paraId="69A7AABB" w14:textId="77777777" w:rsidR="00F66375" w:rsidRDefault="00F66375" w:rsidP="00A25A15">
      <w:pPr>
        <w:spacing w:before="100" w:beforeAutospacing="1" w:after="100" w:afterAutospacing="1"/>
        <w:jc w:val="both"/>
        <w:rPr>
          <w:rFonts w:ascii="Arial" w:eastAsia="Arial" w:hAnsi="Arial" w:cs="Arial"/>
          <w:b/>
          <w:bCs/>
        </w:rPr>
      </w:pPr>
      <w:r>
        <w:rPr>
          <w:rFonts w:ascii="Arial" w:eastAsia="Arial" w:hAnsi="Arial" w:cs="Arial"/>
          <w:b/>
          <w:bCs/>
        </w:rPr>
        <w:t>3.0 Research Methodology</w:t>
      </w:r>
      <w:bookmarkStart w:id="16" w:name="_Toc167905261"/>
    </w:p>
    <w:p w14:paraId="4D5517D8" w14:textId="77777777" w:rsidR="00A25A15" w:rsidRDefault="00F66375" w:rsidP="00A25A15">
      <w:pPr>
        <w:spacing w:before="100" w:beforeAutospacing="1" w:after="100" w:afterAutospacing="1"/>
        <w:jc w:val="both"/>
        <w:rPr>
          <w:rFonts w:ascii="Arial" w:hAnsi="Arial" w:cs="Arial"/>
          <w:b/>
          <w:bCs/>
        </w:rPr>
      </w:pPr>
      <w:r w:rsidRPr="00F66375">
        <w:rPr>
          <w:rFonts w:ascii="Arial" w:hAnsi="Arial" w:cs="Arial"/>
          <w:b/>
          <w:bCs/>
        </w:rPr>
        <w:t>3.1 Research Philosophy</w:t>
      </w:r>
      <w:bookmarkEnd w:id="16"/>
      <w:r w:rsidRPr="00F66375">
        <w:rPr>
          <w:rFonts w:ascii="Arial" w:hAnsi="Arial" w:cs="Arial"/>
          <w:b/>
          <w:bCs/>
        </w:rPr>
        <w:t xml:space="preserve"> </w:t>
      </w:r>
      <w:bookmarkStart w:id="17" w:name="_Toc167905262"/>
    </w:p>
    <w:p w14:paraId="0CAC30D0" w14:textId="77777777" w:rsidR="00A25A15" w:rsidRDefault="0085510F" w:rsidP="00A25A15">
      <w:pPr>
        <w:spacing w:before="100" w:beforeAutospacing="1" w:after="100" w:afterAutospacing="1"/>
        <w:jc w:val="both"/>
        <w:rPr>
          <w:rFonts w:ascii="Arial" w:eastAsia="Times New Roman" w:hAnsi="Arial" w:cs="Arial"/>
        </w:rPr>
      </w:pPr>
      <w:r w:rsidRPr="0085510F">
        <w:rPr>
          <w:rFonts w:ascii="Arial" w:eastAsia="Times New Roman" w:hAnsi="Arial" w:cs="Arial"/>
        </w:rPr>
        <w:t xml:space="preserve">Research philosophy is the beliefs, traditions, and ideals that govern researchers' approaches to studying a specific topic. It provides a framework for the design of the study and the methodology used in it. </w:t>
      </w:r>
      <w:r w:rsidR="00F4779B" w:rsidRPr="00A25A15">
        <w:rPr>
          <w:rFonts w:ascii="Arial" w:eastAsia="Times New Roman" w:hAnsi="Arial" w:cs="Arial"/>
        </w:rPr>
        <w:t>R</w:t>
      </w:r>
      <w:r w:rsidRPr="0085510F">
        <w:rPr>
          <w:rFonts w:ascii="Arial" w:eastAsia="Times New Roman" w:hAnsi="Arial" w:cs="Arial"/>
        </w:rPr>
        <w:t>esearch philosophy is crucial to understanding the researcher's viewpoint on reality, the researcher's role in the research process, and the reliability of the knowledge produced by the study</w:t>
      </w:r>
      <w:sdt>
        <w:sdtPr>
          <w:rPr>
            <w:rFonts w:ascii="Arial" w:eastAsia="Times New Roman" w:hAnsi="Arial" w:cs="Arial"/>
          </w:rPr>
          <w:id w:val="-1709647563"/>
          <w:citation/>
        </w:sdtPr>
        <w:sdtEndPr/>
        <w:sdtContent>
          <w:r w:rsidR="00F4779B" w:rsidRPr="00A25A15">
            <w:rPr>
              <w:rFonts w:ascii="Arial" w:eastAsia="Times New Roman" w:hAnsi="Arial" w:cs="Arial"/>
            </w:rPr>
            <w:fldChar w:fldCharType="begin"/>
          </w:r>
          <w:r w:rsidR="00F4779B" w:rsidRPr="00A25A15">
            <w:rPr>
              <w:rFonts w:ascii="Arial" w:eastAsia="Times New Roman" w:hAnsi="Arial" w:cs="Arial"/>
              <w:lang w:val="en-ZW"/>
            </w:rPr>
            <w:instrText xml:space="preserve"> CITATION Sau23 \l 12297 </w:instrText>
          </w:r>
          <w:r w:rsidR="00F4779B" w:rsidRPr="00A25A15">
            <w:rPr>
              <w:rFonts w:ascii="Arial" w:eastAsia="Times New Roman" w:hAnsi="Arial" w:cs="Arial"/>
            </w:rPr>
            <w:fldChar w:fldCharType="separate"/>
          </w:r>
          <w:r w:rsidR="00D17E06" w:rsidRPr="00A25A15">
            <w:rPr>
              <w:rFonts w:ascii="Arial" w:eastAsia="Times New Roman" w:hAnsi="Arial" w:cs="Arial"/>
              <w:noProof/>
              <w:lang w:val="en-ZW"/>
            </w:rPr>
            <w:t xml:space="preserve"> (Saunders M. N., 2023)</w:t>
          </w:r>
          <w:r w:rsidR="00F4779B" w:rsidRPr="00A25A15">
            <w:rPr>
              <w:rFonts w:ascii="Arial" w:eastAsia="Times New Roman" w:hAnsi="Arial" w:cs="Arial"/>
            </w:rPr>
            <w:fldChar w:fldCharType="end"/>
          </w:r>
        </w:sdtContent>
      </w:sdt>
      <w:r w:rsidR="00F4779B" w:rsidRPr="00A25A15">
        <w:rPr>
          <w:rFonts w:ascii="Arial" w:eastAsia="Times New Roman" w:hAnsi="Arial" w:cs="Arial"/>
        </w:rPr>
        <w:t xml:space="preserve"> </w:t>
      </w:r>
      <w:r w:rsidRPr="0085510F">
        <w:rPr>
          <w:rFonts w:ascii="Arial" w:eastAsia="Times New Roman" w:hAnsi="Arial" w:cs="Arial"/>
        </w:rPr>
        <w:t>. The researcher conducted a pragmatic research philosophy. The research can closely analyze the existing procedures and constraints of fraud and mistake detection in banks by adopting this research philosophy.</w:t>
      </w:r>
    </w:p>
    <w:p w14:paraId="4BC8400C" w14:textId="77777777" w:rsid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3.1.1 Pragmatic Philosophy</w:t>
      </w:r>
      <w:bookmarkStart w:id="18" w:name="_Toc167905263"/>
      <w:bookmarkEnd w:id="17"/>
    </w:p>
    <w:p w14:paraId="36B6A428" w14:textId="77777777" w:rsidR="00BA3DD5" w:rsidRDefault="0085510F" w:rsidP="00BA3DD5">
      <w:pPr>
        <w:spacing w:before="100" w:beforeAutospacing="1" w:after="100" w:afterAutospacing="1"/>
        <w:jc w:val="both"/>
        <w:rPr>
          <w:rFonts w:ascii="Arial" w:eastAsia="Times New Roman" w:hAnsi="Arial" w:cs="Arial"/>
        </w:rPr>
      </w:pPr>
      <w:r w:rsidRPr="0085510F">
        <w:rPr>
          <w:rFonts w:ascii="Arial" w:eastAsia="Times New Roman" w:hAnsi="Arial" w:cs="Arial"/>
        </w:rPr>
        <w:t>The research philosophy of pragmatism is a good fit for the problem at hand, which is improving fraud and error detection in banks. Pragmatism places a strong emphasis on problem-solving, practicality, and the application of knowledge to actual circumstances</w:t>
      </w:r>
      <w:r w:rsidR="00F4779B" w:rsidRPr="00BA3DD5">
        <w:rPr>
          <w:rFonts w:ascii="Arial" w:eastAsia="Times New Roman" w:hAnsi="Arial" w:cs="Arial"/>
        </w:rPr>
        <w:t xml:space="preserve"> </w:t>
      </w:r>
      <w:sdt>
        <w:sdtPr>
          <w:rPr>
            <w:rFonts w:ascii="Arial" w:eastAsia="Times New Roman" w:hAnsi="Arial" w:cs="Arial"/>
          </w:rPr>
          <w:id w:val="1593893366"/>
          <w:citation/>
        </w:sdtPr>
        <w:sdtEndPr/>
        <w:sdtContent>
          <w:r w:rsidR="00D236D6" w:rsidRPr="00BA3DD5">
            <w:rPr>
              <w:rFonts w:ascii="Arial" w:eastAsia="Times New Roman" w:hAnsi="Arial" w:cs="Arial"/>
            </w:rPr>
            <w:fldChar w:fldCharType="begin"/>
          </w:r>
          <w:r w:rsidR="00D236D6" w:rsidRPr="00BA3DD5">
            <w:rPr>
              <w:rFonts w:ascii="Arial" w:eastAsia="Times New Roman" w:hAnsi="Arial" w:cs="Arial"/>
              <w:lang w:val="en-ZW"/>
            </w:rPr>
            <w:instrText xml:space="preserve">CITATION JCr17 \l 12297 </w:instrText>
          </w:r>
          <w:r w:rsidR="00D236D6" w:rsidRPr="00BA3DD5">
            <w:rPr>
              <w:rFonts w:ascii="Arial" w:eastAsia="Times New Roman" w:hAnsi="Arial" w:cs="Arial"/>
            </w:rPr>
            <w:fldChar w:fldCharType="separate"/>
          </w:r>
          <w:r w:rsidR="00D17E06" w:rsidRPr="00BA3DD5">
            <w:rPr>
              <w:rFonts w:ascii="Arial" w:eastAsia="Times New Roman" w:hAnsi="Arial" w:cs="Arial"/>
              <w:noProof/>
              <w:lang w:val="en-ZW"/>
            </w:rPr>
            <w:t>(Creswell J. W., 2017)</w:t>
          </w:r>
          <w:r w:rsidR="00D236D6" w:rsidRPr="00BA3DD5">
            <w:rPr>
              <w:rFonts w:ascii="Arial" w:eastAsia="Times New Roman" w:hAnsi="Arial" w:cs="Arial"/>
            </w:rPr>
            <w:fldChar w:fldCharType="end"/>
          </w:r>
        </w:sdtContent>
      </w:sdt>
      <w:r w:rsidRPr="0085510F">
        <w:rPr>
          <w:rFonts w:ascii="Arial" w:eastAsia="Times New Roman" w:hAnsi="Arial" w:cs="Arial"/>
        </w:rPr>
        <w:t xml:space="preserve">. The researcher can successfully address the real-world difficulties banks encounter in identifying and averting fraud and mistakes by embracing a pragmatic research methodology, which will result in observable enhancements to their operational procedures. Pragmatism emphasizes workable solutions and results. This theory recognizes the necessity of efficient fraud and error detection systems that can be applied in actual financial systems in the context of your research. It invites you to create and suggest workable frameworks that tackle the difficulties banks face while taking into account the resources, infrastructure, and limitations already in place. The focus of pragmatism is on recognizing and resolving practical issues. Research methods can be flexible with pragmatic approaches, which promotes the use of both quantitative and qualitative </w:t>
      </w:r>
      <w:r w:rsidR="00D236D6" w:rsidRPr="00BA3DD5">
        <w:rPr>
          <w:rFonts w:ascii="Arial" w:eastAsia="Times New Roman" w:hAnsi="Arial" w:cs="Arial"/>
        </w:rPr>
        <w:t>methodologies. The</w:t>
      </w:r>
      <w:r w:rsidRPr="0085510F">
        <w:rPr>
          <w:rFonts w:ascii="Arial" w:eastAsia="Times New Roman" w:hAnsi="Arial" w:cs="Arial"/>
        </w:rPr>
        <w:t xml:space="preserve"> researcher can collect extensive data, such as transaction histories, past trends, customer behavior analyses, and expert opinions, by using a mixed methods approach. This data can then be used to guide the framework's design and assessment.</w:t>
      </w:r>
    </w:p>
    <w:p w14:paraId="1EA48622" w14:textId="77777777" w:rsid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3.1.2 Ontology Philosophy</w:t>
      </w:r>
      <w:bookmarkEnd w:id="18"/>
      <w:r w:rsidRPr="00BA3DD5">
        <w:rPr>
          <w:rFonts w:ascii="Arial" w:eastAsia="Times New Roman" w:hAnsi="Arial" w:cs="Arial"/>
          <w:b/>
          <w:bCs/>
        </w:rPr>
        <w:t xml:space="preserve"> </w:t>
      </w:r>
      <w:bookmarkStart w:id="19" w:name="_Toc167905264"/>
    </w:p>
    <w:p w14:paraId="7165E236" w14:textId="02F8D232" w:rsidR="0085510F" w:rsidRPr="0085510F" w:rsidRDefault="0085510F" w:rsidP="00BA3DD5">
      <w:pPr>
        <w:spacing w:before="100" w:beforeAutospacing="1" w:after="100" w:afterAutospacing="1"/>
        <w:jc w:val="both"/>
        <w:rPr>
          <w:rFonts w:ascii="Arial" w:hAnsi="Arial" w:cs="Arial"/>
        </w:rPr>
      </w:pPr>
      <w:r w:rsidRPr="0085510F">
        <w:rPr>
          <w:rFonts w:ascii="Arial" w:eastAsia="Times New Roman" w:hAnsi="Arial" w:cs="Arial"/>
        </w:rPr>
        <w:lastRenderedPageBreak/>
        <w:t xml:space="preserve">Ontology research Philosophy is the field of philosophy that investigates the nature of reality or existence. The philosophy of ontological research places great emphasis on comprehending the fundamental nature of a phenomenon or object, as well as the interrelationships among different </w:t>
      </w:r>
      <w:r w:rsidR="00D236D6" w:rsidRPr="00BA3DD5">
        <w:rPr>
          <w:rFonts w:ascii="Arial" w:eastAsia="Times New Roman" w:hAnsi="Arial" w:cs="Arial"/>
        </w:rPr>
        <w:t>entities. To</w:t>
      </w:r>
      <w:r w:rsidRPr="0085510F">
        <w:rPr>
          <w:rFonts w:ascii="Arial" w:eastAsia="Times New Roman" w:hAnsi="Arial" w:cs="Arial"/>
        </w:rPr>
        <w:t xml:space="preserve"> determine the ontological categories that explain the many kinds of entities and their relationships, ontology research philosophers attempt to unearth the fundamental structure of reality. </w:t>
      </w:r>
      <w:r w:rsidR="00D236D6" w:rsidRPr="00BA3DD5">
        <w:rPr>
          <w:rFonts w:ascii="Arial" w:eastAsia="Times New Roman" w:hAnsi="Arial" w:cs="Arial"/>
        </w:rPr>
        <w:t>O</w:t>
      </w:r>
      <w:r w:rsidRPr="0085510F">
        <w:rPr>
          <w:rFonts w:ascii="Arial" w:eastAsia="Times New Roman" w:hAnsi="Arial" w:cs="Arial"/>
        </w:rPr>
        <w:t xml:space="preserve">ntology </w:t>
      </w:r>
      <w:r w:rsidR="00D236D6" w:rsidRPr="00BA3DD5">
        <w:rPr>
          <w:rFonts w:ascii="Arial" w:eastAsia="Times New Roman" w:hAnsi="Arial" w:cs="Arial"/>
        </w:rPr>
        <w:t>i</w:t>
      </w:r>
      <w:r w:rsidRPr="0085510F">
        <w:rPr>
          <w:rFonts w:ascii="Arial" w:eastAsia="Times New Roman" w:hAnsi="Arial" w:cs="Arial"/>
        </w:rPr>
        <w:t>s the study of being, with the goal of identifying the basic categories that underpin all that is. The philosophy of ontological study is essential for comprehending the nature of reality and for formulating theories that elucidate how it functions.</w:t>
      </w:r>
    </w:p>
    <w:p w14:paraId="18F23868" w14:textId="77777777"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t>3.1.3 Realism Philosophy</w:t>
      </w:r>
      <w:bookmarkEnd w:id="19"/>
      <w:r w:rsidRPr="00F66375">
        <w:rPr>
          <w:rFonts w:ascii="Arial" w:eastAsia="Times New Roman" w:hAnsi="Arial" w:cs="Arial"/>
          <w:sz w:val="20"/>
          <w:szCs w:val="20"/>
        </w:rPr>
        <w:t xml:space="preserve"> </w:t>
      </w:r>
    </w:p>
    <w:p w14:paraId="59561A7C" w14:textId="77777777" w:rsidR="00BA3DD5" w:rsidRDefault="0085510F" w:rsidP="00BA3DD5">
      <w:pPr>
        <w:spacing w:before="100" w:beforeAutospacing="1" w:after="100" w:afterAutospacing="1"/>
        <w:jc w:val="both"/>
        <w:rPr>
          <w:rFonts w:eastAsia="Times New Roman" w:cs="Times New Roman"/>
          <w:szCs w:val="24"/>
        </w:rPr>
      </w:pPr>
      <w:r w:rsidRPr="0085510F">
        <w:rPr>
          <w:rFonts w:eastAsia="Times New Roman" w:cs="Times New Roman"/>
          <w:szCs w:val="24"/>
        </w:rPr>
        <w:t xml:space="preserve">Realism research philosophy, sometimes known as scientific realism, is a research approach that seeks to understand the objective world. The theory holds that empirical observation and experimentation produce precise and trustworthy hypotheses which can be verified and validated, resulting in the creation of scientific knowledge. In many scientific domains, such as physics, psychology, and medicine, realism research philosophy is extensively employed to provide information that can be used to address real-world issues. </w:t>
      </w:r>
      <w:r w:rsidR="00D236D6">
        <w:rPr>
          <w:rFonts w:eastAsia="Times New Roman" w:cs="Times New Roman"/>
          <w:szCs w:val="24"/>
        </w:rPr>
        <w:t>T</w:t>
      </w:r>
      <w:r w:rsidRPr="0085510F">
        <w:rPr>
          <w:rFonts w:eastAsia="Times New Roman" w:cs="Times New Roman"/>
          <w:szCs w:val="24"/>
        </w:rPr>
        <w:t>he development of therapies and treatments that are grounded in empirical data requires a realism research philosophy. This method guarantees accurate and dependable knowledge generation by highlighting the significance of objective observation and experimentation.</w:t>
      </w:r>
      <w:bookmarkStart w:id="20" w:name="_Toc167905265"/>
    </w:p>
    <w:p w14:paraId="4A9957C9"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3.2 Research Design</w:t>
      </w:r>
      <w:bookmarkStart w:id="21" w:name="_Toc167905266"/>
      <w:bookmarkEnd w:id="20"/>
    </w:p>
    <w:p w14:paraId="55F51B8A" w14:textId="77777777" w:rsid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3.2.1 Descriptive Design</w:t>
      </w:r>
      <w:bookmarkEnd w:id="21"/>
      <w:r w:rsidRPr="00BA3DD5">
        <w:rPr>
          <w:rFonts w:ascii="Arial" w:eastAsia="Times New Roman" w:hAnsi="Arial" w:cs="Arial"/>
          <w:b/>
          <w:bCs/>
        </w:rPr>
        <w:t xml:space="preserve"> </w:t>
      </w:r>
      <w:bookmarkStart w:id="22" w:name="_Toc167905267"/>
    </w:p>
    <w:p w14:paraId="10444AD0" w14:textId="77777777" w:rsidR="00BA3DD5" w:rsidRDefault="0085510F" w:rsidP="00BA3DD5">
      <w:pPr>
        <w:spacing w:before="100" w:beforeAutospacing="1" w:after="100" w:afterAutospacing="1"/>
        <w:jc w:val="both"/>
        <w:rPr>
          <w:rFonts w:ascii="Arial" w:hAnsi="Arial" w:cs="Arial"/>
        </w:rPr>
      </w:pPr>
      <w:r w:rsidRPr="0085510F">
        <w:rPr>
          <w:rFonts w:ascii="Arial" w:hAnsi="Arial" w:cs="Arial"/>
        </w:rPr>
        <w:t>A descriptive research design</w:t>
      </w:r>
      <w:r w:rsidR="00D236D6" w:rsidRPr="00BA3DD5">
        <w:rPr>
          <w:rFonts w:ascii="Arial" w:hAnsi="Arial" w:cs="Arial"/>
        </w:rPr>
        <w:t xml:space="preserve">, </w:t>
      </w:r>
      <w:r w:rsidRPr="0085510F">
        <w:rPr>
          <w:rFonts w:ascii="Arial" w:hAnsi="Arial" w:cs="Arial"/>
        </w:rPr>
        <w:t>is a research strategy in which the main study issue is posed. The researcher used descriptive designs as it is ideal for investigating and developing an initial grasp of a study topic or phenomenon. It lets researchers characterize the features, behaviors, and patterns connected with the variables under consideration. A descriptive research design helps researchers understand the variables they are examining and make a connection between the variables. They entail gathering information from a sample or population and analyzing it with descriptive statistics. Descriptive research sometimes entails gathering data from a large sample or population, allowing researchers to gain a large amount of information in a short period of time</w:t>
      </w:r>
      <w:sdt>
        <w:sdtPr>
          <w:rPr>
            <w:rFonts w:ascii="Arial" w:hAnsi="Arial" w:cs="Arial"/>
          </w:rPr>
          <w:id w:val="596756679"/>
          <w:citation/>
        </w:sdtPr>
        <w:sdtEndPr/>
        <w:sdtContent>
          <w:r w:rsidR="00D236D6" w:rsidRPr="00BA3DD5">
            <w:rPr>
              <w:rFonts w:ascii="Arial" w:hAnsi="Arial" w:cs="Arial"/>
            </w:rPr>
            <w:fldChar w:fldCharType="begin"/>
          </w:r>
          <w:r w:rsidR="00D236D6" w:rsidRPr="00BA3DD5">
            <w:rPr>
              <w:rFonts w:ascii="Arial" w:hAnsi="Arial" w:cs="Arial"/>
              <w:lang w:val="en-ZW"/>
            </w:rPr>
            <w:instrText xml:space="preserve"> CITATION Que25 \l 12297 </w:instrText>
          </w:r>
          <w:r w:rsidR="00D236D6" w:rsidRPr="00BA3DD5">
            <w:rPr>
              <w:rFonts w:ascii="Arial" w:hAnsi="Arial" w:cs="Arial"/>
            </w:rPr>
            <w:fldChar w:fldCharType="separate"/>
          </w:r>
          <w:r w:rsidR="00D17E06" w:rsidRPr="00BA3DD5">
            <w:rPr>
              <w:rFonts w:ascii="Arial" w:hAnsi="Arial" w:cs="Arial"/>
              <w:noProof/>
              <w:lang w:val="en-ZW"/>
            </w:rPr>
            <w:t xml:space="preserve"> (QuestionPro, 2025)</w:t>
          </w:r>
          <w:r w:rsidR="00D236D6" w:rsidRPr="00BA3DD5">
            <w:rPr>
              <w:rFonts w:ascii="Arial" w:hAnsi="Arial" w:cs="Arial"/>
            </w:rPr>
            <w:fldChar w:fldCharType="end"/>
          </w:r>
        </w:sdtContent>
      </w:sdt>
      <w:r w:rsidRPr="0085510F">
        <w:rPr>
          <w:rFonts w:ascii="Arial" w:hAnsi="Arial" w:cs="Arial"/>
        </w:rPr>
        <w:t>. This rapid data collecting allows for complete coverage of the variables under research and facilitates generalization to a broader population, hence increasing the external validity of the findings.</w:t>
      </w:r>
    </w:p>
    <w:p w14:paraId="3D41E9B7"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3.2.2 Explanatory design</w:t>
      </w:r>
      <w:bookmarkStart w:id="23" w:name="_Toc167905268"/>
      <w:bookmarkEnd w:id="22"/>
    </w:p>
    <w:p w14:paraId="0BECD097" w14:textId="77777777" w:rsidR="00BA3DD5" w:rsidRPr="00BA3DD5" w:rsidRDefault="0085510F" w:rsidP="00BA3DD5">
      <w:pPr>
        <w:spacing w:before="100" w:beforeAutospacing="1" w:after="100" w:afterAutospacing="1"/>
        <w:jc w:val="both"/>
        <w:rPr>
          <w:rFonts w:ascii="Arial" w:eastAsia="Times New Roman" w:hAnsi="Arial" w:cs="Arial"/>
        </w:rPr>
      </w:pPr>
      <w:r w:rsidRPr="0085510F">
        <w:rPr>
          <w:rFonts w:ascii="Arial" w:eastAsia="Times New Roman" w:hAnsi="Arial" w:cs="Arial"/>
        </w:rPr>
        <w:t xml:space="preserve">Explanatory designs aim at comprehending the relationships between variables and finding causal mechanisms. Statistical approaches like regression analysis and structural equation modelling are commonly used to </w:t>
      </w:r>
      <w:r w:rsidRPr="00BA3DD5">
        <w:rPr>
          <w:rFonts w:ascii="Arial" w:eastAsia="Times New Roman" w:hAnsi="Arial" w:cs="Arial"/>
        </w:rPr>
        <w:t>analyze</w:t>
      </w:r>
      <w:r w:rsidRPr="0085510F">
        <w:rPr>
          <w:rFonts w:ascii="Arial" w:eastAsia="Times New Roman" w:hAnsi="Arial" w:cs="Arial"/>
        </w:rPr>
        <w:t xml:space="preserve"> various variables in these studies. Explanatory designs are ideal for examining causal links between variable</w:t>
      </w:r>
      <w:r w:rsidR="00D236D6" w:rsidRPr="00BA3DD5">
        <w:rPr>
          <w:rFonts w:ascii="Arial" w:eastAsia="Times New Roman" w:hAnsi="Arial" w:cs="Arial"/>
        </w:rPr>
        <w:t>s</w:t>
      </w:r>
      <w:r w:rsidRPr="0085510F">
        <w:rPr>
          <w:rFonts w:ascii="Arial" w:eastAsia="Times New Roman" w:hAnsi="Arial" w:cs="Arial"/>
        </w:rPr>
        <w:t>. These designs enable researchers to change independent variables and assess their impact on dependent variables while accounting for any confounding influences</w:t>
      </w:r>
      <w:r w:rsidR="00D236D6" w:rsidRPr="00BA3DD5">
        <w:rPr>
          <w:rFonts w:ascii="Arial" w:eastAsia="Times New Roman" w:hAnsi="Arial" w:cs="Arial"/>
        </w:rPr>
        <w:t xml:space="preserve"> </w:t>
      </w:r>
      <w:sdt>
        <w:sdtPr>
          <w:rPr>
            <w:rFonts w:ascii="Arial" w:eastAsia="Times New Roman" w:hAnsi="Arial" w:cs="Arial"/>
          </w:rPr>
          <w:id w:val="1524823774"/>
          <w:citation/>
        </w:sdtPr>
        <w:sdtEndPr/>
        <w:sdtContent>
          <w:r w:rsidR="00D236D6" w:rsidRPr="00BA3DD5">
            <w:rPr>
              <w:rFonts w:ascii="Arial" w:eastAsia="Times New Roman" w:hAnsi="Arial" w:cs="Arial"/>
            </w:rPr>
            <w:fldChar w:fldCharType="begin"/>
          </w:r>
          <w:r w:rsidR="00D236D6" w:rsidRPr="00BA3DD5">
            <w:rPr>
              <w:rFonts w:ascii="Arial" w:eastAsia="Times New Roman" w:hAnsi="Arial" w:cs="Arial"/>
              <w:lang w:val="en-ZW"/>
            </w:rPr>
            <w:instrText xml:space="preserve"> CITATION Sau23 \l 12297 </w:instrText>
          </w:r>
          <w:r w:rsidR="00D236D6" w:rsidRPr="00BA3DD5">
            <w:rPr>
              <w:rFonts w:ascii="Arial" w:eastAsia="Times New Roman" w:hAnsi="Arial" w:cs="Arial"/>
            </w:rPr>
            <w:fldChar w:fldCharType="separate"/>
          </w:r>
          <w:r w:rsidR="00D17E06" w:rsidRPr="00BA3DD5">
            <w:rPr>
              <w:rFonts w:ascii="Arial" w:eastAsia="Times New Roman" w:hAnsi="Arial" w:cs="Arial"/>
              <w:noProof/>
              <w:lang w:val="en-ZW"/>
            </w:rPr>
            <w:t>(Saunders M. N., 2023)</w:t>
          </w:r>
          <w:r w:rsidR="00D236D6" w:rsidRPr="00BA3DD5">
            <w:rPr>
              <w:rFonts w:ascii="Arial" w:eastAsia="Times New Roman" w:hAnsi="Arial" w:cs="Arial"/>
            </w:rPr>
            <w:fldChar w:fldCharType="end"/>
          </w:r>
        </w:sdtContent>
      </w:sdt>
      <w:r w:rsidRPr="0085510F">
        <w:rPr>
          <w:rFonts w:ascii="Arial" w:eastAsia="Times New Roman" w:hAnsi="Arial" w:cs="Arial"/>
        </w:rPr>
        <w:t>. Tests and improvements to theoretical frameworks can be achieved with the use of explanatory research designs. They make it possible for scholars to look at how different factors interact and add to the overall theoretical knowledge of a phenomenon. Explanatory research aids in the development of new theories as well as the validation or improvement of established ones by methodically examining the links between variables. Advanced statistical methods like regression analysis, structural equation modelling, or multilevel modelling are frequently used in explanatory research designs.</w:t>
      </w:r>
    </w:p>
    <w:p w14:paraId="157680C4"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3.2.3 Experimental Design</w:t>
      </w:r>
      <w:bookmarkStart w:id="24" w:name="_Toc167905269"/>
      <w:bookmarkEnd w:id="23"/>
    </w:p>
    <w:p w14:paraId="5BA5523C" w14:textId="1AF71F3F" w:rsidR="0085510F" w:rsidRPr="00BA3DD5" w:rsidRDefault="0085510F" w:rsidP="00BA3DD5">
      <w:pPr>
        <w:spacing w:before="100" w:beforeAutospacing="1" w:after="100" w:afterAutospacing="1"/>
        <w:jc w:val="both"/>
        <w:rPr>
          <w:rFonts w:eastAsia="Times New Roman" w:cs="Times New Roman"/>
          <w:szCs w:val="24"/>
        </w:rPr>
      </w:pPr>
      <w:r w:rsidRPr="0085510F">
        <w:rPr>
          <w:rFonts w:ascii="Arial" w:eastAsia="Times New Roman" w:hAnsi="Arial" w:cs="Arial"/>
        </w:rPr>
        <w:t>The researcher's experimental design is appropriate for this research topic since it allows for the systematic manipulation of variables and the examination of cause-and-effect linkages. This methodology allows for the study of specific initiatives or improvements in fraud and error detection within a controlled setting, as well as the impact on detection outcomes.</w:t>
      </w:r>
    </w:p>
    <w:p w14:paraId="4036DF5A" w14:textId="4FE69314"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lastRenderedPageBreak/>
        <w:t>3.3 Research Approach</w:t>
      </w:r>
      <w:bookmarkEnd w:id="24"/>
    </w:p>
    <w:p w14:paraId="142352F2" w14:textId="77777777" w:rsidR="00F66375" w:rsidRPr="00F66375" w:rsidRDefault="00F66375" w:rsidP="00A25A15">
      <w:pPr>
        <w:pStyle w:val="Heading2"/>
        <w:spacing w:before="100" w:beforeAutospacing="1" w:after="100" w:afterAutospacing="1"/>
        <w:jc w:val="both"/>
        <w:rPr>
          <w:rFonts w:ascii="Arial" w:hAnsi="Arial" w:cs="Arial"/>
          <w:sz w:val="20"/>
          <w:szCs w:val="20"/>
        </w:rPr>
      </w:pPr>
      <w:bookmarkStart w:id="25" w:name="_Toc167905270"/>
      <w:r w:rsidRPr="00F66375">
        <w:rPr>
          <w:rFonts w:ascii="Arial" w:hAnsi="Arial" w:cs="Arial"/>
          <w:sz w:val="20"/>
          <w:szCs w:val="20"/>
        </w:rPr>
        <w:t>3.3.1 Quantitative Approach</w:t>
      </w:r>
      <w:bookmarkEnd w:id="25"/>
      <w:r w:rsidRPr="00F66375">
        <w:rPr>
          <w:rFonts w:ascii="Arial" w:hAnsi="Arial" w:cs="Arial"/>
          <w:sz w:val="20"/>
          <w:szCs w:val="20"/>
        </w:rPr>
        <w:t xml:space="preserve"> </w:t>
      </w:r>
    </w:p>
    <w:p w14:paraId="2EAC41C1" w14:textId="5657F104" w:rsidR="0085510F" w:rsidRDefault="0085510F" w:rsidP="00A25A15">
      <w:pPr>
        <w:pStyle w:val="Heading2"/>
        <w:spacing w:before="100" w:beforeAutospacing="1" w:after="100" w:afterAutospacing="1"/>
        <w:jc w:val="both"/>
        <w:rPr>
          <w:rFonts w:ascii="Arial" w:eastAsia="Times New Roman" w:hAnsi="Arial" w:cs="Arial"/>
          <w:b w:val="0"/>
          <w:bCs w:val="0"/>
          <w:sz w:val="20"/>
          <w:szCs w:val="20"/>
        </w:rPr>
      </w:pPr>
      <w:bookmarkStart w:id="26" w:name="_Toc167905271"/>
      <w:r w:rsidRPr="0085510F">
        <w:rPr>
          <w:rFonts w:ascii="Arial" w:eastAsia="Times New Roman" w:hAnsi="Arial" w:cs="Arial"/>
          <w:b w:val="0"/>
          <w:bCs w:val="0"/>
          <w:sz w:val="20"/>
          <w:szCs w:val="20"/>
        </w:rPr>
        <w:t>Quantitative research involves the collection and analysis of numerical data, which involves quantifying the size, extent, and frequency of occurrences. It is easily understood and well-structured, and the results may be gathered and presented statistically without being complicated. A quantitative methodology was applied to show the results in the form of tables and graphs.</w:t>
      </w:r>
    </w:p>
    <w:p w14:paraId="50B29810" w14:textId="3180A0F9"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t>3.3.2 Data Sources</w:t>
      </w:r>
      <w:bookmarkEnd w:id="26"/>
      <w:r w:rsidRPr="00F66375">
        <w:rPr>
          <w:rFonts w:ascii="Arial" w:eastAsia="Times New Roman" w:hAnsi="Arial" w:cs="Arial"/>
          <w:sz w:val="20"/>
          <w:szCs w:val="20"/>
        </w:rPr>
        <w:t xml:space="preserve"> </w:t>
      </w:r>
    </w:p>
    <w:p w14:paraId="01D20755" w14:textId="77777777" w:rsidR="0085510F" w:rsidRDefault="0085510F" w:rsidP="00A25A15">
      <w:pPr>
        <w:pStyle w:val="Heading2"/>
        <w:spacing w:before="100" w:beforeAutospacing="1" w:after="100" w:afterAutospacing="1"/>
        <w:jc w:val="both"/>
        <w:rPr>
          <w:rFonts w:ascii="Arial" w:eastAsia="Times New Roman" w:hAnsi="Arial" w:cs="Arial"/>
          <w:b w:val="0"/>
          <w:bCs w:val="0"/>
          <w:sz w:val="20"/>
          <w:szCs w:val="20"/>
        </w:rPr>
      </w:pPr>
      <w:bookmarkStart w:id="27" w:name="_Toc167905272"/>
      <w:r w:rsidRPr="0085510F">
        <w:rPr>
          <w:rFonts w:ascii="Arial" w:eastAsia="Times New Roman" w:hAnsi="Arial" w:cs="Arial"/>
          <w:b w:val="0"/>
          <w:bCs w:val="0"/>
          <w:sz w:val="20"/>
          <w:szCs w:val="20"/>
        </w:rPr>
        <w:t>Direct access to the original source constitutes a primary data source. The data sources classified as secondary were gathered by another party and made publicly available. The researcher will analyze primary data sources in this research.</w:t>
      </w:r>
    </w:p>
    <w:p w14:paraId="508C7E13" w14:textId="0DC9626F"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t>3.3.3 Primary Data</w:t>
      </w:r>
      <w:bookmarkEnd w:id="27"/>
      <w:r w:rsidRPr="00F66375">
        <w:rPr>
          <w:rFonts w:ascii="Arial" w:eastAsia="Times New Roman" w:hAnsi="Arial" w:cs="Arial"/>
          <w:sz w:val="20"/>
          <w:szCs w:val="20"/>
        </w:rPr>
        <w:t xml:space="preserve"> </w:t>
      </w:r>
    </w:p>
    <w:p w14:paraId="62F28864" w14:textId="019B9687" w:rsidR="0085510F" w:rsidRPr="0085510F" w:rsidRDefault="0085510F" w:rsidP="00A25A15">
      <w:pPr>
        <w:spacing w:before="100" w:beforeAutospacing="1" w:after="100" w:afterAutospacing="1"/>
        <w:jc w:val="both"/>
        <w:rPr>
          <w:rFonts w:eastAsia="Times New Roman" w:cs="Times New Roman"/>
          <w:szCs w:val="24"/>
        </w:rPr>
      </w:pPr>
      <w:r w:rsidRPr="0085510F">
        <w:rPr>
          <w:rFonts w:eastAsia="Times New Roman" w:cs="Times New Roman"/>
          <w:szCs w:val="24"/>
        </w:rPr>
        <w:t>Primary data sources provide researchers with an opportunity to obtain new and unprocessed data straight from the source. For example, a researcher may decide to interview or study particular people, companies, or groups. Important instances of primary data sources are surveys and interviews. Primary data sources are useful for research as they provide relevant and accurate data for specific studies.</w:t>
      </w:r>
    </w:p>
    <w:p w14:paraId="4B0024A6" w14:textId="5F8AD0D7" w:rsidR="00BA3DD5" w:rsidRPr="00BA3DD5" w:rsidRDefault="00F66375" w:rsidP="00BA3DD5">
      <w:pPr>
        <w:spacing w:before="100" w:beforeAutospacing="1" w:after="100" w:afterAutospacing="1"/>
        <w:jc w:val="both"/>
        <w:rPr>
          <w:rFonts w:ascii="Arial" w:eastAsia="Times New Roman" w:hAnsi="Arial" w:cs="Arial"/>
          <w:b/>
          <w:bCs/>
        </w:rPr>
      </w:pPr>
      <w:bookmarkStart w:id="28" w:name="_Toc167905273"/>
      <w:r w:rsidRPr="00BA3DD5">
        <w:rPr>
          <w:rFonts w:ascii="Arial" w:eastAsia="Times New Roman" w:hAnsi="Arial" w:cs="Arial"/>
          <w:b/>
          <w:bCs/>
        </w:rPr>
        <w:t>3.4 Study Population</w:t>
      </w:r>
      <w:bookmarkEnd w:id="28"/>
      <w:r w:rsidRPr="00BA3DD5">
        <w:rPr>
          <w:rFonts w:ascii="Arial" w:eastAsia="Times New Roman" w:hAnsi="Arial" w:cs="Arial"/>
          <w:b/>
          <w:bCs/>
        </w:rPr>
        <w:t xml:space="preserve"> </w:t>
      </w:r>
      <w:bookmarkStart w:id="29" w:name="_Toc167905274"/>
    </w:p>
    <w:p w14:paraId="402A71B3" w14:textId="77777777" w:rsid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3.4.1 Target Population</w:t>
      </w:r>
      <w:bookmarkEnd w:id="29"/>
      <w:r w:rsidRPr="00BA3DD5">
        <w:rPr>
          <w:rFonts w:ascii="Arial" w:eastAsia="Times New Roman" w:hAnsi="Arial" w:cs="Arial"/>
          <w:b/>
          <w:bCs/>
        </w:rPr>
        <w:t xml:space="preserve"> </w:t>
      </w:r>
      <w:bookmarkStart w:id="30" w:name="_Toc167905275"/>
    </w:p>
    <w:p w14:paraId="2A3742DD" w14:textId="77777777" w:rsidR="00BA3DD5" w:rsidRDefault="0085510F" w:rsidP="00BA3DD5">
      <w:pPr>
        <w:spacing w:before="100" w:beforeAutospacing="1" w:after="100" w:afterAutospacing="1"/>
        <w:jc w:val="both"/>
      </w:pPr>
      <w:r w:rsidRPr="0085510F">
        <w:t>The term "target population" describes the group of people or things that a given program or intervention is intended to help with a specific problem or</w:t>
      </w:r>
      <w:r w:rsidRPr="00BA3DD5">
        <w:t xml:space="preserve"> need.</w:t>
      </w:r>
      <w:r w:rsidRPr="0085510F">
        <w:t xml:space="preserve"> Focusing on particular groups enables effective use of resources in addition to tight budgets to achieve the intended results. Identifying and defining the target population is crucial prior to implementing any program or intervention. The U.S. Banking sector information technology audit systems with their employees as well as other relevant parties impacted by the study, such as information technology auditors, were the target group in this instance.</w:t>
      </w:r>
    </w:p>
    <w:p w14:paraId="6DE48E12"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3.4.2 Sample Population</w:t>
      </w:r>
      <w:bookmarkEnd w:id="30"/>
      <w:r w:rsidRPr="00BA3DD5">
        <w:rPr>
          <w:rFonts w:ascii="Arial" w:eastAsia="Times New Roman" w:hAnsi="Arial" w:cs="Arial"/>
          <w:b/>
          <w:bCs/>
        </w:rPr>
        <w:t xml:space="preserve"> </w:t>
      </w:r>
      <w:bookmarkStart w:id="31" w:name="_Toc167905276"/>
    </w:p>
    <w:p w14:paraId="6A9A7EA3" w14:textId="77777777" w:rsidR="00BA3DD5" w:rsidRDefault="0085510F" w:rsidP="00BA3DD5">
      <w:pPr>
        <w:spacing w:before="100" w:beforeAutospacing="1" w:after="100" w:afterAutospacing="1"/>
        <w:jc w:val="both"/>
        <w:rPr>
          <w:rFonts w:eastAsia="Times New Roman" w:cs="Times New Roman"/>
          <w:szCs w:val="24"/>
        </w:rPr>
      </w:pPr>
      <w:r w:rsidRPr="0085510F">
        <w:rPr>
          <w:rFonts w:eastAsia="Times New Roman" w:cs="Times New Roman"/>
          <w:szCs w:val="24"/>
        </w:rPr>
        <w:t xml:space="preserve">A sample population is a subset of people chosen to represent the whole population of interest in a particular study </w:t>
      </w:r>
      <w:sdt>
        <w:sdtPr>
          <w:rPr>
            <w:rFonts w:eastAsia="Times New Roman" w:cs="Times New Roman"/>
            <w:b/>
            <w:bCs/>
            <w:szCs w:val="24"/>
          </w:rPr>
          <w:id w:val="-638641601"/>
          <w:citation/>
        </w:sdtPr>
        <w:sdtEndPr/>
        <w:sdtContent>
          <w:r w:rsidR="00D17E06" w:rsidRPr="00D17E06">
            <w:rPr>
              <w:rFonts w:eastAsia="Times New Roman" w:cs="Times New Roman"/>
              <w:b/>
              <w:bCs/>
              <w:szCs w:val="24"/>
            </w:rPr>
            <w:fldChar w:fldCharType="begin"/>
          </w:r>
          <w:r w:rsidR="00D17E06" w:rsidRPr="00D17E06">
            <w:rPr>
              <w:rFonts w:eastAsia="Times New Roman" w:cs="Times New Roman"/>
              <w:b/>
              <w:bCs/>
              <w:szCs w:val="24"/>
              <w:lang w:val="en-ZW"/>
            </w:rPr>
            <w:instrText xml:space="preserve">CITATION RSe21 \l 12297 </w:instrText>
          </w:r>
          <w:r w:rsidR="00D17E06" w:rsidRPr="00D17E06">
            <w:rPr>
              <w:rFonts w:eastAsia="Times New Roman" w:cs="Times New Roman"/>
              <w:b/>
              <w:bCs/>
              <w:szCs w:val="24"/>
            </w:rPr>
            <w:fldChar w:fldCharType="separate"/>
          </w:r>
          <w:r w:rsidR="00D17E06" w:rsidRPr="00D17E06">
            <w:rPr>
              <w:rFonts w:eastAsia="Times New Roman" w:cs="Times New Roman"/>
              <w:noProof/>
              <w:szCs w:val="24"/>
              <w:lang w:val="en-ZW"/>
            </w:rPr>
            <w:t>(Sekaran, 2021)</w:t>
          </w:r>
          <w:r w:rsidR="00D17E06" w:rsidRPr="00D17E06">
            <w:rPr>
              <w:rFonts w:eastAsia="Times New Roman" w:cs="Times New Roman"/>
              <w:b/>
              <w:bCs/>
              <w:szCs w:val="24"/>
            </w:rPr>
            <w:fldChar w:fldCharType="end"/>
          </w:r>
        </w:sdtContent>
      </w:sdt>
      <w:r w:rsidRPr="0085510F">
        <w:rPr>
          <w:rFonts w:eastAsia="Times New Roman" w:cs="Times New Roman"/>
          <w:szCs w:val="24"/>
        </w:rPr>
        <w:t>. The main organizations in charge of identifying and stopping fraud and mistakes in their operations are banks and other financial organizations which is the sample population. They have established specialized divisions, protocols, and mechanisms to oversee transactions, detect questionable behavior, and reduce potential hazards. Banking professionals and fraud experts are an appropriate sample demographic for the research topic of improving fraud and mistake detection in banks. This sample group can give useful information on existing procedures, issues, and prospective solutions for fraud and error detection in the banking business. Specialized knowledge and expertise in the field of fraud and error detection are possessed by banking professionals and fraud experts. They've worked on fraud situations in the real world, putting detection mechanisms in place and creating risk-reduction plans.</w:t>
      </w:r>
    </w:p>
    <w:p w14:paraId="36B58C32"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w:t>
      </w:r>
      <w:r w:rsidRPr="00BA3DD5">
        <w:rPr>
          <w:rFonts w:ascii="Arial" w:hAnsi="Arial" w:cs="Arial"/>
          <w:b/>
          <w:bCs/>
        </w:rPr>
        <w:t xml:space="preserve"> </w:t>
      </w:r>
      <w:r w:rsidRPr="00BA3DD5">
        <w:rPr>
          <w:rFonts w:ascii="Arial" w:eastAsia="Times New Roman" w:hAnsi="Arial" w:cs="Arial"/>
          <w:b/>
          <w:bCs/>
        </w:rPr>
        <w:t>5 Sampling Method</w:t>
      </w:r>
      <w:bookmarkEnd w:id="31"/>
      <w:r w:rsidRPr="00BA3DD5">
        <w:rPr>
          <w:rFonts w:ascii="Arial" w:eastAsia="Times New Roman" w:hAnsi="Arial" w:cs="Arial"/>
          <w:b/>
          <w:bCs/>
        </w:rPr>
        <w:t xml:space="preserve"> </w:t>
      </w:r>
      <w:bookmarkStart w:id="32" w:name="_Toc167905277"/>
    </w:p>
    <w:p w14:paraId="08E2A800" w14:textId="77777777" w:rsidR="00BA3DD5" w:rsidRPr="00BA3DD5" w:rsidRDefault="00F66375" w:rsidP="00BA3DD5">
      <w:pPr>
        <w:spacing w:before="100" w:beforeAutospacing="1" w:after="100" w:afterAutospacing="1"/>
        <w:jc w:val="both"/>
        <w:rPr>
          <w:rFonts w:ascii="Arial" w:eastAsia="Times New Roman" w:hAnsi="Arial" w:cs="Arial"/>
          <w:b/>
          <w:bCs/>
        </w:rPr>
      </w:pPr>
      <w:r w:rsidRPr="00BA3DD5">
        <w:rPr>
          <w:rFonts w:ascii="Arial" w:eastAsia="Times New Roman" w:hAnsi="Arial" w:cs="Arial"/>
          <w:b/>
          <w:bCs/>
        </w:rPr>
        <w:t>3.5.1</w:t>
      </w:r>
      <w:r w:rsidRPr="00BA3DD5">
        <w:rPr>
          <w:rFonts w:ascii="Arial" w:hAnsi="Arial" w:cs="Arial"/>
          <w:b/>
          <w:bCs/>
        </w:rPr>
        <w:t xml:space="preserve"> </w:t>
      </w:r>
      <w:r w:rsidRPr="00BA3DD5">
        <w:rPr>
          <w:rFonts w:ascii="Arial" w:eastAsia="Times New Roman" w:hAnsi="Arial" w:cs="Arial"/>
          <w:b/>
          <w:bCs/>
        </w:rPr>
        <w:t>Stratified Sampling</w:t>
      </w:r>
      <w:bookmarkStart w:id="33" w:name="_Toc167905278"/>
      <w:bookmarkEnd w:id="32"/>
    </w:p>
    <w:p w14:paraId="08807D7D" w14:textId="66092BD0" w:rsidR="0085510F" w:rsidRPr="00BA3DD5" w:rsidRDefault="0085510F" w:rsidP="00BA3DD5">
      <w:pPr>
        <w:spacing w:before="100" w:beforeAutospacing="1" w:after="100" w:afterAutospacing="1"/>
        <w:jc w:val="both"/>
        <w:rPr>
          <w:rFonts w:ascii="Arial" w:eastAsia="Times New Roman" w:hAnsi="Arial" w:cs="Arial"/>
          <w:b/>
          <w:bCs/>
        </w:rPr>
      </w:pPr>
      <w:r w:rsidRPr="0085510F">
        <w:rPr>
          <w:rFonts w:eastAsia="Times New Roman" w:cs="Times New Roman"/>
          <w:szCs w:val="24"/>
        </w:rPr>
        <w:t xml:space="preserve">Using stratified sampling, the population (banks and financial institutions, for example) is divided into discrete subgroups or strata according to pertinent attributes (size, location, services provided, etc.). A representative sample of banks can be chosen from each stratum. This methodology guarantees that the </w:t>
      </w:r>
      <w:r w:rsidRPr="0085510F">
        <w:rPr>
          <w:rFonts w:eastAsia="Times New Roman" w:cs="Times New Roman"/>
          <w:szCs w:val="24"/>
        </w:rPr>
        <w:lastRenderedPageBreak/>
        <w:t>sample comprises a proportionate representation from diverse subgroups, hence facilitating a thorough comprehension of fraud and error detection strategies across many banking business segments. Stratified sampling makes it possible to include a variety of banks and financial organizations in the sample; it is appropriate for the research topic. You can adjust for differences in size, location, and company emphasis by choosing banks from various strata. This makes your study findings more externally valid and gives you insights that may be used to many kinds of banks. Additionally, stratified sampling lowers sampling bias by guaranteeing that the sample fairly represents the population.</w:t>
      </w:r>
    </w:p>
    <w:p w14:paraId="3D96C2A1" w14:textId="5E3092E7"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t>3.5.1 Random Sampling</w:t>
      </w:r>
      <w:bookmarkEnd w:id="33"/>
    </w:p>
    <w:p w14:paraId="1EE8AF80" w14:textId="7705FAB2" w:rsidR="0085510F" w:rsidRDefault="0085510F" w:rsidP="00A25A15">
      <w:pPr>
        <w:pStyle w:val="Heading2"/>
        <w:spacing w:before="100" w:beforeAutospacing="1" w:after="100" w:afterAutospacing="1"/>
        <w:jc w:val="both"/>
        <w:rPr>
          <w:rFonts w:eastAsia="Times New Roman" w:cs="Times New Roman"/>
          <w:b w:val="0"/>
          <w:bCs w:val="0"/>
          <w:sz w:val="20"/>
          <w:szCs w:val="24"/>
        </w:rPr>
      </w:pPr>
      <w:bookmarkStart w:id="34" w:name="_Toc167905279"/>
      <w:r w:rsidRPr="0085510F">
        <w:rPr>
          <w:rFonts w:eastAsia="Times New Roman" w:cs="Times New Roman"/>
          <w:b w:val="0"/>
          <w:bCs w:val="0"/>
          <w:sz w:val="20"/>
          <w:szCs w:val="24"/>
        </w:rPr>
        <w:t xml:space="preserve">Random sampling is the process of choosing individuals at random, without the use of prejudice or present criteria, from the population, banks and financial organizations. Every bank has an equal chance of being a part of the sample thanks to this technique. Random sampling lowers the possibility of systematic bias and permits statistical inferences about the greater population of banks, it permits generalizability </w:t>
      </w:r>
      <w:sdt>
        <w:sdtPr>
          <w:rPr>
            <w:rFonts w:eastAsia="Times New Roman" w:cs="Times New Roman"/>
            <w:b w:val="0"/>
            <w:bCs w:val="0"/>
            <w:sz w:val="20"/>
            <w:szCs w:val="24"/>
          </w:rPr>
          <w:id w:val="-130717666"/>
          <w:citation/>
        </w:sdtPr>
        <w:sdtEndPr/>
        <w:sdtContent>
          <w:r w:rsidR="00D17E06" w:rsidRPr="00BA3DD5">
            <w:rPr>
              <w:rFonts w:eastAsia="Times New Roman" w:cs="Times New Roman"/>
              <w:b w:val="0"/>
              <w:bCs w:val="0"/>
              <w:sz w:val="20"/>
              <w:szCs w:val="24"/>
            </w:rPr>
            <w:fldChar w:fldCharType="begin"/>
          </w:r>
          <w:r w:rsidR="00D17E06" w:rsidRPr="00BA3DD5">
            <w:rPr>
              <w:rFonts w:eastAsia="Times New Roman" w:cs="Times New Roman"/>
              <w:b w:val="0"/>
              <w:bCs w:val="0"/>
              <w:sz w:val="20"/>
              <w:szCs w:val="24"/>
              <w:lang w:val="en-ZW"/>
            </w:rPr>
            <w:instrText xml:space="preserve"> CITATION RKu19 \l 12297 </w:instrText>
          </w:r>
          <w:r w:rsidR="00D17E06" w:rsidRPr="00BA3DD5">
            <w:rPr>
              <w:rFonts w:eastAsia="Times New Roman" w:cs="Times New Roman"/>
              <w:b w:val="0"/>
              <w:bCs w:val="0"/>
              <w:sz w:val="20"/>
              <w:szCs w:val="24"/>
            </w:rPr>
            <w:fldChar w:fldCharType="separate"/>
          </w:r>
          <w:r w:rsidR="00D17E06" w:rsidRPr="00BA3DD5">
            <w:rPr>
              <w:rFonts w:eastAsia="Times New Roman" w:cs="Times New Roman"/>
              <w:b w:val="0"/>
              <w:bCs w:val="0"/>
              <w:noProof/>
              <w:sz w:val="20"/>
              <w:szCs w:val="24"/>
              <w:lang w:val="en-ZW"/>
            </w:rPr>
            <w:t>(Kumar, 2019)</w:t>
          </w:r>
          <w:r w:rsidR="00D17E06" w:rsidRPr="00BA3DD5">
            <w:rPr>
              <w:rFonts w:eastAsia="Times New Roman" w:cs="Times New Roman"/>
              <w:b w:val="0"/>
              <w:bCs w:val="0"/>
              <w:sz w:val="20"/>
              <w:szCs w:val="24"/>
            </w:rPr>
            <w:fldChar w:fldCharType="end"/>
          </w:r>
        </w:sdtContent>
      </w:sdt>
      <w:r w:rsidRPr="0085510F">
        <w:rPr>
          <w:rFonts w:eastAsia="Times New Roman" w:cs="Times New Roman"/>
          <w:b w:val="0"/>
          <w:bCs w:val="0"/>
          <w:sz w:val="20"/>
          <w:szCs w:val="24"/>
        </w:rPr>
        <w:t>. Random sampling is relevant to the research topic because it ensures a fair and unbiased representation of banks and financial organizations. By selecting participants at random, you can create a sample that corresponds to the typical of bank employees as a whole. This improves the external validity of your study findings, allowing you to make generalizations and draw conclusions that apply to a wider range of banks. Random sampling also helps statistical analysis and allows for the assessment of the prevalence and effectiveness of various fraud and error detection measures.</w:t>
      </w:r>
    </w:p>
    <w:p w14:paraId="5C2E0153" w14:textId="4FB99DD4" w:rsidR="00F66375" w:rsidRPr="00F66375" w:rsidRDefault="00F66375" w:rsidP="00A25A15">
      <w:pPr>
        <w:pStyle w:val="Heading2"/>
        <w:spacing w:before="100" w:beforeAutospacing="1" w:after="100" w:afterAutospacing="1"/>
        <w:jc w:val="both"/>
        <w:rPr>
          <w:rFonts w:ascii="Arial" w:eastAsia="Times New Roman" w:hAnsi="Arial" w:cs="Arial"/>
          <w:sz w:val="20"/>
          <w:szCs w:val="20"/>
        </w:rPr>
      </w:pPr>
      <w:r w:rsidRPr="00F66375">
        <w:rPr>
          <w:rFonts w:ascii="Arial" w:eastAsia="Times New Roman" w:hAnsi="Arial" w:cs="Arial"/>
          <w:sz w:val="20"/>
          <w:szCs w:val="20"/>
        </w:rPr>
        <w:t>3.6 Sample size</w:t>
      </w:r>
      <w:bookmarkEnd w:id="34"/>
    </w:p>
    <w:p w14:paraId="51E037AB" w14:textId="77777777" w:rsidR="0085510F" w:rsidRDefault="0085510F" w:rsidP="00A25A15">
      <w:pPr>
        <w:spacing w:before="100" w:beforeAutospacing="1" w:after="100" w:afterAutospacing="1"/>
        <w:jc w:val="both"/>
        <w:rPr>
          <w:highlight w:val="white"/>
        </w:rPr>
      </w:pPr>
      <w:r>
        <w:rPr>
          <w:highlight w:val="white"/>
        </w:rPr>
        <w:t>The research table below displays the sample size of this study. This study has 50 people in its sample. This was sampled against a total population of 65 participants. The researcher used this sample size for ease of use and to make sure the data being collected could be handled and there was a significant number of participants from banks and financial institutions</w:t>
      </w:r>
    </w:p>
    <w:p w14:paraId="6E96B776" w14:textId="54A106CF" w:rsidR="005535B8" w:rsidRPr="00922547" w:rsidRDefault="00F66375" w:rsidP="00A25A15">
      <w:pPr>
        <w:spacing w:before="100" w:beforeAutospacing="1" w:after="100" w:afterAutospacing="1"/>
        <w:jc w:val="both"/>
      </w:pPr>
      <w:r w:rsidRPr="00922547">
        <w:t xml:space="preserve">Table </w:t>
      </w:r>
      <w:r w:rsidR="00455F14">
        <w:t>1</w:t>
      </w:r>
      <w:r w:rsidRPr="00922547">
        <w:t xml:space="preserve">: Research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2143"/>
        <w:gridCol w:w="1633"/>
      </w:tblGrid>
      <w:tr w:rsidR="00F66375" w:rsidRPr="00044403" w14:paraId="698519A0" w14:textId="77777777" w:rsidTr="00FE0480">
        <w:trPr>
          <w:trHeight w:val="774"/>
        </w:trPr>
        <w:tc>
          <w:tcPr>
            <w:tcW w:w="3256" w:type="dxa"/>
          </w:tcPr>
          <w:p w14:paraId="2C6C4AEA"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Research Target</w:t>
            </w:r>
          </w:p>
        </w:tc>
        <w:tc>
          <w:tcPr>
            <w:tcW w:w="1984" w:type="dxa"/>
          </w:tcPr>
          <w:p w14:paraId="5182B16C"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Total Population</w:t>
            </w:r>
          </w:p>
        </w:tc>
        <w:tc>
          <w:tcPr>
            <w:tcW w:w="2143" w:type="dxa"/>
          </w:tcPr>
          <w:p w14:paraId="1DDD61D7" w14:textId="11C4A17D"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Sampl</w:t>
            </w:r>
            <w:r w:rsidR="00044403" w:rsidRPr="00044403">
              <w:rPr>
                <w:rFonts w:ascii="Arial" w:eastAsia="Times New Roman" w:hAnsi="Arial" w:cs="Arial"/>
                <w:b/>
                <w:szCs w:val="24"/>
              </w:rPr>
              <w:t>e</w:t>
            </w:r>
            <w:r w:rsidRPr="00044403">
              <w:rPr>
                <w:rFonts w:ascii="Arial" w:eastAsia="Times New Roman" w:hAnsi="Arial" w:cs="Arial"/>
                <w:b/>
                <w:szCs w:val="24"/>
              </w:rPr>
              <w:t xml:space="preserve"> Population</w:t>
            </w:r>
          </w:p>
        </w:tc>
        <w:tc>
          <w:tcPr>
            <w:tcW w:w="1633" w:type="dxa"/>
          </w:tcPr>
          <w:p w14:paraId="50FF3445"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Sample %</w:t>
            </w:r>
          </w:p>
        </w:tc>
      </w:tr>
      <w:tr w:rsidR="00F66375" w:rsidRPr="00044403" w14:paraId="37C526E4" w14:textId="77777777" w:rsidTr="00FE0480">
        <w:trPr>
          <w:trHeight w:val="1062"/>
        </w:trPr>
        <w:tc>
          <w:tcPr>
            <w:tcW w:w="3256" w:type="dxa"/>
          </w:tcPr>
          <w:p w14:paraId="3234F1CF"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Management</w:t>
            </w:r>
          </w:p>
        </w:tc>
        <w:tc>
          <w:tcPr>
            <w:tcW w:w="1984" w:type="dxa"/>
          </w:tcPr>
          <w:p w14:paraId="342D4E25"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10</w:t>
            </w:r>
          </w:p>
        </w:tc>
        <w:tc>
          <w:tcPr>
            <w:tcW w:w="2143" w:type="dxa"/>
          </w:tcPr>
          <w:p w14:paraId="491BA0E8"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7</w:t>
            </w:r>
          </w:p>
        </w:tc>
        <w:tc>
          <w:tcPr>
            <w:tcW w:w="1633" w:type="dxa"/>
          </w:tcPr>
          <w:p w14:paraId="43F8B85A"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70%</w:t>
            </w:r>
          </w:p>
        </w:tc>
      </w:tr>
      <w:tr w:rsidR="00F66375" w:rsidRPr="00044403" w14:paraId="5E73FD74" w14:textId="77777777" w:rsidTr="00FE0480">
        <w:trPr>
          <w:trHeight w:val="900"/>
        </w:trPr>
        <w:tc>
          <w:tcPr>
            <w:tcW w:w="3256" w:type="dxa"/>
          </w:tcPr>
          <w:p w14:paraId="2171DCA3"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IT Auditors</w:t>
            </w:r>
          </w:p>
        </w:tc>
        <w:tc>
          <w:tcPr>
            <w:tcW w:w="1984" w:type="dxa"/>
          </w:tcPr>
          <w:p w14:paraId="282A0A98"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20</w:t>
            </w:r>
          </w:p>
        </w:tc>
        <w:tc>
          <w:tcPr>
            <w:tcW w:w="2143" w:type="dxa"/>
          </w:tcPr>
          <w:p w14:paraId="6FE53797"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20</w:t>
            </w:r>
          </w:p>
        </w:tc>
        <w:tc>
          <w:tcPr>
            <w:tcW w:w="1633" w:type="dxa"/>
          </w:tcPr>
          <w:p w14:paraId="47929BE8"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100%</w:t>
            </w:r>
          </w:p>
        </w:tc>
      </w:tr>
      <w:tr w:rsidR="00F66375" w:rsidRPr="00044403" w14:paraId="21F84F50" w14:textId="77777777" w:rsidTr="00FE0480">
        <w:trPr>
          <w:trHeight w:val="772"/>
        </w:trPr>
        <w:tc>
          <w:tcPr>
            <w:tcW w:w="3256" w:type="dxa"/>
          </w:tcPr>
          <w:p w14:paraId="22CF33BE"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Employees</w:t>
            </w:r>
          </w:p>
        </w:tc>
        <w:tc>
          <w:tcPr>
            <w:tcW w:w="1984" w:type="dxa"/>
          </w:tcPr>
          <w:p w14:paraId="0200C962"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15</w:t>
            </w:r>
          </w:p>
        </w:tc>
        <w:tc>
          <w:tcPr>
            <w:tcW w:w="2143" w:type="dxa"/>
          </w:tcPr>
          <w:p w14:paraId="733A6168"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11</w:t>
            </w:r>
          </w:p>
        </w:tc>
        <w:tc>
          <w:tcPr>
            <w:tcW w:w="1633" w:type="dxa"/>
          </w:tcPr>
          <w:p w14:paraId="21B7C474"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73%</w:t>
            </w:r>
          </w:p>
        </w:tc>
      </w:tr>
      <w:tr w:rsidR="00F66375" w:rsidRPr="00044403" w14:paraId="4C08012B" w14:textId="77777777" w:rsidTr="00FE0480">
        <w:trPr>
          <w:trHeight w:val="1046"/>
        </w:trPr>
        <w:tc>
          <w:tcPr>
            <w:tcW w:w="3256" w:type="dxa"/>
          </w:tcPr>
          <w:p w14:paraId="4E077A3E"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Internal Auditors</w:t>
            </w:r>
          </w:p>
        </w:tc>
        <w:tc>
          <w:tcPr>
            <w:tcW w:w="1984" w:type="dxa"/>
          </w:tcPr>
          <w:p w14:paraId="0FE96F9F"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20</w:t>
            </w:r>
          </w:p>
        </w:tc>
        <w:tc>
          <w:tcPr>
            <w:tcW w:w="2143" w:type="dxa"/>
          </w:tcPr>
          <w:p w14:paraId="096BEB1A"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12</w:t>
            </w:r>
          </w:p>
        </w:tc>
        <w:tc>
          <w:tcPr>
            <w:tcW w:w="1633" w:type="dxa"/>
          </w:tcPr>
          <w:p w14:paraId="0C26EABD"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60%</w:t>
            </w:r>
          </w:p>
        </w:tc>
      </w:tr>
      <w:tr w:rsidR="00F66375" w:rsidRPr="00044403" w14:paraId="4468E31C" w14:textId="77777777" w:rsidTr="00FE0480">
        <w:trPr>
          <w:trHeight w:val="1049"/>
        </w:trPr>
        <w:tc>
          <w:tcPr>
            <w:tcW w:w="3256" w:type="dxa"/>
          </w:tcPr>
          <w:p w14:paraId="6A21A469"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eastAsia="Times New Roman" w:hAnsi="Arial" w:cs="Arial"/>
                <w:b/>
                <w:szCs w:val="24"/>
              </w:rPr>
              <w:t>Total</w:t>
            </w:r>
          </w:p>
        </w:tc>
        <w:tc>
          <w:tcPr>
            <w:tcW w:w="1984" w:type="dxa"/>
          </w:tcPr>
          <w:p w14:paraId="27AD4F86"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65</w:t>
            </w:r>
          </w:p>
        </w:tc>
        <w:tc>
          <w:tcPr>
            <w:tcW w:w="2143" w:type="dxa"/>
          </w:tcPr>
          <w:p w14:paraId="3ED0996D" w14:textId="77777777" w:rsidR="00F66375" w:rsidRPr="00044403" w:rsidRDefault="00F66375" w:rsidP="00A25A15">
            <w:pPr>
              <w:spacing w:before="100" w:beforeAutospacing="1" w:after="100" w:afterAutospacing="1"/>
              <w:jc w:val="both"/>
              <w:rPr>
                <w:rFonts w:ascii="Arial" w:eastAsia="Times New Roman" w:hAnsi="Arial" w:cs="Arial"/>
                <w:b/>
                <w:szCs w:val="24"/>
              </w:rPr>
            </w:pPr>
            <w:r w:rsidRPr="00044403">
              <w:rPr>
                <w:rFonts w:ascii="Arial" w:hAnsi="Arial" w:cs="Arial"/>
              </w:rPr>
              <w:t xml:space="preserve"> 50</w:t>
            </w:r>
          </w:p>
        </w:tc>
        <w:tc>
          <w:tcPr>
            <w:tcW w:w="1633" w:type="dxa"/>
          </w:tcPr>
          <w:p w14:paraId="639ACAF4" w14:textId="77777777" w:rsidR="00F66375" w:rsidRPr="00044403" w:rsidRDefault="00F66375" w:rsidP="00A25A15">
            <w:pPr>
              <w:keepNext/>
              <w:spacing w:before="100" w:beforeAutospacing="1" w:after="100" w:afterAutospacing="1"/>
              <w:jc w:val="both"/>
              <w:rPr>
                <w:rFonts w:ascii="Arial" w:eastAsia="Times New Roman" w:hAnsi="Arial" w:cs="Arial"/>
                <w:b/>
                <w:szCs w:val="24"/>
              </w:rPr>
            </w:pPr>
            <w:r w:rsidRPr="00044403">
              <w:rPr>
                <w:rFonts w:ascii="Arial" w:hAnsi="Arial" w:cs="Arial"/>
              </w:rPr>
              <w:t xml:space="preserve"> 77%</w:t>
            </w:r>
          </w:p>
        </w:tc>
      </w:tr>
    </w:tbl>
    <w:p w14:paraId="3D60EF3D" w14:textId="16CF193E" w:rsidR="00F66375" w:rsidRPr="00BA3DD5" w:rsidRDefault="00F66375" w:rsidP="00BA3DD5">
      <w:pPr>
        <w:pStyle w:val="Caption"/>
        <w:spacing w:before="100" w:beforeAutospacing="1" w:after="100" w:afterAutospacing="1"/>
        <w:rPr>
          <w:rFonts w:ascii="Arial" w:hAnsi="Arial" w:cs="Arial"/>
          <w:color w:val="auto"/>
        </w:rPr>
      </w:pPr>
      <w:bookmarkStart w:id="35" w:name="_Toc167905280"/>
      <w:r w:rsidRPr="00BA3DD5">
        <w:rPr>
          <w:rFonts w:ascii="Arial" w:eastAsia="Times New Roman" w:hAnsi="Arial" w:cs="Arial"/>
          <w:color w:val="auto"/>
          <w:sz w:val="20"/>
          <w:szCs w:val="20"/>
        </w:rPr>
        <w:lastRenderedPageBreak/>
        <w:t>3.7 Research Instruments</w:t>
      </w:r>
      <w:bookmarkEnd w:id="35"/>
    </w:p>
    <w:p w14:paraId="4AC6CDB4" w14:textId="77777777" w:rsidR="00F66375" w:rsidRPr="00044403" w:rsidRDefault="00F66375" w:rsidP="00A25A15">
      <w:pPr>
        <w:pStyle w:val="Heading2"/>
        <w:spacing w:before="100" w:beforeAutospacing="1" w:after="100" w:afterAutospacing="1"/>
        <w:jc w:val="both"/>
        <w:rPr>
          <w:rFonts w:ascii="Arial" w:hAnsi="Arial" w:cs="Arial"/>
          <w:sz w:val="20"/>
          <w:szCs w:val="20"/>
        </w:rPr>
      </w:pPr>
      <w:bookmarkStart w:id="36" w:name="_Toc167905281"/>
      <w:r w:rsidRPr="00044403">
        <w:rPr>
          <w:rFonts w:ascii="Arial" w:hAnsi="Arial" w:cs="Arial"/>
          <w:sz w:val="20"/>
          <w:szCs w:val="20"/>
        </w:rPr>
        <w:t>3.7.1 Questionnaires</w:t>
      </w:r>
      <w:bookmarkEnd w:id="36"/>
    </w:p>
    <w:p w14:paraId="00CC59DC" w14:textId="42289EE2" w:rsidR="0058522C" w:rsidRDefault="0058522C" w:rsidP="00A25A15">
      <w:pPr>
        <w:pStyle w:val="Heading2"/>
        <w:spacing w:before="100" w:beforeAutospacing="1" w:after="100" w:afterAutospacing="1"/>
        <w:jc w:val="both"/>
        <w:rPr>
          <w:rFonts w:ascii="Arial" w:eastAsia="Times New Roman" w:hAnsi="Arial" w:cs="Arial"/>
          <w:b w:val="0"/>
          <w:bCs w:val="0"/>
          <w:sz w:val="20"/>
          <w:szCs w:val="24"/>
        </w:rPr>
      </w:pPr>
      <w:bookmarkStart w:id="37" w:name="_Toc167905285"/>
      <w:r w:rsidRPr="0058522C">
        <w:rPr>
          <w:rFonts w:ascii="Arial" w:eastAsia="Times New Roman" w:hAnsi="Arial" w:cs="Arial"/>
          <w:b w:val="0"/>
          <w:bCs w:val="0"/>
          <w:sz w:val="20"/>
          <w:szCs w:val="24"/>
        </w:rPr>
        <w:t>Research instruments a</w:t>
      </w:r>
      <w:r w:rsidR="00D17E06">
        <w:rPr>
          <w:rFonts w:ascii="Arial" w:eastAsia="Times New Roman" w:hAnsi="Arial" w:cs="Arial"/>
          <w:b w:val="0"/>
          <w:bCs w:val="0"/>
          <w:sz w:val="20"/>
          <w:szCs w:val="24"/>
        </w:rPr>
        <w:t>re</w:t>
      </w:r>
      <w:r w:rsidRPr="0058522C">
        <w:rPr>
          <w:rFonts w:ascii="Arial" w:eastAsia="Times New Roman" w:hAnsi="Arial" w:cs="Arial"/>
          <w:b w:val="0"/>
          <w:bCs w:val="0"/>
          <w:sz w:val="20"/>
          <w:szCs w:val="24"/>
        </w:rPr>
        <w:t xml:space="preserve"> strategies and processes that prepare researchers for their studies and collect data that is not readily available on public websites or published publications</w:t>
      </w:r>
      <w:sdt>
        <w:sdtPr>
          <w:rPr>
            <w:rFonts w:ascii="Arial" w:eastAsia="Times New Roman" w:hAnsi="Arial" w:cs="Arial"/>
            <w:b w:val="0"/>
            <w:bCs w:val="0"/>
            <w:sz w:val="20"/>
            <w:szCs w:val="24"/>
          </w:rPr>
          <w:id w:val="1846749299"/>
          <w:citation/>
        </w:sdtPr>
        <w:sdtEndPr/>
        <w:sdtContent>
          <w:r w:rsidR="00D17E06" w:rsidRPr="00BA3DD5">
            <w:rPr>
              <w:rFonts w:ascii="Arial" w:eastAsia="Times New Roman" w:hAnsi="Arial" w:cs="Arial"/>
              <w:b w:val="0"/>
              <w:bCs w:val="0"/>
              <w:sz w:val="20"/>
              <w:szCs w:val="24"/>
            </w:rPr>
            <w:fldChar w:fldCharType="begin"/>
          </w:r>
          <w:r w:rsidR="00D17E06" w:rsidRPr="00BA3DD5">
            <w:rPr>
              <w:rFonts w:ascii="Arial" w:eastAsia="Times New Roman" w:hAnsi="Arial" w:cs="Arial"/>
              <w:b w:val="0"/>
              <w:bCs w:val="0"/>
              <w:sz w:val="20"/>
              <w:szCs w:val="24"/>
              <w:lang w:val="en-ZW"/>
            </w:rPr>
            <w:instrText xml:space="preserve"> CITATION Bha23 \l 12297 </w:instrText>
          </w:r>
          <w:r w:rsidR="00D17E06" w:rsidRPr="00BA3DD5">
            <w:rPr>
              <w:rFonts w:ascii="Arial" w:eastAsia="Times New Roman" w:hAnsi="Arial" w:cs="Arial"/>
              <w:b w:val="0"/>
              <w:bCs w:val="0"/>
              <w:sz w:val="20"/>
              <w:szCs w:val="24"/>
            </w:rPr>
            <w:fldChar w:fldCharType="separate"/>
          </w:r>
          <w:r w:rsidR="00D17E06" w:rsidRPr="00BA3DD5">
            <w:rPr>
              <w:rFonts w:ascii="Arial" w:eastAsia="Times New Roman" w:hAnsi="Arial" w:cs="Arial"/>
              <w:b w:val="0"/>
              <w:bCs w:val="0"/>
              <w:noProof/>
              <w:sz w:val="20"/>
              <w:szCs w:val="24"/>
              <w:lang w:val="en-ZW"/>
            </w:rPr>
            <w:t xml:space="preserve"> (Bhandari, 2023)</w:t>
          </w:r>
          <w:r w:rsidR="00D17E06" w:rsidRPr="00BA3DD5">
            <w:rPr>
              <w:rFonts w:ascii="Arial" w:eastAsia="Times New Roman" w:hAnsi="Arial" w:cs="Arial"/>
              <w:b w:val="0"/>
              <w:bCs w:val="0"/>
              <w:sz w:val="20"/>
              <w:szCs w:val="24"/>
            </w:rPr>
            <w:fldChar w:fldCharType="end"/>
          </w:r>
        </w:sdtContent>
      </w:sdt>
      <w:r w:rsidRPr="00BA3DD5">
        <w:rPr>
          <w:rFonts w:ascii="Arial" w:eastAsia="Times New Roman" w:hAnsi="Arial" w:cs="Arial"/>
          <w:b w:val="0"/>
          <w:bCs w:val="0"/>
          <w:sz w:val="20"/>
          <w:szCs w:val="24"/>
        </w:rPr>
        <w:t>.</w:t>
      </w:r>
      <w:r w:rsidRPr="0058522C">
        <w:rPr>
          <w:rFonts w:ascii="Arial" w:eastAsia="Times New Roman" w:hAnsi="Arial" w:cs="Arial"/>
          <w:b w:val="0"/>
          <w:bCs w:val="0"/>
          <w:sz w:val="20"/>
          <w:szCs w:val="24"/>
        </w:rPr>
        <w:t xml:space="preserve"> Questionnaires were chosen because they are a quick, straightforward, and cost-effective tool to get more information from a big number of people. In questionnaires, both closed-ended and open-ended questions are frequently used to collect data, which improves the quality of the data obtained because respondents were given guidance on what answers to provide. Questionnaires are an effective and economical technique for gathering information from a big number of respondents. They provide quantifiable data that can be analyzed statistically, revealing the frequency of specific detection methods as well as the efficacy of current practices. Questionnaires also enable for cross-bank comparisons, enabling the discovery of best practices and areas for improvement in fraud and mistake detection. They provide quantifiable data that can be analyzed statistically, revealing the frequency of specific detection methods as well as the efficacy of current practices. Surveys also allow for comparisons between different banks, enabling the discovery of best practices and areas of improvement.</w:t>
      </w:r>
    </w:p>
    <w:p w14:paraId="700C99C9" w14:textId="05A407D0" w:rsidR="00F66375" w:rsidRPr="00044403" w:rsidRDefault="00F66375" w:rsidP="00A25A15">
      <w:pPr>
        <w:pStyle w:val="Heading2"/>
        <w:spacing w:before="100" w:beforeAutospacing="1" w:after="100" w:afterAutospacing="1"/>
        <w:jc w:val="both"/>
        <w:rPr>
          <w:rFonts w:ascii="Arial" w:hAnsi="Arial" w:cs="Arial"/>
          <w:sz w:val="20"/>
          <w:szCs w:val="20"/>
        </w:rPr>
      </w:pPr>
      <w:r w:rsidRPr="00044403">
        <w:rPr>
          <w:rFonts w:ascii="Arial" w:hAnsi="Arial" w:cs="Arial"/>
          <w:sz w:val="20"/>
          <w:szCs w:val="20"/>
        </w:rPr>
        <w:t>3.8 Validity and Reliability</w:t>
      </w:r>
      <w:bookmarkEnd w:id="37"/>
    </w:p>
    <w:p w14:paraId="046FD610" w14:textId="2CD92B24" w:rsidR="0058522C" w:rsidRDefault="0058522C" w:rsidP="00A25A15">
      <w:pPr>
        <w:pStyle w:val="Heading2"/>
        <w:spacing w:before="100" w:beforeAutospacing="1" w:after="100" w:afterAutospacing="1"/>
        <w:jc w:val="both"/>
        <w:rPr>
          <w:rFonts w:ascii="Arial" w:eastAsia="Times New Roman" w:hAnsi="Arial" w:cs="Arial"/>
          <w:b w:val="0"/>
          <w:bCs w:val="0"/>
          <w:sz w:val="20"/>
          <w:szCs w:val="24"/>
        </w:rPr>
      </w:pPr>
      <w:bookmarkStart w:id="38" w:name="_Toc167905286"/>
      <w:r w:rsidRPr="0058522C">
        <w:rPr>
          <w:rFonts w:ascii="Arial" w:eastAsia="Times New Roman" w:hAnsi="Arial" w:cs="Arial"/>
          <w:b w:val="0"/>
          <w:bCs w:val="0"/>
          <w:sz w:val="20"/>
          <w:szCs w:val="24"/>
        </w:rPr>
        <w:t>Researchers are required to follow specific ethical guidelines when doing research. For instance, they must verify that participants are not harmed by the research, safeguard participant anonymity, and get informed consent from individuals. Additionally, researchers need to think about things like funding sources and academic pressure that could lead to conflicts of interest. The researcher will ensure data validity by employing acceptable data gathering techniques that are consistent with the research objectives. To ensure reliability and validity when collecting quantitative data, use standardized measuring tools and verified devices. Defining study objectives and questions helps drive data collecting and provide valuable insights on detecting fraud and errors in banks. Data collecting should be aligned with specific objectives to keep the research focused and relevant throughout the process. Reliability analysis evaluates the consistency and stability of study findings, making it a crucial part of research. The examination entails statistical techniques to evaluate the quality and correctness of the data gathered. In the analysis, methods like test-retest, parallel forms, and inter-observer reliability are frequently employed. Clearly define the variables, measurement scales, and operational definitions that will be employed. Providing clear instructions to reduce differences in data gathering methods and improve reliability. Extensive data cleaning techniques were implemented to detect and address mistakes, inconsistencies, and outliers within the gathered information.</w:t>
      </w:r>
    </w:p>
    <w:p w14:paraId="4E833CD5" w14:textId="4D8BBA1D" w:rsidR="00F66375" w:rsidRPr="00044403" w:rsidRDefault="00F66375" w:rsidP="00A25A15">
      <w:pPr>
        <w:pStyle w:val="Heading2"/>
        <w:spacing w:before="100" w:beforeAutospacing="1" w:after="100" w:afterAutospacing="1"/>
        <w:jc w:val="both"/>
        <w:rPr>
          <w:rFonts w:ascii="Arial" w:eastAsia="Times New Roman" w:hAnsi="Arial" w:cs="Arial"/>
          <w:sz w:val="20"/>
          <w:szCs w:val="20"/>
        </w:rPr>
      </w:pPr>
      <w:r w:rsidRPr="00044403">
        <w:rPr>
          <w:rFonts w:ascii="Arial" w:eastAsia="Times New Roman" w:hAnsi="Arial" w:cs="Arial"/>
          <w:sz w:val="20"/>
          <w:szCs w:val="20"/>
        </w:rPr>
        <w:t>3.</w:t>
      </w:r>
      <w:r w:rsidR="00455F14" w:rsidRPr="00044403">
        <w:rPr>
          <w:rFonts w:ascii="Arial" w:eastAsia="Times New Roman" w:hAnsi="Arial" w:cs="Arial"/>
          <w:sz w:val="20"/>
          <w:szCs w:val="20"/>
        </w:rPr>
        <w:t>9</w:t>
      </w:r>
      <w:r w:rsidRPr="00044403">
        <w:rPr>
          <w:rFonts w:ascii="Arial" w:eastAsia="Times New Roman" w:hAnsi="Arial" w:cs="Arial"/>
          <w:sz w:val="20"/>
          <w:szCs w:val="20"/>
        </w:rPr>
        <w:t xml:space="preserve"> Ethical Consideration</w:t>
      </w:r>
      <w:bookmarkEnd w:id="38"/>
    </w:p>
    <w:p w14:paraId="7F8F4FEC" w14:textId="447786DD" w:rsidR="00F66375" w:rsidRPr="00044403" w:rsidRDefault="0058522C" w:rsidP="00A25A15">
      <w:pPr>
        <w:spacing w:before="100" w:beforeAutospacing="1" w:after="100" w:afterAutospacing="1"/>
        <w:jc w:val="both"/>
        <w:rPr>
          <w:rFonts w:ascii="Arial" w:hAnsi="Arial" w:cs="Arial"/>
        </w:rPr>
      </w:pPr>
      <w:r w:rsidRPr="0058522C">
        <w:rPr>
          <w:rFonts w:ascii="Arial" w:hAnsi="Arial" w:cs="Arial"/>
        </w:rPr>
        <w:t>Ethical considerations include safeguarding the rights, privacy, and well-being of participants, maintaining confidentiality, and doing research in an ethical and responsible manner.  All of the research participants provided informed consent. Ensuring participants can ask questions and understand the repercussions of their involvement. The participant's information is kept private and secret by the researcher. Ensure that data acquired from banks and financial organizations is anonymous and cannot be traced back to specific individuals or businesses. Using secure data storage and transfer technologies to keep participants' information safe from unauthorized access. Participants were well informed about how their data will be handled, and they were assured of complete confidentiality. For research to continue being dependable, trustworthy, and advantageous for all parties involved, ethical issues must be managed effectively.</w:t>
      </w:r>
    </w:p>
    <w:p w14:paraId="1C8C07D7" w14:textId="7F22E806" w:rsidR="00393A43" w:rsidRPr="00044403" w:rsidRDefault="00F66375" w:rsidP="00A25A15">
      <w:pPr>
        <w:spacing w:before="100" w:beforeAutospacing="1" w:after="100" w:afterAutospacing="1"/>
        <w:jc w:val="both"/>
        <w:rPr>
          <w:rFonts w:ascii="Arial" w:eastAsia="Arial" w:hAnsi="Arial" w:cs="Arial"/>
          <w:b/>
          <w:bCs/>
        </w:rPr>
      </w:pPr>
      <w:r w:rsidRPr="00044403">
        <w:rPr>
          <w:rFonts w:ascii="Arial" w:eastAsia="Arial" w:hAnsi="Arial" w:cs="Arial"/>
          <w:b/>
          <w:bCs/>
        </w:rPr>
        <w:t>4.0. Findings</w:t>
      </w:r>
    </w:p>
    <w:p w14:paraId="7DF911B5" w14:textId="0BE14574" w:rsidR="00393A43" w:rsidRPr="00044403" w:rsidRDefault="00393A43" w:rsidP="00A25A15">
      <w:pPr>
        <w:spacing w:before="100" w:beforeAutospacing="1" w:after="100" w:afterAutospacing="1"/>
        <w:jc w:val="both"/>
        <w:rPr>
          <w:rFonts w:ascii="Arial" w:hAnsi="Arial" w:cs="Arial"/>
        </w:rPr>
      </w:pPr>
      <w:r w:rsidRPr="00044403">
        <w:rPr>
          <w:rFonts w:ascii="Arial" w:hAnsi="Arial" w:cs="Arial"/>
        </w:rPr>
        <w:t xml:space="preserve">Table </w:t>
      </w:r>
      <w:r w:rsidR="00455F14" w:rsidRPr="00044403">
        <w:rPr>
          <w:rFonts w:ascii="Arial" w:hAnsi="Arial" w:cs="Arial"/>
        </w:rPr>
        <w:t xml:space="preserve">2 </w:t>
      </w:r>
      <w:r w:rsidRPr="00044403">
        <w:rPr>
          <w:rFonts w:ascii="Arial" w:hAnsi="Arial" w:cs="Arial"/>
        </w:rPr>
        <w:t xml:space="preserve">Sampling Survey </w:t>
      </w:r>
    </w:p>
    <w:p w14:paraId="2B4482ED" w14:textId="77777777" w:rsidR="005535B8" w:rsidRPr="00044403" w:rsidRDefault="005535B8" w:rsidP="00A25A15">
      <w:pPr>
        <w:spacing w:before="100" w:beforeAutospacing="1" w:after="100" w:afterAutospacing="1"/>
        <w:jc w:val="both"/>
        <w:rPr>
          <w:rFonts w:ascii="Arial" w:hAnsi="Arial" w:cs="Arial"/>
        </w:rPr>
      </w:pPr>
    </w:p>
    <w:tbl>
      <w:tblPr>
        <w:tblStyle w:val="TableGrid1"/>
        <w:tblW w:w="0" w:type="auto"/>
        <w:tblLook w:val="04A0" w:firstRow="1" w:lastRow="0" w:firstColumn="1" w:lastColumn="0" w:noHBand="0" w:noVBand="1"/>
      </w:tblPr>
      <w:tblGrid>
        <w:gridCol w:w="3114"/>
        <w:gridCol w:w="1984"/>
        <w:gridCol w:w="2127"/>
        <w:gridCol w:w="1791"/>
      </w:tblGrid>
      <w:tr w:rsidR="00393A43" w:rsidRPr="00044403" w14:paraId="7B4933B9" w14:textId="77777777" w:rsidTr="00FE0480">
        <w:trPr>
          <w:trHeight w:val="649"/>
        </w:trPr>
        <w:tc>
          <w:tcPr>
            <w:tcW w:w="3114" w:type="dxa"/>
          </w:tcPr>
          <w:p w14:paraId="5729367A"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b/>
                <w:sz w:val="20"/>
                <w:szCs w:val="20"/>
              </w:rPr>
              <w:lastRenderedPageBreak/>
              <w:t>Description Stratum</w:t>
            </w:r>
          </w:p>
        </w:tc>
        <w:tc>
          <w:tcPr>
            <w:tcW w:w="1984" w:type="dxa"/>
          </w:tcPr>
          <w:p w14:paraId="631BCB8C"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b/>
                <w:sz w:val="20"/>
                <w:szCs w:val="20"/>
              </w:rPr>
              <w:t xml:space="preserve">Questionnaires </w:t>
            </w:r>
          </w:p>
          <w:p w14:paraId="3C5CA2E9"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b/>
                <w:sz w:val="20"/>
                <w:szCs w:val="20"/>
              </w:rPr>
              <w:t>handed out</w:t>
            </w:r>
          </w:p>
        </w:tc>
        <w:tc>
          <w:tcPr>
            <w:tcW w:w="2127" w:type="dxa"/>
          </w:tcPr>
          <w:p w14:paraId="48E29172"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b/>
                <w:sz w:val="20"/>
                <w:szCs w:val="20"/>
              </w:rPr>
              <w:t xml:space="preserve">Questionnaires </w:t>
            </w:r>
          </w:p>
          <w:p w14:paraId="36F2A339"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b/>
                <w:sz w:val="20"/>
                <w:szCs w:val="20"/>
              </w:rPr>
              <w:t>returned</w:t>
            </w:r>
          </w:p>
        </w:tc>
        <w:tc>
          <w:tcPr>
            <w:tcW w:w="1791" w:type="dxa"/>
          </w:tcPr>
          <w:p w14:paraId="156C8F43"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b/>
                <w:sz w:val="20"/>
                <w:szCs w:val="20"/>
              </w:rPr>
              <w:t xml:space="preserve">Response </w:t>
            </w:r>
          </w:p>
          <w:p w14:paraId="00C0B0BF"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b/>
                <w:sz w:val="20"/>
                <w:szCs w:val="20"/>
              </w:rPr>
              <w:t>Rate %</w:t>
            </w:r>
          </w:p>
        </w:tc>
      </w:tr>
      <w:tr w:rsidR="00393A43" w:rsidRPr="00044403" w14:paraId="37B69BBA" w14:textId="77777777" w:rsidTr="00FE0480">
        <w:trPr>
          <w:trHeight w:val="559"/>
        </w:trPr>
        <w:tc>
          <w:tcPr>
            <w:tcW w:w="3114" w:type="dxa"/>
          </w:tcPr>
          <w:p w14:paraId="42524415"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Management</w:t>
            </w:r>
          </w:p>
        </w:tc>
        <w:tc>
          <w:tcPr>
            <w:tcW w:w="1984" w:type="dxa"/>
          </w:tcPr>
          <w:p w14:paraId="690AB304"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7</w:t>
            </w:r>
          </w:p>
        </w:tc>
        <w:tc>
          <w:tcPr>
            <w:tcW w:w="2127" w:type="dxa"/>
          </w:tcPr>
          <w:p w14:paraId="5A82950A"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7</w:t>
            </w:r>
          </w:p>
        </w:tc>
        <w:tc>
          <w:tcPr>
            <w:tcW w:w="1791" w:type="dxa"/>
          </w:tcPr>
          <w:p w14:paraId="5E9C92BF"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100%</w:t>
            </w:r>
          </w:p>
        </w:tc>
      </w:tr>
      <w:tr w:rsidR="00393A43" w:rsidRPr="00044403" w14:paraId="5FBD801B" w14:textId="77777777" w:rsidTr="00FE0480">
        <w:trPr>
          <w:trHeight w:val="553"/>
        </w:trPr>
        <w:tc>
          <w:tcPr>
            <w:tcW w:w="3114" w:type="dxa"/>
          </w:tcPr>
          <w:p w14:paraId="73810F73"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IT Auditors</w:t>
            </w:r>
          </w:p>
        </w:tc>
        <w:tc>
          <w:tcPr>
            <w:tcW w:w="1984" w:type="dxa"/>
          </w:tcPr>
          <w:p w14:paraId="393AA9A9"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20</w:t>
            </w:r>
          </w:p>
        </w:tc>
        <w:tc>
          <w:tcPr>
            <w:tcW w:w="2127" w:type="dxa"/>
          </w:tcPr>
          <w:p w14:paraId="1A8B8E0A"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20</w:t>
            </w:r>
          </w:p>
        </w:tc>
        <w:tc>
          <w:tcPr>
            <w:tcW w:w="1791" w:type="dxa"/>
          </w:tcPr>
          <w:p w14:paraId="76D4E0B5"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100%</w:t>
            </w:r>
          </w:p>
        </w:tc>
      </w:tr>
      <w:tr w:rsidR="00393A43" w:rsidRPr="00044403" w14:paraId="6EB6B400" w14:textId="77777777" w:rsidTr="00FE0480">
        <w:trPr>
          <w:trHeight w:val="547"/>
        </w:trPr>
        <w:tc>
          <w:tcPr>
            <w:tcW w:w="3114" w:type="dxa"/>
          </w:tcPr>
          <w:p w14:paraId="03E86B7F"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Employees</w:t>
            </w:r>
          </w:p>
        </w:tc>
        <w:tc>
          <w:tcPr>
            <w:tcW w:w="1984" w:type="dxa"/>
          </w:tcPr>
          <w:p w14:paraId="067098E5"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11</w:t>
            </w:r>
          </w:p>
        </w:tc>
        <w:tc>
          <w:tcPr>
            <w:tcW w:w="2127" w:type="dxa"/>
          </w:tcPr>
          <w:p w14:paraId="28A62DAF"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11</w:t>
            </w:r>
          </w:p>
        </w:tc>
        <w:tc>
          <w:tcPr>
            <w:tcW w:w="1791" w:type="dxa"/>
          </w:tcPr>
          <w:p w14:paraId="0A3357A9"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100%</w:t>
            </w:r>
          </w:p>
        </w:tc>
      </w:tr>
      <w:tr w:rsidR="00393A43" w:rsidRPr="00044403" w14:paraId="7ED61D92" w14:textId="77777777" w:rsidTr="00FE0480">
        <w:trPr>
          <w:trHeight w:val="569"/>
        </w:trPr>
        <w:tc>
          <w:tcPr>
            <w:tcW w:w="3114" w:type="dxa"/>
          </w:tcPr>
          <w:p w14:paraId="72245A62"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Internal Auditors</w:t>
            </w:r>
          </w:p>
        </w:tc>
        <w:tc>
          <w:tcPr>
            <w:tcW w:w="1984" w:type="dxa"/>
          </w:tcPr>
          <w:p w14:paraId="77AC6180"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12</w:t>
            </w:r>
          </w:p>
        </w:tc>
        <w:tc>
          <w:tcPr>
            <w:tcW w:w="2127" w:type="dxa"/>
          </w:tcPr>
          <w:p w14:paraId="2B256E1A"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12</w:t>
            </w:r>
          </w:p>
        </w:tc>
        <w:tc>
          <w:tcPr>
            <w:tcW w:w="1791" w:type="dxa"/>
          </w:tcPr>
          <w:p w14:paraId="55FDA5FF" w14:textId="77777777" w:rsidR="00393A43" w:rsidRPr="00044403" w:rsidRDefault="00393A43" w:rsidP="00A25A15">
            <w:pPr>
              <w:spacing w:before="100" w:beforeAutospacing="1" w:after="100" w:afterAutospacing="1" w:line="360" w:lineRule="auto"/>
              <w:jc w:val="both"/>
              <w:rPr>
                <w:rFonts w:ascii="Arial" w:hAnsi="Arial" w:cs="Arial"/>
                <w:sz w:val="20"/>
                <w:szCs w:val="20"/>
              </w:rPr>
            </w:pPr>
            <w:r w:rsidRPr="00044403">
              <w:rPr>
                <w:rFonts w:ascii="Arial" w:hAnsi="Arial" w:cs="Arial"/>
                <w:sz w:val="20"/>
                <w:szCs w:val="20"/>
              </w:rPr>
              <w:t xml:space="preserve"> 100%</w:t>
            </w:r>
          </w:p>
        </w:tc>
      </w:tr>
      <w:tr w:rsidR="00393A43" w:rsidRPr="00044403" w14:paraId="6CDE86D4" w14:textId="77777777" w:rsidTr="00FE0480">
        <w:trPr>
          <w:trHeight w:val="549"/>
        </w:trPr>
        <w:tc>
          <w:tcPr>
            <w:tcW w:w="3114" w:type="dxa"/>
          </w:tcPr>
          <w:p w14:paraId="7739667E"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b/>
                <w:sz w:val="20"/>
                <w:szCs w:val="20"/>
              </w:rPr>
              <w:t>Total</w:t>
            </w:r>
          </w:p>
        </w:tc>
        <w:tc>
          <w:tcPr>
            <w:tcW w:w="1984" w:type="dxa"/>
          </w:tcPr>
          <w:p w14:paraId="701DE4BC"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sz w:val="20"/>
                <w:szCs w:val="20"/>
              </w:rPr>
              <w:t xml:space="preserve"> 50</w:t>
            </w:r>
          </w:p>
        </w:tc>
        <w:tc>
          <w:tcPr>
            <w:tcW w:w="2127" w:type="dxa"/>
          </w:tcPr>
          <w:p w14:paraId="45DCEEF7" w14:textId="77777777" w:rsidR="00393A43" w:rsidRPr="00044403" w:rsidRDefault="00393A43" w:rsidP="00A25A15">
            <w:pPr>
              <w:spacing w:before="100" w:beforeAutospacing="1" w:after="100" w:afterAutospacing="1" w:line="360" w:lineRule="auto"/>
              <w:jc w:val="both"/>
              <w:rPr>
                <w:rFonts w:ascii="Arial" w:hAnsi="Arial" w:cs="Arial"/>
                <w:b/>
                <w:sz w:val="20"/>
                <w:szCs w:val="20"/>
              </w:rPr>
            </w:pPr>
            <w:r w:rsidRPr="00044403">
              <w:rPr>
                <w:rFonts w:ascii="Arial" w:hAnsi="Arial" w:cs="Arial"/>
                <w:sz w:val="20"/>
                <w:szCs w:val="20"/>
              </w:rPr>
              <w:t xml:space="preserve"> 50</w:t>
            </w:r>
          </w:p>
        </w:tc>
        <w:tc>
          <w:tcPr>
            <w:tcW w:w="1791" w:type="dxa"/>
          </w:tcPr>
          <w:p w14:paraId="47C85E82" w14:textId="77777777" w:rsidR="00393A43" w:rsidRPr="00044403" w:rsidRDefault="00393A43" w:rsidP="00A25A15">
            <w:pPr>
              <w:keepNext/>
              <w:spacing w:before="100" w:beforeAutospacing="1" w:after="100" w:afterAutospacing="1" w:line="360" w:lineRule="auto"/>
              <w:jc w:val="both"/>
              <w:rPr>
                <w:rFonts w:ascii="Arial" w:hAnsi="Arial" w:cs="Arial"/>
                <w:b/>
                <w:sz w:val="20"/>
                <w:szCs w:val="20"/>
              </w:rPr>
            </w:pPr>
            <w:r w:rsidRPr="00044403">
              <w:rPr>
                <w:rFonts w:ascii="Arial" w:hAnsi="Arial" w:cs="Arial"/>
                <w:sz w:val="20"/>
                <w:szCs w:val="20"/>
              </w:rPr>
              <w:t xml:space="preserve"> 100%</w:t>
            </w:r>
          </w:p>
        </w:tc>
      </w:tr>
    </w:tbl>
    <w:p w14:paraId="7435F835" w14:textId="77777777" w:rsidR="0058522C" w:rsidRDefault="0058522C" w:rsidP="00A25A15">
      <w:pPr>
        <w:pStyle w:val="Heading2"/>
        <w:spacing w:before="100" w:beforeAutospacing="1" w:after="100" w:afterAutospacing="1"/>
        <w:jc w:val="both"/>
        <w:rPr>
          <w:rFonts w:ascii="Arial" w:hAnsi="Arial" w:cs="Arial"/>
          <w:b w:val="0"/>
          <w:bCs w:val="0"/>
          <w:sz w:val="20"/>
          <w:szCs w:val="20"/>
        </w:rPr>
      </w:pPr>
      <w:bookmarkStart w:id="39" w:name="_Toc167905293"/>
      <w:r w:rsidRPr="0058522C">
        <w:rPr>
          <w:rFonts w:ascii="Arial" w:hAnsi="Arial" w:cs="Arial"/>
          <w:b w:val="0"/>
          <w:bCs w:val="0"/>
          <w:sz w:val="20"/>
          <w:szCs w:val="20"/>
        </w:rPr>
        <w:t>Table 2 shows that of the 50 surveys that were sent out, 50 were duly filled out and promptly returned by the respondents selected from the sample. According to Sunders (2019), data gathered from more than 75% of the distributed questionnaires is regarded as trustworthy and can be used to generate study conclusions, endorsing the percentage response rate of 100%.</w:t>
      </w:r>
    </w:p>
    <w:p w14:paraId="077DFAA4" w14:textId="4F581169" w:rsidR="00393A43" w:rsidRPr="00044403" w:rsidRDefault="00393A43" w:rsidP="00A25A15">
      <w:pPr>
        <w:pStyle w:val="Heading2"/>
        <w:spacing w:before="100" w:beforeAutospacing="1" w:after="100" w:afterAutospacing="1"/>
        <w:jc w:val="both"/>
        <w:rPr>
          <w:rFonts w:ascii="Arial" w:hAnsi="Arial" w:cs="Arial"/>
          <w:sz w:val="20"/>
          <w:szCs w:val="20"/>
        </w:rPr>
      </w:pPr>
      <w:r w:rsidRPr="00044403">
        <w:rPr>
          <w:rFonts w:ascii="Arial" w:hAnsi="Arial" w:cs="Arial"/>
          <w:sz w:val="20"/>
          <w:szCs w:val="20"/>
        </w:rPr>
        <w:t>4.</w:t>
      </w:r>
      <w:r w:rsidR="00BA3DD5">
        <w:rPr>
          <w:rFonts w:ascii="Arial" w:hAnsi="Arial" w:cs="Arial"/>
          <w:sz w:val="20"/>
          <w:szCs w:val="20"/>
        </w:rPr>
        <w:t>1</w:t>
      </w:r>
      <w:r w:rsidRPr="00044403">
        <w:rPr>
          <w:rFonts w:ascii="Arial" w:hAnsi="Arial" w:cs="Arial"/>
          <w:sz w:val="20"/>
          <w:szCs w:val="20"/>
        </w:rPr>
        <w:t xml:space="preserve"> Demographic Profile of respondents</w:t>
      </w:r>
      <w:bookmarkEnd w:id="39"/>
    </w:p>
    <w:p w14:paraId="6A45B841" w14:textId="208FAA5F" w:rsidR="00393A43" w:rsidRPr="00044403" w:rsidRDefault="00393A43" w:rsidP="00A25A15">
      <w:pPr>
        <w:spacing w:before="100" w:beforeAutospacing="1" w:after="100" w:afterAutospacing="1"/>
        <w:jc w:val="both"/>
        <w:rPr>
          <w:rFonts w:ascii="Arial" w:hAnsi="Arial" w:cs="Arial"/>
        </w:rPr>
      </w:pPr>
      <w:r w:rsidRPr="00044403">
        <w:rPr>
          <w:rFonts w:ascii="Arial" w:hAnsi="Arial" w:cs="Arial"/>
        </w:rPr>
        <w:t xml:space="preserve">Fig </w:t>
      </w:r>
      <w:r w:rsidR="00455F14" w:rsidRPr="00044403">
        <w:rPr>
          <w:rFonts w:ascii="Arial" w:hAnsi="Arial" w:cs="Arial"/>
        </w:rPr>
        <w:t>5</w:t>
      </w:r>
      <w:r w:rsidRPr="00044403">
        <w:rPr>
          <w:rFonts w:ascii="Arial" w:hAnsi="Arial" w:cs="Arial"/>
        </w:rPr>
        <w:t>: Participants by Gender</w:t>
      </w:r>
    </w:p>
    <w:p w14:paraId="0FBA8C87" w14:textId="77777777" w:rsidR="00393A43" w:rsidRPr="00044403" w:rsidRDefault="00393A43" w:rsidP="00A25A15">
      <w:pPr>
        <w:spacing w:before="100" w:beforeAutospacing="1" w:after="100" w:afterAutospacing="1"/>
        <w:jc w:val="both"/>
        <w:rPr>
          <w:rFonts w:ascii="Arial" w:hAnsi="Arial" w:cs="Arial"/>
        </w:rPr>
      </w:pPr>
    </w:p>
    <w:tbl>
      <w:tblPr>
        <w:tblW w:w="652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6"/>
      </w:tblGrid>
      <w:tr w:rsidR="00393A43" w:rsidRPr="00B51861" w14:paraId="0EA77A94" w14:textId="77777777" w:rsidTr="00BA3DD5">
        <w:trPr>
          <w:trHeight w:val="2543"/>
        </w:trPr>
        <w:tc>
          <w:tcPr>
            <w:tcW w:w="6528" w:type="dxa"/>
          </w:tcPr>
          <w:p w14:paraId="02ADD4A3" w14:textId="77777777" w:rsidR="00393A43" w:rsidRDefault="00393A43" w:rsidP="00A25A15">
            <w:pPr>
              <w:keepNext/>
              <w:spacing w:before="100" w:beforeAutospacing="1" w:after="100" w:afterAutospacing="1"/>
              <w:jc w:val="both"/>
            </w:pPr>
            <w:r w:rsidRPr="00B51861">
              <w:rPr>
                <w:noProof/>
              </w:rPr>
              <w:drawing>
                <wp:inline distT="0" distB="0" distL="0" distR="0" wp14:anchorId="2F12A7FF" wp14:editId="79C3B76D">
                  <wp:extent cx="5135526" cy="2798983"/>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4140" cy="2803678"/>
                          </a:xfrm>
                          <a:prstGeom prst="rect">
                            <a:avLst/>
                          </a:prstGeom>
                        </pic:spPr>
                      </pic:pic>
                    </a:graphicData>
                  </a:graphic>
                </wp:inline>
              </w:drawing>
            </w:r>
          </w:p>
          <w:p w14:paraId="1829978B" w14:textId="77777777" w:rsidR="00393A43" w:rsidRPr="00B51861" w:rsidRDefault="00393A43" w:rsidP="00217168">
            <w:pPr>
              <w:pStyle w:val="Caption"/>
              <w:spacing w:before="100" w:beforeAutospacing="1" w:after="100" w:afterAutospacing="1"/>
            </w:pPr>
          </w:p>
        </w:tc>
      </w:tr>
    </w:tbl>
    <w:p w14:paraId="4A163364" w14:textId="77777777" w:rsidR="00393A43" w:rsidRPr="00B51861" w:rsidRDefault="00393A43" w:rsidP="00A25A15">
      <w:pPr>
        <w:spacing w:before="100" w:beforeAutospacing="1" w:after="100" w:afterAutospacing="1"/>
        <w:jc w:val="both"/>
      </w:pPr>
    </w:p>
    <w:p w14:paraId="50BE62F0" w14:textId="0D896735" w:rsidR="00393A43" w:rsidRPr="005535B8" w:rsidRDefault="00393A43" w:rsidP="00A25A15">
      <w:pPr>
        <w:spacing w:before="100" w:beforeAutospacing="1" w:after="100" w:afterAutospacing="1"/>
        <w:jc w:val="both"/>
        <w:rPr>
          <w:rFonts w:ascii="Arial" w:hAnsi="Arial" w:cs="Arial"/>
          <w:b/>
          <w:iCs/>
        </w:rPr>
      </w:pPr>
      <w:r w:rsidRPr="005535B8">
        <w:rPr>
          <w:rFonts w:ascii="Arial" w:hAnsi="Arial" w:cs="Arial"/>
          <w:b/>
          <w:iCs/>
        </w:rPr>
        <w:t>Source: primary data source</w:t>
      </w:r>
    </w:p>
    <w:p w14:paraId="7406AB27" w14:textId="77777777" w:rsidR="0058522C" w:rsidRDefault="0058522C" w:rsidP="00A25A15">
      <w:pPr>
        <w:spacing w:before="100" w:beforeAutospacing="1" w:after="100" w:afterAutospacing="1"/>
        <w:jc w:val="both"/>
      </w:pPr>
      <w:r w:rsidRPr="0058522C">
        <w:lastRenderedPageBreak/>
        <w:t>As shown in Fig 5 above, out of the 50 questionnaires that were distributed, 26 had a 52% response rate and were fully completed and returned by male respondents; the remaining 24 had a 48% response rate and were completed by female respondents. This demonstrated that responders were not subjected to discrimination due to their gender identity. Braun (2020) posits that data obtained from participants in research investigations that do not discriminate based on gender affiliation is deemed dependable and valuable. The responses show that both male and female were treated equally. Clarke (2020), who asserted that data equally gathered from all respondents is regarded as genuine and free from prejudice, endorsed the idea.</w:t>
      </w:r>
    </w:p>
    <w:p w14:paraId="48B7A2CB" w14:textId="77777777" w:rsidR="00BA3DD5" w:rsidRDefault="00393A43" w:rsidP="00A25A15">
      <w:pPr>
        <w:spacing w:before="100" w:beforeAutospacing="1" w:after="100" w:afterAutospacing="1"/>
        <w:jc w:val="both"/>
      </w:pPr>
      <w:r>
        <w:t>In addition, participants were requested to provide their ages. Fig</w:t>
      </w:r>
      <w:r w:rsidR="00455F14">
        <w:t xml:space="preserve"> 6</w:t>
      </w:r>
      <w:r>
        <w:t xml:space="preserve"> below shows the participant results by age distribution. </w:t>
      </w:r>
    </w:p>
    <w:p w14:paraId="6F13C50D" w14:textId="315C9B1E" w:rsidR="00393A43" w:rsidRDefault="00393A43" w:rsidP="00A25A15">
      <w:pPr>
        <w:spacing w:before="100" w:beforeAutospacing="1" w:after="100" w:afterAutospacing="1"/>
        <w:jc w:val="both"/>
      </w:pPr>
      <w:r w:rsidRPr="00B13C71">
        <w:t xml:space="preserve">Fig </w:t>
      </w:r>
      <w:r w:rsidR="00455F14">
        <w:t>6</w:t>
      </w:r>
      <w:r>
        <w:t>:</w:t>
      </w:r>
      <w:r w:rsidRPr="00B13C71">
        <w:t xml:space="preserve"> Participants by age</w:t>
      </w:r>
    </w:p>
    <w:p w14:paraId="647B7337" w14:textId="77777777" w:rsidR="00393A43" w:rsidRDefault="00393A43" w:rsidP="00A25A15">
      <w:pPr>
        <w:keepNext/>
        <w:spacing w:before="100" w:beforeAutospacing="1" w:after="100" w:afterAutospacing="1"/>
        <w:jc w:val="both"/>
      </w:pPr>
      <w:r w:rsidRPr="00B51861">
        <w:rPr>
          <w:rFonts w:cs="Times New Roman"/>
          <w:noProof/>
          <w:szCs w:val="24"/>
        </w:rPr>
        <w:drawing>
          <wp:inline distT="0" distB="0" distL="0" distR="0" wp14:anchorId="6460CFF9" wp14:editId="71177B9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B1DD56" w14:textId="35D2F095" w:rsidR="00393A43" w:rsidRPr="005535B8" w:rsidRDefault="00393A43" w:rsidP="00A25A15">
      <w:pPr>
        <w:spacing w:before="100" w:beforeAutospacing="1" w:after="100" w:afterAutospacing="1"/>
        <w:jc w:val="both"/>
        <w:rPr>
          <w:rFonts w:ascii="Arial" w:hAnsi="Arial" w:cs="Arial"/>
          <w:b/>
          <w:iCs/>
        </w:rPr>
      </w:pPr>
      <w:r w:rsidRPr="005535B8">
        <w:rPr>
          <w:rFonts w:ascii="Arial" w:hAnsi="Arial" w:cs="Arial"/>
          <w:b/>
          <w:iCs/>
        </w:rPr>
        <w:t>Source: primary data source</w:t>
      </w:r>
    </w:p>
    <w:p w14:paraId="3B0A612E" w14:textId="77777777" w:rsidR="0058522C" w:rsidRDefault="0058522C" w:rsidP="00A25A15">
      <w:pPr>
        <w:pStyle w:val="Heading2"/>
        <w:spacing w:before="100" w:beforeAutospacing="1" w:after="100" w:afterAutospacing="1"/>
        <w:jc w:val="both"/>
        <w:rPr>
          <w:b w:val="0"/>
          <w:bCs w:val="0"/>
          <w:sz w:val="20"/>
          <w:szCs w:val="20"/>
        </w:rPr>
      </w:pPr>
      <w:bookmarkStart w:id="40" w:name="_Toc167905294"/>
      <w:r w:rsidRPr="0058522C">
        <w:rPr>
          <w:b w:val="0"/>
          <w:bCs w:val="0"/>
          <w:sz w:val="20"/>
          <w:szCs w:val="20"/>
        </w:rPr>
        <w:t>Fig 6 illustrates that out of the total of 50 participants, 19 (38%) of them were Under 25 years, while 9 (18%) % of the total participants were between 25 to 34 years. Again 9 (18 %) of the participants were between 35 to 44 years. Only 7 (14%) of the participants were between 45 to 54 years and 6 (12%) was 55 above. This clearly indicates that the majority of the participants was the young generation which is more into technology and are willing to see change in the IT audit space to address the issues of fraud and error detection.</w:t>
      </w:r>
    </w:p>
    <w:p w14:paraId="414982A4" w14:textId="3E88A6E6" w:rsidR="00393A43" w:rsidRPr="00FB0CE6" w:rsidRDefault="00393A43" w:rsidP="00A25A15">
      <w:pPr>
        <w:pStyle w:val="Heading2"/>
        <w:spacing w:before="100" w:beforeAutospacing="1" w:after="100" w:afterAutospacing="1"/>
        <w:jc w:val="both"/>
        <w:rPr>
          <w:rFonts w:ascii="Arial" w:hAnsi="Arial" w:cs="Arial"/>
          <w:sz w:val="20"/>
          <w:szCs w:val="20"/>
        </w:rPr>
      </w:pPr>
      <w:r w:rsidRPr="00FB0CE6">
        <w:rPr>
          <w:rFonts w:ascii="Arial" w:hAnsi="Arial" w:cs="Arial"/>
          <w:sz w:val="20"/>
          <w:szCs w:val="20"/>
        </w:rPr>
        <w:t>4.</w:t>
      </w:r>
      <w:r w:rsidR="00BA3DD5">
        <w:rPr>
          <w:rFonts w:ascii="Arial" w:hAnsi="Arial" w:cs="Arial"/>
          <w:sz w:val="20"/>
          <w:szCs w:val="20"/>
        </w:rPr>
        <w:t xml:space="preserve">2 </w:t>
      </w:r>
      <w:r w:rsidRPr="00FB0CE6">
        <w:rPr>
          <w:rFonts w:ascii="Arial" w:hAnsi="Arial" w:cs="Arial"/>
          <w:sz w:val="20"/>
          <w:szCs w:val="20"/>
        </w:rPr>
        <w:t>Analysis of Data</w:t>
      </w:r>
      <w:bookmarkEnd w:id="40"/>
    </w:p>
    <w:p w14:paraId="3C25AF0F" w14:textId="582A8BDA" w:rsidR="00393A43" w:rsidRPr="00FB0CE6" w:rsidRDefault="00393A43" w:rsidP="00A25A15">
      <w:pPr>
        <w:pStyle w:val="Heading2"/>
        <w:spacing w:before="100" w:beforeAutospacing="1" w:after="100" w:afterAutospacing="1"/>
        <w:jc w:val="both"/>
        <w:rPr>
          <w:rFonts w:ascii="Arial" w:hAnsi="Arial" w:cs="Arial"/>
          <w:sz w:val="20"/>
          <w:szCs w:val="20"/>
        </w:rPr>
      </w:pPr>
      <w:bookmarkStart w:id="41" w:name="_Toc167905295"/>
      <w:r w:rsidRPr="00FB0CE6">
        <w:rPr>
          <w:rFonts w:ascii="Arial" w:hAnsi="Arial" w:cs="Arial"/>
          <w:sz w:val="20"/>
          <w:szCs w:val="20"/>
        </w:rPr>
        <w:t>4.</w:t>
      </w:r>
      <w:r w:rsidR="00BA3DD5">
        <w:rPr>
          <w:rFonts w:ascii="Arial" w:hAnsi="Arial" w:cs="Arial"/>
          <w:sz w:val="20"/>
          <w:szCs w:val="20"/>
        </w:rPr>
        <w:t>2</w:t>
      </w:r>
      <w:r w:rsidRPr="00FB0CE6">
        <w:rPr>
          <w:rFonts w:ascii="Arial" w:hAnsi="Arial" w:cs="Arial"/>
          <w:sz w:val="20"/>
          <w:szCs w:val="20"/>
        </w:rPr>
        <w:t>.1 Primary Objective: To develop a comprehensive framework for enhancing fraud error detection in IT audit systems</w:t>
      </w:r>
      <w:bookmarkEnd w:id="41"/>
    </w:p>
    <w:p w14:paraId="615B6C23" w14:textId="77777777" w:rsidR="0058522C" w:rsidRDefault="0058522C" w:rsidP="00A25A15">
      <w:pPr>
        <w:spacing w:before="100" w:beforeAutospacing="1" w:after="100" w:afterAutospacing="1"/>
        <w:jc w:val="both"/>
        <w:rPr>
          <w:highlight w:val="white"/>
        </w:rPr>
      </w:pPr>
      <w:r>
        <w:rPr>
          <w:highlight w:val="white"/>
        </w:rPr>
        <w:t>The primary objective of this research is to create a comprehensive framework that enhances fraud and error detection. Furthermore, the survey findings evaluate whether stakeholders believe this framework will benefit IT auditing systems within the U.S. banking industry.</w:t>
      </w:r>
    </w:p>
    <w:p w14:paraId="4BE22FBC" w14:textId="15D1229F" w:rsidR="00393A43" w:rsidRDefault="00393A43" w:rsidP="00A25A15">
      <w:pPr>
        <w:spacing w:before="100" w:beforeAutospacing="1" w:after="100" w:afterAutospacing="1"/>
        <w:jc w:val="both"/>
        <w:rPr>
          <w:b/>
          <w:bCs/>
        </w:rPr>
      </w:pPr>
      <w:r w:rsidRPr="00455F14">
        <w:rPr>
          <w:b/>
          <w:bCs/>
        </w:rPr>
        <w:lastRenderedPageBreak/>
        <w:t>4.</w:t>
      </w:r>
      <w:r w:rsidR="00BA3DD5">
        <w:rPr>
          <w:b/>
          <w:bCs/>
        </w:rPr>
        <w:t>2</w:t>
      </w:r>
      <w:r w:rsidRPr="00455F14">
        <w:rPr>
          <w:b/>
          <w:bCs/>
        </w:rPr>
        <w:t>.1.2 Do you believe that a comprehensive framework specifically tailored for the banking sector in United States is necessary to enhance fraud and error detection in IT audit systems?</w:t>
      </w:r>
    </w:p>
    <w:p w14:paraId="3F4E0D5F" w14:textId="154FFF51" w:rsidR="00393A43" w:rsidRPr="00B13C71" w:rsidRDefault="00393A43" w:rsidP="00A25A15">
      <w:pPr>
        <w:spacing w:before="100" w:beforeAutospacing="1" w:after="100" w:afterAutospacing="1"/>
        <w:jc w:val="both"/>
        <w:rPr>
          <w:lang w:val="en-US"/>
        </w:rPr>
      </w:pPr>
      <w:r w:rsidRPr="00B13C71">
        <w:rPr>
          <w:lang w:val="en-US"/>
        </w:rPr>
        <w:t xml:space="preserve">Fig </w:t>
      </w:r>
      <w:r w:rsidR="00455F14">
        <w:rPr>
          <w:lang w:val="en-US"/>
        </w:rPr>
        <w:t>7:</w:t>
      </w:r>
      <w:r w:rsidRPr="00B13C71">
        <w:rPr>
          <w:lang w:val="en-US"/>
        </w:rPr>
        <w:t xml:space="preserve"> Importance of IT audit systems framework to improve fraud and error detection</w:t>
      </w:r>
    </w:p>
    <w:p w14:paraId="3063D9B1" w14:textId="77777777" w:rsidR="00393A43" w:rsidRPr="00B51861" w:rsidRDefault="00393A43" w:rsidP="00A25A15">
      <w:pPr>
        <w:spacing w:before="100" w:beforeAutospacing="1" w:after="100" w:afterAutospacing="1"/>
        <w:jc w:val="both"/>
        <w:rPr>
          <w: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0"/>
      </w:tblGrid>
      <w:tr w:rsidR="00393A43" w:rsidRPr="00B51861" w14:paraId="286FD458" w14:textId="77777777" w:rsidTr="00FE0480">
        <w:trPr>
          <w:trHeight w:val="4035"/>
        </w:trPr>
        <w:tc>
          <w:tcPr>
            <w:tcW w:w="7970" w:type="dxa"/>
          </w:tcPr>
          <w:p w14:paraId="01A32F86" w14:textId="77777777" w:rsidR="00393A43" w:rsidRDefault="00393A43" w:rsidP="00A25A15">
            <w:pPr>
              <w:keepNext/>
              <w:spacing w:before="100" w:beforeAutospacing="1" w:after="100" w:afterAutospacing="1"/>
              <w:ind w:left="-17"/>
              <w:jc w:val="both"/>
            </w:pPr>
            <w:r w:rsidRPr="00B51861">
              <w:rPr>
                <w:noProof/>
              </w:rPr>
              <w:drawing>
                <wp:inline distT="0" distB="0" distL="0" distR="0" wp14:anchorId="2CEC4A09" wp14:editId="7FE10585">
                  <wp:extent cx="475297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2190750"/>
                          </a:xfrm>
                          <a:prstGeom prst="rect">
                            <a:avLst/>
                          </a:prstGeom>
                        </pic:spPr>
                      </pic:pic>
                    </a:graphicData>
                  </a:graphic>
                </wp:inline>
              </w:drawing>
            </w:r>
          </w:p>
          <w:p w14:paraId="6C62E172" w14:textId="5473362F" w:rsidR="00393A43" w:rsidRPr="00B51861" w:rsidRDefault="00393A43" w:rsidP="00A25A15">
            <w:pPr>
              <w:pStyle w:val="Caption"/>
              <w:spacing w:before="100" w:beforeAutospacing="1" w:after="100" w:afterAutospacing="1"/>
              <w:rPr>
                <w:lang w:val="en-US"/>
              </w:rPr>
            </w:pPr>
          </w:p>
        </w:tc>
      </w:tr>
    </w:tbl>
    <w:p w14:paraId="6531F1A2" w14:textId="77777777" w:rsidR="00393A43" w:rsidRPr="005535B8" w:rsidRDefault="00393A43" w:rsidP="00A25A15">
      <w:pPr>
        <w:spacing w:before="100" w:beforeAutospacing="1" w:after="100" w:afterAutospacing="1"/>
        <w:rPr>
          <w:b/>
          <w:bCs/>
          <w:lang w:val="en-US"/>
        </w:rPr>
      </w:pPr>
    </w:p>
    <w:p w14:paraId="04AFD778" w14:textId="28538981" w:rsidR="005535B8" w:rsidRDefault="00393A43" w:rsidP="00A25A15">
      <w:pPr>
        <w:spacing w:before="100" w:beforeAutospacing="1" w:after="100" w:afterAutospacing="1"/>
      </w:pPr>
      <w:r w:rsidRPr="005535B8">
        <w:rPr>
          <w:b/>
          <w:bCs/>
        </w:rPr>
        <w:t>Source: primary data source</w:t>
      </w:r>
    </w:p>
    <w:p w14:paraId="480FC07F" w14:textId="0FF9E0C0" w:rsidR="00393A43" w:rsidRDefault="0058522C" w:rsidP="00A25A15">
      <w:pPr>
        <w:spacing w:before="100" w:beforeAutospacing="1" w:after="100" w:afterAutospacing="1"/>
        <w:jc w:val="both"/>
      </w:pPr>
      <w:r>
        <w:t>The data presented indicates that a significant proportion of the participants hold the view that improving fraud and mistake detection in IT audit systems requires an all-encompassing framework designed especially for the United States’ banking industry. 72% of the respondents believe that an IT audit systems framework is very necessary in order to reduce the numbers of fraud and errors in the Banking Sector. 24% agree with this notion and 4% are neutral towards having a framework that will aid in fraud and error detection. Research results showed that the framework for IT audit systems will greatly aid in the detection of fraud and errors. According to the majority of respondents, banks, auditors, regulators, and other stakeholders may all develop a common language and understanding by using a strong framework. It can encourage uniformity and cooperation in the detection, reporting, and correction of errors and fraud. 4% of respondents, however, are undecided about the idea that fraud and errors can be decreased with the use of an IT audit systems framework. These factors include market fluctuations, regulatory restrictions, and technological advancements. Additionally, they encompass challenges such as political interference, financial illiteracy, and economic upheavals.</w:t>
      </w:r>
    </w:p>
    <w:p w14:paraId="1F58B084" w14:textId="635EAF5C" w:rsidR="00393A43" w:rsidRPr="005455D8" w:rsidRDefault="00393A43" w:rsidP="00A25A15">
      <w:pPr>
        <w:spacing w:before="100" w:beforeAutospacing="1" w:after="100" w:afterAutospacing="1"/>
        <w:jc w:val="both"/>
      </w:pPr>
      <w:r w:rsidRPr="00B13C71">
        <w:t xml:space="preserve">Fig </w:t>
      </w:r>
      <w:r w:rsidR="00455F14">
        <w:t>8</w:t>
      </w:r>
      <w:r>
        <w:t>: The number</w:t>
      </w:r>
      <w:r w:rsidRPr="005455D8">
        <w:t xml:space="preserve"> of men and women who respond to the need for the framework</w:t>
      </w:r>
    </w:p>
    <w:p w14:paraId="28786C68" w14:textId="77777777" w:rsidR="00393A43" w:rsidRPr="00B13C71" w:rsidRDefault="00393A43" w:rsidP="00A25A15">
      <w:pPr>
        <w:pStyle w:val="Heading2"/>
        <w:spacing w:before="100" w:beforeAutospacing="1" w:after="100" w:afterAutospacing="1"/>
        <w:jc w:val="both"/>
      </w:pPr>
    </w:p>
    <w:p w14:paraId="2EE38AF4" w14:textId="77777777" w:rsidR="00393A43" w:rsidRPr="00B51861" w:rsidRDefault="00393A43" w:rsidP="00A25A15">
      <w:pPr>
        <w:spacing w:before="100" w:beforeAutospacing="1" w:after="100" w:afterAutospacing="1"/>
        <w:jc w:val="both"/>
      </w:pPr>
    </w:p>
    <w:p w14:paraId="6A567CD1" w14:textId="77777777" w:rsidR="00393A43" w:rsidRDefault="00393A43" w:rsidP="00A25A15">
      <w:pPr>
        <w:keepNext/>
        <w:spacing w:before="100" w:beforeAutospacing="1" w:after="100" w:afterAutospacing="1"/>
        <w:jc w:val="both"/>
      </w:pPr>
      <w:r w:rsidRPr="00B51861">
        <w:rPr>
          <w:noProof/>
        </w:rPr>
        <w:lastRenderedPageBreak/>
        <w:drawing>
          <wp:inline distT="0" distB="0" distL="0" distR="0" wp14:anchorId="769DBFBE" wp14:editId="1CD1C2C1">
            <wp:extent cx="4274288" cy="265988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589" cy="2671897"/>
                    </a:xfrm>
                    <a:prstGeom prst="rect">
                      <a:avLst/>
                    </a:prstGeom>
                    <a:noFill/>
                  </pic:spPr>
                </pic:pic>
              </a:graphicData>
            </a:graphic>
          </wp:inline>
        </w:drawing>
      </w:r>
    </w:p>
    <w:p w14:paraId="68C8354C" w14:textId="27421C6D" w:rsidR="00393A43" w:rsidRPr="005535B8" w:rsidRDefault="00393A43" w:rsidP="00A25A15">
      <w:pPr>
        <w:spacing w:before="100" w:beforeAutospacing="1" w:after="100" w:afterAutospacing="1"/>
        <w:jc w:val="both"/>
        <w:rPr>
          <w:rFonts w:ascii="Arial" w:hAnsi="Arial" w:cs="Arial"/>
          <w:b/>
          <w:iCs/>
        </w:rPr>
      </w:pPr>
      <w:r w:rsidRPr="005535B8">
        <w:rPr>
          <w:rFonts w:ascii="Arial" w:hAnsi="Arial" w:cs="Arial"/>
          <w:b/>
          <w:iCs/>
        </w:rPr>
        <w:t xml:space="preserve">Source: </w:t>
      </w:r>
      <w:r w:rsidR="005535B8" w:rsidRPr="005535B8">
        <w:rPr>
          <w:rFonts w:ascii="Arial" w:hAnsi="Arial" w:cs="Arial"/>
          <w:b/>
          <w:iCs/>
        </w:rPr>
        <w:t>Primary data source</w:t>
      </w:r>
    </w:p>
    <w:p w14:paraId="5CFCA76A" w14:textId="77777777" w:rsidR="0058522C" w:rsidRDefault="0058522C" w:rsidP="00A25A15">
      <w:pPr>
        <w:pStyle w:val="Heading2"/>
        <w:spacing w:before="100" w:beforeAutospacing="1" w:after="100" w:afterAutospacing="1"/>
        <w:jc w:val="both"/>
        <w:rPr>
          <w:b w:val="0"/>
          <w:bCs w:val="0"/>
          <w:sz w:val="20"/>
          <w:szCs w:val="20"/>
        </w:rPr>
      </w:pPr>
      <w:bookmarkStart w:id="42" w:name="_Toc167905298"/>
      <w:r w:rsidRPr="0058522C">
        <w:rPr>
          <w:b w:val="0"/>
          <w:bCs w:val="0"/>
          <w:sz w:val="20"/>
          <w:szCs w:val="20"/>
        </w:rPr>
        <w:t>The bar chart above shows that the above 15 males and females strongly agree that the comprehensive framework to enhance fraud error detection will work and is necessary. There is a slight difference in the number of males and females who strongly agree to this notion. A little over 5 males and females agree that the framework is necessary. This shows that the sample population believes in this framework and would want to give it a chance. The number of people who are neutral is a very insignificant figure.</w:t>
      </w:r>
    </w:p>
    <w:p w14:paraId="3C5854CF" w14:textId="46CCF652" w:rsidR="00393A43" w:rsidRPr="00FB0CE6" w:rsidRDefault="00393A43" w:rsidP="00A25A15">
      <w:pPr>
        <w:pStyle w:val="Heading2"/>
        <w:spacing w:before="100" w:beforeAutospacing="1" w:after="100" w:afterAutospacing="1"/>
        <w:jc w:val="both"/>
        <w:rPr>
          <w:rFonts w:ascii="Arial" w:hAnsi="Arial" w:cs="Arial"/>
          <w:sz w:val="20"/>
          <w:szCs w:val="20"/>
          <w:lang w:val="en-US"/>
        </w:rPr>
      </w:pPr>
      <w:r w:rsidRPr="00FB0CE6">
        <w:rPr>
          <w:rFonts w:ascii="Arial" w:hAnsi="Arial" w:cs="Arial"/>
          <w:sz w:val="20"/>
          <w:szCs w:val="20"/>
          <w:lang w:val="en-US"/>
        </w:rPr>
        <w:t>4.</w:t>
      </w:r>
      <w:r w:rsidR="00BA3DD5">
        <w:rPr>
          <w:rFonts w:ascii="Arial" w:hAnsi="Arial" w:cs="Arial"/>
          <w:sz w:val="20"/>
          <w:szCs w:val="20"/>
          <w:lang w:val="en-US"/>
        </w:rPr>
        <w:t>2</w:t>
      </w:r>
      <w:r w:rsidRPr="00FB0CE6">
        <w:rPr>
          <w:rFonts w:ascii="Arial" w:hAnsi="Arial" w:cs="Arial"/>
          <w:sz w:val="20"/>
          <w:szCs w:val="20"/>
          <w:lang w:val="en-US"/>
        </w:rPr>
        <w:t>.2 Objective 1: To review and analyze the existing IT audit systems and frameworks for fraud and error detection, identifying their limitations and areas for improvement</w:t>
      </w:r>
      <w:bookmarkEnd w:id="42"/>
    </w:p>
    <w:p w14:paraId="254A94AC" w14:textId="5FFBEC29" w:rsidR="00393A43" w:rsidRDefault="0058522C" w:rsidP="00A25A15">
      <w:pPr>
        <w:spacing w:before="100" w:beforeAutospacing="1" w:after="100" w:afterAutospacing="1"/>
        <w:jc w:val="both"/>
      </w:pPr>
      <w:r w:rsidRPr="0058522C">
        <w:t>The first sub-research question established the limitations and challenges of existing IT audit systems in detecting and preventing fraud and errors. The findings on the review and analysis of the existing IT audit systems and frameworks for fraud and error detection, identifying their limitations</w:t>
      </w:r>
    </w:p>
    <w:p w14:paraId="472C7182" w14:textId="1FE74A5A" w:rsidR="00393A43" w:rsidRPr="00FB0CE6" w:rsidRDefault="00393A43" w:rsidP="00A25A15">
      <w:pPr>
        <w:pStyle w:val="Heading2"/>
        <w:spacing w:before="100" w:beforeAutospacing="1" w:after="100" w:afterAutospacing="1"/>
        <w:jc w:val="both"/>
        <w:rPr>
          <w:rFonts w:ascii="Arial" w:hAnsi="Arial" w:cs="Arial"/>
          <w:sz w:val="20"/>
          <w:szCs w:val="20"/>
          <w:lang w:val="en-US"/>
        </w:rPr>
      </w:pPr>
      <w:bookmarkStart w:id="43" w:name="_Toc167905300"/>
      <w:r w:rsidRPr="00FB0CE6">
        <w:rPr>
          <w:rFonts w:ascii="Arial" w:hAnsi="Arial" w:cs="Arial"/>
          <w:sz w:val="20"/>
          <w:szCs w:val="20"/>
          <w:lang w:val="en-US"/>
        </w:rPr>
        <w:t>4.</w:t>
      </w:r>
      <w:r w:rsidR="00BA3DD5">
        <w:rPr>
          <w:rFonts w:ascii="Arial" w:hAnsi="Arial" w:cs="Arial"/>
          <w:sz w:val="20"/>
          <w:szCs w:val="20"/>
          <w:lang w:val="en-US"/>
        </w:rPr>
        <w:t>2</w:t>
      </w:r>
      <w:r w:rsidRPr="00FB0CE6">
        <w:rPr>
          <w:rFonts w:ascii="Arial" w:hAnsi="Arial" w:cs="Arial"/>
          <w:sz w:val="20"/>
          <w:szCs w:val="20"/>
          <w:lang w:val="en-US"/>
        </w:rPr>
        <w:t>.3 Objective 2: To identify the challenges and considerations in the implementation and adoption of the framework in real-world IT audit environments</w:t>
      </w:r>
      <w:bookmarkEnd w:id="43"/>
    </w:p>
    <w:p w14:paraId="15E16738" w14:textId="5E9FD123" w:rsidR="0058522C" w:rsidRDefault="0058522C" w:rsidP="00A25A15">
      <w:pPr>
        <w:spacing w:before="100" w:beforeAutospacing="1" w:after="100" w:afterAutospacing="1"/>
        <w:jc w:val="both"/>
        <w:rPr>
          <w:highlight w:val="white"/>
        </w:rPr>
      </w:pPr>
      <w:r>
        <w:rPr>
          <w:highlight w:val="white"/>
        </w:rPr>
        <w:t>The second sub-research question explored the key components and principles that affect fraud and error detection in IT audit systems? The findings on how challenges and considerations in the implementation and adoption of the framework in real-world IT audit environments.</w:t>
      </w:r>
    </w:p>
    <w:p w14:paraId="405C9344" w14:textId="77777777" w:rsidR="00393A43" w:rsidRPr="00FB0CE6" w:rsidRDefault="00393A43" w:rsidP="00A25A15">
      <w:pPr>
        <w:pStyle w:val="Heading2"/>
        <w:spacing w:before="100" w:beforeAutospacing="1" w:after="100" w:afterAutospacing="1"/>
        <w:jc w:val="both"/>
        <w:rPr>
          <w:rFonts w:ascii="Arial" w:hAnsi="Arial" w:cs="Arial"/>
          <w:sz w:val="20"/>
          <w:szCs w:val="20"/>
          <w:lang w:val="en-US"/>
        </w:rPr>
      </w:pPr>
      <w:r w:rsidRPr="00FB0CE6">
        <w:rPr>
          <w:rFonts w:ascii="Arial" w:hAnsi="Arial" w:cs="Arial"/>
          <w:sz w:val="20"/>
          <w:szCs w:val="20"/>
        </w:rPr>
        <w:t>4.3.3.1 Which of the following do you consider as the major challenges in detecting and preventing fraud and errors in IT audit systems for the banking sector in United States?</w:t>
      </w:r>
    </w:p>
    <w:p w14:paraId="3A8A6867" w14:textId="0C4378D0" w:rsidR="00393A43" w:rsidRPr="00116DB8" w:rsidRDefault="00393A43" w:rsidP="00A25A15">
      <w:pPr>
        <w:spacing w:before="100" w:beforeAutospacing="1" w:after="100" w:afterAutospacing="1"/>
        <w:jc w:val="both"/>
        <w:rPr>
          <w:lang w:val="en-US"/>
        </w:rPr>
      </w:pPr>
      <w:r>
        <w:t xml:space="preserve">Figure </w:t>
      </w:r>
      <w:r w:rsidR="00765E0D">
        <w:t>9</w:t>
      </w:r>
      <w:r>
        <w:t>: Responses from participants on the major challenges in detecting and preventing fraud and errors in IT audit systems for the banking sector in United States</w:t>
      </w:r>
    </w:p>
    <w:p w14:paraId="6AD402F2" w14:textId="77777777" w:rsidR="00393A43" w:rsidRDefault="00393A43" w:rsidP="00A25A15">
      <w:pPr>
        <w:keepNext/>
        <w:spacing w:before="100" w:beforeAutospacing="1" w:after="100" w:afterAutospacing="1"/>
        <w:jc w:val="both"/>
      </w:pPr>
      <w:r w:rsidRPr="00B51861">
        <w:rPr>
          <w:noProof/>
        </w:rPr>
        <w:lastRenderedPageBreak/>
        <w:drawing>
          <wp:inline distT="0" distB="0" distL="0" distR="0" wp14:anchorId="5379A5C1" wp14:editId="7CD8C02A">
            <wp:extent cx="5731510" cy="20948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94865"/>
                    </a:xfrm>
                    <a:prstGeom prst="rect">
                      <a:avLst/>
                    </a:prstGeom>
                  </pic:spPr>
                </pic:pic>
              </a:graphicData>
            </a:graphic>
          </wp:inline>
        </w:drawing>
      </w:r>
    </w:p>
    <w:p w14:paraId="2AC8D2A7" w14:textId="15953C48" w:rsidR="00393A43" w:rsidRPr="005535B8" w:rsidRDefault="00393A43" w:rsidP="00A25A15">
      <w:pPr>
        <w:spacing w:before="100" w:beforeAutospacing="1" w:after="100" w:afterAutospacing="1"/>
        <w:jc w:val="both"/>
        <w:rPr>
          <w:rFonts w:ascii="Arial" w:hAnsi="Arial" w:cs="Arial"/>
          <w:b/>
          <w:lang w:val="en-US"/>
        </w:rPr>
      </w:pPr>
      <w:r w:rsidRPr="005535B8">
        <w:rPr>
          <w:rFonts w:ascii="Arial" w:hAnsi="Arial" w:cs="Arial"/>
          <w:b/>
          <w:lang w:val="en-US"/>
        </w:rPr>
        <w:t xml:space="preserve">Source: primary data source </w:t>
      </w:r>
    </w:p>
    <w:p w14:paraId="5B66CA6B" w14:textId="48FBB88B" w:rsidR="0058522C" w:rsidRDefault="0058522C" w:rsidP="00A25A15">
      <w:pPr>
        <w:pStyle w:val="Heading2"/>
        <w:spacing w:before="100" w:beforeAutospacing="1" w:after="100" w:afterAutospacing="1"/>
        <w:jc w:val="both"/>
        <w:rPr>
          <w:b w:val="0"/>
          <w:bCs w:val="0"/>
          <w:sz w:val="20"/>
          <w:szCs w:val="20"/>
        </w:rPr>
      </w:pPr>
      <w:bookmarkStart w:id="44" w:name="_Toc167905302"/>
      <w:r w:rsidRPr="0058522C">
        <w:rPr>
          <w:b w:val="0"/>
          <w:bCs w:val="0"/>
          <w:sz w:val="20"/>
          <w:szCs w:val="20"/>
        </w:rPr>
        <w:t xml:space="preserve">In addition, Figure 9 above shows that 43 (86%) of the participants believe that inadequate IT infrastructure and systems control is the main obstacle to detecting and preventing fraud in U.S. banks. This suggests that the banking sector needs to invest in systems and software that are up to date and very efficient. Of the participants, 18 (36%) believe that one of the major challenges in fraud and error detection in IT audit systems in the United States is lack of employee training awareness. This indicates that staff are not being trained on the use of their IT audit systems or to be aware of any malicious activities in the systems that they use on a daily basis. One of the difficulties in preventing fraud in banks is the shortage of IT audit professionals 21 (42%). To overcome this issue, workshops must be held. One of the main issues is the evolution of cyber threats and hacking techniques, with a value of 43 (86%). The fact that hackers are constantly experimenting with new hacking techniques to commit fraud indicates that this has been a serious problem, which the SECURE framework will attempt to address. One of the biggest obstacles to the discovery of fraud and errors in IT audit systems is ineffective incident response and investigation protocols, which have a rating of 38 (76%), indicating that the IT audit </w:t>
      </w:r>
      <w:r w:rsidR="00D17E06" w:rsidRPr="0058522C">
        <w:rPr>
          <w:b w:val="0"/>
          <w:bCs w:val="0"/>
          <w:sz w:val="20"/>
          <w:szCs w:val="20"/>
        </w:rPr>
        <w:t>is</w:t>
      </w:r>
      <w:r w:rsidRPr="0058522C">
        <w:rPr>
          <w:b w:val="0"/>
          <w:bCs w:val="0"/>
          <w:sz w:val="20"/>
          <w:szCs w:val="20"/>
        </w:rPr>
        <w:t xml:space="preserve"> not completing their work to perfection and close monitoring has to be implemented in order to enhance fraud and error detection. Finally, the statistic shows that 13 (26%) of the participants think that the complexity of regulatory compliance presents a problem when it comes to identifying fraud and errors in banks through intricate rules and procedures that must be adhered to. The findings show that most participants believe the two primary obstacles to fraud and mistake detection in U.S. banks are outdated IT infrastructure and system controls, as well as evolving cyber threats and hacking strategies. Harrington (2023) states that utilities should make every effort to implement robust control systems in order to reduce the amount of fraud and errors in their banking systems.</w:t>
      </w:r>
    </w:p>
    <w:p w14:paraId="1FEDADFF" w14:textId="46DBF5EE" w:rsidR="00393A43" w:rsidRPr="00FB0CE6" w:rsidRDefault="00393A43" w:rsidP="00A25A15">
      <w:pPr>
        <w:pStyle w:val="Heading2"/>
        <w:spacing w:before="100" w:beforeAutospacing="1" w:after="100" w:afterAutospacing="1"/>
        <w:jc w:val="both"/>
        <w:rPr>
          <w:rFonts w:ascii="Arial" w:hAnsi="Arial" w:cs="Arial"/>
          <w:sz w:val="20"/>
          <w:szCs w:val="20"/>
          <w:lang w:val="en-US"/>
        </w:rPr>
      </w:pPr>
      <w:r w:rsidRPr="00FB0CE6">
        <w:rPr>
          <w:rFonts w:ascii="Arial" w:hAnsi="Arial" w:cs="Arial"/>
          <w:sz w:val="20"/>
          <w:szCs w:val="20"/>
          <w:lang w:val="en-US"/>
        </w:rPr>
        <w:t>4.</w:t>
      </w:r>
      <w:r w:rsidR="00BA3DD5">
        <w:rPr>
          <w:rFonts w:ascii="Arial" w:hAnsi="Arial" w:cs="Arial"/>
          <w:sz w:val="20"/>
          <w:szCs w:val="20"/>
          <w:lang w:val="en-US"/>
        </w:rPr>
        <w:t>2</w:t>
      </w:r>
      <w:r w:rsidRPr="00FB0CE6">
        <w:rPr>
          <w:rFonts w:ascii="Arial" w:hAnsi="Arial" w:cs="Arial"/>
          <w:sz w:val="20"/>
          <w:szCs w:val="20"/>
          <w:lang w:val="en-US"/>
        </w:rPr>
        <w:t>.4 Objective 3: To implement the framework using real-world, assessing its effectiveness, accuracy and efficiency in detecting fraud and errors</w:t>
      </w:r>
      <w:bookmarkEnd w:id="44"/>
    </w:p>
    <w:p w14:paraId="7C38CC40" w14:textId="7BA88098" w:rsidR="00393A43" w:rsidRPr="00B51861" w:rsidRDefault="00393A43" w:rsidP="00A25A15">
      <w:pPr>
        <w:spacing w:before="100" w:beforeAutospacing="1" w:after="100" w:afterAutospacing="1"/>
        <w:jc w:val="both"/>
        <w:rPr>
          <w:lang w:val="en-US"/>
        </w:rPr>
      </w:pPr>
      <w:r w:rsidRPr="00B51861">
        <w:rPr>
          <w:lang w:val="en-US"/>
        </w:rPr>
        <w:t xml:space="preserve">The third sub-research question explored how the framework can be implemented and validated using real-world or simulated data to assess its effectiveness in detecting fraud and errors. The findings on the components that should be included in the framework to enhance fraud and error detection in IT audit systems were shown on Fig </w:t>
      </w:r>
      <w:r w:rsidR="00765E0D">
        <w:rPr>
          <w:lang w:val="en-US"/>
        </w:rPr>
        <w:t>10</w:t>
      </w:r>
      <w:r w:rsidRPr="00B51861">
        <w:rPr>
          <w:lang w:val="en-US"/>
        </w:rPr>
        <w:t xml:space="preserve"> below.</w:t>
      </w:r>
    </w:p>
    <w:p w14:paraId="2A00B16E" w14:textId="7FDC388A" w:rsidR="00393A43" w:rsidRPr="00FB0CE6" w:rsidRDefault="00393A43" w:rsidP="00A25A15">
      <w:pPr>
        <w:pStyle w:val="Heading2"/>
        <w:spacing w:before="100" w:beforeAutospacing="1" w:after="100" w:afterAutospacing="1"/>
        <w:jc w:val="both"/>
        <w:rPr>
          <w:rFonts w:ascii="Arial" w:hAnsi="Arial" w:cs="Arial"/>
          <w:sz w:val="20"/>
          <w:szCs w:val="20"/>
          <w:lang w:val="en-US"/>
        </w:rPr>
      </w:pPr>
      <w:bookmarkStart w:id="45" w:name="_Toc167905303"/>
      <w:r w:rsidRPr="00FB0CE6">
        <w:rPr>
          <w:rFonts w:ascii="Arial" w:hAnsi="Arial" w:cs="Arial"/>
          <w:sz w:val="20"/>
          <w:szCs w:val="20"/>
          <w:lang w:val="en-US"/>
        </w:rPr>
        <w:t>4.</w:t>
      </w:r>
      <w:r w:rsidR="00BA3DD5">
        <w:rPr>
          <w:rFonts w:ascii="Arial" w:hAnsi="Arial" w:cs="Arial"/>
          <w:sz w:val="20"/>
          <w:szCs w:val="20"/>
          <w:lang w:val="en-US"/>
        </w:rPr>
        <w:t>2</w:t>
      </w:r>
      <w:r w:rsidRPr="00FB0CE6">
        <w:rPr>
          <w:rFonts w:ascii="Arial" w:hAnsi="Arial" w:cs="Arial"/>
          <w:sz w:val="20"/>
          <w:szCs w:val="20"/>
          <w:lang w:val="en-US"/>
        </w:rPr>
        <w:t>.4.1 Which of the following components do you think should be included in the framework to enhance fraud and error detection in IT audit systems?</w:t>
      </w:r>
      <w:bookmarkEnd w:id="45"/>
    </w:p>
    <w:p w14:paraId="77A39E4D" w14:textId="7E57C6B6" w:rsidR="00393A43" w:rsidRPr="00922547" w:rsidRDefault="00393A43" w:rsidP="00A25A15">
      <w:pPr>
        <w:spacing w:before="100" w:beforeAutospacing="1" w:after="100" w:afterAutospacing="1"/>
        <w:jc w:val="both"/>
      </w:pPr>
      <w:r w:rsidRPr="00922547">
        <w:t xml:space="preserve">Figure </w:t>
      </w:r>
      <w:r w:rsidR="00765E0D">
        <w:t>10</w:t>
      </w:r>
      <w:r w:rsidRPr="00922547">
        <w:t>: Responses from participants on the components that should be included in the framework to enhance fraud and error detection in IT audit systems</w:t>
      </w:r>
    </w:p>
    <w:p w14:paraId="5AFCEBE7" w14:textId="77777777" w:rsidR="00393A43" w:rsidRPr="00B51861" w:rsidRDefault="00393A43" w:rsidP="00A25A15">
      <w:pPr>
        <w:spacing w:before="100" w:beforeAutospacing="1" w:after="100" w:afterAutospacing="1"/>
        <w:jc w:val="both"/>
        <w:rPr>
          <w:b/>
          <w:lang w:val="en-US"/>
        </w:rPr>
      </w:pPr>
    </w:p>
    <w:p w14:paraId="33F2E78B" w14:textId="77777777" w:rsidR="00393A43" w:rsidRDefault="00393A43" w:rsidP="00A25A15">
      <w:pPr>
        <w:keepNext/>
        <w:spacing w:before="100" w:beforeAutospacing="1" w:after="100" w:afterAutospacing="1"/>
        <w:jc w:val="both"/>
      </w:pPr>
      <w:r w:rsidRPr="00B51861">
        <w:rPr>
          <w:noProof/>
        </w:rPr>
        <w:lastRenderedPageBreak/>
        <w:drawing>
          <wp:inline distT="0" distB="0" distL="0" distR="0" wp14:anchorId="22511068" wp14:editId="1AEF3715">
            <wp:extent cx="5731510" cy="19761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76120"/>
                    </a:xfrm>
                    <a:prstGeom prst="rect">
                      <a:avLst/>
                    </a:prstGeom>
                  </pic:spPr>
                </pic:pic>
              </a:graphicData>
            </a:graphic>
          </wp:inline>
        </w:drawing>
      </w:r>
    </w:p>
    <w:p w14:paraId="6A670CB3" w14:textId="380B2165" w:rsidR="00393A43" w:rsidRDefault="00393A43" w:rsidP="00A25A15">
      <w:pPr>
        <w:spacing w:before="100" w:beforeAutospacing="1" w:after="100" w:afterAutospacing="1"/>
        <w:jc w:val="both"/>
        <w:rPr>
          <w:b/>
          <w:i/>
          <w:lang w:val="en-US"/>
        </w:rPr>
      </w:pPr>
      <w:r w:rsidRPr="00116DB8">
        <w:rPr>
          <w:b/>
          <w:i/>
          <w:lang w:val="en-US"/>
        </w:rPr>
        <w:t xml:space="preserve">Source: primary data source </w:t>
      </w:r>
    </w:p>
    <w:p w14:paraId="65ADDD03" w14:textId="77777777" w:rsidR="0058522C" w:rsidRDefault="0058522C" w:rsidP="00A25A15">
      <w:pPr>
        <w:pStyle w:val="Heading2"/>
        <w:spacing w:before="100" w:beforeAutospacing="1" w:after="100" w:afterAutospacing="1"/>
        <w:jc w:val="both"/>
        <w:rPr>
          <w:b w:val="0"/>
          <w:bCs w:val="0"/>
          <w:sz w:val="20"/>
          <w:szCs w:val="20"/>
        </w:rPr>
      </w:pPr>
      <w:bookmarkStart w:id="46" w:name="_Toc167905304"/>
      <w:r w:rsidRPr="0058522C">
        <w:rPr>
          <w:b w:val="0"/>
          <w:bCs w:val="0"/>
          <w:sz w:val="20"/>
          <w:szCs w:val="20"/>
        </w:rPr>
        <w:t>Furthermore, as Figure 10 demonstrates, 40 (80%) of the participants think that risk assessment and management are essential components of the framework that should be included in order to meet the goal of applying the framework in the real world to improve fraud and error detection in U.S. banks. Of the participants, 41 (82%) think that ongoing analysis and monitoring is a crucial element that needs to be included in the framework in order to decrease bank fraud because there are constant checks. Data analytics and anomaly detection are among the elements that must be included in the framework; 44 (88%) of the participants think that this is a crucial function that the framework must have as everything IT is always evolving. As shown by a figure of 33 (66%), the framework must handle the issue of segregation of roles with regard to signatures and payment processing. Lastly, the data reveals that 40 (80%) of the participants believe that the framework's components, including incident response and investigative processes, are necessary to ensure that the incident response plan is compliant with cyber security. According to Tingler (2022), a cybersecurity framework is crucial for organizations that handle large amounts of confidential data, like banks.</w:t>
      </w:r>
    </w:p>
    <w:p w14:paraId="73FA23BC" w14:textId="36B1EB44" w:rsidR="00393A43" w:rsidRPr="00FB0CE6" w:rsidRDefault="00393A43" w:rsidP="00A25A15">
      <w:pPr>
        <w:pStyle w:val="Heading2"/>
        <w:spacing w:before="100" w:beforeAutospacing="1" w:after="100" w:afterAutospacing="1"/>
        <w:jc w:val="both"/>
        <w:rPr>
          <w:rFonts w:ascii="Arial" w:hAnsi="Arial" w:cs="Arial"/>
          <w:sz w:val="20"/>
          <w:szCs w:val="20"/>
        </w:rPr>
      </w:pPr>
      <w:r w:rsidRPr="00FB0CE6">
        <w:rPr>
          <w:rFonts w:ascii="Arial" w:hAnsi="Arial" w:cs="Arial"/>
          <w:sz w:val="20"/>
          <w:szCs w:val="20"/>
        </w:rPr>
        <w:t>4.</w:t>
      </w:r>
      <w:r w:rsidR="00BA3DD5">
        <w:rPr>
          <w:rFonts w:ascii="Arial" w:hAnsi="Arial" w:cs="Arial"/>
          <w:sz w:val="20"/>
          <w:szCs w:val="20"/>
        </w:rPr>
        <w:t>2</w:t>
      </w:r>
      <w:r w:rsidRPr="00FB0CE6">
        <w:rPr>
          <w:rFonts w:ascii="Arial" w:hAnsi="Arial" w:cs="Arial"/>
          <w:sz w:val="20"/>
          <w:szCs w:val="20"/>
        </w:rPr>
        <w:t>.5 Objective 4: To investigate advanced analytical techniques that can be applied to enhance fraud and error detection in IT audit systems</w:t>
      </w:r>
      <w:bookmarkEnd w:id="46"/>
    </w:p>
    <w:p w14:paraId="5E39C9A6" w14:textId="00197D18" w:rsidR="00393A43" w:rsidRPr="00B51861" w:rsidRDefault="00393A43" w:rsidP="00A25A15">
      <w:pPr>
        <w:spacing w:before="100" w:beforeAutospacing="1" w:after="100" w:afterAutospacing="1"/>
        <w:jc w:val="both"/>
        <w:rPr>
          <w:lang w:val="en-US"/>
        </w:rPr>
      </w:pPr>
      <w:r w:rsidRPr="00B51861">
        <w:rPr>
          <w:lang w:val="en-US"/>
        </w:rPr>
        <w:t xml:space="preserve">The fourth sub-research question looks at advanced analytical techniques can be applied to enhance fraud and error detection in IT audit systems. The findings on the advanced analytical techniques that can be applied to enhance fraud and error detection in IT audit systems were shown on Fig </w:t>
      </w:r>
      <w:r w:rsidR="00765E0D">
        <w:rPr>
          <w:lang w:val="en-US"/>
        </w:rPr>
        <w:t>11</w:t>
      </w:r>
      <w:r w:rsidRPr="00B51861">
        <w:rPr>
          <w:lang w:val="en-US"/>
        </w:rPr>
        <w:t xml:space="preserve"> below.</w:t>
      </w:r>
    </w:p>
    <w:p w14:paraId="69F9C3F0" w14:textId="7F6EE831" w:rsidR="00393A43" w:rsidRPr="00FB0CE6" w:rsidRDefault="00393A43" w:rsidP="00A25A15">
      <w:pPr>
        <w:pStyle w:val="Heading2"/>
        <w:spacing w:before="100" w:beforeAutospacing="1" w:after="100" w:afterAutospacing="1"/>
        <w:jc w:val="both"/>
        <w:rPr>
          <w:rFonts w:ascii="Arial" w:hAnsi="Arial" w:cs="Arial"/>
          <w:sz w:val="20"/>
          <w:szCs w:val="20"/>
        </w:rPr>
      </w:pPr>
      <w:bookmarkStart w:id="47" w:name="_Toc167905305"/>
      <w:r w:rsidRPr="00FB0CE6">
        <w:rPr>
          <w:rFonts w:ascii="Arial" w:hAnsi="Arial" w:cs="Arial"/>
          <w:sz w:val="20"/>
          <w:szCs w:val="20"/>
        </w:rPr>
        <w:t>4.</w:t>
      </w:r>
      <w:r w:rsidR="00BA3DD5">
        <w:rPr>
          <w:rFonts w:ascii="Arial" w:hAnsi="Arial" w:cs="Arial"/>
          <w:sz w:val="20"/>
          <w:szCs w:val="20"/>
        </w:rPr>
        <w:t>2</w:t>
      </w:r>
      <w:r w:rsidRPr="00FB0CE6">
        <w:rPr>
          <w:rFonts w:ascii="Arial" w:hAnsi="Arial" w:cs="Arial"/>
          <w:sz w:val="20"/>
          <w:szCs w:val="20"/>
        </w:rPr>
        <w:t>.5.1 Do you think increasing the frequency of automated data reconciliations can help improve fraud and error detection in IT audit systems?</w:t>
      </w:r>
      <w:bookmarkEnd w:id="47"/>
    </w:p>
    <w:p w14:paraId="2DDEB7D6" w14:textId="5CB3D81C" w:rsidR="00393A43" w:rsidRPr="00B51861" w:rsidRDefault="00393A43" w:rsidP="00A25A15">
      <w:pPr>
        <w:spacing w:before="100" w:beforeAutospacing="1" w:after="100" w:afterAutospacing="1"/>
        <w:jc w:val="both"/>
        <w:rPr>
          <w:lang w:val="en-US"/>
        </w:rPr>
      </w:pPr>
      <w:r w:rsidRPr="00116DB8">
        <w:rPr>
          <w:lang w:val="en-US"/>
        </w:rPr>
        <w:t xml:space="preserve">Figure </w:t>
      </w:r>
      <w:r w:rsidR="00765E0D">
        <w:rPr>
          <w:lang w:val="en-US"/>
        </w:rPr>
        <w:t>11</w:t>
      </w:r>
      <w:r>
        <w:rPr>
          <w:lang w:val="en-US"/>
        </w:rPr>
        <w:t>:</w:t>
      </w:r>
      <w:r w:rsidRPr="00116DB8">
        <w:rPr>
          <w:lang w:val="en-US"/>
        </w:rPr>
        <w:t xml:space="preserve"> Responses from participants on whether increasing the frequency of automated data reconciliations can help improve fraud and error detection in IT audit systems</w:t>
      </w: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6"/>
      </w:tblGrid>
      <w:tr w:rsidR="00393A43" w:rsidRPr="00B51861" w14:paraId="38771685" w14:textId="77777777" w:rsidTr="00FE0480">
        <w:trPr>
          <w:trHeight w:val="3483"/>
        </w:trPr>
        <w:tc>
          <w:tcPr>
            <w:tcW w:w="6915" w:type="dxa"/>
          </w:tcPr>
          <w:p w14:paraId="543F6AED" w14:textId="77777777" w:rsidR="00393A43" w:rsidRDefault="00393A43" w:rsidP="00A25A15">
            <w:pPr>
              <w:keepNext/>
              <w:spacing w:before="100" w:beforeAutospacing="1" w:after="100" w:afterAutospacing="1"/>
              <w:jc w:val="both"/>
            </w:pPr>
            <w:r w:rsidRPr="00B51861">
              <w:rPr>
                <w:noProof/>
              </w:rPr>
              <w:lastRenderedPageBreak/>
              <w:drawing>
                <wp:inline distT="0" distB="0" distL="0" distR="0" wp14:anchorId="6620D72D" wp14:editId="14EBBC2E">
                  <wp:extent cx="4286250" cy="2124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6250" cy="2124075"/>
                          </a:xfrm>
                          <a:prstGeom prst="rect">
                            <a:avLst/>
                          </a:prstGeom>
                        </pic:spPr>
                      </pic:pic>
                    </a:graphicData>
                  </a:graphic>
                </wp:inline>
              </w:drawing>
            </w:r>
          </w:p>
          <w:p w14:paraId="1FF5EC4D" w14:textId="62F2822A" w:rsidR="00393A43" w:rsidRPr="00B51861" w:rsidRDefault="00393A43" w:rsidP="00A25A15">
            <w:pPr>
              <w:pStyle w:val="Caption"/>
              <w:spacing w:before="100" w:beforeAutospacing="1" w:after="100" w:afterAutospacing="1"/>
              <w:rPr>
                <w:lang w:val="en-US"/>
              </w:rPr>
            </w:pPr>
          </w:p>
        </w:tc>
      </w:tr>
    </w:tbl>
    <w:p w14:paraId="4BA7D045" w14:textId="77777777" w:rsidR="00393A43" w:rsidRPr="00B51861" w:rsidRDefault="00393A43" w:rsidP="00A25A15">
      <w:pPr>
        <w:spacing w:before="100" w:beforeAutospacing="1" w:after="100" w:afterAutospacing="1"/>
        <w:jc w:val="both"/>
        <w:rPr>
          <w:b/>
          <w:lang w:val="en-US"/>
        </w:rPr>
      </w:pPr>
    </w:p>
    <w:p w14:paraId="7FEDCCBE" w14:textId="09B5EF8E" w:rsidR="00393A43" w:rsidRDefault="00393A43" w:rsidP="00A25A15">
      <w:pPr>
        <w:spacing w:before="100" w:beforeAutospacing="1" w:after="100" w:afterAutospacing="1"/>
        <w:jc w:val="both"/>
        <w:rPr>
          <w:b/>
          <w:i/>
          <w:lang w:val="en-US"/>
        </w:rPr>
      </w:pPr>
      <w:r w:rsidRPr="00116DB8">
        <w:rPr>
          <w:b/>
          <w:i/>
          <w:lang w:val="en-US"/>
        </w:rPr>
        <w:t xml:space="preserve">Source: primary data source </w:t>
      </w:r>
    </w:p>
    <w:p w14:paraId="60D48185" w14:textId="734EE674" w:rsidR="00393A43" w:rsidRDefault="00393A43" w:rsidP="00A25A15">
      <w:pPr>
        <w:spacing w:before="100" w:beforeAutospacing="1" w:after="100" w:afterAutospacing="1"/>
        <w:jc w:val="both"/>
      </w:pPr>
      <w:r w:rsidRPr="00D4659C">
        <w:t>The information above indicates that most respondents</w:t>
      </w:r>
      <w:r w:rsidRPr="00B51861">
        <w:t xml:space="preserve">—98%—think that improving fraud and error detection in IT audit systems can be achieved by increasing the frequency of automated data reconciliations. Just 2% of participants don't think it will work, which is a very small percentage. Comparing several data sets to find any differences or inconsistencies is the process of automated data reconciliations </w:t>
      </w:r>
      <w:sdt>
        <w:sdtPr>
          <w:id w:val="-226680583"/>
          <w:citation/>
        </w:sdtPr>
        <w:sdtEndPr/>
        <w:sdtContent>
          <w:r w:rsidRPr="00B51861">
            <w:fldChar w:fldCharType="begin"/>
          </w:r>
          <w:r w:rsidRPr="00B51861">
            <w:rPr>
              <w:lang w:val="en-US"/>
            </w:rPr>
            <w:instrText xml:space="preserve"> CITATION JWe22 \l 1033 </w:instrText>
          </w:r>
          <w:r w:rsidRPr="00B51861">
            <w:fldChar w:fldCharType="separate"/>
          </w:r>
          <w:r w:rsidR="00D17E06">
            <w:rPr>
              <w:noProof/>
              <w:lang w:val="en-US"/>
            </w:rPr>
            <w:t>(Wembley, 2022)</w:t>
          </w:r>
          <w:r w:rsidRPr="00B51861">
            <w:fldChar w:fldCharType="end"/>
          </w:r>
        </w:sdtContent>
      </w:sdt>
      <w:r w:rsidRPr="00B51861">
        <w:t xml:space="preserve">. Banks can identify fraudulent activity or errors earlier and take appropriate steps to reduce risks by doing these reconciliations more regularly </w:t>
      </w:r>
      <w:sdt>
        <w:sdtPr>
          <w:id w:val="-2100635640"/>
          <w:citation/>
        </w:sdtPr>
        <w:sdtEndPr/>
        <w:sdtContent>
          <w:r w:rsidRPr="00B51861">
            <w:fldChar w:fldCharType="begin"/>
          </w:r>
          <w:r>
            <w:rPr>
              <w:lang w:val="en-US"/>
            </w:rPr>
            <w:instrText xml:space="preserve">CITATION DGa20 \l 1033 </w:instrText>
          </w:r>
          <w:r w:rsidRPr="00B51861">
            <w:fldChar w:fldCharType="separate"/>
          </w:r>
          <w:r w:rsidR="00D17E06">
            <w:rPr>
              <w:noProof/>
              <w:lang w:val="en-US"/>
            </w:rPr>
            <w:t>(Garner, 2020)</w:t>
          </w:r>
          <w:r w:rsidRPr="00B51861">
            <w:fldChar w:fldCharType="end"/>
          </w:r>
        </w:sdtContent>
      </w:sdt>
      <w:r w:rsidRPr="00B51861">
        <w:t>. Frequent reconciliations make it possible to identify irregularities early on. Banka can spot suspicious trends or transactions that depart from expected standards by routinely comparing data. The likelihood of stopping or lessening the effects of fraudulent activity is increased by this early discovery.</w:t>
      </w:r>
    </w:p>
    <w:p w14:paraId="0A662C38" w14:textId="57B9FBAD" w:rsidR="00393A43" w:rsidRDefault="00765E0D" w:rsidP="00A25A15">
      <w:pPr>
        <w:spacing w:before="100" w:beforeAutospacing="1" w:after="100" w:afterAutospacing="1"/>
        <w:jc w:val="both"/>
        <w:rPr>
          <w:rFonts w:ascii="Arial" w:eastAsia="Arial" w:hAnsi="Arial" w:cs="Arial"/>
          <w:b/>
          <w:bCs/>
        </w:rPr>
      </w:pPr>
      <w:r>
        <w:rPr>
          <w:rFonts w:ascii="Arial" w:eastAsia="Arial" w:hAnsi="Arial" w:cs="Arial"/>
          <w:b/>
          <w:bCs/>
        </w:rPr>
        <w:t>5</w:t>
      </w:r>
      <w:r w:rsidR="00393A43">
        <w:rPr>
          <w:rFonts w:ascii="Arial" w:eastAsia="Arial" w:hAnsi="Arial" w:cs="Arial"/>
          <w:b/>
          <w:bCs/>
        </w:rPr>
        <w:t>.0 Discussion of Findings</w:t>
      </w:r>
    </w:p>
    <w:p w14:paraId="7C133AB2" w14:textId="77777777" w:rsidR="0058522C" w:rsidRDefault="0058522C" w:rsidP="00A25A15">
      <w:pPr>
        <w:spacing w:before="100" w:beforeAutospacing="1" w:after="100" w:afterAutospacing="1"/>
        <w:jc w:val="both"/>
        <w:rPr>
          <w:highlight w:val="white"/>
        </w:rPr>
      </w:pPr>
      <w:r>
        <w:rPr>
          <w:highlight w:val="white"/>
        </w:rPr>
        <w:t>According to the research findings, present IT audit systems are somewhat effective due to numerous constraints and problems in detecting and preventing fraud and errors. The complexity of IT systems presents a huge challenge because they are intricate and constantly evolving. These systems frequently use established rules and patterns to detect anomalies, which may miss sophisticated and changing fraud schemes. This indicates the complexity of IT systems that need auditors that possess specific knowledge and skills in system structures, data flows, and potential risks.</w:t>
      </w:r>
    </w:p>
    <w:p w14:paraId="0DE2C75D" w14:textId="77777777" w:rsidR="0058522C" w:rsidRDefault="0058522C" w:rsidP="00A25A15">
      <w:pPr>
        <w:spacing w:before="100" w:beforeAutospacing="1" w:after="100" w:afterAutospacing="1"/>
        <w:jc w:val="both"/>
        <w:rPr>
          <w:highlight w:val="white"/>
        </w:rPr>
      </w:pPr>
      <w:r>
        <w:rPr>
          <w:highlight w:val="white"/>
        </w:rPr>
        <w:t>The research findings identify the important components and concepts that have a major impact on fraud and mistake detection in IT audit systems. These components and principles are critical in improving the efficacy of IT audit systems at detecting and preventing fraudulent activity and errors. IT system design and configuration have a significant impact on fraud and mistake detection. Controls implemented into well-designed systems include access limitations, segregation of duties, and transaction tracking. This implies that implementing strong controls, utilizing data analytics, conducting continuous monitoring, and encouraging collaboration are critical steps toward improving the fraud detection capabilities of IT audit systems.</w:t>
      </w:r>
    </w:p>
    <w:p w14:paraId="2E8BBE99" w14:textId="77777777" w:rsidR="0058522C" w:rsidRDefault="0058522C" w:rsidP="00A25A15">
      <w:pPr>
        <w:spacing w:before="100" w:beforeAutospacing="1" w:after="100" w:afterAutospacing="1"/>
        <w:jc w:val="both"/>
        <w:rPr>
          <w:highlight w:val="white"/>
        </w:rPr>
      </w:pPr>
      <w:r>
        <w:rPr>
          <w:highlight w:val="white"/>
        </w:rPr>
        <w:t>The research findings propose a paradigm for implementing and verifying fraud and error detection using real-world or simulated data. Crucially, this framework must also account for the unique characteristics and risks associated with the organization's specific IT systems and industry. This implies that validation with varied datasets and real-world scenarios contributes to increased trust in the framework's capacity to detect and prevent fraudulent acts and errors efficiently.</w:t>
      </w:r>
    </w:p>
    <w:p w14:paraId="64FCC876" w14:textId="77777777" w:rsidR="00393A43" w:rsidRPr="00393A43" w:rsidRDefault="00393A43" w:rsidP="00A25A15">
      <w:pPr>
        <w:spacing w:before="100" w:beforeAutospacing="1" w:after="100" w:afterAutospacing="1"/>
        <w:jc w:val="both"/>
        <w:rPr>
          <w:rFonts w:cs="Times New Roman"/>
          <w:szCs w:val="24"/>
        </w:rPr>
      </w:pPr>
    </w:p>
    <w:p w14:paraId="13DBED94" w14:textId="311F0DC1" w:rsidR="00377DA7" w:rsidRPr="0058522C" w:rsidRDefault="0058522C" w:rsidP="00A25A15">
      <w:pPr>
        <w:spacing w:before="100" w:beforeAutospacing="1" w:after="100" w:afterAutospacing="1"/>
        <w:jc w:val="both"/>
        <w:rPr>
          <w:highlight w:val="white"/>
        </w:rPr>
      </w:pPr>
      <w:r>
        <w:rPr>
          <w:highlight w:val="white"/>
        </w:rPr>
        <w:t>The research findings stress the use of advanced analytical approaches to improve fraud and error detection in IT audit systems. These strategies use advanced data analysis tools to identify patterns, abnormalities, and evidence of fraudulent activity. Big data analytics approaches allow for the processing and analysis of massive and diverse datasets; which traditional systems may fail to handle. Auditors can gain significant insights from massive amounts of data by utilizing distributed computing frameworks and parallel processing, hence improving fraud and mistake detection skills. Advanced analytical tools, including statistical modelling, machine learning algorithms, and data mining, can uncover anomalies in vast amounts of transactional data.</w:t>
      </w:r>
    </w:p>
    <w:p w14:paraId="08176E81" w14:textId="77777777" w:rsidR="0058522C" w:rsidRDefault="0058522C" w:rsidP="00A25A15">
      <w:pPr>
        <w:spacing w:before="100" w:beforeAutospacing="1" w:after="100" w:afterAutospacing="1"/>
        <w:jc w:val="both"/>
        <w:rPr>
          <w:highlight w:val="white"/>
        </w:rPr>
      </w:pPr>
      <w:r>
        <w:rPr>
          <w:highlight w:val="white"/>
        </w:rPr>
        <w:t>Existing IT audit systems have severe limits and problems for detecting and avoiding fraud and errors. These issues are caused by the complexity of IT systems, reliance on rule-based procedures, technical improvements, limited data integration and analytic skills, and a scarcity of competent IT auditors. Addressing these limits necessitates the use of increasingly advanced technology, comprehensive data integration and analytic frameworks, and an emphasis on auditor training and professional growth.</w:t>
      </w:r>
    </w:p>
    <w:p w14:paraId="700C5B53" w14:textId="09352DAE" w:rsidR="0058522C" w:rsidRDefault="0058522C" w:rsidP="00A25A15">
      <w:pPr>
        <w:spacing w:before="100" w:beforeAutospacing="1" w:after="100" w:afterAutospacing="1"/>
        <w:jc w:val="both"/>
        <w:rPr>
          <w:highlight w:val="white"/>
        </w:rPr>
      </w:pPr>
      <w:r>
        <w:rPr>
          <w:highlight w:val="white"/>
        </w:rPr>
        <w:t xml:space="preserve"> Enhancing fraud and mistake detection in IT audit systems requires adherence to the essential elements and principles found in the research findings. The total efficacy of IT audit systems is strengthened by system design, data quality, control monitoring, data analytics, audit trail analysis, continuous monitoring, risk assessment, and cooperation. Organizations can enhance their capacity to identify and stop errors and fraudulent activity in IT environments by using these elements and principles.</w:t>
      </w:r>
    </w:p>
    <w:p w14:paraId="381F94B4" w14:textId="5826211C" w:rsidR="0058522C" w:rsidRDefault="0058522C" w:rsidP="00A25A15">
      <w:pPr>
        <w:spacing w:before="100" w:beforeAutospacing="1" w:after="100" w:afterAutospacing="1"/>
        <w:jc w:val="both"/>
        <w:rPr>
          <w:highlight w:val="white"/>
        </w:rPr>
      </w:pPr>
      <w:r>
        <w:rPr>
          <w:highlight w:val="white"/>
        </w:rPr>
        <w:t xml:space="preserve"> The study's conclusions demonstrate how well the framework works in IT audit systems to implement and validate fraud and error detection features. Organizations can increase the efficacy of their IT audit systems in identifying and avoiding fraud and errors by using real-world or simulated data, carrying out extensive validation and testing, and encouraging ongoing development and alteration. More effective fraud detection systems can be achieved by using the framework, which offers an organized method that can be modified to meet the unique needs of the company.</w:t>
      </w:r>
    </w:p>
    <w:p w14:paraId="2C95BF23" w14:textId="49D11227" w:rsidR="0058522C" w:rsidRDefault="0058522C" w:rsidP="00A25A15">
      <w:pPr>
        <w:spacing w:before="100" w:beforeAutospacing="1" w:after="100" w:afterAutospacing="1"/>
        <w:jc w:val="both"/>
        <w:rPr>
          <w:highlight w:val="white"/>
        </w:rPr>
      </w:pPr>
      <w:r>
        <w:rPr>
          <w:highlight w:val="white"/>
        </w:rPr>
        <w:t xml:space="preserve"> The results of the study show that using sophisticated analytical methods improves the efficiency of fraud and error detection in IT audit systems. With the aid of these methods, auditors can find hidden trends, spot irregularities, forecast future dangers, and obtain a greater understanding of possible fraudulent activity. Organizations may protect their assets and reduce financial and reputational risks by proactively detecting and preventing fraud and errors through the integration of these strategies into IT audit systems.</w:t>
      </w:r>
    </w:p>
    <w:p w14:paraId="7EFF5196" w14:textId="32774DCB" w:rsidR="00377DA7" w:rsidRDefault="00765E0D" w:rsidP="00A25A15">
      <w:pPr>
        <w:spacing w:before="100" w:beforeAutospacing="1" w:after="100" w:afterAutospacing="1"/>
        <w:jc w:val="both"/>
        <w:rPr>
          <w:rFonts w:ascii="Arial" w:eastAsia="Arial" w:hAnsi="Arial" w:cs="Arial"/>
          <w:b/>
          <w:bCs/>
        </w:rPr>
      </w:pPr>
      <w:r>
        <w:rPr>
          <w:rFonts w:ascii="Arial" w:eastAsia="Arial" w:hAnsi="Arial" w:cs="Arial"/>
          <w:b/>
          <w:bCs/>
        </w:rPr>
        <w:t>6</w:t>
      </w:r>
      <w:r w:rsidR="00377DA7">
        <w:rPr>
          <w:rFonts w:ascii="Arial" w:eastAsia="Arial" w:hAnsi="Arial" w:cs="Arial"/>
          <w:b/>
          <w:bCs/>
        </w:rPr>
        <w:t>.0</w:t>
      </w:r>
      <w:r>
        <w:rPr>
          <w:rFonts w:ascii="Arial" w:eastAsia="Arial" w:hAnsi="Arial" w:cs="Arial"/>
          <w:b/>
          <w:bCs/>
        </w:rPr>
        <w:t xml:space="preserve"> </w:t>
      </w:r>
      <w:r w:rsidR="00377DA7">
        <w:rPr>
          <w:rFonts w:ascii="Arial" w:eastAsia="Arial" w:hAnsi="Arial" w:cs="Arial"/>
          <w:b/>
          <w:bCs/>
        </w:rPr>
        <w:t>Implications of the Study</w:t>
      </w:r>
    </w:p>
    <w:p w14:paraId="4C11204A" w14:textId="77777777" w:rsidR="0058522C" w:rsidRDefault="0058522C" w:rsidP="00A25A15">
      <w:pPr>
        <w:spacing w:before="100" w:beforeAutospacing="1" w:after="100" w:afterAutospacing="1"/>
        <w:jc w:val="both"/>
        <w:rPr>
          <w:highlight w:val="white"/>
        </w:rPr>
      </w:pPr>
      <w:r>
        <w:rPr>
          <w:highlight w:val="white"/>
        </w:rPr>
        <w:t>The research findings offer insightful information about the shortcomings and vulnerabilities of the current IT audit systems in the United States’ banking industry. The research aids in the creation of a framework that improves fraud prevention strategies by pointing out these shortcomings. This can assist U.S. banks in putting in place more efficient policies and processes to identify and stop fraudulent activity. Banks may suffer financial losses and operational inefficiencies as a result of IT system failures. The research findings identify common problem locations and suggest ways to improve IT audit systems' error detection capabilities. This lowers the possibility of monetary losses and harm to banks' reputations by resulting in more accurate and trustworthy financial reporting. The banking industry must comply with a number of regulations pertaining to data protection and IT systems. The results of your research can help build a framework that guarantees adherence to these rules. Banks can reduce legal and regulatory risks, stay out of trouble with the law, and avoid penalties by coordinating their IT audit systems with regulatory standards.</w:t>
      </w:r>
    </w:p>
    <w:p w14:paraId="3C84924A" w14:textId="6FC29245" w:rsidR="0058522C" w:rsidRDefault="0058522C" w:rsidP="00A25A15">
      <w:pPr>
        <w:spacing w:before="100" w:beforeAutospacing="1" w:after="100" w:afterAutospacing="1"/>
        <w:jc w:val="both"/>
        <w:rPr>
          <w:highlight w:val="white"/>
        </w:rPr>
      </w:pPr>
      <w:r>
        <w:rPr>
          <w:highlight w:val="white"/>
        </w:rPr>
        <w:t xml:space="preserve"> IT audit systems frequently require labor-and resource-intensive manual procedures. The study's conclusions investigate the possibilities for automation in IT audit procedures, </w:t>
      </w:r>
      <w:r w:rsidR="003A13EF">
        <w:rPr>
          <w:highlight w:val="white"/>
        </w:rPr>
        <w:t xml:space="preserve">including </w:t>
      </w:r>
      <w:r w:rsidR="003A13EF">
        <w:t>the application of artificial intelligence and data analytics</w:t>
      </w:r>
      <w:r>
        <w:rPr>
          <w:highlight w:val="white"/>
        </w:rPr>
        <w:t xml:space="preserve">. Banks in the United States can increase the effectiveness of fraud and mistake detection, lower expenses, and speed audit processes by implementing </w:t>
      </w:r>
      <w:r w:rsidR="003A13EF">
        <w:rPr>
          <w:highlight w:val="white"/>
        </w:rPr>
        <w:t>automation. Efficient</w:t>
      </w:r>
      <w:r>
        <w:rPr>
          <w:highlight w:val="white"/>
        </w:rPr>
        <w:t xml:space="preserve"> </w:t>
      </w:r>
      <w:r>
        <w:rPr>
          <w:highlight w:val="white"/>
        </w:rPr>
        <w:lastRenderedPageBreak/>
        <w:t>IT auditing systems are essential for detecting and controlling hazards related to technology use in the banking industry. The research findings strengthen the foundation for risk management by enhancing the capacity to detect fraud and errors. This assists banks in protecting sensitive client data, proactively identifying and mitigating IT-related risks, and upholding the integrity and security of their IT systems.</w:t>
      </w:r>
    </w:p>
    <w:p w14:paraId="1318409A" w14:textId="650F3196" w:rsidR="00377DA7" w:rsidRDefault="00217168" w:rsidP="00A25A15">
      <w:pPr>
        <w:spacing w:before="100" w:beforeAutospacing="1" w:after="100" w:afterAutospacing="1"/>
        <w:jc w:val="both"/>
        <w:rPr>
          <w:rFonts w:ascii="Arial" w:eastAsia="Arial" w:hAnsi="Arial" w:cs="Arial"/>
          <w:b/>
          <w:bCs/>
        </w:rPr>
      </w:pPr>
      <w:r>
        <w:rPr>
          <w:rFonts w:ascii="Arial" w:eastAsia="Arial" w:hAnsi="Arial" w:cs="Arial"/>
          <w:b/>
          <w:bCs/>
        </w:rPr>
        <w:t>7</w:t>
      </w:r>
      <w:r w:rsidR="00377DA7">
        <w:rPr>
          <w:rFonts w:ascii="Arial" w:eastAsia="Arial" w:hAnsi="Arial" w:cs="Arial"/>
          <w:b/>
          <w:bCs/>
        </w:rPr>
        <w:t>.0 Conclusion</w:t>
      </w:r>
    </w:p>
    <w:p w14:paraId="4AF33B10" w14:textId="6FB05703" w:rsidR="003A311C" w:rsidRDefault="00774ABD" w:rsidP="00A25A15">
      <w:pPr>
        <w:spacing w:before="100" w:beforeAutospacing="1" w:after="100" w:afterAutospacing="1"/>
        <w:jc w:val="both"/>
        <w:rPr>
          <w:rFonts w:ascii="Arial" w:eastAsia="Arial" w:hAnsi="Arial" w:cs="Arial"/>
        </w:rPr>
      </w:pPr>
      <w:r w:rsidRPr="00774ABD">
        <w:rPr>
          <w:rFonts w:ascii="Arial" w:eastAsia="Arial" w:hAnsi="Arial" w:cs="Arial"/>
        </w:rPr>
        <w:t>The study essentially solved the issue of vulnerable U.S. banking IT audit systems for sophisticated fraud and errors, which was a sector that already used complex digital infrastructure heavily. The paper lays out in detail the creation and validation of the SECURE framework, a carefully tested plan for switching from reactive, traditional audit methods to a proactive, continuous, and data, driven approach. Results from the field have shown that cyber static and rule, based audit procedures are not enough to counter modern threats because of poor data integration and a lack of real, time analysis. Then again, the SECURE framework goes on to prove that a bank's capability to spot anomalies is significantly boosted when it integrates parts like Systematic Risk Assessment, Effective Controls, Continuous Monitoring, Data Analytics, Regulatory Compliance, and Employee Training. The research methodology disclosed that 98% of the survey respondents believe that increasing the number of automated data reconciliations is the main reason for better detection rates. Moreover, the validation results pointed out that technical progress should go hand in hand with firm organizational controls for instance, duties segregation and strict access restrictions in order to be really efficacious.</w:t>
      </w:r>
    </w:p>
    <w:p w14:paraId="3B31A37F" w14:textId="2C510DD3" w:rsidR="00217168" w:rsidRPr="00217168" w:rsidRDefault="00217168" w:rsidP="00217168">
      <w:pPr>
        <w:spacing w:before="100" w:beforeAutospacing="1" w:after="100" w:afterAutospacing="1"/>
        <w:jc w:val="both"/>
        <w:rPr>
          <w:rFonts w:ascii="Arial" w:eastAsia="Arial" w:hAnsi="Arial" w:cs="Arial"/>
        </w:rPr>
      </w:pPr>
      <w:r>
        <w:rPr>
          <w:rFonts w:ascii="Arial" w:eastAsia="Arial" w:hAnsi="Arial" w:cs="Arial"/>
        </w:rPr>
        <w:t>8</w:t>
      </w:r>
      <w:r w:rsidRPr="00217168">
        <w:rPr>
          <w:rFonts w:ascii="Arial" w:eastAsia="Arial" w:hAnsi="Arial" w:cs="Arial"/>
        </w:rPr>
        <w:t>.0 Recommendations</w:t>
      </w:r>
    </w:p>
    <w:p w14:paraId="5B06F38B" w14:textId="13435C4C" w:rsidR="00217168" w:rsidRDefault="00217168" w:rsidP="00217168">
      <w:pPr>
        <w:spacing w:before="100" w:beforeAutospacing="1" w:after="100" w:afterAutospacing="1"/>
        <w:jc w:val="both"/>
        <w:rPr>
          <w:rFonts w:ascii="Arial" w:eastAsia="Arial" w:hAnsi="Arial" w:cs="Arial"/>
        </w:rPr>
      </w:pPr>
      <w:r w:rsidRPr="00217168">
        <w:rPr>
          <w:rFonts w:ascii="Arial" w:eastAsia="Arial" w:hAnsi="Arial" w:cs="Arial"/>
        </w:rPr>
        <w:t>Following the study results, the suggestions include that banks in the U.S. should first and foremost update their IT audit frameworks by introducing strong data validation controls and incorporating sophisticated analytical features. Banks have an obligation to maintain data integrity by frequently conducting their quality checks while, at the same time, they should carry out well, rounded training for their auditors to familiarize them with the latest threats. Most importantly, the research advocates for a transition to real-time detection using big data and machine learning to identify complex anomalies. To support this technological shift, banks must establish clear incident response plans, modernize legacy systems, and rigorously validate models to minimize false positives.</w:t>
      </w:r>
    </w:p>
    <w:p w14:paraId="1A3888EF" w14:textId="05E9EA95" w:rsidR="00217168" w:rsidRDefault="00217168" w:rsidP="00217168">
      <w:pPr>
        <w:spacing w:before="100" w:beforeAutospacing="1" w:after="100" w:afterAutospacing="1"/>
        <w:jc w:val="both"/>
        <w:rPr>
          <w:rFonts w:ascii="Arial" w:eastAsia="Arial" w:hAnsi="Arial" w:cs="Arial"/>
        </w:rPr>
      </w:pPr>
    </w:p>
    <w:p w14:paraId="541E0C09" w14:textId="77777777" w:rsidR="00217168" w:rsidRPr="00217168" w:rsidRDefault="00217168" w:rsidP="00217168">
      <w:pPr>
        <w:spacing w:before="100" w:beforeAutospacing="1" w:after="100" w:afterAutospacing="1"/>
        <w:jc w:val="both"/>
        <w:rPr>
          <w:rFonts w:ascii="Arial" w:eastAsia="Arial" w:hAnsi="Arial" w:cs="Arial"/>
          <w:b/>
        </w:rPr>
      </w:pPr>
      <w:r w:rsidRPr="00217168">
        <w:rPr>
          <w:rFonts w:ascii="Arial" w:eastAsia="Arial" w:hAnsi="Arial" w:cs="Arial"/>
          <w:b/>
        </w:rPr>
        <w:t xml:space="preserve">Consent </w:t>
      </w:r>
    </w:p>
    <w:p w14:paraId="79D8FA9E" w14:textId="1FC0A152" w:rsidR="00217168" w:rsidRDefault="00217168" w:rsidP="00217168">
      <w:pPr>
        <w:spacing w:before="100" w:beforeAutospacing="1" w:after="100" w:afterAutospacing="1"/>
        <w:jc w:val="both"/>
        <w:rPr>
          <w:rFonts w:ascii="Arial" w:eastAsia="Arial" w:hAnsi="Arial" w:cs="Arial"/>
        </w:rPr>
      </w:pPr>
      <w:r w:rsidRPr="00217168">
        <w:rPr>
          <w:rFonts w:ascii="Arial" w:eastAsia="Arial" w:hAnsi="Arial" w:cs="Arial"/>
        </w:rPr>
        <w:t>As per international standards or university standards, Participants’ written consent has been collected and preserved by the author(s).</w:t>
      </w:r>
      <w:bookmarkStart w:id="48" w:name="_GoBack"/>
      <w:bookmarkEnd w:id="48"/>
    </w:p>
    <w:p w14:paraId="6FBFFDD2" w14:textId="77777777" w:rsidR="00774ABD" w:rsidRPr="00EA7DCF" w:rsidRDefault="00774ABD" w:rsidP="00A25A15">
      <w:pPr>
        <w:spacing w:before="100" w:beforeAutospacing="1" w:after="100" w:afterAutospacing="1"/>
        <w:jc w:val="both"/>
        <w:rPr>
          <w:rFonts w:ascii="Arial" w:eastAsia="Arial" w:hAnsi="Arial" w:cs="Arial"/>
        </w:rPr>
      </w:pPr>
    </w:p>
    <w:p w14:paraId="1AEBC9A9" w14:textId="77777777" w:rsidR="00217168" w:rsidRPr="00217168" w:rsidRDefault="00217168" w:rsidP="00217168">
      <w:pPr>
        <w:spacing w:before="100" w:beforeAutospacing="1" w:after="100" w:afterAutospacing="1"/>
        <w:jc w:val="both"/>
        <w:rPr>
          <w:rFonts w:ascii="Arial" w:eastAsia="Arial" w:hAnsi="Arial" w:cs="Arial"/>
          <w:b/>
        </w:rPr>
      </w:pPr>
      <w:r w:rsidRPr="00217168">
        <w:rPr>
          <w:rFonts w:ascii="Arial" w:eastAsia="Arial" w:hAnsi="Arial" w:cs="Arial"/>
          <w:b/>
        </w:rPr>
        <w:t>Disclaimer (Artificial intelligence)</w:t>
      </w:r>
    </w:p>
    <w:p w14:paraId="24A3220E" w14:textId="4BF209F7" w:rsidR="003A311C" w:rsidRPr="00EA7DCF" w:rsidRDefault="00217168" w:rsidP="00217168">
      <w:pPr>
        <w:spacing w:before="100" w:beforeAutospacing="1" w:after="100" w:afterAutospacing="1"/>
        <w:jc w:val="both"/>
        <w:rPr>
          <w:rFonts w:ascii="Arial" w:eastAsia="Arial" w:hAnsi="Arial" w:cs="Arial"/>
        </w:rPr>
      </w:pPr>
      <w:r w:rsidRPr="00217168">
        <w:rPr>
          <w:rFonts w:ascii="Arial" w:eastAsia="Arial" w:hAnsi="Arial" w:cs="Arial"/>
        </w:rPr>
        <w:t>Author(s) hereby declare that NO generative AI technologies such as Large Language Models (</w:t>
      </w:r>
      <w:proofErr w:type="spellStart"/>
      <w:r w:rsidRPr="00217168">
        <w:rPr>
          <w:rFonts w:ascii="Arial" w:eastAsia="Arial" w:hAnsi="Arial" w:cs="Arial"/>
        </w:rPr>
        <w:t>ChatGPT</w:t>
      </w:r>
      <w:proofErr w:type="spellEnd"/>
      <w:r w:rsidRPr="00217168">
        <w:rPr>
          <w:rFonts w:ascii="Arial" w:eastAsia="Arial" w:hAnsi="Arial" w:cs="Arial"/>
        </w:rPr>
        <w:t>, COPILOT, etc.) and text-to-image generators have been used during the writing or editing of this manuscript.</w:t>
      </w:r>
    </w:p>
    <w:p w14:paraId="5F904C68" w14:textId="77777777" w:rsidR="005F33BD" w:rsidRPr="00EA7DCF" w:rsidRDefault="005F33BD" w:rsidP="00A25A15">
      <w:pPr>
        <w:spacing w:before="100" w:beforeAutospacing="1" w:after="100" w:afterAutospacing="1"/>
        <w:jc w:val="both"/>
        <w:rPr>
          <w:rFonts w:ascii="Arial" w:eastAsia="Arial" w:hAnsi="Arial" w:cs="Arial"/>
        </w:rPr>
      </w:pPr>
    </w:p>
    <w:p w14:paraId="71CD9F42" w14:textId="77777777" w:rsidR="005F33BD" w:rsidRPr="00EA7DCF" w:rsidRDefault="005F33BD" w:rsidP="00A25A15">
      <w:pPr>
        <w:spacing w:before="100" w:beforeAutospacing="1" w:after="100" w:afterAutospacing="1"/>
        <w:jc w:val="both"/>
        <w:rPr>
          <w:rFonts w:ascii="Arial" w:eastAsia="Arial" w:hAnsi="Arial" w:cs="Arial"/>
        </w:rPr>
      </w:pPr>
    </w:p>
    <w:p w14:paraId="204B35E5" w14:textId="77777777" w:rsidR="005F33BD" w:rsidRPr="00EA7DCF" w:rsidRDefault="005F33BD" w:rsidP="00A25A15">
      <w:pPr>
        <w:spacing w:before="100" w:beforeAutospacing="1" w:after="100" w:afterAutospacing="1"/>
        <w:jc w:val="both"/>
        <w:rPr>
          <w:rFonts w:ascii="Arial" w:eastAsia="Arial" w:hAnsi="Arial" w:cs="Arial"/>
        </w:rPr>
      </w:pPr>
    </w:p>
    <w:p w14:paraId="62D53939" w14:textId="77777777" w:rsidR="005F33BD" w:rsidRPr="00EA7DCF" w:rsidRDefault="005F33BD" w:rsidP="00A25A15">
      <w:pPr>
        <w:spacing w:before="100" w:beforeAutospacing="1" w:after="100" w:afterAutospacing="1"/>
        <w:jc w:val="both"/>
        <w:rPr>
          <w:rFonts w:ascii="Arial" w:eastAsia="Arial" w:hAnsi="Arial" w:cs="Arial"/>
        </w:rPr>
      </w:pPr>
    </w:p>
    <w:p w14:paraId="2A776D55" w14:textId="77777777" w:rsidR="005F33BD" w:rsidRPr="00EA7DCF" w:rsidRDefault="005F33BD" w:rsidP="00A25A15">
      <w:pPr>
        <w:spacing w:before="100" w:beforeAutospacing="1" w:after="100" w:afterAutospacing="1"/>
        <w:jc w:val="both"/>
        <w:rPr>
          <w:rFonts w:ascii="Arial" w:eastAsia="Arial" w:hAnsi="Arial" w:cs="Arial"/>
        </w:rPr>
      </w:pPr>
    </w:p>
    <w:p w14:paraId="1451CA66" w14:textId="77777777" w:rsidR="005F33BD" w:rsidRPr="00EA7DCF" w:rsidRDefault="005F33BD" w:rsidP="00A25A15">
      <w:pPr>
        <w:spacing w:before="100" w:beforeAutospacing="1" w:after="100" w:afterAutospacing="1"/>
        <w:jc w:val="both"/>
        <w:rPr>
          <w:rFonts w:ascii="Arial" w:hAnsi="Arial" w:cs="Arial"/>
        </w:rPr>
      </w:pPr>
    </w:p>
    <w:sdt>
      <w:sdtPr>
        <w:rPr>
          <w:rFonts w:ascii="Helvetica Neue" w:eastAsia="Helvetica Neue" w:hAnsi="Helvetica Neue" w:cs="Helvetica Neue"/>
          <w:b w:val="0"/>
          <w:bCs w:val="0"/>
          <w:sz w:val="20"/>
          <w:szCs w:val="20"/>
          <w:lang w:val="en-GB"/>
        </w:rPr>
        <w:id w:val="-1405985138"/>
        <w:docPartObj>
          <w:docPartGallery w:val="Bibliographies"/>
          <w:docPartUnique/>
        </w:docPartObj>
      </w:sdtPr>
      <w:sdtEndPr>
        <w:rPr>
          <w:lang w:val="en"/>
        </w:rPr>
      </w:sdtEndPr>
      <w:sdtContent>
        <w:p w14:paraId="26F3D398" w14:textId="112D0247" w:rsidR="00B32EC4" w:rsidRPr="00774ABD" w:rsidRDefault="00B32EC4" w:rsidP="00A25A15">
          <w:pPr>
            <w:pStyle w:val="Heading1"/>
            <w:spacing w:before="100" w:beforeAutospacing="1" w:after="100" w:afterAutospacing="1"/>
            <w:jc w:val="both"/>
            <w:rPr>
              <w:rFonts w:ascii="Helvetica Neue" w:eastAsia="Helvetica Neue" w:hAnsi="Helvetica Neue" w:cs="Helvetica Neue"/>
              <w:b w:val="0"/>
              <w:bCs w:val="0"/>
              <w:sz w:val="20"/>
              <w:szCs w:val="20"/>
              <w:lang w:val="en-GB"/>
            </w:rPr>
          </w:pPr>
          <w:r>
            <w:rPr>
              <w:lang w:val="en-GB"/>
            </w:rPr>
            <w:t>References</w:t>
          </w:r>
        </w:p>
        <w:sdt>
          <w:sdtPr>
            <w:id w:val="-573587230"/>
            <w:bibliography/>
          </w:sdtPr>
          <w:sdtEndPr/>
          <w:sdtContent>
            <w:p w14:paraId="61D9CB66" w14:textId="77777777" w:rsidR="00D17E06" w:rsidRDefault="00B32EC4" w:rsidP="00DA3A25">
              <w:pPr>
                <w:pStyle w:val="Bibliography"/>
                <w:numPr>
                  <w:ilvl w:val="0"/>
                  <w:numId w:val="3"/>
                </w:numPr>
                <w:spacing w:before="100" w:beforeAutospacing="1" w:after="100" w:afterAutospacing="1"/>
                <w:rPr>
                  <w:noProof/>
                  <w:sz w:val="24"/>
                  <w:szCs w:val="24"/>
                  <w:lang w:val="en-GB"/>
                </w:rPr>
              </w:pPr>
              <w:r>
                <w:fldChar w:fldCharType="begin"/>
              </w:r>
              <w:r>
                <w:instrText>BIBLIOGRAPHY</w:instrText>
              </w:r>
              <w:r>
                <w:fldChar w:fldCharType="separate"/>
              </w:r>
              <w:r w:rsidR="00D17E06">
                <w:rPr>
                  <w:noProof/>
                  <w:lang w:val="en-GB"/>
                </w:rPr>
                <w:t xml:space="preserve">(ACFE), A. o. (2024). </w:t>
              </w:r>
              <w:r w:rsidR="00D17E06">
                <w:rPr>
                  <w:i/>
                  <w:iCs/>
                  <w:noProof/>
                  <w:lang w:val="en-GB"/>
                </w:rPr>
                <w:t>Occupational fraud 2024: A report to the nations.</w:t>
              </w:r>
              <w:r w:rsidR="00D17E06">
                <w:rPr>
                  <w:noProof/>
                  <w:lang w:val="en-GB"/>
                </w:rPr>
                <w:t xml:space="preserve"> Retrieved from (ACFE), Association of Certified Fraud Examiners: https://www.acfe.com/report-to-the-nations/2024/</w:t>
              </w:r>
            </w:p>
            <w:p w14:paraId="7B5D05EE"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Al-Siyabi, M. &amp;.-B. (2025). The impact of artificial intelligence on financial auditing and fraud detection: A case study approach. </w:t>
              </w:r>
              <w:r>
                <w:rPr>
                  <w:i/>
                  <w:iCs/>
                  <w:noProof/>
                  <w:lang w:val="en-GB"/>
                </w:rPr>
                <w:t>Journal of Research and Innovation in Social Science</w:t>
              </w:r>
              <w:r>
                <w:rPr>
                  <w:noProof/>
                  <w:lang w:val="en-GB"/>
                </w:rPr>
                <w:t>, (9) 1.</w:t>
              </w:r>
            </w:p>
            <w:p w14:paraId="3AB981A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Aven, T. (2023). A framework for understanding risk based on the concepts of ontology and epistemology. </w:t>
              </w:r>
              <w:r>
                <w:rPr>
                  <w:i/>
                  <w:iCs/>
                  <w:noProof/>
                  <w:lang w:val="en-GB"/>
                </w:rPr>
                <w:t>Journal of Risk Research</w:t>
              </w:r>
              <w:r>
                <w:rPr>
                  <w:noProof/>
                  <w:lang w:val="en-GB"/>
                </w:rPr>
                <w:t>, 26 (6), 1-13.</w:t>
              </w:r>
            </w:p>
            <w:p w14:paraId="79AFF02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Babbie, E. (2016). The practice of social research (14th ed.). In </w:t>
              </w:r>
              <w:r>
                <w:rPr>
                  <w:i/>
                  <w:iCs/>
                  <w:noProof/>
                  <w:lang w:val="en-GB"/>
                </w:rPr>
                <w:t xml:space="preserve">Cengage Learning </w:t>
              </w:r>
              <w:r>
                <w:rPr>
                  <w:noProof/>
                  <w:lang w:val="en-GB"/>
                </w:rPr>
                <w:t>(p. Chapter 9 on Survey Research).</w:t>
              </w:r>
            </w:p>
            <w:p w14:paraId="6D9D1E79"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Bell, A. (2021). </w:t>
              </w:r>
              <w:r>
                <w:rPr>
                  <w:i/>
                  <w:iCs/>
                  <w:noProof/>
                  <w:lang w:val="en-GB"/>
                </w:rPr>
                <w:t>Research Methoods for business students</w:t>
              </w:r>
              <w:r>
                <w:rPr>
                  <w:noProof/>
                  <w:lang w:val="en-GB"/>
                </w:rPr>
                <w:t xml:space="preserve"> (sixth ed.). Oxford University Press.</w:t>
              </w:r>
            </w:p>
            <w:p w14:paraId="3FA6F02F"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Bell, E. B. (2022). Business research methods (6th ed.). Oxford University Press.</w:t>
              </w:r>
            </w:p>
            <w:p w14:paraId="0259080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Bhandari, P. (2023). Data collection methods: Step-by-step guide &amp; examples. </w:t>
              </w:r>
              <w:r>
                <w:rPr>
                  <w:i/>
                  <w:iCs/>
                  <w:noProof/>
                  <w:lang w:val="en-GB"/>
                </w:rPr>
                <w:t>Scribbr</w:t>
              </w:r>
              <w:r>
                <w:rPr>
                  <w:noProof/>
                  <w:lang w:val="en-GB"/>
                </w:rPr>
                <w:t>.</w:t>
              </w:r>
            </w:p>
            <w:p w14:paraId="2C95BCED"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Bryman, A. (2022). Business Research Methods. In J. Corbin (Ed.), </w:t>
              </w:r>
              <w:r>
                <w:rPr>
                  <w:i/>
                  <w:iCs/>
                  <w:noProof/>
                  <w:lang w:val="en-GB"/>
                </w:rPr>
                <w:t>Basics of Qualitative Research: Techniques and Procedures for Developing Grounded Theory</w:t>
              </w:r>
              <w:r>
                <w:rPr>
                  <w:noProof/>
                  <w:lang w:val="en-GB"/>
                </w:rPr>
                <w:t xml:space="preserve"> (4th ed., pp. 170-240). Oxfrod: Oxford University Press.</w:t>
              </w:r>
            </w:p>
            <w:p w14:paraId="077D956A"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Calder, A. (2023). </w:t>
              </w:r>
              <w:r>
                <w:rPr>
                  <w:i/>
                  <w:iCs/>
                  <w:noProof/>
                  <w:lang w:val="en-GB"/>
                </w:rPr>
                <w:t>IT governance: An international guide to data security and ISO27001/ISO27002 (8th ed.).</w:t>
              </w:r>
              <w:r>
                <w:rPr>
                  <w:noProof/>
                  <w:lang w:val="en-GB"/>
                </w:rPr>
                <w:t xml:space="preserve"> Kogan Page.</w:t>
              </w:r>
            </w:p>
            <w:p w14:paraId="77D9A84B"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Cohen, L. M. (2018). Research methods in education (8th ed.). </w:t>
              </w:r>
              <w:r>
                <w:rPr>
                  <w:i/>
                  <w:iCs/>
                  <w:noProof/>
                  <w:lang w:val="en-GB"/>
                </w:rPr>
                <w:t>Taylor Francis</w:t>
              </w:r>
              <w:r>
                <w:rPr>
                  <w:noProof/>
                  <w:lang w:val="en-GB"/>
                </w:rPr>
                <w:t>.</w:t>
              </w:r>
            </w:p>
            <w:p w14:paraId="741A4C90"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Cooper. (2022). Research Questionnaires. </w:t>
              </w:r>
              <w:r>
                <w:rPr>
                  <w:i/>
                  <w:iCs/>
                  <w:noProof/>
                  <w:lang w:val="en-GB"/>
                </w:rPr>
                <w:t>Research Methodlogies</w:t>
              </w:r>
              <w:r>
                <w:rPr>
                  <w:noProof/>
                  <w:lang w:val="en-GB"/>
                </w:rPr>
                <w:t>.</w:t>
              </w:r>
            </w:p>
            <w:p w14:paraId="2FF83250"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Creswell, J. W. (2017). </w:t>
              </w:r>
              <w:r>
                <w:rPr>
                  <w:i/>
                  <w:iCs/>
                  <w:noProof/>
                  <w:lang w:val="en-GB"/>
                </w:rPr>
                <w:t>Qualitative, Quantitative, and Mixed Methods Approaches</w:t>
              </w:r>
              <w:r>
                <w:rPr>
                  <w:noProof/>
                  <w:lang w:val="en-GB"/>
                </w:rPr>
                <w:t xml:space="preserve"> (fifth ed.). Sage Publications.</w:t>
              </w:r>
            </w:p>
            <w:p w14:paraId="5FAF069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Creswell, J. W. (2018). </w:t>
              </w:r>
              <w:r>
                <w:rPr>
                  <w:i/>
                  <w:iCs/>
                  <w:noProof/>
                  <w:lang w:val="en-GB"/>
                </w:rPr>
                <w:t>Research design: Qualitative, quantitative, and mixed methods approaches (5th ed.).</w:t>
              </w:r>
              <w:r>
                <w:rPr>
                  <w:noProof/>
                  <w:lang w:val="en-GB"/>
                </w:rPr>
                <w:t xml:space="preserve"> SAGE Publications.</w:t>
              </w:r>
            </w:p>
            <w:p w14:paraId="589CE5C3"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Creswell, J. W. (2023). </w:t>
              </w:r>
              <w:r>
                <w:rPr>
                  <w:i/>
                  <w:iCs/>
                  <w:noProof/>
                  <w:lang w:val="en-GB"/>
                </w:rPr>
                <w:t>Research design: Qualitative, quantitative, and mixed methods approaches (6th ed.).</w:t>
              </w:r>
              <w:r>
                <w:rPr>
                  <w:noProof/>
                  <w:lang w:val="en-GB"/>
                </w:rPr>
                <w:t xml:space="preserve"> Sage Publications.</w:t>
              </w:r>
            </w:p>
            <w:p w14:paraId="16273CF0"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Department of Justice, U. A. (2022, August 25). </w:t>
              </w:r>
              <w:r>
                <w:rPr>
                  <w:i/>
                  <w:iCs/>
                  <w:noProof/>
                  <w:lang w:val="en-GB"/>
                </w:rPr>
                <w:t>"D.C. Man Sentenced to Prison for Attempting to Steal More than $31 Million in COVID-19 Relief Funds.".</w:t>
              </w:r>
              <w:r>
                <w:rPr>
                  <w:noProof/>
                  <w:lang w:val="en-GB"/>
                </w:rPr>
                <w:t xml:space="preserve"> Retrieved from Justice.gov Press Release: https://www.google.com/search?q=https://www.justice.gov/usao-dc/pr/dc-man-sentenced-prison-attempting-steal-more-31-million-covid-19-relief-funds</w:t>
              </w:r>
            </w:p>
            <w:p w14:paraId="7A598785"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Garner, D. (2020). Data Reconciliations. In K. Johnstone (Ed.), </w:t>
              </w:r>
              <w:r>
                <w:rPr>
                  <w:i/>
                  <w:iCs/>
                  <w:noProof/>
                  <w:lang w:val="en-GB"/>
                </w:rPr>
                <w:t>Auditing: A Business Risk Approach</w:t>
              </w:r>
              <w:r>
                <w:rPr>
                  <w:noProof/>
                  <w:lang w:val="en-GB"/>
                </w:rPr>
                <w:t xml:space="preserve"> (pp. 400-770). Cengage Learning.</w:t>
              </w:r>
            </w:p>
            <w:p w14:paraId="57B0EC55"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Hamidovic, H. (2025). Enhancing IT maturity through IT General Controls (ITGC) audits. </w:t>
              </w:r>
              <w:r>
                <w:rPr>
                  <w:i/>
                  <w:iCs/>
                  <w:noProof/>
                  <w:lang w:val="en-GB"/>
                </w:rPr>
                <w:t>MEST Journal</w:t>
              </w:r>
              <w:r>
                <w:rPr>
                  <w:noProof/>
                  <w:lang w:val="en-GB"/>
                </w:rPr>
                <w:t>, 82-88.</w:t>
              </w:r>
            </w:p>
            <w:p w14:paraId="39674BD3"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Homer, E. (2020). Testing the fraud triangle: A systematic review. </w:t>
              </w:r>
              <w:r>
                <w:rPr>
                  <w:i/>
                  <w:iCs/>
                  <w:noProof/>
                  <w:lang w:val="en-GB"/>
                </w:rPr>
                <w:t>Journal of Financial Crime</w:t>
              </w:r>
              <w:r>
                <w:rPr>
                  <w:noProof/>
                  <w:lang w:val="en-GB"/>
                </w:rPr>
                <w:t>, 172-187.</w:t>
              </w:r>
            </w:p>
            <w:p w14:paraId="4AD4BA6A"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Joly, B. M. (2025). The development, validity, and reliability of the Researcher Investment Tool. </w:t>
              </w:r>
              <w:r>
                <w:rPr>
                  <w:i/>
                  <w:iCs/>
                  <w:noProof/>
                  <w:lang w:val="en-GB"/>
                </w:rPr>
                <w:t>Journal of Clinical and Translational Science</w:t>
              </w:r>
              <w:r>
                <w:rPr>
                  <w:noProof/>
                  <w:lang w:val="en-GB"/>
                </w:rPr>
                <w:t>.</w:t>
              </w:r>
            </w:p>
            <w:p w14:paraId="5E004966"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Kamal, S. A. (2020). </w:t>
              </w:r>
              <w:r>
                <w:rPr>
                  <w:i/>
                  <w:iCs/>
                  <w:noProof/>
                  <w:lang w:val="en-GB"/>
                </w:rPr>
                <w:t>Investigating acceptance of telemedicine services through an extended technology acceptance model (TAM). Technology in Society, 60, 101212</w:t>
              </w:r>
              <w:r>
                <w:rPr>
                  <w:noProof/>
                  <w:lang w:val="en-GB"/>
                </w:rPr>
                <w:t>. Retrieved from Science Direct: https://doi.org/10.1016/j.techsoc.2019.101212</w:t>
              </w:r>
            </w:p>
            <w:p w14:paraId="4C0CC68A"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Kumar, R. (2019). </w:t>
              </w:r>
              <w:r>
                <w:rPr>
                  <w:i/>
                  <w:iCs/>
                  <w:noProof/>
                  <w:lang w:val="en-GB"/>
                </w:rPr>
                <w:t>Research Methodlogy: A step by step guide</w:t>
              </w:r>
              <w:r>
                <w:rPr>
                  <w:noProof/>
                  <w:lang w:val="en-GB"/>
                </w:rPr>
                <w:t xml:space="preserve"> (fifth ed.). Sage publications.</w:t>
              </w:r>
            </w:p>
            <w:p w14:paraId="212978F9"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Montgomery, D. C. (2021). Introduction to linear regression analysis (6th ed.). </w:t>
              </w:r>
              <w:r>
                <w:rPr>
                  <w:i/>
                  <w:iCs/>
                  <w:noProof/>
                  <w:lang w:val="en-GB"/>
                </w:rPr>
                <w:t>Wiley</w:t>
              </w:r>
              <w:r>
                <w:rPr>
                  <w:noProof/>
                  <w:lang w:val="en-GB"/>
                </w:rPr>
                <w:t>.</w:t>
              </w:r>
            </w:p>
            <w:p w14:paraId="4F129DF5"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Neuman, W. (2020). </w:t>
              </w:r>
              <w:r>
                <w:rPr>
                  <w:i/>
                  <w:iCs/>
                  <w:noProof/>
                  <w:lang w:val="en-GB"/>
                </w:rPr>
                <w:t>Social Reserach Methods: Qualitative and Quanitative Approaches</w:t>
              </w:r>
              <w:r>
                <w:rPr>
                  <w:noProof/>
                  <w:lang w:val="en-GB"/>
                </w:rPr>
                <w:t xml:space="preserve"> (7th ed.). Pearson.</w:t>
              </w:r>
            </w:p>
            <w:p w14:paraId="18428E02"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Neuman, W. (2021). Quantitative and qualitative approach. In C. Teddlie (Ed.), </w:t>
              </w:r>
              <w:r>
                <w:rPr>
                  <w:i/>
                  <w:iCs/>
                  <w:noProof/>
                  <w:lang w:val="en-GB"/>
                </w:rPr>
                <w:t>Social Rsearch Methods</w:t>
              </w:r>
              <w:r>
                <w:rPr>
                  <w:noProof/>
                  <w:lang w:val="en-GB"/>
                </w:rPr>
                <w:t xml:space="preserve"> (pp. 90-120). London: Pearson education.</w:t>
              </w:r>
            </w:p>
            <w:p w14:paraId="4C4E9993"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lastRenderedPageBreak/>
                <w:t xml:space="preserve">Novosel, L. M. (2023). Understanding the evidence: Non-probability (non-random) sampling designs. In </w:t>
              </w:r>
              <w:r>
                <w:rPr>
                  <w:i/>
                  <w:iCs/>
                  <w:noProof/>
                  <w:lang w:val="en-GB"/>
                </w:rPr>
                <w:t>Urologic Nursing (43) 5</w:t>
              </w:r>
              <w:r>
                <w:rPr>
                  <w:noProof/>
                  <w:lang w:val="en-GB"/>
                </w:rPr>
                <w:t xml:space="preserve"> (pp. 245-247).</w:t>
              </w:r>
            </w:p>
            <w:p w14:paraId="7E6674BD"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Oyedotun, T. D. (2025). The role of internal audit in fraud detection and prevention: A multi-contextual review and research agenda. </w:t>
              </w:r>
              <w:r>
                <w:rPr>
                  <w:i/>
                  <w:iCs/>
                  <w:noProof/>
                  <w:lang w:val="en-GB"/>
                </w:rPr>
                <w:t>Journal of Science Research and Reviews</w:t>
              </w:r>
              <w:r>
                <w:rPr>
                  <w:noProof/>
                  <w:lang w:val="en-GB"/>
                </w:rPr>
                <w:t>, 76-85.</w:t>
              </w:r>
            </w:p>
            <w:p w14:paraId="3B997CC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Pawson, R. (2013). The science of evaluation: A realist manifesto. </w:t>
              </w:r>
              <w:r>
                <w:rPr>
                  <w:i/>
                  <w:iCs/>
                  <w:noProof/>
                  <w:lang w:val="en-GB"/>
                </w:rPr>
                <w:t>SAGE Publications</w:t>
              </w:r>
              <w:r>
                <w:rPr>
                  <w:noProof/>
                  <w:lang w:val="en-GB"/>
                </w:rPr>
                <w:t>.</w:t>
              </w:r>
            </w:p>
            <w:p w14:paraId="0A54E3E5"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QuestionPro. (2025, June 11). </w:t>
              </w:r>
              <w:r>
                <w:rPr>
                  <w:i/>
                  <w:iCs/>
                  <w:noProof/>
                  <w:lang w:val="en-GB"/>
                </w:rPr>
                <w:t>Descriptive research design: What it is, &amp; how to design it?</w:t>
              </w:r>
              <w:r>
                <w:rPr>
                  <w:noProof/>
                  <w:lang w:val="en-GB"/>
                </w:rPr>
                <w:t xml:space="preserve"> Retrieved from QuestionPro: https://www.questionpro.com/blog/descriptive-research-design/</w:t>
              </w:r>
            </w:p>
            <w:p w14:paraId="75B7767F"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Resnik, D. (2010). What is ethics in research and why it is important. </w:t>
              </w:r>
              <w:r>
                <w:rPr>
                  <w:i/>
                  <w:iCs/>
                  <w:noProof/>
                  <w:lang w:val="en-GB"/>
                </w:rPr>
                <w:t>National Institute of Environmental Health Sciences</w:t>
              </w:r>
              <w:r>
                <w:rPr>
                  <w:noProof/>
                  <w:lang w:val="en-GB"/>
                </w:rPr>
                <w:t>.</w:t>
              </w:r>
            </w:p>
            <w:p w14:paraId="1A49C9B8"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Romney, M. &amp;. (2021). </w:t>
              </w:r>
              <w:r>
                <w:rPr>
                  <w:i/>
                  <w:iCs/>
                  <w:noProof/>
                  <w:lang w:val="en-GB"/>
                </w:rPr>
                <w:t>Accounting information systems (15th ed.).</w:t>
              </w:r>
              <w:r>
                <w:rPr>
                  <w:noProof/>
                  <w:lang w:val="en-GB"/>
                </w:rPr>
                <w:t xml:space="preserve"> Pearson.</w:t>
              </w:r>
            </w:p>
            <w:p w14:paraId="1BCC5AC2"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Safitra, M. F. (2023, September 6). </w:t>
              </w:r>
              <w:r>
                <w:rPr>
                  <w:i/>
                  <w:iCs/>
                  <w:noProof/>
                  <w:lang w:val="en-GB"/>
                </w:rPr>
                <w:t>Counterattacking cyber threats: A framework for the future of cybersecurity. Sustainability.</w:t>
              </w:r>
              <w:r>
                <w:rPr>
                  <w:noProof/>
                  <w:lang w:val="en-GB"/>
                </w:rPr>
                <w:t xml:space="preserve"> Retrieved from MDPI Open Access Journals: https://www.mdpi.com/2071-1050/15/18/13369</w:t>
              </w:r>
            </w:p>
            <w:p w14:paraId="09C27FD3"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Saunders, M. L. (2019). </w:t>
              </w:r>
              <w:r>
                <w:rPr>
                  <w:i/>
                  <w:iCs/>
                  <w:noProof/>
                  <w:lang w:val="en-GB"/>
                </w:rPr>
                <w:t>Research methods for bsuiness students (8th ed.).</w:t>
              </w:r>
              <w:r>
                <w:rPr>
                  <w:noProof/>
                  <w:lang w:val="en-GB"/>
                </w:rPr>
                <w:t xml:space="preserve"> Pearson.</w:t>
              </w:r>
            </w:p>
            <w:p w14:paraId="05AE6FBD"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Saunders, M. N. (2023). </w:t>
              </w:r>
              <w:r>
                <w:rPr>
                  <w:i/>
                  <w:iCs/>
                  <w:noProof/>
                  <w:lang w:val="en-GB"/>
                </w:rPr>
                <w:t>Research methods for business students (9th ed.).</w:t>
              </w:r>
              <w:r>
                <w:rPr>
                  <w:noProof/>
                  <w:lang w:val="en-GB"/>
                </w:rPr>
                <w:t xml:space="preserve"> Pearson.</w:t>
              </w:r>
            </w:p>
            <w:p w14:paraId="10014DFA"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Sekaran, R. (2021). </w:t>
              </w:r>
              <w:r>
                <w:rPr>
                  <w:i/>
                  <w:iCs/>
                  <w:noProof/>
                  <w:lang w:val="en-GB"/>
                </w:rPr>
                <w:t>Social Research Methods</w:t>
              </w:r>
              <w:r>
                <w:rPr>
                  <w:noProof/>
                  <w:lang w:val="en-GB"/>
                </w:rPr>
                <w:t xml:space="preserve"> (7th ed.). Wiley.</w:t>
              </w:r>
            </w:p>
            <w:p w14:paraId="1D1918A9"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Solutions, L. R. (2022). </w:t>
              </w:r>
              <w:r>
                <w:rPr>
                  <w:i/>
                  <w:iCs/>
                  <w:noProof/>
                  <w:lang w:val="en-GB"/>
                </w:rPr>
                <w:t>True Cost of Fraud Study: Financial Services and Lending Report</w:t>
              </w:r>
              <w:r>
                <w:rPr>
                  <w:noProof/>
                  <w:lang w:val="en-GB"/>
                </w:rPr>
                <w:t>. Retrieved from LexisNexis Risk Solutions: https://risk.lexisnexis.com/global/en</w:t>
              </w:r>
            </w:p>
            <w:p w14:paraId="66D3BEA5"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Tangka, J. &amp;. (2025). Optimizing IT governance in BTS.id: A COBIT 2019-based analysis of design factors. </w:t>
              </w:r>
              <w:r>
                <w:rPr>
                  <w:i/>
                  <w:iCs/>
                  <w:noProof/>
                  <w:lang w:val="en-GB"/>
                </w:rPr>
                <w:t>Malcom: Indonesian Journal of Machine Learning</w:t>
              </w:r>
              <w:r>
                <w:rPr>
                  <w:noProof/>
                  <w:lang w:val="en-GB"/>
                </w:rPr>
                <w:t>, 699-710.</w:t>
              </w:r>
            </w:p>
            <w:p w14:paraId="6445A312"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Wembley, J. (2022). Data Analysis. </w:t>
              </w:r>
              <w:r>
                <w:rPr>
                  <w:i/>
                  <w:iCs/>
                  <w:noProof/>
                  <w:lang w:val="en-GB"/>
                </w:rPr>
                <w:t>Oxford Press</w:t>
              </w:r>
              <w:r>
                <w:rPr>
                  <w:noProof/>
                  <w:lang w:val="en-GB"/>
                </w:rPr>
                <w:t>, 800.</w:t>
              </w:r>
            </w:p>
            <w:p w14:paraId="5E8DCF4A" w14:textId="77777777" w:rsidR="00D17E06" w:rsidRDefault="00D17E06" w:rsidP="00DA3A25">
              <w:pPr>
                <w:pStyle w:val="Bibliography"/>
                <w:numPr>
                  <w:ilvl w:val="0"/>
                  <w:numId w:val="3"/>
                </w:numPr>
                <w:spacing w:before="100" w:beforeAutospacing="1" w:after="100" w:afterAutospacing="1"/>
                <w:rPr>
                  <w:noProof/>
                  <w:lang w:val="en-GB"/>
                </w:rPr>
              </w:pPr>
              <w:r>
                <w:rPr>
                  <w:noProof/>
                  <w:lang w:val="en-GB"/>
                </w:rPr>
                <w:t xml:space="preserve">Yin, R. (2020). </w:t>
              </w:r>
              <w:r>
                <w:rPr>
                  <w:i/>
                  <w:iCs/>
                  <w:noProof/>
                  <w:lang w:val="en-GB"/>
                </w:rPr>
                <w:t>Case Study Research and Applications: Design and Methods</w:t>
              </w:r>
              <w:r>
                <w:rPr>
                  <w:noProof/>
                  <w:lang w:val="en-GB"/>
                </w:rPr>
                <w:t xml:space="preserve"> (sixth ed.). Sage publications.</w:t>
              </w:r>
            </w:p>
            <w:p w14:paraId="73092CEE" w14:textId="468F8EFC" w:rsidR="00B32EC4" w:rsidRDefault="00B32EC4" w:rsidP="00A25A15">
              <w:pPr>
                <w:spacing w:before="100" w:beforeAutospacing="1" w:after="100" w:afterAutospacing="1"/>
                <w:jc w:val="both"/>
              </w:pPr>
              <w:r>
                <w:rPr>
                  <w:b/>
                  <w:bCs/>
                </w:rPr>
                <w:fldChar w:fldCharType="end"/>
              </w:r>
            </w:p>
          </w:sdtContent>
        </w:sdt>
      </w:sdtContent>
    </w:sdt>
    <w:p w14:paraId="4885DBBD" w14:textId="77777777" w:rsidR="00840899" w:rsidRPr="00EA7DCF" w:rsidRDefault="00840899" w:rsidP="00A25A15">
      <w:pPr>
        <w:spacing w:before="100" w:beforeAutospacing="1" w:after="100" w:afterAutospacing="1"/>
        <w:jc w:val="both"/>
        <w:rPr>
          <w:rFonts w:ascii="Arial" w:hAnsi="Arial" w:cs="Arial"/>
        </w:rPr>
      </w:pPr>
    </w:p>
    <w:p w14:paraId="12A794F8" w14:textId="0E8F4D7F" w:rsidR="00840899" w:rsidRPr="00EA7DCF" w:rsidRDefault="00840899" w:rsidP="00A25A15">
      <w:pPr>
        <w:spacing w:before="100" w:beforeAutospacing="1" w:after="100" w:afterAutospacing="1"/>
        <w:ind w:left="360" w:hanging="360"/>
        <w:jc w:val="both"/>
        <w:rPr>
          <w:rFonts w:ascii="Arial" w:hAnsi="Arial" w:cs="Arial"/>
        </w:rPr>
      </w:pPr>
    </w:p>
    <w:p w14:paraId="7222BE36" w14:textId="77777777" w:rsidR="00840899" w:rsidRPr="00EA7DCF" w:rsidRDefault="00840899" w:rsidP="00A25A15">
      <w:pPr>
        <w:spacing w:before="100" w:beforeAutospacing="1" w:after="100" w:afterAutospacing="1"/>
        <w:jc w:val="both"/>
        <w:rPr>
          <w:rFonts w:ascii="Arial" w:hAnsi="Arial" w:cs="Arial"/>
        </w:rPr>
      </w:pPr>
    </w:p>
    <w:p w14:paraId="2303D516" w14:textId="397B8C31" w:rsidR="00840899" w:rsidRPr="00EA7DCF" w:rsidRDefault="00840899" w:rsidP="00A25A15">
      <w:pPr>
        <w:spacing w:before="100" w:beforeAutospacing="1" w:after="100" w:afterAutospacing="1"/>
        <w:jc w:val="both"/>
        <w:rPr>
          <w:rFonts w:ascii="Arial" w:hAnsi="Arial" w:cs="Arial"/>
        </w:rPr>
      </w:pPr>
    </w:p>
    <w:p w14:paraId="6D5BEA51" w14:textId="27981447" w:rsidR="00840899" w:rsidRPr="00EA7DCF" w:rsidRDefault="00840899" w:rsidP="00A25A15">
      <w:pPr>
        <w:spacing w:before="100" w:beforeAutospacing="1" w:after="100" w:afterAutospacing="1"/>
        <w:jc w:val="both"/>
        <w:rPr>
          <w:rFonts w:ascii="Arial" w:hAnsi="Arial" w:cs="Arial"/>
        </w:rPr>
      </w:pPr>
    </w:p>
    <w:p w14:paraId="7A391990" w14:textId="77777777" w:rsidR="00840899" w:rsidRPr="00EA7DCF" w:rsidRDefault="00840899" w:rsidP="00A25A15">
      <w:pPr>
        <w:spacing w:before="100" w:beforeAutospacing="1" w:after="100" w:afterAutospacing="1"/>
        <w:jc w:val="both"/>
        <w:rPr>
          <w:rFonts w:ascii="Arial" w:hAnsi="Arial" w:cs="Arial"/>
        </w:rPr>
      </w:pPr>
    </w:p>
    <w:sectPr w:rsidR="00840899" w:rsidRPr="00EA7DCF">
      <w:headerReference w:type="even" r:id="rId23"/>
      <w:headerReference w:type="default" r:id="rId24"/>
      <w:headerReference w:type="firs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5736A" w14:textId="77777777" w:rsidR="00D4266C" w:rsidRDefault="00D4266C" w:rsidP="00EF2096">
      <w:r>
        <w:separator/>
      </w:r>
    </w:p>
  </w:endnote>
  <w:endnote w:type="continuationSeparator" w:id="0">
    <w:p w14:paraId="49128F7D" w14:textId="77777777" w:rsidR="00D4266C" w:rsidRDefault="00D4266C" w:rsidP="00EF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7F7C7CB-E75A-4D4F-83A9-6962B4805E3C}"/>
  </w:font>
  <w:font w:name="Cambria">
    <w:altName w:val="Cambria"/>
    <w:panose1 w:val="02040503050406030204"/>
    <w:charset w:val="00"/>
    <w:family w:val="roman"/>
    <w:pitch w:val="variable"/>
    <w:sig w:usb0="E00006FF" w:usb1="420024FF" w:usb2="02000000" w:usb3="00000000" w:csb0="0000019F" w:csb1="00000000"/>
    <w:embedRegular r:id="rId2" w:fontKey="{2D18156D-1A88-43E1-88F3-61DC8D85E0D6}"/>
    <w:embedBold r:id="rId3" w:fontKey="{31325128-EDA7-4B21-B64F-A33C847710A5}"/>
  </w:font>
  <w:font w:name="Open Sans">
    <w:altName w:val="Times New Roman"/>
    <w:charset w:val="00"/>
    <w:family w:val="swiss"/>
    <w:pitch w:val="variable"/>
    <w:sig w:usb0="E00002EF" w:usb1="4000205B" w:usb2="00000028" w:usb3="00000000" w:csb0="0000019F" w:csb1="00000000"/>
    <w:embedBold r:id="rId4" w:fontKey="{4E049725-8954-4B18-9B2C-4034A4D608DB}"/>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5" w:fontKey="{4D1A42D1-C204-43F1-A863-1E64C19269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30339" w14:textId="77777777" w:rsidR="00D4266C" w:rsidRDefault="00D4266C" w:rsidP="00EF2096">
      <w:r>
        <w:separator/>
      </w:r>
    </w:p>
  </w:footnote>
  <w:footnote w:type="continuationSeparator" w:id="0">
    <w:p w14:paraId="0D5A2FC8" w14:textId="77777777" w:rsidR="00D4266C" w:rsidRDefault="00D4266C" w:rsidP="00EF2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7CC4" w14:textId="64C99B54" w:rsidR="00EF2096" w:rsidRDefault="00D4266C">
    <w:pPr>
      <w:pStyle w:val="Header"/>
    </w:pPr>
    <w:r>
      <w:rPr>
        <w:noProof/>
      </w:rPr>
      <w:pict w14:anchorId="48D31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21F6" w14:textId="786C31CB" w:rsidR="00EF2096" w:rsidRDefault="00D4266C">
    <w:pPr>
      <w:pStyle w:val="Header"/>
    </w:pPr>
    <w:r>
      <w:rPr>
        <w:noProof/>
      </w:rPr>
      <w:pict w14:anchorId="566EE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FF60" w14:textId="0ED0B0B9" w:rsidR="00EF2096" w:rsidRDefault="00D4266C">
    <w:pPr>
      <w:pStyle w:val="Header"/>
    </w:pPr>
    <w:r>
      <w:rPr>
        <w:noProof/>
      </w:rPr>
      <w:pict w14:anchorId="7B087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8674A"/>
    <w:multiLevelType w:val="hybridMultilevel"/>
    <w:tmpl w:val="673CCF16"/>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20064108"/>
    <w:multiLevelType w:val="hybridMultilevel"/>
    <w:tmpl w:val="2EEA1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523B0"/>
    <w:multiLevelType w:val="hybridMultilevel"/>
    <w:tmpl w:val="673CCF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99"/>
    <w:rsid w:val="00006461"/>
    <w:rsid w:val="00044403"/>
    <w:rsid w:val="000528F5"/>
    <w:rsid w:val="00055F81"/>
    <w:rsid w:val="00071B41"/>
    <w:rsid w:val="000F00AE"/>
    <w:rsid w:val="00110AA4"/>
    <w:rsid w:val="00123A4E"/>
    <w:rsid w:val="00162CB3"/>
    <w:rsid w:val="001B0D31"/>
    <w:rsid w:val="001D11E1"/>
    <w:rsid w:val="00217168"/>
    <w:rsid w:val="002844F9"/>
    <w:rsid w:val="002C31A2"/>
    <w:rsid w:val="00377DA7"/>
    <w:rsid w:val="00386203"/>
    <w:rsid w:val="00393A43"/>
    <w:rsid w:val="003947A9"/>
    <w:rsid w:val="003A13EF"/>
    <w:rsid w:val="003A311C"/>
    <w:rsid w:val="003D502C"/>
    <w:rsid w:val="003F5515"/>
    <w:rsid w:val="00424221"/>
    <w:rsid w:val="00455F14"/>
    <w:rsid w:val="004B24AF"/>
    <w:rsid w:val="004C1E18"/>
    <w:rsid w:val="00515F34"/>
    <w:rsid w:val="00543901"/>
    <w:rsid w:val="005535B8"/>
    <w:rsid w:val="00553FAF"/>
    <w:rsid w:val="0058522C"/>
    <w:rsid w:val="005F33BD"/>
    <w:rsid w:val="00610A02"/>
    <w:rsid w:val="00635B2D"/>
    <w:rsid w:val="00661C18"/>
    <w:rsid w:val="006C7326"/>
    <w:rsid w:val="006E680B"/>
    <w:rsid w:val="00704FEB"/>
    <w:rsid w:val="00756E13"/>
    <w:rsid w:val="00757231"/>
    <w:rsid w:val="007655EF"/>
    <w:rsid w:val="00765E0D"/>
    <w:rsid w:val="00774ABD"/>
    <w:rsid w:val="007E1312"/>
    <w:rsid w:val="007E52A4"/>
    <w:rsid w:val="00840899"/>
    <w:rsid w:val="0085510F"/>
    <w:rsid w:val="008B654D"/>
    <w:rsid w:val="008E37C0"/>
    <w:rsid w:val="0091244B"/>
    <w:rsid w:val="00941AD9"/>
    <w:rsid w:val="009433B5"/>
    <w:rsid w:val="00961E37"/>
    <w:rsid w:val="009D3566"/>
    <w:rsid w:val="009E4930"/>
    <w:rsid w:val="00A10D5F"/>
    <w:rsid w:val="00A25A15"/>
    <w:rsid w:val="00A90000"/>
    <w:rsid w:val="00B131A5"/>
    <w:rsid w:val="00B32EC4"/>
    <w:rsid w:val="00B538AA"/>
    <w:rsid w:val="00B54B7D"/>
    <w:rsid w:val="00BA3DD5"/>
    <w:rsid w:val="00BB70C5"/>
    <w:rsid w:val="00BD1131"/>
    <w:rsid w:val="00C00D60"/>
    <w:rsid w:val="00C41F6F"/>
    <w:rsid w:val="00C823C8"/>
    <w:rsid w:val="00CE5BEA"/>
    <w:rsid w:val="00D17E06"/>
    <w:rsid w:val="00D204B7"/>
    <w:rsid w:val="00D236D6"/>
    <w:rsid w:val="00D414FF"/>
    <w:rsid w:val="00D4266C"/>
    <w:rsid w:val="00DA3A25"/>
    <w:rsid w:val="00DB45EC"/>
    <w:rsid w:val="00DC7B77"/>
    <w:rsid w:val="00E245F4"/>
    <w:rsid w:val="00E66904"/>
    <w:rsid w:val="00E70A6D"/>
    <w:rsid w:val="00EA6BC0"/>
    <w:rsid w:val="00EA7DCF"/>
    <w:rsid w:val="00EC3212"/>
    <w:rsid w:val="00ED3D7D"/>
    <w:rsid w:val="00EF2096"/>
    <w:rsid w:val="00F0426E"/>
    <w:rsid w:val="00F4779B"/>
    <w:rsid w:val="00F66375"/>
    <w:rsid w:val="00FB0CE6"/>
    <w:rsid w:val="00FC0960"/>
    <w:rsid w:val="00FE619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9A379E"/>
  <w15:docId w15:val="{0EAB5D2D-F9EC-415E-9E6F-75CA5082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Z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aption">
    <w:name w:val="caption"/>
    <w:basedOn w:val="Normal"/>
    <w:next w:val="Normal"/>
    <w:uiPriority w:val="35"/>
    <w:unhideWhenUsed/>
    <w:qFormat/>
    <w:rsid w:val="001B0D31"/>
    <w:pPr>
      <w:spacing w:after="200"/>
      <w:jc w:val="both"/>
    </w:pPr>
    <w:rPr>
      <w:rFonts w:ascii="Times New Roman" w:eastAsiaTheme="minorHAnsi" w:hAnsi="Times New Roman" w:cs="Open Sans"/>
      <w:b/>
      <w:bCs/>
      <w:color w:val="4F81BD" w:themeColor="accent1"/>
      <w:sz w:val="18"/>
      <w:szCs w:val="18"/>
      <w:lang w:val="en-ZW" w:eastAsia="en-US"/>
    </w:rPr>
  </w:style>
  <w:style w:type="character" w:styleId="Hyperlink">
    <w:name w:val="Hyperlink"/>
    <w:basedOn w:val="DefaultParagraphFont"/>
    <w:uiPriority w:val="99"/>
    <w:unhideWhenUsed/>
    <w:rsid w:val="009E4930"/>
    <w:rPr>
      <w:color w:val="0000FF" w:themeColor="hyperlink"/>
      <w:u w:val="single"/>
    </w:rPr>
  </w:style>
  <w:style w:type="character" w:styleId="UnresolvedMention">
    <w:name w:val="Unresolved Mention"/>
    <w:basedOn w:val="DefaultParagraphFont"/>
    <w:uiPriority w:val="99"/>
    <w:semiHidden/>
    <w:unhideWhenUsed/>
    <w:rsid w:val="009E4930"/>
    <w:rPr>
      <w:color w:val="605E5C"/>
      <w:shd w:val="clear" w:color="auto" w:fill="E1DFDD"/>
    </w:rPr>
  </w:style>
  <w:style w:type="paragraph" w:styleId="Header">
    <w:name w:val="header"/>
    <w:basedOn w:val="Normal"/>
    <w:link w:val="HeaderChar"/>
    <w:uiPriority w:val="99"/>
    <w:unhideWhenUsed/>
    <w:rsid w:val="00EF2096"/>
    <w:pPr>
      <w:tabs>
        <w:tab w:val="center" w:pos="4680"/>
        <w:tab w:val="right" w:pos="9360"/>
      </w:tabs>
    </w:pPr>
  </w:style>
  <w:style w:type="character" w:customStyle="1" w:styleId="HeaderChar">
    <w:name w:val="Header Char"/>
    <w:basedOn w:val="DefaultParagraphFont"/>
    <w:link w:val="Header"/>
    <w:uiPriority w:val="99"/>
    <w:rsid w:val="00EF2096"/>
  </w:style>
  <w:style w:type="paragraph" w:styleId="Footer">
    <w:name w:val="footer"/>
    <w:basedOn w:val="Normal"/>
    <w:link w:val="FooterChar"/>
    <w:uiPriority w:val="99"/>
    <w:unhideWhenUsed/>
    <w:rsid w:val="00EF2096"/>
    <w:pPr>
      <w:tabs>
        <w:tab w:val="center" w:pos="4680"/>
        <w:tab w:val="right" w:pos="9360"/>
      </w:tabs>
    </w:pPr>
  </w:style>
  <w:style w:type="character" w:customStyle="1" w:styleId="FooterChar">
    <w:name w:val="Footer Char"/>
    <w:basedOn w:val="DefaultParagraphFont"/>
    <w:link w:val="Footer"/>
    <w:uiPriority w:val="99"/>
    <w:rsid w:val="00EF2096"/>
  </w:style>
  <w:style w:type="character" w:customStyle="1" w:styleId="Heading1Char">
    <w:name w:val="Heading 1 Char"/>
    <w:basedOn w:val="DefaultParagraphFont"/>
    <w:link w:val="Heading1"/>
    <w:uiPriority w:val="9"/>
    <w:rsid w:val="00B32EC4"/>
    <w:rPr>
      <w:rFonts w:ascii="Arial" w:eastAsia="Arial" w:hAnsi="Arial" w:cs="Arial"/>
      <w:b/>
      <w:bCs/>
      <w:sz w:val="28"/>
      <w:szCs w:val="28"/>
    </w:rPr>
  </w:style>
  <w:style w:type="paragraph" w:styleId="Bibliography">
    <w:name w:val="Bibliography"/>
    <w:basedOn w:val="Normal"/>
    <w:next w:val="Normal"/>
    <w:uiPriority w:val="37"/>
    <w:unhideWhenUsed/>
    <w:rsid w:val="00B32EC4"/>
  </w:style>
  <w:style w:type="character" w:styleId="Emphasis">
    <w:name w:val="Emphasis"/>
    <w:uiPriority w:val="20"/>
    <w:qFormat/>
    <w:rsid w:val="00941AD9"/>
    <w:rPr>
      <w:i/>
      <w:iCs/>
    </w:rPr>
  </w:style>
  <w:style w:type="table" w:customStyle="1" w:styleId="TableGrid1">
    <w:name w:val="Table Grid1"/>
    <w:basedOn w:val="TableNormal"/>
    <w:next w:val="TableGrid"/>
    <w:uiPriority w:val="39"/>
    <w:rsid w:val="00393A43"/>
    <w:rPr>
      <w:rFonts w:ascii="Times New Roman" w:eastAsiaTheme="minorHAnsi" w:hAnsi="Times New Roman" w:cstheme="minorBidi"/>
      <w:sz w:val="24"/>
      <w:szCs w:val="22"/>
      <w:lang w:val="en-ZW"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93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248">
      <w:bodyDiv w:val="1"/>
      <w:marLeft w:val="0"/>
      <w:marRight w:val="0"/>
      <w:marTop w:val="0"/>
      <w:marBottom w:val="0"/>
      <w:divBdr>
        <w:top w:val="none" w:sz="0" w:space="0" w:color="auto"/>
        <w:left w:val="none" w:sz="0" w:space="0" w:color="auto"/>
        <w:bottom w:val="none" w:sz="0" w:space="0" w:color="auto"/>
        <w:right w:val="none" w:sz="0" w:space="0" w:color="auto"/>
      </w:divBdr>
    </w:div>
    <w:div w:id="31997636">
      <w:bodyDiv w:val="1"/>
      <w:marLeft w:val="0"/>
      <w:marRight w:val="0"/>
      <w:marTop w:val="0"/>
      <w:marBottom w:val="0"/>
      <w:divBdr>
        <w:top w:val="none" w:sz="0" w:space="0" w:color="auto"/>
        <w:left w:val="none" w:sz="0" w:space="0" w:color="auto"/>
        <w:bottom w:val="none" w:sz="0" w:space="0" w:color="auto"/>
        <w:right w:val="none" w:sz="0" w:space="0" w:color="auto"/>
      </w:divBdr>
    </w:div>
    <w:div w:id="39018084">
      <w:bodyDiv w:val="1"/>
      <w:marLeft w:val="0"/>
      <w:marRight w:val="0"/>
      <w:marTop w:val="0"/>
      <w:marBottom w:val="0"/>
      <w:divBdr>
        <w:top w:val="none" w:sz="0" w:space="0" w:color="auto"/>
        <w:left w:val="none" w:sz="0" w:space="0" w:color="auto"/>
        <w:bottom w:val="none" w:sz="0" w:space="0" w:color="auto"/>
        <w:right w:val="none" w:sz="0" w:space="0" w:color="auto"/>
      </w:divBdr>
    </w:div>
    <w:div w:id="54360911">
      <w:bodyDiv w:val="1"/>
      <w:marLeft w:val="0"/>
      <w:marRight w:val="0"/>
      <w:marTop w:val="0"/>
      <w:marBottom w:val="0"/>
      <w:divBdr>
        <w:top w:val="none" w:sz="0" w:space="0" w:color="auto"/>
        <w:left w:val="none" w:sz="0" w:space="0" w:color="auto"/>
        <w:bottom w:val="none" w:sz="0" w:space="0" w:color="auto"/>
        <w:right w:val="none" w:sz="0" w:space="0" w:color="auto"/>
      </w:divBdr>
    </w:div>
    <w:div w:id="100348028">
      <w:bodyDiv w:val="1"/>
      <w:marLeft w:val="0"/>
      <w:marRight w:val="0"/>
      <w:marTop w:val="0"/>
      <w:marBottom w:val="0"/>
      <w:divBdr>
        <w:top w:val="none" w:sz="0" w:space="0" w:color="auto"/>
        <w:left w:val="none" w:sz="0" w:space="0" w:color="auto"/>
        <w:bottom w:val="none" w:sz="0" w:space="0" w:color="auto"/>
        <w:right w:val="none" w:sz="0" w:space="0" w:color="auto"/>
      </w:divBdr>
    </w:div>
    <w:div w:id="106629172">
      <w:bodyDiv w:val="1"/>
      <w:marLeft w:val="0"/>
      <w:marRight w:val="0"/>
      <w:marTop w:val="0"/>
      <w:marBottom w:val="0"/>
      <w:divBdr>
        <w:top w:val="none" w:sz="0" w:space="0" w:color="auto"/>
        <w:left w:val="none" w:sz="0" w:space="0" w:color="auto"/>
        <w:bottom w:val="none" w:sz="0" w:space="0" w:color="auto"/>
        <w:right w:val="none" w:sz="0" w:space="0" w:color="auto"/>
      </w:divBdr>
    </w:div>
    <w:div w:id="110905998">
      <w:bodyDiv w:val="1"/>
      <w:marLeft w:val="0"/>
      <w:marRight w:val="0"/>
      <w:marTop w:val="0"/>
      <w:marBottom w:val="0"/>
      <w:divBdr>
        <w:top w:val="none" w:sz="0" w:space="0" w:color="auto"/>
        <w:left w:val="none" w:sz="0" w:space="0" w:color="auto"/>
        <w:bottom w:val="none" w:sz="0" w:space="0" w:color="auto"/>
        <w:right w:val="none" w:sz="0" w:space="0" w:color="auto"/>
      </w:divBdr>
    </w:div>
    <w:div w:id="110981531">
      <w:bodyDiv w:val="1"/>
      <w:marLeft w:val="0"/>
      <w:marRight w:val="0"/>
      <w:marTop w:val="0"/>
      <w:marBottom w:val="0"/>
      <w:divBdr>
        <w:top w:val="none" w:sz="0" w:space="0" w:color="auto"/>
        <w:left w:val="none" w:sz="0" w:space="0" w:color="auto"/>
        <w:bottom w:val="none" w:sz="0" w:space="0" w:color="auto"/>
        <w:right w:val="none" w:sz="0" w:space="0" w:color="auto"/>
      </w:divBdr>
    </w:div>
    <w:div w:id="113058012">
      <w:bodyDiv w:val="1"/>
      <w:marLeft w:val="0"/>
      <w:marRight w:val="0"/>
      <w:marTop w:val="0"/>
      <w:marBottom w:val="0"/>
      <w:divBdr>
        <w:top w:val="none" w:sz="0" w:space="0" w:color="auto"/>
        <w:left w:val="none" w:sz="0" w:space="0" w:color="auto"/>
        <w:bottom w:val="none" w:sz="0" w:space="0" w:color="auto"/>
        <w:right w:val="none" w:sz="0" w:space="0" w:color="auto"/>
      </w:divBdr>
    </w:div>
    <w:div w:id="133983334">
      <w:bodyDiv w:val="1"/>
      <w:marLeft w:val="0"/>
      <w:marRight w:val="0"/>
      <w:marTop w:val="0"/>
      <w:marBottom w:val="0"/>
      <w:divBdr>
        <w:top w:val="none" w:sz="0" w:space="0" w:color="auto"/>
        <w:left w:val="none" w:sz="0" w:space="0" w:color="auto"/>
        <w:bottom w:val="none" w:sz="0" w:space="0" w:color="auto"/>
        <w:right w:val="none" w:sz="0" w:space="0" w:color="auto"/>
      </w:divBdr>
    </w:div>
    <w:div w:id="143864585">
      <w:bodyDiv w:val="1"/>
      <w:marLeft w:val="0"/>
      <w:marRight w:val="0"/>
      <w:marTop w:val="0"/>
      <w:marBottom w:val="0"/>
      <w:divBdr>
        <w:top w:val="none" w:sz="0" w:space="0" w:color="auto"/>
        <w:left w:val="none" w:sz="0" w:space="0" w:color="auto"/>
        <w:bottom w:val="none" w:sz="0" w:space="0" w:color="auto"/>
        <w:right w:val="none" w:sz="0" w:space="0" w:color="auto"/>
      </w:divBdr>
    </w:div>
    <w:div w:id="165705490">
      <w:bodyDiv w:val="1"/>
      <w:marLeft w:val="0"/>
      <w:marRight w:val="0"/>
      <w:marTop w:val="0"/>
      <w:marBottom w:val="0"/>
      <w:divBdr>
        <w:top w:val="none" w:sz="0" w:space="0" w:color="auto"/>
        <w:left w:val="none" w:sz="0" w:space="0" w:color="auto"/>
        <w:bottom w:val="none" w:sz="0" w:space="0" w:color="auto"/>
        <w:right w:val="none" w:sz="0" w:space="0" w:color="auto"/>
      </w:divBdr>
    </w:div>
    <w:div w:id="172690983">
      <w:bodyDiv w:val="1"/>
      <w:marLeft w:val="0"/>
      <w:marRight w:val="0"/>
      <w:marTop w:val="0"/>
      <w:marBottom w:val="0"/>
      <w:divBdr>
        <w:top w:val="none" w:sz="0" w:space="0" w:color="auto"/>
        <w:left w:val="none" w:sz="0" w:space="0" w:color="auto"/>
        <w:bottom w:val="none" w:sz="0" w:space="0" w:color="auto"/>
        <w:right w:val="none" w:sz="0" w:space="0" w:color="auto"/>
      </w:divBdr>
    </w:div>
    <w:div w:id="178548503">
      <w:bodyDiv w:val="1"/>
      <w:marLeft w:val="0"/>
      <w:marRight w:val="0"/>
      <w:marTop w:val="0"/>
      <w:marBottom w:val="0"/>
      <w:divBdr>
        <w:top w:val="none" w:sz="0" w:space="0" w:color="auto"/>
        <w:left w:val="none" w:sz="0" w:space="0" w:color="auto"/>
        <w:bottom w:val="none" w:sz="0" w:space="0" w:color="auto"/>
        <w:right w:val="none" w:sz="0" w:space="0" w:color="auto"/>
      </w:divBdr>
    </w:div>
    <w:div w:id="206911854">
      <w:bodyDiv w:val="1"/>
      <w:marLeft w:val="0"/>
      <w:marRight w:val="0"/>
      <w:marTop w:val="0"/>
      <w:marBottom w:val="0"/>
      <w:divBdr>
        <w:top w:val="none" w:sz="0" w:space="0" w:color="auto"/>
        <w:left w:val="none" w:sz="0" w:space="0" w:color="auto"/>
        <w:bottom w:val="none" w:sz="0" w:space="0" w:color="auto"/>
        <w:right w:val="none" w:sz="0" w:space="0" w:color="auto"/>
      </w:divBdr>
    </w:div>
    <w:div w:id="213278668">
      <w:bodyDiv w:val="1"/>
      <w:marLeft w:val="0"/>
      <w:marRight w:val="0"/>
      <w:marTop w:val="0"/>
      <w:marBottom w:val="0"/>
      <w:divBdr>
        <w:top w:val="none" w:sz="0" w:space="0" w:color="auto"/>
        <w:left w:val="none" w:sz="0" w:space="0" w:color="auto"/>
        <w:bottom w:val="none" w:sz="0" w:space="0" w:color="auto"/>
        <w:right w:val="none" w:sz="0" w:space="0" w:color="auto"/>
      </w:divBdr>
    </w:div>
    <w:div w:id="295180665">
      <w:bodyDiv w:val="1"/>
      <w:marLeft w:val="0"/>
      <w:marRight w:val="0"/>
      <w:marTop w:val="0"/>
      <w:marBottom w:val="0"/>
      <w:divBdr>
        <w:top w:val="none" w:sz="0" w:space="0" w:color="auto"/>
        <w:left w:val="none" w:sz="0" w:space="0" w:color="auto"/>
        <w:bottom w:val="none" w:sz="0" w:space="0" w:color="auto"/>
        <w:right w:val="none" w:sz="0" w:space="0" w:color="auto"/>
      </w:divBdr>
    </w:div>
    <w:div w:id="377316190">
      <w:bodyDiv w:val="1"/>
      <w:marLeft w:val="0"/>
      <w:marRight w:val="0"/>
      <w:marTop w:val="0"/>
      <w:marBottom w:val="0"/>
      <w:divBdr>
        <w:top w:val="none" w:sz="0" w:space="0" w:color="auto"/>
        <w:left w:val="none" w:sz="0" w:space="0" w:color="auto"/>
        <w:bottom w:val="none" w:sz="0" w:space="0" w:color="auto"/>
        <w:right w:val="none" w:sz="0" w:space="0" w:color="auto"/>
      </w:divBdr>
    </w:div>
    <w:div w:id="398016658">
      <w:bodyDiv w:val="1"/>
      <w:marLeft w:val="0"/>
      <w:marRight w:val="0"/>
      <w:marTop w:val="0"/>
      <w:marBottom w:val="0"/>
      <w:divBdr>
        <w:top w:val="none" w:sz="0" w:space="0" w:color="auto"/>
        <w:left w:val="none" w:sz="0" w:space="0" w:color="auto"/>
        <w:bottom w:val="none" w:sz="0" w:space="0" w:color="auto"/>
        <w:right w:val="none" w:sz="0" w:space="0" w:color="auto"/>
      </w:divBdr>
    </w:div>
    <w:div w:id="412239728">
      <w:bodyDiv w:val="1"/>
      <w:marLeft w:val="0"/>
      <w:marRight w:val="0"/>
      <w:marTop w:val="0"/>
      <w:marBottom w:val="0"/>
      <w:divBdr>
        <w:top w:val="none" w:sz="0" w:space="0" w:color="auto"/>
        <w:left w:val="none" w:sz="0" w:space="0" w:color="auto"/>
        <w:bottom w:val="none" w:sz="0" w:space="0" w:color="auto"/>
        <w:right w:val="none" w:sz="0" w:space="0" w:color="auto"/>
      </w:divBdr>
    </w:div>
    <w:div w:id="428157791">
      <w:bodyDiv w:val="1"/>
      <w:marLeft w:val="0"/>
      <w:marRight w:val="0"/>
      <w:marTop w:val="0"/>
      <w:marBottom w:val="0"/>
      <w:divBdr>
        <w:top w:val="none" w:sz="0" w:space="0" w:color="auto"/>
        <w:left w:val="none" w:sz="0" w:space="0" w:color="auto"/>
        <w:bottom w:val="none" w:sz="0" w:space="0" w:color="auto"/>
        <w:right w:val="none" w:sz="0" w:space="0" w:color="auto"/>
      </w:divBdr>
    </w:div>
    <w:div w:id="470171992">
      <w:bodyDiv w:val="1"/>
      <w:marLeft w:val="0"/>
      <w:marRight w:val="0"/>
      <w:marTop w:val="0"/>
      <w:marBottom w:val="0"/>
      <w:divBdr>
        <w:top w:val="none" w:sz="0" w:space="0" w:color="auto"/>
        <w:left w:val="none" w:sz="0" w:space="0" w:color="auto"/>
        <w:bottom w:val="none" w:sz="0" w:space="0" w:color="auto"/>
        <w:right w:val="none" w:sz="0" w:space="0" w:color="auto"/>
      </w:divBdr>
    </w:div>
    <w:div w:id="473643664">
      <w:bodyDiv w:val="1"/>
      <w:marLeft w:val="0"/>
      <w:marRight w:val="0"/>
      <w:marTop w:val="0"/>
      <w:marBottom w:val="0"/>
      <w:divBdr>
        <w:top w:val="none" w:sz="0" w:space="0" w:color="auto"/>
        <w:left w:val="none" w:sz="0" w:space="0" w:color="auto"/>
        <w:bottom w:val="none" w:sz="0" w:space="0" w:color="auto"/>
        <w:right w:val="none" w:sz="0" w:space="0" w:color="auto"/>
      </w:divBdr>
    </w:div>
    <w:div w:id="504856355">
      <w:bodyDiv w:val="1"/>
      <w:marLeft w:val="0"/>
      <w:marRight w:val="0"/>
      <w:marTop w:val="0"/>
      <w:marBottom w:val="0"/>
      <w:divBdr>
        <w:top w:val="none" w:sz="0" w:space="0" w:color="auto"/>
        <w:left w:val="none" w:sz="0" w:space="0" w:color="auto"/>
        <w:bottom w:val="none" w:sz="0" w:space="0" w:color="auto"/>
        <w:right w:val="none" w:sz="0" w:space="0" w:color="auto"/>
      </w:divBdr>
    </w:div>
    <w:div w:id="510409212">
      <w:bodyDiv w:val="1"/>
      <w:marLeft w:val="0"/>
      <w:marRight w:val="0"/>
      <w:marTop w:val="0"/>
      <w:marBottom w:val="0"/>
      <w:divBdr>
        <w:top w:val="none" w:sz="0" w:space="0" w:color="auto"/>
        <w:left w:val="none" w:sz="0" w:space="0" w:color="auto"/>
        <w:bottom w:val="none" w:sz="0" w:space="0" w:color="auto"/>
        <w:right w:val="none" w:sz="0" w:space="0" w:color="auto"/>
      </w:divBdr>
    </w:div>
    <w:div w:id="527449572">
      <w:bodyDiv w:val="1"/>
      <w:marLeft w:val="0"/>
      <w:marRight w:val="0"/>
      <w:marTop w:val="0"/>
      <w:marBottom w:val="0"/>
      <w:divBdr>
        <w:top w:val="none" w:sz="0" w:space="0" w:color="auto"/>
        <w:left w:val="none" w:sz="0" w:space="0" w:color="auto"/>
        <w:bottom w:val="none" w:sz="0" w:space="0" w:color="auto"/>
        <w:right w:val="none" w:sz="0" w:space="0" w:color="auto"/>
      </w:divBdr>
    </w:div>
    <w:div w:id="534463922">
      <w:bodyDiv w:val="1"/>
      <w:marLeft w:val="0"/>
      <w:marRight w:val="0"/>
      <w:marTop w:val="0"/>
      <w:marBottom w:val="0"/>
      <w:divBdr>
        <w:top w:val="none" w:sz="0" w:space="0" w:color="auto"/>
        <w:left w:val="none" w:sz="0" w:space="0" w:color="auto"/>
        <w:bottom w:val="none" w:sz="0" w:space="0" w:color="auto"/>
        <w:right w:val="none" w:sz="0" w:space="0" w:color="auto"/>
      </w:divBdr>
    </w:div>
    <w:div w:id="581179936">
      <w:bodyDiv w:val="1"/>
      <w:marLeft w:val="0"/>
      <w:marRight w:val="0"/>
      <w:marTop w:val="0"/>
      <w:marBottom w:val="0"/>
      <w:divBdr>
        <w:top w:val="none" w:sz="0" w:space="0" w:color="auto"/>
        <w:left w:val="none" w:sz="0" w:space="0" w:color="auto"/>
        <w:bottom w:val="none" w:sz="0" w:space="0" w:color="auto"/>
        <w:right w:val="none" w:sz="0" w:space="0" w:color="auto"/>
      </w:divBdr>
    </w:div>
    <w:div w:id="581766298">
      <w:bodyDiv w:val="1"/>
      <w:marLeft w:val="0"/>
      <w:marRight w:val="0"/>
      <w:marTop w:val="0"/>
      <w:marBottom w:val="0"/>
      <w:divBdr>
        <w:top w:val="none" w:sz="0" w:space="0" w:color="auto"/>
        <w:left w:val="none" w:sz="0" w:space="0" w:color="auto"/>
        <w:bottom w:val="none" w:sz="0" w:space="0" w:color="auto"/>
        <w:right w:val="none" w:sz="0" w:space="0" w:color="auto"/>
      </w:divBdr>
    </w:div>
    <w:div w:id="587273305">
      <w:bodyDiv w:val="1"/>
      <w:marLeft w:val="0"/>
      <w:marRight w:val="0"/>
      <w:marTop w:val="0"/>
      <w:marBottom w:val="0"/>
      <w:divBdr>
        <w:top w:val="none" w:sz="0" w:space="0" w:color="auto"/>
        <w:left w:val="none" w:sz="0" w:space="0" w:color="auto"/>
        <w:bottom w:val="none" w:sz="0" w:space="0" w:color="auto"/>
        <w:right w:val="none" w:sz="0" w:space="0" w:color="auto"/>
      </w:divBdr>
    </w:div>
    <w:div w:id="633100999">
      <w:bodyDiv w:val="1"/>
      <w:marLeft w:val="0"/>
      <w:marRight w:val="0"/>
      <w:marTop w:val="0"/>
      <w:marBottom w:val="0"/>
      <w:divBdr>
        <w:top w:val="none" w:sz="0" w:space="0" w:color="auto"/>
        <w:left w:val="none" w:sz="0" w:space="0" w:color="auto"/>
        <w:bottom w:val="none" w:sz="0" w:space="0" w:color="auto"/>
        <w:right w:val="none" w:sz="0" w:space="0" w:color="auto"/>
      </w:divBdr>
    </w:div>
    <w:div w:id="649552425">
      <w:bodyDiv w:val="1"/>
      <w:marLeft w:val="0"/>
      <w:marRight w:val="0"/>
      <w:marTop w:val="0"/>
      <w:marBottom w:val="0"/>
      <w:divBdr>
        <w:top w:val="none" w:sz="0" w:space="0" w:color="auto"/>
        <w:left w:val="none" w:sz="0" w:space="0" w:color="auto"/>
        <w:bottom w:val="none" w:sz="0" w:space="0" w:color="auto"/>
        <w:right w:val="none" w:sz="0" w:space="0" w:color="auto"/>
      </w:divBdr>
    </w:div>
    <w:div w:id="654382976">
      <w:bodyDiv w:val="1"/>
      <w:marLeft w:val="0"/>
      <w:marRight w:val="0"/>
      <w:marTop w:val="0"/>
      <w:marBottom w:val="0"/>
      <w:divBdr>
        <w:top w:val="none" w:sz="0" w:space="0" w:color="auto"/>
        <w:left w:val="none" w:sz="0" w:space="0" w:color="auto"/>
        <w:bottom w:val="none" w:sz="0" w:space="0" w:color="auto"/>
        <w:right w:val="none" w:sz="0" w:space="0" w:color="auto"/>
      </w:divBdr>
    </w:div>
    <w:div w:id="662197093">
      <w:bodyDiv w:val="1"/>
      <w:marLeft w:val="0"/>
      <w:marRight w:val="0"/>
      <w:marTop w:val="0"/>
      <w:marBottom w:val="0"/>
      <w:divBdr>
        <w:top w:val="none" w:sz="0" w:space="0" w:color="auto"/>
        <w:left w:val="none" w:sz="0" w:space="0" w:color="auto"/>
        <w:bottom w:val="none" w:sz="0" w:space="0" w:color="auto"/>
        <w:right w:val="none" w:sz="0" w:space="0" w:color="auto"/>
      </w:divBdr>
    </w:div>
    <w:div w:id="701594671">
      <w:bodyDiv w:val="1"/>
      <w:marLeft w:val="0"/>
      <w:marRight w:val="0"/>
      <w:marTop w:val="0"/>
      <w:marBottom w:val="0"/>
      <w:divBdr>
        <w:top w:val="none" w:sz="0" w:space="0" w:color="auto"/>
        <w:left w:val="none" w:sz="0" w:space="0" w:color="auto"/>
        <w:bottom w:val="none" w:sz="0" w:space="0" w:color="auto"/>
        <w:right w:val="none" w:sz="0" w:space="0" w:color="auto"/>
      </w:divBdr>
    </w:div>
    <w:div w:id="720638716">
      <w:bodyDiv w:val="1"/>
      <w:marLeft w:val="0"/>
      <w:marRight w:val="0"/>
      <w:marTop w:val="0"/>
      <w:marBottom w:val="0"/>
      <w:divBdr>
        <w:top w:val="none" w:sz="0" w:space="0" w:color="auto"/>
        <w:left w:val="none" w:sz="0" w:space="0" w:color="auto"/>
        <w:bottom w:val="none" w:sz="0" w:space="0" w:color="auto"/>
        <w:right w:val="none" w:sz="0" w:space="0" w:color="auto"/>
      </w:divBdr>
    </w:div>
    <w:div w:id="722292781">
      <w:bodyDiv w:val="1"/>
      <w:marLeft w:val="0"/>
      <w:marRight w:val="0"/>
      <w:marTop w:val="0"/>
      <w:marBottom w:val="0"/>
      <w:divBdr>
        <w:top w:val="none" w:sz="0" w:space="0" w:color="auto"/>
        <w:left w:val="none" w:sz="0" w:space="0" w:color="auto"/>
        <w:bottom w:val="none" w:sz="0" w:space="0" w:color="auto"/>
        <w:right w:val="none" w:sz="0" w:space="0" w:color="auto"/>
      </w:divBdr>
    </w:div>
    <w:div w:id="737434909">
      <w:bodyDiv w:val="1"/>
      <w:marLeft w:val="0"/>
      <w:marRight w:val="0"/>
      <w:marTop w:val="0"/>
      <w:marBottom w:val="0"/>
      <w:divBdr>
        <w:top w:val="none" w:sz="0" w:space="0" w:color="auto"/>
        <w:left w:val="none" w:sz="0" w:space="0" w:color="auto"/>
        <w:bottom w:val="none" w:sz="0" w:space="0" w:color="auto"/>
        <w:right w:val="none" w:sz="0" w:space="0" w:color="auto"/>
      </w:divBdr>
    </w:div>
    <w:div w:id="759181464">
      <w:bodyDiv w:val="1"/>
      <w:marLeft w:val="0"/>
      <w:marRight w:val="0"/>
      <w:marTop w:val="0"/>
      <w:marBottom w:val="0"/>
      <w:divBdr>
        <w:top w:val="none" w:sz="0" w:space="0" w:color="auto"/>
        <w:left w:val="none" w:sz="0" w:space="0" w:color="auto"/>
        <w:bottom w:val="none" w:sz="0" w:space="0" w:color="auto"/>
        <w:right w:val="none" w:sz="0" w:space="0" w:color="auto"/>
      </w:divBdr>
    </w:div>
    <w:div w:id="780800733">
      <w:bodyDiv w:val="1"/>
      <w:marLeft w:val="0"/>
      <w:marRight w:val="0"/>
      <w:marTop w:val="0"/>
      <w:marBottom w:val="0"/>
      <w:divBdr>
        <w:top w:val="none" w:sz="0" w:space="0" w:color="auto"/>
        <w:left w:val="none" w:sz="0" w:space="0" w:color="auto"/>
        <w:bottom w:val="none" w:sz="0" w:space="0" w:color="auto"/>
        <w:right w:val="none" w:sz="0" w:space="0" w:color="auto"/>
      </w:divBdr>
    </w:div>
    <w:div w:id="781724273">
      <w:bodyDiv w:val="1"/>
      <w:marLeft w:val="0"/>
      <w:marRight w:val="0"/>
      <w:marTop w:val="0"/>
      <w:marBottom w:val="0"/>
      <w:divBdr>
        <w:top w:val="none" w:sz="0" w:space="0" w:color="auto"/>
        <w:left w:val="none" w:sz="0" w:space="0" w:color="auto"/>
        <w:bottom w:val="none" w:sz="0" w:space="0" w:color="auto"/>
        <w:right w:val="none" w:sz="0" w:space="0" w:color="auto"/>
      </w:divBdr>
    </w:div>
    <w:div w:id="791091866">
      <w:bodyDiv w:val="1"/>
      <w:marLeft w:val="0"/>
      <w:marRight w:val="0"/>
      <w:marTop w:val="0"/>
      <w:marBottom w:val="0"/>
      <w:divBdr>
        <w:top w:val="none" w:sz="0" w:space="0" w:color="auto"/>
        <w:left w:val="none" w:sz="0" w:space="0" w:color="auto"/>
        <w:bottom w:val="none" w:sz="0" w:space="0" w:color="auto"/>
        <w:right w:val="none" w:sz="0" w:space="0" w:color="auto"/>
      </w:divBdr>
    </w:div>
    <w:div w:id="793673562">
      <w:bodyDiv w:val="1"/>
      <w:marLeft w:val="0"/>
      <w:marRight w:val="0"/>
      <w:marTop w:val="0"/>
      <w:marBottom w:val="0"/>
      <w:divBdr>
        <w:top w:val="none" w:sz="0" w:space="0" w:color="auto"/>
        <w:left w:val="none" w:sz="0" w:space="0" w:color="auto"/>
        <w:bottom w:val="none" w:sz="0" w:space="0" w:color="auto"/>
        <w:right w:val="none" w:sz="0" w:space="0" w:color="auto"/>
      </w:divBdr>
    </w:div>
    <w:div w:id="847598929">
      <w:bodyDiv w:val="1"/>
      <w:marLeft w:val="0"/>
      <w:marRight w:val="0"/>
      <w:marTop w:val="0"/>
      <w:marBottom w:val="0"/>
      <w:divBdr>
        <w:top w:val="none" w:sz="0" w:space="0" w:color="auto"/>
        <w:left w:val="none" w:sz="0" w:space="0" w:color="auto"/>
        <w:bottom w:val="none" w:sz="0" w:space="0" w:color="auto"/>
        <w:right w:val="none" w:sz="0" w:space="0" w:color="auto"/>
      </w:divBdr>
    </w:div>
    <w:div w:id="852574764">
      <w:bodyDiv w:val="1"/>
      <w:marLeft w:val="0"/>
      <w:marRight w:val="0"/>
      <w:marTop w:val="0"/>
      <w:marBottom w:val="0"/>
      <w:divBdr>
        <w:top w:val="none" w:sz="0" w:space="0" w:color="auto"/>
        <w:left w:val="none" w:sz="0" w:space="0" w:color="auto"/>
        <w:bottom w:val="none" w:sz="0" w:space="0" w:color="auto"/>
        <w:right w:val="none" w:sz="0" w:space="0" w:color="auto"/>
      </w:divBdr>
    </w:div>
    <w:div w:id="865405455">
      <w:bodyDiv w:val="1"/>
      <w:marLeft w:val="0"/>
      <w:marRight w:val="0"/>
      <w:marTop w:val="0"/>
      <w:marBottom w:val="0"/>
      <w:divBdr>
        <w:top w:val="none" w:sz="0" w:space="0" w:color="auto"/>
        <w:left w:val="none" w:sz="0" w:space="0" w:color="auto"/>
        <w:bottom w:val="none" w:sz="0" w:space="0" w:color="auto"/>
        <w:right w:val="none" w:sz="0" w:space="0" w:color="auto"/>
      </w:divBdr>
    </w:div>
    <w:div w:id="865950764">
      <w:bodyDiv w:val="1"/>
      <w:marLeft w:val="0"/>
      <w:marRight w:val="0"/>
      <w:marTop w:val="0"/>
      <w:marBottom w:val="0"/>
      <w:divBdr>
        <w:top w:val="none" w:sz="0" w:space="0" w:color="auto"/>
        <w:left w:val="none" w:sz="0" w:space="0" w:color="auto"/>
        <w:bottom w:val="none" w:sz="0" w:space="0" w:color="auto"/>
        <w:right w:val="none" w:sz="0" w:space="0" w:color="auto"/>
      </w:divBdr>
    </w:div>
    <w:div w:id="907807736">
      <w:bodyDiv w:val="1"/>
      <w:marLeft w:val="0"/>
      <w:marRight w:val="0"/>
      <w:marTop w:val="0"/>
      <w:marBottom w:val="0"/>
      <w:divBdr>
        <w:top w:val="none" w:sz="0" w:space="0" w:color="auto"/>
        <w:left w:val="none" w:sz="0" w:space="0" w:color="auto"/>
        <w:bottom w:val="none" w:sz="0" w:space="0" w:color="auto"/>
        <w:right w:val="none" w:sz="0" w:space="0" w:color="auto"/>
      </w:divBdr>
    </w:div>
    <w:div w:id="907836527">
      <w:bodyDiv w:val="1"/>
      <w:marLeft w:val="0"/>
      <w:marRight w:val="0"/>
      <w:marTop w:val="0"/>
      <w:marBottom w:val="0"/>
      <w:divBdr>
        <w:top w:val="none" w:sz="0" w:space="0" w:color="auto"/>
        <w:left w:val="none" w:sz="0" w:space="0" w:color="auto"/>
        <w:bottom w:val="none" w:sz="0" w:space="0" w:color="auto"/>
        <w:right w:val="none" w:sz="0" w:space="0" w:color="auto"/>
      </w:divBdr>
    </w:div>
    <w:div w:id="913586859">
      <w:bodyDiv w:val="1"/>
      <w:marLeft w:val="0"/>
      <w:marRight w:val="0"/>
      <w:marTop w:val="0"/>
      <w:marBottom w:val="0"/>
      <w:divBdr>
        <w:top w:val="none" w:sz="0" w:space="0" w:color="auto"/>
        <w:left w:val="none" w:sz="0" w:space="0" w:color="auto"/>
        <w:bottom w:val="none" w:sz="0" w:space="0" w:color="auto"/>
        <w:right w:val="none" w:sz="0" w:space="0" w:color="auto"/>
      </w:divBdr>
    </w:div>
    <w:div w:id="920602832">
      <w:bodyDiv w:val="1"/>
      <w:marLeft w:val="0"/>
      <w:marRight w:val="0"/>
      <w:marTop w:val="0"/>
      <w:marBottom w:val="0"/>
      <w:divBdr>
        <w:top w:val="none" w:sz="0" w:space="0" w:color="auto"/>
        <w:left w:val="none" w:sz="0" w:space="0" w:color="auto"/>
        <w:bottom w:val="none" w:sz="0" w:space="0" w:color="auto"/>
        <w:right w:val="none" w:sz="0" w:space="0" w:color="auto"/>
      </w:divBdr>
    </w:div>
    <w:div w:id="925767565">
      <w:bodyDiv w:val="1"/>
      <w:marLeft w:val="0"/>
      <w:marRight w:val="0"/>
      <w:marTop w:val="0"/>
      <w:marBottom w:val="0"/>
      <w:divBdr>
        <w:top w:val="none" w:sz="0" w:space="0" w:color="auto"/>
        <w:left w:val="none" w:sz="0" w:space="0" w:color="auto"/>
        <w:bottom w:val="none" w:sz="0" w:space="0" w:color="auto"/>
        <w:right w:val="none" w:sz="0" w:space="0" w:color="auto"/>
      </w:divBdr>
    </w:div>
    <w:div w:id="927929762">
      <w:bodyDiv w:val="1"/>
      <w:marLeft w:val="0"/>
      <w:marRight w:val="0"/>
      <w:marTop w:val="0"/>
      <w:marBottom w:val="0"/>
      <w:divBdr>
        <w:top w:val="none" w:sz="0" w:space="0" w:color="auto"/>
        <w:left w:val="none" w:sz="0" w:space="0" w:color="auto"/>
        <w:bottom w:val="none" w:sz="0" w:space="0" w:color="auto"/>
        <w:right w:val="none" w:sz="0" w:space="0" w:color="auto"/>
      </w:divBdr>
    </w:div>
    <w:div w:id="954021690">
      <w:bodyDiv w:val="1"/>
      <w:marLeft w:val="0"/>
      <w:marRight w:val="0"/>
      <w:marTop w:val="0"/>
      <w:marBottom w:val="0"/>
      <w:divBdr>
        <w:top w:val="none" w:sz="0" w:space="0" w:color="auto"/>
        <w:left w:val="none" w:sz="0" w:space="0" w:color="auto"/>
        <w:bottom w:val="none" w:sz="0" w:space="0" w:color="auto"/>
        <w:right w:val="none" w:sz="0" w:space="0" w:color="auto"/>
      </w:divBdr>
    </w:div>
    <w:div w:id="994381800">
      <w:bodyDiv w:val="1"/>
      <w:marLeft w:val="0"/>
      <w:marRight w:val="0"/>
      <w:marTop w:val="0"/>
      <w:marBottom w:val="0"/>
      <w:divBdr>
        <w:top w:val="none" w:sz="0" w:space="0" w:color="auto"/>
        <w:left w:val="none" w:sz="0" w:space="0" w:color="auto"/>
        <w:bottom w:val="none" w:sz="0" w:space="0" w:color="auto"/>
        <w:right w:val="none" w:sz="0" w:space="0" w:color="auto"/>
      </w:divBdr>
    </w:div>
    <w:div w:id="1009940446">
      <w:bodyDiv w:val="1"/>
      <w:marLeft w:val="0"/>
      <w:marRight w:val="0"/>
      <w:marTop w:val="0"/>
      <w:marBottom w:val="0"/>
      <w:divBdr>
        <w:top w:val="none" w:sz="0" w:space="0" w:color="auto"/>
        <w:left w:val="none" w:sz="0" w:space="0" w:color="auto"/>
        <w:bottom w:val="none" w:sz="0" w:space="0" w:color="auto"/>
        <w:right w:val="none" w:sz="0" w:space="0" w:color="auto"/>
      </w:divBdr>
    </w:div>
    <w:div w:id="1032073506">
      <w:bodyDiv w:val="1"/>
      <w:marLeft w:val="0"/>
      <w:marRight w:val="0"/>
      <w:marTop w:val="0"/>
      <w:marBottom w:val="0"/>
      <w:divBdr>
        <w:top w:val="none" w:sz="0" w:space="0" w:color="auto"/>
        <w:left w:val="none" w:sz="0" w:space="0" w:color="auto"/>
        <w:bottom w:val="none" w:sz="0" w:space="0" w:color="auto"/>
        <w:right w:val="none" w:sz="0" w:space="0" w:color="auto"/>
      </w:divBdr>
    </w:div>
    <w:div w:id="1054623486">
      <w:bodyDiv w:val="1"/>
      <w:marLeft w:val="0"/>
      <w:marRight w:val="0"/>
      <w:marTop w:val="0"/>
      <w:marBottom w:val="0"/>
      <w:divBdr>
        <w:top w:val="none" w:sz="0" w:space="0" w:color="auto"/>
        <w:left w:val="none" w:sz="0" w:space="0" w:color="auto"/>
        <w:bottom w:val="none" w:sz="0" w:space="0" w:color="auto"/>
        <w:right w:val="none" w:sz="0" w:space="0" w:color="auto"/>
      </w:divBdr>
    </w:div>
    <w:div w:id="1108156657">
      <w:bodyDiv w:val="1"/>
      <w:marLeft w:val="0"/>
      <w:marRight w:val="0"/>
      <w:marTop w:val="0"/>
      <w:marBottom w:val="0"/>
      <w:divBdr>
        <w:top w:val="none" w:sz="0" w:space="0" w:color="auto"/>
        <w:left w:val="none" w:sz="0" w:space="0" w:color="auto"/>
        <w:bottom w:val="none" w:sz="0" w:space="0" w:color="auto"/>
        <w:right w:val="none" w:sz="0" w:space="0" w:color="auto"/>
      </w:divBdr>
    </w:div>
    <w:div w:id="1109740656">
      <w:bodyDiv w:val="1"/>
      <w:marLeft w:val="0"/>
      <w:marRight w:val="0"/>
      <w:marTop w:val="0"/>
      <w:marBottom w:val="0"/>
      <w:divBdr>
        <w:top w:val="none" w:sz="0" w:space="0" w:color="auto"/>
        <w:left w:val="none" w:sz="0" w:space="0" w:color="auto"/>
        <w:bottom w:val="none" w:sz="0" w:space="0" w:color="auto"/>
        <w:right w:val="none" w:sz="0" w:space="0" w:color="auto"/>
      </w:divBdr>
    </w:div>
    <w:div w:id="1127312923">
      <w:bodyDiv w:val="1"/>
      <w:marLeft w:val="0"/>
      <w:marRight w:val="0"/>
      <w:marTop w:val="0"/>
      <w:marBottom w:val="0"/>
      <w:divBdr>
        <w:top w:val="none" w:sz="0" w:space="0" w:color="auto"/>
        <w:left w:val="none" w:sz="0" w:space="0" w:color="auto"/>
        <w:bottom w:val="none" w:sz="0" w:space="0" w:color="auto"/>
        <w:right w:val="none" w:sz="0" w:space="0" w:color="auto"/>
      </w:divBdr>
    </w:div>
    <w:div w:id="1145512073">
      <w:bodyDiv w:val="1"/>
      <w:marLeft w:val="0"/>
      <w:marRight w:val="0"/>
      <w:marTop w:val="0"/>
      <w:marBottom w:val="0"/>
      <w:divBdr>
        <w:top w:val="none" w:sz="0" w:space="0" w:color="auto"/>
        <w:left w:val="none" w:sz="0" w:space="0" w:color="auto"/>
        <w:bottom w:val="none" w:sz="0" w:space="0" w:color="auto"/>
        <w:right w:val="none" w:sz="0" w:space="0" w:color="auto"/>
      </w:divBdr>
    </w:div>
    <w:div w:id="1167595238">
      <w:bodyDiv w:val="1"/>
      <w:marLeft w:val="0"/>
      <w:marRight w:val="0"/>
      <w:marTop w:val="0"/>
      <w:marBottom w:val="0"/>
      <w:divBdr>
        <w:top w:val="none" w:sz="0" w:space="0" w:color="auto"/>
        <w:left w:val="none" w:sz="0" w:space="0" w:color="auto"/>
        <w:bottom w:val="none" w:sz="0" w:space="0" w:color="auto"/>
        <w:right w:val="none" w:sz="0" w:space="0" w:color="auto"/>
      </w:divBdr>
    </w:div>
    <w:div w:id="1181890654">
      <w:bodyDiv w:val="1"/>
      <w:marLeft w:val="0"/>
      <w:marRight w:val="0"/>
      <w:marTop w:val="0"/>
      <w:marBottom w:val="0"/>
      <w:divBdr>
        <w:top w:val="none" w:sz="0" w:space="0" w:color="auto"/>
        <w:left w:val="none" w:sz="0" w:space="0" w:color="auto"/>
        <w:bottom w:val="none" w:sz="0" w:space="0" w:color="auto"/>
        <w:right w:val="none" w:sz="0" w:space="0" w:color="auto"/>
      </w:divBdr>
    </w:div>
    <w:div w:id="1204560951">
      <w:bodyDiv w:val="1"/>
      <w:marLeft w:val="0"/>
      <w:marRight w:val="0"/>
      <w:marTop w:val="0"/>
      <w:marBottom w:val="0"/>
      <w:divBdr>
        <w:top w:val="none" w:sz="0" w:space="0" w:color="auto"/>
        <w:left w:val="none" w:sz="0" w:space="0" w:color="auto"/>
        <w:bottom w:val="none" w:sz="0" w:space="0" w:color="auto"/>
        <w:right w:val="none" w:sz="0" w:space="0" w:color="auto"/>
      </w:divBdr>
    </w:div>
    <w:div w:id="1209729198">
      <w:bodyDiv w:val="1"/>
      <w:marLeft w:val="0"/>
      <w:marRight w:val="0"/>
      <w:marTop w:val="0"/>
      <w:marBottom w:val="0"/>
      <w:divBdr>
        <w:top w:val="none" w:sz="0" w:space="0" w:color="auto"/>
        <w:left w:val="none" w:sz="0" w:space="0" w:color="auto"/>
        <w:bottom w:val="none" w:sz="0" w:space="0" w:color="auto"/>
        <w:right w:val="none" w:sz="0" w:space="0" w:color="auto"/>
      </w:divBdr>
    </w:div>
    <w:div w:id="1234896101">
      <w:bodyDiv w:val="1"/>
      <w:marLeft w:val="0"/>
      <w:marRight w:val="0"/>
      <w:marTop w:val="0"/>
      <w:marBottom w:val="0"/>
      <w:divBdr>
        <w:top w:val="none" w:sz="0" w:space="0" w:color="auto"/>
        <w:left w:val="none" w:sz="0" w:space="0" w:color="auto"/>
        <w:bottom w:val="none" w:sz="0" w:space="0" w:color="auto"/>
        <w:right w:val="none" w:sz="0" w:space="0" w:color="auto"/>
      </w:divBdr>
    </w:div>
    <w:div w:id="1252663900">
      <w:bodyDiv w:val="1"/>
      <w:marLeft w:val="0"/>
      <w:marRight w:val="0"/>
      <w:marTop w:val="0"/>
      <w:marBottom w:val="0"/>
      <w:divBdr>
        <w:top w:val="none" w:sz="0" w:space="0" w:color="auto"/>
        <w:left w:val="none" w:sz="0" w:space="0" w:color="auto"/>
        <w:bottom w:val="none" w:sz="0" w:space="0" w:color="auto"/>
        <w:right w:val="none" w:sz="0" w:space="0" w:color="auto"/>
      </w:divBdr>
    </w:div>
    <w:div w:id="1315259227">
      <w:bodyDiv w:val="1"/>
      <w:marLeft w:val="0"/>
      <w:marRight w:val="0"/>
      <w:marTop w:val="0"/>
      <w:marBottom w:val="0"/>
      <w:divBdr>
        <w:top w:val="none" w:sz="0" w:space="0" w:color="auto"/>
        <w:left w:val="none" w:sz="0" w:space="0" w:color="auto"/>
        <w:bottom w:val="none" w:sz="0" w:space="0" w:color="auto"/>
        <w:right w:val="none" w:sz="0" w:space="0" w:color="auto"/>
      </w:divBdr>
    </w:div>
    <w:div w:id="1347824202">
      <w:bodyDiv w:val="1"/>
      <w:marLeft w:val="0"/>
      <w:marRight w:val="0"/>
      <w:marTop w:val="0"/>
      <w:marBottom w:val="0"/>
      <w:divBdr>
        <w:top w:val="none" w:sz="0" w:space="0" w:color="auto"/>
        <w:left w:val="none" w:sz="0" w:space="0" w:color="auto"/>
        <w:bottom w:val="none" w:sz="0" w:space="0" w:color="auto"/>
        <w:right w:val="none" w:sz="0" w:space="0" w:color="auto"/>
      </w:divBdr>
    </w:div>
    <w:div w:id="1374109726">
      <w:bodyDiv w:val="1"/>
      <w:marLeft w:val="0"/>
      <w:marRight w:val="0"/>
      <w:marTop w:val="0"/>
      <w:marBottom w:val="0"/>
      <w:divBdr>
        <w:top w:val="none" w:sz="0" w:space="0" w:color="auto"/>
        <w:left w:val="none" w:sz="0" w:space="0" w:color="auto"/>
        <w:bottom w:val="none" w:sz="0" w:space="0" w:color="auto"/>
        <w:right w:val="none" w:sz="0" w:space="0" w:color="auto"/>
      </w:divBdr>
    </w:div>
    <w:div w:id="1431393774">
      <w:bodyDiv w:val="1"/>
      <w:marLeft w:val="0"/>
      <w:marRight w:val="0"/>
      <w:marTop w:val="0"/>
      <w:marBottom w:val="0"/>
      <w:divBdr>
        <w:top w:val="none" w:sz="0" w:space="0" w:color="auto"/>
        <w:left w:val="none" w:sz="0" w:space="0" w:color="auto"/>
        <w:bottom w:val="none" w:sz="0" w:space="0" w:color="auto"/>
        <w:right w:val="none" w:sz="0" w:space="0" w:color="auto"/>
      </w:divBdr>
    </w:div>
    <w:div w:id="1505974485">
      <w:bodyDiv w:val="1"/>
      <w:marLeft w:val="0"/>
      <w:marRight w:val="0"/>
      <w:marTop w:val="0"/>
      <w:marBottom w:val="0"/>
      <w:divBdr>
        <w:top w:val="none" w:sz="0" w:space="0" w:color="auto"/>
        <w:left w:val="none" w:sz="0" w:space="0" w:color="auto"/>
        <w:bottom w:val="none" w:sz="0" w:space="0" w:color="auto"/>
        <w:right w:val="none" w:sz="0" w:space="0" w:color="auto"/>
      </w:divBdr>
    </w:div>
    <w:div w:id="1507163164">
      <w:bodyDiv w:val="1"/>
      <w:marLeft w:val="0"/>
      <w:marRight w:val="0"/>
      <w:marTop w:val="0"/>
      <w:marBottom w:val="0"/>
      <w:divBdr>
        <w:top w:val="none" w:sz="0" w:space="0" w:color="auto"/>
        <w:left w:val="none" w:sz="0" w:space="0" w:color="auto"/>
        <w:bottom w:val="none" w:sz="0" w:space="0" w:color="auto"/>
        <w:right w:val="none" w:sz="0" w:space="0" w:color="auto"/>
      </w:divBdr>
    </w:div>
    <w:div w:id="1519076852">
      <w:bodyDiv w:val="1"/>
      <w:marLeft w:val="0"/>
      <w:marRight w:val="0"/>
      <w:marTop w:val="0"/>
      <w:marBottom w:val="0"/>
      <w:divBdr>
        <w:top w:val="none" w:sz="0" w:space="0" w:color="auto"/>
        <w:left w:val="none" w:sz="0" w:space="0" w:color="auto"/>
        <w:bottom w:val="none" w:sz="0" w:space="0" w:color="auto"/>
        <w:right w:val="none" w:sz="0" w:space="0" w:color="auto"/>
      </w:divBdr>
    </w:div>
    <w:div w:id="1599437351">
      <w:bodyDiv w:val="1"/>
      <w:marLeft w:val="0"/>
      <w:marRight w:val="0"/>
      <w:marTop w:val="0"/>
      <w:marBottom w:val="0"/>
      <w:divBdr>
        <w:top w:val="none" w:sz="0" w:space="0" w:color="auto"/>
        <w:left w:val="none" w:sz="0" w:space="0" w:color="auto"/>
        <w:bottom w:val="none" w:sz="0" w:space="0" w:color="auto"/>
        <w:right w:val="none" w:sz="0" w:space="0" w:color="auto"/>
      </w:divBdr>
    </w:div>
    <w:div w:id="1618289196">
      <w:bodyDiv w:val="1"/>
      <w:marLeft w:val="0"/>
      <w:marRight w:val="0"/>
      <w:marTop w:val="0"/>
      <w:marBottom w:val="0"/>
      <w:divBdr>
        <w:top w:val="none" w:sz="0" w:space="0" w:color="auto"/>
        <w:left w:val="none" w:sz="0" w:space="0" w:color="auto"/>
        <w:bottom w:val="none" w:sz="0" w:space="0" w:color="auto"/>
        <w:right w:val="none" w:sz="0" w:space="0" w:color="auto"/>
      </w:divBdr>
    </w:div>
    <w:div w:id="1647515171">
      <w:bodyDiv w:val="1"/>
      <w:marLeft w:val="0"/>
      <w:marRight w:val="0"/>
      <w:marTop w:val="0"/>
      <w:marBottom w:val="0"/>
      <w:divBdr>
        <w:top w:val="none" w:sz="0" w:space="0" w:color="auto"/>
        <w:left w:val="none" w:sz="0" w:space="0" w:color="auto"/>
        <w:bottom w:val="none" w:sz="0" w:space="0" w:color="auto"/>
        <w:right w:val="none" w:sz="0" w:space="0" w:color="auto"/>
      </w:divBdr>
    </w:div>
    <w:div w:id="1683698938">
      <w:bodyDiv w:val="1"/>
      <w:marLeft w:val="0"/>
      <w:marRight w:val="0"/>
      <w:marTop w:val="0"/>
      <w:marBottom w:val="0"/>
      <w:divBdr>
        <w:top w:val="none" w:sz="0" w:space="0" w:color="auto"/>
        <w:left w:val="none" w:sz="0" w:space="0" w:color="auto"/>
        <w:bottom w:val="none" w:sz="0" w:space="0" w:color="auto"/>
        <w:right w:val="none" w:sz="0" w:space="0" w:color="auto"/>
      </w:divBdr>
    </w:div>
    <w:div w:id="1697344720">
      <w:bodyDiv w:val="1"/>
      <w:marLeft w:val="0"/>
      <w:marRight w:val="0"/>
      <w:marTop w:val="0"/>
      <w:marBottom w:val="0"/>
      <w:divBdr>
        <w:top w:val="none" w:sz="0" w:space="0" w:color="auto"/>
        <w:left w:val="none" w:sz="0" w:space="0" w:color="auto"/>
        <w:bottom w:val="none" w:sz="0" w:space="0" w:color="auto"/>
        <w:right w:val="none" w:sz="0" w:space="0" w:color="auto"/>
      </w:divBdr>
    </w:div>
    <w:div w:id="1726492722">
      <w:bodyDiv w:val="1"/>
      <w:marLeft w:val="0"/>
      <w:marRight w:val="0"/>
      <w:marTop w:val="0"/>
      <w:marBottom w:val="0"/>
      <w:divBdr>
        <w:top w:val="none" w:sz="0" w:space="0" w:color="auto"/>
        <w:left w:val="none" w:sz="0" w:space="0" w:color="auto"/>
        <w:bottom w:val="none" w:sz="0" w:space="0" w:color="auto"/>
        <w:right w:val="none" w:sz="0" w:space="0" w:color="auto"/>
      </w:divBdr>
    </w:div>
    <w:div w:id="1729448757">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66731240">
      <w:bodyDiv w:val="1"/>
      <w:marLeft w:val="0"/>
      <w:marRight w:val="0"/>
      <w:marTop w:val="0"/>
      <w:marBottom w:val="0"/>
      <w:divBdr>
        <w:top w:val="none" w:sz="0" w:space="0" w:color="auto"/>
        <w:left w:val="none" w:sz="0" w:space="0" w:color="auto"/>
        <w:bottom w:val="none" w:sz="0" w:space="0" w:color="auto"/>
        <w:right w:val="none" w:sz="0" w:space="0" w:color="auto"/>
      </w:divBdr>
    </w:div>
    <w:div w:id="1780025599">
      <w:bodyDiv w:val="1"/>
      <w:marLeft w:val="0"/>
      <w:marRight w:val="0"/>
      <w:marTop w:val="0"/>
      <w:marBottom w:val="0"/>
      <w:divBdr>
        <w:top w:val="none" w:sz="0" w:space="0" w:color="auto"/>
        <w:left w:val="none" w:sz="0" w:space="0" w:color="auto"/>
        <w:bottom w:val="none" w:sz="0" w:space="0" w:color="auto"/>
        <w:right w:val="none" w:sz="0" w:space="0" w:color="auto"/>
      </w:divBdr>
    </w:div>
    <w:div w:id="1804733829">
      <w:bodyDiv w:val="1"/>
      <w:marLeft w:val="0"/>
      <w:marRight w:val="0"/>
      <w:marTop w:val="0"/>
      <w:marBottom w:val="0"/>
      <w:divBdr>
        <w:top w:val="none" w:sz="0" w:space="0" w:color="auto"/>
        <w:left w:val="none" w:sz="0" w:space="0" w:color="auto"/>
        <w:bottom w:val="none" w:sz="0" w:space="0" w:color="auto"/>
        <w:right w:val="none" w:sz="0" w:space="0" w:color="auto"/>
      </w:divBdr>
    </w:div>
    <w:div w:id="1806654675">
      <w:bodyDiv w:val="1"/>
      <w:marLeft w:val="0"/>
      <w:marRight w:val="0"/>
      <w:marTop w:val="0"/>
      <w:marBottom w:val="0"/>
      <w:divBdr>
        <w:top w:val="none" w:sz="0" w:space="0" w:color="auto"/>
        <w:left w:val="none" w:sz="0" w:space="0" w:color="auto"/>
        <w:bottom w:val="none" w:sz="0" w:space="0" w:color="auto"/>
        <w:right w:val="none" w:sz="0" w:space="0" w:color="auto"/>
      </w:divBdr>
    </w:div>
    <w:div w:id="1843930886">
      <w:bodyDiv w:val="1"/>
      <w:marLeft w:val="0"/>
      <w:marRight w:val="0"/>
      <w:marTop w:val="0"/>
      <w:marBottom w:val="0"/>
      <w:divBdr>
        <w:top w:val="none" w:sz="0" w:space="0" w:color="auto"/>
        <w:left w:val="none" w:sz="0" w:space="0" w:color="auto"/>
        <w:bottom w:val="none" w:sz="0" w:space="0" w:color="auto"/>
        <w:right w:val="none" w:sz="0" w:space="0" w:color="auto"/>
      </w:divBdr>
    </w:div>
    <w:div w:id="1952474912">
      <w:bodyDiv w:val="1"/>
      <w:marLeft w:val="0"/>
      <w:marRight w:val="0"/>
      <w:marTop w:val="0"/>
      <w:marBottom w:val="0"/>
      <w:divBdr>
        <w:top w:val="none" w:sz="0" w:space="0" w:color="auto"/>
        <w:left w:val="none" w:sz="0" w:space="0" w:color="auto"/>
        <w:bottom w:val="none" w:sz="0" w:space="0" w:color="auto"/>
        <w:right w:val="none" w:sz="0" w:space="0" w:color="auto"/>
      </w:divBdr>
    </w:div>
    <w:div w:id="1991984674">
      <w:bodyDiv w:val="1"/>
      <w:marLeft w:val="0"/>
      <w:marRight w:val="0"/>
      <w:marTop w:val="0"/>
      <w:marBottom w:val="0"/>
      <w:divBdr>
        <w:top w:val="none" w:sz="0" w:space="0" w:color="auto"/>
        <w:left w:val="none" w:sz="0" w:space="0" w:color="auto"/>
        <w:bottom w:val="none" w:sz="0" w:space="0" w:color="auto"/>
        <w:right w:val="none" w:sz="0" w:space="0" w:color="auto"/>
      </w:divBdr>
    </w:div>
    <w:div w:id="2010254370">
      <w:bodyDiv w:val="1"/>
      <w:marLeft w:val="0"/>
      <w:marRight w:val="0"/>
      <w:marTop w:val="0"/>
      <w:marBottom w:val="0"/>
      <w:divBdr>
        <w:top w:val="none" w:sz="0" w:space="0" w:color="auto"/>
        <w:left w:val="none" w:sz="0" w:space="0" w:color="auto"/>
        <w:bottom w:val="none" w:sz="0" w:space="0" w:color="auto"/>
        <w:right w:val="none" w:sz="0" w:space="0" w:color="auto"/>
      </w:divBdr>
    </w:div>
    <w:div w:id="2022009311">
      <w:bodyDiv w:val="1"/>
      <w:marLeft w:val="0"/>
      <w:marRight w:val="0"/>
      <w:marTop w:val="0"/>
      <w:marBottom w:val="0"/>
      <w:divBdr>
        <w:top w:val="none" w:sz="0" w:space="0" w:color="auto"/>
        <w:left w:val="none" w:sz="0" w:space="0" w:color="auto"/>
        <w:bottom w:val="none" w:sz="0" w:space="0" w:color="auto"/>
        <w:right w:val="none" w:sz="0" w:space="0" w:color="auto"/>
      </w:divBdr>
    </w:div>
    <w:div w:id="2034455842">
      <w:bodyDiv w:val="1"/>
      <w:marLeft w:val="0"/>
      <w:marRight w:val="0"/>
      <w:marTop w:val="0"/>
      <w:marBottom w:val="0"/>
      <w:divBdr>
        <w:top w:val="none" w:sz="0" w:space="0" w:color="auto"/>
        <w:left w:val="none" w:sz="0" w:space="0" w:color="auto"/>
        <w:bottom w:val="none" w:sz="0" w:space="0" w:color="auto"/>
        <w:right w:val="none" w:sz="0" w:space="0" w:color="auto"/>
      </w:divBdr>
    </w:div>
    <w:div w:id="2048216929">
      <w:bodyDiv w:val="1"/>
      <w:marLeft w:val="0"/>
      <w:marRight w:val="0"/>
      <w:marTop w:val="0"/>
      <w:marBottom w:val="0"/>
      <w:divBdr>
        <w:top w:val="none" w:sz="0" w:space="0" w:color="auto"/>
        <w:left w:val="none" w:sz="0" w:space="0" w:color="auto"/>
        <w:bottom w:val="none" w:sz="0" w:space="0" w:color="auto"/>
        <w:right w:val="none" w:sz="0" w:space="0" w:color="auto"/>
      </w:divBdr>
    </w:div>
    <w:div w:id="2071882624">
      <w:bodyDiv w:val="1"/>
      <w:marLeft w:val="0"/>
      <w:marRight w:val="0"/>
      <w:marTop w:val="0"/>
      <w:marBottom w:val="0"/>
      <w:divBdr>
        <w:top w:val="none" w:sz="0" w:space="0" w:color="auto"/>
        <w:left w:val="none" w:sz="0" w:space="0" w:color="auto"/>
        <w:bottom w:val="none" w:sz="0" w:space="0" w:color="auto"/>
        <w:right w:val="none" w:sz="0" w:space="0" w:color="auto"/>
      </w:divBdr>
    </w:div>
    <w:div w:id="2077580281">
      <w:bodyDiv w:val="1"/>
      <w:marLeft w:val="0"/>
      <w:marRight w:val="0"/>
      <w:marTop w:val="0"/>
      <w:marBottom w:val="0"/>
      <w:divBdr>
        <w:top w:val="none" w:sz="0" w:space="0" w:color="auto"/>
        <w:left w:val="none" w:sz="0" w:space="0" w:color="auto"/>
        <w:bottom w:val="none" w:sz="0" w:space="0" w:color="auto"/>
        <w:right w:val="none" w:sz="0" w:space="0" w:color="auto"/>
      </w:divBdr>
    </w:div>
    <w:div w:id="2078434564">
      <w:bodyDiv w:val="1"/>
      <w:marLeft w:val="0"/>
      <w:marRight w:val="0"/>
      <w:marTop w:val="0"/>
      <w:marBottom w:val="0"/>
      <w:divBdr>
        <w:top w:val="none" w:sz="0" w:space="0" w:color="auto"/>
        <w:left w:val="none" w:sz="0" w:space="0" w:color="auto"/>
        <w:bottom w:val="none" w:sz="0" w:space="0" w:color="auto"/>
        <w:right w:val="none" w:sz="0" w:space="0" w:color="auto"/>
      </w:divBdr>
    </w:div>
    <w:div w:id="2083944756">
      <w:bodyDiv w:val="1"/>
      <w:marLeft w:val="0"/>
      <w:marRight w:val="0"/>
      <w:marTop w:val="0"/>
      <w:marBottom w:val="0"/>
      <w:divBdr>
        <w:top w:val="none" w:sz="0" w:space="0" w:color="auto"/>
        <w:left w:val="none" w:sz="0" w:space="0" w:color="auto"/>
        <w:bottom w:val="none" w:sz="0" w:space="0" w:color="auto"/>
        <w:right w:val="none" w:sz="0" w:space="0" w:color="auto"/>
      </w:divBdr>
    </w:div>
    <w:div w:id="2108653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 25</c:v>
                </c:pt>
                <c:pt idx="1">
                  <c:v>25-34</c:v>
                </c:pt>
                <c:pt idx="2">
                  <c:v>35-44</c:v>
                </c:pt>
                <c:pt idx="3">
                  <c:v>45-54</c:v>
                </c:pt>
                <c:pt idx="4">
                  <c:v>55 and above </c:v>
                </c:pt>
              </c:strCache>
            </c:strRef>
          </c:cat>
          <c:val>
            <c:numRef>
              <c:f>Sheet1!$B$2:$B$6</c:f>
              <c:numCache>
                <c:formatCode>0</c:formatCode>
                <c:ptCount val="5"/>
                <c:pt idx="0">
                  <c:v>19</c:v>
                </c:pt>
                <c:pt idx="1">
                  <c:v>9</c:v>
                </c:pt>
                <c:pt idx="2">
                  <c:v>9</c:v>
                </c:pt>
                <c:pt idx="3">
                  <c:v>7</c:v>
                </c:pt>
                <c:pt idx="4">
                  <c:v>6</c:v>
                </c:pt>
              </c:numCache>
            </c:numRef>
          </c:val>
          <c:extLst>
            <c:ext xmlns:c16="http://schemas.microsoft.com/office/drawing/2014/chart" uri="{C3380CC4-5D6E-409C-BE32-E72D297353CC}">
              <c16:uniqueId val="{00000000-61D3-42A2-9FC8-92ADDDAA4B32}"/>
            </c:ext>
          </c:extLst>
        </c:ser>
        <c:dLbls>
          <c:showLegendKey val="0"/>
          <c:showVal val="0"/>
          <c:showCatName val="0"/>
          <c:showSerName val="0"/>
          <c:showPercent val="0"/>
          <c:showBubbleSize val="0"/>
        </c:dLbls>
        <c:gapWidth val="150"/>
        <c:axId val="363166592"/>
        <c:axId val="365711536"/>
      </c:barChart>
      <c:catAx>
        <c:axId val="363166592"/>
        <c:scaling>
          <c:orientation val="minMax"/>
        </c:scaling>
        <c:delete val="0"/>
        <c:axPos val="b"/>
        <c:numFmt formatCode="General" sourceLinked="0"/>
        <c:majorTickMark val="out"/>
        <c:minorTickMark val="none"/>
        <c:tickLblPos val="nextTo"/>
        <c:crossAx val="365711536"/>
        <c:crosses val="autoZero"/>
        <c:auto val="1"/>
        <c:lblAlgn val="ctr"/>
        <c:lblOffset val="100"/>
        <c:noMultiLvlLbl val="0"/>
      </c:catAx>
      <c:valAx>
        <c:axId val="365711536"/>
        <c:scaling>
          <c:orientation val="minMax"/>
        </c:scaling>
        <c:delete val="0"/>
        <c:axPos val="l"/>
        <c:majorGridlines/>
        <c:numFmt formatCode="0" sourceLinked="1"/>
        <c:majorTickMark val="out"/>
        <c:minorTickMark val="none"/>
        <c:tickLblPos val="nextTo"/>
        <c:crossAx val="363166592"/>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CC929D-4068-42EE-A55A-4057127B9605}" type="doc">
      <dgm:prSet loTypeId="urn:microsoft.com/office/officeart/2005/8/layout/pyramid1" loCatId="pyramid" qsTypeId="urn:microsoft.com/office/officeart/2005/8/quickstyle/3d1" qsCatId="3D" csTypeId="urn:microsoft.com/office/officeart/2005/8/colors/accent1_2" csCatId="accent1" phldr="1"/>
      <dgm:spPr/>
    </dgm:pt>
    <dgm:pt modelId="{A782B4BB-E6FA-499B-BF7E-2E0C51350A73}">
      <dgm:prSet phldrT="[Text]" custT="1"/>
      <dgm:spPr>
        <a:xfrm>
          <a:off x="2538437" y="0"/>
          <a:ext cx="1015374"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Calibri" panose="020F0502020204030204"/>
              <a:ea typeface="+mn-ea"/>
              <a:cs typeface="+mn-cs"/>
            </a:rPr>
            <a:t>Employee</a:t>
          </a:r>
          <a:r>
            <a:rPr lang="en-US" sz="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Training</a:t>
          </a:r>
        </a:p>
      </dgm:t>
    </dgm:pt>
    <dgm:pt modelId="{D537D8A0-7F84-4391-857F-C9A1DC6A78CC}" type="parTrans" cxnId="{B3D85DA3-4E37-4F21-A987-BDDD8EDF90E9}">
      <dgm:prSet/>
      <dgm:spPr/>
      <dgm:t>
        <a:bodyPr/>
        <a:lstStyle/>
        <a:p>
          <a:endParaRPr lang="en-US"/>
        </a:p>
      </dgm:t>
    </dgm:pt>
    <dgm:pt modelId="{9A51F030-8B0B-480A-83A3-6BA962F8BD2A}" type="sibTrans" cxnId="{B3D85DA3-4E37-4F21-A987-BDDD8EDF90E9}">
      <dgm:prSet/>
      <dgm:spPr/>
      <dgm:t>
        <a:bodyPr/>
        <a:lstStyle/>
        <a:p>
          <a:endParaRPr lang="en-US"/>
        </a:p>
      </dgm:t>
    </dgm:pt>
    <dgm:pt modelId="{9AD8A29C-6763-41B7-8BD9-75616EB67038}">
      <dgm:prSet phldrT="[Text]" custT="1"/>
      <dgm:spPr>
        <a:xfrm>
          <a:off x="528959" y="2821169"/>
          <a:ext cx="5076874"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Effective</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Control</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Implementation</a:t>
          </a:r>
        </a:p>
      </dgm:t>
    </dgm:pt>
    <dgm:pt modelId="{CF686AE3-518D-48D6-9AAD-7D6CE4AB07D1}" type="parTrans" cxnId="{3466272C-13EE-45C4-9F1A-430BD3FEF72D}">
      <dgm:prSet/>
      <dgm:spPr/>
      <dgm:t>
        <a:bodyPr/>
        <a:lstStyle/>
        <a:p>
          <a:endParaRPr lang="en-US"/>
        </a:p>
      </dgm:t>
    </dgm:pt>
    <dgm:pt modelId="{8CDB4B21-95CA-4375-B82C-050F512145BB}" type="sibTrans" cxnId="{3466272C-13EE-45C4-9F1A-430BD3FEF72D}">
      <dgm:prSet/>
      <dgm:spPr/>
      <dgm:t>
        <a:bodyPr/>
        <a:lstStyle/>
        <a:p>
          <a:endParaRPr lang="en-US"/>
        </a:p>
      </dgm:t>
    </dgm:pt>
    <dgm:pt modelId="{C28C6E3B-3C6F-46AC-916A-06128F7A89EB}">
      <dgm:prSet phldrT="[Text]" custT="1"/>
      <dgm:spPr>
        <a:xfrm>
          <a:off x="0" y="3473302"/>
          <a:ext cx="6092249"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Systematic</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Risk</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Assessment</a:t>
          </a:r>
        </a:p>
      </dgm:t>
    </dgm:pt>
    <dgm:pt modelId="{D6415CBF-8FD4-4A1F-A77B-34BD414A04EA}" type="parTrans" cxnId="{60801548-8A14-4D5E-8001-AA568F4488FC}">
      <dgm:prSet/>
      <dgm:spPr/>
      <dgm:t>
        <a:bodyPr/>
        <a:lstStyle/>
        <a:p>
          <a:endParaRPr lang="en-US"/>
        </a:p>
      </dgm:t>
    </dgm:pt>
    <dgm:pt modelId="{5EBB94F9-1018-4429-B1DB-32484E76FEC8}" type="sibTrans" cxnId="{60801548-8A14-4D5E-8001-AA568F4488FC}">
      <dgm:prSet/>
      <dgm:spPr/>
      <dgm:t>
        <a:bodyPr/>
        <a:lstStyle/>
        <a:p>
          <a:endParaRPr lang="en-US"/>
        </a:p>
      </dgm:t>
    </dgm:pt>
    <dgm:pt modelId="{983D1088-06B6-4364-8E8C-75D21362D7FD}">
      <dgm:prSet custT="1"/>
      <dgm:spPr>
        <a:xfrm>
          <a:off x="2030749" y="694660"/>
          <a:ext cx="2030749"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Regulatory</a:t>
          </a:r>
          <a:r>
            <a:rPr lang="en-US"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Compliance</a:t>
          </a:r>
        </a:p>
      </dgm:t>
    </dgm:pt>
    <dgm:pt modelId="{420FD2DB-AB98-43C8-8E15-88A649C34315}" type="parTrans" cxnId="{EC0A3A85-37FB-4F46-9421-E0EA9C140539}">
      <dgm:prSet/>
      <dgm:spPr/>
      <dgm:t>
        <a:bodyPr/>
        <a:lstStyle/>
        <a:p>
          <a:endParaRPr lang="en-US"/>
        </a:p>
      </dgm:t>
    </dgm:pt>
    <dgm:pt modelId="{0DEA09CC-395A-4190-BD2A-8D563FA0B0B0}" type="sibTrans" cxnId="{EC0A3A85-37FB-4F46-9421-E0EA9C140539}">
      <dgm:prSet/>
      <dgm:spPr/>
      <dgm:t>
        <a:bodyPr/>
        <a:lstStyle/>
        <a:p>
          <a:endParaRPr lang="en-US"/>
        </a:p>
      </dgm:t>
    </dgm:pt>
    <dgm:pt modelId="{A9B53266-56E8-47F6-B309-3587C3813DA6}">
      <dgm:prSet custT="1"/>
      <dgm:spPr>
        <a:xfrm>
          <a:off x="1523062" y="1389320"/>
          <a:ext cx="3046124"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Utilize</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Analytics</a:t>
          </a:r>
        </a:p>
      </dgm:t>
    </dgm:pt>
    <dgm:pt modelId="{C55D970F-925E-4116-BF6D-2849EE073DC9}" type="parTrans" cxnId="{9A8F9C9A-8650-405E-958D-60BAF6BE2EB4}">
      <dgm:prSet/>
      <dgm:spPr/>
      <dgm:t>
        <a:bodyPr/>
        <a:lstStyle/>
        <a:p>
          <a:endParaRPr lang="en-US"/>
        </a:p>
      </dgm:t>
    </dgm:pt>
    <dgm:pt modelId="{47D470FB-E21F-4206-B1B6-403B22C79D04}" type="sibTrans" cxnId="{9A8F9C9A-8650-405E-958D-60BAF6BE2EB4}">
      <dgm:prSet/>
      <dgm:spPr/>
      <dgm:t>
        <a:bodyPr/>
        <a:lstStyle/>
        <a:p>
          <a:endParaRPr lang="en-US"/>
        </a:p>
      </dgm:t>
    </dgm:pt>
    <dgm:pt modelId="{A1F25D91-6243-4DAA-BF8D-70E2652ACF2C}">
      <dgm:prSet custT="1"/>
      <dgm:spPr>
        <a:xfrm>
          <a:off x="1015374" y="2083981"/>
          <a:ext cx="4061499" cy="69466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Continuos</a:t>
          </a:r>
          <a:r>
            <a:rPr lang="en-US" sz="1600">
              <a:solidFill>
                <a:sysClr val="windowText" lastClr="000000">
                  <a:hueOff val="0"/>
                  <a:satOff val="0"/>
                  <a:lumOff val="0"/>
                  <a:alphaOff val="0"/>
                </a:sysClr>
              </a:solidFill>
              <a:latin typeface="Calibri" panose="020F0502020204030204"/>
              <a:ea typeface="+mn-ea"/>
              <a:cs typeface="+mn-cs"/>
            </a:rPr>
            <a:t>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Monitoring</a:t>
          </a:r>
        </a:p>
      </dgm:t>
    </dgm:pt>
    <dgm:pt modelId="{3E2DFCBD-8927-44C5-91EB-DC307B611DF0}" type="parTrans" cxnId="{1F337B2C-88EE-40F5-B98B-ABA8A99A0996}">
      <dgm:prSet/>
      <dgm:spPr/>
      <dgm:t>
        <a:bodyPr/>
        <a:lstStyle/>
        <a:p>
          <a:endParaRPr lang="en-US"/>
        </a:p>
      </dgm:t>
    </dgm:pt>
    <dgm:pt modelId="{280AEC88-B8EE-4768-9509-502ABF88B943}" type="sibTrans" cxnId="{1F337B2C-88EE-40F5-B98B-ABA8A99A0996}">
      <dgm:prSet/>
      <dgm:spPr/>
      <dgm:t>
        <a:bodyPr/>
        <a:lstStyle/>
        <a:p>
          <a:endParaRPr lang="en-US"/>
        </a:p>
      </dgm:t>
    </dgm:pt>
    <dgm:pt modelId="{8007D1FD-16FA-47D8-9D99-FF1F87A842DC}" type="pres">
      <dgm:prSet presAssocID="{2DCC929D-4068-42EE-A55A-4057127B9605}" presName="Name0" presStyleCnt="0">
        <dgm:presLayoutVars>
          <dgm:dir/>
          <dgm:animLvl val="lvl"/>
          <dgm:resizeHandles val="exact"/>
        </dgm:presLayoutVars>
      </dgm:prSet>
      <dgm:spPr/>
    </dgm:pt>
    <dgm:pt modelId="{DB703FB1-9C86-41DB-A178-7DB44343A59C}" type="pres">
      <dgm:prSet presAssocID="{A782B4BB-E6FA-499B-BF7E-2E0C51350A73}" presName="Name8" presStyleCnt="0"/>
      <dgm:spPr/>
    </dgm:pt>
    <dgm:pt modelId="{3BDE7395-F0A6-4A9C-ADED-DF5FC87A26D6}" type="pres">
      <dgm:prSet presAssocID="{A782B4BB-E6FA-499B-BF7E-2E0C51350A73}" presName="level" presStyleLbl="node1" presStyleIdx="0" presStyleCnt="6" custScaleX="114180" custScaleY="192285">
        <dgm:presLayoutVars>
          <dgm:chMax val="1"/>
          <dgm:bulletEnabled val="1"/>
        </dgm:presLayoutVars>
      </dgm:prSet>
      <dgm:spPr>
        <a:prstGeom prst="trapezoid">
          <a:avLst>
            <a:gd name="adj" fmla="val 73084"/>
          </a:avLst>
        </a:prstGeom>
      </dgm:spPr>
    </dgm:pt>
    <dgm:pt modelId="{7248AB5A-2D51-47CF-824E-E7A60C7491D4}" type="pres">
      <dgm:prSet presAssocID="{A782B4BB-E6FA-499B-BF7E-2E0C51350A73}" presName="levelTx" presStyleLbl="revTx" presStyleIdx="0" presStyleCnt="0">
        <dgm:presLayoutVars>
          <dgm:chMax val="1"/>
          <dgm:bulletEnabled val="1"/>
        </dgm:presLayoutVars>
      </dgm:prSet>
      <dgm:spPr/>
    </dgm:pt>
    <dgm:pt modelId="{D8C838C5-E7B3-4CAB-A6E9-06930F2E77D3}" type="pres">
      <dgm:prSet presAssocID="{983D1088-06B6-4364-8E8C-75D21362D7FD}" presName="Name8" presStyleCnt="0"/>
      <dgm:spPr/>
    </dgm:pt>
    <dgm:pt modelId="{88671071-E518-44D2-8209-289EA9B3DBAC}" type="pres">
      <dgm:prSet presAssocID="{983D1088-06B6-4364-8E8C-75D21362D7FD}" presName="level" presStyleLbl="node1" presStyleIdx="1" presStyleCnt="6" custScaleX="110655" custScaleY="124815">
        <dgm:presLayoutVars>
          <dgm:chMax val="1"/>
          <dgm:bulletEnabled val="1"/>
        </dgm:presLayoutVars>
      </dgm:prSet>
      <dgm:spPr>
        <a:prstGeom prst="trapezoid">
          <a:avLst>
            <a:gd name="adj" fmla="val 73084"/>
          </a:avLst>
        </a:prstGeom>
      </dgm:spPr>
    </dgm:pt>
    <dgm:pt modelId="{1EF18A7A-91F0-4F3C-9588-65DDA3B57092}" type="pres">
      <dgm:prSet presAssocID="{983D1088-06B6-4364-8E8C-75D21362D7FD}" presName="levelTx" presStyleLbl="revTx" presStyleIdx="0" presStyleCnt="0">
        <dgm:presLayoutVars>
          <dgm:chMax val="1"/>
          <dgm:bulletEnabled val="1"/>
        </dgm:presLayoutVars>
      </dgm:prSet>
      <dgm:spPr/>
    </dgm:pt>
    <dgm:pt modelId="{5D74C136-0A5B-4880-ACC4-88CB6261374D}" type="pres">
      <dgm:prSet presAssocID="{A9B53266-56E8-47F6-B309-3587C3813DA6}" presName="Name8" presStyleCnt="0"/>
      <dgm:spPr/>
    </dgm:pt>
    <dgm:pt modelId="{489B0557-1320-43B0-B4C5-825C726C16F2}" type="pres">
      <dgm:prSet presAssocID="{A9B53266-56E8-47F6-B309-3587C3813DA6}" presName="level" presStyleLbl="node1" presStyleIdx="2" presStyleCnt="6" custScaleX="105880" custScaleY="131954" custLinFactNeighborX="-607" custLinFactNeighborY="7679">
        <dgm:presLayoutVars>
          <dgm:chMax val="1"/>
          <dgm:bulletEnabled val="1"/>
        </dgm:presLayoutVars>
      </dgm:prSet>
      <dgm:spPr>
        <a:prstGeom prst="trapezoid">
          <a:avLst>
            <a:gd name="adj" fmla="val 73084"/>
          </a:avLst>
        </a:prstGeom>
      </dgm:spPr>
    </dgm:pt>
    <dgm:pt modelId="{2DFFDF65-B1A6-46AB-9428-B75329F9F237}" type="pres">
      <dgm:prSet presAssocID="{A9B53266-56E8-47F6-B309-3587C3813DA6}" presName="levelTx" presStyleLbl="revTx" presStyleIdx="0" presStyleCnt="0">
        <dgm:presLayoutVars>
          <dgm:chMax val="1"/>
          <dgm:bulletEnabled val="1"/>
        </dgm:presLayoutVars>
      </dgm:prSet>
      <dgm:spPr/>
    </dgm:pt>
    <dgm:pt modelId="{02C232F6-FF76-4D36-949B-DEA63FCDE03B}" type="pres">
      <dgm:prSet presAssocID="{A1F25D91-6243-4DAA-BF8D-70E2652ACF2C}" presName="Name8" presStyleCnt="0"/>
      <dgm:spPr/>
    </dgm:pt>
    <dgm:pt modelId="{7529CEF1-DD0A-4C6F-B5CA-C552E3DDB8BA}" type="pres">
      <dgm:prSet presAssocID="{A1F25D91-6243-4DAA-BF8D-70E2652ACF2C}" presName="level" presStyleLbl="node1" presStyleIdx="3" presStyleCnt="6" custScaleX="99865" custScaleY="112132" custLinFactNeighborX="0" custLinFactNeighborY="5567">
        <dgm:presLayoutVars>
          <dgm:chMax val="1"/>
          <dgm:bulletEnabled val="1"/>
        </dgm:presLayoutVars>
      </dgm:prSet>
      <dgm:spPr>
        <a:prstGeom prst="trapezoid">
          <a:avLst>
            <a:gd name="adj" fmla="val 73084"/>
          </a:avLst>
        </a:prstGeom>
      </dgm:spPr>
    </dgm:pt>
    <dgm:pt modelId="{DB0A4053-3CB2-4945-8164-4A9424CFD2B4}" type="pres">
      <dgm:prSet presAssocID="{A1F25D91-6243-4DAA-BF8D-70E2652ACF2C}" presName="levelTx" presStyleLbl="revTx" presStyleIdx="0" presStyleCnt="0">
        <dgm:presLayoutVars>
          <dgm:chMax val="1"/>
          <dgm:bulletEnabled val="1"/>
        </dgm:presLayoutVars>
      </dgm:prSet>
      <dgm:spPr/>
    </dgm:pt>
    <dgm:pt modelId="{A0F68381-F585-4631-8A39-A4CB14348D9E}" type="pres">
      <dgm:prSet presAssocID="{9AD8A29C-6763-41B7-8BD9-75616EB67038}" presName="Name8" presStyleCnt="0"/>
      <dgm:spPr/>
    </dgm:pt>
    <dgm:pt modelId="{FC054309-A279-4283-8971-947B6123EAE1}" type="pres">
      <dgm:prSet presAssocID="{9AD8A29C-6763-41B7-8BD9-75616EB67038}" presName="level" presStyleLbl="node1" presStyleIdx="4" presStyleCnt="6" custLinFactNeighborX="419" custLinFactNeighborY="6122">
        <dgm:presLayoutVars>
          <dgm:chMax val="1"/>
          <dgm:bulletEnabled val="1"/>
        </dgm:presLayoutVars>
      </dgm:prSet>
      <dgm:spPr>
        <a:prstGeom prst="trapezoid">
          <a:avLst>
            <a:gd name="adj" fmla="val 73084"/>
          </a:avLst>
        </a:prstGeom>
      </dgm:spPr>
    </dgm:pt>
    <dgm:pt modelId="{E3359BDA-F5C6-4A62-A950-51C9F567EF0E}" type="pres">
      <dgm:prSet presAssocID="{9AD8A29C-6763-41B7-8BD9-75616EB67038}" presName="levelTx" presStyleLbl="revTx" presStyleIdx="0" presStyleCnt="0">
        <dgm:presLayoutVars>
          <dgm:chMax val="1"/>
          <dgm:bulletEnabled val="1"/>
        </dgm:presLayoutVars>
      </dgm:prSet>
      <dgm:spPr/>
    </dgm:pt>
    <dgm:pt modelId="{9EF5890F-6CC5-485B-8AEE-E9FEC884D2DD}" type="pres">
      <dgm:prSet presAssocID="{C28C6E3B-3C6F-46AC-916A-06128F7A89EB}" presName="Name8" presStyleCnt="0"/>
      <dgm:spPr/>
    </dgm:pt>
    <dgm:pt modelId="{77B531C8-DA7D-4299-8749-952B8CF95E96}" type="pres">
      <dgm:prSet presAssocID="{C28C6E3B-3C6F-46AC-916A-06128F7A89EB}" presName="level" presStyleLbl="node1" presStyleIdx="5" presStyleCnt="6" custLinFactNeighborY="0">
        <dgm:presLayoutVars>
          <dgm:chMax val="1"/>
          <dgm:bulletEnabled val="1"/>
        </dgm:presLayoutVars>
      </dgm:prSet>
      <dgm:spPr>
        <a:prstGeom prst="trapezoid">
          <a:avLst>
            <a:gd name="adj" fmla="val 73084"/>
          </a:avLst>
        </a:prstGeom>
      </dgm:spPr>
    </dgm:pt>
    <dgm:pt modelId="{8686F4F5-3B41-4AC9-AF95-921BA45DDCA3}" type="pres">
      <dgm:prSet presAssocID="{C28C6E3B-3C6F-46AC-916A-06128F7A89EB}" presName="levelTx" presStyleLbl="revTx" presStyleIdx="0" presStyleCnt="0">
        <dgm:presLayoutVars>
          <dgm:chMax val="1"/>
          <dgm:bulletEnabled val="1"/>
        </dgm:presLayoutVars>
      </dgm:prSet>
      <dgm:spPr/>
    </dgm:pt>
  </dgm:ptLst>
  <dgm:cxnLst>
    <dgm:cxn modelId="{D7F93E27-B2C5-4863-B6DD-8E0F315F8237}" type="presOf" srcId="{9AD8A29C-6763-41B7-8BD9-75616EB67038}" destId="{FC054309-A279-4283-8971-947B6123EAE1}" srcOrd="0" destOrd="0" presId="urn:microsoft.com/office/officeart/2005/8/layout/pyramid1"/>
    <dgm:cxn modelId="{3466272C-13EE-45C4-9F1A-430BD3FEF72D}" srcId="{2DCC929D-4068-42EE-A55A-4057127B9605}" destId="{9AD8A29C-6763-41B7-8BD9-75616EB67038}" srcOrd="4" destOrd="0" parTransId="{CF686AE3-518D-48D6-9AAD-7D6CE4AB07D1}" sibTransId="{8CDB4B21-95CA-4375-B82C-050F512145BB}"/>
    <dgm:cxn modelId="{1F337B2C-88EE-40F5-B98B-ABA8A99A0996}" srcId="{2DCC929D-4068-42EE-A55A-4057127B9605}" destId="{A1F25D91-6243-4DAA-BF8D-70E2652ACF2C}" srcOrd="3" destOrd="0" parTransId="{3E2DFCBD-8927-44C5-91EB-DC307B611DF0}" sibTransId="{280AEC88-B8EE-4768-9509-502ABF88B943}"/>
    <dgm:cxn modelId="{60801548-8A14-4D5E-8001-AA568F4488FC}" srcId="{2DCC929D-4068-42EE-A55A-4057127B9605}" destId="{C28C6E3B-3C6F-46AC-916A-06128F7A89EB}" srcOrd="5" destOrd="0" parTransId="{D6415CBF-8FD4-4A1F-A77B-34BD414A04EA}" sibTransId="{5EBB94F9-1018-4429-B1DB-32484E76FEC8}"/>
    <dgm:cxn modelId="{F09D0869-F46A-433E-B88A-E31AB09B23F8}" type="presOf" srcId="{A9B53266-56E8-47F6-B309-3587C3813DA6}" destId="{2DFFDF65-B1A6-46AB-9428-B75329F9F237}" srcOrd="1" destOrd="0" presId="urn:microsoft.com/office/officeart/2005/8/layout/pyramid1"/>
    <dgm:cxn modelId="{84FB3755-ED9A-4D3F-811A-12589AF8294D}" type="presOf" srcId="{2DCC929D-4068-42EE-A55A-4057127B9605}" destId="{8007D1FD-16FA-47D8-9D99-FF1F87A842DC}" srcOrd="0" destOrd="0" presId="urn:microsoft.com/office/officeart/2005/8/layout/pyramid1"/>
    <dgm:cxn modelId="{EC0A3A85-37FB-4F46-9421-E0EA9C140539}" srcId="{2DCC929D-4068-42EE-A55A-4057127B9605}" destId="{983D1088-06B6-4364-8E8C-75D21362D7FD}" srcOrd="1" destOrd="0" parTransId="{420FD2DB-AB98-43C8-8E15-88A649C34315}" sibTransId="{0DEA09CC-395A-4190-BD2A-8D563FA0B0B0}"/>
    <dgm:cxn modelId="{854EE385-525D-4A7D-9B38-F82749357318}" type="presOf" srcId="{A1F25D91-6243-4DAA-BF8D-70E2652ACF2C}" destId="{DB0A4053-3CB2-4945-8164-4A9424CFD2B4}" srcOrd="1" destOrd="0" presId="urn:microsoft.com/office/officeart/2005/8/layout/pyramid1"/>
    <dgm:cxn modelId="{599A218F-96AD-4027-8F06-541AD1C433BB}" type="presOf" srcId="{983D1088-06B6-4364-8E8C-75D21362D7FD}" destId="{88671071-E518-44D2-8209-289EA9B3DBAC}" srcOrd="0" destOrd="0" presId="urn:microsoft.com/office/officeart/2005/8/layout/pyramid1"/>
    <dgm:cxn modelId="{19EFC999-452B-4E1E-BD8E-77B1379E5C3B}" type="presOf" srcId="{A782B4BB-E6FA-499B-BF7E-2E0C51350A73}" destId="{7248AB5A-2D51-47CF-824E-E7A60C7491D4}" srcOrd="1" destOrd="0" presId="urn:microsoft.com/office/officeart/2005/8/layout/pyramid1"/>
    <dgm:cxn modelId="{9A8F9C9A-8650-405E-958D-60BAF6BE2EB4}" srcId="{2DCC929D-4068-42EE-A55A-4057127B9605}" destId="{A9B53266-56E8-47F6-B309-3587C3813DA6}" srcOrd="2" destOrd="0" parTransId="{C55D970F-925E-4116-BF6D-2849EE073DC9}" sibTransId="{47D470FB-E21F-4206-B1B6-403B22C79D04}"/>
    <dgm:cxn modelId="{08B5B3A0-218C-4AB1-9B27-9226609D95A2}" type="presOf" srcId="{A9B53266-56E8-47F6-B309-3587C3813DA6}" destId="{489B0557-1320-43B0-B4C5-825C726C16F2}" srcOrd="0" destOrd="0" presId="urn:microsoft.com/office/officeart/2005/8/layout/pyramid1"/>
    <dgm:cxn modelId="{4F3A11A2-1F5A-4614-B09B-468D28A667D7}" type="presOf" srcId="{C28C6E3B-3C6F-46AC-916A-06128F7A89EB}" destId="{8686F4F5-3B41-4AC9-AF95-921BA45DDCA3}" srcOrd="1" destOrd="0" presId="urn:microsoft.com/office/officeart/2005/8/layout/pyramid1"/>
    <dgm:cxn modelId="{B3D85DA3-4E37-4F21-A987-BDDD8EDF90E9}" srcId="{2DCC929D-4068-42EE-A55A-4057127B9605}" destId="{A782B4BB-E6FA-499B-BF7E-2E0C51350A73}" srcOrd="0" destOrd="0" parTransId="{D537D8A0-7F84-4391-857F-C9A1DC6A78CC}" sibTransId="{9A51F030-8B0B-480A-83A3-6BA962F8BD2A}"/>
    <dgm:cxn modelId="{6FE883AA-7607-4CF9-B6E7-2763A27EFE46}" type="presOf" srcId="{9AD8A29C-6763-41B7-8BD9-75616EB67038}" destId="{E3359BDA-F5C6-4A62-A950-51C9F567EF0E}" srcOrd="1" destOrd="0" presId="urn:microsoft.com/office/officeart/2005/8/layout/pyramid1"/>
    <dgm:cxn modelId="{7EEDCFB9-5DC0-4A48-8987-1FC8E750ED41}" type="presOf" srcId="{C28C6E3B-3C6F-46AC-916A-06128F7A89EB}" destId="{77B531C8-DA7D-4299-8749-952B8CF95E96}" srcOrd="0" destOrd="0" presId="urn:microsoft.com/office/officeart/2005/8/layout/pyramid1"/>
    <dgm:cxn modelId="{1522A2D8-0949-477A-A64E-A16B2843DC0F}" type="presOf" srcId="{A782B4BB-E6FA-499B-BF7E-2E0C51350A73}" destId="{3BDE7395-F0A6-4A9C-ADED-DF5FC87A26D6}" srcOrd="0" destOrd="0" presId="urn:microsoft.com/office/officeart/2005/8/layout/pyramid1"/>
    <dgm:cxn modelId="{DF3E1CFA-98AB-4268-B2A4-6EFB253D58DE}" type="presOf" srcId="{983D1088-06B6-4364-8E8C-75D21362D7FD}" destId="{1EF18A7A-91F0-4F3C-9588-65DDA3B57092}" srcOrd="1" destOrd="0" presId="urn:microsoft.com/office/officeart/2005/8/layout/pyramid1"/>
    <dgm:cxn modelId="{9198F6FD-38D4-4B83-95EE-ADFFBD6ED274}" type="presOf" srcId="{A1F25D91-6243-4DAA-BF8D-70E2652ACF2C}" destId="{7529CEF1-DD0A-4C6F-B5CA-C552E3DDB8BA}" srcOrd="0" destOrd="0" presId="urn:microsoft.com/office/officeart/2005/8/layout/pyramid1"/>
    <dgm:cxn modelId="{ABE598F0-E120-4286-852A-D02CE11D13B9}" type="presParOf" srcId="{8007D1FD-16FA-47D8-9D99-FF1F87A842DC}" destId="{DB703FB1-9C86-41DB-A178-7DB44343A59C}" srcOrd="0" destOrd="0" presId="urn:microsoft.com/office/officeart/2005/8/layout/pyramid1"/>
    <dgm:cxn modelId="{3477E025-E69D-4260-A804-7A0DBF6BF8AD}" type="presParOf" srcId="{DB703FB1-9C86-41DB-A178-7DB44343A59C}" destId="{3BDE7395-F0A6-4A9C-ADED-DF5FC87A26D6}" srcOrd="0" destOrd="0" presId="urn:microsoft.com/office/officeart/2005/8/layout/pyramid1"/>
    <dgm:cxn modelId="{1FC5D160-1898-48CF-86D4-D127C1F71087}" type="presParOf" srcId="{DB703FB1-9C86-41DB-A178-7DB44343A59C}" destId="{7248AB5A-2D51-47CF-824E-E7A60C7491D4}" srcOrd="1" destOrd="0" presId="urn:microsoft.com/office/officeart/2005/8/layout/pyramid1"/>
    <dgm:cxn modelId="{913E9464-0044-4A97-8C9F-6E302C769F3B}" type="presParOf" srcId="{8007D1FD-16FA-47D8-9D99-FF1F87A842DC}" destId="{D8C838C5-E7B3-4CAB-A6E9-06930F2E77D3}" srcOrd="1" destOrd="0" presId="urn:microsoft.com/office/officeart/2005/8/layout/pyramid1"/>
    <dgm:cxn modelId="{EDBCAEDF-CBE2-4B67-94AF-B6839E8D5BAB}" type="presParOf" srcId="{D8C838C5-E7B3-4CAB-A6E9-06930F2E77D3}" destId="{88671071-E518-44D2-8209-289EA9B3DBAC}" srcOrd="0" destOrd="0" presId="urn:microsoft.com/office/officeart/2005/8/layout/pyramid1"/>
    <dgm:cxn modelId="{3CE4D8BF-590A-4812-8E9C-FBA0540AE94C}" type="presParOf" srcId="{D8C838C5-E7B3-4CAB-A6E9-06930F2E77D3}" destId="{1EF18A7A-91F0-4F3C-9588-65DDA3B57092}" srcOrd="1" destOrd="0" presId="urn:microsoft.com/office/officeart/2005/8/layout/pyramid1"/>
    <dgm:cxn modelId="{44AAC2C9-3160-47EB-B72E-22C30491B468}" type="presParOf" srcId="{8007D1FD-16FA-47D8-9D99-FF1F87A842DC}" destId="{5D74C136-0A5B-4880-ACC4-88CB6261374D}" srcOrd="2" destOrd="0" presId="urn:microsoft.com/office/officeart/2005/8/layout/pyramid1"/>
    <dgm:cxn modelId="{BCBC029C-9857-48B0-86DA-F75D2E0F1E46}" type="presParOf" srcId="{5D74C136-0A5B-4880-ACC4-88CB6261374D}" destId="{489B0557-1320-43B0-B4C5-825C726C16F2}" srcOrd="0" destOrd="0" presId="urn:microsoft.com/office/officeart/2005/8/layout/pyramid1"/>
    <dgm:cxn modelId="{E8FE2761-23A5-4F7C-9AFD-E80F94021146}" type="presParOf" srcId="{5D74C136-0A5B-4880-ACC4-88CB6261374D}" destId="{2DFFDF65-B1A6-46AB-9428-B75329F9F237}" srcOrd="1" destOrd="0" presId="urn:microsoft.com/office/officeart/2005/8/layout/pyramid1"/>
    <dgm:cxn modelId="{D7CF5433-F71F-4BE7-AF08-83E29D29E3DC}" type="presParOf" srcId="{8007D1FD-16FA-47D8-9D99-FF1F87A842DC}" destId="{02C232F6-FF76-4D36-949B-DEA63FCDE03B}" srcOrd="3" destOrd="0" presId="urn:microsoft.com/office/officeart/2005/8/layout/pyramid1"/>
    <dgm:cxn modelId="{F8538C5C-6F74-4675-B05A-CCA168469ED3}" type="presParOf" srcId="{02C232F6-FF76-4D36-949B-DEA63FCDE03B}" destId="{7529CEF1-DD0A-4C6F-B5CA-C552E3DDB8BA}" srcOrd="0" destOrd="0" presId="urn:microsoft.com/office/officeart/2005/8/layout/pyramid1"/>
    <dgm:cxn modelId="{6AB818F4-14F1-4979-AB27-F8E59CEA5E32}" type="presParOf" srcId="{02C232F6-FF76-4D36-949B-DEA63FCDE03B}" destId="{DB0A4053-3CB2-4945-8164-4A9424CFD2B4}" srcOrd="1" destOrd="0" presId="urn:microsoft.com/office/officeart/2005/8/layout/pyramid1"/>
    <dgm:cxn modelId="{43B5396B-9FAC-4EBB-A396-C8145456DF8B}" type="presParOf" srcId="{8007D1FD-16FA-47D8-9D99-FF1F87A842DC}" destId="{A0F68381-F585-4631-8A39-A4CB14348D9E}" srcOrd="4" destOrd="0" presId="urn:microsoft.com/office/officeart/2005/8/layout/pyramid1"/>
    <dgm:cxn modelId="{767997C5-83B1-4339-84E9-03E4236B2639}" type="presParOf" srcId="{A0F68381-F585-4631-8A39-A4CB14348D9E}" destId="{FC054309-A279-4283-8971-947B6123EAE1}" srcOrd="0" destOrd="0" presId="urn:microsoft.com/office/officeart/2005/8/layout/pyramid1"/>
    <dgm:cxn modelId="{B0D05AD0-6D60-46BD-8BCD-9D4CFE25A39B}" type="presParOf" srcId="{A0F68381-F585-4631-8A39-A4CB14348D9E}" destId="{E3359BDA-F5C6-4A62-A950-51C9F567EF0E}" srcOrd="1" destOrd="0" presId="urn:microsoft.com/office/officeart/2005/8/layout/pyramid1"/>
    <dgm:cxn modelId="{0F1B2C5B-0841-4791-86DC-298DCBD24599}" type="presParOf" srcId="{8007D1FD-16FA-47D8-9D99-FF1F87A842DC}" destId="{9EF5890F-6CC5-485B-8AEE-E9FEC884D2DD}" srcOrd="5" destOrd="0" presId="urn:microsoft.com/office/officeart/2005/8/layout/pyramid1"/>
    <dgm:cxn modelId="{5159FD43-D229-482E-9AFA-9B590F65F9BB}" type="presParOf" srcId="{9EF5890F-6CC5-485B-8AEE-E9FEC884D2DD}" destId="{77B531C8-DA7D-4299-8749-952B8CF95E96}" srcOrd="0" destOrd="0" presId="urn:microsoft.com/office/officeart/2005/8/layout/pyramid1"/>
    <dgm:cxn modelId="{8EE46E75-2E9D-4697-9FB1-A42B63034D43}" type="presParOf" srcId="{9EF5890F-6CC5-485B-8AEE-E9FEC884D2DD}" destId="{8686F4F5-3B41-4AC9-AF95-921BA45DDCA3}"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E7395-F0A6-4A9C-ADED-DF5FC87A26D6}">
      <dsp:nvSpPr>
        <dsp:cNvPr id="0" name=""/>
        <dsp:cNvSpPr/>
      </dsp:nvSpPr>
      <dsp:spPr>
        <a:xfrm>
          <a:off x="1781173" y="0"/>
          <a:ext cx="1443992" cy="855620"/>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Employee</a:t>
          </a:r>
          <a:r>
            <a:rPr lang="en-US" sz="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Training</a:t>
          </a:r>
        </a:p>
      </dsp:txBody>
      <dsp:txXfrm>
        <a:off x="1781173" y="0"/>
        <a:ext cx="1443992" cy="855620"/>
      </dsp:txXfrm>
    </dsp:sp>
    <dsp:sp modelId="{88671071-E518-44D2-8209-289EA9B3DBAC}">
      <dsp:nvSpPr>
        <dsp:cNvPr id="0" name=""/>
        <dsp:cNvSpPr/>
      </dsp:nvSpPr>
      <dsp:spPr>
        <a:xfrm>
          <a:off x="1349273" y="855620"/>
          <a:ext cx="2307792" cy="555395"/>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Regulatory</a:t>
          </a: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Compliance</a:t>
          </a:r>
        </a:p>
      </dsp:txBody>
      <dsp:txXfrm>
        <a:off x="1753137" y="855620"/>
        <a:ext cx="1500065" cy="555395"/>
      </dsp:txXfrm>
    </dsp:sp>
    <dsp:sp modelId="{489B0557-1320-43B0-B4C5-825C726C16F2}">
      <dsp:nvSpPr>
        <dsp:cNvPr id="0" name=""/>
        <dsp:cNvSpPr/>
      </dsp:nvSpPr>
      <dsp:spPr>
        <a:xfrm>
          <a:off x="921691" y="1445186"/>
          <a:ext cx="3127102" cy="587162"/>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Utilize</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Analytics</a:t>
          </a:r>
        </a:p>
      </dsp:txBody>
      <dsp:txXfrm>
        <a:off x="1468934" y="1445186"/>
        <a:ext cx="2032616" cy="587162"/>
      </dsp:txXfrm>
    </dsp:sp>
    <dsp:sp modelId="{7529CEF1-DD0A-4C6F-B5CA-C552E3DDB8BA}">
      <dsp:nvSpPr>
        <dsp:cNvPr id="0" name=""/>
        <dsp:cNvSpPr/>
      </dsp:nvSpPr>
      <dsp:spPr>
        <a:xfrm>
          <a:off x="660193" y="2022951"/>
          <a:ext cx="3685952" cy="498959"/>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Continuos</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Monitoring</a:t>
          </a:r>
        </a:p>
      </dsp:txBody>
      <dsp:txXfrm>
        <a:off x="1305235" y="2022951"/>
        <a:ext cx="2395868" cy="498959"/>
      </dsp:txXfrm>
    </dsp:sp>
    <dsp:sp modelId="{FC054309-A279-4283-8971-947B6123EAE1}">
      <dsp:nvSpPr>
        <dsp:cNvPr id="0" name=""/>
        <dsp:cNvSpPr/>
      </dsp:nvSpPr>
      <dsp:spPr>
        <a:xfrm>
          <a:off x="347072" y="2524380"/>
          <a:ext cx="4348637" cy="444975"/>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Effective</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Control</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Implementation</a:t>
          </a:r>
        </a:p>
      </dsp:txBody>
      <dsp:txXfrm>
        <a:off x="1108083" y="2524380"/>
        <a:ext cx="2826614" cy="444975"/>
      </dsp:txXfrm>
    </dsp:sp>
    <dsp:sp modelId="{77B531C8-DA7D-4299-8749-952B8CF95E96}">
      <dsp:nvSpPr>
        <dsp:cNvPr id="0" name=""/>
        <dsp:cNvSpPr/>
      </dsp:nvSpPr>
      <dsp:spPr>
        <a:xfrm>
          <a:off x="0" y="2942114"/>
          <a:ext cx="5006340" cy="444975"/>
        </a:xfrm>
        <a:prstGeom prst="trapezoid">
          <a:avLst>
            <a:gd name="adj" fmla="val 73084"/>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Systematic</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Risk</a:t>
          </a:r>
          <a:r>
            <a:rPr lang="en-US" sz="1600" kern="1200">
              <a:solidFill>
                <a:sysClr val="windowText" lastClr="000000">
                  <a:hueOff val="0"/>
                  <a:satOff val="0"/>
                  <a:lumOff val="0"/>
                  <a:alphaOff val="0"/>
                </a:sysClr>
              </a:solidFill>
              <a:latin typeface="Calibri" panose="020F0502020204030204"/>
              <a:ea typeface="+mn-ea"/>
              <a:cs typeface="+mn-cs"/>
            </a:rPr>
            <a:t>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Assessment</a:t>
          </a:r>
        </a:p>
      </dsp:txBody>
      <dsp:txXfrm>
        <a:off x="876109" y="2942114"/>
        <a:ext cx="3254121" cy="4449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Ham25</b:Tag>
    <b:SourceType>JournalArticle</b:SourceType>
    <b:Guid>{EAD5494E-71B5-4FA1-9A42-CCE8024EC3D0}</b:Guid>
    <b:Author>
      <b:Author>
        <b:NameList>
          <b:Person>
            <b:Last>Hamidovic</b:Last>
            <b:First>H</b:First>
          </b:Person>
        </b:NameList>
      </b:Author>
    </b:Author>
    <b:Title>Enhancing IT maturity through IT General Controls (ITGC) audits</b:Title>
    <b:JournalName>MEST Journal</b:JournalName>
    <b:Year>2025</b:Year>
    <b:Pages>82-88</b:Pages>
    <b:RefOrder>1</b:RefOrder>
  </b:Source>
  <b:Source>
    <b:Tag>Dep22</b:Tag>
    <b:SourceType>DocumentFromInternetSite</b:SourceType>
    <b:Guid>{D88857B5-83EF-4C12-AC9E-52DFC3369D57}</b:Guid>
    <b:Title>"D.C. Man Sentenced to Prison for Attempting to Steal More than $31 Million in COVID-19 Relief Funds."</b:Title>
    <b:Year>2022</b:Year>
    <b:Author>
      <b:Author>
        <b:NameList>
          <b:Person>
            <b:Last>Department of Justice</b:Last>
            <b:First>U.S.</b:First>
            <b:Middle>Attorney's Office ( District of Columbia)</b:Middle>
          </b:Person>
        </b:NameList>
      </b:Author>
    </b:Author>
    <b:InternetSiteTitle>Justice.gov Press Release</b:InternetSiteTitle>
    <b:Month>August</b:Month>
    <b:Day>25</b:Day>
    <b:URL>https://www.google.com/search?q=https://www.justice.gov/usao-dc/pr/dc-man-sentenced-prison-attempting-steal-more-31-million-covid-19-relief-funds</b:URL>
    <b:RefOrder>2</b:RefOrder>
  </b:Source>
  <b:Source>
    <b:Tag>Lex22</b:Tag>
    <b:SourceType>InternetSite</b:SourceType>
    <b:Guid>{92BEA038-217F-499C-9782-0C04B512A8A0}</b:Guid>
    <b:Title>True Cost of Fraud Study: Financial Services and Lending Report</b:Title>
    <b:InternetSiteTitle>LexisNexis Risk Solutions</b:InternetSiteTitle>
    <b:Year>2022</b:Year>
    <b:URL>https://risk.lexisnexis.com/global/en</b:URL>
    <b:Author>
      <b:Author>
        <b:NameList>
          <b:Person>
            <b:Last>Solutions</b:Last>
            <b:First>LexisNexis</b:First>
            <b:Middle>Risk</b:Middle>
          </b:Person>
        </b:NameList>
      </b:Author>
    </b:Author>
    <b:RefOrder>3</b:RefOrder>
  </b:Source>
  <b:Source>
    <b:Tag>Sau19</b:Tag>
    <b:SourceType>Book</b:SourceType>
    <b:Guid>{F5195C8B-86DD-456B-AD7A-5818CEBC7324}</b:Guid>
    <b:Title>Research methods for bsuiness students (8th ed.)</b:Title>
    <b:Year>2019</b:Year>
    <b:Publisher>Pearson</b:Publisher>
    <b:Author>
      <b:Author>
        <b:NameList>
          <b:Person>
            <b:Last>Saunders</b:Last>
            <b:First>M.,</b:First>
            <b:Middle>Lewis, P., Thornhill,A</b:Middle>
          </b:Person>
        </b:NameList>
      </b:Author>
    </b:Author>
    <b:RefOrder>18</b:RefOrder>
  </b:Source>
  <b:Source>
    <b:Tag>Ave23</b:Tag>
    <b:SourceType>JournalArticle</b:SourceType>
    <b:Guid>{6556E3D5-3998-4DA7-B410-A32BB4CA43E3}</b:Guid>
    <b:Title>A framework for understanding risk based on the concepts of ontology and epistemology</b:Title>
    <b:Year>2023</b:Year>
    <b:Author>
      <b:Author>
        <b:NameList>
          <b:Person>
            <b:Last>Aven</b:Last>
            <b:First>T.</b:First>
          </b:Person>
        </b:NameList>
      </b:Author>
    </b:Author>
    <b:JournalName>Journal of Risk Research</b:JournalName>
    <b:Pages>26 (6), 1-13</b:Pages>
    <b:RefOrder>19</b:RefOrder>
  </b:Source>
  <b:Source>
    <b:Tag>Paw13</b:Tag>
    <b:SourceType>JournalArticle</b:SourceType>
    <b:Guid>{9FDD6E23-5395-4278-9F6D-35AA68649755}</b:Guid>
    <b:Author>
      <b:Author>
        <b:NameList>
          <b:Person>
            <b:Last>Pawson</b:Last>
            <b:First>R</b:First>
          </b:Person>
        </b:NameList>
      </b:Author>
    </b:Author>
    <b:Title>The science of evaluation: A realist manifesto</b:Title>
    <b:JournalName>SAGE Publications</b:JournalName>
    <b:Year>2013</b:Year>
    <b:RefOrder>20</b:RefOrder>
  </b:Source>
  <b:Source>
    <b:Tag>Res10</b:Tag>
    <b:SourceType>JournalArticle</b:SourceType>
    <b:Guid>{D1FDF722-940C-4D27-8738-67B6FF7945DF}</b:Guid>
    <b:Author>
      <b:Author>
        <b:NameList>
          <b:Person>
            <b:Last>Resnik</b:Last>
            <b:First>D.B</b:First>
          </b:Person>
        </b:NameList>
      </b:Author>
    </b:Author>
    <b:Title>What is ethics in research and why it is important</b:Title>
    <b:JournalName>National Institute of Environmental Health Sciences</b:JournalName>
    <b:Year>2010</b:Year>
    <b:RefOrder>21</b:RefOrder>
  </b:Source>
  <b:Source>
    <b:Tag>Bab16</b:Tag>
    <b:SourceType>BookSection</b:SourceType>
    <b:Guid>{A356C312-4F4A-4D7A-809D-B8B3752018C1}</b:Guid>
    <b:Title>The practice of social research (14th ed.)</b:Title>
    <b:Year>2016</b:Year>
    <b:Pages>Chapter 9 on Survey Research</b:Pages>
    <b:Author>
      <b:Author>
        <b:NameList>
          <b:Person>
            <b:Last>Babbie</b:Last>
            <b:First>E.R</b:First>
          </b:Person>
        </b:NameList>
      </b:Author>
    </b:Author>
    <b:BookTitle>Cengage Learning </b:BookTitle>
    <b:RefOrder>22</b:RefOrder>
  </b:Source>
  <b:Source>
    <b:Tag>Cre18</b:Tag>
    <b:SourceType>Book</b:SourceType>
    <b:Guid>{52719427-40A4-4711-AB49-E3A5AC519F7F}</b:Guid>
    <b:Title>Research design: Qualitative, quantitative, and mixed methods approaches (5th ed.)</b:Title>
    <b:Year>2018</b:Year>
    <b:Publisher>SAGE Publications</b:Publisher>
    <b:Author>
      <b:Author>
        <b:NameList>
          <b:Person>
            <b:Last>Creswell</b:Last>
            <b:First>J.</b:First>
            <b:Middle>W., &amp; Creswell, J. D</b:Middle>
          </b:Person>
        </b:NameList>
      </b:Author>
    </b:Author>
    <b:RefOrder>23</b:RefOrder>
  </b:Source>
  <b:Source>
    <b:Tag>Mon21</b:Tag>
    <b:SourceType>JournalArticle</b:SourceType>
    <b:Guid>{7C86E554-893B-4B5B-A3C0-7D051A640BA0}</b:Guid>
    <b:Title>Introduction to linear regression analysis (6th ed.)</b:Title>
    <b:Year>2021</b:Year>
    <b:Author>
      <b:Author>
        <b:NameList>
          <b:Person>
            <b:Last>Montgomery</b:Last>
            <b:First>D.</b:First>
            <b:Middle>C., Peck, E. A., &amp; Vining, G. G</b:Middle>
          </b:Person>
        </b:NameList>
      </b:Author>
    </b:Author>
    <b:JournalName>Wiley</b:JournalName>
    <b:RefOrder>24</b:RefOrder>
  </b:Source>
  <b:Source>
    <b:Tag>AlS25</b:Tag>
    <b:SourceType>JournalArticle</b:SourceType>
    <b:Guid>{5918FC20-E03F-4575-BAFE-1CAEC23C97D8}</b:Guid>
    <b:Author>
      <b:Author>
        <b:NameList>
          <b:Person>
            <b:Last>Al-Siyabi</b:Last>
            <b:First>M.,</b:First>
            <b:Middle>&amp; Al-Busaidi, S</b:Middle>
          </b:Person>
        </b:NameList>
      </b:Author>
    </b:Author>
    <b:Title>The impact of artificial intelligence on financial auditing and fraud detection: A case study approach</b:Title>
    <b:JournalName>Journal of Research and Innovation in Social Science</b:JournalName>
    <b:Year>2025</b:Year>
    <b:Pages>(9) 1</b:Pages>
    <b:RefOrder>25</b:RefOrder>
  </b:Source>
  <b:Source>
    <b:Tag>ACF24</b:Tag>
    <b:SourceType>DocumentFromInternetSite</b:SourceType>
    <b:Guid>{4892F179-B59D-4147-BE8B-D90F7069D3F9}</b:Guid>
    <b:Title>Occupational fraud 2024: A report to the nations.</b:Title>
    <b:Year>2024</b:Year>
    <b:InternetSiteTitle>(ACFE), Association of Certified Fraud Examiners</b:InternetSiteTitle>
    <b:URL>https://www.acfe.com/report-to-the-nations/2024/</b:URL>
    <b:Author>
      <b:Author>
        <b:NameList>
          <b:Person>
            <b:Last>(ACFE)</b:Last>
            <b:First>Association</b:First>
            <b:Middle>of Certified Fraud Examiners</b:Middle>
          </b:Person>
        </b:NameList>
      </b:Author>
    </b:Author>
    <b:RefOrder>26</b:RefOrder>
  </b:Source>
  <b:Source>
    <b:Tag>Saf23</b:Tag>
    <b:SourceType>DocumentFromInternetSite</b:SourceType>
    <b:Guid>{CEEFB1CC-CC43-4F25-A379-57921E115242}</b:Guid>
    <b:Title>Counterattacking cyber threats: A framework for the future of cybersecurity. Sustainability</b:Title>
    <b:InternetSiteTitle>MDPI Open Access Journals</b:InternetSiteTitle>
    <b:Year>2023</b:Year>
    <b:Month>September</b:Month>
    <b:Day>6</b:Day>
    <b:URL>https://www.mdpi.com/2071-1050/15/18/13369</b:URL>
    <b:Author>
      <b:Author>
        <b:NameList>
          <b:Person>
            <b:Last>Safitra</b:Last>
            <b:First>M.</b:First>
            <b:Middle>F., Lubis, M., &amp; Fakhrurroja, H</b:Middle>
          </b:Person>
        </b:NameList>
      </b:Author>
    </b:Author>
    <b:JournalName>MDPI Open Access Journals</b:JournalName>
    <b:RefOrder>27</b:RefOrder>
  </b:Source>
  <b:Source>
    <b:Tag>Jol25</b:Tag>
    <b:SourceType>JournalArticle</b:SourceType>
    <b:Guid>{104CC341-C1C5-4EDD-9AED-F7AFFB14A4B1}</b:Guid>
    <b:Title>The development, validity, and reliability of the Researcher Investment Tool</b:Title>
    <b:Year>2025</b:Year>
    <b:Author>
      <b:Author>
        <b:NameList>
          <b:Person>
            <b:Last>Joly</b:Last>
            <b:First>B.</b:First>
            <b:Middle>M., et al</b:Middle>
          </b:Person>
        </b:NameList>
      </b:Author>
    </b:Author>
    <b:JournalName>Journal of Clinical and Translational Science</b:JournalName>
    <b:RefOrder>28</b:RefOrder>
  </b:Source>
  <b:Source>
    <b:Tag>Coh18</b:Tag>
    <b:SourceType>JournalArticle</b:SourceType>
    <b:Guid>{5FAEAA41-27E5-43E5-88B3-8B64271BC566}</b:Guid>
    <b:Title>Research methods in education (8th ed.)</b:Title>
    <b:JournalName>Taylor Francis</b:JournalName>
    <b:Year>2018</b:Year>
    <b:Author>
      <b:Author>
        <b:NameList>
          <b:Person>
            <b:Last>Cohen</b:Last>
            <b:First>L.,</b:First>
            <b:Middle>Manion, L., &amp; Morrison, K</b:Middle>
          </b:Person>
        </b:NameList>
      </b:Author>
    </b:Author>
    <b:RefOrder>29</b:RefOrder>
  </b:Source>
  <b:Source>
    <b:Tag>Bel22</b:Tag>
    <b:SourceType>BookSection</b:SourceType>
    <b:Guid>{465D3835-553C-46C7-924A-B853E19500CA}</b:Guid>
    <b:Title>Business research methods (6th ed.)</b:Title>
    <b:Year>2022</b:Year>
    <b:Pages>The Nature of Quantitative/Qualitative Research</b:Pages>
    <b:Author>
      <b:Author>
        <b:NameList>
          <b:Person>
            <b:Last>Bell</b:Last>
            <b:First>E.,</b:First>
            <b:Middle>Bryman, A., &amp; Harley, B</b:Middle>
          </b:Person>
        </b:NameList>
      </b:Author>
    </b:Author>
    <b:Publisher>Oxford University Press</b:Publisher>
    <b:RefOrder>30</b:RefOrder>
  </b:Source>
  <b:Source>
    <b:Tag>Nov23</b:Tag>
    <b:SourceType>BookSection</b:SourceType>
    <b:Guid>{ACF94599-CBCE-4AB6-90B8-D4EF8A03729D}</b:Guid>
    <b:Author>
      <b:Author>
        <b:NameList>
          <b:Person>
            <b:Last>Novosel</b:Last>
            <b:First>L.</b:First>
            <b:Middle>M</b:Middle>
          </b:Person>
        </b:NameList>
      </b:Author>
    </b:Author>
    <b:Title>Understanding the evidence: Non-probability (non-random) sampling designs.</b:Title>
    <b:BookTitle>Urologic Nursing (43) 5</b:BookTitle>
    <b:Year>2023</b:Year>
    <b:Pages>245-247</b:Pages>
    <b:RefOrder>31</b:RefOrder>
  </b:Source>
  <b:Source>
    <b:Tag>RYi20</b:Tag>
    <b:SourceType>Book</b:SourceType>
    <b:Guid>{FC140494-E74C-442C-89EA-D169DA083F63}</b:Guid>
    <b:Author>
      <b:Author>
        <b:NameList>
          <b:Person>
            <b:Last>Yin</b:Last>
            <b:First>R</b:First>
          </b:Person>
        </b:NameList>
      </b:Author>
    </b:Author>
    <b:Title>Case Study Research and Applications: Design and Methods</b:Title>
    <b:Year>2020</b:Year>
    <b:Publisher>Sage publications</b:Publisher>
    <b:Edition>sixth</b:Edition>
    <b:RefOrder>32</b:RefOrder>
  </b:Source>
  <b:Source>
    <b:Tag>WNe20</b:Tag>
    <b:SourceType>Book</b:SourceType>
    <b:Guid>{1C60252B-B2D3-46C4-BA16-C712C6ACE461}</b:Guid>
    <b:Author>
      <b:Author>
        <b:NameList>
          <b:Person>
            <b:Last>Neuman</b:Last>
            <b:First>W</b:First>
          </b:Person>
        </b:NameList>
      </b:Author>
    </b:Author>
    <b:Title>Social Reserach Methods: Qualitative and Quanitative Approaches</b:Title>
    <b:Year>2020</b:Year>
    <b:Publisher>Pearson</b:Publisher>
    <b:Edition>7th</b:Edition>
    <b:RefOrder>33</b:RefOrder>
  </b:Source>
  <b:Source>
    <b:Tag>WNe21</b:Tag>
    <b:SourceType>BookSection</b:SourceType>
    <b:Guid>{99926B7C-2B3B-4CCA-8B44-B8DE9E734806}</b:Guid>
    <b:Author>
      <b:Author>
        <b:NameList>
          <b:Person>
            <b:Last>Neuman</b:Last>
            <b:First>W</b:First>
          </b:Person>
        </b:NameList>
      </b:Author>
      <b:Editor>
        <b:NameList>
          <b:Person>
            <b:Last>Teddlie</b:Last>
            <b:First>C</b:First>
          </b:Person>
        </b:NameList>
      </b:Editor>
    </b:Author>
    <b:Title> Quantitative and qualitative approach</b:Title>
    <b:BookTitle>Social Rsearch Methods</b:BookTitle>
    <b:Year>2021</b:Year>
    <b:Pages>90-120</b:Pages>
    <b:City>London</b:City>
    <b:Publisher>Pearson education</b:Publisher>
    <b:RefOrder>34</b:RefOrder>
  </b:Source>
  <b:Source>
    <b:Tag>ABe21</b:Tag>
    <b:SourceType>Book</b:SourceType>
    <b:Guid>{AD8670BB-9AFB-4332-BD87-9AF04C8EA22A}</b:Guid>
    <b:Author>
      <b:Author>
        <b:NameList>
          <b:Person>
            <b:Last>Bell</b:Last>
            <b:First>A</b:First>
          </b:Person>
        </b:NameList>
      </b:Author>
    </b:Author>
    <b:Title>Research Methoods for business students</b:Title>
    <b:Year>2021</b:Year>
    <b:Publisher>Oxford University Press</b:Publisher>
    <b:Edition>sixth</b:Edition>
    <b:RefOrder>35</b:RefOrder>
  </b:Source>
  <b:Source>
    <b:Tag>ABr22</b:Tag>
    <b:SourceType>BookSection</b:SourceType>
    <b:Guid>{CA49DECC-21A6-480A-9DC7-F44004A1D327}</b:Guid>
    <b:Author>
      <b:Author>
        <b:NameList>
          <b:Person>
            <b:Last>Bryman</b:Last>
            <b:First>A</b:First>
          </b:Person>
        </b:NameList>
      </b:Author>
      <b:Editor>
        <b:NameList>
          <b:Person>
            <b:Last>Corbin</b:Last>
            <b:First>J</b:First>
          </b:Person>
        </b:NameList>
      </b:Editor>
    </b:Author>
    <b:Title>Business Research Methods</b:Title>
    <b:Year>2022</b:Year>
    <b:Publisher>Oxford University Press</b:Publisher>
    <b:Edition>4th</b:Edition>
    <b:City>Oxfrod</b:City>
    <b:BookTitle>Basics of Qualitative Research: Techniques and Procedures for Developing Grounded Theory</b:BookTitle>
    <b:Pages>170-240</b:Pages>
    <b:RefOrder>36</b:RefOrder>
  </b:Source>
  <b:Source>
    <b:Tag>RKu19</b:Tag>
    <b:SourceType>Book</b:SourceType>
    <b:Guid>{41F336CC-B002-4B18-907F-E71F2D16FE9B}</b:Guid>
    <b:Author>
      <b:Author>
        <b:NameList>
          <b:Person>
            <b:Last>Kumar</b:Last>
            <b:First>R</b:First>
          </b:Person>
        </b:NameList>
      </b:Author>
    </b:Author>
    <b:Title>Research Methodlogy: A step by step guide</b:Title>
    <b:Year>2019</b:Year>
    <b:Publisher>Sage publications</b:Publisher>
    <b:Edition>fifth</b:Edition>
    <b:RefOrder>14</b:RefOrder>
  </b:Source>
  <b:Source>
    <b:Tag>Coo22</b:Tag>
    <b:SourceType>JournalArticle</b:SourceType>
    <b:Guid>{DBA201A3-993F-4540-A7EB-10DABE81D240}</b:Guid>
    <b:Author>
      <b:Author>
        <b:NameList>
          <b:Person>
            <b:Last>Cooper</b:Last>
          </b:Person>
        </b:NameList>
      </b:Author>
    </b:Author>
    <b:Title>Research Questionnaires</b:Title>
    <b:JournalName>Research Methodlogies</b:JournalName>
    <b:Year>2022</b:Year>
    <b:RefOrder>37</b:RefOrder>
  </b:Source>
  <b:Source>
    <b:Tag>JWe22</b:Tag>
    <b:SourceType>JournalArticle</b:SourceType>
    <b:Guid>{B48C756D-28DD-4B60-AEDD-93BA62CCF277}</b:Guid>
    <b:Author>
      <b:Author>
        <b:NameList>
          <b:Person>
            <b:Last>Wembley</b:Last>
            <b:First>J</b:First>
          </b:Person>
        </b:NameList>
      </b:Author>
    </b:Author>
    <b:Title>Data Analysis</b:Title>
    <b:JournalName>Oxford Press</b:JournalName>
    <b:Year>2022</b:Year>
    <b:Pages>800</b:Pages>
    <b:RefOrder>16</b:RefOrder>
  </b:Source>
  <b:Source>
    <b:Tag>DGa20</b:Tag>
    <b:SourceType>BookSection</b:SourceType>
    <b:Guid>{C05E2AAF-A885-4C56-8CFE-0CE9EF312398}</b:Guid>
    <b:Author>
      <b:Author>
        <b:NameList>
          <b:Person>
            <b:Last>Garner</b:Last>
            <b:First>D</b:First>
          </b:Person>
        </b:NameList>
      </b:Author>
      <b:Editor>
        <b:NameList>
          <b:Person>
            <b:Last>Johnstone</b:Last>
            <b:First>K</b:First>
          </b:Person>
        </b:NameList>
      </b:Editor>
    </b:Author>
    <b:Title>Data Reconciliations</b:Title>
    <b:JournalName>IT audits</b:JournalName>
    <b:Year>2020</b:Year>
    <b:Pages>400-770</b:Pages>
    <b:Publisher>Cengage Learning</b:Publisher>
    <b:BookTitle>Auditing: A Business Risk Approach</b:BookTitle>
    <b:RefOrder>17</b:RefOrder>
  </b:Source>
  <b:Source>
    <b:Tag>Rom21</b:Tag>
    <b:SourceType>Book</b:SourceType>
    <b:Guid>{E897722A-175E-4E4B-BE8D-146B5436FA01}</b:Guid>
    <b:Title>Accounting information systems (15th ed.)</b:Title>
    <b:Year>2021</b:Year>
    <b:Publisher>Pearson</b:Publisher>
    <b:Author>
      <b:Author>
        <b:NameList>
          <b:Person>
            <b:Last>Romney</b:Last>
            <b:First>M.B,</b:First>
            <b:Middle>&amp; Steinbart, P.J</b:Middle>
          </b:Person>
        </b:NameList>
      </b:Author>
    </b:Author>
    <b:RefOrder>4</b:RefOrder>
  </b:Source>
  <b:Source>
    <b:Tag>Hom20</b:Tag>
    <b:SourceType>JournalArticle</b:SourceType>
    <b:Guid>{F88E8CE7-6040-4E37-B432-3912473FE57D}</b:Guid>
    <b:Title>Testing the fraud triangle: A systematic review</b:Title>
    <b:Year>2020</b:Year>
    <b:Author>
      <b:Author>
        <b:NameList>
          <b:Person>
            <b:Last>Homer</b:Last>
            <b:First>E.M</b:First>
          </b:Person>
        </b:NameList>
      </b:Author>
    </b:Author>
    <b:JournalName>Journal of Financial Crime</b:JournalName>
    <b:Pages>172-187</b:Pages>
    <b:RefOrder>5</b:RefOrder>
  </b:Source>
  <b:Source>
    <b:Tag>Kam20</b:Tag>
    <b:SourceType>InternetSite</b:SourceType>
    <b:Guid>{DD45D408-9CA1-40B2-A2BC-76D92CC7D6D5}</b:Guid>
    <b:Title>Investigating acceptance of telemedicine services through an extended technology acceptance model (TAM). Technology in Society, 60, 101212</b:Title>
    <b:Year>2020</b:Year>
    <b:Author>
      <b:Author>
        <b:NameList>
          <b:Person>
            <b:Last>Kamal</b:Last>
            <b:First>S.</b:First>
            <b:Middle>A., Shafiq, M., &amp; Kakria, P</b:Middle>
          </b:Person>
        </b:NameList>
      </b:Author>
    </b:Author>
    <b:InternetSiteTitle>Science Direct</b:InternetSiteTitle>
    <b:URL>https://doi.org/10.1016/j.techsoc.2019.101212</b:URL>
    <b:RefOrder>6</b:RefOrder>
  </b:Source>
  <b:Source>
    <b:Tag>Tan25</b:Tag>
    <b:SourceType>JournalArticle</b:SourceType>
    <b:Guid>{D704C9C2-27D6-4EB6-8D6E-B51CDE1BA6F5}</b:Guid>
    <b:Title>Optimizing IT governance in BTS.id: A COBIT 2019-based analysis of design factors</b:Title>
    <b:Year>2025</b:Year>
    <b:Author>
      <b:Author>
        <b:NameList>
          <b:Person>
            <b:Last>Tangka</b:Last>
            <b:First>J.,</b:First>
            <b:Middle>&amp; Lompoliu, E</b:Middle>
          </b:Person>
        </b:NameList>
      </b:Author>
    </b:Author>
    <b:JournalName>Malcom: Indonesian Journal of Machine Learning</b:JournalName>
    <b:Pages>699-710</b:Pages>
    <b:RefOrder>7</b:RefOrder>
  </b:Source>
  <b:Source>
    <b:Tag>Oye25</b:Tag>
    <b:SourceType>JournalArticle</b:SourceType>
    <b:Guid>{ABD3AC12-DFDC-41AF-9515-C37A9D21E241}</b:Guid>
    <b:Title>The role of internal audit in fraud detection and prevention: A multi-contextual review and research agenda</b:Title>
    <b:JournalName>Journal of Science Research and Reviews</b:JournalName>
    <b:Year>2025</b:Year>
    <b:Pages>76-85</b:Pages>
    <b:Author>
      <b:Author>
        <b:NameList>
          <b:Person>
            <b:Last>Oyedotun</b:Last>
            <b:First>T.</b:First>
            <b:Middle>D., Olaniyi, C. O., &amp; Akintola, O. A</b:Middle>
          </b:Person>
        </b:NameList>
      </b:Author>
    </b:Author>
    <b:Publisher>CRC Press</b:Publisher>
    <b:RefOrder>8</b:RefOrder>
  </b:Source>
  <b:Source>
    <b:Tag>Cal23</b:Tag>
    <b:SourceType>Book</b:SourceType>
    <b:Guid>{506D3881-973A-40DA-8440-1FC7198EDD02}</b:Guid>
    <b:Title>IT governance: An international guide to data security and ISO27001/ISO27002 (8th ed.)</b:Title>
    <b:Year>2023</b:Year>
    <b:Author>
      <b:Author>
        <b:NameList>
          <b:Person>
            <b:Last>Calder</b:Last>
            <b:First>A</b:First>
          </b:Person>
        </b:NameList>
      </b:Author>
    </b:Author>
    <b:Publisher>Kogan Page</b:Publisher>
    <b:RefOrder>9</b:RefOrder>
  </b:Source>
  <b:Source>
    <b:Tag>Sau23</b:Tag>
    <b:SourceType>Book</b:SourceType>
    <b:Guid>{0DC24EEE-9A43-4A28-BE3B-97A70C9D2BA6}</b:Guid>
    <b:Author>
      <b:Author>
        <b:NameList>
          <b:Person>
            <b:Last>Saunders</b:Last>
            <b:First>M.</b:First>
            <b:Middle>N. K., Lewis, P., &amp; Thornhill, A</b:Middle>
          </b:Person>
        </b:NameList>
      </b:Author>
    </b:Author>
    <b:Title>Research methods for business students (9th ed.)</b:Title>
    <b:Year>2023</b:Year>
    <b:Publisher>Pearson</b:Publisher>
    <b:RefOrder>10</b:RefOrder>
  </b:Source>
  <b:Source>
    <b:Tag>Cre23</b:Tag>
    <b:SourceType>Book</b:SourceType>
    <b:Guid>{222648F1-6E15-4B79-A4B2-D0F93CCF52FA}</b:Guid>
    <b:Author>
      <b:Author>
        <b:NameList>
          <b:Person>
            <b:Last>Creswell</b:Last>
            <b:First>J.</b:First>
            <b:Middle>W., &amp; Creswell, J. D</b:Middle>
          </b:Person>
        </b:NameList>
      </b:Author>
    </b:Author>
    <b:Title>Research design: Qualitative, quantitative, and mixed methods approaches (6th ed.)</b:Title>
    <b:Year>2023</b:Year>
    <b:Publisher>Sage Publications</b:Publisher>
    <b:RefOrder>38</b:RefOrder>
  </b:Source>
  <b:Source>
    <b:Tag>JCr17</b:Tag>
    <b:SourceType>Book</b:SourceType>
    <b:Guid>{867555C2-FCB6-4AED-B7CB-33C7538FAA99}</b:Guid>
    <b:Title>Qualitative, Quantitative, and Mixed Methods Approaches</b:Title>
    <b:Year>2017</b:Year>
    <b:Author>
      <b:Author>
        <b:NameList>
          <b:Person>
            <b:Last>Creswell</b:Last>
            <b:First>J.</b:First>
            <b:Middle>W., &amp; Creswell, J.D</b:Middle>
          </b:Person>
        </b:NameList>
      </b:Author>
    </b:Author>
    <b:Publisher>Sage Publications</b:Publisher>
    <b:Edition>fifth</b:Edition>
    <b:RefOrder>11</b:RefOrder>
  </b:Source>
  <b:Source>
    <b:Tag>Que25</b:Tag>
    <b:SourceType>InternetSite</b:SourceType>
    <b:Guid>{649F5C19-50B3-46C8-8BF5-85F406A6584B}</b:Guid>
    <b:Title>Descriptive research design: What it is, &amp; how to design it?</b:Title>
    <b:Year>2025</b:Year>
    <b:Author>
      <b:Author>
        <b:NameList>
          <b:Person>
            <b:Last>QuestionPro</b:Last>
          </b:Person>
        </b:NameList>
      </b:Author>
    </b:Author>
    <b:InternetSiteTitle>QuestionPro</b:InternetSiteTitle>
    <b:Month>June</b:Month>
    <b:Day>11</b:Day>
    <b:URL>https://www.questionpro.com/blog/descriptive-research-design/</b:URL>
    <b:RefOrder>12</b:RefOrder>
  </b:Source>
  <b:Source>
    <b:Tag>RSe21</b:Tag>
    <b:SourceType>Book</b:SourceType>
    <b:Guid>{32B73149-9F06-4D2D-9848-AB603C2CF62A}</b:Guid>
    <b:Author>
      <b:Author>
        <b:NameList>
          <b:Person>
            <b:Last>Sekaran</b:Last>
            <b:First>R</b:First>
          </b:Person>
        </b:NameList>
      </b:Author>
    </b:Author>
    <b:Title>Social Research Methods</b:Title>
    <b:Year>2021</b:Year>
    <b:Publisher>Wiley</b:Publisher>
    <b:Edition>7th</b:Edition>
    <b:RefOrder>13</b:RefOrder>
  </b:Source>
  <b:Source>
    <b:Tag>Bha23</b:Tag>
    <b:SourceType>JournalArticle</b:SourceType>
    <b:Guid>{AAE7F796-1E1C-4F20-B6B4-D52EDEC489E3}</b:Guid>
    <b:Title>Data collection methods: Step-by-step guide &amp; examples.</b:Title>
    <b:Year>2023</b:Year>
    <b:Author>
      <b:Author>
        <b:NameList>
          <b:Person>
            <b:Last>Bhandari</b:Last>
            <b:First>P</b:First>
          </b:Person>
        </b:NameList>
      </b:Author>
    </b:Author>
    <b:JournalName>Scribbr</b:JournalName>
    <b:RefOrder>15</b:RefOrder>
  </b:Source>
</b:Sources>
</file>

<file path=customXml/itemProps1.xml><?xml version="1.0" encoding="utf-8"?>
<ds:datastoreItem xmlns:ds="http://schemas.openxmlformats.org/officeDocument/2006/customXml" ds:itemID="{DF804813-DE9E-48CC-88B5-120EC3F9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10494</Words>
  <Characters>59818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Editor-1183</cp:lastModifiedBy>
  <cp:revision>5</cp:revision>
  <dcterms:created xsi:type="dcterms:W3CDTF">2026-01-30T04:32:00Z</dcterms:created>
  <dcterms:modified xsi:type="dcterms:W3CDTF">2026-02-04T12:34:00Z</dcterms:modified>
</cp:coreProperties>
</file>