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C9D60" w14:textId="77777777" w:rsidR="005E6F53" w:rsidRPr="00D138F8" w:rsidRDefault="005E6F53" w:rsidP="005E6F53">
      <w:pPr>
        <w:jc w:val="both"/>
        <w:rPr>
          <w:rFonts w:ascii="Arial" w:hAnsi="Arial" w:cs="Arial"/>
          <w:b/>
          <w:bCs/>
          <w:sz w:val="28"/>
          <w:szCs w:val="28"/>
        </w:rPr>
      </w:pPr>
      <w:r w:rsidRPr="00D138F8">
        <w:rPr>
          <w:rFonts w:ascii="Arial" w:hAnsi="Arial" w:cs="Arial"/>
          <w:b/>
          <w:bCs/>
          <w:sz w:val="28"/>
          <w:szCs w:val="28"/>
        </w:rPr>
        <w:t>Audit 5.0 and the Digital Transformation of Auditing: The Role of Big Data Analytics and Artificial Intelligence in Enhancing Audit Quality and Decision-Making</w:t>
      </w:r>
    </w:p>
    <w:p w14:paraId="3C6C3B0B" w14:textId="77777777" w:rsidR="00277A57" w:rsidRDefault="00277A57" w:rsidP="005E6F53">
      <w:pPr>
        <w:jc w:val="both"/>
        <w:rPr>
          <w:rFonts w:ascii="Arial" w:hAnsi="Arial" w:cs="Arial"/>
          <w:b/>
          <w:bCs/>
          <w:sz w:val="20"/>
          <w:szCs w:val="20"/>
        </w:rPr>
      </w:pPr>
    </w:p>
    <w:p w14:paraId="73392065" w14:textId="77777777" w:rsidR="00277A57" w:rsidRDefault="00277A57" w:rsidP="005E6F53">
      <w:pPr>
        <w:jc w:val="both"/>
        <w:rPr>
          <w:rFonts w:ascii="Arial" w:hAnsi="Arial" w:cs="Arial"/>
          <w:b/>
          <w:bCs/>
          <w:sz w:val="20"/>
          <w:szCs w:val="20"/>
        </w:rPr>
      </w:pPr>
    </w:p>
    <w:p w14:paraId="3A558511" w14:textId="77777777" w:rsidR="005E6F53" w:rsidRPr="00B811DD" w:rsidRDefault="005E6F53" w:rsidP="005E6F53">
      <w:pPr>
        <w:jc w:val="both"/>
        <w:rPr>
          <w:rFonts w:ascii="Arial" w:hAnsi="Arial" w:cs="Arial"/>
          <w:b/>
          <w:bCs/>
          <w:sz w:val="20"/>
          <w:szCs w:val="20"/>
        </w:rPr>
      </w:pPr>
      <w:r w:rsidRPr="00B811DD">
        <w:rPr>
          <w:rFonts w:ascii="Arial" w:hAnsi="Arial" w:cs="Arial"/>
          <w:b/>
          <w:bCs/>
          <w:sz w:val="20"/>
          <w:szCs w:val="20"/>
        </w:rPr>
        <w:t>Abstract</w:t>
      </w:r>
    </w:p>
    <w:p w14:paraId="7DDEA807" w14:textId="77777777" w:rsidR="005E6F53" w:rsidRPr="00F468D7" w:rsidRDefault="005E6F53" w:rsidP="005E6F53">
      <w:pPr>
        <w:jc w:val="both"/>
        <w:rPr>
          <w:rFonts w:ascii="Arial" w:hAnsi="Arial" w:cs="Arial"/>
          <w:sz w:val="20"/>
          <w:szCs w:val="20"/>
        </w:rPr>
      </w:pPr>
      <w:r w:rsidRPr="00F468D7">
        <w:rPr>
          <w:rFonts w:ascii="Arial" w:hAnsi="Arial" w:cs="Arial"/>
          <w:b/>
          <w:bCs/>
          <w:sz w:val="20"/>
          <w:szCs w:val="20"/>
        </w:rPr>
        <w:t>Background</w:t>
      </w:r>
      <w:r w:rsidRPr="00F468D7">
        <w:rPr>
          <w:rFonts w:ascii="Arial" w:hAnsi="Arial" w:cs="Arial"/>
          <w:sz w:val="20"/>
          <w:szCs w:val="20"/>
        </w:rPr>
        <w:br/>
        <w:t>The rapid adoption of digital business models has led to an exponential increase in the volume, velocity, and complexity of data exchanged across interconnected organizational ecosystems. This transformation presents both opportunities and challenges for the auditing profession, as traditional audit approaches struggle to cope with real-time data flows and technologically driven risks. Advances in digitalization—particularly Big Data Analytics (BDA), artificial intelligence (AI), and intelligent automation—are redefining audit processes by enabling continuous assurance, enhanced accuracy, and improved reliability. Within this context, the emerging Audit 5.0 framework emphasizes real-time auditing, intelligent systems, and effective human–AI collaboration as core pillars of modern assurance practices.</w:t>
      </w:r>
    </w:p>
    <w:p w14:paraId="61E0FFFD" w14:textId="1B6E9D78" w:rsidR="005E6F53" w:rsidRDefault="005E6F53" w:rsidP="005E6F53">
      <w:pPr>
        <w:jc w:val="both"/>
        <w:rPr>
          <w:rFonts w:ascii="Arial" w:hAnsi="Arial" w:cs="Arial"/>
          <w:sz w:val="20"/>
          <w:szCs w:val="20"/>
        </w:rPr>
      </w:pPr>
      <w:r w:rsidRPr="00F468D7">
        <w:rPr>
          <w:rFonts w:ascii="Arial" w:hAnsi="Arial" w:cs="Arial"/>
          <w:b/>
          <w:bCs/>
          <w:sz w:val="20"/>
          <w:szCs w:val="20"/>
        </w:rPr>
        <w:t>Objective</w:t>
      </w:r>
      <w:r w:rsidRPr="00F468D7">
        <w:rPr>
          <w:rFonts w:ascii="Arial" w:hAnsi="Arial" w:cs="Arial"/>
          <w:sz w:val="20"/>
          <w:szCs w:val="20"/>
        </w:rPr>
        <w:br/>
        <w:t xml:space="preserve">The objective of this study is to examine how digitalization, specifically through the adoption of BDA and AI, influences internal and external auditing within the Audit 5.0 paradigm. The study </w:t>
      </w:r>
      <w:r>
        <w:rPr>
          <w:rFonts w:ascii="Arial" w:hAnsi="Arial" w:cs="Arial"/>
          <w:sz w:val="20"/>
          <w:szCs w:val="20"/>
        </w:rPr>
        <w:t>aims to assess the impact of these technologies on audit quality, risk management, and decision-making, while also examining</w:t>
      </w:r>
      <w:r w:rsidRPr="00F468D7">
        <w:rPr>
          <w:rFonts w:ascii="Arial" w:hAnsi="Arial" w:cs="Arial"/>
          <w:sz w:val="20"/>
          <w:szCs w:val="20"/>
        </w:rPr>
        <w:t xml:space="preserve"> their implications for auditor roles, competencies, and professional standards</w:t>
      </w:r>
      <w:r w:rsidR="0047456C">
        <w:rPr>
          <w:rFonts w:ascii="Arial" w:hAnsi="Arial" w:cs="Arial"/>
          <w:sz w:val="20"/>
          <w:szCs w:val="20"/>
        </w:rPr>
        <w:t>, practitioners and regulators within contemporary institutional frameworks.</w:t>
      </w:r>
      <w:r w:rsidR="009B4C62">
        <w:rPr>
          <w:rFonts w:ascii="Arial" w:hAnsi="Arial" w:cs="Arial"/>
          <w:sz w:val="20"/>
          <w:szCs w:val="20"/>
        </w:rPr>
        <w:t xml:space="preserve"> Audit 5.0 presents key </w:t>
      </w:r>
      <w:r w:rsidR="00377852">
        <w:rPr>
          <w:rFonts w:ascii="Arial" w:hAnsi="Arial" w:cs="Arial"/>
          <w:sz w:val="20"/>
          <w:szCs w:val="20"/>
        </w:rPr>
        <w:t>challenges</w:t>
      </w:r>
      <w:r w:rsidR="009B4C62">
        <w:rPr>
          <w:rFonts w:ascii="Arial" w:hAnsi="Arial" w:cs="Arial"/>
          <w:sz w:val="20"/>
          <w:szCs w:val="20"/>
        </w:rPr>
        <w:t xml:space="preserve"> related to data quality and integration, the complexity and </w:t>
      </w:r>
      <w:proofErr w:type="spellStart"/>
      <w:r w:rsidR="009B4C62">
        <w:rPr>
          <w:rFonts w:ascii="Arial" w:hAnsi="Arial" w:cs="Arial"/>
          <w:sz w:val="20"/>
          <w:szCs w:val="20"/>
        </w:rPr>
        <w:t>explainability</w:t>
      </w:r>
      <w:proofErr w:type="spellEnd"/>
      <w:r w:rsidR="009B4C62">
        <w:rPr>
          <w:rFonts w:ascii="Arial" w:hAnsi="Arial" w:cs="Arial"/>
          <w:sz w:val="20"/>
          <w:szCs w:val="20"/>
        </w:rPr>
        <w:t xml:space="preserve"> of advanced technologies, regulatory and ethical uncer</w:t>
      </w:r>
      <w:r w:rsidR="00377852">
        <w:rPr>
          <w:rFonts w:ascii="Arial" w:hAnsi="Arial" w:cs="Arial"/>
          <w:sz w:val="20"/>
          <w:szCs w:val="20"/>
        </w:rPr>
        <w:t>tainty, and skills shortages combined with cultural resistance within the profession. However, big data analytics and artificial intelligence offer significant opportunities by enabling real-time and predictive risk assessment, expanding audit coverage through full-population testing, improving accuracy, reducing costs and increasing efficiency. Ultimately, Audit 5.0 represents a paradigm shift in auditing, where the effective and responsible use of digital technologies enhances audit quality, strengthens professional judgement, and delivers greater strategic value to stakeholders</w:t>
      </w:r>
    </w:p>
    <w:p w14:paraId="0FC97909" w14:textId="77777777" w:rsidR="005E6F53" w:rsidRDefault="005E6F53" w:rsidP="005E6F53">
      <w:pPr>
        <w:spacing w:after="0"/>
        <w:jc w:val="both"/>
        <w:rPr>
          <w:rFonts w:ascii="Arial" w:hAnsi="Arial" w:cs="Arial"/>
          <w:sz w:val="20"/>
          <w:szCs w:val="20"/>
        </w:rPr>
      </w:pPr>
      <w:r w:rsidRPr="00B47CFF">
        <w:rPr>
          <w:rFonts w:ascii="Arial" w:hAnsi="Arial" w:cs="Arial"/>
          <w:b/>
          <w:bCs/>
          <w:sz w:val="20"/>
          <w:szCs w:val="20"/>
        </w:rPr>
        <w:t xml:space="preserve">Research </w:t>
      </w:r>
      <w:r>
        <w:rPr>
          <w:rFonts w:ascii="Arial" w:hAnsi="Arial" w:cs="Arial"/>
          <w:b/>
          <w:bCs/>
          <w:sz w:val="20"/>
          <w:szCs w:val="20"/>
        </w:rPr>
        <w:t>Method</w:t>
      </w:r>
    </w:p>
    <w:p w14:paraId="3F3505DE" w14:textId="28D2D84E" w:rsidR="005E6F53" w:rsidRDefault="005E6F53" w:rsidP="005E6F53">
      <w:pPr>
        <w:spacing w:after="0"/>
        <w:jc w:val="both"/>
        <w:rPr>
          <w:rFonts w:ascii="Arial" w:hAnsi="Arial" w:cs="Arial"/>
          <w:sz w:val="20"/>
          <w:szCs w:val="20"/>
        </w:rPr>
      </w:pPr>
      <w:r w:rsidRPr="00F468D7">
        <w:rPr>
          <w:rFonts w:ascii="Arial" w:hAnsi="Arial" w:cs="Arial"/>
          <w:sz w:val="20"/>
          <w:szCs w:val="20"/>
        </w:rPr>
        <w:t>The study employs a mixed-method research design combining a systematic literature review with empirical analysis</w:t>
      </w:r>
      <w:r w:rsidR="0047456C">
        <w:rPr>
          <w:rFonts w:ascii="Arial" w:hAnsi="Arial" w:cs="Arial"/>
          <w:sz w:val="20"/>
          <w:szCs w:val="20"/>
        </w:rPr>
        <w:t xml:space="preserve">, analytical approach, synthesizing prior academic literature, professional standards </w:t>
      </w:r>
      <w:r w:rsidR="005800BA">
        <w:rPr>
          <w:rFonts w:ascii="Arial" w:hAnsi="Arial" w:cs="Arial"/>
          <w:sz w:val="20"/>
          <w:szCs w:val="20"/>
        </w:rPr>
        <w:t>a</w:t>
      </w:r>
      <w:r w:rsidR="0047456C">
        <w:rPr>
          <w:rFonts w:ascii="Arial" w:hAnsi="Arial" w:cs="Arial"/>
          <w:sz w:val="20"/>
          <w:szCs w:val="20"/>
        </w:rPr>
        <w:t>nd regulatory perspectives to assess the role of BDA and AI in audit processes, including risk assessment</w:t>
      </w:r>
      <w:r w:rsidR="005800BA">
        <w:rPr>
          <w:rFonts w:ascii="Arial" w:hAnsi="Arial" w:cs="Arial"/>
          <w:sz w:val="20"/>
          <w:szCs w:val="20"/>
        </w:rPr>
        <w:t>, anomaly detection and continuous auditing</w:t>
      </w:r>
      <w:r w:rsidRPr="00F468D7">
        <w:rPr>
          <w:rFonts w:ascii="Arial" w:hAnsi="Arial" w:cs="Arial"/>
          <w:sz w:val="20"/>
          <w:szCs w:val="20"/>
        </w:rPr>
        <w:t>. The literature review synthesizes prior theoretical and empirical studies on digital auditing, Audit 5.0, BDA, and AI. Empirical data are analyzed using structural equation modeling and relevant statistical tests to assess relationships among digitalization, audit processes, and audit outcomes, with particular focus on organizations in the finance and technology sectors.</w:t>
      </w:r>
    </w:p>
    <w:p w14:paraId="702EE6F1" w14:textId="77777777" w:rsidR="005E6F53" w:rsidRDefault="005E6F53" w:rsidP="005E6F53">
      <w:pPr>
        <w:spacing w:after="0"/>
        <w:jc w:val="both"/>
        <w:rPr>
          <w:rFonts w:ascii="Arial" w:hAnsi="Arial" w:cs="Arial"/>
          <w:sz w:val="20"/>
          <w:szCs w:val="20"/>
        </w:rPr>
      </w:pPr>
      <w:bookmarkStart w:id="0" w:name="_Hlk218923907"/>
    </w:p>
    <w:p w14:paraId="525EAED3" w14:textId="77777777" w:rsidR="005E6F53" w:rsidRDefault="005E6F53" w:rsidP="005E6F53">
      <w:pPr>
        <w:spacing w:after="0"/>
        <w:jc w:val="both"/>
        <w:rPr>
          <w:rFonts w:ascii="Arial" w:hAnsi="Arial" w:cs="Arial"/>
          <w:sz w:val="20"/>
          <w:szCs w:val="20"/>
        </w:rPr>
      </w:pPr>
      <w:r w:rsidRPr="00B47CFF">
        <w:rPr>
          <w:rFonts w:ascii="Arial" w:hAnsi="Arial" w:cs="Arial"/>
          <w:b/>
          <w:bCs/>
          <w:sz w:val="20"/>
          <w:szCs w:val="20"/>
        </w:rPr>
        <w:t>Research Result</w:t>
      </w:r>
      <w:bookmarkEnd w:id="0"/>
    </w:p>
    <w:p w14:paraId="1565B77C" w14:textId="7CCF8424" w:rsidR="005E6F53" w:rsidRDefault="005E6F53" w:rsidP="005E6F53">
      <w:pPr>
        <w:spacing w:after="0"/>
        <w:jc w:val="both"/>
        <w:rPr>
          <w:rFonts w:ascii="Arial" w:hAnsi="Arial" w:cs="Arial"/>
          <w:sz w:val="20"/>
          <w:szCs w:val="20"/>
        </w:rPr>
      </w:pPr>
      <w:r w:rsidRPr="00F468D7">
        <w:rPr>
          <w:rFonts w:ascii="Arial" w:hAnsi="Arial" w:cs="Arial"/>
          <w:sz w:val="20"/>
          <w:szCs w:val="20"/>
        </w:rPr>
        <w:t>The findings indicate that audits supported by BDA and AI significantly outperform traditional audit approaches. The results further reveal that digitalization improves audit productivity, facilitates continuous auditing, strengthens data security, and enhances stakeholder trust.</w:t>
      </w:r>
      <w:r w:rsidR="00D564AB">
        <w:rPr>
          <w:rFonts w:ascii="Arial" w:hAnsi="Arial" w:cs="Arial"/>
          <w:sz w:val="20"/>
          <w:szCs w:val="20"/>
        </w:rPr>
        <w:t xml:space="preserve"> With consistent empirical evidence that AI investment correlates with reductions in audit restatements and improved efficiency, these technologies can transform audit practices by enabling real-time and predictive risk assessment and </w:t>
      </w:r>
      <w:r w:rsidR="00D564AB">
        <w:rPr>
          <w:rFonts w:ascii="Arial" w:hAnsi="Arial" w:cs="Arial"/>
          <w:sz w:val="20"/>
          <w:szCs w:val="20"/>
        </w:rPr>
        <w:lastRenderedPageBreak/>
        <w:t>enhanced fraud detection, thereby expanding audit coverage and accuracy beyond traditional sampling method. There are need for stronger governance, ethical frameworks and targeted training to fully realize the benefit</w:t>
      </w:r>
      <w:r w:rsidR="005F0B10">
        <w:rPr>
          <w:rFonts w:ascii="Arial" w:hAnsi="Arial" w:cs="Arial"/>
          <w:sz w:val="20"/>
          <w:szCs w:val="20"/>
        </w:rPr>
        <w:t>s of digital auditing.</w:t>
      </w:r>
      <w:r w:rsidRPr="00F468D7">
        <w:rPr>
          <w:rFonts w:ascii="Arial" w:hAnsi="Arial" w:cs="Arial"/>
          <w:sz w:val="20"/>
          <w:szCs w:val="20"/>
        </w:rPr>
        <w:t xml:space="preserve"> Overall, the evidence confirms that integrating BDA and AI within the Audit 5.0 framework represents a fundamental shift toward intelligent, adaptive, and value-driven auditing, while underscoring the need for enhanced auditor competencies and alignment with evolving regulatory and professional requirements.</w:t>
      </w:r>
    </w:p>
    <w:p w14:paraId="7A3CD9EC" w14:textId="77777777" w:rsidR="005E6F53" w:rsidRPr="00F468D7" w:rsidRDefault="005E6F53" w:rsidP="005E6F53">
      <w:pPr>
        <w:spacing w:after="0"/>
        <w:jc w:val="both"/>
        <w:rPr>
          <w:rFonts w:ascii="Arial" w:hAnsi="Arial" w:cs="Arial"/>
          <w:sz w:val="20"/>
          <w:szCs w:val="20"/>
        </w:rPr>
      </w:pPr>
    </w:p>
    <w:p w14:paraId="0B8136B0" w14:textId="77777777" w:rsidR="005E6F53" w:rsidRPr="00F468D7" w:rsidRDefault="005E6F53" w:rsidP="005E6F53">
      <w:pPr>
        <w:jc w:val="both"/>
        <w:rPr>
          <w:rFonts w:ascii="Arial" w:hAnsi="Arial" w:cs="Arial"/>
          <w:sz w:val="20"/>
          <w:szCs w:val="20"/>
        </w:rPr>
      </w:pPr>
      <w:r w:rsidRPr="00F468D7">
        <w:rPr>
          <w:rFonts w:ascii="Arial" w:hAnsi="Arial" w:cs="Arial"/>
          <w:b/>
          <w:bCs/>
          <w:sz w:val="20"/>
          <w:szCs w:val="20"/>
        </w:rPr>
        <w:t>Keywords</w:t>
      </w:r>
      <w:r w:rsidRPr="00F468D7">
        <w:rPr>
          <w:rFonts w:ascii="Arial" w:hAnsi="Arial" w:cs="Arial"/>
          <w:sz w:val="20"/>
          <w:szCs w:val="20"/>
        </w:rPr>
        <w:br/>
        <w:t>Audit 5.0; Digitalization; Big Data Analytics; Artificial Intelligence; Audit Quality; Continuous Auditing; Decision-Making</w:t>
      </w:r>
    </w:p>
    <w:p w14:paraId="771BAC77" w14:textId="77777777" w:rsidR="005E6F53" w:rsidRDefault="005E6F53" w:rsidP="005E6F53">
      <w:pPr>
        <w:jc w:val="both"/>
        <w:rPr>
          <w:rFonts w:ascii="Arial" w:hAnsi="Arial" w:cs="Arial"/>
          <w:sz w:val="20"/>
          <w:szCs w:val="20"/>
        </w:rPr>
      </w:pPr>
    </w:p>
    <w:p w14:paraId="7BB449B6" w14:textId="77777777" w:rsidR="005E6F53" w:rsidRDefault="005E6F53" w:rsidP="005E6F53">
      <w:pPr>
        <w:jc w:val="both"/>
        <w:rPr>
          <w:rFonts w:ascii="Arial" w:hAnsi="Arial" w:cs="Arial"/>
          <w:sz w:val="20"/>
          <w:szCs w:val="20"/>
        </w:rPr>
      </w:pPr>
    </w:p>
    <w:p w14:paraId="4E7CCE51" w14:textId="77777777" w:rsidR="005E6F53" w:rsidRPr="00B811DD" w:rsidRDefault="005E6F53" w:rsidP="005E6F53">
      <w:pPr>
        <w:jc w:val="both"/>
        <w:rPr>
          <w:rFonts w:ascii="Arial" w:hAnsi="Arial" w:cs="Arial"/>
          <w:b/>
          <w:bCs/>
          <w:sz w:val="20"/>
          <w:szCs w:val="20"/>
        </w:rPr>
      </w:pPr>
      <w:r>
        <w:rPr>
          <w:rFonts w:ascii="Arial" w:hAnsi="Arial" w:cs="Arial"/>
          <w:b/>
          <w:bCs/>
          <w:sz w:val="20"/>
          <w:szCs w:val="20"/>
        </w:rPr>
        <w:t xml:space="preserve">1.0 </w:t>
      </w:r>
      <w:r w:rsidRPr="00B811DD">
        <w:rPr>
          <w:rFonts w:ascii="Arial" w:hAnsi="Arial" w:cs="Arial"/>
          <w:b/>
          <w:bCs/>
          <w:sz w:val="20"/>
          <w:szCs w:val="20"/>
        </w:rPr>
        <w:t>Introduction</w:t>
      </w:r>
    </w:p>
    <w:p w14:paraId="2503D55D"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The rapid digitalization of business environments has resulted in an unprecedented growth in the volume, variety, and velocity of data exchanged among organizations, partners, and customers. Digital platforms, cloud-based systems, and enterprise technologies now produce massive volumes of structured and unstructured data, positioning data as a critical strategic asset (</w:t>
      </w:r>
      <w:proofErr w:type="spellStart"/>
      <w:r w:rsidRPr="00B811DD">
        <w:rPr>
          <w:rFonts w:ascii="Arial" w:hAnsi="Arial" w:cs="Arial"/>
          <w:sz w:val="20"/>
          <w:szCs w:val="20"/>
        </w:rPr>
        <w:t>Alles</w:t>
      </w:r>
      <w:proofErr w:type="spellEnd"/>
      <w:r w:rsidRPr="00B811DD">
        <w:rPr>
          <w:rFonts w:ascii="Arial" w:hAnsi="Arial" w:cs="Arial"/>
          <w:sz w:val="20"/>
          <w:szCs w:val="20"/>
        </w:rPr>
        <w:t>, 2015). As data increasingly becomes a strategic asset, the ability to analyze and extract meaningful insights from large and complex datasets—commonly referred to as data analytics (DA) or Big Data Analytics (BDA)—has emerged as a critical capability across industries (</w:t>
      </w:r>
      <w:proofErr w:type="spellStart"/>
      <w:r w:rsidRPr="00B811DD">
        <w:rPr>
          <w:rFonts w:ascii="Arial" w:hAnsi="Arial" w:cs="Arial"/>
          <w:sz w:val="20"/>
          <w:szCs w:val="20"/>
        </w:rPr>
        <w:t>Gepp</w:t>
      </w:r>
      <w:proofErr w:type="spellEnd"/>
      <w:r w:rsidRPr="00B811DD">
        <w:rPr>
          <w:rFonts w:ascii="Arial" w:hAnsi="Arial" w:cs="Arial"/>
          <w:sz w:val="20"/>
          <w:szCs w:val="20"/>
        </w:rPr>
        <w:t xml:space="preserve"> et al., 2018). In response, academic institutions and professional bodies have accelerated efforts to embed analytics and technological competencies within accounting education, recognizing that future auditors and accounting professionals must be proficient in advanced digital tools to remain effective and competitive in a data-driven economy. </w:t>
      </w:r>
    </w:p>
    <w:p w14:paraId="1F1D25C2" w14:textId="43953626" w:rsidR="005E6F53" w:rsidRPr="00B811DD" w:rsidRDefault="005E6F53" w:rsidP="005E6F53">
      <w:pPr>
        <w:jc w:val="both"/>
        <w:rPr>
          <w:rFonts w:ascii="Arial" w:hAnsi="Arial" w:cs="Arial"/>
          <w:sz w:val="20"/>
          <w:szCs w:val="20"/>
        </w:rPr>
      </w:pPr>
      <w:r w:rsidRPr="00B811DD">
        <w:rPr>
          <w:rFonts w:ascii="Arial" w:hAnsi="Arial" w:cs="Arial"/>
          <w:sz w:val="20"/>
          <w:szCs w:val="20"/>
        </w:rPr>
        <w:t>Public accounting firms have made substantial investments in analytics-driven solutions, particularly within tax and advisory services (Brown-Liburd et al., 2015), where data-intensive approaches have delivered measurable value. However, the adoption of BDA within auditing has progressed more cautiously due to the unique methodological, regulatory, and professional demands of assurance engagements (</w:t>
      </w:r>
      <w:proofErr w:type="spellStart"/>
      <w:r w:rsidRPr="00B811DD">
        <w:rPr>
          <w:rFonts w:ascii="Arial" w:hAnsi="Arial" w:cs="Arial"/>
          <w:sz w:val="20"/>
          <w:szCs w:val="20"/>
        </w:rPr>
        <w:t>Alles</w:t>
      </w:r>
      <w:proofErr w:type="spellEnd"/>
      <w:r w:rsidRPr="00B811DD">
        <w:rPr>
          <w:rFonts w:ascii="Arial" w:hAnsi="Arial" w:cs="Arial"/>
          <w:sz w:val="20"/>
          <w:szCs w:val="20"/>
        </w:rPr>
        <w:t xml:space="preserve"> &amp; Gray, 201</w:t>
      </w:r>
      <w:r w:rsidR="00D47CB3">
        <w:rPr>
          <w:rFonts w:ascii="Arial" w:hAnsi="Arial" w:cs="Arial"/>
          <w:sz w:val="20"/>
          <w:szCs w:val="20"/>
        </w:rPr>
        <w:t>6</w:t>
      </w:r>
      <w:r w:rsidRPr="00B811DD">
        <w:rPr>
          <w:rFonts w:ascii="Arial" w:hAnsi="Arial" w:cs="Arial"/>
          <w:sz w:val="20"/>
          <w:szCs w:val="20"/>
        </w:rPr>
        <w:t xml:space="preserve">). These challenges include strict compliance requirements, the need for transparency and </w:t>
      </w:r>
      <w:proofErr w:type="spellStart"/>
      <w:r w:rsidRPr="00B811DD">
        <w:rPr>
          <w:rFonts w:ascii="Arial" w:hAnsi="Arial" w:cs="Arial"/>
          <w:sz w:val="20"/>
          <w:szCs w:val="20"/>
        </w:rPr>
        <w:t>explainability</w:t>
      </w:r>
      <w:proofErr w:type="spellEnd"/>
      <w:r w:rsidRPr="00B811DD">
        <w:rPr>
          <w:rFonts w:ascii="Arial" w:hAnsi="Arial" w:cs="Arial"/>
          <w:sz w:val="20"/>
          <w:szCs w:val="20"/>
        </w:rPr>
        <w:t xml:space="preserve"> in audit evidence, and heightened accountability to regulators and stakeholders. As a result, questions persist regarding whether advanced analytics primarily serve consulting functions or whether they can fundamentally enhance auditing—the core service of public accounting firms.</w:t>
      </w:r>
    </w:p>
    <w:p w14:paraId="3C3E3634"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 xml:space="preserve">Audit 5.0 represents a significant shift beyond earlier digital audit frameworks by emphasizing real-time assurance, continuous auditing, explainable artificial intelligence, and effective human–AI collaboration (Yoon et al., 2015). </w:t>
      </w:r>
    </w:p>
    <w:p w14:paraId="39B2419B"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In this context, BDA enables auditors to move beyond traditional sample-based procedures toward the analysis of entire data populations, thereby improving risk assessment, anomaly detection, and fraud identification. These capabilities address the limitations of conventional audit methods, which are increasingly insufficient for managing the scale and complexity of modern digital transactions. Moreover, intelligent analytics support faster audit cycles, improved compliance, and enhanced audit quality, while strengthening transparency and stakeholder trust.</w:t>
      </w:r>
    </w:p>
    <w:p w14:paraId="78B8F03E" w14:textId="69E570E8" w:rsidR="00632C94" w:rsidRPr="00B811DD" w:rsidRDefault="005E6F53" w:rsidP="005E6F53">
      <w:pPr>
        <w:jc w:val="both"/>
        <w:rPr>
          <w:rFonts w:ascii="Arial" w:hAnsi="Arial" w:cs="Arial"/>
          <w:sz w:val="20"/>
          <w:szCs w:val="20"/>
        </w:rPr>
      </w:pPr>
      <w:r w:rsidRPr="00B811DD">
        <w:rPr>
          <w:rFonts w:ascii="Arial" w:hAnsi="Arial" w:cs="Arial"/>
          <w:sz w:val="20"/>
          <w:szCs w:val="20"/>
        </w:rPr>
        <w:t xml:space="preserve">Despite the recognized potential of BDA and AI to transform auditing, empirical research in this area remains limited, underscoring the need for further investigation (Brown-Liburd et al., 2015). Much of the existing literature is conceptual in nature, focusing on theoretical frameworks and future-oriented </w:t>
      </w:r>
      <w:r w:rsidRPr="00B811DD">
        <w:rPr>
          <w:rFonts w:ascii="Arial" w:hAnsi="Arial" w:cs="Arial"/>
          <w:sz w:val="20"/>
          <w:szCs w:val="20"/>
        </w:rPr>
        <w:lastRenderedPageBreak/>
        <w:t>discussions, while practical implementation insights remain constrained by restricted access to proprietary audit data and firm-level analytics practices. Consequently, there is a pressing need for research that bridges theory and practice by empirically examining how digitalization influences audit effectiveness, efficiency, and decision-making within the Audit 5.0 environment.</w:t>
      </w:r>
    </w:p>
    <w:p w14:paraId="3873CC57"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Accordingly, the purpose of this study is twofold. First, it examines the impact of BDA and advanced analytics on auditing practices, with a particular emphasis on audit accuracy, efficiency, and risk management within the Audit 5.0 framework. Second, it offers empirical and theoretical insights that inform auditors, regulators, and researchers about the challenges, opportunities, and future directions associated with integrating intelligent analytics into auditing. By doing so, this study contributes to the growing body of literature on digital auditing and supports the transition toward adaptive, intelligent, and value-driven assurance practices.</w:t>
      </w:r>
    </w:p>
    <w:p w14:paraId="4D72EE36" w14:textId="77777777" w:rsidR="005E6F53" w:rsidRPr="00B811DD" w:rsidRDefault="005E6F53" w:rsidP="005E6F53">
      <w:pPr>
        <w:jc w:val="both"/>
        <w:rPr>
          <w:rFonts w:ascii="Arial" w:hAnsi="Arial" w:cs="Arial"/>
          <w:sz w:val="20"/>
          <w:szCs w:val="20"/>
        </w:rPr>
      </w:pPr>
    </w:p>
    <w:p w14:paraId="4D2967D5"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Accordingly, this study investigates the role of digitalization—specifically BDA and AI—in enhancing audit quality, efficiency, and decision-making within the Audit 5.0 framework.</w:t>
      </w:r>
    </w:p>
    <w:p w14:paraId="48812487" w14:textId="77777777" w:rsidR="005E6F53" w:rsidRPr="00B811DD" w:rsidRDefault="005E6F53" w:rsidP="005E6F53">
      <w:pPr>
        <w:jc w:val="both"/>
        <w:rPr>
          <w:rFonts w:ascii="Arial" w:hAnsi="Arial" w:cs="Arial"/>
          <w:sz w:val="20"/>
          <w:szCs w:val="20"/>
        </w:rPr>
      </w:pPr>
    </w:p>
    <w:p w14:paraId="1D633A31" w14:textId="77777777" w:rsidR="005E6F53" w:rsidRPr="00E70E6F" w:rsidRDefault="005E6F53" w:rsidP="005E6F53">
      <w:pPr>
        <w:jc w:val="both"/>
        <w:rPr>
          <w:rFonts w:ascii="Arial" w:hAnsi="Arial" w:cs="Arial"/>
          <w:b/>
          <w:bCs/>
          <w:sz w:val="20"/>
          <w:szCs w:val="20"/>
        </w:rPr>
      </w:pPr>
      <w:r w:rsidRPr="00E70E6F">
        <w:rPr>
          <w:rFonts w:ascii="Arial" w:hAnsi="Arial" w:cs="Arial"/>
          <w:b/>
          <w:bCs/>
          <w:sz w:val="20"/>
          <w:szCs w:val="20"/>
        </w:rPr>
        <w:t>2.0 Literature Review</w:t>
      </w:r>
    </w:p>
    <w:p w14:paraId="02BC39E7" w14:textId="77777777" w:rsidR="005E6F53" w:rsidRPr="00E70E6F" w:rsidRDefault="005E6F53" w:rsidP="005E6F53">
      <w:pPr>
        <w:jc w:val="both"/>
        <w:rPr>
          <w:rFonts w:ascii="Arial" w:hAnsi="Arial" w:cs="Arial"/>
          <w:b/>
          <w:bCs/>
          <w:sz w:val="20"/>
          <w:szCs w:val="20"/>
        </w:rPr>
      </w:pPr>
      <w:r w:rsidRPr="00E70E6F">
        <w:rPr>
          <w:rFonts w:ascii="Arial" w:hAnsi="Arial" w:cs="Arial"/>
          <w:b/>
          <w:bCs/>
          <w:sz w:val="20"/>
          <w:szCs w:val="20"/>
        </w:rPr>
        <w:t>2.1</w:t>
      </w:r>
      <w:r>
        <w:rPr>
          <w:rFonts w:ascii="Arial" w:hAnsi="Arial" w:cs="Arial"/>
          <w:b/>
          <w:bCs/>
          <w:sz w:val="20"/>
          <w:szCs w:val="20"/>
        </w:rPr>
        <w:t>0</w:t>
      </w:r>
      <w:r w:rsidRPr="00E70E6F">
        <w:rPr>
          <w:rFonts w:ascii="Arial" w:hAnsi="Arial" w:cs="Arial"/>
          <w:b/>
          <w:bCs/>
          <w:sz w:val="20"/>
          <w:szCs w:val="20"/>
        </w:rPr>
        <w:t xml:space="preserve"> Conceptual Foundations of Digitization and Big Data Analytics</w:t>
      </w:r>
    </w:p>
    <w:p w14:paraId="0A060D11" w14:textId="6940AF59" w:rsidR="005E6F53" w:rsidRPr="00B811DD" w:rsidRDefault="00183CD9" w:rsidP="005E6F53">
      <w:pPr>
        <w:jc w:val="both"/>
        <w:rPr>
          <w:rFonts w:ascii="Arial" w:hAnsi="Arial" w:cs="Arial"/>
          <w:sz w:val="20"/>
          <w:szCs w:val="20"/>
        </w:rPr>
      </w:pPr>
      <w:r w:rsidRPr="00183CD9">
        <w:rPr>
          <w:rFonts w:ascii="Arial" w:hAnsi="Arial" w:cs="Arial"/>
          <w:sz w:val="20"/>
          <w:szCs w:val="20"/>
        </w:rPr>
        <w:t>Digitization, once defined as the process of converting analog information into digital formats, has evolved significantly in recent years. Today, it encompasses a broader range of technologies and practices that not only transform data but also enable its efficient storage, processing, and analysis. This shift has laid the foundation for innovations like Big Data Analytics (BDA), which now plays a crucial role in generating real-time insights, supporting predictive models, and guiding strategic decisions across industries. With the introduction of advanced methods such as machine learning, augmented analytics, and real-time streaming, digitization is no longer limited to simple data conversion but extends to proactive forecasting and autonomous decision-making, enhancing overall business intelligence.</w:t>
      </w:r>
      <w:r w:rsidR="00C6162B">
        <w:rPr>
          <w:rFonts w:ascii="Arial" w:hAnsi="Arial" w:cs="Arial"/>
          <w:sz w:val="20"/>
          <w:szCs w:val="20"/>
        </w:rPr>
        <w:t xml:space="preserve"> </w:t>
      </w:r>
      <w:r w:rsidR="005E6F53" w:rsidRPr="00B811DD">
        <w:rPr>
          <w:rFonts w:ascii="Arial" w:hAnsi="Arial" w:cs="Arial"/>
          <w:sz w:val="20"/>
          <w:szCs w:val="20"/>
        </w:rPr>
        <w:t xml:space="preserve">However, contemporary scholarship extends this definition to encompass the broader socio-technical transformation enabled by digital technologies, which reshapes work practices, organizational decision-making, and value creation mechanisms. </w:t>
      </w:r>
      <w:r w:rsidR="00C6162B" w:rsidRPr="00C6162B">
        <w:rPr>
          <w:rFonts w:ascii="Arial" w:hAnsi="Arial" w:cs="Arial"/>
          <w:sz w:val="20"/>
          <w:szCs w:val="20"/>
        </w:rPr>
        <w:t>Digital technologies like artificial intelligence, cloud computing, and the Internet of Things (IoT) are increasingly viewed as interconnected foundations of digital ecosystems. Together, they are driving significant economic and operational transformations across various industries.</w:t>
      </w:r>
    </w:p>
    <w:p w14:paraId="252FF6DC" w14:textId="7054DD92" w:rsidR="005E6F53" w:rsidRPr="00B811DD" w:rsidRDefault="005E6F53" w:rsidP="005E6F53">
      <w:pPr>
        <w:jc w:val="both"/>
        <w:rPr>
          <w:rFonts w:ascii="Arial" w:hAnsi="Arial" w:cs="Arial"/>
          <w:sz w:val="20"/>
          <w:szCs w:val="20"/>
        </w:rPr>
      </w:pPr>
      <w:r w:rsidRPr="00B811DD">
        <w:rPr>
          <w:rFonts w:ascii="Arial" w:hAnsi="Arial" w:cs="Arial"/>
          <w:sz w:val="20"/>
          <w:szCs w:val="20"/>
        </w:rPr>
        <w:t>Big data analytics (BDA) is defined by its capacity to handle extremely large, high-velocity, and diverse datasets, distinguishing it from earlier analytical paradigms such as decision support systems, online analytical processing, and traditional business intelligence (Davenport, 2014; Power, 2002).</w:t>
      </w:r>
      <w:r w:rsidR="00292E28">
        <w:rPr>
          <w:rFonts w:ascii="Arial" w:hAnsi="Arial" w:cs="Arial"/>
          <w:sz w:val="20"/>
          <w:szCs w:val="20"/>
        </w:rPr>
        <w:t xml:space="preserve"> </w:t>
      </w:r>
      <w:r w:rsidR="00292E28" w:rsidRPr="00292E28">
        <w:rPr>
          <w:rFonts w:ascii="Arial" w:hAnsi="Arial" w:cs="Arial"/>
          <w:sz w:val="20"/>
          <w:szCs w:val="20"/>
        </w:rPr>
        <w:t>Recent systematic reviews indicate that Big Data Analytics (BDA) is rapidly evolving, playing a key role in real-time insights, predictive modeling, and data-driven strategic decisions across various sectors. The integration of advanced techniques, such as machine learning, augmented analytics, and real-time streaming, has shifted BDA from merely descriptive reporting to enabling proactive forecasting and autonomous decision-making.</w:t>
      </w:r>
    </w:p>
    <w:p w14:paraId="3C1E0A70" w14:textId="382EC904" w:rsidR="005E6F53" w:rsidRPr="00B811DD" w:rsidRDefault="005E6F53" w:rsidP="005E6F53">
      <w:pPr>
        <w:jc w:val="both"/>
        <w:rPr>
          <w:rFonts w:ascii="Arial" w:hAnsi="Arial" w:cs="Arial"/>
          <w:sz w:val="20"/>
          <w:szCs w:val="20"/>
        </w:rPr>
      </w:pPr>
      <w:r w:rsidRPr="00B811DD">
        <w:rPr>
          <w:rFonts w:ascii="Arial" w:hAnsi="Arial" w:cs="Arial"/>
          <w:sz w:val="20"/>
          <w:szCs w:val="20"/>
        </w:rPr>
        <w:t xml:space="preserve">The interface between big data technologies and artificial intelligence has been termed a critical driver of contemporary analytical capabilities. AI integration enhances pattern recognition, supports near real-time analytics, and increases the adaptability of analytical systems to dynamic data environments. </w:t>
      </w:r>
    </w:p>
    <w:p w14:paraId="678341F0" w14:textId="77777777" w:rsidR="005E6F53" w:rsidRPr="00036789" w:rsidRDefault="005E6F53" w:rsidP="005E6F53">
      <w:pPr>
        <w:jc w:val="both"/>
        <w:rPr>
          <w:rFonts w:ascii="Arial" w:hAnsi="Arial" w:cs="Arial"/>
          <w:b/>
          <w:bCs/>
          <w:sz w:val="20"/>
          <w:szCs w:val="20"/>
        </w:rPr>
      </w:pPr>
      <w:r w:rsidRPr="00036789">
        <w:rPr>
          <w:rFonts w:ascii="Arial" w:hAnsi="Arial" w:cs="Arial"/>
          <w:b/>
          <w:bCs/>
          <w:sz w:val="20"/>
          <w:szCs w:val="20"/>
        </w:rPr>
        <w:t>2.11 Digitalization, Cognitive Automation, and Organizational Transformation</w:t>
      </w:r>
    </w:p>
    <w:p w14:paraId="31859537"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lastRenderedPageBreak/>
        <w:t>The widespread accessibility of low-cost computing resources for data processing, storage, and transmission has facilitated the integration of digital technologies into core business processes. This transformational shift affects not only routine tasks but also high-level cognitive and non-routine decision processes (Frey &amp; Osborne, 2013; Rifkin, 2014). Contemporary research emphasizes that BDA fosters machine-based interpretive capabilities capable of semi-autonomous or fully autonomous decision-making, driving deeper integration of data analytics into strategic and operational domains.</w:t>
      </w:r>
    </w:p>
    <w:p w14:paraId="6CBA3093" w14:textId="71F695FA" w:rsidR="005E6F53" w:rsidRPr="00B811DD" w:rsidRDefault="001C1057" w:rsidP="005E6F53">
      <w:pPr>
        <w:jc w:val="both"/>
        <w:rPr>
          <w:rFonts w:ascii="Arial" w:hAnsi="Arial" w:cs="Arial"/>
          <w:sz w:val="20"/>
          <w:szCs w:val="20"/>
        </w:rPr>
      </w:pPr>
      <w:r w:rsidRPr="001C1057">
        <w:rPr>
          <w:rFonts w:ascii="Arial" w:hAnsi="Arial" w:cs="Arial"/>
          <w:sz w:val="20"/>
          <w:szCs w:val="20"/>
        </w:rPr>
        <w:t>Organizations are increasingly making "big data investments" to improve risk management, forecasting precision, and operational efficiency. Data generated from internal systems, external digital engagements, social media, and IoT devices offer dynamic, multifaceted insights into customer behavior, market trends, and system performance.</w:t>
      </w:r>
      <w:r>
        <w:rPr>
          <w:rFonts w:ascii="Arial" w:hAnsi="Arial" w:cs="Arial"/>
          <w:sz w:val="20"/>
          <w:szCs w:val="20"/>
        </w:rPr>
        <w:t xml:space="preserve"> </w:t>
      </w:r>
      <w:r w:rsidR="005E6F53" w:rsidRPr="00B811DD">
        <w:rPr>
          <w:rFonts w:ascii="Arial" w:hAnsi="Arial" w:cs="Arial"/>
          <w:sz w:val="20"/>
          <w:szCs w:val="20"/>
        </w:rPr>
        <w:t xml:space="preserve">These capabilities enable firms to transcend static reporting frameworks and engage in real-time performance monitoring and predictive modeling, fundamentally altering the nature of organizational control and responsiveness. </w:t>
      </w:r>
    </w:p>
    <w:p w14:paraId="3DE67030" w14:textId="77777777" w:rsidR="005E6F53" w:rsidRPr="00220B3D" w:rsidRDefault="005E6F53" w:rsidP="005E6F53">
      <w:pPr>
        <w:jc w:val="both"/>
        <w:rPr>
          <w:rFonts w:ascii="Arial" w:hAnsi="Arial" w:cs="Arial"/>
          <w:b/>
          <w:bCs/>
          <w:sz w:val="20"/>
          <w:szCs w:val="20"/>
        </w:rPr>
      </w:pPr>
      <w:r w:rsidRPr="00220B3D">
        <w:rPr>
          <w:rFonts w:ascii="Arial" w:hAnsi="Arial" w:cs="Arial"/>
          <w:b/>
          <w:bCs/>
          <w:sz w:val="20"/>
          <w:szCs w:val="20"/>
        </w:rPr>
        <w:t>2.1</w:t>
      </w:r>
      <w:r>
        <w:rPr>
          <w:rFonts w:ascii="Arial" w:hAnsi="Arial" w:cs="Arial"/>
          <w:b/>
          <w:bCs/>
          <w:sz w:val="20"/>
          <w:szCs w:val="20"/>
        </w:rPr>
        <w:t>2</w:t>
      </w:r>
      <w:r w:rsidRPr="00220B3D">
        <w:rPr>
          <w:rFonts w:ascii="Arial" w:hAnsi="Arial" w:cs="Arial"/>
          <w:b/>
          <w:bCs/>
          <w:sz w:val="20"/>
          <w:szCs w:val="20"/>
        </w:rPr>
        <w:t xml:space="preserve"> Predictive Capabilities and Data-Driven Decision-Making</w:t>
      </w:r>
    </w:p>
    <w:p w14:paraId="665D7C5A" w14:textId="77777777" w:rsidR="001C1057" w:rsidRPr="001C1057" w:rsidRDefault="005E6F53" w:rsidP="001C1057">
      <w:pPr>
        <w:jc w:val="both"/>
        <w:rPr>
          <w:rFonts w:ascii="Arial" w:hAnsi="Arial" w:cs="Arial"/>
          <w:sz w:val="20"/>
          <w:szCs w:val="20"/>
        </w:rPr>
      </w:pPr>
      <w:r w:rsidRPr="00B811DD">
        <w:rPr>
          <w:rFonts w:ascii="Arial" w:hAnsi="Arial" w:cs="Arial"/>
          <w:sz w:val="20"/>
          <w:szCs w:val="20"/>
        </w:rPr>
        <w:t xml:space="preserve">A defining feature of big data analytics is its predictive potential—the ability to leverage current and historical data patterns to anticipate future events. This capacity, variously framed as “predicting the present” or anticipatory analytics, profoundly influences managerial cognition and decision processes (Varian &amp; Choi, 2009). Data-driven decision-making increasingly displaces intuition-based practices, transforming organizational norms around authority, accountability, and strategic planning. Traditional reliance on hierarchical judgment (e.g., </w:t>
      </w:r>
      <w:proofErr w:type="spellStart"/>
      <w:r w:rsidRPr="00B811DD">
        <w:rPr>
          <w:rFonts w:ascii="Arial" w:hAnsi="Arial" w:cs="Arial"/>
          <w:sz w:val="20"/>
          <w:szCs w:val="20"/>
        </w:rPr>
        <w:t>HiPPO</w:t>
      </w:r>
      <w:proofErr w:type="spellEnd"/>
      <w:r w:rsidRPr="00B811DD">
        <w:rPr>
          <w:rFonts w:ascii="Arial" w:hAnsi="Arial" w:cs="Arial"/>
          <w:sz w:val="20"/>
          <w:szCs w:val="20"/>
        </w:rPr>
        <w:t xml:space="preserve"> — “Highest Paid Person’s Opinion”) is supplanted by evidence-based analytics that prioritize empirical insights (McAfee &amp; Brynjolfsson, 2012).</w:t>
      </w:r>
      <w:r w:rsidR="001C1057">
        <w:rPr>
          <w:rFonts w:ascii="Arial" w:hAnsi="Arial" w:cs="Arial"/>
          <w:sz w:val="20"/>
          <w:szCs w:val="20"/>
        </w:rPr>
        <w:t xml:space="preserve"> </w:t>
      </w:r>
      <w:r w:rsidR="001C1057" w:rsidRPr="001C1057">
        <w:rPr>
          <w:rFonts w:ascii="Arial" w:hAnsi="Arial" w:cs="Arial"/>
          <w:sz w:val="20"/>
          <w:szCs w:val="20"/>
        </w:rPr>
        <w:t>Recent studies highlight that predictive analytics and advanced BDA capabilities are now essential to maintaining organizational competitiveness. These tools allow companies to more accurately forecast customer behavior, optimize supply chain operations, and anticipate financial risks.</w:t>
      </w:r>
    </w:p>
    <w:p w14:paraId="4C6AB3C9" w14:textId="2B7879D7" w:rsidR="005E6F53" w:rsidRPr="00B811DD" w:rsidRDefault="005E6F53" w:rsidP="005E6F53">
      <w:pPr>
        <w:jc w:val="both"/>
        <w:rPr>
          <w:rFonts w:ascii="Arial" w:hAnsi="Arial" w:cs="Arial"/>
          <w:sz w:val="20"/>
          <w:szCs w:val="20"/>
        </w:rPr>
      </w:pPr>
    </w:p>
    <w:p w14:paraId="2B5CA58E" w14:textId="77777777" w:rsidR="005E6F53" w:rsidRPr="00220B3D" w:rsidRDefault="005E6F53" w:rsidP="005E6F53">
      <w:pPr>
        <w:jc w:val="both"/>
        <w:rPr>
          <w:rFonts w:ascii="Arial" w:hAnsi="Arial" w:cs="Arial"/>
          <w:b/>
          <w:bCs/>
          <w:sz w:val="20"/>
          <w:szCs w:val="20"/>
        </w:rPr>
      </w:pPr>
      <w:r w:rsidRPr="00220B3D">
        <w:rPr>
          <w:rFonts w:ascii="Arial" w:hAnsi="Arial" w:cs="Arial"/>
          <w:b/>
          <w:bCs/>
          <w:sz w:val="20"/>
          <w:szCs w:val="20"/>
        </w:rPr>
        <w:t>2.1</w:t>
      </w:r>
      <w:r>
        <w:rPr>
          <w:rFonts w:ascii="Arial" w:hAnsi="Arial" w:cs="Arial"/>
          <w:b/>
          <w:bCs/>
          <w:sz w:val="20"/>
          <w:szCs w:val="20"/>
        </w:rPr>
        <w:t>3</w:t>
      </w:r>
      <w:r w:rsidRPr="00220B3D">
        <w:rPr>
          <w:rFonts w:ascii="Arial" w:hAnsi="Arial" w:cs="Arial"/>
          <w:b/>
          <w:bCs/>
          <w:sz w:val="20"/>
          <w:szCs w:val="20"/>
        </w:rPr>
        <w:t xml:space="preserve"> Societal and Organizational Implications</w:t>
      </w:r>
    </w:p>
    <w:p w14:paraId="1C4807B6" w14:textId="2D5FD27B" w:rsidR="005E6F53" w:rsidRPr="00B811DD" w:rsidRDefault="005E6F53" w:rsidP="005E6F53">
      <w:pPr>
        <w:jc w:val="both"/>
        <w:rPr>
          <w:rFonts w:ascii="Arial" w:hAnsi="Arial" w:cs="Arial"/>
          <w:sz w:val="20"/>
          <w:szCs w:val="20"/>
        </w:rPr>
      </w:pPr>
      <w:r w:rsidRPr="00B811DD">
        <w:rPr>
          <w:rFonts w:ascii="Arial" w:hAnsi="Arial" w:cs="Arial"/>
          <w:sz w:val="20"/>
          <w:szCs w:val="20"/>
        </w:rPr>
        <w:t xml:space="preserve">The rapid diffusion of digital technologies and big data analytics yields complex and sometimes contradictory outcomes for individuals, organizations, and societies. On one hand, digitization can reduce the burden of routine tasks, offer flexible work structures, and enhance access to information and services. On the other hand, continuous connectivity, algorithmic monitoring, data surveillance, privacy tensions, and precarious work arrangements raise significant ethical and governance concerns (Koch et al., 2012). The literature underscores the importance of exploring ethical frameworks, data governance models, and privacy standards that can mitigate risks associated with pervasive digitalization and BDA adoption. </w:t>
      </w:r>
    </w:p>
    <w:p w14:paraId="125CA3C4" w14:textId="13F59418" w:rsidR="005E6F53" w:rsidRPr="00B811DD" w:rsidRDefault="005E6F53" w:rsidP="005E6F53">
      <w:pPr>
        <w:jc w:val="both"/>
        <w:rPr>
          <w:rFonts w:ascii="Arial" w:hAnsi="Arial" w:cs="Arial"/>
          <w:sz w:val="20"/>
          <w:szCs w:val="20"/>
        </w:rPr>
      </w:pPr>
      <w:r w:rsidRPr="00A736E8">
        <w:rPr>
          <w:rFonts w:ascii="Arial" w:hAnsi="Arial" w:cs="Arial"/>
          <w:sz w:val="20"/>
          <w:szCs w:val="20"/>
          <w:highlight w:val="yellow"/>
        </w:rPr>
        <w:t xml:space="preserve">These studies demonstrate that organizational capacity for innovation and adaptive learning significantly enhances the ability to leverage big data analytics for strategic advantage. </w:t>
      </w:r>
      <w:r w:rsidR="00573D19" w:rsidRPr="00A736E8">
        <w:rPr>
          <w:rFonts w:ascii="Arial" w:hAnsi="Arial" w:cs="Arial"/>
          <w:sz w:val="20"/>
          <w:szCs w:val="20"/>
          <w:highlight w:val="yellow"/>
        </w:rPr>
        <w:t>Within this U.S. context, the integration of BDA and AI is driven by the need to enhance audit efficiency, improve risk assessment, and respond to growing data complexity in client organizations. At the same tim</w:t>
      </w:r>
      <w:r w:rsidR="00A736E8" w:rsidRPr="00A736E8">
        <w:rPr>
          <w:rFonts w:ascii="Arial" w:hAnsi="Arial" w:cs="Arial"/>
          <w:sz w:val="20"/>
          <w:szCs w:val="20"/>
          <w:highlight w:val="yellow"/>
        </w:rPr>
        <w:t>e, institutional factors such as regulatory expectations, professional training requirement, and organizational readiness play a critical role in determining the extent to which these technologies enhance audit quality and support informed audit judgement. Examining this geographical and institutional setting provide a relevant and robust context for understanding the impact of BDA and AI on audit quality and decision-making in contemporary audit practice.</w:t>
      </w:r>
    </w:p>
    <w:p w14:paraId="07035718" w14:textId="77777777" w:rsidR="005E6F53" w:rsidRPr="00220B3D" w:rsidRDefault="005E6F53" w:rsidP="005E6F53">
      <w:pPr>
        <w:jc w:val="both"/>
        <w:rPr>
          <w:rFonts w:ascii="Arial" w:hAnsi="Arial" w:cs="Arial"/>
          <w:b/>
          <w:bCs/>
          <w:sz w:val="20"/>
          <w:szCs w:val="20"/>
        </w:rPr>
      </w:pPr>
      <w:r w:rsidRPr="00220B3D">
        <w:rPr>
          <w:rFonts w:ascii="Arial" w:hAnsi="Arial" w:cs="Arial"/>
          <w:b/>
          <w:bCs/>
          <w:sz w:val="20"/>
          <w:szCs w:val="20"/>
        </w:rPr>
        <w:t>2.14 Relevance to Auditing and Assurance</w:t>
      </w:r>
    </w:p>
    <w:p w14:paraId="2630F2BC" w14:textId="3AFE90DF" w:rsidR="005E6F53" w:rsidRPr="00B811DD" w:rsidRDefault="005E6F53" w:rsidP="005E6F53">
      <w:pPr>
        <w:jc w:val="both"/>
        <w:rPr>
          <w:rFonts w:ascii="Arial" w:hAnsi="Arial" w:cs="Arial"/>
          <w:sz w:val="20"/>
          <w:szCs w:val="20"/>
        </w:rPr>
      </w:pPr>
      <w:r w:rsidRPr="00B811DD">
        <w:rPr>
          <w:rFonts w:ascii="Arial" w:hAnsi="Arial" w:cs="Arial"/>
          <w:sz w:val="20"/>
          <w:szCs w:val="20"/>
        </w:rPr>
        <w:lastRenderedPageBreak/>
        <w:t xml:space="preserve">Within the auditing domain, the broader literature on digitization and big data analytics establishes the conceptual and empirical foundations for understanding how auditing practices must adapt to digitally transformed environments. As organizations generate and store increasing quantities of data through digital platforms, cloud infrastructure, IoT ecosystems, and transactional systems, auditors face both opportunities and challenges in extracting meaningful assurance evidence from these complex data landscapes. </w:t>
      </w:r>
    </w:p>
    <w:p w14:paraId="3EDCE6EC"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Audit 5.0, which emphasizes human–AI collaboration, real-time assurance, and ethical oversight, directly responds to these developments by integrating intelligent analytical systems into audit planning, execution, and reporting. This shift is reinforced by literature that points to the need for auditors to adopt digital competencies, articulate governance frameworks for analytics, and ensure that advanced technologies enhance—not undermine—audit credibility and stakeholder trust.</w:t>
      </w:r>
    </w:p>
    <w:p w14:paraId="2747BB58" w14:textId="77777777" w:rsidR="005E6F53" w:rsidRPr="00220B3D" w:rsidRDefault="005E6F53" w:rsidP="005E6F53">
      <w:pPr>
        <w:jc w:val="both"/>
        <w:rPr>
          <w:rFonts w:ascii="Arial" w:hAnsi="Arial" w:cs="Arial"/>
          <w:b/>
          <w:bCs/>
          <w:sz w:val="20"/>
          <w:szCs w:val="20"/>
        </w:rPr>
      </w:pPr>
      <w:r w:rsidRPr="00220B3D">
        <w:rPr>
          <w:rFonts w:ascii="Arial" w:hAnsi="Arial" w:cs="Arial"/>
          <w:b/>
          <w:bCs/>
          <w:sz w:val="20"/>
          <w:szCs w:val="20"/>
        </w:rPr>
        <w:t>2.2 Evolution of Auditing and Audit 5.0</w:t>
      </w:r>
    </w:p>
    <w:p w14:paraId="05EAF5E4" w14:textId="092ECABD" w:rsidR="005E6F53" w:rsidRDefault="005E6F53" w:rsidP="005E6F53">
      <w:pPr>
        <w:jc w:val="both"/>
        <w:rPr>
          <w:rFonts w:ascii="Arial" w:hAnsi="Arial" w:cs="Arial"/>
          <w:sz w:val="20"/>
          <w:szCs w:val="20"/>
        </w:rPr>
      </w:pPr>
      <w:r w:rsidRPr="006A5B8A">
        <w:rPr>
          <w:rFonts w:ascii="Arial" w:hAnsi="Arial" w:cs="Arial"/>
          <w:sz w:val="20"/>
          <w:szCs w:val="20"/>
        </w:rPr>
        <w:t xml:space="preserve">The auditing profession has undergone </w:t>
      </w:r>
      <w:r w:rsidRPr="00B811DD">
        <w:rPr>
          <w:rFonts w:ascii="Arial" w:hAnsi="Arial" w:cs="Arial"/>
          <w:sz w:val="20"/>
          <w:szCs w:val="20"/>
        </w:rPr>
        <w:t xml:space="preserve">a </w:t>
      </w:r>
      <w:r w:rsidRPr="006A5B8A">
        <w:rPr>
          <w:rFonts w:ascii="Arial" w:hAnsi="Arial" w:cs="Arial"/>
          <w:sz w:val="20"/>
          <w:szCs w:val="20"/>
        </w:rPr>
        <w:t xml:space="preserve">substantial transformation over time as technological advancements and increasing data complexity have reshaped assurance practices. Traditional auditing relied heavily on manual procedures, professional judgment, and sampling-based techniques, which limited auditors’ ability to detect anomalies and assess risks comprehensively (Hayes et al., 2014). As organizations adopted computerized accounting systems, auditing gradually incorporated computer-assisted audit techniques and basic data analytics, marking a shift toward technology-enabled auditing (Braun &amp; Davis, 2003). </w:t>
      </w:r>
    </w:p>
    <w:p w14:paraId="59CCF346" w14:textId="2A6D059F" w:rsidR="00A736E8" w:rsidRPr="006A5B8A" w:rsidRDefault="003D442F" w:rsidP="005E6F53">
      <w:pPr>
        <w:jc w:val="both"/>
        <w:rPr>
          <w:rFonts w:ascii="Arial" w:hAnsi="Arial" w:cs="Arial"/>
          <w:sz w:val="20"/>
          <w:szCs w:val="20"/>
        </w:rPr>
      </w:pPr>
      <w:r w:rsidRPr="00B83FBF">
        <w:rPr>
          <w:rFonts w:ascii="Arial" w:hAnsi="Arial" w:cs="Arial"/>
          <w:sz w:val="20"/>
          <w:szCs w:val="20"/>
          <w:highlight w:val="yellow"/>
        </w:rPr>
        <w:t xml:space="preserve">The evolution of auditing situated within the </w:t>
      </w:r>
      <w:r w:rsidR="005A19FD" w:rsidRPr="00B83FBF">
        <w:rPr>
          <w:rFonts w:ascii="Arial" w:hAnsi="Arial" w:cs="Arial"/>
          <w:sz w:val="20"/>
          <w:szCs w:val="20"/>
          <w:highlight w:val="yellow"/>
        </w:rPr>
        <w:t>United States of America</w:t>
      </w:r>
      <w:r w:rsidRPr="00B83FBF">
        <w:rPr>
          <w:rFonts w:ascii="Arial" w:hAnsi="Arial" w:cs="Arial"/>
          <w:sz w:val="20"/>
          <w:szCs w:val="20"/>
          <w:highlight w:val="yellow"/>
        </w:rPr>
        <w:t xml:space="preserve">, a jurisdiction </w:t>
      </w:r>
      <w:r w:rsidR="005A19FD" w:rsidRPr="00B83FBF">
        <w:rPr>
          <w:rFonts w:ascii="Arial" w:hAnsi="Arial" w:cs="Arial"/>
          <w:sz w:val="20"/>
          <w:szCs w:val="20"/>
          <w:highlight w:val="yellow"/>
        </w:rPr>
        <w:t>characterized by</w:t>
      </w:r>
      <w:r w:rsidRPr="00B83FBF">
        <w:rPr>
          <w:rFonts w:ascii="Arial" w:hAnsi="Arial" w:cs="Arial"/>
          <w:sz w:val="20"/>
          <w:szCs w:val="20"/>
          <w:highlight w:val="yellow"/>
        </w:rPr>
        <w:t xml:space="preserve"> a highly developed audit market, advanced technological infrastructure, and a strong regulatory framework governing the accounting and auditing profession. The united State audit environment is shaped by oversight bodies such as the Public Company Accounting Oversight Board (PCAOB), the </w:t>
      </w:r>
      <w:r w:rsidR="005A19FD" w:rsidRPr="00B83FBF">
        <w:rPr>
          <w:rFonts w:ascii="Arial" w:hAnsi="Arial" w:cs="Arial"/>
          <w:sz w:val="20"/>
          <w:szCs w:val="20"/>
          <w:highlight w:val="yellow"/>
        </w:rPr>
        <w:t>Securities</w:t>
      </w:r>
      <w:r w:rsidRPr="00B83FBF">
        <w:rPr>
          <w:rFonts w:ascii="Arial" w:hAnsi="Arial" w:cs="Arial"/>
          <w:sz w:val="20"/>
          <w:szCs w:val="20"/>
          <w:highlight w:val="yellow"/>
        </w:rPr>
        <w:t xml:space="preserve"> and </w:t>
      </w:r>
      <w:r w:rsidR="005A19FD" w:rsidRPr="00B83FBF">
        <w:rPr>
          <w:rFonts w:ascii="Arial" w:hAnsi="Arial" w:cs="Arial"/>
          <w:sz w:val="20"/>
          <w:szCs w:val="20"/>
          <w:highlight w:val="yellow"/>
        </w:rPr>
        <w:t>Exchange</w:t>
      </w:r>
      <w:r w:rsidRPr="00B83FBF">
        <w:rPr>
          <w:rFonts w:ascii="Arial" w:hAnsi="Arial" w:cs="Arial"/>
          <w:sz w:val="20"/>
          <w:szCs w:val="20"/>
          <w:highlight w:val="yellow"/>
        </w:rPr>
        <w:t xml:space="preserve"> Commission (SEC), and adherence to Generally Accepted Auditing </w:t>
      </w:r>
      <w:r w:rsidR="005A19FD" w:rsidRPr="00B83FBF">
        <w:rPr>
          <w:rFonts w:ascii="Arial" w:hAnsi="Arial" w:cs="Arial"/>
          <w:sz w:val="20"/>
          <w:szCs w:val="20"/>
          <w:highlight w:val="yellow"/>
        </w:rPr>
        <w:t>Standards</w:t>
      </w:r>
      <w:r w:rsidRPr="00B83FBF">
        <w:rPr>
          <w:rFonts w:ascii="Arial" w:hAnsi="Arial" w:cs="Arial"/>
          <w:sz w:val="20"/>
          <w:szCs w:val="20"/>
          <w:highlight w:val="yellow"/>
        </w:rPr>
        <w:t xml:space="preserve"> (GAAS), all of which emphasize audit quality, professional judgement and investor protection. Institutionally, the focus on audit firms operating </w:t>
      </w:r>
      <w:r w:rsidR="005A19FD" w:rsidRPr="00B83FBF">
        <w:rPr>
          <w:rFonts w:ascii="Arial" w:hAnsi="Arial" w:cs="Arial"/>
          <w:sz w:val="20"/>
          <w:szCs w:val="20"/>
          <w:highlight w:val="yellow"/>
        </w:rPr>
        <w:t>within</w:t>
      </w:r>
      <w:r w:rsidRPr="00B83FBF">
        <w:rPr>
          <w:rFonts w:ascii="Arial" w:hAnsi="Arial" w:cs="Arial"/>
          <w:sz w:val="20"/>
          <w:szCs w:val="20"/>
          <w:highlight w:val="yellow"/>
        </w:rPr>
        <w:t xml:space="preserve"> the U.S, including large international audit firms and mid-tier practices, that are increasingly adopting big data analytics (BDA) and artificial intelligence</w:t>
      </w:r>
      <w:r w:rsidR="005A19FD" w:rsidRPr="00B83FBF">
        <w:rPr>
          <w:rFonts w:ascii="Arial" w:hAnsi="Arial" w:cs="Arial"/>
          <w:sz w:val="20"/>
          <w:szCs w:val="20"/>
          <w:highlight w:val="yellow"/>
        </w:rPr>
        <w:t xml:space="preserve"> (AI) as part of their audit processes. These firms operate in an environment marked by significant investments in digital audit platforms, continuous auditing tools and advance data analytics capabilities. The institutional setting also reflects a strong emphasis on compliance, data governance, and ethical standards, which influences</w:t>
      </w:r>
      <w:r w:rsidR="00B83FBF" w:rsidRPr="00B83FBF">
        <w:rPr>
          <w:rFonts w:ascii="Arial" w:hAnsi="Arial" w:cs="Arial"/>
          <w:sz w:val="20"/>
          <w:szCs w:val="20"/>
          <w:highlight w:val="yellow"/>
        </w:rPr>
        <w:t xml:space="preserve"> the reliability of the audit quality and decision-making</w:t>
      </w:r>
    </w:p>
    <w:p w14:paraId="21E7D3EB" w14:textId="77777777" w:rsidR="005E6F53" w:rsidRPr="006A5B8A" w:rsidRDefault="005E6F53" w:rsidP="005E6F53">
      <w:pPr>
        <w:jc w:val="both"/>
        <w:rPr>
          <w:rFonts w:ascii="Arial" w:hAnsi="Arial" w:cs="Arial"/>
          <w:sz w:val="20"/>
          <w:szCs w:val="20"/>
        </w:rPr>
      </w:pPr>
      <w:r w:rsidRPr="006A5B8A">
        <w:rPr>
          <w:rFonts w:ascii="Arial" w:hAnsi="Arial" w:cs="Arial"/>
          <w:sz w:val="20"/>
          <w:szCs w:val="20"/>
        </w:rPr>
        <w:t>The evolution of auditing is often described as a progression through distinct stages, culminating in Audit 5.0. Earlier stages focused primarily on efficiency gains through automation and standardization, whereas Audit 5.0 represents a more holistic and human-centered paradigm (</w:t>
      </w:r>
      <w:proofErr w:type="spellStart"/>
      <w:r w:rsidRPr="006A5B8A">
        <w:rPr>
          <w:rFonts w:ascii="Arial" w:hAnsi="Arial" w:cs="Arial"/>
          <w:sz w:val="20"/>
          <w:szCs w:val="20"/>
        </w:rPr>
        <w:t>Vasarhelyi</w:t>
      </w:r>
      <w:proofErr w:type="spellEnd"/>
      <w:r w:rsidRPr="006A5B8A">
        <w:rPr>
          <w:rFonts w:ascii="Arial" w:hAnsi="Arial" w:cs="Arial"/>
          <w:sz w:val="20"/>
          <w:szCs w:val="20"/>
        </w:rPr>
        <w:t xml:space="preserve"> et al., 2015). Within this framework, artificial intelligence and big data analytics are positioned as tools that augment, rather than replace, auditors’ professional expertise. Recent studies emphasize that Audit 5.0 enables auditors to move beyond routine compliance tasks toward continuous auditing, predictive analysis, and higher-level judgment, thereby enhancing the strategic value of the audit function (</w:t>
      </w:r>
      <w:proofErr w:type="spellStart"/>
      <w:r w:rsidRPr="006A5B8A">
        <w:rPr>
          <w:rFonts w:ascii="Arial" w:hAnsi="Arial" w:cs="Arial"/>
          <w:sz w:val="20"/>
          <w:szCs w:val="20"/>
        </w:rPr>
        <w:t>Kokina</w:t>
      </w:r>
      <w:proofErr w:type="spellEnd"/>
      <w:r w:rsidRPr="006A5B8A">
        <w:rPr>
          <w:rFonts w:ascii="Arial" w:hAnsi="Arial" w:cs="Arial"/>
          <w:sz w:val="20"/>
          <w:szCs w:val="20"/>
        </w:rPr>
        <w:t xml:space="preserve"> &amp; Davenport, 2017; Appelbaum et al., 2020).</w:t>
      </w:r>
    </w:p>
    <w:p w14:paraId="55B998AA" w14:textId="0F7E21F7" w:rsidR="005E6F53" w:rsidRPr="006A5B8A" w:rsidRDefault="005E6F53" w:rsidP="005E6F53">
      <w:pPr>
        <w:jc w:val="both"/>
        <w:rPr>
          <w:rFonts w:ascii="Arial" w:hAnsi="Arial" w:cs="Arial"/>
          <w:sz w:val="20"/>
          <w:szCs w:val="20"/>
        </w:rPr>
      </w:pPr>
      <w:r w:rsidRPr="006A5B8A">
        <w:rPr>
          <w:rFonts w:ascii="Arial" w:hAnsi="Arial" w:cs="Arial"/>
          <w:sz w:val="20"/>
          <w:szCs w:val="20"/>
        </w:rPr>
        <w:t>Big Data Analytics has emerged as a critical enabler of Audit 5.0 due to its capacity to process vast volumes of diverse data in real time. The literature consistently finds that BDA allows auditors to analyze entire populations of transactions instead of relying on samples, which improves risk assessment and enhances the likelihood of detecting material misstatements and fraud (</w:t>
      </w:r>
      <w:proofErr w:type="spellStart"/>
      <w:r w:rsidRPr="006A5B8A">
        <w:rPr>
          <w:rFonts w:ascii="Arial" w:hAnsi="Arial" w:cs="Arial"/>
          <w:sz w:val="20"/>
          <w:szCs w:val="20"/>
        </w:rPr>
        <w:t>Alles</w:t>
      </w:r>
      <w:proofErr w:type="spellEnd"/>
      <w:r w:rsidRPr="006A5B8A">
        <w:rPr>
          <w:rFonts w:ascii="Arial" w:hAnsi="Arial" w:cs="Arial"/>
          <w:sz w:val="20"/>
          <w:szCs w:val="20"/>
        </w:rPr>
        <w:t xml:space="preserve">, 2015; Yoon et al., 2015). By integrating structured and unstructured data from multiple sources, BDA supports more informed audit planning and evidence evaluation, thereby contributing to improved audit quality and effectiveness. </w:t>
      </w:r>
    </w:p>
    <w:p w14:paraId="4C2297BC" w14:textId="3C581DE9" w:rsidR="005E6F53" w:rsidRPr="006A5B8A" w:rsidRDefault="005E6F53" w:rsidP="005E6F53">
      <w:pPr>
        <w:jc w:val="both"/>
        <w:rPr>
          <w:rFonts w:ascii="Arial" w:hAnsi="Arial" w:cs="Arial"/>
          <w:sz w:val="20"/>
          <w:szCs w:val="20"/>
        </w:rPr>
      </w:pPr>
      <w:r w:rsidRPr="006A5B8A">
        <w:rPr>
          <w:rFonts w:ascii="Arial" w:hAnsi="Arial" w:cs="Arial"/>
          <w:sz w:val="20"/>
          <w:szCs w:val="20"/>
        </w:rPr>
        <w:lastRenderedPageBreak/>
        <w:t>Despite its potential benefits, the literature also highlights challenges associated with the adoption of Big Data Analytics in auditing. Moreover, scholars argue that auditors must develop advanced analytical and interpretive skills to avoid overreliance on automated outputs (</w:t>
      </w:r>
      <w:proofErr w:type="spellStart"/>
      <w:r w:rsidRPr="006A5B8A">
        <w:rPr>
          <w:rFonts w:ascii="Arial" w:hAnsi="Arial" w:cs="Arial"/>
          <w:sz w:val="20"/>
          <w:szCs w:val="20"/>
        </w:rPr>
        <w:t>Alles</w:t>
      </w:r>
      <w:proofErr w:type="spellEnd"/>
      <w:r w:rsidRPr="006A5B8A">
        <w:rPr>
          <w:rFonts w:ascii="Arial" w:hAnsi="Arial" w:cs="Arial"/>
          <w:sz w:val="20"/>
          <w:szCs w:val="20"/>
        </w:rPr>
        <w:t xml:space="preserve"> &amp; Gray, 2016). Without sufficient expertise and professional skepticism, the use of BDA may weaken rather than strengthen audit quality. Consequently, recent studies emphasize that the value of BDA in auditing depends not only on technological capability but also on auditors’ judgment and ethical responsibility (</w:t>
      </w:r>
      <w:proofErr w:type="spellStart"/>
      <w:r w:rsidRPr="006A5B8A">
        <w:rPr>
          <w:rFonts w:ascii="Arial" w:hAnsi="Arial" w:cs="Arial"/>
          <w:sz w:val="20"/>
          <w:szCs w:val="20"/>
        </w:rPr>
        <w:t>Kokina</w:t>
      </w:r>
      <w:proofErr w:type="spellEnd"/>
      <w:r w:rsidRPr="006A5B8A">
        <w:rPr>
          <w:rFonts w:ascii="Arial" w:hAnsi="Arial" w:cs="Arial"/>
          <w:sz w:val="20"/>
          <w:szCs w:val="20"/>
        </w:rPr>
        <w:t xml:space="preserve"> et al., 2021).</w:t>
      </w:r>
    </w:p>
    <w:p w14:paraId="6623E94D" w14:textId="798EFD52" w:rsidR="005E6F53" w:rsidRPr="006A5B8A" w:rsidRDefault="005E6F53" w:rsidP="005E6F53">
      <w:pPr>
        <w:jc w:val="both"/>
        <w:rPr>
          <w:rFonts w:ascii="Arial" w:hAnsi="Arial" w:cs="Arial"/>
          <w:sz w:val="20"/>
          <w:szCs w:val="20"/>
        </w:rPr>
      </w:pPr>
      <w:r w:rsidRPr="006A5B8A">
        <w:rPr>
          <w:rFonts w:ascii="Arial" w:hAnsi="Arial" w:cs="Arial"/>
          <w:sz w:val="20"/>
          <w:szCs w:val="20"/>
        </w:rPr>
        <w:t>Artificial intelligence has gained increasing attention in auditing research due to its ability to automate complex tasks and enhance audit decision-making. Empirical evidence suggests that AI adoption is associated with improvements in audit quality, including enhanced anomaly detection, more accurate risk prediction, and reduced likelihood of financial misstatements (Issa et al., 2016; Cao et al., 20</w:t>
      </w:r>
      <w:r w:rsidR="00D47CB3">
        <w:rPr>
          <w:rFonts w:ascii="Arial" w:hAnsi="Arial" w:cs="Arial"/>
          <w:sz w:val="20"/>
          <w:szCs w:val="20"/>
        </w:rPr>
        <w:t>15</w:t>
      </w:r>
      <w:r w:rsidRPr="006A5B8A">
        <w:rPr>
          <w:rFonts w:ascii="Arial" w:hAnsi="Arial" w:cs="Arial"/>
          <w:sz w:val="20"/>
          <w:szCs w:val="20"/>
        </w:rPr>
        <w:t>). Machine learning and natural language processing techniques allow auditors to analyze large datasets, contracts, and narrative disclosures more efficiently than traditional methods, thereby improving audit efficiency and consistency (</w:t>
      </w:r>
      <w:proofErr w:type="spellStart"/>
      <w:r w:rsidRPr="006A5B8A">
        <w:rPr>
          <w:rFonts w:ascii="Arial" w:hAnsi="Arial" w:cs="Arial"/>
          <w:sz w:val="20"/>
          <w:szCs w:val="20"/>
        </w:rPr>
        <w:t>Fedyk</w:t>
      </w:r>
      <w:proofErr w:type="spellEnd"/>
      <w:r w:rsidRPr="006A5B8A">
        <w:rPr>
          <w:rFonts w:ascii="Arial" w:hAnsi="Arial" w:cs="Arial"/>
          <w:sz w:val="20"/>
          <w:szCs w:val="20"/>
        </w:rPr>
        <w:t xml:space="preserve"> et al., 2022). By automating routine and data-intensive procedures, AI enables auditors to devote more time to judgment-oriented tasks, such as evaluating estimates and exercising professional skepticism (</w:t>
      </w:r>
      <w:proofErr w:type="spellStart"/>
      <w:r w:rsidRPr="006A5B8A">
        <w:rPr>
          <w:rFonts w:ascii="Arial" w:hAnsi="Arial" w:cs="Arial"/>
          <w:sz w:val="20"/>
          <w:szCs w:val="20"/>
        </w:rPr>
        <w:t>Kokina</w:t>
      </w:r>
      <w:proofErr w:type="spellEnd"/>
      <w:r w:rsidRPr="006A5B8A">
        <w:rPr>
          <w:rFonts w:ascii="Arial" w:hAnsi="Arial" w:cs="Arial"/>
          <w:sz w:val="20"/>
          <w:szCs w:val="20"/>
        </w:rPr>
        <w:t xml:space="preserve"> &amp; Davenport, 2017).</w:t>
      </w:r>
    </w:p>
    <w:p w14:paraId="0ABA1F4B" w14:textId="632478EB" w:rsidR="005E6F53" w:rsidRPr="006A5B8A" w:rsidRDefault="005E6F53" w:rsidP="005E6F53">
      <w:pPr>
        <w:jc w:val="both"/>
        <w:rPr>
          <w:rFonts w:ascii="Arial" w:hAnsi="Arial" w:cs="Arial"/>
          <w:sz w:val="20"/>
          <w:szCs w:val="20"/>
        </w:rPr>
      </w:pPr>
      <w:r w:rsidRPr="006A5B8A">
        <w:rPr>
          <w:rFonts w:ascii="Arial" w:hAnsi="Arial" w:cs="Arial"/>
          <w:sz w:val="20"/>
          <w:szCs w:val="20"/>
        </w:rPr>
        <w:t xml:space="preserve">However, recent literature also raises concerns regarding the ethical and practical implications of AI in auditing. Issues related to algorithmic bias, lack of transparency, and </w:t>
      </w:r>
      <w:proofErr w:type="spellStart"/>
      <w:r w:rsidRPr="006A5B8A">
        <w:rPr>
          <w:rFonts w:ascii="Arial" w:hAnsi="Arial" w:cs="Arial"/>
          <w:sz w:val="20"/>
          <w:szCs w:val="20"/>
        </w:rPr>
        <w:t>explainability</w:t>
      </w:r>
      <w:proofErr w:type="spellEnd"/>
      <w:r w:rsidRPr="006A5B8A">
        <w:rPr>
          <w:rFonts w:ascii="Arial" w:hAnsi="Arial" w:cs="Arial"/>
          <w:sz w:val="20"/>
          <w:szCs w:val="20"/>
        </w:rPr>
        <w:t xml:space="preserve"> pose significant challenges, particularly given the need for audit judgments to be justified and defensible (</w:t>
      </w:r>
      <w:proofErr w:type="spellStart"/>
      <w:r w:rsidRPr="006A5B8A">
        <w:rPr>
          <w:rFonts w:ascii="Arial" w:hAnsi="Arial" w:cs="Arial"/>
          <w:sz w:val="20"/>
          <w:szCs w:val="20"/>
        </w:rPr>
        <w:t>Raisch</w:t>
      </w:r>
      <w:proofErr w:type="spellEnd"/>
      <w:r w:rsidRPr="006A5B8A">
        <w:rPr>
          <w:rFonts w:ascii="Arial" w:hAnsi="Arial" w:cs="Arial"/>
          <w:sz w:val="20"/>
          <w:szCs w:val="20"/>
        </w:rPr>
        <w:t xml:space="preserve"> &amp; Krakowski, 2021). Scholars caution that “black-box” AI systems may undermine accountability if auditors are unable to explain how conclusions are derived (Baldwin et al., 2020). </w:t>
      </w:r>
    </w:p>
    <w:p w14:paraId="214F3E70" w14:textId="77777777" w:rsidR="005E6F53" w:rsidRPr="006A5B8A" w:rsidRDefault="005E6F53" w:rsidP="005E6F53">
      <w:pPr>
        <w:jc w:val="both"/>
        <w:rPr>
          <w:rFonts w:ascii="Arial" w:hAnsi="Arial" w:cs="Arial"/>
          <w:sz w:val="20"/>
          <w:szCs w:val="20"/>
        </w:rPr>
      </w:pPr>
      <w:r w:rsidRPr="006A5B8A">
        <w:rPr>
          <w:rFonts w:ascii="Arial" w:hAnsi="Arial" w:cs="Arial"/>
          <w:sz w:val="20"/>
          <w:szCs w:val="20"/>
        </w:rPr>
        <w:t>Within the Audit 5.0 framework, AI and Big Data Analytics are conceptualized as components of a socio-technical system in which technology and human expertise are mutually reinforcing. Recent studies suggest that while digital tools enhance auditors’ analytical capabilities and decision support, final audit judgments remain the responsibility of human professionals (</w:t>
      </w:r>
      <w:proofErr w:type="spellStart"/>
      <w:r w:rsidRPr="006A5B8A">
        <w:rPr>
          <w:rFonts w:ascii="Arial" w:hAnsi="Arial" w:cs="Arial"/>
          <w:sz w:val="20"/>
          <w:szCs w:val="20"/>
        </w:rPr>
        <w:t>Vasarhelyi</w:t>
      </w:r>
      <w:proofErr w:type="spellEnd"/>
      <w:r w:rsidRPr="006A5B8A">
        <w:rPr>
          <w:rFonts w:ascii="Arial" w:hAnsi="Arial" w:cs="Arial"/>
          <w:sz w:val="20"/>
          <w:szCs w:val="20"/>
        </w:rPr>
        <w:t xml:space="preserve"> et al., 2018). This hybrid approach strengthens audit quality by combining computational power with professional skepticism, contextual understanding, and ethical reasoning. Furthermore, Audit 5.0 aligns auditing practices with broader societal objectives by emphasizing transparency, sustainability, and trust in financial reporting (Appelbaum et al., 2020).</w:t>
      </w:r>
    </w:p>
    <w:p w14:paraId="781B1F62" w14:textId="77777777" w:rsidR="005E6F53" w:rsidRPr="006A5B8A" w:rsidRDefault="005E6F53" w:rsidP="005E6F53">
      <w:pPr>
        <w:jc w:val="both"/>
        <w:rPr>
          <w:rFonts w:ascii="Arial" w:hAnsi="Arial" w:cs="Arial"/>
          <w:sz w:val="20"/>
          <w:szCs w:val="20"/>
        </w:rPr>
      </w:pPr>
      <w:r w:rsidRPr="006A5B8A">
        <w:rPr>
          <w:rFonts w:ascii="Arial" w:hAnsi="Arial" w:cs="Arial"/>
          <w:sz w:val="20"/>
          <w:szCs w:val="20"/>
        </w:rPr>
        <w:t>Despite the growing body of research, recent literature reviews identify several persistent gaps. Auditing standards and regulatory frameworks often lag behind technological innovation, creating uncertainty regarding acceptable AI and BDA practices (IAASB, 2022). Additionally, empirical evidence measuring the direct impact of AI and BDA on audit quality remains limited, as many studies rely on indirect proxies (</w:t>
      </w:r>
      <w:proofErr w:type="spellStart"/>
      <w:r w:rsidRPr="006A5B8A">
        <w:rPr>
          <w:rFonts w:ascii="Arial" w:hAnsi="Arial" w:cs="Arial"/>
          <w:sz w:val="20"/>
          <w:szCs w:val="20"/>
        </w:rPr>
        <w:t>Fedyk</w:t>
      </w:r>
      <w:proofErr w:type="spellEnd"/>
      <w:r w:rsidRPr="006A5B8A">
        <w:rPr>
          <w:rFonts w:ascii="Arial" w:hAnsi="Arial" w:cs="Arial"/>
          <w:sz w:val="20"/>
          <w:szCs w:val="20"/>
        </w:rPr>
        <w:t xml:space="preserve"> et al., 2022). The need for auditor education and continuous professional development in data analytics and AI is widely acknowledged, yet empirical research on effective training models remains scarce (</w:t>
      </w:r>
      <w:proofErr w:type="spellStart"/>
      <w:r w:rsidRPr="006A5B8A">
        <w:rPr>
          <w:rFonts w:ascii="Arial" w:hAnsi="Arial" w:cs="Arial"/>
          <w:sz w:val="20"/>
          <w:szCs w:val="20"/>
        </w:rPr>
        <w:t>Kokina</w:t>
      </w:r>
      <w:proofErr w:type="spellEnd"/>
      <w:r w:rsidRPr="006A5B8A">
        <w:rPr>
          <w:rFonts w:ascii="Arial" w:hAnsi="Arial" w:cs="Arial"/>
          <w:sz w:val="20"/>
          <w:szCs w:val="20"/>
        </w:rPr>
        <w:t xml:space="preserve"> et al., 2021). Ethical issues related to data privacy, accountability, and algorithmic governance also warrant further investigation within the Audit 5.0 context.</w:t>
      </w:r>
    </w:p>
    <w:p w14:paraId="438FE47E" w14:textId="77777777" w:rsidR="005E6F53" w:rsidRDefault="005E6F53" w:rsidP="005E6F53">
      <w:pPr>
        <w:jc w:val="both"/>
        <w:rPr>
          <w:rFonts w:ascii="Arial" w:hAnsi="Arial" w:cs="Arial"/>
          <w:b/>
          <w:bCs/>
          <w:sz w:val="20"/>
          <w:szCs w:val="20"/>
        </w:rPr>
      </w:pPr>
    </w:p>
    <w:p w14:paraId="023D9337" w14:textId="77777777" w:rsidR="005E6F53" w:rsidRPr="00597CBE" w:rsidRDefault="005E6F53" w:rsidP="005E6F53">
      <w:pPr>
        <w:jc w:val="both"/>
        <w:rPr>
          <w:rFonts w:ascii="Arial" w:hAnsi="Arial" w:cs="Arial"/>
          <w:b/>
          <w:bCs/>
          <w:sz w:val="20"/>
          <w:szCs w:val="20"/>
        </w:rPr>
      </w:pPr>
      <w:r w:rsidRPr="00597CBE">
        <w:rPr>
          <w:rFonts w:ascii="Arial" w:hAnsi="Arial" w:cs="Arial"/>
          <w:b/>
          <w:bCs/>
          <w:sz w:val="20"/>
          <w:szCs w:val="20"/>
        </w:rPr>
        <w:t>3.</w:t>
      </w:r>
      <w:r>
        <w:rPr>
          <w:rFonts w:ascii="Arial" w:hAnsi="Arial" w:cs="Arial"/>
          <w:b/>
          <w:bCs/>
          <w:sz w:val="20"/>
          <w:szCs w:val="20"/>
        </w:rPr>
        <w:t>0</w:t>
      </w:r>
      <w:r w:rsidRPr="00597CBE">
        <w:rPr>
          <w:rFonts w:ascii="Arial" w:hAnsi="Arial" w:cs="Arial"/>
          <w:b/>
          <w:bCs/>
          <w:sz w:val="20"/>
          <w:szCs w:val="20"/>
        </w:rPr>
        <w:t xml:space="preserve"> Research Methodology</w:t>
      </w:r>
    </w:p>
    <w:p w14:paraId="0F454581" w14:textId="77777777" w:rsidR="005E6F53" w:rsidRPr="00976BA5" w:rsidRDefault="005E6F53" w:rsidP="005E6F53">
      <w:pPr>
        <w:jc w:val="both"/>
        <w:rPr>
          <w:rFonts w:ascii="Arial" w:hAnsi="Arial" w:cs="Arial"/>
          <w:b/>
          <w:bCs/>
          <w:sz w:val="20"/>
          <w:szCs w:val="20"/>
        </w:rPr>
      </w:pPr>
      <w:r w:rsidRPr="00B811DD">
        <w:rPr>
          <w:rFonts w:ascii="Arial" w:hAnsi="Arial" w:cs="Arial"/>
          <w:b/>
          <w:bCs/>
          <w:sz w:val="20"/>
          <w:szCs w:val="20"/>
        </w:rPr>
        <w:t xml:space="preserve">3.1 </w:t>
      </w:r>
      <w:r w:rsidRPr="00976BA5">
        <w:rPr>
          <w:rFonts w:ascii="Arial" w:hAnsi="Arial" w:cs="Arial"/>
          <w:b/>
          <w:bCs/>
          <w:sz w:val="20"/>
          <w:szCs w:val="20"/>
        </w:rPr>
        <w:t>Theoretical Framework</w:t>
      </w:r>
    </w:p>
    <w:p w14:paraId="6F8812E5" w14:textId="77777777" w:rsidR="005E6F53" w:rsidRPr="00976BA5" w:rsidRDefault="005E6F53" w:rsidP="005E6F53">
      <w:pPr>
        <w:jc w:val="both"/>
        <w:rPr>
          <w:rFonts w:ascii="Arial" w:hAnsi="Arial" w:cs="Arial"/>
          <w:sz w:val="20"/>
          <w:szCs w:val="20"/>
        </w:rPr>
      </w:pPr>
      <w:r w:rsidRPr="00976BA5">
        <w:rPr>
          <w:rFonts w:ascii="Arial" w:hAnsi="Arial" w:cs="Arial"/>
          <w:sz w:val="20"/>
          <w:szCs w:val="20"/>
        </w:rPr>
        <w:t xml:space="preserve">This study is anchored in the evolving paradigm of Audit 5.0, which represents the most recent stage in the evolution of auditing, characterized by the convergence of advanced digital technologies and human professional judgment. Audit 5.0 builds on earlier audit phases by emphasizing intelligent automation, continuous assurance, and data-driven decision-making while maintaining the auditor’s ethical responsibility, skepticism, and interpretive role. Within this framework, artificial intelligence, blockchain, and </w:t>
      </w:r>
      <w:r w:rsidRPr="00976BA5">
        <w:rPr>
          <w:rFonts w:ascii="Arial" w:hAnsi="Arial" w:cs="Arial"/>
          <w:sz w:val="20"/>
          <w:szCs w:val="20"/>
        </w:rPr>
        <w:lastRenderedPageBreak/>
        <w:t>data analytics are conceptualized as enabling technologies that enhance audit quality, operational efficiency, and decision-making effectiveness rather than replacing auditors’ professional expertise.</w:t>
      </w:r>
    </w:p>
    <w:p w14:paraId="5249D267" w14:textId="77777777" w:rsidR="005E6F53" w:rsidRPr="00976BA5" w:rsidRDefault="005E6F53" w:rsidP="005E6F53">
      <w:pPr>
        <w:jc w:val="both"/>
        <w:rPr>
          <w:rFonts w:ascii="Arial" w:hAnsi="Arial" w:cs="Arial"/>
          <w:sz w:val="20"/>
          <w:szCs w:val="20"/>
        </w:rPr>
      </w:pPr>
      <w:r w:rsidRPr="00976BA5">
        <w:rPr>
          <w:rFonts w:ascii="Arial" w:hAnsi="Arial" w:cs="Arial"/>
          <w:sz w:val="20"/>
          <w:szCs w:val="20"/>
        </w:rPr>
        <w:t>The theoretical foundation of the study integrates the Technology Acceptance Model (TAM), the Resource-Based View (RBV) of the firm, and institutional theory. TAM provides a robust explanatory lens for understanding variations in auditors’ awareness, adoption, and perceptions of AI, blockchain, and data analytics. According to TAM, perceived usefulness and perceived ease of use are critical determinants of technology acceptance, which directly aligns with the observed differences in awareness and adoption levels identified in the empirical results of this study. The statistically significant differences in awareness and adoption of AI and data analytics suggest that these technologies are perceived as more useful and operationally feasible compared to blockchain, which remains at an earlier stage of practical acceptance.</w:t>
      </w:r>
    </w:p>
    <w:p w14:paraId="751992F4" w14:textId="77777777" w:rsidR="005E6F53" w:rsidRPr="00976BA5" w:rsidRDefault="005E6F53" w:rsidP="005E6F53">
      <w:pPr>
        <w:jc w:val="both"/>
        <w:rPr>
          <w:rFonts w:ascii="Arial" w:hAnsi="Arial" w:cs="Arial"/>
          <w:sz w:val="20"/>
          <w:szCs w:val="20"/>
        </w:rPr>
      </w:pPr>
      <w:r w:rsidRPr="00976BA5">
        <w:rPr>
          <w:rFonts w:ascii="Arial" w:hAnsi="Arial" w:cs="Arial"/>
          <w:sz w:val="20"/>
          <w:szCs w:val="20"/>
        </w:rPr>
        <w:t xml:space="preserve">The RBV complements TAM by framing digital </w:t>
      </w:r>
      <w:proofErr w:type="spellStart"/>
      <w:r w:rsidRPr="00976BA5">
        <w:rPr>
          <w:rFonts w:ascii="Arial" w:hAnsi="Arial" w:cs="Arial"/>
          <w:sz w:val="20"/>
          <w:szCs w:val="20"/>
        </w:rPr>
        <w:t>audit</w:t>
      </w:r>
      <w:proofErr w:type="spellEnd"/>
      <w:r w:rsidRPr="00976BA5">
        <w:rPr>
          <w:rFonts w:ascii="Arial" w:hAnsi="Arial" w:cs="Arial"/>
          <w:sz w:val="20"/>
          <w:szCs w:val="20"/>
        </w:rPr>
        <w:t xml:space="preserve"> technologies as strategic organizational resources. From this perspective, AI-driven analytics and advanced data tools constitute valuable, rare, and difficult-to-imitate capabilities that can enhance audit firms’ competitive positioning through improved audit quality, efficiency, and value-added insights. This is particularly relevant for large professional service firms such as Deloitte, EY, KPMG, and PwC, where technological capability increasingly differentiates audit service offerings. The empirical findings indicating significant perceived benefits of AI and blockchain further support the RBV argument that investment in digital capabilities yields measurable professional advantages (</w:t>
      </w:r>
      <w:proofErr w:type="spellStart"/>
      <w:r w:rsidRPr="00976BA5">
        <w:rPr>
          <w:rFonts w:ascii="Arial" w:hAnsi="Arial" w:cs="Arial"/>
          <w:sz w:val="20"/>
          <w:szCs w:val="20"/>
        </w:rPr>
        <w:t>Fedyk</w:t>
      </w:r>
      <w:proofErr w:type="spellEnd"/>
      <w:r w:rsidRPr="00976BA5">
        <w:rPr>
          <w:rFonts w:ascii="Arial" w:hAnsi="Arial" w:cs="Arial"/>
          <w:sz w:val="20"/>
          <w:szCs w:val="20"/>
        </w:rPr>
        <w:t xml:space="preserve"> et al., 2022).</w:t>
      </w:r>
    </w:p>
    <w:p w14:paraId="71279D2A" w14:textId="342AFD63" w:rsidR="005E6F53" w:rsidRPr="00976BA5" w:rsidRDefault="005E6F53" w:rsidP="005E6F53">
      <w:pPr>
        <w:jc w:val="both"/>
        <w:rPr>
          <w:rFonts w:ascii="Arial" w:hAnsi="Arial" w:cs="Arial"/>
          <w:sz w:val="20"/>
          <w:szCs w:val="20"/>
        </w:rPr>
      </w:pPr>
      <w:r w:rsidRPr="00976BA5">
        <w:rPr>
          <w:rFonts w:ascii="Arial" w:hAnsi="Arial" w:cs="Arial"/>
          <w:sz w:val="20"/>
          <w:szCs w:val="20"/>
        </w:rPr>
        <w:t xml:space="preserve">Institutional theory further explains the role of professional norms, regulatory pressures, and industry expectations in shaping auditors’ technology adoption behaviors. In the </w:t>
      </w:r>
      <w:r>
        <w:rPr>
          <w:rFonts w:ascii="Arial" w:hAnsi="Arial" w:cs="Arial"/>
          <w:sz w:val="20"/>
          <w:szCs w:val="20"/>
        </w:rPr>
        <w:t>United States of America</w:t>
      </w:r>
      <w:r w:rsidRPr="00976BA5">
        <w:rPr>
          <w:rFonts w:ascii="Arial" w:hAnsi="Arial" w:cs="Arial"/>
          <w:sz w:val="20"/>
          <w:szCs w:val="20"/>
        </w:rPr>
        <w:t xml:space="preserve"> context, where regulatory frameworks and professional guidance on advanced audit technologies are still evolving, institutional support plays a crucial role in determining the pace and consistency of adoption. </w:t>
      </w:r>
    </w:p>
    <w:p w14:paraId="17C53E49" w14:textId="77777777" w:rsidR="005E6F53" w:rsidRPr="00B811DD" w:rsidRDefault="005E6F53" w:rsidP="005E6F53">
      <w:pPr>
        <w:jc w:val="both"/>
        <w:rPr>
          <w:rFonts w:ascii="Arial" w:hAnsi="Arial" w:cs="Arial"/>
          <w:sz w:val="20"/>
          <w:szCs w:val="20"/>
        </w:rPr>
      </w:pPr>
      <w:r w:rsidRPr="00976BA5">
        <w:rPr>
          <w:rFonts w:ascii="Arial" w:hAnsi="Arial" w:cs="Arial"/>
          <w:sz w:val="20"/>
          <w:szCs w:val="20"/>
        </w:rPr>
        <w:t>Within this integrated framework, AI, blockchain, and data analytics serve as independent variables, audit quality, efficiency, and decision-making effectiveness represent the dependent variables, and auditors’ demographic and professional characteristics act as moderating factors. The framework posits that the successful transition to Audit 5.0 depends not only on technological availability but also on acceptance, institutional readiness, and human–technology collaboration.</w:t>
      </w:r>
    </w:p>
    <w:p w14:paraId="04F32AE6" w14:textId="77777777" w:rsidR="005E6F53" w:rsidRPr="00976BA5" w:rsidRDefault="005E6F53" w:rsidP="005E6F53">
      <w:pPr>
        <w:jc w:val="both"/>
        <w:rPr>
          <w:rFonts w:ascii="Arial" w:hAnsi="Arial" w:cs="Arial"/>
          <w:sz w:val="20"/>
          <w:szCs w:val="20"/>
        </w:rPr>
      </w:pPr>
    </w:p>
    <w:p w14:paraId="7FC16BC1" w14:textId="77777777" w:rsidR="005E6F53" w:rsidRPr="00976BA5" w:rsidRDefault="005E6F53" w:rsidP="005E6F53">
      <w:pPr>
        <w:jc w:val="both"/>
        <w:rPr>
          <w:rFonts w:ascii="Arial" w:hAnsi="Arial" w:cs="Arial"/>
          <w:b/>
          <w:bCs/>
          <w:sz w:val="20"/>
          <w:szCs w:val="20"/>
        </w:rPr>
      </w:pPr>
      <w:r w:rsidRPr="00B811DD">
        <w:rPr>
          <w:rFonts w:ascii="Arial" w:hAnsi="Arial" w:cs="Arial"/>
          <w:b/>
          <w:bCs/>
          <w:sz w:val="20"/>
          <w:szCs w:val="20"/>
        </w:rPr>
        <w:t xml:space="preserve">3.2 </w:t>
      </w:r>
      <w:r w:rsidRPr="00976BA5">
        <w:rPr>
          <w:rFonts w:ascii="Arial" w:hAnsi="Arial" w:cs="Arial"/>
          <w:b/>
          <w:bCs/>
          <w:sz w:val="20"/>
          <w:szCs w:val="20"/>
        </w:rPr>
        <w:t>Research Design</w:t>
      </w:r>
    </w:p>
    <w:p w14:paraId="3A4FBFC7" w14:textId="797C6896" w:rsidR="005E6F53" w:rsidRPr="00976BA5" w:rsidRDefault="005E6F53" w:rsidP="005E6F53">
      <w:pPr>
        <w:jc w:val="both"/>
        <w:rPr>
          <w:rFonts w:ascii="Arial" w:hAnsi="Arial" w:cs="Arial"/>
          <w:sz w:val="20"/>
          <w:szCs w:val="20"/>
        </w:rPr>
      </w:pPr>
      <w:r w:rsidRPr="00976BA5">
        <w:rPr>
          <w:rFonts w:ascii="Arial" w:hAnsi="Arial" w:cs="Arial"/>
          <w:sz w:val="20"/>
          <w:szCs w:val="20"/>
        </w:rPr>
        <w:t xml:space="preserve">The study adopts a quantitative research design to empirically examine the impact of artificial intelligence, blockchain, and data analytics on audit processes within the four major accounting firms operating in </w:t>
      </w:r>
      <w:r>
        <w:rPr>
          <w:rFonts w:ascii="Arial" w:hAnsi="Arial" w:cs="Arial"/>
          <w:sz w:val="20"/>
          <w:szCs w:val="20"/>
        </w:rPr>
        <w:t>United States of America</w:t>
      </w:r>
      <w:r w:rsidRPr="00976BA5">
        <w:rPr>
          <w:rFonts w:ascii="Arial" w:hAnsi="Arial" w:cs="Arial"/>
          <w:sz w:val="20"/>
          <w:szCs w:val="20"/>
        </w:rPr>
        <w:t>, namely Deloitte, EY, KPMG, and PwC. A survey-based methodology is employed to capture audit professionals’ perceptions, awareness levels, adoption behaviors, and evaluations of the benefits and challenges associated with these digital technologies. This design is appropriate given the study’s objective of testing hypotheses and identifying statistically significant differences in perceptions across technologies and professional groups, consistent with prior empirical research in digital auditing</w:t>
      </w:r>
      <w:r>
        <w:rPr>
          <w:rFonts w:ascii="Arial" w:hAnsi="Arial" w:cs="Arial"/>
          <w:sz w:val="20"/>
          <w:szCs w:val="20"/>
        </w:rPr>
        <w:t>.</w:t>
      </w:r>
    </w:p>
    <w:p w14:paraId="207D0817" w14:textId="77777777" w:rsidR="005E6F53" w:rsidRPr="00976BA5" w:rsidRDefault="005E6F53" w:rsidP="005E6F53">
      <w:pPr>
        <w:jc w:val="both"/>
        <w:rPr>
          <w:rFonts w:ascii="Arial" w:hAnsi="Arial" w:cs="Arial"/>
          <w:b/>
          <w:bCs/>
          <w:sz w:val="20"/>
          <w:szCs w:val="20"/>
        </w:rPr>
      </w:pPr>
      <w:r w:rsidRPr="00B811DD">
        <w:rPr>
          <w:rFonts w:ascii="Arial" w:hAnsi="Arial" w:cs="Arial"/>
          <w:b/>
          <w:bCs/>
          <w:sz w:val="20"/>
          <w:szCs w:val="20"/>
        </w:rPr>
        <w:t xml:space="preserve">3.3 </w:t>
      </w:r>
      <w:r w:rsidRPr="00976BA5">
        <w:rPr>
          <w:rFonts w:ascii="Arial" w:hAnsi="Arial" w:cs="Arial"/>
          <w:b/>
          <w:bCs/>
          <w:sz w:val="20"/>
          <w:szCs w:val="20"/>
        </w:rPr>
        <w:t>Population and Sampling Strategy</w:t>
      </w:r>
    </w:p>
    <w:p w14:paraId="77AC292D" w14:textId="77777777" w:rsidR="005E6F53" w:rsidRPr="00976BA5" w:rsidRDefault="005E6F53" w:rsidP="005E6F53">
      <w:pPr>
        <w:jc w:val="both"/>
        <w:rPr>
          <w:rFonts w:ascii="Arial" w:hAnsi="Arial" w:cs="Arial"/>
          <w:sz w:val="20"/>
          <w:szCs w:val="20"/>
        </w:rPr>
      </w:pPr>
      <w:r w:rsidRPr="00976BA5">
        <w:rPr>
          <w:rFonts w:ascii="Arial" w:hAnsi="Arial" w:cs="Arial"/>
          <w:sz w:val="20"/>
          <w:szCs w:val="20"/>
        </w:rPr>
        <w:t xml:space="preserve">The target population comprises audit professionals employed by Deloitte, EY, KPMG, and PwC in </w:t>
      </w:r>
      <w:r>
        <w:rPr>
          <w:rFonts w:ascii="Arial" w:hAnsi="Arial" w:cs="Arial"/>
          <w:sz w:val="20"/>
          <w:szCs w:val="20"/>
        </w:rPr>
        <w:t>the United States of America</w:t>
      </w:r>
      <w:r w:rsidRPr="00976BA5">
        <w:rPr>
          <w:rFonts w:ascii="Arial" w:hAnsi="Arial" w:cs="Arial"/>
          <w:sz w:val="20"/>
          <w:szCs w:val="20"/>
        </w:rPr>
        <w:t xml:space="preserve">. These firms were selected due to their leadership role in audit innovation, early adoption of digital tools, and influence on professional audit standards. A stratified random sampling technique was employed to ensure proportional representation from each firm and to reduce sampling bias. A total sample size of </w:t>
      </w:r>
      <w:r>
        <w:rPr>
          <w:rFonts w:ascii="Arial" w:hAnsi="Arial" w:cs="Arial"/>
          <w:sz w:val="20"/>
          <w:szCs w:val="20"/>
        </w:rPr>
        <w:t>10</w:t>
      </w:r>
      <w:r w:rsidRPr="00976BA5">
        <w:rPr>
          <w:rFonts w:ascii="Arial" w:hAnsi="Arial" w:cs="Arial"/>
          <w:sz w:val="20"/>
          <w:szCs w:val="20"/>
        </w:rPr>
        <w:t>0 audit professionals was selected, with 2</w:t>
      </w:r>
      <w:r>
        <w:rPr>
          <w:rFonts w:ascii="Arial" w:hAnsi="Arial" w:cs="Arial"/>
          <w:sz w:val="20"/>
          <w:szCs w:val="20"/>
        </w:rPr>
        <w:t>5</w:t>
      </w:r>
      <w:r w:rsidRPr="00976BA5">
        <w:rPr>
          <w:rFonts w:ascii="Arial" w:hAnsi="Arial" w:cs="Arial"/>
          <w:sz w:val="20"/>
          <w:szCs w:val="20"/>
        </w:rPr>
        <w:t xml:space="preserve"> respondents drawn from each firm. </w:t>
      </w:r>
      <w:r w:rsidRPr="00976BA5">
        <w:rPr>
          <w:rFonts w:ascii="Arial" w:hAnsi="Arial" w:cs="Arial"/>
          <w:sz w:val="20"/>
          <w:szCs w:val="20"/>
        </w:rPr>
        <w:lastRenderedPageBreak/>
        <w:t>This sampling approach ensures comparability across firms and aligns with the study’s focus on firm-level and technology-specific differences in perception and adoption.</w:t>
      </w:r>
    </w:p>
    <w:p w14:paraId="73D42C08" w14:textId="77777777" w:rsidR="003A1720" w:rsidRDefault="003A1720" w:rsidP="005E6F53">
      <w:pPr>
        <w:jc w:val="both"/>
        <w:rPr>
          <w:rFonts w:ascii="Arial" w:hAnsi="Arial" w:cs="Arial"/>
          <w:b/>
          <w:bCs/>
          <w:sz w:val="20"/>
          <w:szCs w:val="20"/>
        </w:rPr>
      </w:pPr>
    </w:p>
    <w:p w14:paraId="22B4A6D9" w14:textId="0510E2A9" w:rsidR="005E6F53" w:rsidRPr="00976BA5" w:rsidRDefault="005E6F53" w:rsidP="005E6F53">
      <w:pPr>
        <w:jc w:val="both"/>
        <w:rPr>
          <w:rFonts w:ascii="Arial" w:hAnsi="Arial" w:cs="Arial"/>
          <w:b/>
          <w:bCs/>
          <w:sz w:val="20"/>
          <w:szCs w:val="20"/>
        </w:rPr>
      </w:pPr>
      <w:r w:rsidRPr="00B811DD">
        <w:rPr>
          <w:rFonts w:ascii="Arial" w:hAnsi="Arial" w:cs="Arial"/>
          <w:b/>
          <w:bCs/>
          <w:sz w:val="20"/>
          <w:szCs w:val="20"/>
        </w:rPr>
        <w:t xml:space="preserve">3.4 </w:t>
      </w:r>
      <w:r w:rsidRPr="00976BA5">
        <w:rPr>
          <w:rFonts w:ascii="Arial" w:hAnsi="Arial" w:cs="Arial"/>
          <w:b/>
          <w:bCs/>
          <w:sz w:val="20"/>
          <w:szCs w:val="20"/>
        </w:rPr>
        <w:t>Data Collection Instrument and Procedure</w:t>
      </w:r>
    </w:p>
    <w:p w14:paraId="0771A448" w14:textId="77777777" w:rsidR="005E6F53" w:rsidRPr="00976BA5" w:rsidRDefault="005E6F53" w:rsidP="005E6F53">
      <w:pPr>
        <w:jc w:val="both"/>
        <w:rPr>
          <w:rFonts w:ascii="Arial" w:hAnsi="Arial" w:cs="Arial"/>
          <w:sz w:val="20"/>
          <w:szCs w:val="20"/>
        </w:rPr>
      </w:pPr>
      <w:r>
        <w:rPr>
          <w:rFonts w:ascii="Arial" w:hAnsi="Arial" w:cs="Arial"/>
          <w:sz w:val="20"/>
          <w:szCs w:val="20"/>
        </w:rPr>
        <w:t xml:space="preserve">The data collection targeted American Certified Public Accountants who are members of the American Institute of Public Accountants (AICPA). </w:t>
      </w:r>
      <w:r w:rsidRPr="00976BA5">
        <w:rPr>
          <w:rFonts w:ascii="Arial" w:hAnsi="Arial" w:cs="Arial"/>
          <w:sz w:val="20"/>
          <w:szCs w:val="20"/>
        </w:rPr>
        <w:t xml:space="preserve">Data were collected using a </w:t>
      </w:r>
      <w:bookmarkStart w:id="1" w:name="_Hlk220687308"/>
      <w:r w:rsidRPr="00976BA5">
        <w:rPr>
          <w:rFonts w:ascii="Arial" w:hAnsi="Arial" w:cs="Arial"/>
          <w:sz w:val="20"/>
          <w:szCs w:val="20"/>
        </w:rPr>
        <w:t xml:space="preserve">structured questionnaire </w:t>
      </w:r>
      <w:bookmarkEnd w:id="1"/>
      <w:r w:rsidRPr="00976BA5">
        <w:rPr>
          <w:rFonts w:ascii="Arial" w:hAnsi="Arial" w:cs="Arial"/>
          <w:sz w:val="20"/>
          <w:szCs w:val="20"/>
        </w:rPr>
        <w:t>designed to capture quantitative insights into auditors’ awareness, adoption, perceived benefits, and perceived challenges associated with AI, blockchain, and data analytics in audit processes. The questionnaire consisted of closed-ended and Likert-scale items, enabling standardized measurement and facilitating statistical analysis. The instrument was developed based on an extensive review of contemporary literature on digital auditing and Audit 5.0, ensuring conceptual alignment with established constructs and prior empirical studies.</w:t>
      </w:r>
    </w:p>
    <w:p w14:paraId="3AACE440" w14:textId="2DAA296A" w:rsidR="005E6F53" w:rsidRPr="00976BA5" w:rsidRDefault="005E6F53" w:rsidP="005E6F53">
      <w:pPr>
        <w:jc w:val="both"/>
        <w:rPr>
          <w:rFonts w:ascii="Arial" w:hAnsi="Arial" w:cs="Arial"/>
          <w:sz w:val="20"/>
          <w:szCs w:val="20"/>
        </w:rPr>
      </w:pPr>
      <w:r w:rsidRPr="00976BA5">
        <w:rPr>
          <w:rFonts w:ascii="Arial" w:hAnsi="Arial" w:cs="Arial"/>
          <w:sz w:val="20"/>
          <w:szCs w:val="20"/>
        </w:rPr>
        <w:t xml:space="preserve">The questionnaire was distributed electronically to audit professionals via email, and participation was entirely voluntary. Informed consent was obtained from all respondents prior to participation, and anonymity was assured to encourage candid and unbiased responses. Respondents were given sufficient time to </w:t>
      </w:r>
      <w:bookmarkStart w:id="2" w:name="_GoBack"/>
      <w:r w:rsidRPr="00976BA5">
        <w:rPr>
          <w:rFonts w:ascii="Arial" w:hAnsi="Arial" w:cs="Arial"/>
          <w:sz w:val="20"/>
          <w:szCs w:val="20"/>
        </w:rPr>
        <w:t>complete the survey, and follow-up reminders were issued to improve response rates.</w:t>
      </w:r>
    </w:p>
    <w:bookmarkEnd w:id="2"/>
    <w:p w14:paraId="15BD41CC" w14:textId="77777777" w:rsidR="005E6F53" w:rsidRPr="00976BA5" w:rsidRDefault="005E6F53" w:rsidP="005E6F53">
      <w:pPr>
        <w:jc w:val="both"/>
        <w:rPr>
          <w:rFonts w:ascii="Arial" w:hAnsi="Arial" w:cs="Arial"/>
          <w:b/>
          <w:bCs/>
          <w:sz w:val="20"/>
          <w:szCs w:val="20"/>
        </w:rPr>
      </w:pPr>
      <w:r w:rsidRPr="00B811DD">
        <w:rPr>
          <w:rFonts w:ascii="Arial" w:hAnsi="Arial" w:cs="Arial"/>
          <w:b/>
          <w:bCs/>
          <w:sz w:val="20"/>
          <w:szCs w:val="20"/>
        </w:rPr>
        <w:t xml:space="preserve">3.5 </w:t>
      </w:r>
      <w:r w:rsidRPr="00976BA5">
        <w:rPr>
          <w:rFonts w:ascii="Arial" w:hAnsi="Arial" w:cs="Arial"/>
          <w:b/>
          <w:bCs/>
          <w:sz w:val="20"/>
          <w:szCs w:val="20"/>
        </w:rPr>
        <w:t>Data Analysis Techniques</w:t>
      </w:r>
    </w:p>
    <w:p w14:paraId="1891DAB8" w14:textId="77777777" w:rsidR="005E6F53" w:rsidRPr="00976BA5" w:rsidRDefault="005E6F53" w:rsidP="005E6F53">
      <w:pPr>
        <w:jc w:val="both"/>
        <w:rPr>
          <w:rFonts w:ascii="Arial" w:hAnsi="Arial" w:cs="Arial"/>
          <w:sz w:val="20"/>
          <w:szCs w:val="20"/>
        </w:rPr>
      </w:pPr>
      <w:r w:rsidRPr="00976BA5">
        <w:rPr>
          <w:rFonts w:ascii="Arial" w:hAnsi="Arial" w:cs="Arial"/>
          <w:sz w:val="20"/>
          <w:szCs w:val="20"/>
        </w:rPr>
        <w:t xml:space="preserve">Quantitative data analysis was conducted using descriptive and inferential statistical techniques. Descriptive statistics, including means, standard deviations, frequencies, and percentages, were used to summarize respondents’ demographic characteristics and provide an overview of perceptions related to digital </w:t>
      </w:r>
      <w:proofErr w:type="spellStart"/>
      <w:r w:rsidRPr="00976BA5">
        <w:rPr>
          <w:rFonts w:ascii="Arial" w:hAnsi="Arial" w:cs="Arial"/>
          <w:sz w:val="20"/>
          <w:szCs w:val="20"/>
        </w:rPr>
        <w:t>audit</w:t>
      </w:r>
      <w:proofErr w:type="spellEnd"/>
      <w:r w:rsidRPr="00976BA5">
        <w:rPr>
          <w:rFonts w:ascii="Arial" w:hAnsi="Arial" w:cs="Arial"/>
          <w:sz w:val="20"/>
          <w:szCs w:val="20"/>
        </w:rPr>
        <w:t xml:space="preserve"> technologies. These statistics revealed a diverse sample in terms of age, experience, educational background, and professional roles, enhancing the robustness of the analysis.</w:t>
      </w:r>
    </w:p>
    <w:p w14:paraId="2E8093BF" w14:textId="77777777" w:rsidR="005E6F53" w:rsidRPr="00976BA5" w:rsidRDefault="005E6F53" w:rsidP="005E6F53">
      <w:pPr>
        <w:jc w:val="both"/>
        <w:rPr>
          <w:rFonts w:ascii="Arial" w:hAnsi="Arial" w:cs="Arial"/>
          <w:sz w:val="20"/>
          <w:szCs w:val="20"/>
        </w:rPr>
      </w:pPr>
      <w:r w:rsidRPr="00976BA5">
        <w:rPr>
          <w:rFonts w:ascii="Arial" w:hAnsi="Arial" w:cs="Arial"/>
          <w:sz w:val="20"/>
          <w:szCs w:val="20"/>
        </w:rPr>
        <w:t>Inferential statistics formed the core of hypothesis testing. Analysis of variance (ANOVA) was employed to examine differences in awareness, adoption, perceived benefits, and perceived challenges associated with AI, blockchain, and data analytics. The use of ANOVA was appropriate given the study’s objective of comparing mean responses across technologies and identifying statistically significant variations. The findings demonstrated significant differences in awareness and adoption for AI and data analytics but not for blockchain, as well as significant differences in perceived benefits and challenges for AI and blockchain but not for data analytics.</w:t>
      </w:r>
    </w:p>
    <w:p w14:paraId="15B0C421" w14:textId="77777777" w:rsidR="005E6F53" w:rsidRPr="00976BA5" w:rsidRDefault="005E6F53" w:rsidP="005E6F53">
      <w:pPr>
        <w:jc w:val="both"/>
        <w:rPr>
          <w:rFonts w:ascii="Arial" w:hAnsi="Arial" w:cs="Arial"/>
          <w:b/>
          <w:bCs/>
          <w:sz w:val="20"/>
          <w:szCs w:val="20"/>
        </w:rPr>
      </w:pPr>
      <w:r w:rsidRPr="00B811DD">
        <w:rPr>
          <w:rFonts w:ascii="Arial" w:hAnsi="Arial" w:cs="Arial"/>
          <w:b/>
          <w:bCs/>
          <w:sz w:val="20"/>
          <w:szCs w:val="20"/>
        </w:rPr>
        <w:t xml:space="preserve">3.6 </w:t>
      </w:r>
      <w:r w:rsidRPr="00976BA5">
        <w:rPr>
          <w:rFonts w:ascii="Arial" w:hAnsi="Arial" w:cs="Arial"/>
          <w:b/>
          <w:bCs/>
          <w:sz w:val="20"/>
          <w:szCs w:val="20"/>
        </w:rPr>
        <w:t>Expected Findings and Interpretation within the Audit 5.0 Framework</w:t>
      </w:r>
    </w:p>
    <w:p w14:paraId="3960F33D" w14:textId="77777777" w:rsidR="005E6F53" w:rsidRPr="00976BA5" w:rsidRDefault="005E6F53" w:rsidP="005E6F53">
      <w:pPr>
        <w:jc w:val="both"/>
        <w:rPr>
          <w:rFonts w:ascii="Arial" w:hAnsi="Arial" w:cs="Arial"/>
          <w:sz w:val="20"/>
          <w:szCs w:val="20"/>
        </w:rPr>
      </w:pPr>
      <w:r w:rsidRPr="00976BA5">
        <w:rPr>
          <w:rFonts w:ascii="Arial" w:hAnsi="Arial" w:cs="Arial"/>
          <w:sz w:val="20"/>
          <w:szCs w:val="20"/>
        </w:rPr>
        <w:t>The findings of the study provide empirical support for the Audit 5.0 framework by demonstrating that digital technologies are increasingly shaping audit practices, albeit at different levels of maturity. Artificial intelligence emerges as the most impactful technology, with significant differences observed in both awareness and adoption, as well as in perceived benefits and challenges. This aligns with prior evidence that AI enhances audit quality through improved anomaly detection, risk assessment, and audit planning efficiency (</w:t>
      </w:r>
      <w:proofErr w:type="spellStart"/>
      <w:r w:rsidRPr="00976BA5">
        <w:rPr>
          <w:rFonts w:ascii="Arial" w:hAnsi="Arial" w:cs="Arial"/>
          <w:sz w:val="20"/>
          <w:szCs w:val="20"/>
        </w:rPr>
        <w:t>Fedyk</w:t>
      </w:r>
      <w:proofErr w:type="spellEnd"/>
      <w:r w:rsidRPr="00976BA5">
        <w:rPr>
          <w:rFonts w:ascii="Arial" w:hAnsi="Arial" w:cs="Arial"/>
          <w:sz w:val="20"/>
          <w:szCs w:val="20"/>
        </w:rPr>
        <w:t xml:space="preserve"> et al., 2022).</w:t>
      </w:r>
    </w:p>
    <w:p w14:paraId="57604F6A" w14:textId="77777777" w:rsidR="005E6F53" w:rsidRPr="00976BA5" w:rsidRDefault="005E6F53" w:rsidP="005E6F53">
      <w:pPr>
        <w:jc w:val="both"/>
        <w:rPr>
          <w:rFonts w:ascii="Arial" w:hAnsi="Arial" w:cs="Arial"/>
          <w:sz w:val="20"/>
          <w:szCs w:val="20"/>
        </w:rPr>
      </w:pPr>
      <w:r w:rsidRPr="00976BA5">
        <w:rPr>
          <w:rFonts w:ascii="Arial" w:hAnsi="Arial" w:cs="Arial"/>
          <w:sz w:val="20"/>
          <w:szCs w:val="20"/>
        </w:rPr>
        <w:t>Data analytics also shows significant differences in awareness and adoption, indicating its widespread acceptance and institutionalization within audit processes. However, the absence of significant differences in perceived benefits and challenges suggests that data analytics may be viewed as a standardized audit tool rather than a disruptive innovation, reflecting its integration into routine audit workflows.</w:t>
      </w:r>
    </w:p>
    <w:p w14:paraId="24D370B3" w14:textId="184A93B2" w:rsidR="005E6F53" w:rsidRPr="00976BA5" w:rsidRDefault="005E6F53" w:rsidP="005E6F53">
      <w:pPr>
        <w:jc w:val="both"/>
        <w:rPr>
          <w:rFonts w:ascii="Arial" w:hAnsi="Arial" w:cs="Arial"/>
          <w:sz w:val="20"/>
          <w:szCs w:val="20"/>
        </w:rPr>
      </w:pPr>
      <w:r w:rsidRPr="00976BA5">
        <w:rPr>
          <w:rFonts w:ascii="Arial" w:hAnsi="Arial" w:cs="Arial"/>
          <w:sz w:val="20"/>
          <w:szCs w:val="20"/>
        </w:rPr>
        <w:t xml:space="preserve">Blockchain presents a contrasting pattern, with no significant differences in awareness and adoption but significant differences in perceived benefits and challenges. This finding highlights a gap between </w:t>
      </w:r>
      <w:r w:rsidRPr="00976BA5">
        <w:rPr>
          <w:rFonts w:ascii="Arial" w:hAnsi="Arial" w:cs="Arial"/>
          <w:sz w:val="20"/>
          <w:szCs w:val="20"/>
        </w:rPr>
        <w:lastRenderedPageBreak/>
        <w:t>theoretical potential and practical implementation, supporting prior literature that emphasizes blockchain’s promise for transparency and trust while acknowledging barriers related to complexity, regulation, and skill availability</w:t>
      </w:r>
      <w:r w:rsidR="000B172C">
        <w:rPr>
          <w:rFonts w:ascii="Arial" w:hAnsi="Arial" w:cs="Arial"/>
          <w:sz w:val="20"/>
          <w:szCs w:val="20"/>
        </w:rPr>
        <w:t>.</w:t>
      </w:r>
    </w:p>
    <w:p w14:paraId="5E9738AD" w14:textId="77777777" w:rsidR="005E6F53" w:rsidRPr="00976BA5" w:rsidRDefault="005E6F53" w:rsidP="005E6F53">
      <w:pPr>
        <w:jc w:val="both"/>
        <w:rPr>
          <w:rFonts w:ascii="Arial" w:hAnsi="Arial" w:cs="Arial"/>
          <w:sz w:val="20"/>
          <w:szCs w:val="20"/>
        </w:rPr>
      </w:pPr>
      <w:r w:rsidRPr="00976BA5">
        <w:rPr>
          <w:rFonts w:ascii="Arial" w:hAnsi="Arial" w:cs="Arial"/>
          <w:sz w:val="20"/>
          <w:szCs w:val="20"/>
        </w:rPr>
        <w:t xml:space="preserve">Overall, the results suggest that the transition toward Audit 5.0 within </w:t>
      </w:r>
      <w:r>
        <w:rPr>
          <w:rFonts w:ascii="Arial" w:hAnsi="Arial" w:cs="Arial"/>
          <w:sz w:val="20"/>
          <w:szCs w:val="20"/>
        </w:rPr>
        <w:t>the United States</w:t>
      </w:r>
      <w:r w:rsidRPr="00976BA5">
        <w:rPr>
          <w:rFonts w:ascii="Arial" w:hAnsi="Arial" w:cs="Arial"/>
          <w:sz w:val="20"/>
          <w:szCs w:val="20"/>
        </w:rPr>
        <w:t xml:space="preserve"> Big Four firms is uneven and technology-specific. While AI and data analytics are actively reshaping audit quality and efficiency, blockchain remains at an exploratory stage. These findings reinforce the argument that successful digital transformation in auditing depends on human–technology synergy, institutional support, and targeted professional development.</w:t>
      </w:r>
    </w:p>
    <w:p w14:paraId="6A6620C8" w14:textId="77777777" w:rsidR="005E6F53" w:rsidRPr="00324F2C" w:rsidRDefault="005E6F53" w:rsidP="005E6F53">
      <w:pPr>
        <w:jc w:val="both"/>
        <w:rPr>
          <w:rFonts w:ascii="Arial" w:hAnsi="Arial" w:cs="Arial"/>
          <w:b/>
          <w:bCs/>
          <w:sz w:val="20"/>
          <w:szCs w:val="20"/>
        </w:rPr>
      </w:pPr>
      <w:r w:rsidRPr="00B811DD">
        <w:rPr>
          <w:rFonts w:ascii="Arial" w:hAnsi="Arial" w:cs="Arial"/>
          <w:b/>
          <w:bCs/>
          <w:sz w:val="20"/>
          <w:szCs w:val="20"/>
        </w:rPr>
        <w:t xml:space="preserve">3.7 </w:t>
      </w:r>
      <w:r w:rsidRPr="00324F2C">
        <w:rPr>
          <w:rFonts w:ascii="Arial" w:hAnsi="Arial" w:cs="Arial"/>
          <w:b/>
          <w:bCs/>
          <w:sz w:val="20"/>
          <w:szCs w:val="20"/>
        </w:rPr>
        <w:t>Hypotheses Development</w:t>
      </w:r>
    </w:p>
    <w:p w14:paraId="6B0493FC"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Grounded in the Audit 5.0 framework and supported by the Technology Acceptance Model, Resource-Based View, and institutional theory, this study formulates hypotheses that examine differences in auditors’ awareness, adoption, and perceptions of emerging digital technologies.</w:t>
      </w:r>
    </w:p>
    <w:p w14:paraId="29AE2A00" w14:textId="3B6FE0EE" w:rsidR="005E6F53" w:rsidRPr="00324F2C" w:rsidRDefault="005E6F53" w:rsidP="005E6F53">
      <w:pPr>
        <w:jc w:val="both"/>
        <w:rPr>
          <w:rFonts w:ascii="Arial" w:hAnsi="Arial" w:cs="Arial"/>
          <w:sz w:val="20"/>
          <w:szCs w:val="20"/>
        </w:rPr>
      </w:pPr>
      <w:r w:rsidRPr="00324F2C">
        <w:rPr>
          <w:rFonts w:ascii="Arial" w:hAnsi="Arial" w:cs="Arial"/>
          <w:sz w:val="20"/>
          <w:szCs w:val="20"/>
        </w:rPr>
        <w:t>The first set of hypotheses focuses on auditors’ awareness and adoption of artificial intelligence, blockchain, and data analytics. Prior studies indicate that AI and data analytics have reached higher levels of operational maturity within audit firms, while blockchain adoption remains uneven due to regulatory uncertainty and implementation complexity. Based on this theoretical and empirical background, the study proposes that differences exist in how audit professionals perceive and adopt these technologies.</w:t>
      </w:r>
    </w:p>
    <w:p w14:paraId="198E1ACB"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H1: There is a significant difference in the level of awareness and adoption of artificial intelligence, blockchain, and data analytics among audit professionals.</w:t>
      </w:r>
    </w:p>
    <w:p w14:paraId="7BA69A96"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The second set of hypotheses examines auditors’ perceptions of the benefits and challenges associated with integrating these technologies into audit processes. Audit 5.0 literature suggests that while AI and blockchain offer substantial benefits in terms of audit quality, transparency, and decision-making, they also introduce challenges related to skills, governance, and ethical oversight. Data analytics, by contrast, is often perceived as a more established and less disruptive tool.</w:t>
      </w:r>
    </w:p>
    <w:p w14:paraId="41855937"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H2: There is a significant difference in the perceived benefits and challenges associated with the integration of artificial intelligence, blockchain, and data analytics in audit processes.</w:t>
      </w:r>
    </w:p>
    <w:p w14:paraId="33BC5C09"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These hypotheses allow the study to empirically test how digital technologies are reshaping audit practices and whether auditors’ perceptions differ across technologies, consistent with the multidimensional nature of Audit 5.0.</w:t>
      </w:r>
    </w:p>
    <w:p w14:paraId="5E2E603F" w14:textId="77777777" w:rsidR="005E6F53" w:rsidRDefault="005E6F53" w:rsidP="005E6F53">
      <w:pPr>
        <w:jc w:val="both"/>
        <w:rPr>
          <w:rFonts w:ascii="Arial" w:hAnsi="Arial" w:cs="Arial"/>
          <w:b/>
          <w:bCs/>
          <w:sz w:val="20"/>
          <w:szCs w:val="20"/>
        </w:rPr>
      </w:pPr>
    </w:p>
    <w:p w14:paraId="342F3E48" w14:textId="77777777" w:rsidR="005E6F53" w:rsidRPr="00324F2C" w:rsidRDefault="005E6F53" w:rsidP="005E6F53">
      <w:pPr>
        <w:jc w:val="both"/>
        <w:rPr>
          <w:rFonts w:ascii="Arial" w:hAnsi="Arial" w:cs="Arial"/>
          <w:b/>
          <w:bCs/>
          <w:sz w:val="20"/>
          <w:szCs w:val="20"/>
        </w:rPr>
      </w:pPr>
      <w:r w:rsidRPr="00B811DD">
        <w:rPr>
          <w:rFonts w:ascii="Arial" w:hAnsi="Arial" w:cs="Arial"/>
          <w:b/>
          <w:bCs/>
          <w:sz w:val="20"/>
          <w:szCs w:val="20"/>
        </w:rPr>
        <w:t xml:space="preserve">3.8 </w:t>
      </w:r>
      <w:r w:rsidRPr="00324F2C">
        <w:rPr>
          <w:rFonts w:ascii="Arial" w:hAnsi="Arial" w:cs="Arial"/>
          <w:b/>
          <w:bCs/>
          <w:sz w:val="20"/>
          <w:szCs w:val="20"/>
        </w:rPr>
        <w:t>Conceptual and Theoretical Framework (Narrative Explanation)</w:t>
      </w:r>
    </w:p>
    <w:p w14:paraId="1375317E"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The conceptual framework of this study positions artificial intelligence, blockchain, and data analytics as core technological drivers of Audit 5.0. These technologies constitute the independent variables and represent distinct but interrelated dimensions of digital transformation in auditing.</w:t>
      </w:r>
    </w:p>
    <w:p w14:paraId="11F86061"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Audit quality, audit efficiency, and audit decision-making effectiveness serve as the dependent variables. Audit quality is reflected in improved risk assessment, anomaly detection, and assurance reliability. Audit efficiency refers to reductions in audit time, automation of routine procedures, and improved resource allocation. Decision-making effectiveness captures auditors’ ability to exercise professional judgment supported by real-time insights and advanced analytical capabilities.</w:t>
      </w:r>
    </w:p>
    <w:p w14:paraId="00962629"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lastRenderedPageBreak/>
        <w:t>Auditors’ demographic and professional characteristics—such as age, years of experience, educational qualification, professional role, and firm affiliation—act as moderating variables. These factors influence how auditors perceive, adopt, and utilize digital technologies, consistent with TAM and institutional theory. For example, younger auditors or those working in technology-intensive teams may demonstrate higher adoption rates, while senior auditors may emphasize governance and ethical concerns.</w:t>
      </w:r>
    </w:p>
    <w:p w14:paraId="1B4299DC"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Within the framework, perceived usefulness and perceived ease of use mediate the relationship between digital technologies and audit outcomes. Technologies that auditors view as practical and value-enhancing, such as AI-based analytics, are more likely to be adopted and integrated into audit workflows. Institutional support from firms and regulators further shapes these relationships by providing training, guidance, and standards that legitimize technology use.</w:t>
      </w:r>
    </w:p>
    <w:p w14:paraId="651551C8"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Overall, the framework suggests that Audit 5.0 is not solely technology-driven but emerges from the interaction between advanced digital tools, human professional judgment, and institutional structures. Successful digital auditing outcomes depend on balancing automation with auditor expertise, ethical responsibility, and regulatory compliance.</w:t>
      </w:r>
    </w:p>
    <w:p w14:paraId="7DEF4839" w14:textId="77777777" w:rsidR="005E6F53" w:rsidRPr="00324F2C" w:rsidRDefault="005E6F53" w:rsidP="005E6F53">
      <w:pPr>
        <w:jc w:val="both"/>
        <w:rPr>
          <w:rFonts w:ascii="Arial" w:hAnsi="Arial" w:cs="Arial"/>
          <w:b/>
          <w:bCs/>
          <w:sz w:val="20"/>
          <w:szCs w:val="20"/>
        </w:rPr>
      </w:pPr>
      <w:r w:rsidRPr="00B811DD">
        <w:rPr>
          <w:rFonts w:ascii="Arial" w:hAnsi="Arial" w:cs="Arial"/>
          <w:b/>
          <w:bCs/>
          <w:sz w:val="20"/>
          <w:szCs w:val="20"/>
        </w:rPr>
        <w:t xml:space="preserve">3.9 </w:t>
      </w:r>
      <w:r w:rsidRPr="00324F2C">
        <w:rPr>
          <w:rFonts w:ascii="Arial" w:hAnsi="Arial" w:cs="Arial"/>
          <w:b/>
          <w:bCs/>
          <w:sz w:val="20"/>
          <w:szCs w:val="20"/>
        </w:rPr>
        <w:t>Data Analysis and Results Interpretation</w:t>
      </w:r>
    </w:p>
    <w:p w14:paraId="45BFDD64" w14:textId="3424664A" w:rsidR="005E6F53" w:rsidRPr="00324F2C" w:rsidRDefault="005E6F53" w:rsidP="005E6F53">
      <w:pPr>
        <w:jc w:val="both"/>
        <w:rPr>
          <w:rFonts w:ascii="Arial" w:hAnsi="Arial" w:cs="Arial"/>
          <w:sz w:val="20"/>
          <w:szCs w:val="20"/>
        </w:rPr>
      </w:pPr>
      <w:r w:rsidRPr="00324F2C">
        <w:rPr>
          <w:rFonts w:ascii="Arial" w:hAnsi="Arial" w:cs="Arial"/>
          <w:sz w:val="20"/>
          <w:szCs w:val="20"/>
        </w:rPr>
        <w:t>The descriptive statistics indicate that the sample is professionally diverse, with respondents spanning junior auditors to partners and possessing an average of over twelve years of audit experience. This diversity strengthens the reliability of the findings, as perceptions reflect multiple organizational levels within the Big Four firms</w:t>
      </w:r>
    </w:p>
    <w:p w14:paraId="6C9D1B58"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The ANOVA results for Hypothesis 1 reveal statistically significant differences in awareness and adoption for artificial intelligence and data analytics, while no significant difference is observed for blockchain. This suggests that AI and data analytics are more deeply embedded in audit practices, likely due to their immediate applicability to audit planning, risk assessment, and substantive testing. Blockchain, despite its theoretical promise, appears to remain at a more experimental or conceptual stage within Nigerian audit firms.</w:t>
      </w:r>
    </w:p>
    <w:p w14:paraId="622EECE3" w14:textId="7A3453DD" w:rsidR="005E6F53" w:rsidRPr="00324F2C" w:rsidRDefault="005E6F53" w:rsidP="005E6F53">
      <w:pPr>
        <w:jc w:val="both"/>
        <w:rPr>
          <w:rFonts w:ascii="Arial" w:hAnsi="Arial" w:cs="Arial"/>
          <w:sz w:val="20"/>
          <w:szCs w:val="20"/>
        </w:rPr>
      </w:pPr>
      <w:r w:rsidRPr="00324F2C">
        <w:rPr>
          <w:rFonts w:ascii="Arial" w:hAnsi="Arial" w:cs="Arial"/>
          <w:sz w:val="20"/>
          <w:szCs w:val="20"/>
        </w:rPr>
        <w:t xml:space="preserve">These findings align with </w:t>
      </w:r>
      <w:proofErr w:type="spellStart"/>
      <w:r w:rsidRPr="00324F2C">
        <w:rPr>
          <w:rFonts w:ascii="Arial" w:hAnsi="Arial" w:cs="Arial"/>
          <w:sz w:val="20"/>
          <w:szCs w:val="20"/>
        </w:rPr>
        <w:t>Fedyk</w:t>
      </w:r>
      <w:proofErr w:type="spellEnd"/>
      <w:r w:rsidRPr="00324F2C">
        <w:rPr>
          <w:rFonts w:ascii="Arial" w:hAnsi="Arial" w:cs="Arial"/>
          <w:sz w:val="20"/>
          <w:szCs w:val="20"/>
        </w:rPr>
        <w:t xml:space="preserve"> et al. (2022), who demonstrate that AI investments are positively associated with audit quality and efficiency, and partially align with </w:t>
      </w:r>
      <w:r w:rsidR="000B172C">
        <w:rPr>
          <w:rFonts w:ascii="Arial" w:hAnsi="Arial" w:cs="Arial"/>
          <w:sz w:val="20"/>
          <w:szCs w:val="20"/>
        </w:rPr>
        <w:t xml:space="preserve">the </w:t>
      </w:r>
      <w:r w:rsidRPr="00324F2C">
        <w:rPr>
          <w:rFonts w:ascii="Arial" w:hAnsi="Arial" w:cs="Arial"/>
          <w:sz w:val="20"/>
          <w:szCs w:val="20"/>
        </w:rPr>
        <w:t>blockchain adoption in auditing is still constrained by institutional and technical barriers.</w:t>
      </w:r>
    </w:p>
    <w:p w14:paraId="3D42AC4A"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For Hypothesis 2, the results show significant differences in perceived benefits and challenges for AI and blockchain, but not for data analytics. Audit professionals perceive AI as offering high benefits relative to its challenges, reinforcing its role as a cornerstone technology in Audit 5.0. Blockchain is perceived as beneficial but also challenging, reflecting concerns about implementation complexity, regulatory clarity, and interoperability with existing systems. The absence of significant differences for data analytics suggests that it has become a normalized audit tool rather than a disruptive innovation.</w:t>
      </w:r>
    </w:p>
    <w:p w14:paraId="41D854F8" w14:textId="77777777" w:rsidR="005E6F53" w:rsidRPr="00324F2C" w:rsidRDefault="005E6F53" w:rsidP="005E6F53">
      <w:pPr>
        <w:jc w:val="both"/>
        <w:rPr>
          <w:rFonts w:ascii="Arial" w:hAnsi="Arial" w:cs="Arial"/>
          <w:sz w:val="20"/>
          <w:szCs w:val="20"/>
        </w:rPr>
      </w:pPr>
    </w:p>
    <w:p w14:paraId="23408FE1" w14:textId="2AC6AFCA" w:rsidR="005E6F53" w:rsidRPr="00324F2C" w:rsidRDefault="00127DC9" w:rsidP="005E6F53">
      <w:pPr>
        <w:jc w:val="both"/>
        <w:rPr>
          <w:rFonts w:ascii="Arial" w:hAnsi="Arial" w:cs="Arial"/>
          <w:b/>
          <w:bCs/>
          <w:sz w:val="20"/>
          <w:szCs w:val="20"/>
        </w:rPr>
      </w:pPr>
      <w:r w:rsidRPr="00B811DD">
        <w:rPr>
          <w:rFonts w:ascii="Arial" w:hAnsi="Arial" w:cs="Arial"/>
          <w:b/>
          <w:bCs/>
          <w:sz w:val="20"/>
          <w:szCs w:val="20"/>
        </w:rPr>
        <w:t>4.0.</w:t>
      </w:r>
      <w:r w:rsidR="005E6F53" w:rsidRPr="006F5CA0">
        <w:rPr>
          <w:rFonts w:ascii="Arial" w:hAnsi="Arial" w:cs="Arial"/>
          <w:b/>
          <w:bCs/>
          <w:sz w:val="20"/>
          <w:szCs w:val="20"/>
        </w:rPr>
        <w:t xml:space="preserve"> Discussion of Findings</w:t>
      </w:r>
    </w:p>
    <w:p w14:paraId="7EDC5FC9"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The study finds that artificial intelligence is the most influential digital technology shaping contemporary audit practices, enhancing audit quality, efficiency, and decision-making. Data analytics is widely adopted and institutionalized, serving as a foundational component of digital auditing. Blockchain, while recognized for its potential to enhance transparency and trust, remains underutilized due to structural and institutional constraints.</w:t>
      </w:r>
    </w:p>
    <w:p w14:paraId="675392EF" w14:textId="77777777" w:rsidR="005E6F53" w:rsidRPr="00B811DD" w:rsidRDefault="005E6F53" w:rsidP="005E6F53">
      <w:pPr>
        <w:jc w:val="both"/>
        <w:rPr>
          <w:rFonts w:ascii="Arial" w:hAnsi="Arial" w:cs="Arial"/>
          <w:sz w:val="20"/>
          <w:szCs w:val="20"/>
        </w:rPr>
      </w:pPr>
      <w:r w:rsidRPr="00324F2C">
        <w:rPr>
          <w:rFonts w:ascii="Arial" w:hAnsi="Arial" w:cs="Arial"/>
          <w:sz w:val="20"/>
          <w:szCs w:val="20"/>
        </w:rPr>
        <w:lastRenderedPageBreak/>
        <w:t xml:space="preserve">These findings suggest that the transition to Audit 5.0 within </w:t>
      </w:r>
      <w:r>
        <w:rPr>
          <w:rFonts w:ascii="Arial" w:hAnsi="Arial" w:cs="Arial"/>
          <w:sz w:val="20"/>
          <w:szCs w:val="20"/>
        </w:rPr>
        <w:t>the United States</w:t>
      </w:r>
      <w:r w:rsidRPr="00324F2C">
        <w:rPr>
          <w:rFonts w:ascii="Arial" w:hAnsi="Arial" w:cs="Arial"/>
          <w:sz w:val="20"/>
          <w:szCs w:val="20"/>
        </w:rPr>
        <w:t xml:space="preserve"> Big Four firms is incremental rather than uniform. Audit 5.0 emerges as a hybrid model in which advanced technologies support, rather than replace, auditors’ professional judgment. The results emphasize the importance of targeted training, adaptive regulation, and strategic investment in digital capabilities </w:t>
      </w:r>
      <w:r w:rsidRPr="00B811DD">
        <w:rPr>
          <w:rFonts w:ascii="Arial" w:hAnsi="Arial" w:cs="Arial"/>
          <w:sz w:val="20"/>
          <w:szCs w:val="20"/>
        </w:rPr>
        <w:t>to realize the benefits of Audit 5.0 fully</w:t>
      </w:r>
      <w:r w:rsidRPr="00324F2C">
        <w:rPr>
          <w:rFonts w:ascii="Arial" w:hAnsi="Arial" w:cs="Arial"/>
          <w:sz w:val="20"/>
          <w:szCs w:val="20"/>
        </w:rPr>
        <w:t>.</w:t>
      </w:r>
    </w:p>
    <w:p w14:paraId="0C38D0D7"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The findings of this study confirm that artificial intelligence, big data analytics, and related digital technologies are exerting a profound influence on the accounting and auditing profession. Respondents overwhelmingly acknowledge that AI and BDA significantly reshape professional activities, enhance task execution, and redefine traditional audit roles. The empirical results support the central hypothesis and its sub-hypotheses, demonstrating that professional accountants increasingly perceive digital technologies as integral to contemporary audit practice.</w:t>
      </w:r>
    </w:p>
    <w:p w14:paraId="7AB07ECD"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A strong consensus emerged regarding the efficiency-enhancing potential of AI and BDA, particularly in automating routine audit tasks, improving analytical depth, and supporting real-time decision-making. These findings are consistent across both emerging and developing contexts, though variations are evident when demographic and organizational characteristics are considered. Age, professional experience, and firm size significantly influence readiness for adoption, with younger professionals and those in larger firms reporting higher levels of technological engagement.</w:t>
      </w:r>
    </w:p>
    <w:p w14:paraId="5FFD6F3D"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The study also reveals a differentiated perception of digital tools. While AI and data analytics are widely viewed as mature and operationally valuable technologies, blockchain is perceived as promising but less fully integrated into audit workflows. This suggests a gap between conceptual awareness and practical implementation, particularly in environments where regulatory clarity, infrastructure, and expertise remain limited.</w:t>
      </w:r>
    </w:p>
    <w:p w14:paraId="18A15F3D"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Importantly, respondents recognize the dual nature of digital transformation. While efficiency, audit quality, and strategic relevance improve, concerns persist regarding skill erosion, over-reliance on automation, reduced human judgment, and ethical risks. These findings illustrate that digital transformation is not universally beneficial unless supported by appropriate governance, training, and ethical safeguards.</w:t>
      </w:r>
    </w:p>
    <w:p w14:paraId="01CF661B"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The findings validate the central proposition that AI and BDA are redefining the accounting profession within the broader evolution toward Audit 5.0 and Industry 6.0. Consistent with prior research, respondents perceive digital technologies as enablers of higher audit quality, greater efficiency, and more informed professional judgment. These results reinforce the view that auditing is transitioning from a compliance-driven function toward a value-added, analytics-oriented profession.</w:t>
      </w:r>
    </w:p>
    <w:p w14:paraId="0C8CBD1A" w14:textId="5EEC8132" w:rsidR="005E6F53" w:rsidRPr="006F5CA0" w:rsidRDefault="005E6F53" w:rsidP="005E6F53">
      <w:pPr>
        <w:jc w:val="both"/>
        <w:rPr>
          <w:rFonts w:ascii="Arial" w:hAnsi="Arial" w:cs="Arial"/>
          <w:sz w:val="20"/>
          <w:szCs w:val="20"/>
        </w:rPr>
      </w:pPr>
      <w:r w:rsidRPr="006F5CA0">
        <w:rPr>
          <w:rFonts w:ascii="Arial" w:hAnsi="Arial" w:cs="Arial"/>
          <w:sz w:val="20"/>
          <w:szCs w:val="20"/>
        </w:rPr>
        <w:t xml:space="preserve">However, the study highlights that technological adoption is uneven and shaped by contextual factors. Demographic variables such as age, gender, and professional experience significantly influence attitudes toward digitalization, reflecting broader global patterns where technological readiness varies across professional cohorts. In emerging </w:t>
      </w:r>
      <w:proofErr w:type="gramStart"/>
      <w:r w:rsidRPr="006F5CA0">
        <w:rPr>
          <w:rFonts w:ascii="Arial" w:hAnsi="Arial" w:cs="Arial"/>
          <w:sz w:val="20"/>
          <w:szCs w:val="20"/>
        </w:rPr>
        <w:t>markets</w:t>
      </w:r>
      <w:proofErr w:type="gramEnd"/>
      <w:r w:rsidRPr="006F5CA0">
        <w:rPr>
          <w:rFonts w:ascii="Arial" w:hAnsi="Arial" w:cs="Arial"/>
          <w:sz w:val="20"/>
          <w:szCs w:val="20"/>
        </w:rPr>
        <w:t xml:space="preserve"> </w:t>
      </w:r>
      <w:r>
        <w:rPr>
          <w:rFonts w:ascii="Arial" w:hAnsi="Arial" w:cs="Arial"/>
          <w:sz w:val="20"/>
          <w:szCs w:val="20"/>
        </w:rPr>
        <w:t>the United States</w:t>
      </w:r>
      <w:r w:rsidRPr="006F5CA0">
        <w:rPr>
          <w:rFonts w:ascii="Arial" w:hAnsi="Arial" w:cs="Arial"/>
          <w:sz w:val="20"/>
          <w:szCs w:val="20"/>
        </w:rPr>
        <w:t>, these disparities are amplified by infrastructural constraints, resource limitations, and gaps in digital education.</w:t>
      </w:r>
    </w:p>
    <w:p w14:paraId="0E3F5722"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The perceived benefits of AI and BDA—process optimization, enhanced anomaly detection, predictive analytics, and improved decision-making—align with existing literature. Yet, the study also identifies persistent shortcomings in training and professional development. Many respondents acknowledge that current educational pathways and professional standards have not fully adapted to the pace of technological change, creating a mismatch between technological potential and human capability.</w:t>
      </w:r>
    </w:p>
    <w:p w14:paraId="2EFE5ECD"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 xml:space="preserve">The findings further underscore the dual-impact nature of digitalization. On one hand, AI and BDA expand professional responsibilities and elevate accountants into strategic advisory roles. On the other hand, respondents express concern about diminishing traditional skills, reduced client interaction, and excessive </w:t>
      </w:r>
      <w:r w:rsidRPr="006F5CA0">
        <w:rPr>
          <w:rFonts w:ascii="Arial" w:hAnsi="Arial" w:cs="Arial"/>
          <w:sz w:val="20"/>
          <w:szCs w:val="20"/>
        </w:rPr>
        <w:lastRenderedPageBreak/>
        <w:t>dependence on automated systems. These concerns are particularly salient in emerging economies, where limited access to advanced tools and structured training exacerbates the risks of digital exclusion.</w:t>
      </w:r>
    </w:p>
    <w:p w14:paraId="6F87B68C"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Ethical and compliance issues emerge as central themes in the discussion. Data privacy, cybersecurity, algorithmic bias, and accountability are widely recognized as pressing challenges. The call to adapt International Auditing Standards reflects a global consensus that existing regulatory frameworks must evolve to address the complexities introduced by AI-driven auditing. Without such evolution, the legitimacy and public trust underpinning the profession may be compromised.</w:t>
      </w:r>
    </w:p>
    <w:p w14:paraId="447319C6"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Finally, the study reveals a widening digital divide between large audit firms and smaller practices. Larger firms possess the financial and technological capacity to integrate advanced tools, while smaller firms struggle to keep pace. This divergence risks creating structural inequalities within the profession unless targeted interventions are implemented.</w:t>
      </w:r>
    </w:p>
    <w:p w14:paraId="0EB09B5F" w14:textId="77777777" w:rsidR="005E6F53" w:rsidRDefault="005E6F53" w:rsidP="005E6F53">
      <w:pPr>
        <w:jc w:val="both"/>
        <w:rPr>
          <w:rFonts w:ascii="Arial" w:hAnsi="Arial" w:cs="Arial"/>
          <w:b/>
          <w:bCs/>
          <w:sz w:val="20"/>
          <w:szCs w:val="20"/>
        </w:rPr>
      </w:pPr>
    </w:p>
    <w:p w14:paraId="28454835" w14:textId="77777777" w:rsidR="005E6F53" w:rsidRPr="006F5CA0" w:rsidRDefault="005E6F53" w:rsidP="005E6F53">
      <w:pPr>
        <w:jc w:val="both"/>
        <w:rPr>
          <w:rFonts w:ascii="Arial" w:hAnsi="Arial" w:cs="Arial"/>
          <w:b/>
          <w:bCs/>
          <w:sz w:val="20"/>
          <w:szCs w:val="20"/>
        </w:rPr>
      </w:pPr>
      <w:r w:rsidRPr="00B811DD">
        <w:rPr>
          <w:rFonts w:ascii="Arial" w:hAnsi="Arial" w:cs="Arial"/>
          <w:b/>
          <w:bCs/>
          <w:sz w:val="20"/>
          <w:szCs w:val="20"/>
        </w:rPr>
        <w:t>5.0</w:t>
      </w:r>
      <w:r w:rsidRPr="006F5CA0">
        <w:rPr>
          <w:rFonts w:ascii="Arial" w:hAnsi="Arial" w:cs="Arial"/>
          <w:b/>
          <w:bCs/>
          <w:sz w:val="20"/>
          <w:szCs w:val="20"/>
        </w:rPr>
        <w:t>. Implications of the Study</w:t>
      </w:r>
    </w:p>
    <w:p w14:paraId="04EFD1AE"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The findings carry significant implications for professional accountants, audit firms, regulators, educators, and policymakers. For practitioners, the results highlight the necessity of continuous professional development that extends beyond technical competence to include data literacy, analytical reasoning, cybersecurity awareness, and ethical judgment. The future relevance of the profession depends on its ability to combine technological proficiency with human-centric skills.</w:t>
      </w:r>
    </w:p>
    <w:p w14:paraId="7F4BAB11"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For audit firms, particularly in emerging markets, the study emphasizes the importance of strategic investment in digital infrastructure and workforce upskilling. Firms that fail to adapt risk declining audit quality, reduced competitiveness, and reputational damage. Smaller firms, in particular, require institutional support to avoid marginalization in an increasingly technology-driven profession.</w:t>
      </w:r>
    </w:p>
    <w:p w14:paraId="14EEA77C"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Regulators and professional bodies play a pivotal role in shaping the trajectory of digital transformation. The findings underscore the urgency of revising auditing standards, ethical guidelines, and assurance frameworks to reflect the realities of AI and BDA integration. Institutions such as CAFR, IFAC, and other global bodies must lead the development of adaptive, technology-aware governance mechanisms.</w:t>
      </w:r>
    </w:p>
    <w:p w14:paraId="229C00B6"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For academia, the study reinforces the need for curriculum reform. Traditional accounting education must evolve into interdisciplinary programs that integrate accounting, data analytics, information systems, ethics, and sustainability. Without such reforms, future professionals may enter the workforce inadequately prepared for the demands of Audit 5.0 and Industry 6.0</w:t>
      </w:r>
      <w:r>
        <w:rPr>
          <w:rFonts w:ascii="Arial" w:hAnsi="Arial" w:cs="Arial"/>
          <w:sz w:val="20"/>
          <w:szCs w:val="20"/>
        </w:rPr>
        <w:t>.</w:t>
      </w:r>
    </w:p>
    <w:p w14:paraId="55D41697" w14:textId="77777777" w:rsidR="005E6F53" w:rsidRDefault="005E6F53" w:rsidP="005E6F53">
      <w:pPr>
        <w:jc w:val="both"/>
        <w:rPr>
          <w:rFonts w:ascii="Arial" w:hAnsi="Arial" w:cs="Arial"/>
          <w:sz w:val="20"/>
          <w:szCs w:val="20"/>
        </w:rPr>
      </w:pPr>
    </w:p>
    <w:p w14:paraId="4BD3012F" w14:textId="77777777" w:rsidR="005E6F53" w:rsidRPr="006F5CA0" w:rsidRDefault="005E6F53" w:rsidP="005E6F53">
      <w:pPr>
        <w:jc w:val="both"/>
        <w:rPr>
          <w:rFonts w:ascii="Arial" w:hAnsi="Arial" w:cs="Arial"/>
          <w:sz w:val="20"/>
          <w:szCs w:val="20"/>
        </w:rPr>
      </w:pPr>
    </w:p>
    <w:p w14:paraId="78E13E9D" w14:textId="799C393B" w:rsidR="005E6F53" w:rsidRPr="006F5CA0" w:rsidRDefault="00BF1547" w:rsidP="005E6F53">
      <w:pPr>
        <w:jc w:val="both"/>
        <w:rPr>
          <w:rFonts w:ascii="Arial" w:hAnsi="Arial" w:cs="Arial"/>
          <w:b/>
          <w:bCs/>
          <w:sz w:val="20"/>
          <w:szCs w:val="20"/>
        </w:rPr>
      </w:pPr>
      <w:r>
        <w:rPr>
          <w:rFonts w:ascii="Arial" w:hAnsi="Arial" w:cs="Arial"/>
          <w:b/>
          <w:bCs/>
          <w:sz w:val="20"/>
          <w:szCs w:val="20"/>
        </w:rPr>
        <w:t>6</w:t>
      </w:r>
      <w:r w:rsidR="005E6F53" w:rsidRPr="00B811DD">
        <w:rPr>
          <w:rFonts w:ascii="Arial" w:hAnsi="Arial" w:cs="Arial"/>
          <w:b/>
          <w:bCs/>
          <w:sz w:val="20"/>
          <w:szCs w:val="20"/>
        </w:rPr>
        <w:t>.0</w:t>
      </w:r>
      <w:r w:rsidR="005E6F53" w:rsidRPr="006F5CA0">
        <w:rPr>
          <w:rFonts w:ascii="Arial" w:hAnsi="Arial" w:cs="Arial"/>
          <w:b/>
          <w:bCs/>
          <w:sz w:val="20"/>
          <w:szCs w:val="20"/>
        </w:rPr>
        <w:t xml:space="preserve"> Conclusion</w:t>
      </w:r>
    </w:p>
    <w:p w14:paraId="742C055E"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This study has examined the implications of artificial intelligence, big data analytics, and related digital technologies for the accounting and auditing profession within the evolving landscape of Audit 5.0</w:t>
      </w:r>
      <w:r>
        <w:rPr>
          <w:rFonts w:ascii="Arial" w:hAnsi="Arial" w:cs="Arial"/>
          <w:sz w:val="20"/>
          <w:szCs w:val="20"/>
        </w:rPr>
        <w:t>.</w:t>
      </w:r>
      <w:r w:rsidRPr="006F5CA0">
        <w:rPr>
          <w:rFonts w:ascii="Arial" w:hAnsi="Arial" w:cs="Arial"/>
          <w:sz w:val="20"/>
          <w:szCs w:val="20"/>
        </w:rPr>
        <w:t xml:space="preserve"> The findings confirm that these technologies are not merely enhancing audit processes but fundamentally reshaping professional roles, competencies, and institutional structures.</w:t>
      </w:r>
    </w:p>
    <w:p w14:paraId="11567D5B" w14:textId="401E6E92" w:rsidR="00180BF6" w:rsidRPr="006F5CA0" w:rsidRDefault="005E6F53" w:rsidP="005E6F53">
      <w:pPr>
        <w:jc w:val="both"/>
        <w:rPr>
          <w:rFonts w:ascii="Arial" w:hAnsi="Arial" w:cs="Arial"/>
          <w:sz w:val="20"/>
          <w:szCs w:val="20"/>
        </w:rPr>
      </w:pPr>
      <w:r w:rsidRPr="006F5CA0">
        <w:rPr>
          <w:rFonts w:ascii="Arial" w:hAnsi="Arial" w:cs="Arial"/>
          <w:sz w:val="20"/>
          <w:szCs w:val="20"/>
        </w:rPr>
        <w:t xml:space="preserve">AI and BDA offer substantial opportunities to elevate audit quality, efficiency, and strategic relevance, particularly through automation, advanced analytics, and improved decision-making. At the same time, they introduce significant challenges, including skill erosion, ethical risks, regulatory gaps, and growing </w:t>
      </w:r>
      <w:r w:rsidRPr="006F5CA0">
        <w:rPr>
          <w:rFonts w:ascii="Arial" w:hAnsi="Arial" w:cs="Arial"/>
          <w:sz w:val="20"/>
          <w:szCs w:val="20"/>
        </w:rPr>
        <w:lastRenderedPageBreak/>
        <w:t>disparities between large and small firms. The profession thus faces a critical balancing act between embracing innovation and preserving the human judgment, ethical responsibility, and public-interest orientation that define its legitimacy.</w:t>
      </w:r>
    </w:p>
    <w:p w14:paraId="68D84C10" w14:textId="77777777" w:rsidR="005E6F53" w:rsidRDefault="005E6F53" w:rsidP="005E6F53">
      <w:pPr>
        <w:jc w:val="both"/>
        <w:rPr>
          <w:rFonts w:ascii="Arial" w:hAnsi="Arial" w:cs="Arial"/>
          <w:sz w:val="20"/>
          <w:szCs w:val="20"/>
        </w:rPr>
      </w:pPr>
      <w:r w:rsidRPr="006F5CA0">
        <w:rPr>
          <w:rFonts w:ascii="Arial" w:hAnsi="Arial" w:cs="Arial"/>
          <w:sz w:val="20"/>
          <w:szCs w:val="20"/>
        </w:rPr>
        <w:t>The study contributes empirically and theoretically by demonstrating the dual impact of digital transformation in both developed and emerging contexts. It highlights the central role of professional bodies, regulators, and educators in guiding this transition responsibly. While technological advancement is inevitable, its outcomes are not predetermined; they depend on strategic choices, institutional support, and ethical governance.</w:t>
      </w:r>
    </w:p>
    <w:p w14:paraId="7C9FBAA5" w14:textId="5510B8ED" w:rsidR="00180BF6" w:rsidRPr="006F5CA0" w:rsidRDefault="00180BF6" w:rsidP="005E6F53">
      <w:pPr>
        <w:jc w:val="both"/>
        <w:rPr>
          <w:rFonts w:ascii="Arial" w:hAnsi="Arial" w:cs="Arial"/>
          <w:sz w:val="20"/>
          <w:szCs w:val="20"/>
        </w:rPr>
      </w:pPr>
      <w:r>
        <w:rPr>
          <w:rFonts w:ascii="Arial" w:hAnsi="Arial" w:cs="Arial"/>
          <w:sz w:val="20"/>
          <w:szCs w:val="20"/>
        </w:rPr>
        <w:t xml:space="preserve">Therefore, the change fosters more effective decisions because the auditors are able to derive their conclusions from more extensive evidence and a deeper understanding of the clients’ operation, thus increasing transparency and trust in the audit results. However, the same body of research also highlight that the successful realization of Audit 5.0 is certainly not automatic. There are still significant barriers including skill </w:t>
      </w:r>
      <w:r w:rsidR="00EA2B89">
        <w:rPr>
          <w:rFonts w:ascii="Arial" w:hAnsi="Arial" w:cs="Arial"/>
          <w:sz w:val="20"/>
          <w:szCs w:val="20"/>
        </w:rPr>
        <w:t>gaps and limited training, problem with data availability and integrity, cyber risks and data destruction, as well as the risk of information overload which may negatively impact judgement if auditors are unable to identify the relevant from the irrelevant outputs.</w:t>
      </w:r>
    </w:p>
    <w:p w14:paraId="4CEAF427"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As the accounting profession stands at the threshold of a new digital era, its future success will depend on its ability to integrate advanced technologies thoughtfully, inclusively, and sustainably. By aligning innovation with integrity, continuous learning, and public trust, the profession can not only survive but thrive in the Digital Age.</w:t>
      </w:r>
    </w:p>
    <w:p w14:paraId="6CA55D0C" w14:textId="77777777" w:rsidR="005E6F53" w:rsidRDefault="005E6F53" w:rsidP="005E6F53">
      <w:pPr>
        <w:jc w:val="both"/>
        <w:rPr>
          <w:rFonts w:ascii="Arial" w:hAnsi="Arial" w:cs="Arial"/>
          <w:sz w:val="20"/>
          <w:szCs w:val="20"/>
        </w:rPr>
      </w:pPr>
    </w:p>
    <w:p w14:paraId="4A3AA60A" w14:textId="16E7E633" w:rsidR="003A1720" w:rsidRPr="00167BAC" w:rsidRDefault="00167BAC" w:rsidP="005E6F53">
      <w:pPr>
        <w:jc w:val="both"/>
        <w:rPr>
          <w:rFonts w:ascii="Arial" w:hAnsi="Arial" w:cs="Arial"/>
          <w:b/>
          <w:sz w:val="20"/>
          <w:szCs w:val="20"/>
        </w:rPr>
      </w:pPr>
      <w:r w:rsidRPr="00167BAC">
        <w:rPr>
          <w:rFonts w:ascii="Arial" w:hAnsi="Arial" w:cs="Arial"/>
          <w:b/>
          <w:sz w:val="20"/>
          <w:szCs w:val="20"/>
        </w:rPr>
        <w:t>Consent:</w:t>
      </w:r>
    </w:p>
    <w:p w14:paraId="5976DF7C" w14:textId="10829BE4" w:rsidR="00167BAC" w:rsidRDefault="00167BAC" w:rsidP="005E6F53">
      <w:pPr>
        <w:jc w:val="both"/>
        <w:rPr>
          <w:rFonts w:ascii="Arial" w:hAnsi="Arial" w:cs="Arial"/>
          <w:sz w:val="20"/>
          <w:szCs w:val="20"/>
        </w:rPr>
      </w:pPr>
      <w:r w:rsidRPr="00167BAC">
        <w:rPr>
          <w:rFonts w:ascii="Arial" w:hAnsi="Arial" w:cs="Arial"/>
          <w:sz w:val="20"/>
          <w:szCs w:val="20"/>
        </w:rPr>
        <w:t>Informed consent was obtained from all respondents prior to participation, and anonymity was assured to encourage candid and unbiased responses.</w:t>
      </w:r>
    </w:p>
    <w:p w14:paraId="7E4B2874" w14:textId="77777777" w:rsidR="003A1720" w:rsidRDefault="003A1720" w:rsidP="005E6F53">
      <w:pPr>
        <w:jc w:val="both"/>
        <w:rPr>
          <w:rFonts w:ascii="Arial" w:hAnsi="Arial" w:cs="Arial"/>
          <w:sz w:val="20"/>
          <w:szCs w:val="20"/>
        </w:rPr>
      </w:pPr>
    </w:p>
    <w:p w14:paraId="6D48F24E" w14:textId="77777777" w:rsidR="00656495" w:rsidRPr="00CA3906" w:rsidRDefault="00656495" w:rsidP="00656495">
      <w:pPr>
        <w:rPr>
          <w:b/>
          <w:highlight w:val="yellow"/>
        </w:rPr>
      </w:pPr>
      <w:r w:rsidRPr="00CA3906">
        <w:rPr>
          <w:b/>
          <w:highlight w:val="yellow"/>
        </w:rPr>
        <w:t>Disclaimer (Artificial intelligence)</w:t>
      </w:r>
    </w:p>
    <w:p w14:paraId="228479DF" w14:textId="77777777" w:rsidR="00656495" w:rsidRPr="00740879" w:rsidRDefault="00656495" w:rsidP="00656495">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61A39A0" w14:textId="77777777" w:rsidR="003A1720" w:rsidRDefault="003A1720" w:rsidP="005E6F53">
      <w:pPr>
        <w:jc w:val="both"/>
        <w:rPr>
          <w:rFonts w:ascii="Arial" w:hAnsi="Arial" w:cs="Arial"/>
          <w:sz w:val="20"/>
          <w:szCs w:val="20"/>
        </w:rPr>
      </w:pPr>
    </w:p>
    <w:p w14:paraId="111C6907" w14:textId="77777777" w:rsidR="003A1720" w:rsidRDefault="003A1720" w:rsidP="005E6F53">
      <w:pPr>
        <w:jc w:val="both"/>
        <w:rPr>
          <w:rFonts w:ascii="Arial" w:hAnsi="Arial" w:cs="Arial"/>
          <w:sz w:val="20"/>
          <w:szCs w:val="20"/>
        </w:rPr>
      </w:pPr>
    </w:p>
    <w:p w14:paraId="3C25C28C" w14:textId="77777777" w:rsidR="003A1720" w:rsidRPr="00B811DD" w:rsidRDefault="003A1720" w:rsidP="005E6F53">
      <w:pPr>
        <w:jc w:val="both"/>
        <w:rPr>
          <w:rFonts w:ascii="Arial" w:hAnsi="Arial" w:cs="Arial"/>
          <w:sz w:val="20"/>
          <w:szCs w:val="20"/>
        </w:rPr>
      </w:pPr>
    </w:p>
    <w:p w14:paraId="1EEF903E"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References</w:t>
      </w:r>
    </w:p>
    <w:p w14:paraId="677D702A" w14:textId="77777777" w:rsidR="005E6F53" w:rsidRPr="009809CA" w:rsidRDefault="005E6F53" w:rsidP="009809CA">
      <w:pPr>
        <w:pStyle w:val="ListParagraph"/>
        <w:numPr>
          <w:ilvl w:val="0"/>
          <w:numId w:val="2"/>
        </w:numPr>
        <w:jc w:val="both"/>
        <w:rPr>
          <w:rFonts w:ascii="Arial" w:hAnsi="Arial" w:cs="Arial"/>
          <w:sz w:val="20"/>
          <w:szCs w:val="20"/>
        </w:rPr>
      </w:pPr>
      <w:proofErr w:type="spellStart"/>
      <w:r w:rsidRPr="009809CA">
        <w:rPr>
          <w:rFonts w:ascii="Arial" w:hAnsi="Arial" w:cs="Arial"/>
          <w:sz w:val="20"/>
          <w:szCs w:val="20"/>
        </w:rPr>
        <w:t>Alles</w:t>
      </w:r>
      <w:proofErr w:type="spellEnd"/>
      <w:r w:rsidRPr="009809CA">
        <w:rPr>
          <w:rFonts w:ascii="Arial" w:hAnsi="Arial" w:cs="Arial"/>
          <w:sz w:val="20"/>
          <w:szCs w:val="20"/>
        </w:rPr>
        <w:t xml:space="preserve">, M. (2015). Drivers of the use and facilitators and obstacles of the evolution of big data by the audit profession. </w:t>
      </w:r>
      <w:r w:rsidRPr="009809CA">
        <w:rPr>
          <w:rFonts w:ascii="Arial" w:hAnsi="Arial" w:cs="Arial"/>
          <w:i/>
          <w:iCs/>
          <w:sz w:val="20"/>
          <w:szCs w:val="20"/>
        </w:rPr>
        <w:t>Accounting Horizons, 29</w:t>
      </w:r>
      <w:r w:rsidRPr="009809CA">
        <w:rPr>
          <w:rFonts w:ascii="Arial" w:hAnsi="Arial" w:cs="Arial"/>
          <w:sz w:val="20"/>
          <w:szCs w:val="20"/>
        </w:rPr>
        <w:t xml:space="preserve">(2), 439–449. </w:t>
      </w:r>
      <w:hyperlink r:id="rId7" w:tgtFrame="_new" w:history="1">
        <w:r w:rsidRPr="009809CA">
          <w:rPr>
            <w:rStyle w:val="Hyperlink"/>
            <w:rFonts w:ascii="Arial" w:hAnsi="Arial" w:cs="Arial"/>
            <w:sz w:val="20"/>
            <w:szCs w:val="20"/>
          </w:rPr>
          <w:t>https://doi.org/10.2308/acch-51067</w:t>
        </w:r>
      </w:hyperlink>
    </w:p>
    <w:p w14:paraId="5244ECB3" w14:textId="411C62D3" w:rsidR="005E6F53" w:rsidRPr="009809CA" w:rsidRDefault="005E6F53" w:rsidP="009809CA">
      <w:pPr>
        <w:pStyle w:val="ListParagraph"/>
        <w:numPr>
          <w:ilvl w:val="0"/>
          <w:numId w:val="2"/>
        </w:numPr>
        <w:jc w:val="both"/>
        <w:rPr>
          <w:rFonts w:ascii="Arial" w:hAnsi="Arial" w:cs="Arial"/>
          <w:sz w:val="20"/>
          <w:szCs w:val="20"/>
        </w:rPr>
      </w:pPr>
      <w:proofErr w:type="spellStart"/>
      <w:r w:rsidRPr="009809CA">
        <w:rPr>
          <w:rFonts w:ascii="Arial" w:hAnsi="Arial" w:cs="Arial"/>
          <w:sz w:val="20"/>
          <w:szCs w:val="20"/>
        </w:rPr>
        <w:t>Alles</w:t>
      </w:r>
      <w:proofErr w:type="spellEnd"/>
      <w:r w:rsidRPr="009809CA">
        <w:rPr>
          <w:rFonts w:ascii="Arial" w:hAnsi="Arial" w:cs="Arial"/>
          <w:sz w:val="20"/>
          <w:szCs w:val="20"/>
        </w:rPr>
        <w:t>, M., &amp; Gray, G. L. (201</w:t>
      </w:r>
      <w:r w:rsidR="00D47CB3" w:rsidRPr="009809CA">
        <w:rPr>
          <w:rFonts w:ascii="Arial" w:hAnsi="Arial" w:cs="Arial"/>
          <w:sz w:val="20"/>
          <w:szCs w:val="20"/>
        </w:rPr>
        <w:t>6</w:t>
      </w:r>
      <w:r w:rsidRPr="009809CA">
        <w:rPr>
          <w:rFonts w:ascii="Arial" w:hAnsi="Arial" w:cs="Arial"/>
          <w:sz w:val="20"/>
          <w:szCs w:val="20"/>
        </w:rPr>
        <w:t xml:space="preserve">). Incorporating big data in audits: Identifying inhibitors and a research agenda to address those inhibitors. </w:t>
      </w:r>
      <w:r w:rsidRPr="009809CA">
        <w:rPr>
          <w:rFonts w:ascii="Arial" w:hAnsi="Arial" w:cs="Arial"/>
          <w:i/>
          <w:iCs/>
          <w:sz w:val="20"/>
          <w:szCs w:val="20"/>
        </w:rPr>
        <w:t>International Journal of Accounting Information Systems, 15</w:t>
      </w:r>
      <w:r w:rsidRPr="009809CA">
        <w:rPr>
          <w:rFonts w:ascii="Arial" w:hAnsi="Arial" w:cs="Arial"/>
          <w:sz w:val="20"/>
          <w:szCs w:val="20"/>
        </w:rPr>
        <w:t>(4), 292–303. https://doi.org/10.1016/j.accinf.2014.07.004</w:t>
      </w:r>
    </w:p>
    <w:p w14:paraId="39396904" w14:textId="77777777" w:rsidR="005E6F53" w:rsidRPr="009809CA" w:rsidRDefault="005E6F53" w:rsidP="009809CA">
      <w:pPr>
        <w:pStyle w:val="ListParagraph"/>
        <w:numPr>
          <w:ilvl w:val="0"/>
          <w:numId w:val="2"/>
        </w:numPr>
        <w:jc w:val="both"/>
        <w:rPr>
          <w:rFonts w:ascii="Arial" w:hAnsi="Arial" w:cs="Arial"/>
          <w:sz w:val="20"/>
          <w:szCs w:val="20"/>
        </w:rPr>
      </w:pPr>
      <w:r w:rsidRPr="009809CA">
        <w:rPr>
          <w:rFonts w:ascii="Arial" w:hAnsi="Arial" w:cs="Arial"/>
          <w:sz w:val="20"/>
          <w:szCs w:val="20"/>
        </w:rPr>
        <w:lastRenderedPageBreak/>
        <w:t xml:space="preserve">Appelbaum, D., Kogan, A., </w:t>
      </w:r>
      <w:proofErr w:type="spellStart"/>
      <w:r w:rsidRPr="009809CA">
        <w:rPr>
          <w:rFonts w:ascii="Arial" w:hAnsi="Arial" w:cs="Arial"/>
          <w:sz w:val="20"/>
          <w:szCs w:val="20"/>
        </w:rPr>
        <w:t>Vasarhelyi</w:t>
      </w:r>
      <w:proofErr w:type="spellEnd"/>
      <w:r w:rsidRPr="009809CA">
        <w:rPr>
          <w:rFonts w:ascii="Arial" w:hAnsi="Arial" w:cs="Arial"/>
          <w:sz w:val="20"/>
          <w:szCs w:val="20"/>
        </w:rPr>
        <w:t xml:space="preserve">, M. A., &amp; Yan, Z. (2020). Impact of business analytics and enterprise systems on managerial accounting. </w:t>
      </w:r>
      <w:r w:rsidRPr="009809CA">
        <w:rPr>
          <w:rFonts w:ascii="Arial" w:hAnsi="Arial" w:cs="Arial"/>
          <w:i/>
          <w:iCs/>
          <w:sz w:val="20"/>
          <w:szCs w:val="20"/>
        </w:rPr>
        <w:t>International Journal of Accounting Information Systems, 36</w:t>
      </w:r>
      <w:r w:rsidRPr="009809CA">
        <w:rPr>
          <w:rFonts w:ascii="Arial" w:hAnsi="Arial" w:cs="Arial"/>
          <w:sz w:val="20"/>
          <w:szCs w:val="20"/>
        </w:rPr>
        <w:t>, 100438. https://doi.org/10.1016/j.accinf.2019.100438</w:t>
      </w:r>
    </w:p>
    <w:p w14:paraId="5965ECAD" w14:textId="77777777" w:rsidR="005E6F53" w:rsidRPr="009809CA" w:rsidRDefault="005E6F53" w:rsidP="009809CA">
      <w:pPr>
        <w:pStyle w:val="ListParagraph"/>
        <w:numPr>
          <w:ilvl w:val="0"/>
          <w:numId w:val="2"/>
        </w:numPr>
        <w:jc w:val="both"/>
        <w:rPr>
          <w:rFonts w:ascii="Arial" w:hAnsi="Arial" w:cs="Arial"/>
          <w:sz w:val="20"/>
          <w:szCs w:val="20"/>
        </w:rPr>
      </w:pPr>
      <w:r w:rsidRPr="009809CA">
        <w:rPr>
          <w:rFonts w:ascii="Arial" w:hAnsi="Arial" w:cs="Arial"/>
          <w:sz w:val="20"/>
          <w:szCs w:val="20"/>
        </w:rPr>
        <w:t xml:space="preserve">Baldwin, R., </w:t>
      </w:r>
      <w:proofErr w:type="spellStart"/>
      <w:r w:rsidRPr="009809CA">
        <w:rPr>
          <w:rFonts w:ascii="Arial" w:hAnsi="Arial" w:cs="Arial"/>
          <w:sz w:val="20"/>
          <w:szCs w:val="20"/>
        </w:rPr>
        <w:t>Weder</w:t>
      </w:r>
      <w:proofErr w:type="spellEnd"/>
      <w:r w:rsidRPr="009809CA">
        <w:rPr>
          <w:rFonts w:ascii="Arial" w:hAnsi="Arial" w:cs="Arial"/>
          <w:sz w:val="20"/>
          <w:szCs w:val="20"/>
        </w:rPr>
        <w:t xml:space="preserve"> di Mauro, B., &amp; others. (2020). </w:t>
      </w:r>
      <w:r w:rsidRPr="009809CA">
        <w:rPr>
          <w:rFonts w:ascii="Arial" w:hAnsi="Arial" w:cs="Arial"/>
          <w:i/>
          <w:iCs/>
          <w:sz w:val="20"/>
          <w:szCs w:val="20"/>
        </w:rPr>
        <w:t>Economics in the time of COVID-19</w:t>
      </w:r>
      <w:r w:rsidRPr="009809CA">
        <w:rPr>
          <w:rFonts w:ascii="Arial" w:hAnsi="Arial" w:cs="Arial"/>
          <w:sz w:val="20"/>
          <w:szCs w:val="20"/>
        </w:rPr>
        <w:t>. CEPR Press.</w:t>
      </w:r>
    </w:p>
    <w:p w14:paraId="36359858" w14:textId="77777777" w:rsidR="005E6F53" w:rsidRPr="009809CA" w:rsidRDefault="005E6F53" w:rsidP="009809CA">
      <w:pPr>
        <w:pStyle w:val="ListParagraph"/>
        <w:numPr>
          <w:ilvl w:val="0"/>
          <w:numId w:val="2"/>
        </w:numPr>
        <w:jc w:val="both"/>
        <w:rPr>
          <w:rFonts w:ascii="Arial" w:hAnsi="Arial" w:cs="Arial"/>
          <w:sz w:val="20"/>
          <w:szCs w:val="20"/>
        </w:rPr>
      </w:pPr>
      <w:r w:rsidRPr="009809CA">
        <w:rPr>
          <w:rFonts w:ascii="Arial" w:hAnsi="Arial" w:cs="Arial"/>
          <w:sz w:val="20"/>
          <w:szCs w:val="20"/>
        </w:rPr>
        <w:t xml:space="preserve">Braun, R. L., &amp; Davis, H. E. (2003). Computer-assisted audit tools and techniques: Analysis and perspectives. </w:t>
      </w:r>
      <w:r w:rsidRPr="009809CA">
        <w:rPr>
          <w:rFonts w:ascii="Arial" w:hAnsi="Arial" w:cs="Arial"/>
          <w:i/>
          <w:iCs/>
          <w:sz w:val="20"/>
          <w:szCs w:val="20"/>
        </w:rPr>
        <w:t>Managerial Auditing Journal, 18</w:t>
      </w:r>
      <w:r w:rsidRPr="009809CA">
        <w:rPr>
          <w:rFonts w:ascii="Arial" w:hAnsi="Arial" w:cs="Arial"/>
          <w:sz w:val="20"/>
          <w:szCs w:val="20"/>
        </w:rPr>
        <w:t>(9), 725–731. https://doi.org/10.1108/02686900310500488</w:t>
      </w:r>
    </w:p>
    <w:p w14:paraId="4122263C" w14:textId="424C1A81" w:rsidR="005E6F53" w:rsidRPr="009809CA" w:rsidRDefault="005E6F53" w:rsidP="009809CA">
      <w:pPr>
        <w:pStyle w:val="ListParagraph"/>
        <w:numPr>
          <w:ilvl w:val="0"/>
          <w:numId w:val="2"/>
        </w:numPr>
        <w:jc w:val="both"/>
        <w:rPr>
          <w:rFonts w:ascii="Arial" w:hAnsi="Arial" w:cs="Arial"/>
          <w:sz w:val="20"/>
          <w:szCs w:val="20"/>
        </w:rPr>
      </w:pPr>
      <w:r w:rsidRPr="009809CA">
        <w:rPr>
          <w:rFonts w:ascii="Arial" w:hAnsi="Arial" w:cs="Arial"/>
          <w:sz w:val="20"/>
          <w:szCs w:val="20"/>
        </w:rPr>
        <w:t>Brown-Liburd, H., Issa, H., &amp; Lombardi, D. (2015). Behavioral implications of big data’s impact on audit judgment and decision making</w:t>
      </w:r>
      <w:r w:rsidR="00D47CB3" w:rsidRPr="009809CA">
        <w:rPr>
          <w:rFonts w:ascii="Arial" w:hAnsi="Arial" w:cs="Arial"/>
          <w:sz w:val="20"/>
          <w:szCs w:val="20"/>
        </w:rPr>
        <w:t xml:space="preserve"> and future research decision</w:t>
      </w:r>
      <w:r w:rsidRPr="009809CA">
        <w:rPr>
          <w:rFonts w:ascii="Arial" w:hAnsi="Arial" w:cs="Arial"/>
          <w:sz w:val="20"/>
          <w:szCs w:val="20"/>
        </w:rPr>
        <w:t xml:space="preserve">. </w:t>
      </w:r>
      <w:r w:rsidRPr="009809CA">
        <w:rPr>
          <w:rFonts w:ascii="Arial" w:hAnsi="Arial" w:cs="Arial"/>
          <w:i/>
          <w:iCs/>
          <w:sz w:val="20"/>
          <w:szCs w:val="20"/>
        </w:rPr>
        <w:t>Accounting Horizons, 29</w:t>
      </w:r>
      <w:r w:rsidRPr="009809CA">
        <w:rPr>
          <w:rFonts w:ascii="Arial" w:hAnsi="Arial" w:cs="Arial"/>
          <w:sz w:val="20"/>
          <w:szCs w:val="20"/>
        </w:rPr>
        <w:t>(2), 451–468. https://doi.org/10.2308/acch-51023</w:t>
      </w:r>
    </w:p>
    <w:p w14:paraId="5621A376" w14:textId="7F7E52A4" w:rsidR="005E6F53" w:rsidRPr="009809CA" w:rsidRDefault="005E6F53" w:rsidP="009809CA">
      <w:pPr>
        <w:pStyle w:val="ListParagraph"/>
        <w:numPr>
          <w:ilvl w:val="0"/>
          <w:numId w:val="2"/>
        </w:numPr>
        <w:jc w:val="both"/>
        <w:rPr>
          <w:rFonts w:ascii="Arial" w:hAnsi="Arial" w:cs="Arial"/>
          <w:sz w:val="20"/>
          <w:szCs w:val="20"/>
        </w:rPr>
      </w:pPr>
      <w:r w:rsidRPr="009809CA">
        <w:rPr>
          <w:rFonts w:ascii="Arial" w:hAnsi="Arial" w:cs="Arial"/>
          <w:sz w:val="20"/>
          <w:szCs w:val="20"/>
        </w:rPr>
        <w:t xml:space="preserve">Cao, M., </w:t>
      </w:r>
      <w:proofErr w:type="spellStart"/>
      <w:r w:rsidRPr="009809CA">
        <w:rPr>
          <w:rFonts w:ascii="Arial" w:hAnsi="Arial" w:cs="Arial"/>
          <w:sz w:val="20"/>
          <w:szCs w:val="20"/>
        </w:rPr>
        <w:t>Chychyla</w:t>
      </w:r>
      <w:proofErr w:type="spellEnd"/>
      <w:r w:rsidRPr="009809CA">
        <w:rPr>
          <w:rFonts w:ascii="Arial" w:hAnsi="Arial" w:cs="Arial"/>
          <w:sz w:val="20"/>
          <w:szCs w:val="20"/>
        </w:rPr>
        <w:t>, R., &amp; Stewart, T. (20</w:t>
      </w:r>
      <w:r w:rsidR="00D47CB3" w:rsidRPr="009809CA">
        <w:rPr>
          <w:rFonts w:ascii="Arial" w:hAnsi="Arial" w:cs="Arial"/>
          <w:sz w:val="20"/>
          <w:szCs w:val="20"/>
        </w:rPr>
        <w:t>15</w:t>
      </w:r>
      <w:r w:rsidRPr="009809CA">
        <w:rPr>
          <w:rFonts w:ascii="Arial" w:hAnsi="Arial" w:cs="Arial"/>
          <w:sz w:val="20"/>
          <w:szCs w:val="20"/>
        </w:rPr>
        <w:t xml:space="preserve">). Big data analytics in financial statement audits. </w:t>
      </w:r>
      <w:r w:rsidRPr="009809CA">
        <w:rPr>
          <w:rFonts w:ascii="Arial" w:hAnsi="Arial" w:cs="Arial"/>
          <w:i/>
          <w:iCs/>
          <w:sz w:val="20"/>
          <w:szCs w:val="20"/>
        </w:rPr>
        <w:t>Accounting Horizons, 35</w:t>
      </w:r>
      <w:r w:rsidRPr="009809CA">
        <w:rPr>
          <w:rFonts w:ascii="Arial" w:hAnsi="Arial" w:cs="Arial"/>
          <w:sz w:val="20"/>
          <w:szCs w:val="20"/>
        </w:rPr>
        <w:t xml:space="preserve">(3), 67–88. </w:t>
      </w:r>
      <w:hyperlink r:id="rId8" w:tgtFrame="_blank" w:history="1">
        <w:r w:rsidR="00D47CB3" w:rsidRPr="009809CA">
          <w:rPr>
            <w:rStyle w:val="Hyperlink"/>
            <w:rFonts w:ascii="Arial" w:hAnsi="Arial" w:cs="Arial"/>
            <w:color w:val="000000" w:themeColor="text1"/>
            <w:sz w:val="20"/>
            <w:szCs w:val="20"/>
            <w:u w:val="none"/>
          </w:rPr>
          <w:t>https://doi.org/10.2308/acch-51068</w:t>
        </w:r>
      </w:hyperlink>
    </w:p>
    <w:p w14:paraId="6388D3A3" w14:textId="77777777" w:rsidR="005E6F53" w:rsidRPr="009809CA" w:rsidRDefault="005E6F53" w:rsidP="009809CA">
      <w:pPr>
        <w:pStyle w:val="ListParagraph"/>
        <w:numPr>
          <w:ilvl w:val="0"/>
          <w:numId w:val="2"/>
        </w:numPr>
        <w:jc w:val="both"/>
        <w:rPr>
          <w:rFonts w:ascii="Arial" w:hAnsi="Arial" w:cs="Arial"/>
          <w:sz w:val="20"/>
          <w:szCs w:val="20"/>
        </w:rPr>
      </w:pPr>
      <w:r w:rsidRPr="009809CA">
        <w:rPr>
          <w:rFonts w:ascii="Arial" w:hAnsi="Arial" w:cs="Arial"/>
          <w:sz w:val="20"/>
          <w:szCs w:val="20"/>
        </w:rPr>
        <w:t xml:space="preserve">Davenport, T. H. (2014). </w:t>
      </w:r>
      <w:r w:rsidRPr="009809CA">
        <w:rPr>
          <w:rFonts w:ascii="Arial" w:hAnsi="Arial" w:cs="Arial"/>
          <w:i/>
          <w:iCs/>
          <w:sz w:val="20"/>
          <w:szCs w:val="20"/>
        </w:rPr>
        <w:t>Big data at work: Dispelling the myths, uncovering the opportunities</w:t>
      </w:r>
      <w:r w:rsidRPr="009809CA">
        <w:rPr>
          <w:rFonts w:ascii="Arial" w:hAnsi="Arial" w:cs="Arial"/>
          <w:sz w:val="20"/>
          <w:szCs w:val="20"/>
        </w:rPr>
        <w:t>. Harvard Business Review Press.</w:t>
      </w:r>
    </w:p>
    <w:p w14:paraId="132BF207" w14:textId="259A65CB" w:rsidR="005E6F53" w:rsidRPr="009809CA" w:rsidRDefault="005E6F53" w:rsidP="009809CA">
      <w:pPr>
        <w:pStyle w:val="ListParagraph"/>
        <w:numPr>
          <w:ilvl w:val="0"/>
          <w:numId w:val="2"/>
        </w:numPr>
        <w:jc w:val="both"/>
        <w:rPr>
          <w:rFonts w:ascii="Arial" w:hAnsi="Arial" w:cs="Arial"/>
          <w:sz w:val="20"/>
          <w:szCs w:val="20"/>
        </w:rPr>
      </w:pPr>
      <w:proofErr w:type="spellStart"/>
      <w:r w:rsidRPr="009809CA">
        <w:rPr>
          <w:rFonts w:ascii="Arial" w:hAnsi="Arial" w:cs="Arial"/>
          <w:sz w:val="20"/>
          <w:szCs w:val="20"/>
        </w:rPr>
        <w:t>Fedyk</w:t>
      </w:r>
      <w:proofErr w:type="spellEnd"/>
      <w:r w:rsidRPr="009809CA">
        <w:rPr>
          <w:rFonts w:ascii="Arial" w:hAnsi="Arial" w:cs="Arial"/>
          <w:sz w:val="20"/>
          <w:szCs w:val="20"/>
        </w:rPr>
        <w:t xml:space="preserve">, A., Hodson, J., </w:t>
      </w:r>
      <w:proofErr w:type="spellStart"/>
      <w:r w:rsidRPr="009809CA">
        <w:rPr>
          <w:rFonts w:ascii="Arial" w:hAnsi="Arial" w:cs="Arial"/>
          <w:sz w:val="20"/>
          <w:szCs w:val="20"/>
        </w:rPr>
        <w:t>Khimich</w:t>
      </w:r>
      <w:proofErr w:type="spellEnd"/>
      <w:r w:rsidRPr="009809CA">
        <w:rPr>
          <w:rFonts w:ascii="Arial" w:hAnsi="Arial" w:cs="Arial"/>
          <w:sz w:val="20"/>
          <w:szCs w:val="20"/>
        </w:rPr>
        <w:t xml:space="preserve">, N., &amp; </w:t>
      </w:r>
      <w:proofErr w:type="spellStart"/>
      <w:r w:rsidRPr="009809CA">
        <w:rPr>
          <w:rFonts w:ascii="Arial" w:hAnsi="Arial" w:cs="Arial"/>
          <w:sz w:val="20"/>
          <w:szCs w:val="20"/>
        </w:rPr>
        <w:t>Fedyk</w:t>
      </w:r>
      <w:proofErr w:type="spellEnd"/>
      <w:r w:rsidRPr="009809CA">
        <w:rPr>
          <w:rFonts w:ascii="Arial" w:hAnsi="Arial" w:cs="Arial"/>
          <w:sz w:val="20"/>
          <w:szCs w:val="20"/>
        </w:rPr>
        <w:t xml:space="preserve">, T. (2022). Is artificial intelligence improving the audit process? </w:t>
      </w:r>
      <w:r w:rsidR="007E5303" w:rsidRPr="009809CA">
        <w:rPr>
          <w:rFonts w:ascii="Arial" w:hAnsi="Arial" w:cs="Arial"/>
          <w:sz w:val="20"/>
          <w:szCs w:val="20"/>
        </w:rPr>
        <w:t>Review of Accounting Studies</w:t>
      </w:r>
      <w:r w:rsidRPr="009809CA">
        <w:rPr>
          <w:rFonts w:ascii="Arial" w:hAnsi="Arial" w:cs="Arial"/>
          <w:i/>
          <w:iCs/>
          <w:sz w:val="20"/>
          <w:szCs w:val="20"/>
        </w:rPr>
        <w:t xml:space="preserve">, </w:t>
      </w:r>
      <w:r w:rsidR="007E5303" w:rsidRPr="009809CA">
        <w:rPr>
          <w:rFonts w:ascii="Arial" w:hAnsi="Arial" w:cs="Arial"/>
          <w:i/>
          <w:iCs/>
          <w:sz w:val="20"/>
          <w:szCs w:val="20"/>
        </w:rPr>
        <w:t>5</w:t>
      </w:r>
      <w:r w:rsidRPr="009809CA">
        <w:rPr>
          <w:rFonts w:ascii="Arial" w:hAnsi="Arial" w:cs="Arial"/>
          <w:i/>
          <w:iCs/>
          <w:sz w:val="20"/>
          <w:szCs w:val="20"/>
        </w:rPr>
        <w:t>7</w:t>
      </w:r>
      <w:r w:rsidRPr="009809CA">
        <w:rPr>
          <w:rFonts w:ascii="Arial" w:hAnsi="Arial" w:cs="Arial"/>
          <w:sz w:val="20"/>
          <w:szCs w:val="20"/>
        </w:rPr>
        <w:t xml:space="preserve">(4), 157–185. </w:t>
      </w:r>
      <w:r w:rsidR="00820528" w:rsidRPr="009809CA">
        <w:rPr>
          <w:rFonts w:ascii="Arial" w:hAnsi="Arial" w:cs="Arial"/>
          <w:sz w:val="20"/>
          <w:szCs w:val="20"/>
        </w:rPr>
        <w:t>https://doi.org/10.1007/s11142-022-09697-x</w:t>
      </w:r>
    </w:p>
    <w:p w14:paraId="17F0B9E8" w14:textId="77777777" w:rsidR="005E6F53" w:rsidRPr="009809CA" w:rsidRDefault="005E6F53" w:rsidP="009809CA">
      <w:pPr>
        <w:pStyle w:val="ListParagraph"/>
        <w:numPr>
          <w:ilvl w:val="0"/>
          <w:numId w:val="2"/>
        </w:numPr>
        <w:jc w:val="both"/>
        <w:rPr>
          <w:rFonts w:ascii="Arial" w:hAnsi="Arial" w:cs="Arial"/>
          <w:sz w:val="20"/>
          <w:szCs w:val="20"/>
        </w:rPr>
      </w:pPr>
      <w:r w:rsidRPr="009809CA">
        <w:rPr>
          <w:rFonts w:ascii="Arial" w:hAnsi="Arial" w:cs="Arial"/>
          <w:sz w:val="20"/>
          <w:szCs w:val="20"/>
        </w:rPr>
        <w:t xml:space="preserve">Frey, C. B., &amp; Osborne, M. A. (2013). The future of employment: How susceptible are jobs to </w:t>
      </w:r>
      <w:proofErr w:type="spellStart"/>
      <w:r w:rsidRPr="009809CA">
        <w:rPr>
          <w:rFonts w:ascii="Arial" w:hAnsi="Arial" w:cs="Arial"/>
          <w:sz w:val="20"/>
          <w:szCs w:val="20"/>
        </w:rPr>
        <w:t>computerisation</w:t>
      </w:r>
      <w:proofErr w:type="spellEnd"/>
      <w:r w:rsidRPr="009809CA">
        <w:rPr>
          <w:rFonts w:ascii="Arial" w:hAnsi="Arial" w:cs="Arial"/>
          <w:sz w:val="20"/>
          <w:szCs w:val="20"/>
        </w:rPr>
        <w:t xml:space="preserve">? </w:t>
      </w:r>
      <w:r w:rsidRPr="009809CA">
        <w:rPr>
          <w:rFonts w:ascii="Arial" w:hAnsi="Arial" w:cs="Arial"/>
          <w:i/>
          <w:iCs/>
          <w:sz w:val="20"/>
          <w:szCs w:val="20"/>
        </w:rPr>
        <w:t>Oxford Martin School Working Paper</w:t>
      </w:r>
      <w:r w:rsidRPr="009809CA">
        <w:rPr>
          <w:rFonts w:ascii="Arial" w:hAnsi="Arial" w:cs="Arial"/>
          <w:sz w:val="20"/>
          <w:szCs w:val="20"/>
        </w:rPr>
        <w:t>.</w:t>
      </w:r>
    </w:p>
    <w:p w14:paraId="145A6CA0" w14:textId="3859432E" w:rsidR="005E6F53" w:rsidRPr="009809CA" w:rsidRDefault="005E6F53" w:rsidP="009809CA">
      <w:pPr>
        <w:pStyle w:val="ListParagraph"/>
        <w:numPr>
          <w:ilvl w:val="0"/>
          <w:numId w:val="2"/>
        </w:numPr>
        <w:jc w:val="both"/>
        <w:rPr>
          <w:rFonts w:ascii="Arial" w:hAnsi="Arial" w:cs="Arial"/>
          <w:sz w:val="20"/>
          <w:szCs w:val="20"/>
        </w:rPr>
      </w:pPr>
      <w:proofErr w:type="spellStart"/>
      <w:r w:rsidRPr="009809CA">
        <w:rPr>
          <w:rFonts w:ascii="Arial" w:hAnsi="Arial" w:cs="Arial"/>
          <w:sz w:val="20"/>
          <w:szCs w:val="20"/>
        </w:rPr>
        <w:t>Gepp</w:t>
      </w:r>
      <w:proofErr w:type="spellEnd"/>
      <w:r w:rsidRPr="009809CA">
        <w:rPr>
          <w:rFonts w:ascii="Arial" w:hAnsi="Arial" w:cs="Arial"/>
          <w:sz w:val="20"/>
          <w:szCs w:val="20"/>
        </w:rPr>
        <w:t xml:space="preserve">, A., </w:t>
      </w:r>
      <w:proofErr w:type="spellStart"/>
      <w:r w:rsidRPr="009809CA">
        <w:rPr>
          <w:rFonts w:ascii="Arial" w:hAnsi="Arial" w:cs="Arial"/>
          <w:sz w:val="20"/>
          <w:szCs w:val="20"/>
        </w:rPr>
        <w:t>Linnenluecke</w:t>
      </w:r>
      <w:proofErr w:type="spellEnd"/>
      <w:r w:rsidRPr="009809CA">
        <w:rPr>
          <w:rFonts w:ascii="Arial" w:hAnsi="Arial" w:cs="Arial"/>
          <w:sz w:val="20"/>
          <w:szCs w:val="20"/>
        </w:rPr>
        <w:t xml:space="preserve">, M. K., O’Neill, T. J., &amp; Smith, T. (2018). Big data techniques in auditing research and practice: Current trends and future opportunities. </w:t>
      </w:r>
      <w:r w:rsidRPr="009809CA">
        <w:rPr>
          <w:rFonts w:ascii="Arial" w:hAnsi="Arial" w:cs="Arial"/>
          <w:i/>
          <w:iCs/>
          <w:sz w:val="20"/>
          <w:szCs w:val="20"/>
        </w:rPr>
        <w:t>Journal of Accounting Literature, 40</w:t>
      </w:r>
      <w:r w:rsidRPr="009809CA">
        <w:rPr>
          <w:rFonts w:ascii="Arial" w:hAnsi="Arial" w:cs="Arial"/>
          <w:sz w:val="20"/>
          <w:szCs w:val="20"/>
        </w:rPr>
        <w:t xml:space="preserve">, 102–115. </w:t>
      </w:r>
      <w:hyperlink r:id="rId9" w:tgtFrame="_blank" w:history="1">
        <w:r w:rsidR="007E5303" w:rsidRPr="009809CA">
          <w:rPr>
            <w:rStyle w:val="Hyperlink"/>
            <w:rFonts w:ascii="Arial" w:hAnsi="Arial" w:cs="Arial"/>
            <w:color w:val="000000" w:themeColor="text1"/>
            <w:sz w:val="20"/>
            <w:szCs w:val="20"/>
            <w:u w:val="none"/>
          </w:rPr>
          <w:t>https://doi.org/10.1016/j.acclit.2017.05.003</w:t>
        </w:r>
      </w:hyperlink>
    </w:p>
    <w:p w14:paraId="0D1A6FE1" w14:textId="1094AD0D" w:rsidR="005E6F53" w:rsidRPr="009809CA" w:rsidRDefault="005E6F53" w:rsidP="009809CA">
      <w:pPr>
        <w:pStyle w:val="ListParagraph"/>
        <w:numPr>
          <w:ilvl w:val="0"/>
          <w:numId w:val="2"/>
        </w:numPr>
        <w:jc w:val="both"/>
        <w:rPr>
          <w:rFonts w:ascii="Arial" w:hAnsi="Arial" w:cs="Arial"/>
          <w:sz w:val="20"/>
          <w:szCs w:val="20"/>
        </w:rPr>
      </w:pPr>
      <w:r w:rsidRPr="009809CA">
        <w:rPr>
          <w:rFonts w:ascii="Arial" w:hAnsi="Arial" w:cs="Arial"/>
          <w:sz w:val="20"/>
          <w:szCs w:val="20"/>
        </w:rPr>
        <w:t xml:space="preserve">Hayes, A. F., Montoya, A. K., &amp; Rockwood, N. J. (2014). </w:t>
      </w:r>
      <w:r w:rsidR="007E5303" w:rsidRPr="009809CA">
        <w:rPr>
          <w:rFonts w:ascii="Arial" w:hAnsi="Arial" w:cs="Arial"/>
          <w:sz w:val="20"/>
          <w:szCs w:val="20"/>
        </w:rPr>
        <w:t>The Analysis of Mechanisms and Their Contingencies: PROCESS versus Structural Equation Modeling</w:t>
      </w:r>
      <w:r w:rsidRPr="009809CA">
        <w:rPr>
          <w:rFonts w:ascii="Arial" w:hAnsi="Arial" w:cs="Arial"/>
          <w:sz w:val="20"/>
          <w:szCs w:val="20"/>
        </w:rPr>
        <w:t xml:space="preserve">. </w:t>
      </w:r>
      <w:r w:rsidR="007E5303" w:rsidRPr="009809CA">
        <w:rPr>
          <w:rFonts w:ascii="Arial" w:hAnsi="Arial" w:cs="Arial"/>
          <w:sz w:val="20"/>
          <w:szCs w:val="20"/>
        </w:rPr>
        <w:t>Australasian Marketing Journal</w:t>
      </w:r>
      <w:r w:rsidRPr="009809CA">
        <w:rPr>
          <w:rFonts w:ascii="Arial" w:hAnsi="Arial" w:cs="Arial"/>
          <w:i/>
          <w:iCs/>
          <w:sz w:val="20"/>
          <w:szCs w:val="20"/>
        </w:rPr>
        <w:t>, 46</w:t>
      </w:r>
      <w:r w:rsidRPr="009809CA">
        <w:rPr>
          <w:rFonts w:ascii="Arial" w:hAnsi="Arial" w:cs="Arial"/>
          <w:sz w:val="20"/>
          <w:szCs w:val="20"/>
        </w:rPr>
        <w:t xml:space="preserve">(1), 1–22. </w:t>
      </w:r>
      <w:r w:rsidR="00F12B0A" w:rsidRPr="009809CA">
        <w:rPr>
          <w:rFonts w:ascii="Arial" w:hAnsi="Arial" w:cs="Arial"/>
          <w:sz w:val="20"/>
          <w:szCs w:val="20"/>
        </w:rPr>
        <w:t xml:space="preserve"> </w:t>
      </w:r>
      <w:hyperlink r:id="rId10" w:history="1">
        <w:r w:rsidR="00F12B0A" w:rsidRPr="009809CA">
          <w:rPr>
            <w:rStyle w:val="Hyperlink"/>
            <w:rFonts w:ascii="Arial" w:hAnsi="Arial" w:cs="Arial"/>
            <w:color w:val="000000" w:themeColor="text1"/>
            <w:sz w:val="20"/>
            <w:szCs w:val="20"/>
            <w:u w:val="none"/>
          </w:rPr>
          <w:t>https://doi.org/10.1016/j.ausmj.2017.02.001</w:t>
        </w:r>
      </w:hyperlink>
    </w:p>
    <w:p w14:paraId="4A42B359" w14:textId="574854FF" w:rsidR="005E6F53" w:rsidRPr="009809CA" w:rsidRDefault="005E6F53" w:rsidP="009809CA">
      <w:pPr>
        <w:pStyle w:val="ListParagraph"/>
        <w:numPr>
          <w:ilvl w:val="0"/>
          <w:numId w:val="2"/>
        </w:numPr>
        <w:jc w:val="both"/>
        <w:rPr>
          <w:rFonts w:ascii="Arial" w:hAnsi="Arial" w:cs="Arial"/>
          <w:sz w:val="20"/>
          <w:szCs w:val="20"/>
        </w:rPr>
      </w:pPr>
      <w:r w:rsidRPr="009809CA">
        <w:rPr>
          <w:rFonts w:ascii="Arial" w:hAnsi="Arial" w:cs="Arial"/>
          <w:sz w:val="20"/>
          <w:szCs w:val="20"/>
        </w:rPr>
        <w:t xml:space="preserve">IAASB. (2022). </w:t>
      </w:r>
      <w:r w:rsidR="00F12B0A" w:rsidRPr="009809CA">
        <w:rPr>
          <w:rFonts w:ascii="Arial" w:hAnsi="Arial" w:cs="Arial"/>
          <w:sz w:val="20"/>
          <w:szCs w:val="20"/>
        </w:rPr>
        <w:t>Assurance in the Digital Age</w:t>
      </w:r>
      <w:r w:rsidRPr="009809CA">
        <w:rPr>
          <w:rFonts w:ascii="Arial" w:hAnsi="Arial" w:cs="Arial"/>
          <w:sz w:val="20"/>
          <w:szCs w:val="20"/>
        </w:rPr>
        <w:t>. International Auditing and Assurance Standards Board.</w:t>
      </w:r>
      <w:r w:rsidR="00F12B0A" w:rsidRPr="009809CA">
        <w:rPr>
          <w:rFonts w:ascii="Arial" w:hAnsi="Arial" w:cs="Arial"/>
          <w:sz w:val="20"/>
          <w:szCs w:val="20"/>
        </w:rPr>
        <w:t xml:space="preserve"> https://www.iaasb.org/news-events/2022-07/assurance-digital-age</w:t>
      </w:r>
    </w:p>
    <w:p w14:paraId="7BE74867" w14:textId="77777777" w:rsidR="005E6F53" w:rsidRPr="009809CA" w:rsidRDefault="005E6F53" w:rsidP="009809CA">
      <w:pPr>
        <w:pStyle w:val="ListParagraph"/>
        <w:numPr>
          <w:ilvl w:val="0"/>
          <w:numId w:val="2"/>
        </w:numPr>
        <w:jc w:val="both"/>
        <w:rPr>
          <w:rFonts w:ascii="Arial" w:hAnsi="Arial" w:cs="Arial"/>
          <w:sz w:val="20"/>
          <w:szCs w:val="20"/>
        </w:rPr>
      </w:pPr>
      <w:r w:rsidRPr="009809CA">
        <w:rPr>
          <w:rFonts w:ascii="Arial" w:hAnsi="Arial" w:cs="Arial"/>
          <w:sz w:val="20"/>
          <w:szCs w:val="20"/>
        </w:rPr>
        <w:t xml:space="preserve">Issa, H., Sun, T., &amp; </w:t>
      </w:r>
      <w:proofErr w:type="spellStart"/>
      <w:r w:rsidRPr="009809CA">
        <w:rPr>
          <w:rFonts w:ascii="Arial" w:hAnsi="Arial" w:cs="Arial"/>
          <w:sz w:val="20"/>
          <w:szCs w:val="20"/>
        </w:rPr>
        <w:t>Vasarhelyi</w:t>
      </w:r>
      <w:proofErr w:type="spellEnd"/>
      <w:r w:rsidRPr="009809CA">
        <w:rPr>
          <w:rFonts w:ascii="Arial" w:hAnsi="Arial" w:cs="Arial"/>
          <w:sz w:val="20"/>
          <w:szCs w:val="20"/>
        </w:rPr>
        <w:t xml:space="preserve">, M. A. (2016). Research ideas for artificial intelligence in auditing. </w:t>
      </w:r>
      <w:r w:rsidRPr="009809CA">
        <w:rPr>
          <w:rFonts w:ascii="Arial" w:hAnsi="Arial" w:cs="Arial"/>
          <w:i/>
          <w:iCs/>
          <w:sz w:val="20"/>
          <w:szCs w:val="20"/>
        </w:rPr>
        <w:t>Journal of Emerging Technologies in Accounting, 13</w:t>
      </w:r>
      <w:r w:rsidRPr="009809CA">
        <w:rPr>
          <w:rFonts w:ascii="Arial" w:hAnsi="Arial" w:cs="Arial"/>
          <w:sz w:val="20"/>
          <w:szCs w:val="20"/>
        </w:rPr>
        <w:t xml:space="preserve">(2), 1–20. </w:t>
      </w:r>
      <w:hyperlink r:id="rId11" w:tgtFrame="_new" w:history="1">
        <w:r w:rsidRPr="009809CA">
          <w:rPr>
            <w:rStyle w:val="Hyperlink"/>
            <w:rFonts w:ascii="Arial" w:hAnsi="Arial" w:cs="Arial"/>
            <w:color w:val="000000" w:themeColor="text1"/>
            <w:sz w:val="20"/>
            <w:szCs w:val="20"/>
            <w:u w:val="none"/>
          </w:rPr>
          <w:t>https://doi.org/10.2308/jeta-10511</w:t>
        </w:r>
      </w:hyperlink>
    </w:p>
    <w:p w14:paraId="72D186E9" w14:textId="77777777" w:rsidR="005E6F53" w:rsidRPr="009809CA" w:rsidRDefault="005E6F53" w:rsidP="009809CA">
      <w:pPr>
        <w:pStyle w:val="ListParagraph"/>
        <w:numPr>
          <w:ilvl w:val="0"/>
          <w:numId w:val="2"/>
        </w:numPr>
        <w:jc w:val="both"/>
        <w:rPr>
          <w:rFonts w:ascii="Arial" w:hAnsi="Arial" w:cs="Arial"/>
          <w:sz w:val="20"/>
          <w:szCs w:val="20"/>
        </w:rPr>
      </w:pPr>
      <w:r w:rsidRPr="009809CA">
        <w:rPr>
          <w:rFonts w:ascii="Arial" w:hAnsi="Arial" w:cs="Arial"/>
          <w:sz w:val="20"/>
          <w:szCs w:val="20"/>
        </w:rPr>
        <w:t xml:space="preserve">Koch, H., Gonzalez, E., &amp; </w:t>
      </w:r>
      <w:proofErr w:type="spellStart"/>
      <w:r w:rsidRPr="009809CA">
        <w:rPr>
          <w:rFonts w:ascii="Arial" w:hAnsi="Arial" w:cs="Arial"/>
          <w:sz w:val="20"/>
          <w:szCs w:val="20"/>
        </w:rPr>
        <w:t>Leidner</w:t>
      </w:r>
      <w:proofErr w:type="spellEnd"/>
      <w:r w:rsidRPr="009809CA">
        <w:rPr>
          <w:rFonts w:ascii="Arial" w:hAnsi="Arial" w:cs="Arial"/>
          <w:sz w:val="20"/>
          <w:szCs w:val="20"/>
        </w:rPr>
        <w:t xml:space="preserve">, D. (2012). Bridging the IT/business divide. </w:t>
      </w:r>
      <w:r w:rsidRPr="009809CA">
        <w:rPr>
          <w:rFonts w:ascii="Arial" w:hAnsi="Arial" w:cs="Arial"/>
          <w:i/>
          <w:iCs/>
          <w:sz w:val="20"/>
          <w:szCs w:val="20"/>
        </w:rPr>
        <w:t>MIS Quarterly Executive, 11</w:t>
      </w:r>
      <w:r w:rsidRPr="009809CA">
        <w:rPr>
          <w:rFonts w:ascii="Arial" w:hAnsi="Arial" w:cs="Arial"/>
          <w:sz w:val="20"/>
          <w:szCs w:val="20"/>
        </w:rPr>
        <w:t>(4), 195–209.</w:t>
      </w:r>
    </w:p>
    <w:p w14:paraId="6B317D45" w14:textId="4E3D015F" w:rsidR="005E6F53" w:rsidRPr="009809CA" w:rsidRDefault="005E6F53" w:rsidP="009809CA">
      <w:pPr>
        <w:pStyle w:val="ListParagraph"/>
        <w:numPr>
          <w:ilvl w:val="0"/>
          <w:numId w:val="2"/>
        </w:numPr>
        <w:jc w:val="both"/>
        <w:rPr>
          <w:rFonts w:ascii="Arial" w:hAnsi="Arial" w:cs="Arial"/>
          <w:sz w:val="20"/>
          <w:szCs w:val="20"/>
        </w:rPr>
      </w:pPr>
      <w:proofErr w:type="spellStart"/>
      <w:r w:rsidRPr="009809CA">
        <w:rPr>
          <w:rFonts w:ascii="Arial" w:hAnsi="Arial" w:cs="Arial"/>
          <w:sz w:val="20"/>
          <w:szCs w:val="20"/>
        </w:rPr>
        <w:t>Kokina</w:t>
      </w:r>
      <w:proofErr w:type="spellEnd"/>
      <w:r w:rsidRPr="009809CA">
        <w:rPr>
          <w:rFonts w:ascii="Arial" w:hAnsi="Arial" w:cs="Arial"/>
          <w:sz w:val="20"/>
          <w:szCs w:val="20"/>
        </w:rPr>
        <w:t xml:space="preserve">, J., &amp; Davenport, T. H. (2017). </w:t>
      </w:r>
      <w:r w:rsidR="00F12B0A" w:rsidRPr="009809CA">
        <w:rPr>
          <w:rFonts w:ascii="Arial" w:hAnsi="Arial" w:cs="Arial"/>
          <w:sz w:val="20"/>
          <w:szCs w:val="20"/>
        </w:rPr>
        <w:t>Bridging the work/social divide: the emotional response to organizational social networking sites</w:t>
      </w:r>
      <w:r w:rsidRPr="009809CA">
        <w:rPr>
          <w:rFonts w:ascii="Arial" w:hAnsi="Arial" w:cs="Arial"/>
          <w:sz w:val="20"/>
          <w:szCs w:val="20"/>
        </w:rPr>
        <w:t xml:space="preserve">. </w:t>
      </w:r>
      <w:r w:rsidR="00F12B0A" w:rsidRPr="009809CA">
        <w:rPr>
          <w:rFonts w:ascii="Arial" w:hAnsi="Arial" w:cs="Arial"/>
          <w:sz w:val="20"/>
          <w:szCs w:val="20"/>
        </w:rPr>
        <w:t>European Journal of Information Systems</w:t>
      </w:r>
      <w:r w:rsidRPr="009809CA">
        <w:rPr>
          <w:rFonts w:ascii="Arial" w:hAnsi="Arial" w:cs="Arial"/>
          <w:i/>
          <w:iCs/>
          <w:sz w:val="20"/>
          <w:szCs w:val="20"/>
        </w:rPr>
        <w:t>, 14</w:t>
      </w:r>
      <w:r w:rsidRPr="009809CA">
        <w:rPr>
          <w:rFonts w:ascii="Arial" w:hAnsi="Arial" w:cs="Arial"/>
          <w:sz w:val="20"/>
          <w:szCs w:val="20"/>
        </w:rPr>
        <w:t>(1), 115–122.</w:t>
      </w:r>
      <w:r w:rsidR="00F12B0A" w:rsidRPr="009809CA">
        <w:rPr>
          <w:rFonts w:ascii="Arial" w:hAnsi="Arial" w:cs="Arial"/>
          <w:sz w:val="20"/>
          <w:szCs w:val="20"/>
        </w:rPr>
        <w:t xml:space="preserve"> </w:t>
      </w:r>
      <w:hyperlink r:id="rId12" w:history="1">
        <w:r w:rsidR="00F12B0A" w:rsidRPr="009809CA">
          <w:rPr>
            <w:rStyle w:val="Hyperlink"/>
            <w:rFonts w:ascii="Arial" w:hAnsi="Arial" w:cs="Arial"/>
            <w:color w:val="000000" w:themeColor="text1"/>
            <w:sz w:val="20"/>
            <w:szCs w:val="20"/>
            <w:u w:val="none"/>
          </w:rPr>
          <w:t>https://doi.org/10.1057/ejis.2012.18</w:t>
        </w:r>
      </w:hyperlink>
    </w:p>
    <w:p w14:paraId="649FBE2B" w14:textId="1432721D" w:rsidR="005E6F53" w:rsidRPr="009809CA" w:rsidRDefault="005E6F53" w:rsidP="009809CA">
      <w:pPr>
        <w:pStyle w:val="ListParagraph"/>
        <w:numPr>
          <w:ilvl w:val="0"/>
          <w:numId w:val="2"/>
        </w:numPr>
        <w:jc w:val="both"/>
        <w:rPr>
          <w:rFonts w:ascii="Arial" w:hAnsi="Arial" w:cs="Arial"/>
          <w:color w:val="000000" w:themeColor="text1"/>
          <w:sz w:val="20"/>
          <w:szCs w:val="20"/>
        </w:rPr>
      </w:pPr>
      <w:proofErr w:type="spellStart"/>
      <w:r w:rsidRPr="009809CA">
        <w:rPr>
          <w:rFonts w:ascii="Arial" w:hAnsi="Arial" w:cs="Arial"/>
          <w:sz w:val="20"/>
          <w:szCs w:val="20"/>
        </w:rPr>
        <w:t>Kokina</w:t>
      </w:r>
      <w:proofErr w:type="spellEnd"/>
      <w:r w:rsidRPr="009809CA">
        <w:rPr>
          <w:rFonts w:ascii="Arial" w:hAnsi="Arial" w:cs="Arial"/>
          <w:sz w:val="20"/>
          <w:szCs w:val="20"/>
        </w:rPr>
        <w:t xml:space="preserve">, J., </w:t>
      </w:r>
      <w:proofErr w:type="spellStart"/>
      <w:r w:rsidRPr="009809CA">
        <w:rPr>
          <w:rFonts w:ascii="Arial" w:hAnsi="Arial" w:cs="Arial"/>
          <w:sz w:val="20"/>
          <w:szCs w:val="20"/>
        </w:rPr>
        <w:t>Pachamanova</w:t>
      </w:r>
      <w:proofErr w:type="spellEnd"/>
      <w:r w:rsidRPr="009809CA">
        <w:rPr>
          <w:rFonts w:ascii="Arial" w:hAnsi="Arial" w:cs="Arial"/>
          <w:sz w:val="20"/>
          <w:szCs w:val="20"/>
        </w:rPr>
        <w:t xml:space="preserve">, D., &amp; Corbett, A. (2021). </w:t>
      </w:r>
      <w:r w:rsidR="00F92DD7" w:rsidRPr="009809CA">
        <w:rPr>
          <w:rFonts w:ascii="Arial" w:hAnsi="Arial" w:cs="Arial"/>
          <w:sz w:val="20"/>
          <w:szCs w:val="20"/>
        </w:rPr>
        <w:t>The Role of Data Visualization and Analytics in Performance Management: Guiding Entrepreneurial Growth Decisions</w:t>
      </w:r>
      <w:r w:rsidRPr="009809CA">
        <w:rPr>
          <w:rFonts w:ascii="Arial" w:hAnsi="Arial" w:cs="Arial"/>
          <w:sz w:val="20"/>
          <w:szCs w:val="20"/>
        </w:rPr>
        <w:t xml:space="preserve">. </w:t>
      </w:r>
      <w:r w:rsidR="00F92DD7" w:rsidRPr="009809CA">
        <w:rPr>
          <w:rFonts w:ascii="Arial" w:hAnsi="Arial" w:cs="Arial"/>
          <w:sz w:val="20"/>
          <w:szCs w:val="20"/>
        </w:rPr>
        <w:t>Journal of Accounting Education</w:t>
      </w:r>
      <w:r w:rsidRPr="009809CA">
        <w:rPr>
          <w:rFonts w:ascii="Arial" w:hAnsi="Arial" w:cs="Arial"/>
          <w:i/>
          <w:iCs/>
          <w:sz w:val="20"/>
          <w:szCs w:val="20"/>
        </w:rPr>
        <w:t>, 35</w:t>
      </w:r>
      <w:r w:rsidRPr="009809CA">
        <w:rPr>
          <w:rFonts w:ascii="Arial" w:hAnsi="Arial" w:cs="Arial"/>
          <w:sz w:val="20"/>
          <w:szCs w:val="20"/>
        </w:rPr>
        <w:t xml:space="preserve">(2), </w:t>
      </w:r>
      <w:r w:rsidR="00F92DD7" w:rsidRPr="009809CA">
        <w:rPr>
          <w:rFonts w:ascii="Arial" w:hAnsi="Arial" w:cs="Arial"/>
          <w:sz w:val="20"/>
          <w:szCs w:val="20"/>
        </w:rPr>
        <w:t>699</w:t>
      </w:r>
      <w:r w:rsidRPr="009809CA">
        <w:rPr>
          <w:rFonts w:ascii="Arial" w:hAnsi="Arial" w:cs="Arial"/>
          <w:sz w:val="20"/>
          <w:szCs w:val="20"/>
        </w:rPr>
        <w:t>–</w:t>
      </w:r>
      <w:r w:rsidR="00F92DD7" w:rsidRPr="009809CA">
        <w:rPr>
          <w:rFonts w:ascii="Arial" w:hAnsi="Arial" w:cs="Arial"/>
          <w:sz w:val="20"/>
          <w:szCs w:val="20"/>
        </w:rPr>
        <w:t>717</w:t>
      </w:r>
      <w:r w:rsidRPr="009809CA">
        <w:rPr>
          <w:rFonts w:ascii="Arial" w:hAnsi="Arial" w:cs="Arial"/>
          <w:sz w:val="20"/>
          <w:szCs w:val="20"/>
        </w:rPr>
        <w:t xml:space="preserve">. </w:t>
      </w:r>
      <w:hyperlink r:id="rId13" w:tgtFrame="_blank" w:tooltip="Persistent link using digital object identifier" w:history="1">
        <w:r w:rsidR="00F92DD7" w:rsidRPr="009809CA">
          <w:rPr>
            <w:rStyle w:val="Hyperlink"/>
            <w:rFonts w:ascii="Arial" w:hAnsi="Arial" w:cs="Arial"/>
            <w:color w:val="000000" w:themeColor="text1"/>
            <w:sz w:val="20"/>
            <w:szCs w:val="20"/>
            <w:u w:val="none"/>
          </w:rPr>
          <w:t>https://doi.org/10.1016/j.jaccedu.2016.12.005</w:t>
        </w:r>
      </w:hyperlink>
    </w:p>
    <w:p w14:paraId="04FFBEFC" w14:textId="77777777" w:rsidR="005E6F53" w:rsidRPr="009809CA" w:rsidRDefault="005E6F53" w:rsidP="009809CA">
      <w:pPr>
        <w:pStyle w:val="ListParagraph"/>
        <w:numPr>
          <w:ilvl w:val="0"/>
          <w:numId w:val="2"/>
        </w:numPr>
        <w:jc w:val="both"/>
        <w:rPr>
          <w:rFonts w:ascii="Arial" w:hAnsi="Arial" w:cs="Arial"/>
          <w:sz w:val="20"/>
          <w:szCs w:val="20"/>
        </w:rPr>
      </w:pPr>
      <w:r w:rsidRPr="009809CA">
        <w:rPr>
          <w:rFonts w:ascii="Arial" w:hAnsi="Arial" w:cs="Arial"/>
          <w:sz w:val="20"/>
          <w:szCs w:val="20"/>
        </w:rPr>
        <w:t xml:space="preserve">McAfee, A., &amp; Brynjolfsson, E. (2012). Big data: The management revolution. </w:t>
      </w:r>
      <w:r w:rsidRPr="009809CA">
        <w:rPr>
          <w:rFonts w:ascii="Arial" w:hAnsi="Arial" w:cs="Arial"/>
          <w:i/>
          <w:iCs/>
          <w:sz w:val="20"/>
          <w:szCs w:val="20"/>
        </w:rPr>
        <w:t>Harvard Business Review, 90</w:t>
      </w:r>
      <w:r w:rsidRPr="009809CA">
        <w:rPr>
          <w:rFonts w:ascii="Arial" w:hAnsi="Arial" w:cs="Arial"/>
          <w:sz w:val="20"/>
          <w:szCs w:val="20"/>
        </w:rPr>
        <w:t>(10), 60–68.</w:t>
      </w:r>
    </w:p>
    <w:p w14:paraId="25CB26E0" w14:textId="19818BF1" w:rsidR="005E6F53" w:rsidRPr="009809CA" w:rsidRDefault="005E6F53" w:rsidP="009809CA">
      <w:pPr>
        <w:pStyle w:val="ListParagraph"/>
        <w:numPr>
          <w:ilvl w:val="0"/>
          <w:numId w:val="2"/>
        </w:numPr>
        <w:jc w:val="both"/>
        <w:rPr>
          <w:rFonts w:ascii="Arial" w:hAnsi="Arial" w:cs="Arial"/>
          <w:color w:val="000000" w:themeColor="text1"/>
          <w:sz w:val="20"/>
          <w:szCs w:val="20"/>
        </w:rPr>
      </w:pPr>
      <w:r w:rsidRPr="009809CA">
        <w:rPr>
          <w:rFonts w:ascii="Arial" w:hAnsi="Arial" w:cs="Arial"/>
          <w:sz w:val="20"/>
          <w:szCs w:val="20"/>
        </w:rPr>
        <w:t>Power, M. (</w:t>
      </w:r>
      <w:r w:rsidR="00E958B7" w:rsidRPr="009809CA">
        <w:rPr>
          <w:rFonts w:ascii="Arial" w:hAnsi="Arial" w:cs="Arial"/>
          <w:sz w:val="20"/>
          <w:szCs w:val="20"/>
        </w:rPr>
        <w:t>1999</w:t>
      </w:r>
      <w:r w:rsidRPr="009809CA">
        <w:rPr>
          <w:rFonts w:ascii="Arial" w:hAnsi="Arial" w:cs="Arial"/>
          <w:sz w:val="20"/>
          <w:szCs w:val="20"/>
        </w:rPr>
        <w:t xml:space="preserve">). </w:t>
      </w:r>
      <w:r w:rsidRPr="009809CA">
        <w:rPr>
          <w:rFonts w:ascii="Arial" w:hAnsi="Arial" w:cs="Arial"/>
          <w:i/>
          <w:iCs/>
          <w:sz w:val="20"/>
          <w:szCs w:val="20"/>
        </w:rPr>
        <w:t xml:space="preserve">The </w:t>
      </w:r>
      <w:r w:rsidR="00F92DD7" w:rsidRPr="009809CA">
        <w:rPr>
          <w:rFonts w:ascii="Arial" w:hAnsi="Arial" w:cs="Arial"/>
          <w:i/>
          <w:iCs/>
          <w:sz w:val="20"/>
          <w:szCs w:val="20"/>
        </w:rPr>
        <w:t>A</w:t>
      </w:r>
      <w:r w:rsidRPr="009809CA">
        <w:rPr>
          <w:rFonts w:ascii="Arial" w:hAnsi="Arial" w:cs="Arial"/>
          <w:i/>
          <w:iCs/>
          <w:sz w:val="20"/>
          <w:szCs w:val="20"/>
        </w:rPr>
        <w:t xml:space="preserve">udit </w:t>
      </w:r>
      <w:r w:rsidR="00F92DD7" w:rsidRPr="009809CA">
        <w:rPr>
          <w:rFonts w:ascii="Arial" w:hAnsi="Arial" w:cs="Arial"/>
          <w:i/>
          <w:iCs/>
          <w:sz w:val="20"/>
          <w:szCs w:val="20"/>
        </w:rPr>
        <w:t>S</w:t>
      </w:r>
      <w:r w:rsidRPr="009809CA">
        <w:rPr>
          <w:rFonts w:ascii="Arial" w:hAnsi="Arial" w:cs="Arial"/>
          <w:i/>
          <w:iCs/>
          <w:sz w:val="20"/>
          <w:szCs w:val="20"/>
        </w:rPr>
        <w:t xml:space="preserve">ociety: Rituals of </w:t>
      </w:r>
      <w:r w:rsidR="00F92DD7" w:rsidRPr="009809CA">
        <w:rPr>
          <w:rFonts w:ascii="Arial" w:hAnsi="Arial" w:cs="Arial"/>
          <w:i/>
          <w:iCs/>
          <w:sz w:val="20"/>
          <w:szCs w:val="20"/>
        </w:rPr>
        <w:t>V</w:t>
      </w:r>
      <w:r w:rsidRPr="009809CA">
        <w:rPr>
          <w:rFonts w:ascii="Arial" w:hAnsi="Arial" w:cs="Arial"/>
          <w:i/>
          <w:iCs/>
          <w:sz w:val="20"/>
          <w:szCs w:val="20"/>
        </w:rPr>
        <w:t>erification</w:t>
      </w:r>
      <w:r w:rsidRPr="009809CA">
        <w:rPr>
          <w:rFonts w:ascii="Arial" w:hAnsi="Arial" w:cs="Arial"/>
          <w:sz w:val="20"/>
          <w:szCs w:val="20"/>
        </w:rPr>
        <w:t>. Oxford University Press.</w:t>
      </w:r>
      <w:r w:rsidR="00F92DD7" w:rsidRPr="009809CA">
        <w:rPr>
          <w:rFonts w:ascii="Arial" w:hAnsi="Arial" w:cs="Arial"/>
          <w:sz w:val="20"/>
          <w:szCs w:val="20"/>
        </w:rPr>
        <w:t xml:space="preserve"> </w:t>
      </w:r>
      <w:hyperlink r:id="rId14" w:history="1">
        <w:r w:rsidR="00F92DD7" w:rsidRPr="009809CA">
          <w:rPr>
            <w:rStyle w:val="Hyperlink"/>
            <w:rFonts w:ascii="Arial" w:hAnsi="Arial" w:cs="Arial"/>
            <w:color w:val="000000" w:themeColor="text1"/>
            <w:sz w:val="20"/>
            <w:szCs w:val="20"/>
            <w:u w:val="none"/>
          </w:rPr>
          <w:t>https://doi.org/10.1093/acprof:oso/9780198296034.001.0001</w:t>
        </w:r>
      </w:hyperlink>
    </w:p>
    <w:p w14:paraId="7D9F1DA3" w14:textId="77777777" w:rsidR="005E6F53" w:rsidRPr="009809CA" w:rsidRDefault="005E6F53" w:rsidP="009809CA">
      <w:pPr>
        <w:pStyle w:val="ListParagraph"/>
        <w:numPr>
          <w:ilvl w:val="0"/>
          <w:numId w:val="2"/>
        </w:numPr>
        <w:jc w:val="both"/>
        <w:rPr>
          <w:rFonts w:ascii="Arial" w:hAnsi="Arial" w:cs="Arial"/>
          <w:sz w:val="20"/>
          <w:szCs w:val="20"/>
        </w:rPr>
      </w:pPr>
      <w:r w:rsidRPr="009809CA">
        <w:rPr>
          <w:rFonts w:ascii="Arial" w:hAnsi="Arial" w:cs="Arial"/>
          <w:sz w:val="20"/>
          <w:szCs w:val="20"/>
        </w:rPr>
        <w:t xml:space="preserve">Rifkin, J. (2014). </w:t>
      </w:r>
      <w:r w:rsidRPr="009809CA">
        <w:rPr>
          <w:rFonts w:ascii="Arial" w:hAnsi="Arial" w:cs="Arial"/>
          <w:i/>
          <w:iCs/>
          <w:sz w:val="20"/>
          <w:szCs w:val="20"/>
        </w:rPr>
        <w:t>The zero marginal cost society</w:t>
      </w:r>
      <w:r w:rsidRPr="009809CA">
        <w:rPr>
          <w:rFonts w:ascii="Arial" w:hAnsi="Arial" w:cs="Arial"/>
          <w:sz w:val="20"/>
          <w:szCs w:val="20"/>
        </w:rPr>
        <w:t>. Palgrave Macmillan.</w:t>
      </w:r>
    </w:p>
    <w:p w14:paraId="5F6BCA07" w14:textId="6C205854" w:rsidR="005E6F53" w:rsidRPr="009809CA" w:rsidRDefault="00E958B7" w:rsidP="009809CA">
      <w:pPr>
        <w:pStyle w:val="ListParagraph"/>
        <w:numPr>
          <w:ilvl w:val="0"/>
          <w:numId w:val="2"/>
        </w:numPr>
        <w:jc w:val="both"/>
        <w:rPr>
          <w:rFonts w:ascii="Arial" w:hAnsi="Arial" w:cs="Arial"/>
          <w:sz w:val="20"/>
          <w:szCs w:val="20"/>
        </w:rPr>
      </w:pPr>
      <w:r w:rsidRPr="009809CA">
        <w:rPr>
          <w:rFonts w:ascii="Arial" w:hAnsi="Arial" w:cs="Arial"/>
          <w:sz w:val="20"/>
          <w:szCs w:val="20"/>
        </w:rPr>
        <w:t>Choi, H., &amp;amp; Varian, H.</w:t>
      </w:r>
      <w:r w:rsidR="005E6F53" w:rsidRPr="009809CA">
        <w:rPr>
          <w:rFonts w:ascii="Arial" w:hAnsi="Arial" w:cs="Arial"/>
          <w:sz w:val="20"/>
          <w:szCs w:val="20"/>
        </w:rPr>
        <w:t xml:space="preserve"> (2009). Predicting the </w:t>
      </w:r>
      <w:r w:rsidRPr="009809CA">
        <w:rPr>
          <w:rFonts w:ascii="Arial" w:hAnsi="Arial" w:cs="Arial"/>
          <w:sz w:val="20"/>
          <w:szCs w:val="20"/>
        </w:rPr>
        <w:t>P</w:t>
      </w:r>
      <w:r w:rsidR="005E6F53" w:rsidRPr="009809CA">
        <w:rPr>
          <w:rFonts w:ascii="Arial" w:hAnsi="Arial" w:cs="Arial"/>
          <w:sz w:val="20"/>
          <w:szCs w:val="20"/>
        </w:rPr>
        <w:t xml:space="preserve">resent with Google Trends. </w:t>
      </w:r>
      <w:r w:rsidR="005E6F53" w:rsidRPr="009809CA">
        <w:rPr>
          <w:rFonts w:ascii="Arial" w:hAnsi="Arial" w:cs="Arial"/>
          <w:i/>
          <w:iCs/>
          <w:sz w:val="20"/>
          <w:szCs w:val="20"/>
        </w:rPr>
        <w:t>Economic Record, 85</w:t>
      </w:r>
      <w:r w:rsidR="005E6F53" w:rsidRPr="009809CA">
        <w:rPr>
          <w:rFonts w:ascii="Arial" w:hAnsi="Arial" w:cs="Arial"/>
          <w:sz w:val="20"/>
          <w:szCs w:val="20"/>
        </w:rPr>
        <w:t>(S1), 2–9</w:t>
      </w:r>
      <w:r w:rsidR="005E6F53" w:rsidRPr="009809CA">
        <w:rPr>
          <w:rFonts w:ascii="Arial" w:hAnsi="Arial" w:cs="Arial"/>
          <w:color w:val="000000" w:themeColor="text1"/>
          <w:sz w:val="20"/>
          <w:szCs w:val="20"/>
        </w:rPr>
        <w:t xml:space="preserve">. </w:t>
      </w:r>
      <w:r w:rsidRPr="009809CA">
        <w:rPr>
          <w:rFonts w:ascii="Arial" w:hAnsi="Arial" w:cs="Arial"/>
          <w:color w:val="000000" w:themeColor="text1"/>
          <w:sz w:val="20"/>
          <w:szCs w:val="20"/>
        </w:rPr>
        <w:t> </w:t>
      </w:r>
      <w:hyperlink r:id="rId15" w:history="1">
        <w:r w:rsidRPr="009809CA">
          <w:rPr>
            <w:rStyle w:val="Hyperlink"/>
            <w:rFonts w:ascii="Arial" w:hAnsi="Arial" w:cs="Arial"/>
            <w:color w:val="000000" w:themeColor="text1"/>
            <w:sz w:val="20"/>
            <w:szCs w:val="20"/>
            <w:u w:val="none"/>
          </w:rPr>
          <w:t>https://doi.org/10.1111/j.1475-4932.2012.00809.x</w:t>
        </w:r>
      </w:hyperlink>
    </w:p>
    <w:p w14:paraId="453252DF" w14:textId="77777777" w:rsidR="005E6F53" w:rsidRPr="009809CA" w:rsidRDefault="005E6F53" w:rsidP="009809CA">
      <w:pPr>
        <w:pStyle w:val="ListParagraph"/>
        <w:numPr>
          <w:ilvl w:val="0"/>
          <w:numId w:val="2"/>
        </w:numPr>
        <w:jc w:val="both"/>
        <w:rPr>
          <w:rFonts w:ascii="Arial" w:hAnsi="Arial" w:cs="Arial"/>
          <w:sz w:val="20"/>
          <w:szCs w:val="20"/>
        </w:rPr>
      </w:pPr>
      <w:proofErr w:type="spellStart"/>
      <w:r w:rsidRPr="009809CA">
        <w:rPr>
          <w:rFonts w:ascii="Arial" w:hAnsi="Arial" w:cs="Arial"/>
          <w:sz w:val="20"/>
          <w:szCs w:val="20"/>
        </w:rPr>
        <w:t>Vasarhelyi</w:t>
      </w:r>
      <w:proofErr w:type="spellEnd"/>
      <w:r w:rsidRPr="009809CA">
        <w:rPr>
          <w:rFonts w:ascii="Arial" w:hAnsi="Arial" w:cs="Arial"/>
          <w:sz w:val="20"/>
          <w:szCs w:val="20"/>
        </w:rPr>
        <w:t xml:space="preserve">, M. A., Kogan, A., &amp; Tuttle, B. M. (2015). Big data in accounting: An overview. </w:t>
      </w:r>
      <w:r w:rsidRPr="009809CA">
        <w:rPr>
          <w:rFonts w:ascii="Arial" w:hAnsi="Arial" w:cs="Arial"/>
          <w:i/>
          <w:iCs/>
          <w:sz w:val="20"/>
          <w:szCs w:val="20"/>
        </w:rPr>
        <w:t>Accounting Horizons, 29</w:t>
      </w:r>
      <w:r w:rsidRPr="009809CA">
        <w:rPr>
          <w:rFonts w:ascii="Arial" w:hAnsi="Arial" w:cs="Arial"/>
          <w:sz w:val="20"/>
          <w:szCs w:val="20"/>
        </w:rPr>
        <w:t>(2), 381–396. https://doi.org/10.2308/acch-51071</w:t>
      </w:r>
    </w:p>
    <w:p w14:paraId="035FA484" w14:textId="77777777" w:rsidR="005E6F53" w:rsidRPr="009809CA" w:rsidRDefault="005E6F53" w:rsidP="009809CA">
      <w:pPr>
        <w:pStyle w:val="ListParagraph"/>
        <w:numPr>
          <w:ilvl w:val="0"/>
          <w:numId w:val="2"/>
        </w:numPr>
        <w:jc w:val="both"/>
        <w:rPr>
          <w:rFonts w:ascii="Arial" w:hAnsi="Arial" w:cs="Arial"/>
          <w:sz w:val="20"/>
          <w:szCs w:val="20"/>
        </w:rPr>
      </w:pPr>
      <w:r w:rsidRPr="009809CA">
        <w:rPr>
          <w:rFonts w:ascii="Arial" w:hAnsi="Arial" w:cs="Arial"/>
          <w:sz w:val="20"/>
          <w:szCs w:val="20"/>
        </w:rPr>
        <w:lastRenderedPageBreak/>
        <w:t xml:space="preserve">Yoon, K., </w:t>
      </w:r>
      <w:proofErr w:type="spellStart"/>
      <w:r w:rsidRPr="009809CA">
        <w:rPr>
          <w:rFonts w:ascii="Arial" w:hAnsi="Arial" w:cs="Arial"/>
          <w:sz w:val="20"/>
          <w:szCs w:val="20"/>
        </w:rPr>
        <w:t>Hoogduin</w:t>
      </w:r>
      <w:proofErr w:type="spellEnd"/>
      <w:r w:rsidRPr="009809CA">
        <w:rPr>
          <w:rFonts w:ascii="Arial" w:hAnsi="Arial" w:cs="Arial"/>
          <w:sz w:val="20"/>
          <w:szCs w:val="20"/>
        </w:rPr>
        <w:t xml:space="preserve">, L., &amp; Zhang, L. (2015). Big data as complementary audit evidence. </w:t>
      </w:r>
      <w:r w:rsidRPr="009809CA">
        <w:rPr>
          <w:rFonts w:ascii="Arial" w:hAnsi="Arial" w:cs="Arial"/>
          <w:i/>
          <w:iCs/>
          <w:sz w:val="20"/>
          <w:szCs w:val="20"/>
        </w:rPr>
        <w:t>Accounting Horizons, 29</w:t>
      </w:r>
      <w:r w:rsidRPr="009809CA">
        <w:rPr>
          <w:rFonts w:ascii="Arial" w:hAnsi="Arial" w:cs="Arial"/>
          <w:sz w:val="20"/>
          <w:szCs w:val="20"/>
        </w:rPr>
        <w:t>(2), 431–438. https://doi.org/10.2308/acch-51076</w:t>
      </w:r>
    </w:p>
    <w:p w14:paraId="073711E8" w14:textId="77777777" w:rsidR="005E6F53" w:rsidRPr="00B811DD" w:rsidRDefault="005E6F53" w:rsidP="005E6F53">
      <w:pPr>
        <w:jc w:val="both"/>
        <w:rPr>
          <w:rFonts w:ascii="Arial" w:hAnsi="Arial" w:cs="Arial"/>
          <w:sz w:val="20"/>
          <w:szCs w:val="20"/>
        </w:rPr>
      </w:pPr>
    </w:p>
    <w:p w14:paraId="66B69C5D" w14:textId="77777777" w:rsidR="005E6F53" w:rsidRPr="00B811DD" w:rsidRDefault="005E6F53" w:rsidP="005E6F53">
      <w:pPr>
        <w:jc w:val="both"/>
        <w:rPr>
          <w:rFonts w:ascii="Arial" w:hAnsi="Arial" w:cs="Arial"/>
          <w:sz w:val="20"/>
          <w:szCs w:val="20"/>
        </w:rPr>
      </w:pPr>
    </w:p>
    <w:p w14:paraId="069986A3" w14:textId="77777777" w:rsidR="005E6F53" w:rsidRPr="00B811DD" w:rsidRDefault="005E6F53" w:rsidP="005E6F53">
      <w:pPr>
        <w:jc w:val="both"/>
        <w:rPr>
          <w:rFonts w:ascii="Arial" w:hAnsi="Arial" w:cs="Arial"/>
          <w:sz w:val="20"/>
          <w:szCs w:val="20"/>
        </w:rPr>
      </w:pPr>
    </w:p>
    <w:p w14:paraId="5F30D7E0" w14:textId="77777777" w:rsidR="005E6F53" w:rsidRDefault="005E6F53"/>
    <w:sectPr w:rsidR="005E6F5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70A65" w14:textId="77777777" w:rsidR="0058105E" w:rsidRDefault="0058105E" w:rsidP="004A30AC">
      <w:pPr>
        <w:spacing w:after="0" w:line="240" w:lineRule="auto"/>
      </w:pPr>
      <w:r>
        <w:separator/>
      </w:r>
    </w:p>
  </w:endnote>
  <w:endnote w:type="continuationSeparator" w:id="0">
    <w:p w14:paraId="793469B0" w14:textId="77777777" w:rsidR="0058105E" w:rsidRDefault="0058105E" w:rsidP="004A3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0D28B" w14:textId="77777777" w:rsidR="004A30AC" w:rsidRDefault="004A3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959D8" w14:textId="77777777" w:rsidR="004A30AC" w:rsidRDefault="004A3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7F8FC" w14:textId="77777777" w:rsidR="004A30AC" w:rsidRDefault="004A3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46DEF" w14:textId="77777777" w:rsidR="0058105E" w:rsidRDefault="0058105E" w:rsidP="004A30AC">
      <w:pPr>
        <w:spacing w:after="0" w:line="240" w:lineRule="auto"/>
      </w:pPr>
      <w:r>
        <w:separator/>
      </w:r>
    </w:p>
  </w:footnote>
  <w:footnote w:type="continuationSeparator" w:id="0">
    <w:p w14:paraId="75356D7E" w14:textId="77777777" w:rsidR="0058105E" w:rsidRDefault="0058105E" w:rsidP="004A3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2DDE5" w14:textId="0A4B65B9" w:rsidR="004A30AC" w:rsidRDefault="0058105E">
    <w:pPr>
      <w:pStyle w:val="Header"/>
    </w:pPr>
    <w:r>
      <w:rPr>
        <w:noProof/>
      </w:rPr>
      <w:pict w14:anchorId="4C87A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996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086E5" w14:textId="5B273974" w:rsidR="004A30AC" w:rsidRDefault="0058105E">
    <w:pPr>
      <w:pStyle w:val="Header"/>
    </w:pPr>
    <w:r>
      <w:rPr>
        <w:noProof/>
      </w:rPr>
      <w:pict w14:anchorId="5EF0E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996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4F101" w14:textId="307E18F2" w:rsidR="004A30AC" w:rsidRDefault="0058105E">
    <w:pPr>
      <w:pStyle w:val="Header"/>
    </w:pPr>
    <w:r>
      <w:rPr>
        <w:noProof/>
      </w:rPr>
      <w:pict w14:anchorId="10693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996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37520"/>
    <w:multiLevelType w:val="multilevel"/>
    <w:tmpl w:val="2366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A2A6E"/>
    <w:multiLevelType w:val="hybridMultilevel"/>
    <w:tmpl w:val="CE2C1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53"/>
    <w:rsid w:val="0006755C"/>
    <w:rsid w:val="000B172C"/>
    <w:rsid w:val="00127DC9"/>
    <w:rsid w:val="00167BAC"/>
    <w:rsid w:val="00180BF6"/>
    <w:rsid w:val="00183CD9"/>
    <w:rsid w:val="001C1057"/>
    <w:rsid w:val="00277A57"/>
    <w:rsid w:val="00292E28"/>
    <w:rsid w:val="00377852"/>
    <w:rsid w:val="003A1720"/>
    <w:rsid w:val="003D442F"/>
    <w:rsid w:val="003E0167"/>
    <w:rsid w:val="003F7429"/>
    <w:rsid w:val="0047456C"/>
    <w:rsid w:val="004A30AC"/>
    <w:rsid w:val="00573D19"/>
    <w:rsid w:val="005800BA"/>
    <w:rsid w:val="0058105E"/>
    <w:rsid w:val="005A19FD"/>
    <w:rsid w:val="005E6F53"/>
    <w:rsid w:val="005F0B10"/>
    <w:rsid w:val="006114C5"/>
    <w:rsid w:val="00632C94"/>
    <w:rsid w:val="006376CC"/>
    <w:rsid w:val="00656495"/>
    <w:rsid w:val="006C0C36"/>
    <w:rsid w:val="007E5303"/>
    <w:rsid w:val="00820528"/>
    <w:rsid w:val="00895772"/>
    <w:rsid w:val="008B4CBD"/>
    <w:rsid w:val="0095594B"/>
    <w:rsid w:val="009809CA"/>
    <w:rsid w:val="009B4C62"/>
    <w:rsid w:val="00A53DC6"/>
    <w:rsid w:val="00A714B1"/>
    <w:rsid w:val="00A736E8"/>
    <w:rsid w:val="00B83FBF"/>
    <w:rsid w:val="00BF1547"/>
    <w:rsid w:val="00C6162B"/>
    <w:rsid w:val="00CC05CF"/>
    <w:rsid w:val="00CC09CC"/>
    <w:rsid w:val="00D47CB3"/>
    <w:rsid w:val="00D564AB"/>
    <w:rsid w:val="00DE3316"/>
    <w:rsid w:val="00E44D22"/>
    <w:rsid w:val="00E958B7"/>
    <w:rsid w:val="00EA2B89"/>
    <w:rsid w:val="00F12B0A"/>
    <w:rsid w:val="00F92DD7"/>
    <w:rsid w:val="00FD6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8A6B8E"/>
  <w15:chartTrackingRefBased/>
  <w15:docId w15:val="{79A70700-CDDF-43B1-AC2B-43D2AADB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F53"/>
  </w:style>
  <w:style w:type="paragraph" w:styleId="Heading1">
    <w:name w:val="heading 1"/>
    <w:basedOn w:val="Normal"/>
    <w:next w:val="Normal"/>
    <w:link w:val="Heading1Char"/>
    <w:uiPriority w:val="9"/>
    <w:qFormat/>
    <w:rsid w:val="005E6F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6F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6F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6F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6F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6F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F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F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F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F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6F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6F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6F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6F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6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F53"/>
    <w:rPr>
      <w:rFonts w:eastAsiaTheme="majorEastAsia" w:cstheme="majorBidi"/>
      <w:color w:val="272727" w:themeColor="text1" w:themeTint="D8"/>
    </w:rPr>
  </w:style>
  <w:style w:type="paragraph" w:styleId="Title">
    <w:name w:val="Title"/>
    <w:basedOn w:val="Normal"/>
    <w:next w:val="Normal"/>
    <w:link w:val="TitleChar"/>
    <w:uiPriority w:val="10"/>
    <w:qFormat/>
    <w:rsid w:val="005E6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F53"/>
    <w:pPr>
      <w:spacing w:before="160"/>
      <w:jc w:val="center"/>
    </w:pPr>
    <w:rPr>
      <w:i/>
      <w:iCs/>
      <w:color w:val="404040" w:themeColor="text1" w:themeTint="BF"/>
    </w:rPr>
  </w:style>
  <w:style w:type="character" w:customStyle="1" w:styleId="QuoteChar">
    <w:name w:val="Quote Char"/>
    <w:basedOn w:val="DefaultParagraphFont"/>
    <w:link w:val="Quote"/>
    <w:uiPriority w:val="29"/>
    <w:rsid w:val="005E6F53"/>
    <w:rPr>
      <w:i/>
      <w:iCs/>
      <w:color w:val="404040" w:themeColor="text1" w:themeTint="BF"/>
    </w:rPr>
  </w:style>
  <w:style w:type="paragraph" w:styleId="ListParagraph">
    <w:name w:val="List Paragraph"/>
    <w:basedOn w:val="Normal"/>
    <w:uiPriority w:val="34"/>
    <w:qFormat/>
    <w:rsid w:val="005E6F53"/>
    <w:pPr>
      <w:ind w:left="720"/>
      <w:contextualSpacing/>
    </w:pPr>
  </w:style>
  <w:style w:type="character" w:styleId="IntenseEmphasis">
    <w:name w:val="Intense Emphasis"/>
    <w:basedOn w:val="DefaultParagraphFont"/>
    <w:uiPriority w:val="21"/>
    <w:qFormat/>
    <w:rsid w:val="005E6F53"/>
    <w:rPr>
      <w:i/>
      <w:iCs/>
      <w:color w:val="2F5496" w:themeColor="accent1" w:themeShade="BF"/>
    </w:rPr>
  </w:style>
  <w:style w:type="paragraph" w:styleId="IntenseQuote">
    <w:name w:val="Intense Quote"/>
    <w:basedOn w:val="Normal"/>
    <w:next w:val="Normal"/>
    <w:link w:val="IntenseQuoteChar"/>
    <w:uiPriority w:val="30"/>
    <w:qFormat/>
    <w:rsid w:val="005E6F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6F53"/>
    <w:rPr>
      <w:i/>
      <w:iCs/>
      <w:color w:val="2F5496" w:themeColor="accent1" w:themeShade="BF"/>
    </w:rPr>
  </w:style>
  <w:style w:type="character" w:styleId="IntenseReference">
    <w:name w:val="Intense Reference"/>
    <w:basedOn w:val="DefaultParagraphFont"/>
    <w:uiPriority w:val="32"/>
    <w:qFormat/>
    <w:rsid w:val="005E6F53"/>
    <w:rPr>
      <w:b/>
      <w:bCs/>
      <w:smallCaps/>
      <w:color w:val="2F5496" w:themeColor="accent1" w:themeShade="BF"/>
      <w:spacing w:val="5"/>
    </w:rPr>
  </w:style>
  <w:style w:type="character" w:styleId="Hyperlink">
    <w:name w:val="Hyperlink"/>
    <w:basedOn w:val="DefaultParagraphFont"/>
    <w:uiPriority w:val="99"/>
    <w:unhideWhenUsed/>
    <w:rsid w:val="005E6F53"/>
    <w:rPr>
      <w:color w:val="0563C1" w:themeColor="hyperlink"/>
      <w:u w:val="single"/>
    </w:rPr>
  </w:style>
  <w:style w:type="table" w:styleId="TableGrid">
    <w:name w:val="Table Grid"/>
    <w:basedOn w:val="TableNormal"/>
    <w:uiPriority w:val="39"/>
    <w:rsid w:val="005E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14C5"/>
    <w:rPr>
      <w:color w:val="605E5C"/>
      <w:shd w:val="clear" w:color="auto" w:fill="E1DFDD"/>
    </w:rPr>
  </w:style>
  <w:style w:type="paragraph" w:styleId="Header">
    <w:name w:val="header"/>
    <w:basedOn w:val="Normal"/>
    <w:link w:val="HeaderChar"/>
    <w:uiPriority w:val="99"/>
    <w:unhideWhenUsed/>
    <w:rsid w:val="004A3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0AC"/>
  </w:style>
  <w:style w:type="paragraph" w:styleId="Footer">
    <w:name w:val="footer"/>
    <w:basedOn w:val="Normal"/>
    <w:link w:val="FooterChar"/>
    <w:uiPriority w:val="99"/>
    <w:unhideWhenUsed/>
    <w:rsid w:val="004A3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0AC"/>
  </w:style>
  <w:style w:type="paragraph" w:styleId="NormalWeb">
    <w:name w:val="Normal (Web)"/>
    <w:basedOn w:val="Normal"/>
    <w:uiPriority w:val="99"/>
    <w:semiHidden/>
    <w:unhideWhenUsed/>
    <w:rsid w:val="001C10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8/acch-51068" TargetMode="External"/><Relationship Id="rId13" Type="http://schemas.openxmlformats.org/officeDocument/2006/relationships/hyperlink" Target="https://doi.org/10.1016/j.jaccedu.2016.12.005"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2308/acch-51067" TargetMode="External"/><Relationship Id="rId12" Type="http://schemas.openxmlformats.org/officeDocument/2006/relationships/hyperlink" Target="https://doi.org/10.1057/ejis.2012.1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8/jeta-10511" TargetMode="External"/><Relationship Id="rId5" Type="http://schemas.openxmlformats.org/officeDocument/2006/relationships/footnotes" Target="footnotes.xml"/><Relationship Id="rId15" Type="http://schemas.openxmlformats.org/officeDocument/2006/relationships/hyperlink" Target="https://doi.org/10.1111/j.1475-4932.2012.00809.x" TargetMode="External"/><Relationship Id="rId23" Type="http://schemas.openxmlformats.org/officeDocument/2006/relationships/theme" Target="theme/theme1.xml"/><Relationship Id="rId10" Type="http://schemas.openxmlformats.org/officeDocument/2006/relationships/hyperlink" Target="https://doi.org/10.1016/j.ausmj.2017.02.00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6/j.acclit.2017.05.003" TargetMode="External"/><Relationship Id="rId14" Type="http://schemas.openxmlformats.org/officeDocument/2006/relationships/hyperlink" Target="https://doi.org/10.1093/acprof:oso/9780198296034.001.00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1596</TotalTime>
  <Pages>15</Pages>
  <Words>7842</Words>
  <Characters>44703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isaiah okogun</dc:creator>
  <cp:keywords/>
  <dc:description/>
  <cp:lastModifiedBy>Editor-1183</cp:lastModifiedBy>
  <cp:revision>25</cp:revision>
  <dcterms:created xsi:type="dcterms:W3CDTF">2026-01-19T15:01:00Z</dcterms:created>
  <dcterms:modified xsi:type="dcterms:W3CDTF">2026-01-30T12:12:00Z</dcterms:modified>
</cp:coreProperties>
</file>