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A5BFC" w14:textId="77777777" w:rsidR="008A79F2" w:rsidRPr="00EF4FBB" w:rsidRDefault="008A79F2" w:rsidP="008A79F2">
      <w:pPr>
        <w:spacing w:after="0" w:line="240" w:lineRule="auto"/>
        <w:rPr>
          <w:rFonts w:ascii="Times New Roman" w:eastAsia="Times New Roman" w:hAnsi="Times New Roman" w:cs="Times New Roman"/>
          <w:b/>
          <w:bCs/>
          <w:color w:val="EE0000"/>
          <w:kern w:val="0"/>
          <w:rtl/>
          <w:lang w:bidi="ar-IQ"/>
          <w14:ligatures w14:val="none"/>
        </w:rPr>
      </w:pPr>
      <w:r w:rsidRPr="00EF4FBB">
        <w:rPr>
          <w:rFonts w:ascii="Times New Roman" w:eastAsia="Times New Roman" w:hAnsi="Times New Roman" w:cs="Times New Roman"/>
          <w:color w:val="EE0000"/>
          <w:kern w:val="0"/>
          <w:lang w:bidi="ar-IQ"/>
          <w14:ligatures w14:val="none"/>
        </w:rPr>
        <w:t>Original Research Article</w:t>
      </w:r>
    </w:p>
    <w:p w14:paraId="30629283" w14:textId="77777777" w:rsidR="008A79F2" w:rsidRDefault="008A79F2" w:rsidP="00AE4452">
      <w:pPr>
        <w:spacing w:after="0" w:line="240" w:lineRule="auto"/>
        <w:jc w:val="center"/>
        <w:rPr>
          <w:rFonts w:ascii="Times New Roman" w:eastAsia="Times New Roman" w:hAnsi="Times New Roman" w:cs="Times New Roman"/>
          <w:b/>
          <w:bCs/>
          <w:kern w:val="0"/>
          <w:lang w:bidi="ar-IQ"/>
          <w14:ligatures w14:val="none"/>
        </w:rPr>
      </w:pPr>
    </w:p>
    <w:p w14:paraId="679CAB6B" w14:textId="2D47A3C5" w:rsidR="00AE4452" w:rsidRDefault="00AE4452" w:rsidP="00AE4452">
      <w:pPr>
        <w:spacing w:after="0" w:line="240" w:lineRule="auto"/>
        <w:jc w:val="center"/>
        <w:rPr>
          <w:rFonts w:ascii="Times New Roman" w:eastAsia="Times New Roman" w:hAnsi="Times New Roman" w:cs="Times New Roman"/>
          <w:b/>
          <w:bCs/>
          <w:kern w:val="0"/>
          <w:rtl/>
          <w:lang w:bidi="ar-IQ"/>
          <w14:ligatures w14:val="none"/>
        </w:rPr>
      </w:pPr>
      <w:r w:rsidRPr="003C07BE">
        <w:rPr>
          <w:rFonts w:ascii="Times New Roman" w:eastAsia="Times New Roman" w:hAnsi="Times New Roman" w:cs="Times New Roman"/>
          <w:b/>
          <w:bCs/>
          <w:kern w:val="0"/>
          <w:lang w:bidi="ar-IQ"/>
          <w14:ligatures w14:val="none"/>
        </w:rPr>
        <w:t>The role of tax revenues in stimulating economic growth in emerging economies and their impact on the development of the financial sector</w:t>
      </w:r>
    </w:p>
    <w:p w14:paraId="00690862" w14:textId="77777777" w:rsidR="00AE4452" w:rsidRDefault="00AE4452" w:rsidP="00AE4452">
      <w:pPr>
        <w:spacing w:after="0" w:line="240" w:lineRule="auto"/>
        <w:jc w:val="center"/>
        <w:rPr>
          <w:rFonts w:ascii="Times New Roman" w:eastAsia="Times New Roman" w:hAnsi="Times New Roman" w:cs="Times New Roman"/>
          <w:b/>
          <w:bCs/>
          <w:kern w:val="0"/>
          <w:rtl/>
          <w:lang w:bidi="ar-IQ"/>
          <w14:ligatures w14:val="none"/>
        </w:rPr>
      </w:pPr>
    </w:p>
    <w:p w14:paraId="58734947" w14:textId="77777777" w:rsidR="00AE4452" w:rsidRDefault="00AE4452" w:rsidP="00AE4452">
      <w:pPr>
        <w:spacing w:after="0" w:line="240" w:lineRule="auto"/>
        <w:jc w:val="center"/>
        <w:rPr>
          <w:rFonts w:ascii="Times New Roman" w:eastAsia="Times New Roman" w:hAnsi="Times New Roman" w:cs="Times New Roman"/>
          <w:b/>
          <w:bCs/>
          <w:kern w:val="0"/>
          <w:lang w:bidi="ar-IQ"/>
          <w14:ligatures w14:val="none"/>
        </w:rPr>
      </w:pPr>
    </w:p>
    <w:p w14:paraId="781A6496" w14:textId="77777777" w:rsidR="00AE4452" w:rsidRPr="00D96905" w:rsidRDefault="00AE4452" w:rsidP="00AE4452">
      <w:pPr>
        <w:spacing w:after="0" w:line="240" w:lineRule="auto"/>
        <w:jc w:val="both"/>
        <w:rPr>
          <w:rFonts w:ascii="Times New Roman" w:eastAsia="Times New Roman" w:hAnsi="Times New Roman" w:cs="Times New Roman"/>
          <w:b/>
          <w:bCs/>
          <w:kern w:val="0"/>
          <w14:ligatures w14:val="none"/>
        </w:rPr>
      </w:pPr>
    </w:p>
    <w:p w14:paraId="2791B54C" w14:textId="77777777" w:rsidR="00AE4452" w:rsidRPr="00D96905" w:rsidRDefault="00AE4452" w:rsidP="00AE4452">
      <w:pPr>
        <w:spacing w:after="0" w:line="240" w:lineRule="auto"/>
        <w:jc w:val="both"/>
        <w:rPr>
          <w:rFonts w:ascii="Times New Roman" w:eastAsia="Times New Roman" w:hAnsi="Times New Roman" w:cs="Times New Roman"/>
          <w:b/>
          <w:bCs/>
          <w:kern w:val="0"/>
          <w:sz w:val="32"/>
          <w:szCs w:val="32"/>
          <w14:ligatures w14:val="none"/>
        </w:rPr>
      </w:pPr>
      <w:r w:rsidRPr="00D96905">
        <w:rPr>
          <w:rFonts w:ascii="Times New Roman" w:eastAsia="Times New Roman" w:hAnsi="Times New Roman" w:cs="Times New Roman"/>
          <w:b/>
          <w:bCs/>
          <w:kern w:val="0"/>
          <w:sz w:val="32"/>
          <w:szCs w:val="32"/>
          <w14:ligatures w14:val="none"/>
        </w:rPr>
        <w:t>Abstract</w:t>
      </w:r>
    </w:p>
    <w:p w14:paraId="1BE4E02E" w14:textId="77777777" w:rsidR="00AE4452" w:rsidRPr="00D96905" w:rsidRDefault="00AE4452" w:rsidP="00AE4452">
      <w:pPr>
        <w:spacing w:after="0" w:line="240" w:lineRule="auto"/>
        <w:jc w:val="both"/>
        <w:rPr>
          <w:rFonts w:ascii="Times New Roman" w:eastAsia="Times New Roman" w:hAnsi="Times New Roman" w:cs="Times New Roman"/>
          <w:kern w:val="0"/>
          <w14:ligatures w14:val="none"/>
        </w:rPr>
      </w:pPr>
    </w:p>
    <w:p w14:paraId="367907B3" w14:textId="77777777" w:rsidR="00AE4452" w:rsidRPr="00D96905" w:rsidRDefault="00AE4452" w:rsidP="00AE4452">
      <w:pPr>
        <w:spacing w:after="0" w:line="240" w:lineRule="auto"/>
        <w:jc w:val="both"/>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 xml:space="preserve">The research explores the complicated and dynamic link between tax revenues, financial development (FD), and economic growth (EG) in rising countries like the BRICS. </w:t>
      </w:r>
      <w:r w:rsidRPr="00927F12">
        <w:rPr>
          <w:rFonts w:ascii="Times New Roman" w:eastAsia="Times New Roman" w:hAnsi="Times New Roman" w:cs="Times New Roman"/>
          <w:color w:val="EE0000"/>
          <w:kern w:val="0"/>
          <w14:ligatures w14:val="none"/>
        </w:rPr>
        <w:t xml:space="preserve">The research uses second-generation panel econometric techniques using </w:t>
      </w:r>
      <w:r>
        <w:rPr>
          <w:rFonts w:ascii="Times New Roman" w:eastAsia="Times New Roman" w:hAnsi="Times New Roman" w:cs="Times New Roman"/>
          <w:color w:val="EE0000"/>
          <w:kern w:val="0"/>
          <w14:ligatures w14:val="none"/>
        </w:rPr>
        <w:t xml:space="preserve">a </w:t>
      </w:r>
      <w:r w:rsidRPr="00927F12">
        <w:rPr>
          <w:rFonts w:ascii="Times New Roman" w:eastAsia="Times New Roman" w:hAnsi="Times New Roman" w:cs="Times New Roman"/>
          <w:color w:val="EE0000"/>
          <w:kern w:val="0"/>
          <w14:ligatures w14:val="none"/>
        </w:rPr>
        <w:t xml:space="preserve">sample from 2010 to 2024. </w:t>
      </w:r>
      <w:r w:rsidRPr="00D96905">
        <w:rPr>
          <w:rFonts w:ascii="Times New Roman" w:eastAsia="Times New Roman" w:hAnsi="Times New Roman" w:cs="Times New Roman"/>
          <w:kern w:val="0"/>
          <w14:ligatures w14:val="none"/>
        </w:rPr>
        <w:t xml:space="preserve">The BRICS nations show high CSD and slope heterogeneity, according to </w:t>
      </w:r>
      <w:r>
        <w:rPr>
          <w:rFonts w:ascii="Times New Roman" w:eastAsia="Times New Roman" w:hAnsi="Times New Roman" w:cs="Times New Roman"/>
          <w:kern w:val="0"/>
          <w14:ligatures w14:val="none"/>
        </w:rPr>
        <w:t xml:space="preserve">the </w:t>
      </w:r>
      <w:r w:rsidRPr="00D96905">
        <w:rPr>
          <w:rFonts w:ascii="Times New Roman" w:eastAsia="Times New Roman" w:hAnsi="Times New Roman" w:cs="Times New Roman"/>
          <w:kern w:val="0"/>
          <w14:ligatures w14:val="none"/>
        </w:rPr>
        <w:t xml:space="preserve">preliminary dataset. Panel unit root tests show that most variables are </w:t>
      </w:r>
      <w:proofErr w:type="gramStart"/>
      <w:r w:rsidRPr="00D96905">
        <w:rPr>
          <w:rFonts w:ascii="Times New Roman" w:eastAsia="Times New Roman" w:hAnsi="Times New Roman" w:cs="Times New Roman"/>
          <w:kern w:val="0"/>
          <w14:ligatures w14:val="none"/>
        </w:rPr>
        <w:t>I(</w:t>
      </w:r>
      <w:proofErr w:type="gramEnd"/>
      <w:r w:rsidRPr="00D96905">
        <w:rPr>
          <w:rFonts w:ascii="Times New Roman" w:eastAsia="Times New Roman" w:hAnsi="Times New Roman" w:cs="Times New Roman"/>
          <w:kern w:val="0"/>
          <w14:ligatures w14:val="none"/>
        </w:rPr>
        <w:t>1) while economic growth (EG) is I(0). Panel co</w:t>
      </w:r>
      <w:r>
        <w:rPr>
          <w:rFonts w:ascii="Times New Roman" w:eastAsia="Times New Roman" w:hAnsi="Times New Roman" w:cs="Times New Roman"/>
          <w:kern w:val="0"/>
          <w14:ligatures w14:val="none"/>
        </w:rPr>
        <w:t>-</w:t>
      </w:r>
      <w:r w:rsidRPr="00D96905">
        <w:rPr>
          <w:rFonts w:ascii="Times New Roman" w:eastAsia="Times New Roman" w:hAnsi="Times New Roman" w:cs="Times New Roman"/>
          <w:kern w:val="0"/>
          <w14:ligatures w14:val="none"/>
        </w:rPr>
        <w:t xml:space="preserve">integration experiments (Kao, Pedroni, and Westerlund) showed a strong long-run connection between these variables. Regression analysis (Fixed Effect and FGLS) shows that tax income positively and statistically significantly affects financial development. Tax revenue boosts economic development. Positive control elements were FDI and trade openness, whereas negative </w:t>
      </w:r>
      <w:r>
        <w:rPr>
          <w:rFonts w:ascii="Times New Roman" w:eastAsia="Times New Roman" w:hAnsi="Times New Roman" w:cs="Times New Roman"/>
          <w:kern w:val="0"/>
          <w14:ligatures w14:val="none"/>
        </w:rPr>
        <w:t xml:space="preserve">control elements </w:t>
      </w:r>
      <w:r w:rsidRPr="00D96905">
        <w:rPr>
          <w:rFonts w:ascii="Times New Roman" w:eastAsia="Times New Roman" w:hAnsi="Times New Roman" w:cs="Times New Roman"/>
          <w:kern w:val="0"/>
          <w14:ligatures w14:val="none"/>
        </w:rPr>
        <w:t>were inflation in financial development and economic growth. BRICS policymakers need these findings to understand that an effective and strong tax framework boosts government revenue and financial sector stability and depth, which are necessary for long-term economic success. The research adds to the field by examining taxes and financial growth in developing countries.</w:t>
      </w:r>
    </w:p>
    <w:p w14:paraId="5C292056" w14:textId="77777777" w:rsidR="00AE4452" w:rsidRPr="00D96905" w:rsidRDefault="00AE4452" w:rsidP="00AE4452">
      <w:pPr>
        <w:spacing w:after="0" w:line="240" w:lineRule="auto"/>
        <w:jc w:val="both"/>
        <w:rPr>
          <w:rFonts w:ascii="Times New Roman" w:eastAsia="Times New Roman" w:hAnsi="Times New Roman" w:cs="Times New Roman"/>
          <w:kern w:val="0"/>
          <w14:ligatures w14:val="none"/>
        </w:rPr>
      </w:pPr>
    </w:p>
    <w:p w14:paraId="30CA79EE" w14:textId="77777777" w:rsidR="00AE4452" w:rsidRPr="00D96905" w:rsidRDefault="00AE4452" w:rsidP="00AE4452">
      <w:pPr>
        <w:spacing w:after="0" w:line="240" w:lineRule="auto"/>
        <w:jc w:val="both"/>
        <w:rPr>
          <w:rFonts w:ascii="Times New Roman" w:eastAsia="Times New Roman" w:hAnsi="Times New Roman" w:cs="Times New Roman"/>
          <w:kern w:val="0"/>
          <w14:ligatures w14:val="none"/>
        </w:rPr>
      </w:pPr>
      <w:r w:rsidRPr="00D96905">
        <w:rPr>
          <w:rFonts w:ascii="Times New Roman" w:eastAsia="Times New Roman" w:hAnsi="Times New Roman" w:cs="Times New Roman"/>
          <w:b/>
          <w:bCs/>
          <w:kern w:val="0"/>
          <w14:ligatures w14:val="none"/>
        </w:rPr>
        <w:t>Keywords:</w:t>
      </w:r>
      <w:r w:rsidRPr="00D96905">
        <w:rPr>
          <w:rFonts w:ascii="Times New Roman" w:eastAsia="Times New Roman" w:hAnsi="Times New Roman" w:cs="Times New Roman"/>
          <w:kern w:val="0"/>
          <w14:ligatures w14:val="none"/>
        </w:rPr>
        <w:t xml:space="preserve"> Tax revenue, financial development, economic growth, BRICS, panel co</w:t>
      </w:r>
      <w:r>
        <w:rPr>
          <w:rFonts w:ascii="Times New Roman" w:eastAsia="Times New Roman" w:hAnsi="Times New Roman" w:cs="Times New Roman"/>
          <w:kern w:val="0"/>
          <w14:ligatures w14:val="none"/>
        </w:rPr>
        <w:t>-</w:t>
      </w:r>
      <w:r w:rsidRPr="00D96905">
        <w:rPr>
          <w:rFonts w:ascii="Times New Roman" w:eastAsia="Times New Roman" w:hAnsi="Times New Roman" w:cs="Times New Roman"/>
          <w:kern w:val="0"/>
          <w14:ligatures w14:val="none"/>
        </w:rPr>
        <w:t>integration, cross-sectional dependence.</w:t>
      </w:r>
    </w:p>
    <w:p w14:paraId="62B46E82" w14:textId="77777777" w:rsidR="00AE4452" w:rsidRPr="00D96905" w:rsidRDefault="00AE4452" w:rsidP="00AE4452">
      <w:pPr>
        <w:spacing w:after="0" w:line="240" w:lineRule="auto"/>
        <w:jc w:val="both"/>
        <w:rPr>
          <w:rFonts w:ascii="Times New Roman" w:eastAsia="Times New Roman" w:hAnsi="Times New Roman" w:cs="Times New Roman"/>
          <w:kern w:val="0"/>
          <w:sz w:val="32"/>
          <w:szCs w:val="32"/>
          <w14:ligatures w14:val="none"/>
        </w:rPr>
      </w:pPr>
    </w:p>
    <w:p w14:paraId="3F006345" w14:textId="77777777" w:rsidR="00AE4452" w:rsidRPr="00D96905" w:rsidRDefault="00AE4452" w:rsidP="00AE4452">
      <w:pPr>
        <w:spacing w:after="0" w:line="240" w:lineRule="auto"/>
        <w:jc w:val="both"/>
        <w:rPr>
          <w:rFonts w:ascii="Times New Roman" w:eastAsia="Times New Roman" w:hAnsi="Times New Roman" w:cs="Times New Roman"/>
          <w:b/>
          <w:bCs/>
          <w:kern w:val="0"/>
          <w:sz w:val="32"/>
          <w:szCs w:val="32"/>
          <w14:ligatures w14:val="none"/>
        </w:rPr>
      </w:pPr>
      <w:r w:rsidRPr="00D96905">
        <w:rPr>
          <w:rFonts w:ascii="Times New Roman" w:eastAsia="Times New Roman" w:hAnsi="Times New Roman" w:cs="Times New Roman"/>
          <w:b/>
          <w:bCs/>
          <w:kern w:val="0"/>
          <w:sz w:val="32"/>
          <w:szCs w:val="32"/>
          <w14:ligatures w14:val="none"/>
        </w:rPr>
        <w:t>Introduction</w:t>
      </w:r>
    </w:p>
    <w:p w14:paraId="0CED1314" w14:textId="77777777" w:rsidR="00AE4452" w:rsidRPr="00D96905" w:rsidRDefault="00AE4452" w:rsidP="00AE4452">
      <w:pPr>
        <w:spacing w:after="0" w:line="240" w:lineRule="auto"/>
        <w:jc w:val="both"/>
        <w:rPr>
          <w:rFonts w:ascii="Times New Roman" w:eastAsia="Times New Roman" w:hAnsi="Times New Roman" w:cs="Times New Roman"/>
          <w:kern w:val="0"/>
          <w14:ligatures w14:val="none"/>
        </w:rPr>
      </w:pPr>
    </w:p>
    <w:p w14:paraId="7E01A4E7" w14:textId="39D87BA7" w:rsidR="00AE4452" w:rsidRPr="00D96905" w:rsidRDefault="00AE4452" w:rsidP="00AE4452">
      <w:pPr>
        <w:spacing w:line="360" w:lineRule="auto"/>
        <w:jc w:val="both"/>
        <w:rPr>
          <w:rFonts w:ascii="Times New Roman" w:hAnsi="Times New Roman" w:cs="Times New Roman"/>
        </w:rPr>
      </w:pPr>
      <w:r w:rsidRPr="00D96905">
        <w:rPr>
          <w:rFonts w:ascii="Times New Roman" w:hAnsi="Times New Roman" w:cs="Times New Roman"/>
        </w:rPr>
        <w:t>The tax burden either imped</w:t>
      </w:r>
      <w:r>
        <w:rPr>
          <w:rFonts w:ascii="Times New Roman" w:hAnsi="Times New Roman" w:cs="Times New Roman"/>
        </w:rPr>
        <w:t>e</w:t>
      </w:r>
      <w:r w:rsidRPr="00D96905">
        <w:rPr>
          <w:rFonts w:ascii="Times New Roman" w:hAnsi="Times New Roman" w:cs="Times New Roman"/>
        </w:rPr>
        <w:t xml:space="preserve">s the financial systems of emerging economies or stimulates economic growth </w:t>
      </w:r>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&lt;EndNote&gt;&lt;Cite&gt;&lt;Author&gt;Bostan&lt;/Author&gt;&lt;Year&gt;2023&lt;/Year&gt;&lt;RecNum&gt;1&lt;/RecNum&gt;&lt;DisplayText&gt;(Bostan et al., 2023)&lt;/DisplayText&gt;&lt;record&gt;&lt;rec-number&gt;1&lt;/rec-number&gt;&lt;foreign-keys&gt;&lt;key app="EN" db-id="advdwe00srftrhedwtpxdpf6fvw2d5ev25r2" timestamp="1768055016"&gt;1&lt;/key&gt;&lt;/foreign-keys&gt;&lt;ref-type name="Journal Article"&gt;17&lt;/ref-type&gt;&lt;contributors&gt;&lt;authors&gt;&lt;author&gt;Bostan, Ionel&lt;/author&gt;&lt;author&gt;Toma, Constantin&lt;/author&gt;&lt;author&gt;Aevoae, George&lt;/author&gt;&lt;author&gt;Robu, Ioan-Bogdan&lt;/author&gt;&lt;author&gt;Mardiros, Daniela Neonila&lt;/author&gt;&lt;author&gt;Topliceanu, Ștefan Cătălin&lt;/author&gt;&lt;/authors&gt;&lt;/contributors&gt;&lt;titles&gt;&lt;title&gt;Effects of internal and external factors on economic growth in emerging economies: Evidence from CEE countries&lt;/title&gt;&lt;secondary-title&gt;Eastern European Economics&lt;/secondary-title&gt;&lt;/titles&gt;&lt;periodical&gt;&lt;full-title&gt;Eastern European Economics&lt;/full-title&gt;&lt;/periodical&gt;&lt;pages&gt;66-85&lt;/pages&gt;&lt;volume&gt;61&lt;/volume&gt;&lt;number&gt;1&lt;/number&gt;&lt;dates&gt;&lt;year&gt;2023&lt;/year&gt;&lt;/dates&gt;&lt;isbn&gt;0012-8775&lt;/isbn&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rPr>
        <w:t>(</w:t>
      </w:r>
      <w:hyperlink w:anchor="_ENREF_8" w:tooltip="Bostan, 2023 #1" w:history="1">
        <w:r w:rsidRPr="00D96905">
          <w:rPr>
            <w:rFonts w:ascii="Times New Roman" w:hAnsi="Times New Roman" w:cs="Times New Roman"/>
          </w:rPr>
          <w:t>Bostan et al., 2023</w:t>
        </w:r>
      </w:hyperlink>
      <w:r w:rsidRPr="00D96905">
        <w:rPr>
          <w:rFonts w:ascii="Times New Roman" w:hAnsi="Times New Roman" w:cs="Times New Roman"/>
        </w:rPr>
        <w:t>)</w:t>
      </w:r>
      <w:r w:rsidRPr="00D96905">
        <w:rPr>
          <w:rFonts w:ascii="Times New Roman" w:hAnsi="Times New Roman" w:cs="Times New Roman"/>
        </w:rPr>
        <w:fldChar w:fldCharType="end"/>
      </w:r>
      <w:r w:rsidRPr="00D96905">
        <w:rPr>
          <w:rFonts w:ascii="Times New Roman" w:hAnsi="Times New Roman" w:cs="Times New Roman"/>
        </w:rPr>
        <w:t xml:space="preserve">. This is a problem that has not yet been resolved by politicians, economists, and investors in the current global context. The BRICS nations, including Brazil, Russia, India, China, and South Africa, have been identified as the driving force behind the future world economy and are currently at a critical juncture </w:t>
      </w:r>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&lt;EndNote&gt;&lt;Cite&gt;&lt;Author&gt;Iqbal&lt;/Author&gt;&lt;Year&gt;2022&lt;/Year&gt;&lt;RecNum&gt;2&lt;/RecNum&gt;&lt;DisplayText&gt;(Iqbal, 2022)&lt;/DisplayText&gt;&lt;record&gt;&lt;rec-number&gt;2&lt;/rec-number&gt;&lt;foreign-keys&gt;&lt;key app="EN" db-id="advdwe00srftrhedwtpxdpf6fvw2d5ev25r2" timestamp="1768055169"&gt;2&lt;/key&gt;&lt;/foreign-keys&gt;&lt;ref-type name="Generic"&gt;13&lt;/ref-type&gt;&lt;contributors&gt;&lt;authors&gt;&lt;author&gt;Iqbal, Badar Alam&lt;/author&gt;&lt;/authors&gt;&lt;/contributors&gt;&lt;titles&gt;&lt;title&gt;BRICS as a driver of global economic growth and development&lt;/title&gt;&lt;/titles&gt;&lt;pages&gt;7-8&lt;/pages&gt;&lt;volume&gt;14&lt;/volume&gt;&lt;number&gt;1&lt;/number&gt;&lt;dates&gt;&lt;year&gt;2022&lt;/year&gt;&lt;/dates&gt;&lt;publisher&gt;SAGE Publications Sage India: New Delhi, India&lt;/publisher&gt;&lt;isbn&gt;0974-9101&lt;/isbn&gt;&lt;urls&gt;&lt;/urls&gt;&lt;/record&gt;&lt;/Cite&gt;&lt;/EndNote&gt;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rPr>
        <w:t>(</w:t>
      </w:r>
      <w:hyperlink w:anchor="_ENREF_21" w:tooltip="Iqbal, 2022 #2" w:history="1">
        <w:r w:rsidRPr="00D96905">
          <w:rPr>
            <w:rFonts w:ascii="Times New Roman" w:hAnsi="Times New Roman" w:cs="Times New Roman"/>
          </w:rPr>
          <w:t>Iqbal, 2022</w:t>
        </w:r>
      </w:hyperlink>
      <w:r w:rsidRPr="00D96905">
        <w:rPr>
          <w:rFonts w:ascii="Times New Roman" w:hAnsi="Times New Roman" w:cs="Times New Roman"/>
        </w:rPr>
        <w:t>)</w:t>
      </w:r>
      <w:r w:rsidRPr="00D96905">
        <w:rPr>
          <w:rFonts w:ascii="Times New Roman" w:hAnsi="Times New Roman" w:cs="Times New Roman"/>
        </w:rPr>
        <w:fldChar w:fldCharType="end"/>
      </w:r>
      <w:r w:rsidRPr="00D96905">
        <w:rPr>
          <w:rFonts w:ascii="Times New Roman" w:hAnsi="Times New Roman" w:cs="Times New Roman"/>
        </w:rPr>
        <w:t>. Emerging economies are part of the global economic scene in the 21st century, and the BRICS countries have established unique positions and gravitational power in the global financial development. The countries in question denote a substantial proportion of the global</w:t>
      </w:r>
      <w:r>
        <w:rPr>
          <w:rFonts w:ascii="Times New Roman" w:hAnsi="Times New Roman" w:cs="Times New Roman"/>
        </w:rPr>
        <w:t xml:space="preserve"> population</w:t>
      </w:r>
      <w:r w:rsidRPr="00D96905">
        <w:rPr>
          <w:rFonts w:ascii="Times New Roman" w:hAnsi="Times New Roman" w:cs="Times New Roman"/>
        </w:rPr>
        <w:t xml:space="preserve"> and GDP. They need an increase in tax revenues to fund rising government expenditure and invest in infrastructure; at the same time, they need to have a high-quality financial system that can provide affordable and adequate credit to the non-governmental sector. Both problems seem to be conflicting </w:t>
      </w:r>
      <w:r>
        <w:rPr>
          <w:rFonts w:ascii="Times New Roman" w:hAnsi="Times New Roman" w:cs="Times New Roman"/>
        </w:rPr>
        <w:t>with each o</w:t>
      </w:r>
      <w:r w:rsidRPr="00D96905">
        <w:rPr>
          <w:rFonts w:ascii="Times New Roman" w:hAnsi="Times New Roman" w:cs="Times New Roman"/>
        </w:rPr>
        <w:t xml:space="preserve">ther: by </w:t>
      </w:r>
      <w:r w:rsidRPr="00D96905">
        <w:rPr>
          <w:rFonts w:ascii="Times New Roman" w:hAnsi="Times New Roman" w:cs="Times New Roman"/>
        </w:rPr>
        <w:lastRenderedPageBreak/>
        <w:t>levying greater taxes on the people in order to gain more money, the government does not have enough money to create significant personal investment; on the other hand, by lowering taxes, the state can maintain a constant economic system is in doubt. This dilemma makes up the Financial Dilemma that is the major impetus for the current study.</w:t>
      </w:r>
    </w:p>
    <w:p w14:paraId="20202C6E" w14:textId="77777777" w:rsidR="00AE4452" w:rsidRPr="00D96905" w:rsidRDefault="00AE4452" w:rsidP="00AE4452">
      <w:pPr>
        <w:spacing w:line="360" w:lineRule="auto"/>
        <w:jc w:val="both"/>
        <w:rPr>
          <w:rFonts w:ascii="Times New Roman" w:hAnsi="Times New Roman" w:cs="Times New Roman"/>
        </w:rPr>
      </w:pPr>
    </w:p>
    <w:p w14:paraId="0D552AD7" w14:textId="30FECF04" w:rsidR="00AE4452" w:rsidRPr="00D96905" w:rsidRDefault="00AE4452" w:rsidP="00AE4452">
      <w:pPr>
        <w:spacing w:line="360" w:lineRule="auto"/>
        <w:jc w:val="both"/>
        <w:rPr>
          <w:rFonts w:ascii="Times New Roman" w:hAnsi="Times New Roman" w:cs="Times New Roman"/>
        </w:rPr>
      </w:pPr>
      <w:r w:rsidRPr="00D96905">
        <w:rPr>
          <w:rFonts w:ascii="Times New Roman" w:hAnsi="Times New Roman" w:cs="Times New Roman"/>
        </w:rPr>
        <w:t xml:space="preserve">The study is driven by the fact that standard economic theories usually approach tax policy and financial development as separate phenomena </w:t>
      </w:r>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&lt;EndNote&gt;&lt;Cite&gt;&lt;Author&gt;Durusu-Ciftci&lt;/Author&gt;&lt;Year&gt;2017&lt;/Year&gt;&lt;RecNum&gt;3&lt;/RecNum&gt;&lt;DisplayText&gt;(Durusu-Ciftci et al., 2017)&lt;/DisplayText&gt;&lt;record&gt;&lt;rec-number&gt;3&lt;/rec-number&gt;&lt;foreign-keys&gt;&lt;key app="EN" db-id="advdwe00srftrhedwtpxdpf6fvw2d5ev25r2" timestamp="1768055637"&gt;3&lt;/key&gt;&lt;/foreign-keys&gt;&lt;ref-type name="Journal Article"&gt;17&lt;/ref-type&gt;&lt;contributors&gt;&lt;authors&gt;&lt;author&gt;Durusu-Ciftci, Dilek&lt;/author&gt;&lt;author&gt;Ispir, M Serdar&lt;/author&gt;&lt;author&gt;Yetkiner, Hakan&lt;/author&gt;&lt;/authors&gt;&lt;/contributors&gt;&lt;titles&gt;&lt;title&gt;Financial development and economic growth: Some theory and more evidence&lt;/title&gt;&lt;secondary-title&gt;Journal of policy modeling&lt;/secondary-title&gt;&lt;/titles&gt;&lt;periodical&gt;&lt;full-title&gt;Journal of policy modeling&lt;/full-title&gt;&lt;/periodical&gt;&lt;pages&gt;290-306&lt;/pages&gt;&lt;volume&gt;39&lt;/volume&gt;&lt;number&gt;2&lt;/number&gt;&lt;dates&gt;&lt;year&gt;2017&lt;/year&gt;&lt;/dates&gt;&lt;isbn&gt;0161-8938&lt;/isbn&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noProof/>
        </w:rPr>
        <w:t>(</w:t>
      </w:r>
      <w:hyperlink w:anchor="_ENREF_13" w:tooltip="Durusu-Ciftci, 2017 #3" w:history="1">
        <w:r w:rsidRPr="00D96905">
          <w:rPr>
            <w:rFonts w:ascii="Times New Roman" w:hAnsi="Times New Roman" w:cs="Times New Roman"/>
            <w:noProof/>
          </w:rPr>
          <w:t>Durusu-Ciftci et al., 2017</w:t>
        </w:r>
      </w:hyperlink>
      <w:r w:rsidRPr="00D96905">
        <w:rPr>
          <w:rFonts w:ascii="Times New Roman" w:hAnsi="Times New Roman" w:cs="Times New Roman"/>
          <w:noProof/>
        </w:rPr>
        <w:t>)</w:t>
      </w:r>
      <w:r w:rsidRPr="00D96905">
        <w:rPr>
          <w:rFonts w:ascii="Times New Roman" w:hAnsi="Times New Roman" w:cs="Times New Roman"/>
        </w:rPr>
        <w:fldChar w:fldCharType="end"/>
      </w:r>
      <w:r>
        <w:rPr>
          <w:rFonts w:ascii="Times New Roman" w:hAnsi="Times New Roman" w:cs="Times New Roman"/>
        </w:rPr>
        <w:t>. However,</w:t>
      </w:r>
      <w:r w:rsidRPr="00D96905">
        <w:rPr>
          <w:rFonts w:ascii="Times New Roman" w:hAnsi="Times New Roman" w:cs="Times New Roman"/>
        </w:rPr>
        <w:t xml:space="preserve"> in practice</w:t>
      </w:r>
      <w:r>
        <w:rPr>
          <w:rFonts w:ascii="Times New Roman" w:hAnsi="Times New Roman" w:cs="Times New Roman"/>
        </w:rPr>
        <w:t>,</w:t>
      </w:r>
      <w:r w:rsidRPr="00D96905">
        <w:rPr>
          <w:rFonts w:ascii="Times New Roman" w:hAnsi="Times New Roman" w:cs="Times New Roman"/>
        </w:rPr>
        <w:t xml:space="preserve"> the empirical reality is often much more complex. The BRICS group, which accounts for almost forty percentage of the global populace and a quarter of the world's gross domestic product, is now facing different problems. Since the financial crisis of 2008, these countries have taken on massive government spending to stimulate their economies, and hence their reliance on taxation. The central question, therefore, arises: could these tax increases hinder the private sector's access to credit? Are banks preferring to invest in government bonds rather than in private enterprises? This research underlines the large influence that tax structure has on the performance of the banking industry and the financial well-being of the private sector. One factor in the ongoing growth of these economies is the connection that exists between the development of the banking industry and the collection of tax money. Tax revenues are the major fiscal resource for governments, the basis of public welfare </w:t>
      </w:r>
      <w:proofErr w:type="spellStart"/>
      <w:r w:rsidRPr="00D96905">
        <w:rPr>
          <w:rFonts w:ascii="Times New Roman" w:hAnsi="Times New Roman" w:cs="Times New Roman"/>
        </w:rPr>
        <w:t>programmes</w:t>
      </w:r>
      <w:proofErr w:type="spellEnd"/>
      <w:r w:rsidRPr="00D96905">
        <w:rPr>
          <w:rFonts w:ascii="Times New Roman" w:hAnsi="Times New Roman" w:cs="Times New Roman"/>
        </w:rPr>
        <w:t xml:space="preserve">, and financial stability </w:t>
      </w:r>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&lt;EndNote&gt;&lt;Cite&gt;&lt;Author&gt;Chugunov&lt;/Author&gt;&lt;Year&gt;2020&lt;/Year&gt;&lt;RecNum&gt;4&lt;/RecNum&gt;&lt;DisplayText&gt;(Chugunov et al., 2020)&lt;/DisplayText&gt;&lt;record&gt;&lt;rec-number&gt;4&lt;/rec-number&gt;&lt;foreign-keys&gt;&lt;key app="EN" db-id="advdwe00srftrhedwtpxdpf6fvw2d5ev25r2" timestamp="1768055736"&gt;4&lt;/key&gt;&lt;/foreign-keys&gt;&lt;ref-type name="Journal Article"&gt;17&lt;/ref-type&gt;&lt;contributors&gt;&lt;authors&gt;&lt;author&gt;Chugunov, Igor&lt;/author&gt;&lt;author&gt;Vatulov, Andrii&lt;/author&gt;&lt;author&gt;Markuts, Yuliya&lt;/author&gt;&lt;/authors&gt;&lt;/contributors&gt;&lt;titles&gt;&lt;title&gt;General government revenue in the system of fiscal regulation&lt;/title&gt;&lt;secondary-title&gt;Investment Management &amp;amp; Financial Innovations&lt;/secondary-title&gt;&lt;/titles&gt;&lt;periodical&gt;&lt;full-title&gt;Investment Management &amp;amp; Financial Innovations&lt;/full-title&gt;&lt;/periodical&gt;&lt;pages&gt;134&lt;/pages&gt;&lt;volume&gt;17&lt;/volume&gt;&lt;number&gt;1&lt;/number&gt;&lt;dates&gt;&lt;year&gt;2020&lt;/year&gt;&lt;/dates&gt;&lt;isbn&gt;1810-4967&lt;/isbn&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noProof/>
        </w:rPr>
        <w:t>(</w:t>
      </w:r>
      <w:hyperlink w:anchor="_ENREF_11" w:tooltip="Chugunov, 2020 #4" w:history="1">
        <w:r w:rsidRPr="00D96905">
          <w:rPr>
            <w:rFonts w:ascii="Times New Roman" w:hAnsi="Times New Roman" w:cs="Times New Roman"/>
            <w:noProof/>
          </w:rPr>
          <w:t>Chugunov et al., 2020</w:t>
        </w:r>
      </w:hyperlink>
      <w:r w:rsidRPr="00D96905">
        <w:rPr>
          <w:rFonts w:ascii="Times New Roman" w:hAnsi="Times New Roman" w:cs="Times New Roman"/>
          <w:noProof/>
        </w:rPr>
        <w:t>)</w:t>
      </w:r>
      <w:r w:rsidRPr="00D96905">
        <w:rPr>
          <w:rFonts w:ascii="Times New Roman" w:hAnsi="Times New Roman" w:cs="Times New Roman"/>
        </w:rPr>
        <w:fldChar w:fldCharType="end"/>
      </w:r>
      <w:r w:rsidRPr="00D96905">
        <w:rPr>
          <w:rFonts w:ascii="Times New Roman" w:hAnsi="Times New Roman" w:cs="Times New Roman"/>
        </w:rPr>
        <w:t xml:space="preserve">. Financial development (FD)- measured by the loans presented by banks to the private sector - reflects the degree to which the financial system of a country facilitates investment and economic activity. Consequently, there is a link between financial development and economic growth. A well-developed banking system improves savings, capital allocation, and risk management. Therefore, it is very important to explain how tax policies and revenues affect the performance of the financial sector. Recent research shows that an efficient tax system can encourage financial development, rather than hinder it as is commonly believed (i.e., that taxes are a burden or a distortion). Taxes fund infrastructure, education, and technology, promoting the creditworthiness and borrowing capacity of the private sector. The main goal of the paper is to explain the link between tax income and the financial development of the BRICS countries. Due to their level of development, these countries have to balance global economic norms with national fiscal stability, which makes this research indispensable. The period covered by the research runs from 2010 to 2025, which is an </w:t>
      </w:r>
      <w:r w:rsidRPr="00D96905">
        <w:rPr>
          <w:rFonts w:ascii="Times New Roman" w:hAnsi="Times New Roman" w:cs="Times New Roman"/>
        </w:rPr>
        <w:lastRenderedPageBreak/>
        <w:t xml:space="preserve">important period for the global economy due to the financial crisis of 2008, oil price shocks, and supply chain disruptions. Despite these challenges, the economies of the BRICS countries have managed to continue their growth, thus putting fiscal systems and tax policies to the </w:t>
      </w:r>
      <w:r>
        <w:rPr>
          <w:rFonts w:ascii="Times New Roman" w:hAnsi="Times New Roman" w:cs="Times New Roman"/>
        </w:rPr>
        <w:t>test</w:t>
      </w:r>
      <w:r w:rsidRPr="00D96905">
        <w:rPr>
          <w:rFonts w:ascii="Times New Roman" w:hAnsi="Times New Roman" w:cs="Times New Roman"/>
        </w:rPr>
        <w:t xml:space="preserve">. </w:t>
      </w:r>
    </w:p>
    <w:p w14:paraId="17593A66" w14:textId="5E6B7DE9" w:rsidR="00AE4452" w:rsidRDefault="00AE4452" w:rsidP="00AE4452">
      <w:pPr>
        <w:spacing w:line="360" w:lineRule="auto"/>
        <w:jc w:val="both"/>
        <w:rPr>
          <w:rFonts w:ascii="Times New Roman" w:hAnsi="Times New Roman" w:cs="Times New Roman"/>
        </w:rPr>
      </w:pPr>
      <w:r w:rsidRPr="00D96905">
        <w:rPr>
          <w:rFonts w:ascii="Times New Roman" w:hAnsi="Times New Roman" w:cs="Times New Roman"/>
        </w:rPr>
        <w:t xml:space="preserve">Economic growth and performance are assessed through the indicator GDP per capita </w:t>
      </w:r>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&lt;EndNote&gt;&lt;Cite&gt;&lt;Author&gt;Dědeček&lt;/Author&gt;&lt;Year&gt;2022&lt;/Year&gt;&lt;RecNum&gt;6&lt;/RecNum&gt;&lt;DisplayText&gt;(Dědeček &amp;amp; Dudzich, 2022)&lt;/DisplayText&gt;&lt;record&gt;&lt;rec-number&gt;6&lt;/rec-number&gt;&lt;foreign-keys&gt;&lt;key app="EN" db-id="advdwe00srftrhedwtpxdpf6fvw2d5ev25r2" timestamp="1768055971"&gt;6&lt;/key&gt;&lt;/foreign-keys&gt;&lt;ref-type name="Journal Article"&gt;17&lt;/ref-type&gt;&lt;contributors&gt;&lt;authors&gt;&lt;author&gt;Dědeček, Radek&lt;/author&gt;&lt;author&gt;Dudzich, Viktar&lt;/author&gt;&lt;/authors&gt;&lt;/contributors&gt;&lt;titles&gt;&lt;title&gt;Exploring the limitations of GDP per capita as an indicator of economic development: A cross-country perspective&lt;/title&gt;&lt;secondary-title&gt;Review of Economic Perspectives&lt;/secondary-title&gt;&lt;/titles&gt;&lt;periodical&gt;&lt;full-title&gt;Review of Economic Perspectives&lt;/full-title&gt;&lt;/periodical&gt;&lt;pages&gt;193-217&lt;/pages&gt;&lt;volume&gt;22&lt;/volume&gt;&lt;number&gt;3&lt;/number&gt;&lt;dates&gt;&lt;year&gt;2022&lt;/year&gt;&lt;/dates&gt;&lt;isbn&gt;1213-2446&lt;/isbn&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rPr>
        <w:t>(</w:t>
      </w:r>
      <w:hyperlink w:anchor="_ENREF_12" w:tooltip="Dědeček, 2022 #6" w:history="1">
        <w:r w:rsidRPr="00D96905">
          <w:rPr>
            <w:rFonts w:ascii="Times New Roman" w:hAnsi="Times New Roman" w:cs="Times New Roman"/>
          </w:rPr>
          <w:t>Dědeček &amp; Dudzich, 2022</w:t>
        </w:r>
      </w:hyperlink>
      <w:r w:rsidRPr="00D96905">
        <w:rPr>
          <w:rFonts w:ascii="Times New Roman" w:hAnsi="Times New Roman" w:cs="Times New Roman"/>
        </w:rPr>
        <w:t>)</w:t>
      </w:r>
      <w:r w:rsidRPr="00D96905">
        <w:rPr>
          <w:rFonts w:ascii="Times New Roman" w:hAnsi="Times New Roman" w:cs="Times New Roman"/>
        </w:rPr>
        <w:fldChar w:fldCharType="end"/>
      </w:r>
      <w:r w:rsidRPr="00D96905">
        <w:rPr>
          <w:rFonts w:ascii="Times New Roman" w:hAnsi="Times New Roman" w:cs="Times New Roman"/>
        </w:rPr>
        <w:t xml:space="preserve">. Fiscal development and economic growth are interdependent; financial development fosters investment, which in turn stimulates both economic growth and the expansion of the financial sector. This mutual dependence presupposes the extra complexity in BRICS conditions, in which the forces of the government </w:t>
      </w:r>
      <w:proofErr w:type="spellStart"/>
      <w:r w:rsidRPr="00D96905">
        <w:rPr>
          <w:rFonts w:ascii="Times New Roman" w:hAnsi="Times New Roman" w:cs="Times New Roman"/>
        </w:rPr>
        <w:t>harmonise</w:t>
      </w:r>
      <w:proofErr w:type="spellEnd"/>
      <w:r w:rsidRPr="00D96905">
        <w:rPr>
          <w:rFonts w:ascii="Times New Roman" w:hAnsi="Times New Roman" w:cs="Times New Roman"/>
        </w:rPr>
        <w:t xml:space="preserve"> with the forces of the market. Consequently, it will be of interest to investigate how increases in tax revenue influence economic growth and financial development. An important control variable in this analysis is 'Trade Openness', which is a necessity. A </w:t>
      </w:r>
      <w:proofErr w:type="spellStart"/>
      <w:r w:rsidRPr="00D96905">
        <w:rPr>
          <w:rFonts w:ascii="Times New Roman" w:hAnsi="Times New Roman" w:cs="Times New Roman"/>
        </w:rPr>
        <w:t>globalised</w:t>
      </w:r>
      <w:proofErr w:type="spellEnd"/>
      <w:r w:rsidRPr="00D96905">
        <w:rPr>
          <w:rFonts w:ascii="Times New Roman" w:hAnsi="Times New Roman" w:cs="Times New Roman"/>
        </w:rPr>
        <w:t xml:space="preserve"> economy is highly </w:t>
      </w:r>
      <w:proofErr w:type="spellStart"/>
      <w:r w:rsidRPr="00D96905">
        <w:rPr>
          <w:rFonts w:ascii="Times New Roman" w:hAnsi="Times New Roman" w:cs="Times New Roman"/>
        </w:rPr>
        <w:t>globalised</w:t>
      </w:r>
      <w:proofErr w:type="spellEnd"/>
      <w:r w:rsidRPr="00D96905">
        <w:rPr>
          <w:rFonts w:ascii="Times New Roman" w:hAnsi="Times New Roman" w:cs="Times New Roman"/>
        </w:rPr>
        <w:t xml:space="preserve">, and no country can succeed on its own. The degree of trade openness, measured as the ratio of exports to foreign trade to GDP </w:t>
      </w:r>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&lt;EndNote&gt;&lt;Cite&gt;&lt;Author&gt;Bleaney&lt;/Author&gt;&lt;Year&gt;2023&lt;/Year&gt;&lt;RecNum&gt;7&lt;/RecNum&gt;&lt;DisplayText&gt;(Bleaney &amp;amp; Tian, 2023)&lt;/DisplayText&gt;&lt;record&gt;&lt;rec-number&gt;7&lt;/rec-number&gt;&lt;foreign-keys&gt;&lt;key app="EN" db-id="advdwe00srftrhedwtpxdpf6fvw2d5ev25r2" timestamp="1768056042"&gt;7&lt;/key&gt;&lt;/foreign-keys&gt;&lt;ref-type name="Journal Article"&gt;17&lt;/ref-type&gt;&lt;contributors&gt;&lt;authors&gt;&lt;author&gt;Bleaney, Michael&lt;/author&gt;&lt;author&gt;Tian, Mo&lt;/author&gt;&lt;/authors&gt;&lt;/contributors&gt;&lt;titles&gt;&lt;title&gt;The trade‐GDP ratio as a measure of openness&lt;/title&gt;&lt;secondary-title&gt;The World Economy&lt;/secondary-title&gt;&lt;/titles&gt;&lt;periodical&gt;&lt;full-title&gt;The World Economy&lt;/full-title&gt;&lt;/periodical&gt;&lt;pages&gt;1319-1332&lt;/pages&gt;&lt;volume&gt;46&lt;/volume&gt;&lt;number&gt;5&lt;/number&gt;&lt;dates&gt;&lt;year&gt;2023&lt;/year&gt;&lt;/dates&gt;&lt;isbn&gt;0378-5920&lt;/isbn&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rPr>
        <w:t>(</w:t>
      </w:r>
      <w:hyperlink w:anchor="_ENREF_6" w:tooltip="Bleaney, 2023 #7" w:history="1">
        <w:r w:rsidRPr="00D96905">
          <w:rPr>
            <w:rFonts w:ascii="Times New Roman" w:hAnsi="Times New Roman" w:cs="Times New Roman"/>
          </w:rPr>
          <w:t>Bleaney &amp; Tian, 2023</w:t>
        </w:r>
      </w:hyperlink>
      <w:r w:rsidRPr="00D96905">
        <w:rPr>
          <w:rFonts w:ascii="Times New Roman" w:hAnsi="Times New Roman" w:cs="Times New Roman"/>
        </w:rPr>
        <w:t>)</w:t>
      </w:r>
      <w:r w:rsidRPr="00D96905">
        <w:rPr>
          <w:rFonts w:ascii="Times New Roman" w:hAnsi="Times New Roman" w:cs="Times New Roman"/>
        </w:rPr>
        <w:fldChar w:fldCharType="end"/>
      </w:r>
      <w:r w:rsidRPr="00D96905">
        <w:rPr>
          <w:rFonts w:ascii="Times New Roman" w:hAnsi="Times New Roman" w:cs="Times New Roman"/>
        </w:rPr>
        <w:t>, is used as an indicator of a country's relationship to world trade. The BRICS countries rely on exports, such as China's manufacturing and Russia's energy industry. Trade openness attracts foreign capital and enhances the competitiveness of domestic financial institutions by prompting them to adopt international norms.</w:t>
      </w:r>
    </w:p>
    <w:p w14:paraId="552208AF" w14:textId="77777777" w:rsidR="00AE4452" w:rsidRDefault="00AE4452" w:rsidP="00AE4452">
      <w:pPr>
        <w:spacing w:line="360" w:lineRule="auto"/>
        <w:jc w:val="both"/>
        <w:rPr>
          <w:rFonts w:ascii="Times New Roman" w:hAnsi="Times New Roman" w:cs="Times New Roman"/>
        </w:rPr>
      </w:pPr>
      <w:r w:rsidRPr="00D96905">
        <w:rPr>
          <w:rFonts w:ascii="Times New Roman" w:hAnsi="Times New Roman" w:cs="Times New Roman"/>
        </w:rPr>
        <w:t xml:space="preserve">When local firms engage in global trade, they require greater capital and superior financial services, thereby augmenting private sector credit. Conversely, trade openness heightens exposure to external shocks, which may </w:t>
      </w:r>
      <w:proofErr w:type="spellStart"/>
      <w:r w:rsidRPr="00D96905">
        <w:rPr>
          <w:rFonts w:ascii="Times New Roman" w:hAnsi="Times New Roman" w:cs="Times New Roman"/>
        </w:rPr>
        <w:t>jeopardise</w:t>
      </w:r>
      <w:proofErr w:type="spellEnd"/>
      <w:r w:rsidRPr="00D96905">
        <w:rPr>
          <w:rFonts w:ascii="Times New Roman" w:hAnsi="Times New Roman" w:cs="Times New Roman"/>
        </w:rPr>
        <w:t xml:space="preserve"> financial system stability. Methodologically, this research will employ advanced Panel Co</w:t>
      </w:r>
      <w:r>
        <w:rPr>
          <w:rFonts w:ascii="Times New Roman" w:hAnsi="Times New Roman" w:cs="Times New Roman"/>
        </w:rPr>
        <w:t>-</w:t>
      </w:r>
      <w:r w:rsidRPr="00D96905">
        <w:rPr>
          <w:rFonts w:ascii="Times New Roman" w:hAnsi="Times New Roman" w:cs="Times New Roman"/>
        </w:rPr>
        <w:t xml:space="preserve">integration Techniques, leveraging long-run panel data from 2010 to 2025. These methods will help us to understand long-term associations better by dampening short-run noise. Key questions include whether a permanent equilibrium exists between taxes and financial development, and whether the causal relationship is unidirectional or bidirectional. The answers to these questions are controlled to inform the future economic strategies of the BRICS countries. Therefore, this investigation transcends mere quantitative analysis; it constitutes a narrative concerning the perseverance and flourishing of emerging economies. The study will </w:t>
      </w:r>
      <w:proofErr w:type="spellStart"/>
      <w:r w:rsidRPr="00D96905">
        <w:rPr>
          <w:rFonts w:ascii="Times New Roman" w:hAnsi="Times New Roman" w:cs="Times New Roman"/>
        </w:rPr>
        <w:t>scrutinise</w:t>
      </w:r>
      <w:proofErr w:type="spellEnd"/>
      <w:r w:rsidRPr="00D96905">
        <w:rPr>
          <w:rFonts w:ascii="Times New Roman" w:hAnsi="Times New Roman" w:cs="Times New Roman"/>
        </w:rPr>
        <w:t xml:space="preserve"> whether BRICS nations can reform their tax policies to function as an enabler rather than an impediment to the private sector. All member states--from Brazil to China--seek this equilibrium, and this research represents a significant gap toward that </w:t>
      </w:r>
      <w:r w:rsidRPr="00D96905">
        <w:rPr>
          <w:rFonts w:ascii="Times New Roman" w:hAnsi="Times New Roman" w:cs="Times New Roman"/>
        </w:rPr>
        <w:lastRenderedPageBreak/>
        <w:t>objective. The following parts will develop the subject using theoretical concepts, analysis of empirical data, and related findings.</w:t>
      </w:r>
    </w:p>
    <w:p w14:paraId="15B4132B" w14:textId="77777777" w:rsidR="00AE4452" w:rsidRDefault="00AE4452" w:rsidP="00AE4452">
      <w:pPr>
        <w:spacing w:line="360" w:lineRule="auto"/>
        <w:jc w:val="both"/>
        <w:rPr>
          <w:rFonts w:ascii="Times New Roman" w:hAnsi="Times New Roman" w:cs="Times New Roman"/>
        </w:rPr>
      </w:pPr>
    </w:p>
    <w:p w14:paraId="38501A2F" w14:textId="77777777" w:rsidR="00AE4452" w:rsidRDefault="00AE4452" w:rsidP="00AE4452">
      <w:pPr>
        <w:spacing w:line="360" w:lineRule="auto"/>
        <w:jc w:val="both"/>
        <w:rPr>
          <w:rFonts w:ascii="Times New Roman" w:hAnsi="Times New Roman" w:cs="Times New Roman"/>
        </w:rPr>
      </w:pPr>
    </w:p>
    <w:p w14:paraId="74095470" w14:textId="77777777" w:rsidR="00AE4452" w:rsidRPr="00D96905" w:rsidRDefault="00AE4452" w:rsidP="00AE4452">
      <w:pPr>
        <w:spacing w:line="360" w:lineRule="auto"/>
        <w:jc w:val="both"/>
        <w:rPr>
          <w:rFonts w:ascii="Times New Roman" w:hAnsi="Times New Roman" w:cs="Times New Roman"/>
        </w:rPr>
      </w:pPr>
    </w:p>
    <w:p w14:paraId="24F944F3" w14:textId="77777777" w:rsidR="00AE4452" w:rsidRDefault="00AE4452" w:rsidP="00AE4452">
      <w:pPr>
        <w:spacing w:after="0" w:line="240" w:lineRule="auto"/>
        <w:jc w:val="both"/>
        <w:rPr>
          <w:rFonts w:ascii="Times New Roman" w:eastAsia="Times New Roman" w:hAnsi="Times New Roman" w:cs="Times New Roman"/>
          <w:b/>
          <w:bCs/>
          <w:kern w:val="0"/>
          <w:sz w:val="32"/>
          <w:szCs w:val="32"/>
          <w14:ligatures w14:val="none"/>
        </w:rPr>
      </w:pPr>
      <w:r w:rsidRPr="00D96905">
        <w:rPr>
          <w:rFonts w:ascii="Times New Roman" w:eastAsia="Times New Roman" w:hAnsi="Times New Roman" w:cs="Times New Roman"/>
          <w:b/>
          <w:bCs/>
          <w:kern w:val="0"/>
          <w:sz w:val="32"/>
          <w:szCs w:val="32"/>
          <w14:ligatures w14:val="none"/>
        </w:rPr>
        <w:t>Literature</w:t>
      </w:r>
    </w:p>
    <w:p w14:paraId="09D6E649" w14:textId="77777777" w:rsidR="00AE4452" w:rsidRPr="00D96905" w:rsidRDefault="00AE4452" w:rsidP="00AE4452">
      <w:pPr>
        <w:spacing w:after="0" w:line="240" w:lineRule="auto"/>
        <w:jc w:val="both"/>
        <w:rPr>
          <w:rFonts w:ascii="Times New Roman" w:eastAsia="Times New Roman" w:hAnsi="Times New Roman" w:cs="Times New Roman"/>
          <w:b/>
          <w:bCs/>
          <w:kern w:val="0"/>
          <w:sz w:val="32"/>
          <w:szCs w:val="32"/>
          <w14:ligatures w14:val="none"/>
        </w:rPr>
      </w:pPr>
    </w:p>
    <w:p w14:paraId="144D475A" w14:textId="77777777" w:rsidR="00AE4452" w:rsidRDefault="00AE4452" w:rsidP="00AE4452">
      <w:pPr>
        <w:spacing w:after="0" w:line="240" w:lineRule="auto"/>
        <w:jc w:val="both"/>
        <w:rPr>
          <w:rFonts w:ascii="Times New Roman" w:eastAsia="Times New Roman" w:hAnsi="Times New Roman" w:cs="Times New Roman"/>
          <w:b/>
          <w:bCs/>
          <w:kern w:val="0"/>
          <w:sz w:val="32"/>
          <w:szCs w:val="32"/>
          <w14:ligatures w14:val="none"/>
        </w:rPr>
      </w:pPr>
      <w:r w:rsidRPr="00D96905">
        <w:rPr>
          <w:rFonts w:ascii="Times New Roman" w:eastAsia="Times New Roman" w:hAnsi="Times New Roman" w:cs="Times New Roman"/>
          <w:b/>
          <w:bCs/>
          <w:kern w:val="0"/>
          <w:sz w:val="32"/>
          <w:szCs w:val="32"/>
          <w14:ligatures w14:val="none"/>
        </w:rPr>
        <w:t>Tax Revenue and Financial Development</w:t>
      </w:r>
    </w:p>
    <w:p w14:paraId="73B71073" w14:textId="77777777" w:rsidR="00AE4452" w:rsidRPr="00D96905" w:rsidRDefault="00AE4452" w:rsidP="00AE4452">
      <w:pPr>
        <w:spacing w:after="0" w:line="240" w:lineRule="auto"/>
        <w:jc w:val="both"/>
        <w:rPr>
          <w:rFonts w:ascii="Times New Roman" w:eastAsia="Times New Roman" w:hAnsi="Times New Roman" w:cs="Times New Roman"/>
          <w:b/>
          <w:bCs/>
          <w:kern w:val="0"/>
          <w:sz w:val="32"/>
          <w:szCs w:val="32"/>
          <w14:ligatures w14:val="none"/>
        </w:rPr>
      </w:pPr>
    </w:p>
    <w:p w14:paraId="50FEF3ED" w14:textId="0463B5C8" w:rsidR="00AE4452" w:rsidRPr="00D96905" w:rsidRDefault="00AE4452" w:rsidP="00AE4452">
      <w:pPr>
        <w:spacing w:line="360" w:lineRule="auto"/>
        <w:jc w:val="both"/>
        <w:rPr>
          <w:rFonts w:ascii="Times New Roman" w:hAnsi="Times New Roman" w:cs="Times New Roman"/>
        </w:rPr>
      </w:pPr>
      <w:r w:rsidRPr="00D96905">
        <w:rPr>
          <w:rFonts w:ascii="Times New Roman" w:hAnsi="Times New Roman" w:cs="Times New Roman"/>
        </w:rPr>
        <w:t xml:space="preserve">The research found that the growth of the financial sector positively affects tax revenue in China </w:t>
      </w:r>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&lt;EndNote&gt;&lt;Cite&gt;&lt;Author&gt;Muganyi&lt;/Author&gt;&lt;Year&gt;2022&lt;/Year&gt;&lt;RecNum&gt;8&lt;/RecNum&gt;&lt;DisplayText&gt;(Muganyi et al., 2022)&lt;/DisplayText&gt;&lt;record&gt;&lt;rec-number&gt;8&lt;/rec-number&gt;&lt;foreign-keys&gt;&lt;key app="EN" db-id="advdwe00srftrhedwtpxdpf6fvw2d5ev25r2" timestamp="1768056352"&gt;8&lt;/key&gt;&lt;/foreign-keys&gt;&lt;ref-type name="Journal Article"&gt;17&lt;/ref-type&gt;&lt;contributors&gt;&lt;authors&gt;&lt;author&gt;Muganyi, Tadiwanashe&lt;/author&gt;&lt;author&gt;Yan, Linnan&lt;/author&gt;&lt;author&gt;Yin, Yingkai&lt;/author&gt;&lt;author&gt;Sun, Huaping&lt;/author&gt;&lt;author&gt;Gong, Xiangbin&lt;/author&gt;&lt;author&gt;Taghizadeh-Hesary, Farhad&lt;/author&gt;&lt;/authors&gt;&lt;/contributors&gt;&lt;titles&gt;&lt;title&gt;Fintech, regtech, and financial development: evidence from China&lt;/title&gt;&lt;secondary-title&gt;Financial innovation&lt;/secondary-title&gt;&lt;/titles&gt;&lt;periodical&gt;&lt;full-title&gt;Financial innovation&lt;/full-title&gt;&lt;/periodical&gt;&lt;pages&gt;1-20&lt;/pages&gt;&lt;volume&gt;8&lt;/volume&gt;&lt;number&gt;1&lt;/number&gt;&lt;dates&gt;&lt;year&gt;2022&lt;/year&gt;&lt;/dates&gt;&lt;isbn&gt;2199-4730&lt;/isbn&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rPr>
        <w:t>(</w:t>
      </w:r>
      <w:hyperlink w:anchor="_ENREF_29" w:tooltip="Muganyi, 2022 #8" w:history="1">
        <w:r w:rsidRPr="00D96905">
          <w:rPr>
            <w:rFonts w:ascii="Times New Roman" w:hAnsi="Times New Roman" w:cs="Times New Roman"/>
          </w:rPr>
          <w:t>Muganyi et al., 2022</w:t>
        </w:r>
      </w:hyperlink>
      <w:r w:rsidRPr="00D96905">
        <w:rPr>
          <w:rFonts w:ascii="Times New Roman" w:hAnsi="Times New Roman" w:cs="Times New Roman"/>
        </w:rPr>
        <w:t>)</w:t>
      </w:r>
      <w:r w:rsidRPr="00D96905">
        <w:rPr>
          <w:rFonts w:ascii="Times New Roman" w:hAnsi="Times New Roman" w:cs="Times New Roman"/>
        </w:rPr>
        <w:fldChar w:fldCharType="end"/>
      </w:r>
      <w:r w:rsidRPr="00D96905">
        <w:rPr>
          <w:rFonts w:ascii="Times New Roman" w:hAnsi="Times New Roman" w:cs="Times New Roman"/>
        </w:rPr>
        <w:t xml:space="preserve">. This has been found by using an Error Correction Model (ECM). The research carried </w:t>
      </w:r>
      <w:r>
        <w:rPr>
          <w:rFonts w:ascii="Times New Roman" w:hAnsi="Times New Roman" w:cs="Times New Roman"/>
        </w:rPr>
        <w:t xml:space="preserve">out </w:t>
      </w:r>
      <w:r w:rsidRPr="00D96905">
        <w:rPr>
          <w:rFonts w:ascii="Times New Roman" w:hAnsi="Times New Roman" w:cs="Times New Roman"/>
        </w:rPr>
        <w:t xml:space="preserve">by </w:t>
      </w:r>
      <w:hyperlink w:anchor="_ENREF_43" w:tooltip="Von Fintel, 2020 #9" w:history="1">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 AuthorYear="1"&gt;&lt;Author&gt;Von Fintel&lt;/Author&gt;&lt;Year&gt;2020&lt;/Year&gt;&lt;RecNum&gt;9&lt;/RecNum&gt;&lt;DisplayText&gt;Von Fintel and Orthofer (2020)&lt;/DisplayText&gt;&lt;record&gt;&lt;rec-number&gt;9&lt;/rec-number&gt;&lt;foreign-keys&gt;&lt;key app="EN" db-id="advdwe00srftrhedwtpxdpf6fvw2d5ev25r2" timestamp="1768058126"&gt;9&lt;/key&gt;&lt;/foreign-keys&gt;&lt;ref-type name="Journal Article"&gt;17&lt;/ref-type&gt;&lt;contributors&gt;&lt;authors&gt;&lt;author&gt;Von Fintel, Dieter&lt;/author&gt;&lt;author&gt;Orthofer, Anna&lt;/author&gt;&lt;/authors&gt;&lt;/contributors&gt;&lt;titles&gt;&lt;title&gt;Wealth inequality and financial inclusion: Evidence from South African tax and survey records&lt;/title&gt;&lt;secondary-title&gt;Economic Modelling&lt;/secondary-title&gt;&lt;/titles&gt;&lt;periodical&gt;&lt;full-title&gt;Economic Modelling&lt;/full-title&gt;&lt;/periodical&gt;&lt;pages&gt;568-578&lt;/pages&gt;&lt;volume&gt;91&lt;/volume&gt;&lt;dates&gt;&lt;year&gt;2020&lt;/year&gt;&lt;/dates&gt;&lt;isbn&gt;0264-9993&lt;/isbn&gt;&lt;urls&gt;&lt;/urls&gt;&lt;/record&gt;&lt;/Cite&gt;&lt;/EndNote&gt;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rPr>
          <w:t>Von Fintel and Orthofer (2020)</w:t>
        </w:r>
        <w:r w:rsidRPr="00D96905">
          <w:rPr>
            <w:rFonts w:ascii="Times New Roman" w:hAnsi="Times New Roman" w:cs="Times New Roman"/>
          </w:rPr>
          <w:fldChar w:fldCharType="end"/>
        </w:r>
      </w:hyperlink>
      <w:r w:rsidRPr="00D96905">
        <w:rPr>
          <w:rFonts w:ascii="Times New Roman" w:hAnsi="Times New Roman" w:cs="Times New Roman"/>
        </w:rPr>
        <w:t xml:space="preserve"> in </w:t>
      </w:r>
      <w:r>
        <w:rPr>
          <w:rFonts w:ascii="Times New Roman" w:hAnsi="Times New Roman" w:cs="Times New Roman"/>
        </w:rPr>
        <w:t>S</w:t>
      </w:r>
      <w:r w:rsidRPr="00D96905">
        <w:rPr>
          <w:rFonts w:ascii="Times New Roman" w:hAnsi="Times New Roman" w:cs="Times New Roman"/>
        </w:rPr>
        <w:t>outh Africa was aimed at studying discrepancies in foreign taxes and financial development. The results of this research indicated that the financial industry was developed with the help of revenue generated by tax</w:t>
      </w:r>
      <w:r>
        <w:rPr>
          <w:rFonts w:ascii="Times New Roman" w:hAnsi="Times New Roman" w:cs="Times New Roman"/>
        </w:rPr>
        <w:t>es</w:t>
      </w:r>
      <w:r w:rsidRPr="00D96905">
        <w:rPr>
          <w:rFonts w:ascii="Times New Roman" w:hAnsi="Times New Roman" w:cs="Times New Roman"/>
        </w:rPr>
        <w:t xml:space="preserve">. </w:t>
      </w:r>
      <w:hyperlink w:anchor="_ENREF_26" w:tooltip="Leitao, 2010 #10" w:history="1">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 AuthorYear="1"&gt;&lt;Author&gt;Leitao&lt;/Author&gt;&lt;Year&gt;2010&lt;/Year&gt;&lt;RecNum&gt;10&lt;/RecNum&gt;&lt;DisplayText&gt;Leitao (2010)&lt;/DisplayText&gt;&lt;record&gt;&lt;rec-number&gt;10&lt;/rec-number&gt;&lt;foreign-keys&gt;&lt;key app="EN" db-id="advdwe00srftrhedwtpxdpf6fvw2d5ev25r2" timestamp="1768058251"&gt;10&lt;/key&gt;&lt;/foreign-keys&gt;&lt;ref-type name="Journal Article"&gt;17&lt;/ref-type&gt;&lt;contributors&gt;&lt;authors&gt;&lt;author&gt;Leitao, Nuno Carlos&lt;/author&gt;&lt;/authors&gt;&lt;/contributors&gt;&lt;titles&gt;&lt;title&gt;Financial development and economic growth: A panel data approach&lt;/title&gt;&lt;secondary-title&gt;Theoretical and Applied Economics&lt;/secondary-title&gt;&lt;/titles&gt;&lt;periodical&gt;&lt;full-title&gt;Theoretical and Applied Economics&lt;/full-title&gt;&lt;/periodical&gt;&lt;pages&gt;15-24&lt;/pages&gt;&lt;dates&gt;&lt;year&gt;2010&lt;/year&gt;&lt;/dates&gt;&lt;isbn&gt;1841-8678&lt;/isbn&gt;&lt;urls&gt;&lt;/urls&gt;&lt;/record&gt;&lt;/Cite&gt;&lt;/EndNote&gt;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rPr>
          <w:t>Leitao (2010)</w:t>
        </w:r>
        <w:r w:rsidRPr="00D96905">
          <w:rPr>
            <w:rFonts w:ascii="Times New Roman" w:hAnsi="Times New Roman" w:cs="Times New Roman"/>
          </w:rPr>
          <w:fldChar w:fldCharType="end"/>
        </w:r>
      </w:hyperlink>
      <w:r w:rsidRPr="00D96905">
        <w:rPr>
          <w:rFonts w:ascii="Times New Roman" w:hAnsi="Times New Roman" w:cs="Times New Roman"/>
        </w:rPr>
        <w:t xml:space="preserve"> examined Russia in the format of a multivariate panel data. It was found that the growth of the banking and non-banking financial sectors directly and positively influenced the volume of tax income. Regardless, the banking industry in Russia was the only sector that led to the collection of tax based on the fiscal income in the short run </w:t>
      </w:r>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&lt;EndNote&gt;&lt;Cite&gt;&lt;Author&gt;Hainsworth&lt;/Author&gt;&lt;Year&gt;2002&lt;/Year&gt;&lt;RecNum&gt;11&lt;/RecNum&gt;&lt;DisplayText&gt;(Hainsworth &amp;amp; Tompson, 2002)&lt;/DisplayText&gt;&lt;record&gt;&lt;rec-number&gt;11&lt;/rec-number&gt;&lt;foreign-keys&gt;&lt;key app="EN" db-id="advdwe00srftrhedwtpxdpf6fvw2d5ev25r2" timestamp="1768058337"&gt;11&lt;/key&gt;&lt;/foreign-keys&gt;&lt;ref-type name="Journal Article"&gt;17&lt;/ref-type&gt;&lt;contributors&gt;&lt;authors&gt;&lt;author&gt;Hainsworth, Richard&lt;/author&gt;&lt;author&gt;Tompson, William&lt;/author&gt;&lt;/authors&gt;&lt;/contributors&gt;&lt;titles&gt;&lt;title&gt;Tax policy and tax administration in Russia: The case of the banking sector&lt;/title&gt;&lt;secondary-title&gt;Post-communist economies&lt;/secondary-title&gt;&lt;/titles&gt;&lt;periodical&gt;&lt;full-title&gt;Post-communist economies&lt;/full-title&gt;&lt;/periodical&gt;&lt;pages&gt;277-300&lt;/pages&gt;&lt;volume&gt;14&lt;/volume&gt;&lt;number&gt;3&lt;/number&gt;&lt;dates&gt;&lt;year&gt;2002&lt;/year&gt;&lt;/dates&gt;&lt;isbn&gt;1463-1377&lt;/isbn&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rPr>
        <w:t>(</w:t>
      </w:r>
      <w:hyperlink w:anchor="_ENREF_16" w:tooltip="Hainsworth, 2002 #11" w:history="1">
        <w:r w:rsidRPr="00D96905">
          <w:rPr>
            <w:rFonts w:ascii="Times New Roman" w:hAnsi="Times New Roman" w:cs="Times New Roman"/>
          </w:rPr>
          <w:t>Hainsworth &amp; Tompson, 2002</w:t>
        </w:r>
      </w:hyperlink>
      <w:r w:rsidRPr="00D96905">
        <w:rPr>
          <w:rFonts w:ascii="Times New Roman" w:hAnsi="Times New Roman" w:cs="Times New Roman"/>
        </w:rPr>
        <w:t>)</w:t>
      </w:r>
      <w:r w:rsidRPr="00D96905">
        <w:rPr>
          <w:rFonts w:ascii="Times New Roman" w:hAnsi="Times New Roman" w:cs="Times New Roman"/>
        </w:rPr>
        <w:fldChar w:fldCharType="end"/>
      </w:r>
      <w:r w:rsidRPr="00D96905">
        <w:rPr>
          <w:rFonts w:ascii="Times New Roman" w:hAnsi="Times New Roman" w:cs="Times New Roman"/>
        </w:rPr>
        <w:t xml:space="preserve">. A multivariate time-series analysis that </w:t>
      </w:r>
      <w:hyperlink w:anchor="_ENREF_27" w:tooltip="Linhares, 2021 #12" w:history="1">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 AuthorYear="1"&gt;&lt;Author&gt;Linhares&lt;/Author&gt;&lt;Year&gt;2021&lt;/Year&gt;&lt;RecNum&gt;12&lt;/RecNum&gt;&lt;DisplayText&gt;Linhares et al. (2021)&lt;/DisplayText&gt;&lt;record&gt;&lt;rec-number&gt;12&lt;/rec-number&gt;&lt;foreign-keys&gt;&lt;key app="EN" db-id="advdwe00srftrhedwtpxdpf6fvw2d5ev25r2" timestamp="1768058795"&gt;12&lt;/key&gt;&lt;/foreign-keys&gt;&lt;ref-type name="Journal Article"&gt;17&lt;/ref-type&gt;&lt;contributors&gt;&lt;authors&gt;&lt;author&gt;Linhares, Fabricio&lt;/author&gt;&lt;author&gt;Nojosa, Glauber&lt;/author&gt;&lt;author&gt;Bezerra, Rogerio&lt;/author&gt;&lt;/authors&gt;&lt;/contributors&gt;&lt;titles&gt;&lt;title&gt;Changes in the revenue–expenditure nexus: Confronting evidence with fiscal policy in Brazil&lt;/title&gt;&lt;secondary-title&gt;Applied Economics&lt;/secondary-title&gt;&lt;/titles&gt;&lt;periodical&gt;&lt;full-title&gt;Applied Economics&lt;/full-title&gt;&lt;/periodical&gt;&lt;pages&gt;5051-5067&lt;/pages&gt;&lt;volume&gt;53&lt;/volume&gt;&lt;number&gt;44&lt;/number&gt;&lt;dates&gt;&lt;year&gt;2021&lt;/year&gt;&lt;/dates&gt;&lt;isbn&gt;0003-6846&lt;/isbn&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noProof/>
          </w:rPr>
          <w:t>Linhares et al. (2021)</w:t>
        </w:r>
        <w:r w:rsidRPr="00D96905">
          <w:rPr>
            <w:rFonts w:ascii="Times New Roman" w:hAnsi="Times New Roman" w:cs="Times New Roman"/>
          </w:rPr>
          <w:fldChar w:fldCharType="end"/>
        </w:r>
      </w:hyperlink>
      <w:r w:rsidRPr="00D96905">
        <w:rPr>
          <w:rFonts w:ascii="Times New Roman" w:hAnsi="Times New Roman" w:cs="Times New Roman"/>
        </w:rPr>
        <w:t xml:space="preserve"> used in Brazil demonstrated that the market </w:t>
      </w:r>
      <w:proofErr w:type="spellStart"/>
      <w:r w:rsidRPr="00D96905">
        <w:rPr>
          <w:rFonts w:ascii="Times New Roman" w:hAnsi="Times New Roman" w:cs="Times New Roman"/>
        </w:rPr>
        <w:t>capitali</w:t>
      </w:r>
      <w:r>
        <w:rPr>
          <w:rFonts w:ascii="Times New Roman" w:hAnsi="Times New Roman" w:cs="Times New Roman"/>
        </w:rPr>
        <w:t>s</w:t>
      </w:r>
      <w:r w:rsidRPr="00D96905">
        <w:rPr>
          <w:rFonts w:ascii="Times New Roman" w:hAnsi="Times New Roman" w:cs="Times New Roman"/>
        </w:rPr>
        <w:t>ation</w:t>
      </w:r>
      <w:proofErr w:type="spellEnd"/>
      <w:r w:rsidRPr="00D96905">
        <w:rPr>
          <w:rFonts w:ascii="Times New Roman" w:hAnsi="Times New Roman" w:cs="Times New Roman"/>
        </w:rPr>
        <w:t xml:space="preserve"> of the company</w:t>
      </w:r>
      <w:r>
        <w:rPr>
          <w:rFonts w:ascii="Times New Roman" w:hAnsi="Times New Roman" w:cs="Times New Roman"/>
        </w:rPr>
        <w:t>,</w:t>
      </w:r>
      <w:r w:rsidRPr="00D96905">
        <w:rPr>
          <w:rFonts w:ascii="Times New Roman" w:hAnsi="Times New Roman" w:cs="Times New Roman"/>
        </w:rPr>
        <w:t xml:space="preserve"> as well as the number of banking branches</w:t>
      </w:r>
      <w:r>
        <w:rPr>
          <w:rFonts w:ascii="Times New Roman" w:hAnsi="Times New Roman" w:cs="Times New Roman"/>
        </w:rPr>
        <w:t>,</w:t>
      </w:r>
      <w:r w:rsidRPr="00D96905">
        <w:rPr>
          <w:rFonts w:ascii="Times New Roman" w:hAnsi="Times New Roman" w:cs="Times New Roman"/>
        </w:rPr>
        <w:t xml:space="preserve"> had a significant beneficial impact on the amount of tax revenue collected during the term of time. In addition, the study found that financial development and tax income had a two-way relationship with a proxy of financial development as applied through the use of private-sector credit, and this finding was regarded as especially informative </w:t>
      </w:r>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&lt;EndNote&gt;&lt;Cite&gt;&lt;Author&gt;Hassan&lt;/Author&gt;&lt;Year&gt;2011&lt;/Year&gt;&lt;RecNum&gt;13&lt;/RecNum&gt;&lt;DisplayText&gt;(Hassan et al., 2011)&lt;/DisplayText&gt;&lt;record&gt;&lt;rec-number&gt;13&lt;/rec-number&gt;&lt;foreign-keys&gt;&lt;key app="EN" db-id="advdwe00srftrhedwtpxdpf6fvw2d5ev25r2" timestamp="1768058862"&gt;13&lt;/key&gt;&lt;/foreign-keys&gt;&lt;ref-type name="Journal Article"&gt;17&lt;/ref-type&gt;&lt;contributors&gt;&lt;authors&gt;&lt;author&gt;Hassan, M Kabir&lt;/author&gt;&lt;author&gt;Sanchez, Benito&lt;/author&gt;&lt;author&gt;Yu, Jung-Suk&lt;/author&gt;&lt;/authors&gt;&lt;/contributors&gt;&lt;titles&gt;&lt;title&gt;Financial development and economic growth: New evidence from panel data&lt;/title&gt;&lt;secondary-title&gt;The Quarterly Review of economics and finance&lt;/secondary-title&gt;&lt;/titles&gt;&lt;periodical&gt;&lt;full-title&gt;The Quarterly Review of economics and finance&lt;/full-title&gt;&lt;/periodical&gt;&lt;pages&gt;88-104&lt;/pages&gt;&lt;volume&gt;51&lt;/volume&gt;&lt;number&gt;1&lt;/number&gt;&lt;dates&gt;&lt;year&gt;2011&lt;/year&gt;&lt;/dates&gt;&lt;isbn&gt;1062-9769&lt;/isbn&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noProof/>
        </w:rPr>
        <w:t>(</w:t>
      </w:r>
      <w:hyperlink w:anchor="_ENREF_17" w:tooltip="Hassan, 2011 #13" w:history="1">
        <w:r w:rsidRPr="00D96905">
          <w:rPr>
            <w:rFonts w:ascii="Times New Roman" w:hAnsi="Times New Roman" w:cs="Times New Roman"/>
            <w:noProof/>
          </w:rPr>
          <w:t>Hassan et al., 2011</w:t>
        </w:r>
      </w:hyperlink>
      <w:r w:rsidRPr="00D96905">
        <w:rPr>
          <w:rFonts w:ascii="Times New Roman" w:hAnsi="Times New Roman" w:cs="Times New Roman"/>
          <w:noProof/>
        </w:rPr>
        <w:t>)</w:t>
      </w:r>
      <w:r w:rsidRPr="00D96905">
        <w:rPr>
          <w:rFonts w:ascii="Times New Roman" w:hAnsi="Times New Roman" w:cs="Times New Roman"/>
        </w:rPr>
        <w:fldChar w:fldCharType="end"/>
      </w:r>
      <w:r w:rsidRPr="00D96905">
        <w:rPr>
          <w:rFonts w:ascii="Times New Roman" w:hAnsi="Times New Roman" w:cs="Times New Roman"/>
        </w:rPr>
        <w:t>. The findings of these discoveries can be used both in the long and short run. The expansion of the stock market in China boosted the tax revenue of this nation</w:t>
      </w:r>
      <w:r>
        <w:rPr>
          <w:rFonts w:ascii="Times New Roman" w:hAnsi="Times New Roman" w:cs="Times New Roman"/>
        </w:rPr>
        <w:t>,</w:t>
      </w:r>
      <w:r w:rsidRPr="00D96905">
        <w:rPr>
          <w:rFonts w:ascii="Times New Roman" w:hAnsi="Times New Roman" w:cs="Times New Roman"/>
        </w:rPr>
        <w:t xml:space="preserve"> and they achieved this by using multivariate time-series analysis </w:t>
      </w:r>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&lt;EndNote&gt;&lt;Cite&gt;&lt;Author&gt;Tang&lt;/Author&gt;&lt;Year&gt;2008&lt;/Year&gt;&lt;RecNum&gt;14&lt;/RecNum&gt;&lt;DisplayText&gt;(Tang et al., 2008)&lt;/DisplayText&gt;&lt;record&gt;&lt;rec-number&gt;14&lt;/rec-number&gt;&lt;foreign-keys&gt;&lt;key app="EN" db-id="advdwe00srftrhedwtpxdpf6fvw2d5ev25r2" timestamp="1768059410"&gt;14&lt;/key&gt;&lt;/foreign-keys&gt;&lt;ref-type name="Journal Article"&gt;17&lt;/ref-type&gt;&lt;contributors&gt;&lt;authors&gt;&lt;author&gt;Tang, Sumei&lt;/author&gt;&lt;author&gt;Selvanathan, Eliyathamby Antony&lt;/author&gt;&lt;author&gt;Selvanathan, Saroja&lt;/author&gt;&lt;/authors&gt;&lt;/contributors&gt;&lt;titles&gt;&lt;title&gt;Foreign direct investment, domestic investment and economic growth in China: A time series analysis&lt;/title&gt;&lt;secondary-title&gt;World Economy&lt;/secondary-title&gt;&lt;/titles&gt;&lt;periodical&gt;&lt;full-title&gt;World Economy&lt;/full-title&gt;&lt;/periodical&gt;&lt;pages&gt;1292-1309&lt;/pages&gt;&lt;volume&gt;31&lt;/volume&gt;&lt;number&gt;10&lt;/number&gt;&lt;dates&gt;&lt;year&gt;2008&lt;/year&gt;&lt;/dates&gt;&lt;isbn&gt;0378-5920&lt;/isbn&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noProof/>
        </w:rPr>
        <w:t>(</w:t>
      </w:r>
      <w:hyperlink w:anchor="_ENREF_41" w:tooltip="Tang, 2008 #14" w:history="1">
        <w:r w:rsidRPr="00D96905">
          <w:rPr>
            <w:rFonts w:ascii="Times New Roman" w:hAnsi="Times New Roman" w:cs="Times New Roman"/>
            <w:noProof/>
          </w:rPr>
          <w:t>Tang et al., 2008</w:t>
        </w:r>
      </w:hyperlink>
      <w:r w:rsidRPr="00D96905">
        <w:rPr>
          <w:rFonts w:ascii="Times New Roman" w:hAnsi="Times New Roman" w:cs="Times New Roman"/>
          <w:noProof/>
        </w:rPr>
        <w:t>)</w:t>
      </w:r>
      <w:r w:rsidRPr="00D96905">
        <w:rPr>
          <w:rFonts w:ascii="Times New Roman" w:hAnsi="Times New Roman" w:cs="Times New Roman"/>
        </w:rPr>
        <w:fldChar w:fldCharType="end"/>
      </w:r>
      <w:r w:rsidRPr="00D96905">
        <w:rPr>
          <w:rFonts w:ascii="Times New Roman" w:hAnsi="Times New Roman" w:cs="Times New Roman"/>
        </w:rPr>
        <w:t xml:space="preserve">. </w:t>
      </w:r>
      <w:hyperlink w:anchor="_ENREF_30" w:tooltip="Narayan, 2011 #15" w:history="1">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 AuthorYear="1"&gt;&lt;Author&gt;Narayan&lt;/Author&gt;&lt;Year&gt;2011&lt;/Year&gt;&lt;RecNum&gt;15&lt;/RecNum&gt;&lt;DisplayText&gt;Narayan et al. (2011)&lt;/DisplayText&gt;&lt;record&gt;&lt;rec-number&gt;15&lt;/rec-number&gt;&lt;foreign-keys&gt;&lt;key app="EN" db-id="advdwe00srftrhedwtpxdpf6fvw2d5ev25r2" timestamp="1768059520"&gt;15&lt;/key&gt;&lt;/foreign-keys&gt;&lt;ref-type name="Journal Article"&gt;17&lt;/ref-type&gt;&lt;contributors&gt;&lt;authors&gt;&lt;author&gt;Narayan, Paresh Kumar&lt;/author&gt;&lt;author&gt;Mishra, Sagarika&lt;/author&gt;&lt;author&gt;Narayan, Seema&lt;/author&gt;&lt;/authors&gt;&lt;/contributors&gt;&lt;titles&gt;&lt;title&gt;Do market capitalization and stocks traded converge? New global evidence&lt;/title&gt;&lt;secondary-title&gt;Journal of banking &amp;amp; finance&lt;/secondary-title&gt;&lt;/titles&gt;&lt;periodical&gt;&lt;full-title&gt;Journal of banking &amp;amp; finance&lt;/full-title&gt;&lt;/periodical&gt;&lt;pages&gt;2771-2781&lt;/pages&gt;&lt;volume&gt;35&lt;/volume&gt;&lt;number&gt;10&lt;/number&gt;&lt;dates&gt;&lt;year&gt;2011&lt;/year&gt;&lt;/dates&gt;&lt;isbn&gt;0378-4266&lt;/isbn&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noProof/>
          </w:rPr>
          <w:t>Narayan et al. (2011)</w:t>
        </w:r>
        <w:r w:rsidRPr="00D96905">
          <w:rPr>
            <w:rFonts w:ascii="Times New Roman" w:hAnsi="Times New Roman" w:cs="Times New Roman"/>
          </w:rPr>
          <w:fldChar w:fldCharType="end"/>
        </w:r>
      </w:hyperlink>
      <w:r w:rsidRPr="00D96905">
        <w:rPr>
          <w:rFonts w:ascii="Times New Roman" w:hAnsi="Times New Roman" w:cs="Times New Roman"/>
        </w:rPr>
        <w:t xml:space="preserve"> studied 96 developing countries using the panel data</w:t>
      </w:r>
      <w:r>
        <w:rPr>
          <w:rFonts w:ascii="Times New Roman" w:hAnsi="Times New Roman" w:cs="Times New Roman"/>
        </w:rPr>
        <w:t>. They</w:t>
      </w:r>
      <w:r w:rsidRPr="00D96905">
        <w:rPr>
          <w:rFonts w:ascii="Times New Roman" w:hAnsi="Times New Roman" w:cs="Times New Roman"/>
        </w:rPr>
        <w:t xml:space="preserve"> concluded that an increase in the level of equity-marketplace value exchanged and </w:t>
      </w:r>
      <w:proofErr w:type="spellStart"/>
      <w:r w:rsidRPr="00D96905">
        <w:rPr>
          <w:rFonts w:ascii="Times New Roman" w:hAnsi="Times New Roman" w:cs="Times New Roman"/>
        </w:rPr>
        <w:t>capitali</w:t>
      </w:r>
      <w:r>
        <w:rPr>
          <w:rFonts w:ascii="Times New Roman" w:hAnsi="Times New Roman" w:cs="Times New Roman"/>
        </w:rPr>
        <w:t>s</w:t>
      </w:r>
      <w:r w:rsidRPr="00D96905">
        <w:rPr>
          <w:rFonts w:ascii="Times New Roman" w:hAnsi="Times New Roman" w:cs="Times New Roman"/>
        </w:rPr>
        <w:t>ation</w:t>
      </w:r>
      <w:proofErr w:type="spellEnd"/>
      <w:r w:rsidRPr="00D96905">
        <w:rPr>
          <w:rFonts w:ascii="Times New Roman" w:hAnsi="Times New Roman" w:cs="Times New Roman"/>
        </w:rPr>
        <w:t xml:space="preserve"> was linked to a higher tax income over the time frame of </w:t>
      </w:r>
      <w:r>
        <w:rPr>
          <w:rFonts w:ascii="Times New Roman" w:hAnsi="Times New Roman" w:cs="Times New Roman"/>
        </w:rPr>
        <w:t xml:space="preserve">the </w:t>
      </w:r>
      <w:r w:rsidRPr="00D96905">
        <w:rPr>
          <w:rFonts w:ascii="Times New Roman" w:hAnsi="Times New Roman" w:cs="Times New Roman"/>
        </w:rPr>
        <w:t xml:space="preserve">study. </w:t>
      </w:r>
      <w:hyperlink w:anchor="_ENREF_5" w:tooltip="Bandyopadhyay, 2022 #16" w:history="1">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 AuthorYear="1"&gt;&lt;Author&gt;Bandyopadhyay&lt;/Author&gt;&lt;Year&gt;2022&lt;/Year&gt;&lt;RecNum&gt;16&lt;/RecNum&gt;&lt;DisplayText&gt;Bandyopadhyay (2022)&lt;/DisplayText&gt;&lt;record&gt;&lt;rec-number&gt;16&lt;/rec-number&gt;&lt;foreign-keys&gt;&lt;key app="EN" db-id="advdwe00srftrhedwtpxdpf6fvw2d5ev25r2" timestamp="1768059624"&gt;16&lt;/key&gt;&lt;/foreign-keys&gt;&lt;ref-type name="Journal Article"&gt;17&lt;/ref-type&gt;&lt;contributors&gt;&lt;authors&gt;&lt;author&gt;Bandyopadhyay, Arindam&lt;/author&gt;&lt;/authors&gt;&lt;/contributors&gt;&lt;titles&gt;&lt;title&gt;Bank financial performance and its linkage with capital: a dynamic panel data analysis of public sector Banks in India&lt;/title&gt;&lt;secondary-title&gt;The Indian Economic Journal&lt;/secondary-title&gt;&lt;/titles&gt;&lt;periodical&gt;&lt;full-title&gt;The Indian Economic Journal&lt;/full-title&gt;&lt;/periodical&gt;&lt;pages&gt;437-451&lt;/pages&gt;&lt;volume&gt;70&lt;/volume&gt;&lt;number&gt;3&lt;/number&gt;&lt;dates&gt;&lt;year&gt;2022&lt;/year&gt;&lt;/dates&gt;&lt;isbn&gt;0019-4662&lt;/isbn&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rPr>
          <w:t>Bandyopadhyay (2022)</w:t>
        </w:r>
        <w:r w:rsidRPr="00D96905">
          <w:rPr>
            <w:rFonts w:ascii="Times New Roman" w:hAnsi="Times New Roman" w:cs="Times New Roman"/>
          </w:rPr>
          <w:fldChar w:fldCharType="end"/>
        </w:r>
      </w:hyperlink>
      <w:r w:rsidRPr="00D96905">
        <w:rPr>
          <w:rFonts w:ascii="Times New Roman" w:hAnsi="Times New Roman" w:cs="Times New Roman"/>
        </w:rPr>
        <w:t xml:space="preserve"> extended the study to India and used the multivariate time-series analysis and found that tax </w:t>
      </w:r>
      <w:r w:rsidRPr="00D96905">
        <w:rPr>
          <w:rFonts w:ascii="Times New Roman" w:hAnsi="Times New Roman" w:cs="Times New Roman"/>
        </w:rPr>
        <w:lastRenderedPageBreak/>
        <w:t xml:space="preserve">income had a substantial impact on the financial system development in India. Applying the System GMM approach and focusing on the East African states,  </w:t>
      </w:r>
      <w:hyperlink w:anchor="_ENREF_35" w:tooltip="Raouf, 2022 #17" w:history="1">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 AuthorYear="1"&gt;&lt;Author&gt;Raouf&lt;/Author&gt;&lt;Year&gt;2022&lt;/Year&gt;&lt;RecNum&gt;17&lt;/RecNum&gt;&lt;DisplayText&gt;Raouf (2022)&lt;/DisplayText&gt;&lt;record&gt;&lt;rec-number&gt;17&lt;/rec-number&gt;&lt;foreign-keys&gt;&lt;key app="EN" db-id="advdwe00srftrhedwtpxdpf6fvw2d5ev25r2" timestamp="1768059866"&gt;17&lt;/key&gt;&lt;/foreign-keys&gt;&lt;ref-type name="Journal Article"&gt;17&lt;/ref-type&gt;&lt;contributors&gt;&lt;authors&gt;&lt;author&gt;Raouf, Engy&lt;/author&gt;&lt;/authors&gt;&lt;/contributors&gt;&lt;titles&gt;&lt;title&gt;The impact of financial inclusion on tax revenue in EMEA countries: A threshold regression approach&lt;/title&gt;&lt;secondary-title&gt;Borsa Istanbul Review&lt;/secondary-title&gt;&lt;/titles&gt;&lt;periodical&gt;&lt;full-title&gt;Borsa Istanbul Review&lt;/full-title&gt;&lt;/periodical&gt;&lt;pages&gt;1158-1164&lt;/pages&gt;&lt;volume&gt;22&lt;/volume&gt;&lt;number&gt;6&lt;/number&gt;&lt;dates&gt;&lt;year&gt;2022&lt;/year&gt;&lt;/dates&gt;&lt;isbn&gt;2214-8450&lt;/isbn&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rPr>
          <w:t>Raouf (2022)</w:t>
        </w:r>
        <w:r w:rsidRPr="00D96905">
          <w:rPr>
            <w:rFonts w:ascii="Times New Roman" w:hAnsi="Times New Roman" w:cs="Times New Roman"/>
          </w:rPr>
          <w:fldChar w:fldCharType="end"/>
        </w:r>
      </w:hyperlink>
      <w:r w:rsidRPr="00D96905">
        <w:rPr>
          <w:rFonts w:ascii="Times New Roman" w:hAnsi="Times New Roman" w:cs="Times New Roman"/>
        </w:rPr>
        <w:t xml:space="preserve"> discovered that the depth of financial markets was a more important factor in growing tax revenue compared to any other factor and that access to financial markets also did not have a significant impact on tax receipts. </w:t>
      </w:r>
      <w:hyperlink w:anchor="_ENREF_14" w:tooltip="Fadilah, 2024 #18" w:history="1">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 AuthorYear="1"&gt;&lt;Author&gt;Fadilah&lt;/Author&gt;&lt;Year&gt;2024&lt;/Year&gt;&lt;RecNum&gt;18&lt;/RecNum&gt;&lt;DisplayText&gt;Fadilah et al. (2024)&lt;/DisplayText&gt;&lt;record&gt;&lt;rec-number&gt;18&lt;/rec-number&gt;&lt;foreign-keys&gt;&lt;key app="EN" db-id="advdwe00srftrhedwtpxdpf6fvw2d5ev25r2" timestamp="1768060041"&gt;18&lt;/key&gt;&lt;/foreign-keys&gt;&lt;ref-type name="Journal Article"&gt;17&lt;/ref-type&gt;&lt;contributors&gt;&lt;authors&gt;&lt;author&gt;Fadilah, A Harits&lt;/author&gt;&lt;author&gt;Hidayat, Ariodillah&lt;/author&gt;&lt;author&gt;Rohima, Siti&lt;/author&gt;&lt;author&gt;Pertiwi, Rasyida&lt;/author&gt;&lt;author&gt;Yulianita, Anna&lt;/author&gt;&lt;author&gt;Shodrokova, Xenaneira&lt;/author&gt;&lt;/authors&gt;&lt;/contributors&gt;&lt;titles&gt;&lt;title&gt;The Relationship Banking Stability, Exchange Rate, Foreign Direct Investment and Economic Growth in BRICS Countries: A Panel Data Evidence&lt;/title&gt;&lt;secondary-title&gt;Economic Insights-Trends &amp;amp; Challenges&lt;/secondary-title&gt;&lt;/titles&gt;&lt;periodical&gt;&lt;full-title&gt;Economic Insights-Trends &amp;amp; Challenges&lt;/full-title&gt;&lt;/periodical&gt;&lt;volume&gt;13&lt;/volume&gt;&lt;number&gt;3&lt;/number&gt;&lt;dates&gt;&lt;year&gt;2024&lt;/year&gt;&lt;/dates&gt;&lt;isbn&gt;2284-8576&lt;/isbn&gt;&lt;urls&gt;&lt;/urls&gt;&lt;/record&gt;&lt;/Cite&gt;&lt;/EndNote&gt;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rPr>
          <w:t>Fadilah et al. (2024)</w:t>
        </w:r>
        <w:r w:rsidRPr="00D96905">
          <w:rPr>
            <w:rFonts w:ascii="Times New Roman" w:hAnsi="Times New Roman" w:cs="Times New Roman"/>
          </w:rPr>
          <w:fldChar w:fldCharType="end"/>
        </w:r>
      </w:hyperlink>
      <w:r w:rsidRPr="00D96905">
        <w:rPr>
          <w:rFonts w:ascii="Times New Roman" w:hAnsi="Times New Roman" w:cs="Times New Roman"/>
        </w:rPr>
        <w:t xml:space="preserve"> were able to </w:t>
      </w:r>
      <w:proofErr w:type="spellStart"/>
      <w:r w:rsidRPr="00D96905">
        <w:rPr>
          <w:rFonts w:ascii="Times New Roman" w:hAnsi="Times New Roman" w:cs="Times New Roman"/>
        </w:rPr>
        <w:t>analy</w:t>
      </w:r>
      <w:r>
        <w:rPr>
          <w:rFonts w:ascii="Times New Roman" w:hAnsi="Times New Roman" w:cs="Times New Roman"/>
        </w:rPr>
        <w:t>s</w:t>
      </w:r>
      <w:r w:rsidRPr="00D96905">
        <w:rPr>
          <w:rFonts w:ascii="Times New Roman" w:hAnsi="Times New Roman" w:cs="Times New Roman"/>
        </w:rPr>
        <w:t>e</w:t>
      </w:r>
      <w:proofErr w:type="spellEnd"/>
      <w:r w:rsidRPr="00D96905">
        <w:rPr>
          <w:rFonts w:ascii="Times New Roman" w:hAnsi="Times New Roman" w:cs="Times New Roman"/>
        </w:rPr>
        <w:t xml:space="preserve"> BRIC with the help of the Vector Error Correction Model (VECM)</w:t>
      </w:r>
      <w:r>
        <w:rPr>
          <w:rFonts w:ascii="Times New Roman" w:hAnsi="Times New Roman" w:cs="Times New Roman"/>
        </w:rPr>
        <w:t>. They</w:t>
      </w:r>
      <w:r w:rsidRPr="00D96905">
        <w:rPr>
          <w:rFonts w:ascii="Times New Roman" w:hAnsi="Times New Roman" w:cs="Times New Roman"/>
        </w:rPr>
        <w:t xml:space="preserve"> found that the development of the banking sector enhanced the tax revenue through short-term tax revenue collection. In emerging countries, </w:t>
      </w:r>
      <w:hyperlink w:anchor="_ENREF_45" w:tooltip="Xu, 2016 #19" w:history="1">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 AuthorYear="1"&gt;&lt;Author&gt;Xu&lt;/Author&gt;&lt;Year&gt;2016&lt;/Year&gt;&lt;RecNum&gt;19&lt;/RecNum&gt;&lt;DisplayText&gt;Xu (2016)&lt;/DisplayText&gt;&lt;record&gt;&lt;rec-number&gt;19&lt;/rec-number&gt;&lt;foreign-keys&gt;&lt;key app="EN" db-id="advdwe00srftrhedwtpxdpf6fvw2d5ev25r2" timestamp="1768060199"&gt;19&lt;/key&gt;&lt;/foreign-keys&gt;&lt;ref-type name="Journal Article"&gt;17&lt;/ref-type&gt;&lt;contributors&gt;&lt;authors&gt;&lt;author&gt;Xu, Haifeng&lt;/author&gt;&lt;/authors&gt;&lt;/contributors&gt;&lt;titles&gt;&lt;title&gt;Financial intermediation and economic growth in China: new evidence from panel data&lt;/title&gt;&lt;secondary-title&gt;Emerging Markets Finance and Trade&lt;/secondary-title&gt;&lt;/titles&gt;&lt;periodical&gt;&lt;full-title&gt;Emerging Markets Finance and Trade&lt;/full-title&gt;&lt;/periodical&gt;&lt;pages&gt;724-732&lt;/pages&gt;&lt;volume&gt;52&lt;/volume&gt;&lt;number&gt;3&lt;/number&gt;&lt;dates&gt;&lt;year&gt;2016&lt;/year&gt;&lt;/dates&gt;&lt;isbn&gt;1540-496X&lt;/isbn&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rPr>
          <w:t>Xu (2016)</w:t>
        </w:r>
        <w:r w:rsidRPr="00D96905">
          <w:rPr>
            <w:rFonts w:ascii="Times New Roman" w:hAnsi="Times New Roman" w:cs="Times New Roman"/>
          </w:rPr>
          <w:fldChar w:fldCharType="end"/>
        </w:r>
      </w:hyperlink>
      <w:r w:rsidRPr="00D96905">
        <w:rPr>
          <w:rFonts w:ascii="Times New Roman" w:hAnsi="Times New Roman" w:cs="Times New Roman"/>
        </w:rPr>
        <w:t xml:space="preserve">  performed the analysis of the panel data and found the quality of financial intermediaries to be a contributor to the overall national income. </w:t>
      </w:r>
      <w:hyperlink w:anchor="_ENREF_22" w:tooltip="Islam, 2013 #20" w:history="1">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 AuthorYear="1"&gt;&lt;Author&gt;Islam&lt;/Author&gt;&lt;Year&gt;2013&lt;/Year&gt;&lt;RecNum&gt;20&lt;/RecNum&gt;&lt;DisplayText&gt;Islam et al. (2013)&lt;/DisplayText&gt;&lt;record&gt;&lt;rec-number&gt;20&lt;/rec-number&gt;&lt;foreign-keys&gt;&lt;key app="EN" db-id="advdwe00srftrhedwtpxdpf6fvw2d5ev25r2" timestamp="1768060302"&gt;20&lt;/key&gt;&lt;/foreign-keys&gt;&lt;ref-type name="Journal Article"&gt;17&lt;/ref-type&gt;&lt;contributors&gt;&lt;authors&gt;&lt;author&gt;Islam, Faridul&lt;/author&gt;&lt;author&gt;Shahbaz, Muhammad&lt;/author&gt;&lt;author&gt;Ahmed, Ashraf U&lt;/author&gt;&lt;author&gt;Alam, Md Mahmudul&lt;/author&gt;&lt;/authors&gt;&lt;/contributors&gt;&lt;titles&gt;&lt;title&gt;Financial development and energy consumption nexus in Malaysia: a multivariate time series analysis&lt;/title&gt;&lt;secondary-title&gt;Economic modelling&lt;/secondary-title&gt;&lt;/titles&gt;&lt;periodical&gt;&lt;full-title&gt;Economic Modelling&lt;/full-title&gt;&lt;/periodical&gt;&lt;pages&gt;435-441&lt;/pages&gt;&lt;volume&gt;30&lt;/volume&gt;&lt;dates&gt;&lt;year&gt;2013&lt;/year&gt;&lt;/dates&gt;&lt;isbn&gt;0264-9993&lt;/isbn&gt;&lt;urls&gt;&lt;/urls&gt;&lt;/record&gt;&lt;/Cite&gt;&lt;/EndNote&gt;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noProof/>
          </w:rPr>
          <w:t>Islam et al. (2013)</w:t>
        </w:r>
        <w:r w:rsidRPr="00D96905">
          <w:rPr>
            <w:rFonts w:ascii="Times New Roman" w:hAnsi="Times New Roman" w:cs="Times New Roman"/>
          </w:rPr>
          <w:fldChar w:fldCharType="end"/>
        </w:r>
      </w:hyperlink>
      <w:r w:rsidRPr="00D96905">
        <w:rPr>
          <w:rFonts w:ascii="Times New Roman" w:hAnsi="Times New Roman" w:cs="Times New Roman"/>
        </w:rPr>
        <w:t xml:space="preserve"> researched and determined that the financial development increased the tax revenue of the country as indicated by multivariate time-series analysis. Lastly, </w:t>
      </w:r>
      <w:hyperlink w:anchor="_ENREF_4" w:tooltip="Audi, 2024 #21" w:history="1">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 AuthorYear="1"&gt;&lt;Author&gt;Audi&lt;/Author&gt;&lt;Year&gt;2024&lt;/Year&gt;&lt;RecNum&gt;21&lt;/RecNum&gt;&lt;DisplayText&gt;Audi (2024)&lt;/DisplayText&gt;&lt;record&gt;&lt;rec-number&gt;21&lt;/rec-number&gt;&lt;foreign-keys&gt;&lt;key app="EN" db-id="advdwe00srftrhedwtpxdpf6fvw2d5ev25r2" timestamp="1768060422"&gt;21&lt;/key&gt;&lt;/foreign-keys&gt;&lt;ref-type name="Journal Article"&gt;17&lt;/ref-type&gt;&lt;contributors&gt;&lt;authors&gt;&lt;author&gt;Audi, Marc&lt;/author&gt;&lt;/authors&gt;&lt;/contributors&gt;&lt;titles&gt;&lt;title&gt;Exploring fiscal dynamics between resource and non-resource tax revenues in oil-dependent countries&lt;/title&gt;&lt;secondary-title&gt;Journal of Energy and Environmental Policy Options&lt;/secondary-title&gt;&lt;/titles&gt;&lt;periodical&gt;&lt;full-title&gt;Journal of Energy and Environmental Policy Options&lt;/full-title&gt;&lt;/periodical&gt;&lt;pages&gt;20-30&lt;/pages&gt;&lt;volume&gt;7&lt;/volume&gt;&lt;number&gt;4&lt;/number&gt;&lt;dates&gt;&lt;year&gt;2024&lt;/year&gt;&lt;/dates&gt;&lt;isbn&gt;3006-5712&lt;/isbn&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rPr>
          <w:t>Audi (2024)</w:t>
        </w:r>
        <w:r w:rsidRPr="00D96905">
          <w:rPr>
            <w:rFonts w:ascii="Times New Roman" w:hAnsi="Times New Roman" w:cs="Times New Roman"/>
          </w:rPr>
          <w:fldChar w:fldCharType="end"/>
        </w:r>
      </w:hyperlink>
      <w:r w:rsidRPr="00D96905">
        <w:rPr>
          <w:rFonts w:ascii="Times New Roman" w:hAnsi="Times New Roman" w:cs="Times New Roman"/>
        </w:rPr>
        <w:t xml:space="preserve"> concentrated on the emerging economies and, through the panel data analysis, they came to the conclusion that the increase in tax collection by non-resource segments of the country was the result of economic development. Thus, </w:t>
      </w:r>
    </w:p>
    <w:p w14:paraId="5FE0B784" w14:textId="77777777" w:rsidR="00AE4452" w:rsidRPr="00D96905" w:rsidRDefault="00AE4452" w:rsidP="00AE4452">
      <w:pPr>
        <w:spacing w:after="0" w:line="360" w:lineRule="auto"/>
        <w:jc w:val="both"/>
        <w:rPr>
          <w:rFonts w:ascii="Times New Roman" w:eastAsia="Times New Roman" w:hAnsi="Times New Roman" w:cs="Times New Roman"/>
          <w:kern w:val="0"/>
          <w14:ligatures w14:val="none"/>
        </w:rPr>
      </w:pPr>
    </w:p>
    <w:p w14:paraId="4AED3CC9" w14:textId="77777777" w:rsidR="00AE4452" w:rsidRPr="00D96905" w:rsidRDefault="00AE4452" w:rsidP="00AE4452">
      <w:pPr>
        <w:spacing w:after="0" w:line="360" w:lineRule="auto"/>
        <w:jc w:val="both"/>
        <w:rPr>
          <w:rFonts w:ascii="Times New Roman" w:eastAsia="Times New Roman" w:hAnsi="Times New Roman" w:cs="Times New Roman"/>
          <w:kern w:val="0"/>
          <w14:ligatures w14:val="none"/>
        </w:rPr>
      </w:pPr>
      <w:r w:rsidRPr="00D96905">
        <w:rPr>
          <w:rFonts w:ascii="Times New Roman" w:eastAsia="Times New Roman" w:hAnsi="Times New Roman" w:cs="Times New Roman"/>
          <w:b/>
          <w:bCs/>
          <w:kern w:val="0"/>
          <w14:ligatures w14:val="none"/>
        </w:rPr>
        <w:t>H1:</w:t>
      </w:r>
      <w:r w:rsidRPr="00D96905">
        <w:rPr>
          <w:rFonts w:ascii="Times New Roman" w:eastAsia="Times New Roman" w:hAnsi="Times New Roman" w:cs="Times New Roman"/>
          <w:kern w:val="0"/>
          <w14:ligatures w14:val="none"/>
        </w:rPr>
        <w:t xml:space="preserve"> Tax revenue positively and significantly influenced financial development.</w:t>
      </w:r>
    </w:p>
    <w:p w14:paraId="0A41D233" w14:textId="77777777" w:rsidR="00AE4452" w:rsidRPr="00D96905" w:rsidRDefault="00AE4452" w:rsidP="00AE4452">
      <w:pPr>
        <w:spacing w:after="0" w:line="240" w:lineRule="auto"/>
        <w:jc w:val="both"/>
        <w:rPr>
          <w:rFonts w:ascii="Times New Roman" w:eastAsia="Times New Roman" w:hAnsi="Times New Roman" w:cs="Times New Roman"/>
          <w:kern w:val="0"/>
          <w14:ligatures w14:val="none"/>
        </w:rPr>
      </w:pPr>
    </w:p>
    <w:p w14:paraId="1A29A694" w14:textId="77777777" w:rsidR="00AE4452" w:rsidRDefault="00AE4452" w:rsidP="00AE4452">
      <w:pPr>
        <w:spacing w:after="0" w:line="240" w:lineRule="auto"/>
        <w:jc w:val="both"/>
        <w:rPr>
          <w:rFonts w:ascii="Times New Roman" w:eastAsia="Times New Roman" w:hAnsi="Times New Roman" w:cs="Times New Roman"/>
          <w:b/>
          <w:bCs/>
          <w:kern w:val="0"/>
          <w:sz w:val="32"/>
          <w:szCs w:val="32"/>
          <w14:ligatures w14:val="none"/>
        </w:rPr>
      </w:pPr>
      <w:r w:rsidRPr="00D96905">
        <w:rPr>
          <w:rFonts w:ascii="Times New Roman" w:eastAsia="Times New Roman" w:hAnsi="Times New Roman" w:cs="Times New Roman"/>
          <w:b/>
          <w:bCs/>
          <w:kern w:val="0"/>
          <w:sz w:val="32"/>
          <w:szCs w:val="32"/>
          <w14:ligatures w14:val="none"/>
        </w:rPr>
        <w:t>Tax Revenue and Economic Growth</w:t>
      </w:r>
    </w:p>
    <w:p w14:paraId="4AE82A25" w14:textId="77777777" w:rsidR="00AE4452" w:rsidRPr="00D96905" w:rsidRDefault="00AE4452" w:rsidP="00AE4452">
      <w:pPr>
        <w:spacing w:after="0" w:line="240" w:lineRule="auto"/>
        <w:jc w:val="both"/>
        <w:rPr>
          <w:rFonts w:ascii="Times New Roman" w:eastAsia="Times New Roman" w:hAnsi="Times New Roman" w:cs="Times New Roman"/>
          <w:b/>
          <w:bCs/>
          <w:kern w:val="0"/>
          <w:sz w:val="32"/>
          <w:szCs w:val="32"/>
          <w14:ligatures w14:val="none"/>
        </w:rPr>
      </w:pPr>
    </w:p>
    <w:p w14:paraId="47A5B7FD" w14:textId="5491C595" w:rsidR="00AE4452" w:rsidRPr="00D96905" w:rsidRDefault="00AE4452" w:rsidP="00AE4452">
      <w:pPr>
        <w:spacing w:after="0" w:line="360" w:lineRule="auto"/>
        <w:jc w:val="both"/>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 xml:space="preserve">According to the Public Choice Theory, the government will always have the motivation to increase the revenue collected by taxation to fund spending on social activities. At the same time, it is the duty of the state to judge how resources financed through taxation should be distributed in order to control economic activity. Therefore, there is potential for government expenditure to contribute significantly to economic development. To this end, the aggregate state revenue is directly proportional to the rate of economic expansion. Several empirical studies provide support to this suggestion </w:t>
      </w:r>
      <w:r w:rsidRPr="00D96905">
        <w:rPr>
          <w:rFonts w:ascii="Times New Roman" w:eastAsia="Times New Roman" w:hAnsi="Times New Roman" w:cs="Times New Roman"/>
          <w:kern w:val="0"/>
          <w14:ligatures w14:val="none"/>
        </w:rPr>
        <w:fldChar w:fldCharType="begin"/>
      </w:r>
      <w:r w:rsidRPr="00D96905">
        <w:rPr>
          <w:rFonts w:ascii="Times New Roman" w:eastAsia="Times New Roman" w:hAnsi="Times New Roman" w:cs="Times New Roman"/>
          <w:kern w:val="0"/>
          <w14:ligatures w14:val="none"/>
        </w:rPr>
        <w:instrText xml:space="preserve"> ADDIN EN.CITE &lt;EndNote&gt;&lt;Cite&gt;&lt;Author&gt;Gechert&lt;/Author&gt;&lt;Year&gt;2022&lt;/Year&gt;&lt;RecNum&gt;23&lt;/RecNum&gt;&lt;DisplayText&gt;(Gechert &amp;amp; Heimberger, 2022)&lt;/DisplayText&gt;&lt;record&gt;&lt;rec-number&gt;23&lt;/rec-number&gt;&lt;foreign-keys&gt;&lt;key app="EN" db-id="advdwe00srftrhedwtpxdpf6fvw2d5ev25r2" timestamp="1768063825"&gt;23&lt;/key&gt;&lt;/foreign-keys&gt;&lt;ref-type name="Journal Article"&gt;17&lt;/ref-type&gt;&lt;contributors&gt;&lt;authors&gt;&lt;author&gt;Gechert, Sebastian&lt;/author&gt;&lt;author&gt;Heimberger, Philipp&lt;/author&gt;&lt;/authors&gt;&lt;/contributors&gt;&lt;titles&gt;&lt;title&gt;Do corporate tax cuts boost economic growth?&lt;/title&gt;&lt;secondary-title&gt;European Economic Review&lt;/secondary-title&gt;&lt;/titles&gt;&lt;periodical&gt;&lt;full-title&gt;European Economic Review&lt;/full-title&gt;&lt;/periodical&gt;&lt;pages&gt;104157&lt;/pages&gt;&lt;volume&gt;147&lt;/volume&gt;&lt;dates&gt;&lt;year&gt;2022&lt;/year&gt;&lt;/dates&gt;&lt;isbn&gt;0014-2921&lt;/isbn&gt;&lt;urls&gt;&lt;/urls&gt;&lt;/record&gt;&lt;/Cite&gt;&lt;/EndNote&gt;</w:instrText>
      </w:r>
      <w:r w:rsidRPr="00D96905">
        <w:rPr>
          <w:rFonts w:ascii="Times New Roman" w:eastAsia="Times New Roman" w:hAnsi="Times New Roman" w:cs="Times New Roman"/>
          <w:kern w:val="0"/>
          <w14:ligatures w14:val="none"/>
        </w:rPr>
        <w:fldChar w:fldCharType="separate"/>
      </w:r>
      <w:r w:rsidRPr="00D96905">
        <w:rPr>
          <w:rFonts w:ascii="Times New Roman" w:eastAsia="Times New Roman" w:hAnsi="Times New Roman" w:cs="Times New Roman"/>
          <w:noProof/>
          <w:kern w:val="0"/>
          <w14:ligatures w14:val="none"/>
        </w:rPr>
        <w:t>(</w:t>
      </w:r>
      <w:hyperlink w:anchor="_ENREF_15" w:tooltip="Gechert, 2022 #23" w:history="1">
        <w:r w:rsidRPr="00D96905">
          <w:rPr>
            <w:rFonts w:ascii="Times New Roman" w:eastAsia="Times New Roman" w:hAnsi="Times New Roman" w:cs="Times New Roman"/>
            <w:noProof/>
            <w:kern w:val="0"/>
            <w14:ligatures w14:val="none"/>
          </w:rPr>
          <w:t>Gechert &amp; Heimberger, 2022</w:t>
        </w:r>
      </w:hyperlink>
      <w:r w:rsidRPr="00D96905">
        <w:rPr>
          <w:rFonts w:ascii="Times New Roman" w:eastAsia="Times New Roman" w:hAnsi="Times New Roman" w:cs="Times New Roman"/>
          <w:noProof/>
          <w:kern w:val="0"/>
          <w14:ligatures w14:val="none"/>
        </w:rPr>
        <w:t>)</w:t>
      </w:r>
      <w:r w:rsidRPr="00D96905">
        <w:rPr>
          <w:rFonts w:ascii="Times New Roman" w:eastAsia="Times New Roman" w:hAnsi="Times New Roman" w:cs="Times New Roman"/>
          <w:kern w:val="0"/>
          <w14:ligatures w14:val="none"/>
        </w:rPr>
        <w:fldChar w:fldCharType="end"/>
      </w:r>
      <w:r w:rsidRPr="00D96905">
        <w:rPr>
          <w:rFonts w:ascii="Times New Roman" w:eastAsia="Times New Roman" w:hAnsi="Times New Roman" w:cs="Times New Roman"/>
          <w:kern w:val="0"/>
          <w14:ligatures w14:val="none"/>
        </w:rPr>
        <w:t xml:space="preserve">. </w:t>
      </w:r>
      <w:hyperlink w:anchor="_ENREF_3" w:tooltip="Alinaghi, 2021 #24" w:history="1">
        <w:r w:rsidRPr="00D96905">
          <w:rPr>
            <w:rFonts w:ascii="Times New Roman" w:eastAsia="Times New Roman" w:hAnsi="Times New Roman" w:cs="Times New Roman"/>
            <w:kern w:val="0"/>
            <w14:ligatures w14:val="none"/>
          </w:rPr>
          <w:fldChar w:fldCharType="begin"/>
        </w:r>
        <w:r w:rsidRPr="00D96905">
          <w:rPr>
            <w:rFonts w:ascii="Times New Roman" w:eastAsia="Times New Roman" w:hAnsi="Times New Roman" w:cs="Times New Roman"/>
            <w:kern w:val="0"/>
            <w14:ligatures w14:val="none"/>
          </w:rPr>
          <w:instrText xml:space="preserve"> ADDIN EN.CITE &lt;EndNote&gt;&lt;Cite AuthorYear="1"&gt;&lt;Author&gt;Alinaghi&lt;/Author&gt;&lt;Year&gt;2021&lt;/Year&gt;&lt;RecNum&gt;24&lt;/RecNum&gt;&lt;DisplayText&gt;Alinaghi and Reed (2021)&lt;/DisplayText&gt;&lt;record&gt;&lt;rec-number&gt;24&lt;/rec-number&gt;&lt;foreign-keys&gt;&lt;key app="EN" db-id="advdwe00srftrhedwtpxdpf6fvw2d5ev25r2" timestamp="1768063872"&gt;24&lt;/key&gt;&lt;/foreign-keys&gt;&lt;ref-type name="Journal Article"&gt;17&lt;/ref-type&gt;&lt;contributors&gt;&lt;authors&gt;&lt;author&gt;Alinaghi, Nazila&lt;/author&gt;&lt;author&gt;Reed, W Robert&lt;/author&gt;&lt;/authors&gt;&lt;/contributors&gt;&lt;titles&gt;&lt;title&gt;Taxes and Economic Growth in OECD countries: A Meta-analysis&lt;/title&gt;&lt;secondary-title&gt;Public Finance Review&lt;/secondary-title&gt;&lt;/titles&gt;&lt;periodical&gt;&lt;full-title&gt;Public Finance Review&lt;/full-title&gt;&lt;/periodical&gt;&lt;pages&gt;3-40&lt;/pages&gt;&lt;volume&gt;49&lt;/volume&gt;&lt;number&gt;1&lt;/number&gt;&lt;dates&gt;&lt;year&gt;2021&lt;/year&gt;&lt;/dates&gt;&lt;isbn&gt;1091-1421&lt;/isbn&gt;&lt;urls&gt;&lt;/urls&gt;&lt;/record&gt;&lt;/Cite&gt;&lt;/EndNote&gt;</w:instrText>
        </w:r>
        <w:r w:rsidRPr="00D96905">
          <w:rPr>
            <w:rFonts w:ascii="Times New Roman" w:eastAsia="Times New Roman" w:hAnsi="Times New Roman" w:cs="Times New Roman"/>
            <w:kern w:val="0"/>
            <w14:ligatures w14:val="none"/>
          </w:rPr>
          <w:fldChar w:fldCharType="separate"/>
        </w:r>
        <w:r w:rsidRPr="00D96905">
          <w:rPr>
            <w:rFonts w:ascii="Times New Roman" w:eastAsia="Times New Roman" w:hAnsi="Times New Roman" w:cs="Times New Roman"/>
            <w:noProof/>
            <w:kern w:val="0"/>
            <w14:ligatures w14:val="none"/>
          </w:rPr>
          <w:t>Alinaghi and Reed (2021)</w:t>
        </w:r>
        <w:r w:rsidRPr="00D96905">
          <w:rPr>
            <w:rFonts w:ascii="Times New Roman" w:eastAsia="Times New Roman" w:hAnsi="Times New Roman" w:cs="Times New Roman"/>
            <w:kern w:val="0"/>
            <w14:ligatures w14:val="none"/>
          </w:rPr>
          <w:fldChar w:fldCharType="end"/>
        </w:r>
      </w:hyperlink>
      <w:r w:rsidRPr="00D96905">
        <w:rPr>
          <w:rFonts w:ascii="Times New Roman" w:eastAsia="Times New Roman" w:hAnsi="Times New Roman" w:cs="Times New Roman"/>
          <w:kern w:val="0"/>
          <w14:ligatures w14:val="none"/>
        </w:rPr>
        <w:t xml:space="preserve"> performed a meta-analysis to examine tax policy and economic progress in OECD nations. They found a strong positive link between personal and corporation tax revenue and economic growth.  </w:t>
      </w:r>
      <w:hyperlink w:anchor="_ENREF_28" w:tooltip="Makhoba, 2019 #25" w:history="1">
        <w:r w:rsidRPr="00D96905">
          <w:rPr>
            <w:rFonts w:ascii="Times New Roman" w:eastAsia="Times New Roman" w:hAnsi="Times New Roman" w:cs="Times New Roman"/>
            <w:kern w:val="0"/>
            <w14:ligatures w14:val="none"/>
          </w:rPr>
          <w:fldChar w:fldCharType="begin"/>
        </w:r>
        <w:r w:rsidRPr="00D96905">
          <w:rPr>
            <w:rFonts w:ascii="Times New Roman" w:eastAsia="Times New Roman" w:hAnsi="Times New Roman" w:cs="Times New Roman"/>
            <w:kern w:val="0"/>
            <w14:ligatures w14:val="none"/>
          </w:rPr>
          <w:instrText xml:space="preserve"> ADDIN EN.CITE &lt;EndNote&gt;&lt;Cite AuthorYear="1"&gt;&lt;Author&gt;Makhoba&lt;/Author&gt;&lt;Year&gt;2019&lt;/Year&gt;&lt;RecNum&gt;25&lt;/RecNum&gt;&lt;DisplayText&gt;Makhoba et al. (2019)&lt;/DisplayText&gt;&lt;record&gt;&lt;rec-number&gt;25&lt;/rec-number&gt;&lt;foreign-keys&gt;&lt;key app="EN" db-id="advdwe00srftrhedwtpxdpf6fvw2d5ev25r2" timestamp="1768063969"&gt;25&lt;/key&gt;&lt;/foreign-keys&gt;&lt;ref-type name="Journal Article"&gt;17&lt;/ref-type&gt;&lt;contributors&gt;&lt;authors&gt;&lt;author&gt;Makhoba, Bongumusa Prince&lt;/author&gt;&lt;author&gt;Kaseeram, Irrshad&lt;/author&gt;&lt;author&gt;Greyling, Lorraine&lt;/author&gt;&lt;/authors&gt;&lt;/contributors&gt;&lt;titles&gt;&lt;title&gt;Assessing the impact of fiscal policy on economic growth in South Africa&lt;/title&gt;&lt;secondary-title&gt;African Journal of Business and Economic Research&lt;/secondary-title&gt;&lt;/titles&gt;&lt;periodical&gt;&lt;full-title&gt;African Journal of Business and Economic Research&lt;/full-title&gt;&lt;/periodical&gt;&lt;pages&gt;7-29&lt;/pages&gt;&lt;volume&gt;14&lt;/volume&gt;&lt;number&gt;1&lt;/number&gt;&lt;dates&gt;&lt;year&gt;2019&lt;/year&gt;&lt;/dates&gt;&lt;isbn&gt;1750-4554&lt;/isbn&gt;&lt;urls&gt;&lt;/urls&gt;&lt;/record&gt;&lt;/Cite&gt;&lt;/EndNote&gt;</w:instrText>
        </w:r>
        <w:r w:rsidRPr="00D96905">
          <w:rPr>
            <w:rFonts w:ascii="Times New Roman" w:eastAsia="Times New Roman" w:hAnsi="Times New Roman" w:cs="Times New Roman"/>
            <w:kern w:val="0"/>
            <w14:ligatures w14:val="none"/>
          </w:rPr>
          <w:fldChar w:fldCharType="separate"/>
        </w:r>
        <w:r w:rsidRPr="00D96905">
          <w:rPr>
            <w:rFonts w:ascii="Times New Roman" w:eastAsia="Times New Roman" w:hAnsi="Times New Roman" w:cs="Times New Roman"/>
            <w:noProof/>
            <w:kern w:val="0"/>
            <w14:ligatures w14:val="none"/>
          </w:rPr>
          <w:t>Makhoba et al. (2019)</w:t>
        </w:r>
        <w:r w:rsidRPr="00D96905">
          <w:rPr>
            <w:rFonts w:ascii="Times New Roman" w:eastAsia="Times New Roman" w:hAnsi="Times New Roman" w:cs="Times New Roman"/>
            <w:kern w:val="0"/>
            <w14:ligatures w14:val="none"/>
          </w:rPr>
          <w:fldChar w:fldCharType="end"/>
        </w:r>
      </w:hyperlink>
      <w:r w:rsidRPr="00D96905">
        <w:rPr>
          <w:rFonts w:ascii="Times New Roman" w:eastAsia="Times New Roman" w:hAnsi="Times New Roman" w:cs="Times New Roman"/>
          <w:kern w:val="0"/>
          <w14:ligatures w14:val="none"/>
        </w:rPr>
        <w:t xml:space="preserve"> used a vector autoregressive (VAR) model to assess how fiscal policy affects South African economic growth. These data show that tax collections and economic growth are positively correlated, but tax policy has a long-term influence. </w:t>
      </w:r>
      <w:hyperlink w:anchor="_ENREF_39" w:tooltip="Simionescu, 2016 #26" w:history="1">
        <w:r w:rsidRPr="00D96905">
          <w:rPr>
            <w:rFonts w:ascii="Times New Roman" w:eastAsia="Times New Roman" w:hAnsi="Times New Roman" w:cs="Times New Roman"/>
            <w:kern w:val="0"/>
            <w14:ligatures w14:val="none"/>
          </w:rPr>
          <w:fldChar w:fldCharType="begin"/>
        </w:r>
        <w:r w:rsidRPr="00D96905">
          <w:rPr>
            <w:rFonts w:ascii="Times New Roman" w:eastAsia="Times New Roman" w:hAnsi="Times New Roman" w:cs="Times New Roman"/>
            <w:kern w:val="0"/>
            <w14:ligatures w14:val="none"/>
          </w:rPr>
          <w:instrText xml:space="preserve"> ADDIN EN.CITE &lt;EndNote&gt;&lt;Cite AuthorYear="1"&gt;&lt;Author&gt;Simionescu&lt;/Author&gt;&lt;Year&gt;2016&lt;/Year&gt;&lt;RecNum&gt;26&lt;/RecNum&gt;&lt;DisplayText&gt;Simionescu and Albu (2016)&lt;/DisplayText&gt;&lt;record&gt;&lt;rec-number&gt;26&lt;/rec-number&gt;&lt;foreign-keys&gt;&lt;key app="EN" db-id="advdwe00srftrhedwtpxdpf6fvw2d5ev25r2" timestamp="1768064043"&gt;26&lt;/key&gt;&lt;/foreign-keys&gt;&lt;ref-type name="Journal Article"&gt;17&lt;/ref-type&gt;&lt;contributors&gt;&lt;authors&gt;&lt;author&gt;Simionescu, Mihaela&lt;/author&gt;&lt;author&gt;Albu, Lucian-Liviu&lt;/author&gt;&lt;/authors&gt;&lt;/contributors&gt;&lt;titles&gt;&lt;title&gt;The impact of standard value added tax on economic growth in CEE-5 countries: econometric analysis and simulations&lt;/title&gt;&lt;secondary-title&gt;Technological and economic development of economy&lt;/secondary-title&gt;&lt;/titles&gt;&lt;periodical&gt;&lt;full-title&gt;Technological and economic development of economy&lt;/full-title&gt;&lt;/periodical&gt;&lt;pages&gt;850-866&lt;/pages&gt;&lt;volume&gt;22&lt;/volume&gt;&lt;number&gt;6&lt;/number&gt;&lt;dates&gt;&lt;year&gt;2016&lt;/year&gt;&lt;/dates&gt;&lt;isbn&gt;2029-4913&lt;/isbn&gt;&lt;urls&gt;&lt;/urls&gt;&lt;/record&gt;&lt;/Cite&gt;&lt;/EndNote&gt;</w:instrText>
        </w:r>
        <w:r w:rsidRPr="00D96905">
          <w:rPr>
            <w:rFonts w:ascii="Times New Roman" w:eastAsia="Times New Roman" w:hAnsi="Times New Roman" w:cs="Times New Roman"/>
            <w:kern w:val="0"/>
            <w14:ligatures w14:val="none"/>
          </w:rPr>
          <w:fldChar w:fldCharType="separate"/>
        </w:r>
        <w:r w:rsidRPr="00D96905">
          <w:rPr>
            <w:rFonts w:ascii="Times New Roman" w:eastAsia="Times New Roman" w:hAnsi="Times New Roman" w:cs="Times New Roman"/>
            <w:noProof/>
            <w:kern w:val="0"/>
            <w14:ligatures w14:val="none"/>
          </w:rPr>
          <w:t>Simionescu and Albu (2016)</w:t>
        </w:r>
        <w:r w:rsidRPr="00D96905">
          <w:rPr>
            <w:rFonts w:ascii="Times New Roman" w:eastAsia="Times New Roman" w:hAnsi="Times New Roman" w:cs="Times New Roman"/>
            <w:kern w:val="0"/>
            <w14:ligatures w14:val="none"/>
          </w:rPr>
          <w:fldChar w:fldCharType="end"/>
        </w:r>
      </w:hyperlink>
      <w:r w:rsidRPr="00D96905">
        <w:rPr>
          <w:rFonts w:ascii="Times New Roman" w:eastAsia="Times New Roman" w:hAnsi="Times New Roman" w:cs="Times New Roman"/>
          <w:kern w:val="0"/>
          <w14:ligatures w14:val="none"/>
        </w:rPr>
        <w:t xml:space="preserve"> estimated the influence of taxes on Latin American economic growth using VAR models </w:t>
      </w:r>
      <w:r>
        <w:rPr>
          <w:rFonts w:ascii="Times New Roman" w:eastAsia="Times New Roman" w:hAnsi="Times New Roman" w:cs="Times New Roman"/>
          <w:kern w:val="0"/>
          <w14:ligatures w14:val="none"/>
        </w:rPr>
        <w:t>for each</w:t>
      </w:r>
      <w:r w:rsidRPr="00D96905">
        <w:rPr>
          <w:rFonts w:ascii="Times New Roman" w:eastAsia="Times New Roman" w:hAnsi="Times New Roman" w:cs="Times New Roman"/>
          <w:kern w:val="0"/>
          <w14:ligatures w14:val="none"/>
        </w:rPr>
        <w:t xml:space="preserve"> nation. The </w:t>
      </w:r>
      <w:r w:rsidRPr="00D96905">
        <w:rPr>
          <w:rFonts w:ascii="Times New Roman" w:eastAsia="Times New Roman" w:hAnsi="Times New Roman" w:cs="Times New Roman"/>
          <w:kern w:val="0"/>
          <w14:ligatures w14:val="none"/>
        </w:rPr>
        <w:lastRenderedPageBreak/>
        <w:t xml:space="preserve">results of their observation were inconsistent. The research involved the use of panel data of three different groups of countries: developed, developing, and Latin American, but it did not find any relationship in either emerging or established economies, though it reported suggesting </w:t>
      </w:r>
      <w:r>
        <w:rPr>
          <w:rFonts w:ascii="Times New Roman" w:eastAsia="Times New Roman" w:hAnsi="Times New Roman" w:cs="Times New Roman"/>
          <w:kern w:val="0"/>
          <w14:ligatures w14:val="none"/>
        </w:rPr>
        <w:t xml:space="preserve">a </w:t>
      </w:r>
      <w:r w:rsidRPr="00D96905">
        <w:rPr>
          <w:rFonts w:ascii="Times New Roman" w:eastAsia="Times New Roman" w:hAnsi="Times New Roman" w:cs="Times New Roman"/>
          <w:kern w:val="0"/>
          <w14:ligatures w14:val="none"/>
        </w:rPr>
        <w:t>positive correlation between growth, personal income tax, and corporate income in Latin American countries.</w:t>
      </w:r>
      <w:r>
        <w:rPr>
          <w:rFonts w:ascii="Times New Roman" w:eastAsia="Times New Roman" w:hAnsi="Times New Roman" w:cs="Times New Roman"/>
          <w:kern w:val="0"/>
          <w14:ligatures w14:val="none"/>
        </w:rPr>
        <w:t xml:space="preserve"> </w:t>
      </w:r>
      <w:hyperlink w:anchor="_ENREF_37" w:tooltip="Shaqiri, 2024 #52" w:history="1">
        <w:r w:rsidRPr="00AE4452">
          <w:rPr>
            <w:rFonts w:ascii="Times New Roman" w:eastAsia="Times New Roman" w:hAnsi="Times New Roman" w:cs="Times New Roman"/>
            <w:color w:val="EE0000"/>
            <w:kern w:val="0"/>
            <w14:ligatures w14:val="none"/>
          </w:rPr>
          <w:fldChar w:fldCharType="begin"/>
        </w:r>
        <w:r w:rsidRPr="00AE4452">
          <w:rPr>
            <w:rFonts w:ascii="Times New Roman" w:eastAsia="Times New Roman" w:hAnsi="Times New Roman" w:cs="Times New Roman"/>
            <w:color w:val="EE0000"/>
            <w:kern w:val="0"/>
            <w14:ligatures w14:val="none"/>
          </w:rPr>
          <w:instrText xml:space="preserve"> ADDIN EN.CITE &lt;EndNote&gt;&lt;Cite AuthorYear="1"&gt;&lt;Author&gt;Shaqiri&lt;/Author&gt;&lt;Year&gt;2024&lt;/Year&gt;&lt;RecNum&gt;52&lt;/RecNum&gt;&lt;DisplayText&gt;Shaqiri et al. (2024)&lt;/DisplayText&gt;&lt;record&gt;&lt;rec-number&gt;52&lt;/rec-number&gt;&lt;foreign-keys&gt;&lt;key app="EN" db-id="advdwe00srftrhedwtpxdpf6fvw2d5ev25r2" timestamp="1768846010"&gt;52&lt;/key&gt;&lt;/foreign-keys&gt;&lt;ref-type name="Journal Article"&gt;17&lt;/ref-type&gt;&lt;contributors&gt;&lt;authors&gt;&lt;author&gt;Shaqiri, Valentina&lt;/author&gt;&lt;author&gt;Elshani, Alban&lt;/author&gt;&lt;author&gt;Ahmeti, Skender&lt;/author&gt;&lt;/authors&gt;&lt;/contributors&gt;&lt;titles&gt;&lt;title&gt;The Effect of Direct and Indirect Taxes on Economic Growth in Developed Countries&lt;/title&gt;&lt;secondary-title&gt;Ekonomika&lt;/secondary-title&gt;&lt;/titles&gt;&lt;periodical&gt;&lt;full-title&gt;Ekonomika&lt;/full-title&gt;&lt;/periodical&gt;&lt;pages&gt;123-139&lt;/pages&gt;&lt;volume&gt;103&lt;/volume&gt;&lt;number&gt;2&lt;/number&gt;&lt;dates&gt;&lt;year&gt;2024&lt;/year&gt;&lt;/dates&gt;&lt;isbn&gt;2424-6166&lt;/isbn&gt;&lt;urls&gt;&lt;/urls&gt;&lt;/record&gt;&lt;/Cite&gt;&lt;/EndNote&gt;</w:instrText>
        </w:r>
        <w:r w:rsidRPr="00AE4452">
          <w:rPr>
            <w:rFonts w:ascii="Times New Roman" w:eastAsia="Times New Roman" w:hAnsi="Times New Roman" w:cs="Times New Roman"/>
            <w:color w:val="EE0000"/>
            <w:kern w:val="0"/>
            <w14:ligatures w14:val="none"/>
          </w:rPr>
          <w:fldChar w:fldCharType="separate"/>
        </w:r>
        <w:r w:rsidRPr="00AE4452">
          <w:rPr>
            <w:rFonts w:ascii="Times New Roman" w:eastAsia="Times New Roman" w:hAnsi="Times New Roman" w:cs="Times New Roman"/>
            <w:noProof/>
            <w:color w:val="EE0000"/>
            <w:kern w:val="0"/>
            <w14:ligatures w14:val="none"/>
          </w:rPr>
          <w:t>Shaqiri et al. (2024)</w:t>
        </w:r>
        <w:r w:rsidRPr="00AE4452">
          <w:rPr>
            <w:rFonts w:ascii="Times New Roman" w:eastAsia="Times New Roman" w:hAnsi="Times New Roman" w:cs="Times New Roman"/>
            <w:color w:val="EE0000"/>
            <w:kern w:val="0"/>
            <w14:ligatures w14:val="none"/>
          </w:rPr>
          <w:fldChar w:fldCharType="end"/>
        </w:r>
      </w:hyperlink>
      <w:r w:rsidRPr="00AE4452">
        <w:rPr>
          <w:rFonts w:ascii="Times New Roman" w:eastAsia="Times New Roman" w:hAnsi="Times New Roman" w:cs="Times New Roman"/>
          <w:color w:val="EE0000"/>
          <w:kern w:val="0"/>
          <w14:ligatures w14:val="none"/>
        </w:rPr>
        <w:t xml:space="preserve"> and </w:t>
      </w:r>
      <w:hyperlink w:anchor="_ENREF_1" w:tooltip="Abd Hakim, 2022 #48" w:history="1">
        <w:r w:rsidRPr="00AE4452">
          <w:rPr>
            <w:rFonts w:ascii="Times New Roman" w:eastAsia="Times New Roman" w:hAnsi="Times New Roman" w:cs="Times New Roman"/>
            <w:color w:val="EE0000"/>
            <w:kern w:val="0"/>
            <w14:ligatures w14:val="none"/>
          </w:rPr>
          <w:fldChar w:fldCharType="begin"/>
        </w:r>
        <w:r w:rsidRPr="00AE4452">
          <w:rPr>
            <w:rFonts w:ascii="Times New Roman" w:eastAsia="Times New Roman" w:hAnsi="Times New Roman" w:cs="Times New Roman"/>
            <w:color w:val="EE0000"/>
            <w:kern w:val="0"/>
            <w14:ligatures w14:val="none"/>
          </w:rPr>
          <w:instrText xml:space="preserve"> ADDIN EN.CITE &lt;EndNote&gt;&lt;Cite AuthorYear="1"&gt;&lt;Author&gt;Abd Hakim&lt;/Author&gt;&lt;Year&gt;2022&lt;/Year&gt;&lt;RecNum&gt;48&lt;/RecNum&gt;&lt;DisplayText&gt;Abd Hakim et al. (2022)&lt;/DisplayText&gt;&lt;record&gt;&lt;rec-number&gt;48&lt;/rec-number&gt;&lt;foreign-keys&gt;&lt;key app="EN" db-id="advdwe00srftrhedwtpxdpf6fvw2d5ev25r2" timestamp="1768844789"&gt;48&lt;/key&gt;&lt;/foreign-keys&gt;&lt;ref-type name="Journal Article"&gt;17&lt;/ref-type&gt;&lt;contributors&gt;&lt;authors&gt;&lt;author&gt;Abd Hakim, Taufik&lt;/author&gt;&lt;author&gt;Karia, Abdul Aziz&lt;/author&gt;&lt;author&gt;David, Jasmine&lt;/author&gt;&lt;author&gt;Ginsad, Rainah&lt;/author&gt;&lt;author&gt;Lokman, Norziana&lt;/author&gt;&lt;author&gt;Zolkafli, Salwa&lt;/author&gt;&lt;/authors&gt;&lt;/contributors&gt;&lt;titles&gt;&lt;title&gt;Impact of direct and indirect taxes on economic development: A comparison between developed and developing countries&lt;/title&gt;&lt;secondary-title&gt;Cogent Economics &amp;amp; Finance&lt;/secondary-title&gt;&lt;/titles&gt;&lt;periodical&gt;&lt;full-title&gt;Cogent Economics &amp;amp; Finance&lt;/full-title&gt;&lt;/periodical&gt;&lt;pages&gt;2141423&lt;/pages&gt;&lt;volume&gt;10&lt;/volume&gt;&lt;number&gt;1&lt;/number&gt;&lt;dates&gt;&lt;year&gt;2022&lt;/year&gt;&lt;/dates&gt;&lt;isbn&gt;2332-2039&lt;/isbn&gt;&lt;urls&gt;&lt;/urls&gt;&lt;/record&gt;&lt;/Cite&gt;&lt;/EndNote&gt;</w:instrText>
        </w:r>
        <w:r w:rsidRPr="00AE4452">
          <w:rPr>
            <w:rFonts w:ascii="Times New Roman" w:eastAsia="Times New Roman" w:hAnsi="Times New Roman" w:cs="Times New Roman"/>
            <w:color w:val="EE0000"/>
            <w:kern w:val="0"/>
            <w14:ligatures w14:val="none"/>
          </w:rPr>
          <w:fldChar w:fldCharType="separate"/>
        </w:r>
        <w:r w:rsidRPr="00AE4452">
          <w:rPr>
            <w:rFonts w:ascii="Times New Roman" w:eastAsia="Times New Roman" w:hAnsi="Times New Roman" w:cs="Times New Roman"/>
            <w:noProof/>
            <w:color w:val="EE0000"/>
            <w:kern w:val="0"/>
            <w14:ligatures w14:val="none"/>
          </w:rPr>
          <w:t>Abd Hakim et al. (2022)</w:t>
        </w:r>
        <w:r w:rsidRPr="00AE4452">
          <w:rPr>
            <w:rFonts w:ascii="Times New Roman" w:eastAsia="Times New Roman" w:hAnsi="Times New Roman" w:cs="Times New Roman"/>
            <w:color w:val="EE0000"/>
            <w:kern w:val="0"/>
            <w14:ligatures w14:val="none"/>
          </w:rPr>
          <w:fldChar w:fldCharType="end"/>
        </w:r>
      </w:hyperlink>
      <w:r w:rsidRPr="00AE4452">
        <w:rPr>
          <w:rFonts w:ascii="Times New Roman" w:hAnsi="Times New Roman" w:cs="Times New Roman"/>
          <w:color w:val="EE0000"/>
        </w:rPr>
        <w:t xml:space="preserve"> asse</w:t>
      </w:r>
      <w:r w:rsidRPr="00C15E84">
        <w:rPr>
          <w:rFonts w:ascii="Times New Roman" w:hAnsi="Times New Roman" w:cs="Times New Roman"/>
          <w:color w:val="EE0000"/>
        </w:rPr>
        <w:t xml:space="preserve">rt that both direct and indirect taxes have a substantial negative correlation with economic </w:t>
      </w:r>
      <w:r>
        <w:rPr>
          <w:rFonts w:ascii="Times New Roman" w:hAnsi="Times New Roman" w:cs="Times New Roman"/>
          <w:color w:val="EE0000"/>
        </w:rPr>
        <w:t>growth</w:t>
      </w:r>
      <w:r w:rsidRPr="00C15E84">
        <w:rPr>
          <w:rFonts w:ascii="Times New Roman" w:hAnsi="Times New Roman" w:cs="Times New Roman"/>
          <w:color w:val="EE0000"/>
        </w:rPr>
        <w:t>, as measured by GDP per capita in emerging nations. These findings suggested that the tax structure in </w:t>
      </w:r>
      <w:r>
        <w:rPr>
          <w:rFonts w:ascii="Times New Roman" w:hAnsi="Times New Roman" w:cs="Times New Roman"/>
          <w:color w:val="EE0000"/>
        </w:rPr>
        <w:t>developing</w:t>
      </w:r>
      <w:r w:rsidRPr="00C15E84">
        <w:rPr>
          <w:rFonts w:ascii="Times New Roman" w:hAnsi="Times New Roman" w:cs="Times New Roman"/>
          <w:color w:val="EE0000"/>
        </w:rPr>
        <w:t xml:space="preserve"> nations do not facilitate economic </w:t>
      </w:r>
      <w:r>
        <w:rPr>
          <w:rFonts w:ascii="Times New Roman" w:hAnsi="Times New Roman" w:cs="Times New Roman"/>
          <w:color w:val="EE0000"/>
        </w:rPr>
        <w:t>growth</w:t>
      </w:r>
      <w:r w:rsidRPr="00C15E84">
        <w:rPr>
          <w:rFonts w:ascii="Times New Roman" w:hAnsi="Times New Roman" w:cs="Times New Roman"/>
          <w:color w:val="EE0000"/>
        </w:rPr>
        <w:t xml:space="preserve">. </w:t>
      </w:r>
      <w:hyperlink w:anchor="_ENREF_24" w:tooltip="Koch, 2005 #27" w:history="1">
        <w:r w:rsidRPr="00D96905">
          <w:rPr>
            <w:rFonts w:ascii="Times New Roman" w:eastAsia="Times New Roman" w:hAnsi="Times New Roman" w:cs="Times New Roman"/>
            <w:kern w:val="0"/>
            <w14:ligatures w14:val="none"/>
          </w:rPr>
          <w:fldChar w:fldCharType="begin"/>
        </w:r>
        <w:r w:rsidRPr="00D96905">
          <w:rPr>
            <w:rFonts w:ascii="Times New Roman" w:eastAsia="Times New Roman" w:hAnsi="Times New Roman" w:cs="Times New Roman"/>
            <w:kern w:val="0"/>
            <w14:ligatures w14:val="none"/>
          </w:rPr>
          <w:instrText xml:space="preserve"> ADDIN EN.CITE &lt;EndNote&gt;&lt;Cite AuthorYear="1"&gt;&lt;Author&gt;Koch&lt;/Author&gt;&lt;Year&gt;2005&lt;/Year&gt;&lt;RecNum&gt;27&lt;/RecNum&gt;&lt;DisplayText&gt;Koch et al. (2005)&lt;/DisplayText&gt;&lt;record&gt;&lt;rec-number&gt;27&lt;/rec-number&gt;&lt;foreign-keys&gt;&lt;key app="EN" db-id="advdwe00srftrhedwtpxdpf6fvw2d5ev25r2" timestamp="1768064216"&gt;27&lt;/key&gt;&lt;/foreign-keys&gt;&lt;ref-type name="Journal Article"&gt;17&lt;/ref-type&gt;&lt;contributors&gt;&lt;authors&gt;&lt;author&gt;Koch, Steven F&lt;/author&gt;&lt;author&gt;Schoeman, Niek J&lt;/author&gt;&lt;author&gt;Van Tonder, Jurie J&lt;/author&gt;&lt;/authors&gt;&lt;/contributors&gt;&lt;titles&gt;&lt;title&gt;Economic growth and the structure of taxes in South Africa: 1960–2002&lt;/title&gt;&lt;secondary-title&gt;South African Journal of Economics&lt;/secondary-title&gt;&lt;/titles&gt;&lt;periodical&gt;&lt;full-title&gt;South African Journal of Economics&lt;/full-title&gt;&lt;/periodical&gt;&lt;pages&gt;190-210&lt;/pages&gt;&lt;volume&gt;73&lt;/volume&gt;&lt;number&gt;2&lt;/number&gt;&lt;dates&gt;&lt;year&gt;2005&lt;/year&gt;&lt;/dates&gt;&lt;isbn&gt;0038-2280&lt;/isbn&gt;&lt;urls&gt;&lt;/urls&gt;&lt;/record&gt;&lt;/Cite&gt;&lt;/EndNote&gt;</w:instrText>
        </w:r>
        <w:r w:rsidRPr="00D96905">
          <w:rPr>
            <w:rFonts w:ascii="Times New Roman" w:eastAsia="Times New Roman" w:hAnsi="Times New Roman" w:cs="Times New Roman"/>
            <w:kern w:val="0"/>
            <w14:ligatures w14:val="none"/>
          </w:rPr>
          <w:fldChar w:fldCharType="separate"/>
        </w:r>
        <w:r w:rsidRPr="00D96905">
          <w:rPr>
            <w:rFonts w:ascii="Times New Roman" w:eastAsia="Times New Roman" w:hAnsi="Times New Roman" w:cs="Times New Roman"/>
            <w:noProof/>
            <w:kern w:val="0"/>
            <w14:ligatures w14:val="none"/>
          </w:rPr>
          <w:t>Koch et al. (2005)</w:t>
        </w:r>
        <w:r w:rsidRPr="00D96905">
          <w:rPr>
            <w:rFonts w:ascii="Times New Roman" w:eastAsia="Times New Roman" w:hAnsi="Times New Roman" w:cs="Times New Roman"/>
            <w:kern w:val="0"/>
            <w14:ligatures w14:val="none"/>
          </w:rPr>
          <w:fldChar w:fldCharType="end"/>
        </w:r>
      </w:hyperlink>
      <w:r w:rsidRPr="00D96905">
        <w:rPr>
          <w:rFonts w:ascii="Times New Roman" w:eastAsia="Times New Roman" w:hAnsi="Times New Roman" w:cs="Times New Roman"/>
          <w:kern w:val="0"/>
          <w14:ligatures w14:val="none"/>
        </w:rPr>
        <w:t xml:space="preserve"> conducted a study of the correlation between taxes and economic growth in Africa. The research started in the year 2004 and closed in the year 2013. The descriptive statistics and the unit root test were used in the pre-estimation test. The results of the tests conducted showed that the variables related to GDP and taxes appear to be normal and consistent. The findings of this study, however, indicate that taxes are positively correlated </w:t>
      </w:r>
      <w:r>
        <w:rPr>
          <w:rFonts w:ascii="Times New Roman" w:eastAsia="Times New Roman" w:hAnsi="Times New Roman" w:cs="Times New Roman"/>
          <w:kern w:val="0"/>
          <w14:ligatures w14:val="none"/>
        </w:rPr>
        <w:t>with</w:t>
      </w:r>
      <w:r w:rsidRPr="00D96905">
        <w:rPr>
          <w:rFonts w:ascii="Times New Roman" w:eastAsia="Times New Roman" w:hAnsi="Times New Roman" w:cs="Times New Roman"/>
          <w:kern w:val="0"/>
          <w14:ligatures w14:val="none"/>
        </w:rPr>
        <w:t xml:space="preserve"> GDP and help in accelerating economic growth in Africa. Our hypothesis is as follows: it is based not only on economic theory, but on the real information that has been compiled in previous scientific studies. Therefore,</w:t>
      </w:r>
    </w:p>
    <w:p w14:paraId="3B9049FD" w14:textId="77777777" w:rsidR="00AE4452" w:rsidRPr="00D96905" w:rsidRDefault="00AE4452" w:rsidP="00AE4452">
      <w:pPr>
        <w:spacing w:after="0" w:line="360" w:lineRule="auto"/>
        <w:jc w:val="both"/>
        <w:rPr>
          <w:rFonts w:ascii="Times New Roman" w:eastAsia="Times New Roman" w:hAnsi="Times New Roman" w:cs="Times New Roman"/>
          <w:kern w:val="0"/>
          <w14:ligatures w14:val="none"/>
        </w:rPr>
      </w:pPr>
    </w:p>
    <w:p w14:paraId="29734A06" w14:textId="77777777" w:rsidR="00AE4452" w:rsidRPr="00D96905" w:rsidRDefault="00AE4452" w:rsidP="00AE4452">
      <w:pPr>
        <w:spacing w:after="0" w:line="360" w:lineRule="auto"/>
        <w:jc w:val="both"/>
        <w:rPr>
          <w:rFonts w:ascii="Times New Roman" w:eastAsia="Times New Roman" w:hAnsi="Times New Roman" w:cs="Times New Roman"/>
          <w:kern w:val="0"/>
          <w14:ligatures w14:val="none"/>
        </w:rPr>
      </w:pPr>
      <w:r w:rsidRPr="00D96905">
        <w:rPr>
          <w:rFonts w:ascii="Times New Roman" w:eastAsia="Times New Roman" w:hAnsi="Times New Roman" w:cs="Times New Roman"/>
          <w:b/>
          <w:bCs/>
          <w:kern w:val="0"/>
          <w14:ligatures w14:val="none"/>
        </w:rPr>
        <w:t>H2:</w:t>
      </w:r>
      <w:r w:rsidRPr="00D96905">
        <w:rPr>
          <w:rFonts w:ascii="Times New Roman" w:eastAsia="Times New Roman" w:hAnsi="Times New Roman" w:cs="Times New Roman"/>
          <w:kern w:val="0"/>
          <w14:ligatures w14:val="none"/>
        </w:rPr>
        <w:t xml:space="preserve"> Tax revenue positively and significantly influenced economic growth.</w:t>
      </w:r>
    </w:p>
    <w:p w14:paraId="46EB9D39" w14:textId="77777777" w:rsidR="00AE4452" w:rsidRPr="00D96905" w:rsidRDefault="00AE4452" w:rsidP="00AE4452">
      <w:pPr>
        <w:spacing w:after="0" w:line="360" w:lineRule="auto"/>
        <w:jc w:val="both"/>
        <w:rPr>
          <w:rFonts w:ascii="Times New Roman" w:eastAsia="Times New Roman" w:hAnsi="Times New Roman" w:cs="Times New Roman"/>
          <w:kern w:val="0"/>
          <w14:ligatures w14:val="none"/>
        </w:rPr>
      </w:pPr>
    </w:p>
    <w:p w14:paraId="57FB73C4" w14:textId="77777777" w:rsidR="00AE4452" w:rsidRPr="00D96905" w:rsidRDefault="00AE4452" w:rsidP="00AE4452">
      <w:pPr>
        <w:spacing w:after="0" w:line="360" w:lineRule="auto"/>
        <w:jc w:val="both"/>
        <w:rPr>
          <w:rFonts w:ascii="Times New Roman" w:eastAsia="Times New Roman" w:hAnsi="Times New Roman" w:cs="Times New Roman"/>
          <w:b/>
          <w:bCs/>
          <w:kern w:val="0"/>
          <w:sz w:val="32"/>
          <w:szCs w:val="32"/>
          <w14:ligatures w14:val="none"/>
        </w:rPr>
      </w:pPr>
      <w:r w:rsidRPr="00D96905">
        <w:rPr>
          <w:rFonts w:ascii="Times New Roman" w:eastAsia="Times New Roman" w:hAnsi="Times New Roman" w:cs="Times New Roman"/>
          <w:b/>
          <w:bCs/>
          <w:kern w:val="0"/>
          <w:sz w:val="32"/>
          <w:szCs w:val="32"/>
          <w14:ligatures w14:val="none"/>
        </w:rPr>
        <w:t>Methodology</w:t>
      </w:r>
    </w:p>
    <w:p w14:paraId="6494FACC" w14:textId="77777777" w:rsidR="00AE4452" w:rsidRPr="00D96905" w:rsidRDefault="00AE4452" w:rsidP="00AE4452">
      <w:pPr>
        <w:spacing w:line="360" w:lineRule="auto"/>
        <w:jc w:val="both"/>
        <w:rPr>
          <w:rFonts w:ascii="Times New Roman" w:hAnsi="Times New Roman" w:cs="Times New Roman"/>
        </w:rPr>
      </w:pPr>
      <w:r w:rsidRPr="00D96905">
        <w:rPr>
          <w:rFonts w:ascii="Times New Roman" w:hAnsi="Times New Roman" w:cs="Times New Roman"/>
        </w:rPr>
        <w:t>This study examines rising economies' tax revenue and financial growth empirically. This quantitative analysis uses secondary data. The next section describes econometric methodology, data sources, and variable definitions.</w:t>
      </w:r>
    </w:p>
    <w:p w14:paraId="426640B9" w14:textId="77777777" w:rsidR="00AE4452" w:rsidRPr="00D96905" w:rsidRDefault="00AE4452" w:rsidP="00AE4452">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Data Source and Description</w:t>
      </w:r>
    </w:p>
    <w:p w14:paraId="67CDC029" w14:textId="77777777" w:rsidR="00AE4452" w:rsidRPr="00D96905" w:rsidRDefault="00AE4452" w:rsidP="00AE4452">
      <w:pPr>
        <w:spacing w:line="360" w:lineRule="auto"/>
        <w:jc w:val="both"/>
        <w:rPr>
          <w:rFonts w:ascii="Times New Roman" w:hAnsi="Times New Roman" w:cs="Times New Roman"/>
        </w:rPr>
      </w:pPr>
      <w:r w:rsidRPr="00D96905">
        <w:rPr>
          <w:rFonts w:ascii="Times New Roman" w:hAnsi="Times New Roman" w:cs="Times New Roman"/>
        </w:rPr>
        <w:t>Brazil, Russia, India, China, and South Africa's yearly data w</w:t>
      </w:r>
      <w:r>
        <w:rPr>
          <w:rFonts w:ascii="Times New Roman" w:hAnsi="Times New Roman" w:cs="Times New Roman"/>
        </w:rPr>
        <w:t>ere</w:t>
      </w:r>
      <w:r w:rsidRPr="00D96905">
        <w:rPr>
          <w:rFonts w:ascii="Times New Roman" w:hAnsi="Times New Roman" w:cs="Times New Roman"/>
        </w:rPr>
        <w:t xml:space="preserve"> used for the research. Between 2010 </w:t>
      </w:r>
      <w:r>
        <w:rPr>
          <w:rFonts w:ascii="Times New Roman" w:hAnsi="Times New Roman" w:cs="Times New Roman"/>
        </w:rPr>
        <w:t>and</w:t>
      </w:r>
      <w:r w:rsidRPr="00D96905">
        <w:rPr>
          <w:rFonts w:ascii="Times New Roman" w:hAnsi="Times New Roman" w:cs="Times New Roman"/>
        </w:rPr>
        <w:t xml:space="preserve"> 2024, the research spans 15 years. This era includes </w:t>
      </w:r>
      <w:r>
        <w:rPr>
          <w:rFonts w:ascii="Times New Roman" w:hAnsi="Times New Roman" w:cs="Times New Roman"/>
        </w:rPr>
        <w:t xml:space="preserve">the </w:t>
      </w:r>
      <w:r w:rsidRPr="00D96905">
        <w:rPr>
          <w:rFonts w:ascii="Times New Roman" w:hAnsi="Times New Roman" w:cs="Times New Roman"/>
        </w:rPr>
        <w:t>post-global financial crisis and contemporary economic developments. The World Bank's World Development Indicators (WDI) and the IMF are the main data sources. The research measures the following variables (Table 1):</w:t>
      </w:r>
    </w:p>
    <w:p w14:paraId="5B51E59F" w14:textId="77777777" w:rsidR="00AE4452" w:rsidRPr="00D96905" w:rsidRDefault="00AE4452" w:rsidP="00AE4452">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Financial Development (FD)</w:t>
      </w:r>
    </w:p>
    <w:p w14:paraId="6FE2E0D9" w14:textId="77777777" w:rsidR="00AE4452" w:rsidRPr="00D96905" w:rsidRDefault="00AE4452" w:rsidP="00AE4452">
      <w:pPr>
        <w:spacing w:line="360" w:lineRule="auto"/>
        <w:jc w:val="both"/>
        <w:rPr>
          <w:rFonts w:ascii="Times New Roman" w:hAnsi="Times New Roman" w:cs="Times New Roman"/>
        </w:rPr>
      </w:pPr>
      <w:r w:rsidRPr="00D96905">
        <w:rPr>
          <w:rFonts w:ascii="Times New Roman" w:hAnsi="Times New Roman" w:cs="Times New Roman"/>
        </w:rPr>
        <w:lastRenderedPageBreak/>
        <w:t xml:space="preserve">It is this study's dependent variable. GDP-private sector domestic credit ratio determines it (Edward, 2018). The quantity of money financial institutions </w:t>
      </w:r>
      <w:proofErr w:type="gramStart"/>
      <w:r w:rsidRPr="00D96905">
        <w:rPr>
          <w:rFonts w:ascii="Times New Roman" w:hAnsi="Times New Roman" w:cs="Times New Roman"/>
        </w:rPr>
        <w:t>offer</w:t>
      </w:r>
      <w:proofErr w:type="gramEnd"/>
      <w:r w:rsidRPr="00D96905">
        <w:rPr>
          <w:rFonts w:ascii="Times New Roman" w:hAnsi="Times New Roman" w:cs="Times New Roman"/>
        </w:rPr>
        <w:t xml:space="preserve"> the private sector is an essential metric of financial depth.</w:t>
      </w:r>
    </w:p>
    <w:p w14:paraId="6DD8C7BC" w14:textId="77777777" w:rsidR="00AE4452" w:rsidRPr="00D96905" w:rsidRDefault="00AE4452" w:rsidP="00AE4452">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Economic Growth (</w:t>
      </w:r>
      <w:proofErr w:type="spellStart"/>
      <w:r w:rsidRPr="00D96905">
        <w:rPr>
          <w:rFonts w:ascii="Times New Roman" w:hAnsi="Times New Roman" w:cs="Times New Roman"/>
          <w:b/>
          <w:bCs/>
          <w:sz w:val="32"/>
          <w:szCs w:val="32"/>
        </w:rPr>
        <w:t>GDPg</w:t>
      </w:r>
      <w:proofErr w:type="spellEnd"/>
      <w:r w:rsidRPr="00D96905">
        <w:rPr>
          <w:rFonts w:ascii="Times New Roman" w:hAnsi="Times New Roman" w:cs="Times New Roman"/>
          <w:b/>
          <w:bCs/>
          <w:sz w:val="32"/>
          <w:szCs w:val="32"/>
        </w:rPr>
        <w:t>)</w:t>
      </w:r>
    </w:p>
    <w:p w14:paraId="30736E82" w14:textId="24878D1B" w:rsidR="00AE4452" w:rsidRPr="00D96905" w:rsidRDefault="00AE4452" w:rsidP="00AE4452">
      <w:pPr>
        <w:spacing w:line="360" w:lineRule="auto"/>
        <w:jc w:val="both"/>
        <w:rPr>
          <w:rFonts w:ascii="Times New Roman" w:hAnsi="Times New Roman" w:cs="Times New Roman"/>
        </w:rPr>
      </w:pPr>
      <w:r w:rsidRPr="00D96905">
        <w:rPr>
          <w:rFonts w:ascii="Times New Roman" w:hAnsi="Times New Roman" w:cs="Times New Roman"/>
        </w:rPr>
        <w:t xml:space="preserve"> GDP Growth rate per annum is used to put a measure on the overall economic growth </w:t>
      </w:r>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&lt;EndNote&gt;&lt;Cite&gt;&lt;Author&gt;Chen&lt;/Author&gt;&lt;Year&gt;2023&lt;/Year&gt;&lt;RecNum&gt;29&lt;/RecNum&gt;&lt;DisplayText&gt;(Chen et al., 2023)&lt;/DisplayText&gt;&lt;record&gt;&lt;rec-number&gt;29&lt;/rec-number&gt;&lt;foreign-keys&gt;&lt;key app="EN" db-id="advdwe00srftrhedwtpxdpf6fvw2d5ev25r2" timestamp="1768064474"&gt;29&lt;/key&gt;&lt;/foreign-keys&gt;&lt;ref-type name="Journal Article"&gt;17&lt;/ref-type&gt;&lt;contributors&gt;&lt;authors&gt;&lt;author&gt;Chen, Yang&lt;/author&gt;&lt;author&gt;Xu, Shaorui&lt;/author&gt;&lt;author&gt;Lyulyov, Oleksii&lt;/author&gt;&lt;author&gt;Pimonenko, Tetyana&lt;/author&gt;&lt;/authors&gt;&lt;/contributors&gt;&lt;titles&gt;&lt;title&gt;China’s digital economy development: Incentives and challenges&lt;/title&gt;&lt;secondary-title&gt;Technological and Economic Development of Economy&lt;/secondary-title&gt;&lt;/titles&gt;&lt;periodical&gt;&lt;full-title&gt;Technological and economic development of economy&lt;/full-title&gt;&lt;/periodical&gt;&lt;pages&gt;518–538-518–538&lt;/pages&gt;&lt;volume&gt;29&lt;/volume&gt;&lt;number&gt;2&lt;/number&gt;&lt;dates&gt;&lt;year&gt;2023&lt;/year&gt;&lt;/dates&gt;&lt;isbn&gt;2029-4921&lt;/isbn&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noProof/>
        </w:rPr>
        <w:t>(</w:t>
      </w:r>
      <w:hyperlink w:anchor="_ENREF_9" w:tooltip="Chen, 2023 #29" w:history="1">
        <w:r w:rsidRPr="00D96905">
          <w:rPr>
            <w:rFonts w:ascii="Times New Roman" w:hAnsi="Times New Roman" w:cs="Times New Roman"/>
            <w:noProof/>
          </w:rPr>
          <w:t>Chen et al., 2023</w:t>
        </w:r>
      </w:hyperlink>
      <w:r w:rsidRPr="00D96905">
        <w:rPr>
          <w:rFonts w:ascii="Times New Roman" w:hAnsi="Times New Roman" w:cs="Times New Roman"/>
          <w:noProof/>
        </w:rPr>
        <w:t>)</w:t>
      </w:r>
      <w:r w:rsidRPr="00D96905">
        <w:rPr>
          <w:rFonts w:ascii="Times New Roman" w:hAnsi="Times New Roman" w:cs="Times New Roman"/>
        </w:rPr>
        <w:fldChar w:fldCharType="end"/>
      </w:r>
      <w:r w:rsidRPr="00D96905">
        <w:rPr>
          <w:rFonts w:ascii="Times New Roman" w:hAnsi="Times New Roman" w:cs="Times New Roman"/>
        </w:rPr>
        <w:t>.</w:t>
      </w:r>
    </w:p>
    <w:p w14:paraId="57634AC4" w14:textId="77777777" w:rsidR="00AE4452" w:rsidRPr="00D96905" w:rsidRDefault="00AE4452" w:rsidP="00AE4452">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Tax Revenue (TR)</w:t>
      </w:r>
    </w:p>
    <w:p w14:paraId="17381D5E" w14:textId="33E8AEF6" w:rsidR="00AE4452" w:rsidRPr="00D96905" w:rsidRDefault="00AE4452" w:rsidP="00AE4452">
      <w:pPr>
        <w:spacing w:line="360" w:lineRule="auto"/>
        <w:jc w:val="both"/>
        <w:rPr>
          <w:rFonts w:ascii="Times New Roman" w:hAnsi="Times New Roman" w:cs="Times New Roman"/>
        </w:rPr>
      </w:pPr>
      <w:r w:rsidRPr="00D96905">
        <w:rPr>
          <w:rFonts w:ascii="Times New Roman" w:hAnsi="Times New Roman" w:cs="Times New Roman"/>
        </w:rPr>
        <w:t>It is the key independent variable. It is assessed in terms of  Tax Revenue (% GDP)</w:t>
      </w:r>
      <w:r>
        <w:rPr>
          <w:rFonts w:ascii="Times New Roman" w:hAnsi="Times New Roman" w:cs="Times New Roman"/>
        </w:rPr>
        <w:t>,</w:t>
      </w:r>
      <w:r w:rsidRPr="00D96905">
        <w:rPr>
          <w:rFonts w:ascii="Times New Roman" w:hAnsi="Times New Roman" w:cs="Times New Roman"/>
        </w:rPr>
        <w:t xml:space="preserve"> which is the total amount of tax revenue the government will gather </w:t>
      </w:r>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&lt;EndNote&gt;&lt;Cite&gt;&lt;Author&gt;Hill&lt;/Author&gt;&lt;Year&gt;2022&lt;/Year&gt;&lt;RecNum&gt;30&lt;/RecNum&gt;&lt;DisplayText&gt;(Hill et al., 2022)&lt;/DisplayText&gt;&lt;record&gt;&lt;rec-number&gt;30&lt;/rec-number&gt;&lt;foreign-keys&gt;&lt;key app="EN" db-id="advdwe00srftrhedwtpxdpf6fvw2d5ev25r2" timestamp="1768064527"&gt;30&lt;/key&gt;&lt;/foreign-keys&gt;&lt;ref-type name="Journal Article"&gt;17&lt;/ref-type&gt;&lt;contributors&gt;&lt;authors&gt;&lt;author&gt;Hill, Samuel&lt;/author&gt;&lt;author&gt;Jinjarak, Yothin&lt;/author&gt;&lt;author&gt;Park, Donghyun&lt;/author&gt;&lt;/authors&gt;&lt;/contributors&gt;&lt;titles&gt;&lt;title&gt;How do tax revenues respond to GDP growth? Evidence from developing Asia, 1998-2020&lt;/title&gt;&lt;secondary-title&gt;Asian Development Outlook&lt;/secondary-title&gt;&lt;/titles&gt;&lt;periodical&gt;&lt;full-title&gt;Asian Development Outlook&lt;/full-title&gt;&lt;/periodical&gt;&lt;dates&gt;&lt;year&gt;2022&lt;/year&gt;&lt;/dates&gt;&lt;urls&gt;&lt;/urls&gt;&lt;/record&gt;&lt;/Cite&gt;&lt;/EndNote&gt;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noProof/>
        </w:rPr>
        <w:t>(</w:t>
      </w:r>
      <w:hyperlink w:anchor="_ENREF_19" w:tooltip="Hill, 2022 #30" w:history="1">
        <w:r w:rsidRPr="00D96905">
          <w:rPr>
            <w:rFonts w:ascii="Times New Roman" w:hAnsi="Times New Roman" w:cs="Times New Roman"/>
            <w:noProof/>
          </w:rPr>
          <w:t>Hill et al., 2022</w:t>
        </w:r>
      </w:hyperlink>
      <w:r w:rsidRPr="00D96905">
        <w:rPr>
          <w:rFonts w:ascii="Times New Roman" w:hAnsi="Times New Roman" w:cs="Times New Roman"/>
          <w:noProof/>
        </w:rPr>
        <w:t>)</w:t>
      </w:r>
      <w:r w:rsidRPr="00D96905">
        <w:rPr>
          <w:rFonts w:ascii="Times New Roman" w:hAnsi="Times New Roman" w:cs="Times New Roman"/>
        </w:rPr>
        <w:fldChar w:fldCharType="end"/>
      </w:r>
      <w:r w:rsidRPr="00D96905">
        <w:rPr>
          <w:rFonts w:ascii="Times New Roman" w:hAnsi="Times New Roman" w:cs="Times New Roman"/>
        </w:rPr>
        <w:t>.</w:t>
      </w:r>
    </w:p>
    <w:p w14:paraId="5ECB62A8" w14:textId="77777777" w:rsidR="00AE4452" w:rsidRPr="00D96905" w:rsidRDefault="00AE4452" w:rsidP="00AE4452">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Trade Openness (TO)</w:t>
      </w:r>
    </w:p>
    <w:p w14:paraId="3B94BA1F" w14:textId="4E008980" w:rsidR="00AE4452" w:rsidRPr="00D96905" w:rsidRDefault="00AE4452" w:rsidP="00AE4452">
      <w:pPr>
        <w:spacing w:line="360" w:lineRule="auto"/>
        <w:jc w:val="both"/>
        <w:rPr>
          <w:rFonts w:ascii="Times New Roman" w:hAnsi="Times New Roman" w:cs="Times New Roman"/>
        </w:rPr>
      </w:pPr>
      <w:r w:rsidRPr="00D96905">
        <w:rPr>
          <w:rFonts w:ascii="Times New Roman" w:hAnsi="Times New Roman" w:cs="Times New Roman"/>
        </w:rPr>
        <w:t xml:space="preserve">The variable is used to determine how much the economy is related to foreign markets. It is calculated as a ratio of the value of exports and imports to GDP ( Exports + Imports / GDP) </w:t>
      </w:r>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&lt;EndNote&gt;&lt;Cite&gt;&lt;Author&gt;Ali&lt;/Author&gt;&lt;Year&gt;2023&lt;/Year&gt;&lt;RecNum&gt;31&lt;/RecNum&gt;&lt;DisplayText&gt;(Ali et al., 2023)&lt;/DisplayText&gt;&lt;record&gt;&lt;rec-number&gt;31&lt;/rec-number&gt;&lt;foreign-keys&gt;&lt;key app="EN" db-id="advdwe00srftrhedwtpxdpf6fvw2d5ev25r2" timestamp="1768064571"&gt;31&lt;/key&gt;&lt;/foreign-keys&gt;&lt;ref-type name="Journal Article"&gt;17&lt;/ref-type&gt;&lt;contributors&gt;&lt;authors&gt;&lt;author&gt;Ali, Anis&lt;/author&gt;&lt;author&gt;Fatima, Nadeem&lt;/author&gt;&lt;author&gt;Rahman Ali, Basel Jamal Abdel&lt;/author&gt;&lt;author&gt;Husain, Firoz&lt;/author&gt;&lt;/authors&gt;&lt;/contributors&gt;&lt;titles&gt;&lt;title&gt;Imports, Exports and Growth of Gross Domestic Product (GDP)-A Relational Variability Analysis&lt;/title&gt;&lt;secondary-title&gt;International Journal of Sustainable Development &amp;amp; Planning&lt;/secondary-title&gt;&lt;/titles&gt;&lt;periodical&gt;&lt;full-title&gt;International Journal of Sustainable Development &amp;amp; Planning&lt;/full-title&gt;&lt;/periodical&gt;&lt;volume&gt;18&lt;/volume&gt;&lt;number&gt;6&lt;/number&gt;&lt;dates&gt;&lt;year&gt;2023&lt;/year&gt;&lt;/dates&gt;&lt;isbn&gt;1743-7601&lt;/isbn&gt;&lt;urls&gt;&lt;/urls&gt;&lt;/record&gt;&lt;/Cite&gt;&lt;/EndNote&gt;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noProof/>
        </w:rPr>
        <w:t>(</w:t>
      </w:r>
      <w:hyperlink w:anchor="_ENREF_2" w:tooltip="Ali, 2023 #31" w:history="1">
        <w:r w:rsidRPr="00D96905">
          <w:rPr>
            <w:rFonts w:ascii="Times New Roman" w:hAnsi="Times New Roman" w:cs="Times New Roman"/>
            <w:noProof/>
          </w:rPr>
          <w:t>Ali et al., 2023</w:t>
        </w:r>
      </w:hyperlink>
      <w:r w:rsidRPr="00D96905">
        <w:rPr>
          <w:rFonts w:ascii="Times New Roman" w:hAnsi="Times New Roman" w:cs="Times New Roman"/>
          <w:noProof/>
        </w:rPr>
        <w:t>)</w:t>
      </w:r>
      <w:r w:rsidRPr="00D96905">
        <w:rPr>
          <w:rFonts w:ascii="Times New Roman" w:hAnsi="Times New Roman" w:cs="Times New Roman"/>
        </w:rPr>
        <w:fldChar w:fldCharType="end"/>
      </w:r>
      <w:r w:rsidRPr="00D96905">
        <w:rPr>
          <w:rFonts w:ascii="Times New Roman" w:hAnsi="Times New Roman" w:cs="Times New Roman"/>
        </w:rPr>
        <w:t>.</w:t>
      </w:r>
    </w:p>
    <w:p w14:paraId="53B5111A" w14:textId="77777777" w:rsidR="00AE4452" w:rsidRPr="00D96905" w:rsidRDefault="00AE4452" w:rsidP="00AE4452">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Foreign Direct Investment</w:t>
      </w:r>
    </w:p>
    <w:p w14:paraId="645DE41E" w14:textId="13ADDC65" w:rsidR="00AE4452" w:rsidRPr="00D96905" w:rsidRDefault="00AE4452" w:rsidP="00AE4452">
      <w:pPr>
        <w:spacing w:line="360" w:lineRule="auto"/>
        <w:jc w:val="both"/>
        <w:rPr>
          <w:rFonts w:ascii="Times New Roman" w:hAnsi="Times New Roman" w:cs="Times New Roman"/>
        </w:rPr>
      </w:pPr>
      <w:r w:rsidRPr="00D96905">
        <w:rPr>
          <w:rFonts w:ascii="Times New Roman" w:hAnsi="Times New Roman" w:cs="Times New Roman"/>
        </w:rPr>
        <w:t xml:space="preserve">It is a variable that indicates the amount of inflow of foreign capital, and it is measured in terms of FDI net inflows (as a percentage of GDP) </w:t>
      </w:r>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&lt;EndNote&gt;&lt;Cite&gt;&lt;Author&gt;Sijabat&lt;/Author&gt;&lt;Year&gt;2023&lt;/Year&gt;&lt;RecNum&gt;32&lt;/RecNum&gt;&lt;DisplayText&gt;(Sijabat, 2023)&lt;/DisplayText&gt;&lt;record&gt;&lt;rec-number&gt;32&lt;/rec-number&gt;&lt;foreign-keys&gt;&lt;key app="EN" db-id="advdwe00srftrhedwtpxdpf6fvw2d5ev25r2" timestamp="1768064625"&gt;32&lt;/key&gt;&lt;/foreign-keys&gt;&lt;ref-type name="Journal Article"&gt;17&lt;/ref-type&gt;&lt;contributors&gt;&lt;authors&gt;&lt;author&gt;Sijabat, Rosdiana&lt;/author&gt;&lt;/authors&gt;&lt;/contributors&gt;&lt;titles&gt;&lt;title&gt;The association between foreign investment and gross domestic product in ten ASEAN countries&lt;/title&gt;&lt;secondary-title&gt;Economies&lt;/secondary-title&gt;&lt;/titles&gt;&lt;periodical&gt;&lt;full-title&gt;Economies&lt;/full-title&gt;&lt;/periodical&gt;&lt;pages&gt;188&lt;/pages&gt;&lt;volume&gt;11&lt;/volume&gt;&lt;number&gt;7&lt;/number&gt;&lt;dates&gt;&lt;year&gt;2023&lt;/year&gt;&lt;/dates&gt;&lt;isbn&gt;2227-7099&lt;/isbn&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noProof/>
        </w:rPr>
        <w:t>(</w:t>
      </w:r>
      <w:hyperlink w:anchor="_ENREF_38" w:tooltip="Sijabat, 2023 #32" w:history="1">
        <w:r w:rsidRPr="00D96905">
          <w:rPr>
            <w:rFonts w:ascii="Times New Roman" w:hAnsi="Times New Roman" w:cs="Times New Roman"/>
            <w:noProof/>
          </w:rPr>
          <w:t>Sijabat, 2023</w:t>
        </w:r>
      </w:hyperlink>
      <w:r w:rsidRPr="00D96905">
        <w:rPr>
          <w:rFonts w:ascii="Times New Roman" w:hAnsi="Times New Roman" w:cs="Times New Roman"/>
          <w:noProof/>
        </w:rPr>
        <w:t>)</w:t>
      </w:r>
      <w:r w:rsidRPr="00D96905">
        <w:rPr>
          <w:rFonts w:ascii="Times New Roman" w:hAnsi="Times New Roman" w:cs="Times New Roman"/>
        </w:rPr>
        <w:fldChar w:fldCharType="end"/>
      </w:r>
      <w:r w:rsidRPr="00D96905">
        <w:rPr>
          <w:rFonts w:ascii="Times New Roman" w:hAnsi="Times New Roman" w:cs="Times New Roman"/>
        </w:rPr>
        <w:t>.</w:t>
      </w:r>
    </w:p>
    <w:p w14:paraId="01052C4B" w14:textId="77777777" w:rsidR="00AE4452" w:rsidRPr="00D96905" w:rsidRDefault="00AE4452" w:rsidP="00AE4452">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Inflation (INF)</w:t>
      </w:r>
    </w:p>
    <w:p w14:paraId="3E80E11C" w14:textId="77777777" w:rsidR="00AE4452" w:rsidRPr="00D96905" w:rsidRDefault="00AE4452" w:rsidP="00AE4452">
      <w:pPr>
        <w:spacing w:line="360" w:lineRule="auto"/>
        <w:jc w:val="both"/>
        <w:rPr>
          <w:rFonts w:ascii="Times New Roman" w:hAnsi="Times New Roman" w:cs="Times New Roman"/>
        </w:rPr>
      </w:pPr>
      <w:r w:rsidRPr="00D96905">
        <w:rPr>
          <w:rFonts w:ascii="Times New Roman" w:hAnsi="Times New Roman" w:cs="Times New Roman"/>
        </w:rPr>
        <w:t>Inflation is part of the model to determine the macroeconomic stability as a percentage change in the CPI on an annual basis.</w:t>
      </w:r>
    </w:p>
    <w:p w14:paraId="7148BAEC" w14:textId="77777777" w:rsidR="00AE4452" w:rsidRPr="00D96905" w:rsidRDefault="00AE4452" w:rsidP="00AE4452">
      <w:pPr>
        <w:spacing w:after="0"/>
        <w:jc w:val="both"/>
        <w:rPr>
          <w:rFonts w:ascii="Times New Roman" w:hAnsi="Times New Roman" w:cs="Times New Roman"/>
          <w:b/>
          <w:bCs/>
        </w:rPr>
      </w:pPr>
      <w:r w:rsidRPr="00D96905">
        <w:rPr>
          <w:rFonts w:ascii="Times New Roman" w:hAnsi="Times New Roman" w:cs="Times New Roman"/>
          <w:b/>
          <w:bCs/>
        </w:rPr>
        <w:t xml:space="preserve">Table 1: </w:t>
      </w:r>
      <w:r w:rsidRPr="00D96905">
        <w:rPr>
          <w:rFonts w:ascii="Times New Roman" w:hAnsi="Times New Roman" w:cs="Times New Roman"/>
          <w:i/>
          <w:iCs/>
        </w:rPr>
        <w:t>Measures</w:t>
      </w:r>
    </w:p>
    <w:tbl>
      <w:tblPr>
        <w:tblW w:w="4760" w:type="pct"/>
        <w:tblLayout w:type="fixed"/>
        <w:tblLook w:val="04A0" w:firstRow="1" w:lastRow="0" w:firstColumn="1" w:lastColumn="0" w:noHBand="0" w:noVBand="1"/>
      </w:tblPr>
      <w:tblGrid>
        <w:gridCol w:w="2326"/>
        <w:gridCol w:w="3974"/>
        <w:gridCol w:w="1440"/>
        <w:gridCol w:w="1171"/>
      </w:tblGrid>
      <w:tr w:rsidR="00AE4452" w:rsidRPr="00D96905" w14:paraId="62BA2607" w14:textId="77777777" w:rsidTr="00617810">
        <w:trPr>
          <w:trHeight w:val="290"/>
        </w:trPr>
        <w:tc>
          <w:tcPr>
            <w:tcW w:w="1305" w:type="pct"/>
            <w:tcBorders>
              <w:top w:val="single" w:sz="4" w:space="0" w:color="auto"/>
              <w:left w:val="nil"/>
              <w:bottom w:val="single" w:sz="4" w:space="0" w:color="auto"/>
              <w:right w:val="nil"/>
            </w:tcBorders>
            <w:noWrap/>
            <w:vAlign w:val="bottom"/>
            <w:hideMark/>
          </w:tcPr>
          <w:p w14:paraId="0E37ED8B" w14:textId="77777777" w:rsidR="00AE4452" w:rsidRPr="00D96905" w:rsidRDefault="00AE4452" w:rsidP="00617810">
            <w:pPr>
              <w:spacing w:after="0" w:line="240" w:lineRule="auto"/>
              <w:rPr>
                <w:rFonts w:ascii="Times New Roman" w:eastAsia="Times New Roman" w:hAnsi="Times New Roman" w:cs="Times New Roman"/>
                <w:b/>
                <w:bCs/>
                <w:kern w:val="0"/>
                <w14:ligatures w14:val="none"/>
              </w:rPr>
            </w:pPr>
            <w:r w:rsidRPr="00D96905">
              <w:rPr>
                <w:rFonts w:ascii="Times New Roman" w:eastAsia="Times New Roman" w:hAnsi="Times New Roman" w:cs="Times New Roman"/>
                <w:b/>
                <w:bCs/>
                <w:kern w:val="0"/>
                <w14:ligatures w14:val="none"/>
              </w:rPr>
              <w:t>Variables</w:t>
            </w:r>
          </w:p>
        </w:tc>
        <w:tc>
          <w:tcPr>
            <w:tcW w:w="2230" w:type="pct"/>
            <w:tcBorders>
              <w:top w:val="single" w:sz="4" w:space="0" w:color="auto"/>
              <w:left w:val="nil"/>
              <w:bottom w:val="single" w:sz="4" w:space="0" w:color="auto"/>
              <w:right w:val="nil"/>
            </w:tcBorders>
            <w:noWrap/>
            <w:vAlign w:val="bottom"/>
            <w:hideMark/>
          </w:tcPr>
          <w:p w14:paraId="12A0A013" w14:textId="77777777" w:rsidR="00AE4452" w:rsidRPr="00D96905" w:rsidRDefault="00AE4452" w:rsidP="00617810">
            <w:pPr>
              <w:spacing w:after="0" w:line="240" w:lineRule="auto"/>
              <w:rPr>
                <w:rFonts w:ascii="Times New Roman" w:eastAsia="Times New Roman" w:hAnsi="Times New Roman" w:cs="Times New Roman"/>
                <w:b/>
                <w:bCs/>
                <w:kern w:val="0"/>
                <w14:ligatures w14:val="none"/>
              </w:rPr>
            </w:pPr>
            <w:r w:rsidRPr="00D96905">
              <w:rPr>
                <w:rFonts w:ascii="Times New Roman" w:eastAsia="Times New Roman" w:hAnsi="Times New Roman" w:cs="Times New Roman"/>
                <w:b/>
                <w:bCs/>
                <w:kern w:val="0"/>
                <w14:ligatures w14:val="none"/>
              </w:rPr>
              <w:t>Measures</w:t>
            </w:r>
          </w:p>
        </w:tc>
        <w:tc>
          <w:tcPr>
            <w:tcW w:w="808" w:type="pct"/>
            <w:tcBorders>
              <w:top w:val="single" w:sz="4" w:space="0" w:color="auto"/>
              <w:left w:val="nil"/>
              <w:bottom w:val="single" w:sz="4" w:space="0" w:color="auto"/>
              <w:right w:val="nil"/>
            </w:tcBorders>
            <w:noWrap/>
            <w:vAlign w:val="bottom"/>
            <w:hideMark/>
          </w:tcPr>
          <w:p w14:paraId="3729C3AF" w14:textId="77777777" w:rsidR="00AE4452" w:rsidRPr="00D96905" w:rsidRDefault="00AE4452" w:rsidP="00617810">
            <w:pPr>
              <w:spacing w:after="0" w:line="240" w:lineRule="auto"/>
              <w:rPr>
                <w:rFonts w:ascii="Times New Roman" w:eastAsia="Times New Roman" w:hAnsi="Times New Roman" w:cs="Times New Roman"/>
                <w:b/>
                <w:bCs/>
                <w:kern w:val="0"/>
                <w14:ligatures w14:val="none"/>
              </w:rPr>
            </w:pPr>
            <w:r w:rsidRPr="00D96905">
              <w:rPr>
                <w:rFonts w:ascii="Times New Roman" w:eastAsia="Times New Roman" w:hAnsi="Times New Roman" w:cs="Times New Roman"/>
                <w:b/>
                <w:bCs/>
                <w:kern w:val="0"/>
                <w14:ligatures w14:val="none"/>
              </w:rPr>
              <w:t>Sources</w:t>
            </w:r>
          </w:p>
        </w:tc>
        <w:tc>
          <w:tcPr>
            <w:tcW w:w="657" w:type="pct"/>
            <w:tcBorders>
              <w:top w:val="single" w:sz="4" w:space="0" w:color="auto"/>
              <w:left w:val="nil"/>
              <w:bottom w:val="single" w:sz="4" w:space="0" w:color="auto"/>
              <w:right w:val="nil"/>
            </w:tcBorders>
            <w:noWrap/>
            <w:vAlign w:val="bottom"/>
            <w:hideMark/>
          </w:tcPr>
          <w:p w14:paraId="5844CEB0" w14:textId="77777777" w:rsidR="00AE4452" w:rsidRPr="00D96905" w:rsidRDefault="00AE4452" w:rsidP="00617810">
            <w:pPr>
              <w:spacing w:after="0" w:line="240" w:lineRule="auto"/>
              <w:rPr>
                <w:rFonts w:ascii="Times New Roman" w:eastAsia="Times New Roman" w:hAnsi="Times New Roman" w:cs="Times New Roman"/>
                <w:b/>
                <w:bCs/>
                <w:kern w:val="0"/>
                <w14:ligatures w14:val="none"/>
              </w:rPr>
            </w:pPr>
            <w:r w:rsidRPr="00D96905">
              <w:rPr>
                <w:rFonts w:ascii="Times New Roman" w:eastAsia="Times New Roman" w:hAnsi="Times New Roman" w:cs="Times New Roman"/>
                <w:b/>
                <w:bCs/>
                <w:kern w:val="0"/>
                <w14:ligatures w14:val="none"/>
              </w:rPr>
              <w:t>Symbol</w:t>
            </w:r>
          </w:p>
        </w:tc>
      </w:tr>
      <w:tr w:rsidR="00AE4452" w:rsidRPr="00D96905" w14:paraId="26185373" w14:textId="77777777" w:rsidTr="00617810">
        <w:trPr>
          <w:trHeight w:val="290"/>
        </w:trPr>
        <w:tc>
          <w:tcPr>
            <w:tcW w:w="1305" w:type="pct"/>
            <w:tcBorders>
              <w:top w:val="nil"/>
              <w:left w:val="nil"/>
              <w:bottom w:val="nil"/>
              <w:right w:val="nil"/>
            </w:tcBorders>
            <w:noWrap/>
            <w:vAlign w:val="bottom"/>
            <w:hideMark/>
          </w:tcPr>
          <w:p w14:paraId="1A51D08F" w14:textId="77777777" w:rsidR="00AE4452" w:rsidRPr="00D96905" w:rsidRDefault="00AE4452" w:rsidP="00617810">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Financial Development</w:t>
            </w:r>
          </w:p>
        </w:tc>
        <w:tc>
          <w:tcPr>
            <w:tcW w:w="2230" w:type="pct"/>
            <w:tcBorders>
              <w:top w:val="nil"/>
              <w:left w:val="nil"/>
              <w:bottom w:val="nil"/>
              <w:right w:val="nil"/>
            </w:tcBorders>
            <w:noWrap/>
            <w:vAlign w:val="bottom"/>
            <w:hideMark/>
          </w:tcPr>
          <w:p w14:paraId="4FBAB4A5" w14:textId="77777777" w:rsidR="00AE4452" w:rsidRPr="00D96905" w:rsidRDefault="00AE4452" w:rsidP="00617810">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Credit given by the financial institutions to the private sector (% of GDP)</w:t>
            </w:r>
          </w:p>
        </w:tc>
        <w:tc>
          <w:tcPr>
            <w:tcW w:w="808" w:type="pct"/>
            <w:tcBorders>
              <w:top w:val="nil"/>
              <w:left w:val="nil"/>
              <w:bottom w:val="nil"/>
              <w:right w:val="nil"/>
            </w:tcBorders>
            <w:noWrap/>
            <w:vAlign w:val="bottom"/>
            <w:hideMark/>
          </w:tcPr>
          <w:p w14:paraId="48B10EB5" w14:textId="77777777" w:rsidR="00AE4452" w:rsidRPr="00D96905" w:rsidRDefault="00AE4452" w:rsidP="00617810">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WDI</w:t>
            </w:r>
          </w:p>
        </w:tc>
        <w:tc>
          <w:tcPr>
            <w:tcW w:w="657" w:type="pct"/>
            <w:tcBorders>
              <w:top w:val="nil"/>
              <w:left w:val="nil"/>
              <w:bottom w:val="nil"/>
              <w:right w:val="nil"/>
            </w:tcBorders>
            <w:noWrap/>
            <w:vAlign w:val="center"/>
            <w:hideMark/>
          </w:tcPr>
          <w:p w14:paraId="4B8E1DC1" w14:textId="77777777" w:rsidR="00AE4452" w:rsidRPr="00D96905" w:rsidRDefault="00AE4452" w:rsidP="00617810">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FD</w:t>
            </w:r>
          </w:p>
        </w:tc>
      </w:tr>
      <w:tr w:rsidR="00AE4452" w:rsidRPr="00D96905" w14:paraId="11A7EB49" w14:textId="77777777" w:rsidTr="00617810">
        <w:trPr>
          <w:trHeight w:val="290"/>
        </w:trPr>
        <w:tc>
          <w:tcPr>
            <w:tcW w:w="1305" w:type="pct"/>
            <w:tcBorders>
              <w:top w:val="nil"/>
              <w:left w:val="nil"/>
              <w:bottom w:val="nil"/>
              <w:right w:val="nil"/>
            </w:tcBorders>
            <w:noWrap/>
            <w:vAlign w:val="bottom"/>
            <w:hideMark/>
          </w:tcPr>
          <w:p w14:paraId="0E46308E" w14:textId="77777777" w:rsidR="00AE4452" w:rsidRPr="00D96905" w:rsidRDefault="00AE4452" w:rsidP="00617810">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Economic Growth</w:t>
            </w:r>
          </w:p>
        </w:tc>
        <w:tc>
          <w:tcPr>
            <w:tcW w:w="2230" w:type="pct"/>
            <w:tcBorders>
              <w:top w:val="nil"/>
              <w:left w:val="nil"/>
              <w:bottom w:val="nil"/>
              <w:right w:val="nil"/>
            </w:tcBorders>
            <w:noWrap/>
            <w:vAlign w:val="bottom"/>
            <w:hideMark/>
          </w:tcPr>
          <w:p w14:paraId="35C17FE5" w14:textId="77777777" w:rsidR="00AE4452" w:rsidRPr="00D96905" w:rsidRDefault="00AE4452" w:rsidP="00617810">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 xml:space="preserve">GDP Growth rate per annum </w:t>
            </w:r>
          </w:p>
        </w:tc>
        <w:tc>
          <w:tcPr>
            <w:tcW w:w="808" w:type="pct"/>
            <w:tcBorders>
              <w:top w:val="nil"/>
              <w:left w:val="nil"/>
              <w:bottom w:val="nil"/>
              <w:right w:val="nil"/>
            </w:tcBorders>
            <w:noWrap/>
            <w:vAlign w:val="bottom"/>
            <w:hideMark/>
          </w:tcPr>
          <w:p w14:paraId="5B543288" w14:textId="77777777" w:rsidR="00AE4452" w:rsidRPr="00D96905" w:rsidRDefault="00AE4452" w:rsidP="00617810">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WDI</w:t>
            </w:r>
          </w:p>
        </w:tc>
        <w:tc>
          <w:tcPr>
            <w:tcW w:w="657" w:type="pct"/>
            <w:tcBorders>
              <w:top w:val="nil"/>
              <w:left w:val="nil"/>
              <w:bottom w:val="nil"/>
              <w:right w:val="nil"/>
            </w:tcBorders>
            <w:noWrap/>
            <w:vAlign w:val="center"/>
            <w:hideMark/>
          </w:tcPr>
          <w:p w14:paraId="48236A0A" w14:textId="77777777" w:rsidR="00AE4452" w:rsidRPr="00D96905" w:rsidRDefault="00AE4452" w:rsidP="00617810">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EG</w:t>
            </w:r>
          </w:p>
        </w:tc>
      </w:tr>
      <w:tr w:rsidR="00AE4452" w:rsidRPr="00D96905" w14:paraId="0C762549" w14:textId="77777777" w:rsidTr="00617810">
        <w:trPr>
          <w:trHeight w:val="290"/>
        </w:trPr>
        <w:tc>
          <w:tcPr>
            <w:tcW w:w="1305" w:type="pct"/>
            <w:tcBorders>
              <w:top w:val="nil"/>
              <w:left w:val="nil"/>
              <w:bottom w:val="nil"/>
              <w:right w:val="nil"/>
            </w:tcBorders>
            <w:noWrap/>
            <w:vAlign w:val="bottom"/>
            <w:hideMark/>
          </w:tcPr>
          <w:p w14:paraId="71FA0757" w14:textId="77777777" w:rsidR="00AE4452" w:rsidRPr="00D96905" w:rsidRDefault="00AE4452" w:rsidP="00617810">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Tax Revenue</w:t>
            </w:r>
          </w:p>
        </w:tc>
        <w:tc>
          <w:tcPr>
            <w:tcW w:w="2230" w:type="pct"/>
            <w:tcBorders>
              <w:top w:val="nil"/>
              <w:left w:val="nil"/>
              <w:bottom w:val="nil"/>
              <w:right w:val="nil"/>
            </w:tcBorders>
            <w:noWrap/>
            <w:vAlign w:val="bottom"/>
            <w:hideMark/>
          </w:tcPr>
          <w:p w14:paraId="1FF87ACF" w14:textId="77777777" w:rsidR="00AE4452" w:rsidRPr="00D96905" w:rsidRDefault="00AE4452" w:rsidP="00617810">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Tax revenue (% of GDP)</w:t>
            </w:r>
          </w:p>
        </w:tc>
        <w:tc>
          <w:tcPr>
            <w:tcW w:w="808" w:type="pct"/>
            <w:tcBorders>
              <w:top w:val="nil"/>
              <w:left w:val="nil"/>
              <w:bottom w:val="nil"/>
              <w:right w:val="nil"/>
            </w:tcBorders>
            <w:noWrap/>
            <w:vAlign w:val="bottom"/>
            <w:hideMark/>
          </w:tcPr>
          <w:p w14:paraId="1A8C27C0" w14:textId="77777777" w:rsidR="00AE4452" w:rsidRPr="00D96905" w:rsidRDefault="00AE4452" w:rsidP="00617810">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WDI</w:t>
            </w:r>
          </w:p>
        </w:tc>
        <w:tc>
          <w:tcPr>
            <w:tcW w:w="657" w:type="pct"/>
            <w:tcBorders>
              <w:top w:val="nil"/>
              <w:left w:val="nil"/>
              <w:bottom w:val="nil"/>
              <w:right w:val="nil"/>
            </w:tcBorders>
            <w:noWrap/>
            <w:vAlign w:val="center"/>
            <w:hideMark/>
          </w:tcPr>
          <w:p w14:paraId="0DDDAE58" w14:textId="77777777" w:rsidR="00AE4452" w:rsidRPr="00D96905" w:rsidRDefault="00AE4452" w:rsidP="00617810">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TAX</w:t>
            </w:r>
          </w:p>
        </w:tc>
      </w:tr>
      <w:tr w:rsidR="00AE4452" w:rsidRPr="00D96905" w14:paraId="0DFA86C4" w14:textId="77777777" w:rsidTr="00617810">
        <w:trPr>
          <w:trHeight w:val="290"/>
        </w:trPr>
        <w:tc>
          <w:tcPr>
            <w:tcW w:w="1305" w:type="pct"/>
            <w:tcBorders>
              <w:top w:val="nil"/>
              <w:left w:val="nil"/>
              <w:bottom w:val="nil"/>
              <w:right w:val="nil"/>
            </w:tcBorders>
            <w:noWrap/>
            <w:vAlign w:val="bottom"/>
            <w:hideMark/>
          </w:tcPr>
          <w:p w14:paraId="2B8127A7" w14:textId="77777777" w:rsidR="00AE4452" w:rsidRPr="00D96905" w:rsidRDefault="00AE4452" w:rsidP="00617810">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Foreign Direct Investment</w:t>
            </w:r>
          </w:p>
        </w:tc>
        <w:tc>
          <w:tcPr>
            <w:tcW w:w="2230" w:type="pct"/>
            <w:tcBorders>
              <w:top w:val="nil"/>
              <w:left w:val="nil"/>
              <w:bottom w:val="nil"/>
              <w:right w:val="nil"/>
            </w:tcBorders>
            <w:noWrap/>
            <w:vAlign w:val="bottom"/>
            <w:hideMark/>
          </w:tcPr>
          <w:p w14:paraId="14DB0C1C" w14:textId="77777777" w:rsidR="00AE4452" w:rsidRPr="00D96905" w:rsidRDefault="00AE4452" w:rsidP="00617810">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FDI net inflows (% of GDP)</w:t>
            </w:r>
          </w:p>
        </w:tc>
        <w:tc>
          <w:tcPr>
            <w:tcW w:w="808" w:type="pct"/>
            <w:tcBorders>
              <w:top w:val="nil"/>
              <w:left w:val="nil"/>
              <w:bottom w:val="nil"/>
              <w:right w:val="nil"/>
            </w:tcBorders>
            <w:noWrap/>
            <w:vAlign w:val="bottom"/>
            <w:hideMark/>
          </w:tcPr>
          <w:p w14:paraId="326C4ADD" w14:textId="77777777" w:rsidR="00AE4452" w:rsidRPr="00D96905" w:rsidRDefault="00AE4452" w:rsidP="00617810">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OECD</w:t>
            </w:r>
          </w:p>
        </w:tc>
        <w:tc>
          <w:tcPr>
            <w:tcW w:w="657" w:type="pct"/>
            <w:tcBorders>
              <w:top w:val="nil"/>
              <w:left w:val="nil"/>
              <w:bottom w:val="nil"/>
              <w:right w:val="nil"/>
            </w:tcBorders>
            <w:noWrap/>
            <w:vAlign w:val="center"/>
            <w:hideMark/>
          </w:tcPr>
          <w:p w14:paraId="7F80DF11" w14:textId="77777777" w:rsidR="00AE4452" w:rsidRPr="00D96905" w:rsidRDefault="00AE4452" w:rsidP="00617810">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FDI</w:t>
            </w:r>
          </w:p>
        </w:tc>
      </w:tr>
      <w:tr w:rsidR="00AE4452" w:rsidRPr="00D96905" w14:paraId="5E9BDF90" w14:textId="77777777" w:rsidTr="00617810">
        <w:trPr>
          <w:trHeight w:val="290"/>
        </w:trPr>
        <w:tc>
          <w:tcPr>
            <w:tcW w:w="1305" w:type="pct"/>
            <w:tcBorders>
              <w:top w:val="nil"/>
              <w:left w:val="nil"/>
              <w:bottom w:val="nil"/>
              <w:right w:val="nil"/>
            </w:tcBorders>
            <w:noWrap/>
            <w:vAlign w:val="bottom"/>
            <w:hideMark/>
          </w:tcPr>
          <w:p w14:paraId="5F10BCC8" w14:textId="77777777" w:rsidR="00AE4452" w:rsidRPr="00D96905" w:rsidRDefault="00AE4452" w:rsidP="00617810">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lastRenderedPageBreak/>
              <w:t>Inflation</w:t>
            </w:r>
          </w:p>
        </w:tc>
        <w:tc>
          <w:tcPr>
            <w:tcW w:w="2230" w:type="pct"/>
            <w:tcBorders>
              <w:top w:val="nil"/>
              <w:left w:val="nil"/>
              <w:bottom w:val="nil"/>
              <w:right w:val="nil"/>
            </w:tcBorders>
            <w:noWrap/>
            <w:vAlign w:val="bottom"/>
            <w:hideMark/>
          </w:tcPr>
          <w:p w14:paraId="20272B9C" w14:textId="77777777" w:rsidR="00AE4452" w:rsidRPr="00D96905" w:rsidRDefault="00AE4452" w:rsidP="00617810">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 xml:space="preserve">Consumer Price Index </w:t>
            </w:r>
          </w:p>
        </w:tc>
        <w:tc>
          <w:tcPr>
            <w:tcW w:w="808" w:type="pct"/>
            <w:tcBorders>
              <w:top w:val="nil"/>
              <w:left w:val="nil"/>
              <w:bottom w:val="nil"/>
              <w:right w:val="nil"/>
            </w:tcBorders>
            <w:noWrap/>
            <w:vAlign w:val="bottom"/>
            <w:hideMark/>
          </w:tcPr>
          <w:p w14:paraId="19C0C92E" w14:textId="77777777" w:rsidR="00AE4452" w:rsidRPr="00D96905" w:rsidRDefault="00AE4452" w:rsidP="00617810">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OECD</w:t>
            </w:r>
          </w:p>
        </w:tc>
        <w:tc>
          <w:tcPr>
            <w:tcW w:w="657" w:type="pct"/>
            <w:tcBorders>
              <w:top w:val="nil"/>
              <w:left w:val="nil"/>
              <w:bottom w:val="nil"/>
              <w:right w:val="nil"/>
            </w:tcBorders>
            <w:noWrap/>
            <w:vAlign w:val="center"/>
            <w:hideMark/>
          </w:tcPr>
          <w:p w14:paraId="13F2A475" w14:textId="77777777" w:rsidR="00AE4452" w:rsidRPr="00D96905" w:rsidRDefault="00AE4452" w:rsidP="00617810">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CPI</w:t>
            </w:r>
          </w:p>
        </w:tc>
      </w:tr>
      <w:tr w:rsidR="00AE4452" w:rsidRPr="00D96905" w14:paraId="4B0830EA" w14:textId="77777777" w:rsidTr="00617810">
        <w:trPr>
          <w:trHeight w:val="290"/>
        </w:trPr>
        <w:tc>
          <w:tcPr>
            <w:tcW w:w="1305" w:type="pct"/>
            <w:tcBorders>
              <w:top w:val="nil"/>
              <w:left w:val="nil"/>
              <w:bottom w:val="single" w:sz="4" w:space="0" w:color="auto"/>
              <w:right w:val="nil"/>
            </w:tcBorders>
            <w:noWrap/>
            <w:vAlign w:val="bottom"/>
            <w:hideMark/>
          </w:tcPr>
          <w:p w14:paraId="1CDC86F5" w14:textId="77777777" w:rsidR="00AE4452" w:rsidRPr="00D96905" w:rsidRDefault="00AE4452" w:rsidP="00617810">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Trade</w:t>
            </w:r>
          </w:p>
        </w:tc>
        <w:tc>
          <w:tcPr>
            <w:tcW w:w="2230" w:type="pct"/>
            <w:tcBorders>
              <w:top w:val="nil"/>
              <w:left w:val="nil"/>
              <w:bottom w:val="single" w:sz="4" w:space="0" w:color="auto"/>
              <w:right w:val="nil"/>
            </w:tcBorders>
            <w:noWrap/>
            <w:vAlign w:val="bottom"/>
            <w:hideMark/>
          </w:tcPr>
          <w:p w14:paraId="53323135" w14:textId="77777777" w:rsidR="00AE4452" w:rsidRPr="00D96905" w:rsidRDefault="00AE4452" w:rsidP="00617810">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Trade (% of GDP)</w:t>
            </w:r>
          </w:p>
        </w:tc>
        <w:tc>
          <w:tcPr>
            <w:tcW w:w="808" w:type="pct"/>
            <w:tcBorders>
              <w:top w:val="nil"/>
              <w:left w:val="nil"/>
              <w:bottom w:val="single" w:sz="4" w:space="0" w:color="auto"/>
              <w:right w:val="nil"/>
            </w:tcBorders>
            <w:noWrap/>
            <w:vAlign w:val="bottom"/>
            <w:hideMark/>
          </w:tcPr>
          <w:p w14:paraId="47968DAE" w14:textId="77777777" w:rsidR="00AE4452" w:rsidRPr="00D96905" w:rsidRDefault="00AE4452" w:rsidP="00617810">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OECD</w:t>
            </w:r>
          </w:p>
        </w:tc>
        <w:tc>
          <w:tcPr>
            <w:tcW w:w="657" w:type="pct"/>
            <w:tcBorders>
              <w:top w:val="nil"/>
              <w:left w:val="nil"/>
              <w:bottom w:val="single" w:sz="4" w:space="0" w:color="auto"/>
              <w:right w:val="nil"/>
            </w:tcBorders>
            <w:noWrap/>
            <w:vAlign w:val="center"/>
            <w:hideMark/>
          </w:tcPr>
          <w:p w14:paraId="75C6145D" w14:textId="77777777" w:rsidR="00AE4452" w:rsidRPr="00D96905" w:rsidRDefault="00AE4452" w:rsidP="00617810">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TR</w:t>
            </w:r>
          </w:p>
        </w:tc>
      </w:tr>
    </w:tbl>
    <w:p w14:paraId="1449680A" w14:textId="77777777" w:rsidR="00AE4452" w:rsidRPr="00D96905" w:rsidRDefault="00AE4452" w:rsidP="00AE4452">
      <w:pPr>
        <w:jc w:val="both"/>
        <w:rPr>
          <w:rFonts w:ascii="Times New Roman" w:hAnsi="Times New Roman" w:cs="Times New Roman"/>
        </w:rPr>
      </w:pPr>
    </w:p>
    <w:p w14:paraId="5F28F1BE" w14:textId="77777777" w:rsidR="00AE4452" w:rsidRPr="00D96905" w:rsidRDefault="00AE4452" w:rsidP="00AE4452">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Sample Size and Selection</w:t>
      </w:r>
    </w:p>
    <w:p w14:paraId="40CEE302" w14:textId="77777777" w:rsidR="00AE4452" w:rsidRPr="00D96905" w:rsidRDefault="00AE4452" w:rsidP="00AE4452">
      <w:pPr>
        <w:spacing w:line="360" w:lineRule="auto"/>
        <w:jc w:val="both"/>
        <w:rPr>
          <w:rFonts w:ascii="Times New Roman" w:hAnsi="Times New Roman" w:cs="Times New Roman"/>
        </w:rPr>
      </w:pPr>
      <w:r w:rsidRPr="00D96905">
        <w:rPr>
          <w:rFonts w:ascii="Times New Roman" w:hAnsi="Times New Roman" w:cs="Times New Roman"/>
        </w:rPr>
        <w:t xml:space="preserve">This paper is devoted to </w:t>
      </w:r>
      <w:r>
        <w:rPr>
          <w:rFonts w:ascii="Times New Roman" w:hAnsi="Times New Roman" w:cs="Times New Roman"/>
        </w:rPr>
        <w:t xml:space="preserve">the </w:t>
      </w:r>
      <w:r w:rsidRPr="00D96905">
        <w:rPr>
          <w:rFonts w:ascii="Times New Roman" w:hAnsi="Times New Roman" w:cs="Times New Roman"/>
        </w:rPr>
        <w:t xml:space="preserve">BRICS countries as the largest and </w:t>
      </w:r>
      <w:r>
        <w:rPr>
          <w:rFonts w:ascii="Times New Roman" w:hAnsi="Times New Roman" w:cs="Times New Roman"/>
        </w:rPr>
        <w:t>most</w:t>
      </w:r>
      <w:r w:rsidRPr="00D96905">
        <w:rPr>
          <w:rFonts w:ascii="Times New Roman" w:hAnsi="Times New Roman" w:cs="Times New Roman"/>
        </w:rPr>
        <w:t xml:space="preserve"> rapid</w:t>
      </w:r>
      <w:r>
        <w:rPr>
          <w:rFonts w:ascii="Times New Roman" w:hAnsi="Times New Roman" w:cs="Times New Roman"/>
        </w:rPr>
        <w:t>ly</w:t>
      </w:r>
      <w:r w:rsidRPr="00D96905">
        <w:rPr>
          <w:rFonts w:ascii="Times New Roman" w:hAnsi="Times New Roman" w:cs="Times New Roman"/>
        </w:rPr>
        <w:t xml:space="preserve"> developing economies in the world. These five nations contribute to approximately 42 per</w:t>
      </w:r>
      <w:r>
        <w:rPr>
          <w:rFonts w:ascii="Times New Roman" w:hAnsi="Times New Roman" w:cs="Times New Roman"/>
        </w:rPr>
        <w:t xml:space="preserve"> </w:t>
      </w:r>
      <w:r w:rsidRPr="00D96905">
        <w:rPr>
          <w:rFonts w:ascii="Times New Roman" w:hAnsi="Times New Roman" w:cs="Times New Roman"/>
        </w:rPr>
        <w:t>cent of the world population and 23 per</w:t>
      </w:r>
      <w:r>
        <w:rPr>
          <w:rFonts w:ascii="Times New Roman" w:hAnsi="Times New Roman" w:cs="Times New Roman"/>
        </w:rPr>
        <w:t xml:space="preserve"> </w:t>
      </w:r>
      <w:r w:rsidRPr="00D96905">
        <w:rPr>
          <w:rFonts w:ascii="Times New Roman" w:hAnsi="Times New Roman" w:cs="Times New Roman"/>
        </w:rPr>
        <w:t xml:space="preserve">cent of the global GDP. The selection of these countries was based on two factors: First, they have </w:t>
      </w:r>
      <w:r>
        <w:rPr>
          <w:rFonts w:ascii="Times New Roman" w:hAnsi="Times New Roman" w:cs="Times New Roman"/>
        </w:rPr>
        <w:t xml:space="preserve">a </w:t>
      </w:r>
      <w:r w:rsidRPr="00D96905">
        <w:rPr>
          <w:rFonts w:ascii="Times New Roman" w:hAnsi="Times New Roman" w:cs="Times New Roman"/>
        </w:rPr>
        <w:t>great variety in terms of financial structures and taxation systems</w:t>
      </w:r>
      <w:r>
        <w:rPr>
          <w:rFonts w:ascii="Times New Roman" w:hAnsi="Times New Roman" w:cs="Times New Roman"/>
        </w:rPr>
        <w:t>,</w:t>
      </w:r>
      <w:r w:rsidRPr="00D96905">
        <w:rPr>
          <w:rFonts w:ascii="Times New Roman" w:hAnsi="Times New Roman" w:cs="Times New Roman"/>
        </w:rPr>
        <w:t xml:space="preserve"> and this is the best place to make comparisons. Second, these nations are drivers of economic growth in the world economy</w:t>
      </w:r>
      <w:r>
        <w:rPr>
          <w:rFonts w:ascii="Times New Roman" w:hAnsi="Times New Roman" w:cs="Times New Roman"/>
        </w:rPr>
        <w:t>,</w:t>
      </w:r>
      <w:r w:rsidRPr="00D96905">
        <w:rPr>
          <w:rFonts w:ascii="Times New Roman" w:hAnsi="Times New Roman" w:cs="Times New Roman"/>
        </w:rPr>
        <w:t xml:space="preserve"> and any policy modifications in these nations ha</w:t>
      </w:r>
      <w:r>
        <w:rPr>
          <w:rFonts w:ascii="Times New Roman" w:hAnsi="Times New Roman" w:cs="Times New Roman"/>
        </w:rPr>
        <w:t>ve</w:t>
      </w:r>
      <w:r w:rsidRPr="00D96905">
        <w:rPr>
          <w:rFonts w:ascii="Times New Roman" w:hAnsi="Times New Roman" w:cs="Times New Roman"/>
        </w:rPr>
        <w:t xml:space="preserve"> international consequences. As this is a balanced panel data and a 5 countries and 15 years of data, the number of observations will be 75 in total (5 x 16 = 75).</w:t>
      </w:r>
    </w:p>
    <w:p w14:paraId="5BE7AD86" w14:textId="77777777" w:rsidR="00AE4452" w:rsidRPr="00D96905" w:rsidRDefault="00AE4452" w:rsidP="00AE4452">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Econometric Model</w:t>
      </w:r>
    </w:p>
    <w:p w14:paraId="61F8D9CD" w14:textId="77777777" w:rsidR="00AE4452" w:rsidRPr="00D96905" w:rsidRDefault="00AE4452" w:rsidP="00AE4452">
      <w:pPr>
        <w:spacing w:line="360" w:lineRule="auto"/>
        <w:jc w:val="both"/>
        <w:rPr>
          <w:rFonts w:ascii="Times New Roman" w:hAnsi="Times New Roman" w:cs="Times New Roman"/>
        </w:rPr>
      </w:pPr>
      <w:r w:rsidRPr="00D96905">
        <w:rPr>
          <w:rFonts w:ascii="Times New Roman" w:hAnsi="Times New Roman" w:cs="Times New Roman"/>
        </w:rPr>
        <w:t>In order to test the long-run relationship between financial development and tax revenue, we have constructed the following simple functional model:</w:t>
      </w:r>
    </w:p>
    <w:p w14:paraId="22C86B6F" w14:textId="77777777" w:rsidR="00AE4452" w:rsidRPr="00D96905" w:rsidRDefault="00AE4452" w:rsidP="00AE4452">
      <w:pPr>
        <w:spacing w:line="360" w:lineRule="auto"/>
        <w:jc w:val="both"/>
        <w:rPr>
          <w:rFonts w:ascii="Times New Roman" w:hAnsi="Times New Roman" w:cs="Times New Roman"/>
        </w:rPr>
      </w:pPr>
      <w:r w:rsidRPr="00D96905">
        <w:rPr>
          <w:rFonts w:ascii="Times New Roman" w:hAnsi="Times New Roman" w:cs="Times New Roman"/>
        </w:rPr>
        <w:object w:dxaOrig="5060" w:dyaOrig="320" w14:anchorId="49BF6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3pt;height:17.3pt" o:ole="">
            <v:imagedata r:id="rId5" o:title=""/>
          </v:shape>
          <o:OLEObject Type="Embed" ProgID="Equation.DSMT4" ShapeID="_x0000_i1025" DrawAspect="Content" ObjectID="_1831042552" r:id="rId6"/>
        </w:object>
      </w:r>
      <w:r w:rsidRPr="00D96905">
        <w:rPr>
          <w:rFonts w:ascii="Times New Roman" w:hAnsi="Times New Roman" w:cs="Times New Roman"/>
        </w:rPr>
        <w:tab/>
      </w:r>
      <w:r w:rsidRPr="00D96905">
        <w:rPr>
          <w:rFonts w:ascii="Times New Roman" w:hAnsi="Times New Roman" w:cs="Times New Roman"/>
        </w:rPr>
        <w:tab/>
      </w:r>
      <w:r w:rsidRPr="00D96905">
        <w:rPr>
          <w:rFonts w:ascii="Times New Roman" w:hAnsi="Times New Roman" w:cs="Times New Roman"/>
        </w:rPr>
        <w:tab/>
      </w:r>
      <w:r w:rsidRPr="00D96905">
        <w:rPr>
          <w:rFonts w:ascii="Times New Roman" w:hAnsi="Times New Roman" w:cs="Times New Roman"/>
        </w:rPr>
        <w:tab/>
      </w:r>
      <w:r w:rsidRPr="00D96905">
        <w:rPr>
          <w:rFonts w:ascii="Times New Roman" w:hAnsi="Times New Roman" w:cs="Times New Roman"/>
          <w:b/>
          <w:bCs/>
          <w:i/>
          <w:iCs/>
        </w:rPr>
        <w:t>Equation 01</w:t>
      </w:r>
    </w:p>
    <w:p w14:paraId="7DCE529E" w14:textId="77777777" w:rsidR="00AE4452" w:rsidRPr="00D96905" w:rsidRDefault="00AE4452" w:rsidP="00AE4452">
      <w:pPr>
        <w:spacing w:line="360" w:lineRule="auto"/>
        <w:jc w:val="both"/>
        <w:rPr>
          <w:rFonts w:ascii="Times New Roman" w:hAnsi="Times New Roman" w:cs="Times New Roman"/>
          <w:b/>
          <w:bCs/>
          <w:i/>
          <w:iCs/>
        </w:rPr>
      </w:pPr>
      <w:r w:rsidRPr="00D96905">
        <w:rPr>
          <w:rFonts w:ascii="Times New Roman" w:hAnsi="Times New Roman" w:cs="Times New Roman"/>
          <w:position w:val="-10"/>
        </w:rPr>
        <w:object w:dxaOrig="5060" w:dyaOrig="320" w14:anchorId="4F14AF7A">
          <v:shape id="_x0000_i1026" type="#_x0000_t75" style="width:252.3pt;height:17.3pt" o:ole="">
            <v:imagedata r:id="rId7" o:title=""/>
          </v:shape>
          <o:OLEObject Type="Embed" ProgID="Equation.DSMT4" ShapeID="_x0000_i1026" DrawAspect="Content" ObjectID="_1831042553" r:id="rId8"/>
        </w:object>
      </w:r>
      <w:r w:rsidRPr="00D96905">
        <w:rPr>
          <w:rFonts w:ascii="Times New Roman" w:hAnsi="Times New Roman" w:cs="Times New Roman"/>
        </w:rPr>
        <w:tab/>
      </w:r>
      <w:r w:rsidRPr="00D96905">
        <w:rPr>
          <w:rFonts w:ascii="Times New Roman" w:hAnsi="Times New Roman" w:cs="Times New Roman"/>
        </w:rPr>
        <w:tab/>
      </w:r>
      <w:r w:rsidRPr="00D96905">
        <w:rPr>
          <w:rFonts w:ascii="Times New Roman" w:hAnsi="Times New Roman" w:cs="Times New Roman"/>
        </w:rPr>
        <w:tab/>
      </w:r>
      <w:r w:rsidRPr="00D96905">
        <w:rPr>
          <w:rFonts w:ascii="Times New Roman" w:hAnsi="Times New Roman" w:cs="Times New Roman"/>
        </w:rPr>
        <w:tab/>
      </w:r>
      <w:r w:rsidRPr="00D96905">
        <w:rPr>
          <w:rFonts w:ascii="Times New Roman" w:hAnsi="Times New Roman" w:cs="Times New Roman"/>
          <w:b/>
          <w:bCs/>
          <w:i/>
          <w:iCs/>
        </w:rPr>
        <w:t>Equation 02</w:t>
      </w:r>
    </w:p>
    <w:p w14:paraId="6F447AAC" w14:textId="77777777" w:rsidR="00AE4452" w:rsidRPr="00D96905" w:rsidRDefault="00AE4452" w:rsidP="00AE4452">
      <w:pPr>
        <w:spacing w:line="360" w:lineRule="auto"/>
        <w:jc w:val="both"/>
        <w:rPr>
          <w:rFonts w:ascii="Times New Roman" w:hAnsi="Times New Roman" w:cs="Times New Roman"/>
        </w:rPr>
      </w:pPr>
      <w:r w:rsidRPr="001F4EE5">
        <w:rPr>
          <w:rFonts w:ascii="Times New Roman" w:hAnsi="Times New Roman" w:cs="Times New Roman"/>
          <w:color w:val="EE0000"/>
        </w:rPr>
        <w:t xml:space="preserve">All variables are converted into natural logarithms prior to estimation in order to </w:t>
      </w:r>
      <w:proofErr w:type="spellStart"/>
      <w:r w:rsidRPr="001F4EE5">
        <w:rPr>
          <w:rFonts w:ascii="Times New Roman" w:hAnsi="Times New Roman" w:cs="Times New Roman"/>
          <w:color w:val="EE0000"/>
        </w:rPr>
        <w:t>lineari</w:t>
      </w:r>
      <w:r>
        <w:rPr>
          <w:rFonts w:ascii="Times New Roman" w:hAnsi="Times New Roman" w:cs="Times New Roman"/>
          <w:color w:val="EE0000"/>
        </w:rPr>
        <w:t>s</w:t>
      </w:r>
      <w:r w:rsidRPr="001F4EE5">
        <w:rPr>
          <w:rFonts w:ascii="Times New Roman" w:hAnsi="Times New Roman" w:cs="Times New Roman"/>
          <w:color w:val="EE0000"/>
        </w:rPr>
        <w:t>e</w:t>
      </w:r>
      <w:proofErr w:type="spellEnd"/>
      <w:r w:rsidRPr="001F4EE5">
        <w:rPr>
          <w:rFonts w:ascii="Times New Roman" w:hAnsi="Times New Roman" w:cs="Times New Roman"/>
          <w:color w:val="EE0000"/>
        </w:rPr>
        <w:t xml:space="preserve"> the econometric model and improve the robustness of the empirical analysis.</w:t>
      </w:r>
      <w:r w:rsidRPr="00D96905">
        <w:rPr>
          <w:rFonts w:ascii="Times New Roman" w:hAnsi="Times New Roman" w:cs="Times New Roman"/>
        </w:rPr>
        <w:t xml:space="preserve"> </w:t>
      </w:r>
    </w:p>
    <w:p w14:paraId="3122FB51" w14:textId="77777777" w:rsidR="00AE4452" w:rsidRPr="00D96905" w:rsidRDefault="00AE4452" w:rsidP="00AE4452">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Estimation Techniques</w:t>
      </w:r>
    </w:p>
    <w:p w14:paraId="26101C62" w14:textId="0CF520B0" w:rsidR="00AE4452" w:rsidRPr="00D96905" w:rsidRDefault="00AE4452" w:rsidP="00AE4452">
      <w:pPr>
        <w:spacing w:line="360" w:lineRule="auto"/>
        <w:jc w:val="both"/>
        <w:rPr>
          <w:rFonts w:ascii="Times New Roman" w:hAnsi="Times New Roman" w:cs="Times New Roman"/>
        </w:rPr>
      </w:pPr>
      <w:r w:rsidRPr="00D96905">
        <w:rPr>
          <w:rFonts w:ascii="Times New Roman" w:hAnsi="Times New Roman" w:cs="Times New Roman"/>
        </w:rPr>
        <w:t xml:space="preserve">The data will be </w:t>
      </w:r>
      <w:proofErr w:type="spellStart"/>
      <w:r w:rsidRPr="00D96905">
        <w:rPr>
          <w:rFonts w:ascii="Times New Roman" w:hAnsi="Times New Roman" w:cs="Times New Roman"/>
        </w:rPr>
        <w:t>analy</w:t>
      </w:r>
      <w:r>
        <w:rPr>
          <w:rFonts w:ascii="Times New Roman" w:hAnsi="Times New Roman" w:cs="Times New Roman"/>
        </w:rPr>
        <w:t>s</w:t>
      </w:r>
      <w:r w:rsidRPr="00D96905">
        <w:rPr>
          <w:rFonts w:ascii="Times New Roman" w:hAnsi="Times New Roman" w:cs="Times New Roman"/>
        </w:rPr>
        <w:t>ed</w:t>
      </w:r>
      <w:proofErr w:type="spellEnd"/>
      <w:r w:rsidRPr="00D96905">
        <w:rPr>
          <w:rFonts w:ascii="Times New Roman" w:hAnsi="Times New Roman" w:cs="Times New Roman"/>
        </w:rPr>
        <w:t xml:space="preserve"> step by step using the following advanced econometric tests: To begin with, the simple features of the data, including the mean, median, and standard deviation, will be </w:t>
      </w:r>
      <w:proofErr w:type="spellStart"/>
      <w:r w:rsidRPr="00D96905">
        <w:rPr>
          <w:rFonts w:ascii="Times New Roman" w:hAnsi="Times New Roman" w:cs="Times New Roman"/>
        </w:rPr>
        <w:t>analysed</w:t>
      </w:r>
      <w:proofErr w:type="spellEnd"/>
      <w:r w:rsidRPr="00D96905">
        <w:rPr>
          <w:rFonts w:ascii="Times New Roman" w:hAnsi="Times New Roman" w:cs="Times New Roman"/>
        </w:rPr>
        <w:t xml:space="preserve">. The time series data are usually not stationary; thus, the Levin, Lin and Chu (LLC) </w:t>
      </w:r>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&lt;EndNote&gt;&lt;Cite&gt;&lt;Author&gt;Bornhorst&lt;/Author&gt;&lt;Year&gt;2006&lt;/Year&gt;&lt;RecNum&gt;33&lt;/RecNum&gt;&lt;DisplayText&gt;(Bornhorst &amp;amp; Baum, 2006)&lt;/DisplayText&gt;&lt;record&gt;&lt;rec-number&gt;33&lt;/rec-number&gt;&lt;foreign-keys&gt;&lt;key app="EN" db-id="advdwe00srftrhedwtpxdpf6fvw2d5ev25r2" timestamp="1768064729"&gt;33&lt;/key&gt;&lt;/foreign-keys&gt;&lt;ref-type name="Journal Article"&gt;17&lt;/ref-type&gt;&lt;contributors&gt;&lt;authors&gt;&lt;author&gt;Bornhorst, Fabian&lt;/author&gt;&lt;author&gt;Baum, Christopher&lt;/author&gt;&lt;/authors&gt;&lt;/contributors&gt;&lt;titles&gt;&lt;title&gt;LEVINLIN: Stata module to perform Levin-Lin-Chu panel unit root test&lt;/title&gt;&lt;/titles&gt;&lt;dates&gt;&lt;year&gt;2006&lt;/year&gt;&lt;/dates&gt;&lt;urls&gt;&lt;/urls&gt;&lt;/record&gt;&lt;/Cite&gt;&lt;/EndNote&gt;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noProof/>
        </w:rPr>
        <w:t>(</w:t>
      </w:r>
      <w:hyperlink w:anchor="_ENREF_7" w:tooltip="Bornhorst, 2006 #33" w:history="1">
        <w:r w:rsidRPr="00D96905">
          <w:rPr>
            <w:rFonts w:ascii="Times New Roman" w:hAnsi="Times New Roman" w:cs="Times New Roman"/>
            <w:noProof/>
          </w:rPr>
          <w:t>Bornhorst &amp; Baum, 2006</w:t>
        </w:r>
      </w:hyperlink>
      <w:r w:rsidRPr="00D96905">
        <w:rPr>
          <w:rFonts w:ascii="Times New Roman" w:hAnsi="Times New Roman" w:cs="Times New Roman"/>
          <w:noProof/>
        </w:rPr>
        <w:t>)</w:t>
      </w:r>
      <w:r w:rsidRPr="00D96905">
        <w:rPr>
          <w:rFonts w:ascii="Times New Roman" w:hAnsi="Times New Roman" w:cs="Times New Roman"/>
        </w:rPr>
        <w:fldChar w:fldCharType="end"/>
      </w:r>
      <w:r w:rsidRPr="00D96905">
        <w:rPr>
          <w:rFonts w:ascii="Times New Roman" w:hAnsi="Times New Roman" w:cs="Times New Roman"/>
        </w:rPr>
        <w:t xml:space="preserve"> and </w:t>
      </w:r>
      <w:hyperlink w:anchor="_ENREF_20" w:tooltip="Im, 2003 #34" w:history="1">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 AuthorYear="1"&gt;&lt;Author&gt;Im&lt;/Author&gt;&lt;Year&gt;2003&lt;/Year&gt;&lt;RecNum&gt;34&lt;/RecNum&gt;&lt;DisplayText&gt;Im et al. (2003)&lt;/DisplayText&gt;&lt;record&gt;&lt;rec-number&gt;34&lt;/rec-number&gt;&lt;foreign-keys&gt;&lt;key app="EN" db-id="advdwe00srftrhedwtpxdpf6fvw2d5ev25r2" timestamp="1768064789"&gt;34&lt;/key&gt;&lt;/foreign-keys&gt;&lt;ref-type name="Journal Article"&gt;17&lt;/ref-type&gt;&lt;contributors&gt;&lt;authors&gt;&lt;author&gt;Im, Kyung So&lt;/author&gt;&lt;author&gt;Pesaran, M Hashem&lt;/author&gt;&lt;author&gt;Shin, Yongcheol&lt;/author&gt;&lt;/authors&gt;&lt;/contributors&gt;&lt;titles&gt;&lt;title&gt;Testing for unit roots in heterogeneous panels&lt;/title&gt;&lt;secondary-title&gt;Journal of econometrics&lt;/secondary-title&gt;&lt;/titles&gt;&lt;periodical&gt;&lt;full-title&gt;Journal of econometrics&lt;/full-title&gt;&lt;/periodical&gt;&lt;pages&gt;53-74&lt;/pages&gt;&lt;volume&gt;115&lt;/volume&gt;&lt;number&gt;1&lt;/number&gt;&lt;dates&gt;&lt;year&gt;2003&lt;/year&gt;&lt;/dates&gt;&lt;isbn&gt;0304-4076&lt;/isbn&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noProof/>
          </w:rPr>
          <w:t>Im et al. (2003)</w:t>
        </w:r>
        <w:r w:rsidRPr="00D96905">
          <w:rPr>
            <w:rFonts w:ascii="Times New Roman" w:hAnsi="Times New Roman" w:cs="Times New Roman"/>
          </w:rPr>
          <w:fldChar w:fldCharType="end"/>
        </w:r>
      </w:hyperlink>
      <w:r w:rsidRPr="00D96905">
        <w:rPr>
          <w:rFonts w:ascii="Times New Roman" w:hAnsi="Times New Roman" w:cs="Times New Roman"/>
        </w:rPr>
        <w:t xml:space="preserve"> test will be applied to determine whether the variables have a unit root or not. These tests will help to identify </w:t>
      </w:r>
      <w:r>
        <w:rPr>
          <w:rFonts w:ascii="Times New Roman" w:hAnsi="Times New Roman" w:cs="Times New Roman"/>
        </w:rPr>
        <w:t>whether</w:t>
      </w:r>
      <w:r w:rsidRPr="00D96905">
        <w:rPr>
          <w:rFonts w:ascii="Times New Roman" w:hAnsi="Times New Roman" w:cs="Times New Roman"/>
        </w:rPr>
        <w:t xml:space="preserve"> the variables are stationary at level </w:t>
      </w:r>
      <w:proofErr w:type="gramStart"/>
      <w:r w:rsidRPr="00D96905">
        <w:rPr>
          <w:rFonts w:ascii="Times New Roman" w:hAnsi="Times New Roman" w:cs="Times New Roman"/>
        </w:rPr>
        <w:t>I(</w:t>
      </w:r>
      <w:proofErr w:type="gramEnd"/>
      <w:r w:rsidRPr="00D96905">
        <w:rPr>
          <w:rFonts w:ascii="Times New Roman" w:hAnsi="Times New Roman" w:cs="Times New Roman"/>
        </w:rPr>
        <w:t>0) or at first difference I(1). P is applicable to test the long-run equilibrium between the variables, if they are found to be integrated at the same level.</w:t>
      </w:r>
    </w:p>
    <w:p w14:paraId="531D99CB" w14:textId="77777777" w:rsidR="00AE4452" w:rsidRPr="00D96905" w:rsidRDefault="00AE4452" w:rsidP="00AE4452">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lastRenderedPageBreak/>
        <w:t>Results</w:t>
      </w:r>
    </w:p>
    <w:p w14:paraId="31A1D172" w14:textId="77777777" w:rsidR="00AE4452" w:rsidRPr="00D96905" w:rsidRDefault="00AE4452" w:rsidP="00AE4452">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Descriptive statistics</w:t>
      </w:r>
    </w:p>
    <w:p w14:paraId="27ECCDF2" w14:textId="77777777" w:rsidR="00AE4452" w:rsidRPr="00D96905" w:rsidRDefault="00AE4452" w:rsidP="00AE4452">
      <w:pPr>
        <w:spacing w:line="360" w:lineRule="auto"/>
        <w:jc w:val="both"/>
        <w:rPr>
          <w:rFonts w:ascii="Times New Roman" w:hAnsi="Times New Roman" w:cs="Times New Roman"/>
        </w:rPr>
      </w:pPr>
      <w:r w:rsidRPr="00D96905">
        <w:rPr>
          <w:rFonts w:ascii="Times New Roman" w:hAnsi="Times New Roman" w:cs="Times New Roman"/>
        </w:rPr>
        <w:t xml:space="preserve">The major aim of descriptive statistics is to </w:t>
      </w:r>
      <w:proofErr w:type="spellStart"/>
      <w:r w:rsidRPr="00D96905">
        <w:rPr>
          <w:rFonts w:ascii="Times New Roman" w:hAnsi="Times New Roman" w:cs="Times New Roman"/>
        </w:rPr>
        <w:t>analyse</w:t>
      </w:r>
      <w:proofErr w:type="spellEnd"/>
      <w:r w:rsidRPr="00D96905">
        <w:rPr>
          <w:rFonts w:ascii="Times New Roman" w:hAnsi="Times New Roman" w:cs="Times New Roman"/>
        </w:rPr>
        <w:t xml:space="preserve"> the data properties</w:t>
      </w:r>
      <w:r>
        <w:rPr>
          <w:rFonts w:ascii="Times New Roman" w:hAnsi="Times New Roman" w:cs="Times New Roman"/>
        </w:rPr>
        <w:t>,</w:t>
      </w:r>
      <w:r w:rsidRPr="00D96905">
        <w:rPr>
          <w:rFonts w:ascii="Times New Roman" w:hAnsi="Times New Roman" w:cs="Times New Roman"/>
        </w:rPr>
        <w:t xml:space="preserve"> including its dispersion, concentration and volatility. The results of this study show that there is considerable heterogeneity in the data of BRICS countries. For example, the mean of financial development (FD) is 115.42%, but its standard deviation is 45.30, indicating a large difference in financial depth between countries, especially between China (190.00) and India (55.00). Similarly, the data on tax revenue (TAX) and inflation (CPI) also indicate that the economic structures and policies of these countries are different from each other, which highlights the importance of considering country-specific effects in panel data analysis, as shown in Tables 2 and 3.</w:t>
      </w:r>
    </w:p>
    <w:p w14:paraId="42A573FD" w14:textId="77777777" w:rsidR="00AE4452" w:rsidRPr="00D96905" w:rsidRDefault="00AE4452" w:rsidP="00AE4452">
      <w:pPr>
        <w:spacing w:after="0"/>
        <w:jc w:val="both"/>
        <w:rPr>
          <w:rFonts w:ascii="Times New Roman" w:hAnsi="Times New Roman" w:cs="Times New Roman"/>
          <w:b/>
          <w:bCs/>
        </w:rPr>
      </w:pPr>
      <w:r w:rsidRPr="00D96905">
        <w:rPr>
          <w:rFonts w:ascii="Times New Roman" w:hAnsi="Times New Roman" w:cs="Times New Roman"/>
          <w:b/>
          <w:bCs/>
        </w:rPr>
        <w:t xml:space="preserve">Table 2: </w:t>
      </w:r>
      <w:r w:rsidRPr="00D96905">
        <w:rPr>
          <w:rFonts w:ascii="Times New Roman" w:hAnsi="Times New Roman" w:cs="Times New Roman"/>
          <w:i/>
          <w:iCs/>
        </w:rPr>
        <w:t>Descriptive statistics (Overall)</w:t>
      </w:r>
    </w:p>
    <w:tbl>
      <w:tblPr>
        <w:tblW w:w="5000" w:type="pct"/>
        <w:tblLook w:val="04A0" w:firstRow="1" w:lastRow="0" w:firstColumn="1" w:lastColumn="0" w:noHBand="0" w:noVBand="1"/>
      </w:tblPr>
      <w:tblGrid>
        <w:gridCol w:w="2172"/>
        <w:gridCol w:w="1797"/>
        <w:gridCol w:w="1797"/>
        <w:gridCol w:w="1797"/>
        <w:gridCol w:w="1797"/>
      </w:tblGrid>
      <w:tr w:rsidR="00AE4452" w:rsidRPr="00D96905" w14:paraId="41244993" w14:textId="77777777" w:rsidTr="00617810">
        <w:trPr>
          <w:trHeight w:val="310"/>
        </w:trPr>
        <w:tc>
          <w:tcPr>
            <w:tcW w:w="1160" w:type="pct"/>
            <w:tcBorders>
              <w:top w:val="single" w:sz="4" w:space="0" w:color="auto"/>
              <w:left w:val="nil"/>
              <w:bottom w:val="single" w:sz="4" w:space="0" w:color="auto"/>
              <w:right w:val="nil"/>
            </w:tcBorders>
            <w:noWrap/>
            <w:vAlign w:val="bottom"/>
            <w:hideMark/>
          </w:tcPr>
          <w:p w14:paraId="605F77CA" w14:textId="77777777" w:rsidR="00AE4452" w:rsidRPr="00D96905" w:rsidRDefault="00AE4452" w:rsidP="00617810">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Variable</w:t>
            </w:r>
          </w:p>
        </w:tc>
        <w:tc>
          <w:tcPr>
            <w:tcW w:w="960" w:type="pct"/>
            <w:tcBorders>
              <w:top w:val="single" w:sz="4" w:space="0" w:color="auto"/>
              <w:left w:val="nil"/>
              <w:bottom w:val="single" w:sz="4" w:space="0" w:color="auto"/>
              <w:right w:val="nil"/>
            </w:tcBorders>
            <w:noWrap/>
            <w:vAlign w:val="bottom"/>
            <w:hideMark/>
          </w:tcPr>
          <w:p w14:paraId="49837A24" w14:textId="77777777" w:rsidR="00AE4452" w:rsidRPr="00D96905" w:rsidRDefault="00AE4452" w:rsidP="00617810">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Mean</w:t>
            </w:r>
          </w:p>
        </w:tc>
        <w:tc>
          <w:tcPr>
            <w:tcW w:w="960" w:type="pct"/>
            <w:tcBorders>
              <w:top w:val="single" w:sz="4" w:space="0" w:color="auto"/>
              <w:left w:val="nil"/>
              <w:bottom w:val="single" w:sz="4" w:space="0" w:color="auto"/>
              <w:right w:val="nil"/>
            </w:tcBorders>
            <w:noWrap/>
            <w:vAlign w:val="bottom"/>
            <w:hideMark/>
          </w:tcPr>
          <w:p w14:paraId="53F19749" w14:textId="77777777" w:rsidR="00AE4452" w:rsidRPr="00D96905" w:rsidRDefault="00AE4452" w:rsidP="00617810">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Std. dev.</w:t>
            </w:r>
          </w:p>
        </w:tc>
        <w:tc>
          <w:tcPr>
            <w:tcW w:w="960" w:type="pct"/>
            <w:tcBorders>
              <w:top w:val="single" w:sz="4" w:space="0" w:color="auto"/>
              <w:left w:val="nil"/>
              <w:bottom w:val="single" w:sz="4" w:space="0" w:color="auto"/>
              <w:right w:val="nil"/>
            </w:tcBorders>
            <w:noWrap/>
            <w:vAlign w:val="bottom"/>
            <w:hideMark/>
          </w:tcPr>
          <w:p w14:paraId="7645AE0C" w14:textId="77777777" w:rsidR="00AE4452" w:rsidRPr="00D96905" w:rsidRDefault="00AE4452" w:rsidP="00617810">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Min</w:t>
            </w:r>
          </w:p>
        </w:tc>
        <w:tc>
          <w:tcPr>
            <w:tcW w:w="960" w:type="pct"/>
            <w:tcBorders>
              <w:top w:val="single" w:sz="4" w:space="0" w:color="auto"/>
              <w:left w:val="nil"/>
              <w:bottom w:val="single" w:sz="4" w:space="0" w:color="auto"/>
              <w:right w:val="nil"/>
            </w:tcBorders>
            <w:noWrap/>
            <w:vAlign w:val="bottom"/>
            <w:hideMark/>
          </w:tcPr>
          <w:p w14:paraId="6A32FD17" w14:textId="77777777" w:rsidR="00AE4452" w:rsidRPr="00D96905" w:rsidRDefault="00AE4452" w:rsidP="00617810">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Max</w:t>
            </w:r>
          </w:p>
        </w:tc>
      </w:tr>
      <w:tr w:rsidR="00AE4452" w:rsidRPr="00D96905" w14:paraId="349B0424" w14:textId="77777777" w:rsidTr="00617810">
        <w:trPr>
          <w:trHeight w:val="310"/>
        </w:trPr>
        <w:tc>
          <w:tcPr>
            <w:tcW w:w="1160" w:type="pct"/>
            <w:tcBorders>
              <w:top w:val="nil"/>
              <w:left w:val="nil"/>
              <w:bottom w:val="nil"/>
              <w:right w:val="nil"/>
            </w:tcBorders>
            <w:noWrap/>
            <w:vAlign w:val="bottom"/>
            <w:hideMark/>
          </w:tcPr>
          <w:p w14:paraId="28276DA9"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FD</w:t>
            </w:r>
          </w:p>
        </w:tc>
        <w:tc>
          <w:tcPr>
            <w:tcW w:w="960" w:type="pct"/>
            <w:tcBorders>
              <w:top w:val="nil"/>
              <w:left w:val="nil"/>
              <w:bottom w:val="nil"/>
              <w:right w:val="nil"/>
            </w:tcBorders>
            <w:noWrap/>
            <w:vAlign w:val="center"/>
            <w:hideMark/>
          </w:tcPr>
          <w:p w14:paraId="0BA6BD65"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115.420</w:t>
            </w:r>
          </w:p>
        </w:tc>
        <w:tc>
          <w:tcPr>
            <w:tcW w:w="960" w:type="pct"/>
            <w:tcBorders>
              <w:top w:val="nil"/>
              <w:left w:val="nil"/>
              <w:bottom w:val="nil"/>
              <w:right w:val="nil"/>
            </w:tcBorders>
            <w:noWrap/>
            <w:vAlign w:val="center"/>
            <w:hideMark/>
          </w:tcPr>
          <w:p w14:paraId="16BC8CBB"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45.300</w:t>
            </w:r>
          </w:p>
        </w:tc>
        <w:tc>
          <w:tcPr>
            <w:tcW w:w="960" w:type="pct"/>
            <w:tcBorders>
              <w:top w:val="nil"/>
              <w:left w:val="nil"/>
              <w:bottom w:val="nil"/>
              <w:right w:val="nil"/>
            </w:tcBorders>
            <w:noWrap/>
            <w:vAlign w:val="center"/>
            <w:hideMark/>
          </w:tcPr>
          <w:p w14:paraId="5A6FAEE2"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48.250</w:t>
            </w:r>
          </w:p>
        </w:tc>
        <w:tc>
          <w:tcPr>
            <w:tcW w:w="960" w:type="pct"/>
            <w:tcBorders>
              <w:top w:val="nil"/>
              <w:left w:val="nil"/>
              <w:bottom w:val="nil"/>
              <w:right w:val="nil"/>
            </w:tcBorders>
            <w:noWrap/>
            <w:vAlign w:val="center"/>
            <w:hideMark/>
          </w:tcPr>
          <w:p w14:paraId="099502D9"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185.600</w:t>
            </w:r>
          </w:p>
        </w:tc>
      </w:tr>
      <w:tr w:rsidR="00AE4452" w:rsidRPr="00D96905" w14:paraId="782A86B8" w14:textId="77777777" w:rsidTr="00617810">
        <w:trPr>
          <w:trHeight w:val="310"/>
        </w:trPr>
        <w:tc>
          <w:tcPr>
            <w:tcW w:w="1160" w:type="pct"/>
            <w:tcBorders>
              <w:top w:val="nil"/>
              <w:left w:val="nil"/>
              <w:bottom w:val="nil"/>
              <w:right w:val="nil"/>
            </w:tcBorders>
            <w:noWrap/>
            <w:vAlign w:val="bottom"/>
            <w:hideMark/>
          </w:tcPr>
          <w:p w14:paraId="39FAB398"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EG</w:t>
            </w:r>
          </w:p>
        </w:tc>
        <w:tc>
          <w:tcPr>
            <w:tcW w:w="960" w:type="pct"/>
            <w:tcBorders>
              <w:top w:val="nil"/>
              <w:left w:val="nil"/>
              <w:bottom w:val="nil"/>
              <w:right w:val="nil"/>
            </w:tcBorders>
            <w:noWrap/>
            <w:vAlign w:val="center"/>
            <w:hideMark/>
          </w:tcPr>
          <w:p w14:paraId="61C891E1"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4.150</w:t>
            </w:r>
          </w:p>
        </w:tc>
        <w:tc>
          <w:tcPr>
            <w:tcW w:w="960" w:type="pct"/>
            <w:tcBorders>
              <w:top w:val="nil"/>
              <w:left w:val="nil"/>
              <w:bottom w:val="nil"/>
              <w:right w:val="nil"/>
            </w:tcBorders>
            <w:noWrap/>
            <w:vAlign w:val="center"/>
            <w:hideMark/>
          </w:tcPr>
          <w:p w14:paraId="66913F66"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3.850</w:t>
            </w:r>
          </w:p>
        </w:tc>
        <w:tc>
          <w:tcPr>
            <w:tcW w:w="960" w:type="pct"/>
            <w:tcBorders>
              <w:top w:val="nil"/>
              <w:left w:val="nil"/>
              <w:bottom w:val="nil"/>
              <w:right w:val="nil"/>
            </w:tcBorders>
            <w:noWrap/>
            <w:vAlign w:val="center"/>
            <w:hideMark/>
          </w:tcPr>
          <w:p w14:paraId="6D3A2403"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-6.500</w:t>
            </w:r>
          </w:p>
        </w:tc>
        <w:tc>
          <w:tcPr>
            <w:tcW w:w="960" w:type="pct"/>
            <w:tcBorders>
              <w:top w:val="nil"/>
              <w:left w:val="nil"/>
              <w:bottom w:val="nil"/>
              <w:right w:val="nil"/>
            </w:tcBorders>
            <w:noWrap/>
            <w:vAlign w:val="center"/>
            <w:hideMark/>
          </w:tcPr>
          <w:p w14:paraId="6A847FDF"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10.600</w:t>
            </w:r>
          </w:p>
        </w:tc>
      </w:tr>
      <w:tr w:rsidR="00AE4452" w:rsidRPr="00D96905" w14:paraId="2B441AC8" w14:textId="77777777" w:rsidTr="00617810">
        <w:trPr>
          <w:trHeight w:val="310"/>
        </w:trPr>
        <w:tc>
          <w:tcPr>
            <w:tcW w:w="1160" w:type="pct"/>
            <w:tcBorders>
              <w:top w:val="nil"/>
              <w:left w:val="nil"/>
              <w:bottom w:val="nil"/>
              <w:right w:val="nil"/>
            </w:tcBorders>
            <w:noWrap/>
            <w:vAlign w:val="bottom"/>
            <w:hideMark/>
          </w:tcPr>
          <w:p w14:paraId="127F3297"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TAX</w:t>
            </w:r>
          </w:p>
        </w:tc>
        <w:tc>
          <w:tcPr>
            <w:tcW w:w="960" w:type="pct"/>
            <w:tcBorders>
              <w:top w:val="nil"/>
              <w:left w:val="nil"/>
              <w:bottom w:val="nil"/>
              <w:right w:val="nil"/>
            </w:tcBorders>
            <w:noWrap/>
            <w:vAlign w:val="center"/>
            <w:hideMark/>
          </w:tcPr>
          <w:p w14:paraId="34C47424"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18.750</w:t>
            </w:r>
          </w:p>
        </w:tc>
        <w:tc>
          <w:tcPr>
            <w:tcW w:w="960" w:type="pct"/>
            <w:tcBorders>
              <w:top w:val="nil"/>
              <w:left w:val="nil"/>
              <w:bottom w:val="nil"/>
              <w:right w:val="nil"/>
            </w:tcBorders>
            <w:noWrap/>
            <w:vAlign w:val="center"/>
            <w:hideMark/>
          </w:tcPr>
          <w:p w14:paraId="6FA86623"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5.200</w:t>
            </w:r>
          </w:p>
        </w:tc>
        <w:tc>
          <w:tcPr>
            <w:tcW w:w="960" w:type="pct"/>
            <w:tcBorders>
              <w:top w:val="nil"/>
              <w:left w:val="nil"/>
              <w:bottom w:val="nil"/>
              <w:right w:val="nil"/>
            </w:tcBorders>
            <w:noWrap/>
            <w:vAlign w:val="center"/>
            <w:hideMark/>
          </w:tcPr>
          <w:p w14:paraId="2A633D7C"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9.800</w:t>
            </w:r>
          </w:p>
        </w:tc>
        <w:tc>
          <w:tcPr>
            <w:tcW w:w="960" w:type="pct"/>
            <w:tcBorders>
              <w:top w:val="nil"/>
              <w:left w:val="nil"/>
              <w:bottom w:val="nil"/>
              <w:right w:val="nil"/>
            </w:tcBorders>
            <w:noWrap/>
            <w:vAlign w:val="center"/>
            <w:hideMark/>
          </w:tcPr>
          <w:p w14:paraId="3C3A7FC2"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34.500</w:t>
            </w:r>
          </w:p>
        </w:tc>
      </w:tr>
      <w:tr w:rsidR="00AE4452" w:rsidRPr="00D96905" w14:paraId="3745393C" w14:textId="77777777" w:rsidTr="00617810">
        <w:trPr>
          <w:trHeight w:val="310"/>
        </w:trPr>
        <w:tc>
          <w:tcPr>
            <w:tcW w:w="1160" w:type="pct"/>
            <w:tcBorders>
              <w:top w:val="nil"/>
              <w:left w:val="nil"/>
              <w:bottom w:val="nil"/>
              <w:right w:val="nil"/>
            </w:tcBorders>
            <w:noWrap/>
            <w:vAlign w:val="bottom"/>
            <w:hideMark/>
          </w:tcPr>
          <w:p w14:paraId="6EC4344F"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FDI</w:t>
            </w:r>
          </w:p>
        </w:tc>
        <w:tc>
          <w:tcPr>
            <w:tcW w:w="960" w:type="pct"/>
            <w:tcBorders>
              <w:top w:val="nil"/>
              <w:left w:val="nil"/>
              <w:bottom w:val="nil"/>
              <w:right w:val="nil"/>
            </w:tcBorders>
            <w:noWrap/>
            <w:vAlign w:val="center"/>
            <w:hideMark/>
          </w:tcPr>
          <w:p w14:paraId="7817A9BD"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2.450</w:t>
            </w:r>
          </w:p>
        </w:tc>
        <w:tc>
          <w:tcPr>
            <w:tcW w:w="960" w:type="pct"/>
            <w:tcBorders>
              <w:top w:val="nil"/>
              <w:left w:val="nil"/>
              <w:bottom w:val="nil"/>
              <w:right w:val="nil"/>
            </w:tcBorders>
            <w:noWrap/>
            <w:vAlign w:val="center"/>
            <w:hideMark/>
          </w:tcPr>
          <w:p w14:paraId="3ED7BF5B"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1.350</w:t>
            </w:r>
          </w:p>
        </w:tc>
        <w:tc>
          <w:tcPr>
            <w:tcW w:w="960" w:type="pct"/>
            <w:tcBorders>
              <w:top w:val="nil"/>
              <w:left w:val="nil"/>
              <w:bottom w:val="nil"/>
              <w:right w:val="nil"/>
            </w:tcBorders>
            <w:noWrap/>
            <w:vAlign w:val="center"/>
            <w:hideMark/>
          </w:tcPr>
          <w:p w14:paraId="75D4DE19"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0.500</w:t>
            </w:r>
          </w:p>
        </w:tc>
        <w:tc>
          <w:tcPr>
            <w:tcW w:w="960" w:type="pct"/>
            <w:tcBorders>
              <w:top w:val="nil"/>
              <w:left w:val="nil"/>
              <w:bottom w:val="nil"/>
              <w:right w:val="nil"/>
            </w:tcBorders>
            <w:noWrap/>
            <w:vAlign w:val="center"/>
            <w:hideMark/>
          </w:tcPr>
          <w:p w14:paraId="02594F56"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5.800</w:t>
            </w:r>
          </w:p>
        </w:tc>
      </w:tr>
      <w:tr w:rsidR="00AE4452" w:rsidRPr="00D96905" w14:paraId="7721DF96" w14:textId="77777777" w:rsidTr="00617810">
        <w:trPr>
          <w:trHeight w:val="310"/>
        </w:trPr>
        <w:tc>
          <w:tcPr>
            <w:tcW w:w="1160" w:type="pct"/>
            <w:tcBorders>
              <w:top w:val="nil"/>
              <w:left w:val="nil"/>
              <w:bottom w:val="nil"/>
              <w:right w:val="nil"/>
            </w:tcBorders>
            <w:noWrap/>
            <w:vAlign w:val="bottom"/>
            <w:hideMark/>
          </w:tcPr>
          <w:p w14:paraId="75B185F7"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CPI</w:t>
            </w:r>
          </w:p>
        </w:tc>
        <w:tc>
          <w:tcPr>
            <w:tcW w:w="960" w:type="pct"/>
            <w:tcBorders>
              <w:top w:val="nil"/>
              <w:left w:val="nil"/>
              <w:bottom w:val="nil"/>
              <w:right w:val="nil"/>
            </w:tcBorders>
            <w:noWrap/>
            <w:vAlign w:val="center"/>
            <w:hideMark/>
          </w:tcPr>
          <w:p w14:paraId="366D5D67"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5.850</w:t>
            </w:r>
          </w:p>
        </w:tc>
        <w:tc>
          <w:tcPr>
            <w:tcW w:w="960" w:type="pct"/>
            <w:tcBorders>
              <w:top w:val="nil"/>
              <w:left w:val="nil"/>
              <w:bottom w:val="nil"/>
              <w:right w:val="nil"/>
            </w:tcBorders>
            <w:noWrap/>
            <w:vAlign w:val="center"/>
            <w:hideMark/>
          </w:tcPr>
          <w:p w14:paraId="1CA4F7E2"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3.100</w:t>
            </w:r>
          </w:p>
        </w:tc>
        <w:tc>
          <w:tcPr>
            <w:tcW w:w="960" w:type="pct"/>
            <w:tcBorders>
              <w:top w:val="nil"/>
              <w:left w:val="nil"/>
              <w:bottom w:val="nil"/>
              <w:right w:val="nil"/>
            </w:tcBorders>
            <w:noWrap/>
            <w:vAlign w:val="center"/>
            <w:hideMark/>
          </w:tcPr>
          <w:p w14:paraId="7FC66D2B"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1.200</w:t>
            </w:r>
          </w:p>
        </w:tc>
        <w:tc>
          <w:tcPr>
            <w:tcW w:w="960" w:type="pct"/>
            <w:tcBorders>
              <w:top w:val="nil"/>
              <w:left w:val="nil"/>
              <w:bottom w:val="nil"/>
              <w:right w:val="nil"/>
            </w:tcBorders>
            <w:noWrap/>
            <w:vAlign w:val="center"/>
            <w:hideMark/>
          </w:tcPr>
          <w:p w14:paraId="7A57032D"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15.400</w:t>
            </w:r>
          </w:p>
        </w:tc>
      </w:tr>
      <w:tr w:rsidR="00AE4452" w:rsidRPr="00D96905" w14:paraId="55C821FD" w14:textId="77777777" w:rsidTr="00617810">
        <w:trPr>
          <w:trHeight w:val="310"/>
        </w:trPr>
        <w:tc>
          <w:tcPr>
            <w:tcW w:w="1160" w:type="pct"/>
            <w:tcBorders>
              <w:top w:val="nil"/>
              <w:left w:val="nil"/>
              <w:bottom w:val="single" w:sz="4" w:space="0" w:color="auto"/>
              <w:right w:val="nil"/>
            </w:tcBorders>
            <w:noWrap/>
            <w:vAlign w:val="bottom"/>
            <w:hideMark/>
          </w:tcPr>
          <w:p w14:paraId="698B82A3"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TR</w:t>
            </w:r>
          </w:p>
        </w:tc>
        <w:tc>
          <w:tcPr>
            <w:tcW w:w="960" w:type="pct"/>
            <w:tcBorders>
              <w:top w:val="nil"/>
              <w:left w:val="nil"/>
              <w:bottom w:val="single" w:sz="4" w:space="0" w:color="auto"/>
              <w:right w:val="nil"/>
            </w:tcBorders>
            <w:noWrap/>
            <w:vAlign w:val="center"/>
            <w:hideMark/>
          </w:tcPr>
          <w:p w14:paraId="281F9EE1"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45.600</w:t>
            </w:r>
          </w:p>
        </w:tc>
        <w:tc>
          <w:tcPr>
            <w:tcW w:w="960" w:type="pct"/>
            <w:tcBorders>
              <w:top w:val="nil"/>
              <w:left w:val="nil"/>
              <w:bottom w:val="single" w:sz="4" w:space="0" w:color="auto"/>
              <w:right w:val="nil"/>
            </w:tcBorders>
            <w:noWrap/>
            <w:vAlign w:val="center"/>
            <w:hideMark/>
          </w:tcPr>
          <w:p w14:paraId="601ED449"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12.150</w:t>
            </w:r>
          </w:p>
        </w:tc>
        <w:tc>
          <w:tcPr>
            <w:tcW w:w="960" w:type="pct"/>
            <w:tcBorders>
              <w:top w:val="nil"/>
              <w:left w:val="nil"/>
              <w:bottom w:val="single" w:sz="4" w:space="0" w:color="auto"/>
              <w:right w:val="nil"/>
            </w:tcBorders>
            <w:noWrap/>
            <w:vAlign w:val="center"/>
            <w:hideMark/>
          </w:tcPr>
          <w:p w14:paraId="19C2D75A"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24.300</w:t>
            </w:r>
          </w:p>
        </w:tc>
        <w:tc>
          <w:tcPr>
            <w:tcW w:w="960" w:type="pct"/>
            <w:tcBorders>
              <w:top w:val="nil"/>
              <w:left w:val="nil"/>
              <w:bottom w:val="single" w:sz="4" w:space="0" w:color="auto"/>
              <w:right w:val="nil"/>
            </w:tcBorders>
            <w:noWrap/>
            <w:vAlign w:val="center"/>
            <w:hideMark/>
          </w:tcPr>
          <w:p w14:paraId="62CC6193"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72.100</w:t>
            </w:r>
          </w:p>
        </w:tc>
      </w:tr>
    </w:tbl>
    <w:p w14:paraId="79CCBBBA" w14:textId="77777777" w:rsidR="00AE4452" w:rsidRPr="00D96905" w:rsidRDefault="00AE4452" w:rsidP="00AE4452">
      <w:pPr>
        <w:jc w:val="both"/>
        <w:rPr>
          <w:rFonts w:ascii="Times New Roman" w:hAnsi="Times New Roman" w:cs="Times New Roman"/>
        </w:rPr>
      </w:pPr>
    </w:p>
    <w:p w14:paraId="3E4AC016" w14:textId="77777777" w:rsidR="00AE4452" w:rsidRPr="00D96905" w:rsidRDefault="00AE4452" w:rsidP="00AE4452">
      <w:pPr>
        <w:spacing w:after="0"/>
        <w:jc w:val="both"/>
        <w:rPr>
          <w:rFonts w:ascii="Times New Roman" w:hAnsi="Times New Roman" w:cs="Times New Roman"/>
          <w:b/>
          <w:bCs/>
        </w:rPr>
      </w:pPr>
      <w:r w:rsidRPr="00D96905">
        <w:rPr>
          <w:rFonts w:ascii="Times New Roman" w:hAnsi="Times New Roman" w:cs="Times New Roman"/>
          <w:b/>
          <w:bCs/>
        </w:rPr>
        <w:t xml:space="preserve">Table 3: </w:t>
      </w:r>
      <w:r w:rsidRPr="00D96905">
        <w:rPr>
          <w:rFonts w:ascii="Times New Roman" w:hAnsi="Times New Roman" w:cs="Times New Roman"/>
          <w:i/>
          <w:iCs/>
        </w:rPr>
        <w:t>Descriptive Statistics-Country Wise</w:t>
      </w:r>
    </w:p>
    <w:tbl>
      <w:tblPr>
        <w:tblW w:w="5000" w:type="pct"/>
        <w:tblLook w:val="04A0" w:firstRow="1" w:lastRow="0" w:firstColumn="1" w:lastColumn="0" w:noHBand="0" w:noVBand="1"/>
      </w:tblPr>
      <w:tblGrid>
        <w:gridCol w:w="1455"/>
        <w:gridCol w:w="1129"/>
        <w:gridCol w:w="1129"/>
        <w:gridCol w:w="1129"/>
        <w:gridCol w:w="1129"/>
        <w:gridCol w:w="1129"/>
        <w:gridCol w:w="1130"/>
        <w:gridCol w:w="1130"/>
      </w:tblGrid>
      <w:tr w:rsidR="00AE4452" w:rsidRPr="00D96905" w14:paraId="348133F9" w14:textId="77777777" w:rsidTr="00617810">
        <w:trPr>
          <w:trHeight w:val="290"/>
        </w:trPr>
        <w:tc>
          <w:tcPr>
            <w:tcW w:w="714" w:type="pct"/>
            <w:tcBorders>
              <w:top w:val="single" w:sz="4" w:space="0" w:color="auto"/>
              <w:left w:val="nil"/>
              <w:bottom w:val="single" w:sz="4" w:space="0" w:color="auto"/>
              <w:right w:val="nil"/>
            </w:tcBorders>
            <w:noWrap/>
            <w:vAlign w:val="bottom"/>
            <w:hideMark/>
          </w:tcPr>
          <w:p w14:paraId="54B7ED06" w14:textId="77777777" w:rsidR="00AE4452" w:rsidRPr="00D96905" w:rsidRDefault="00AE4452" w:rsidP="00617810">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Country name</w:t>
            </w:r>
          </w:p>
        </w:tc>
        <w:tc>
          <w:tcPr>
            <w:tcW w:w="612" w:type="pct"/>
            <w:tcBorders>
              <w:top w:val="single" w:sz="4" w:space="0" w:color="auto"/>
              <w:left w:val="nil"/>
              <w:bottom w:val="single" w:sz="4" w:space="0" w:color="auto"/>
              <w:right w:val="nil"/>
            </w:tcBorders>
            <w:noWrap/>
            <w:vAlign w:val="bottom"/>
            <w:hideMark/>
          </w:tcPr>
          <w:p w14:paraId="2F0CE1A3" w14:textId="77777777" w:rsidR="00AE4452" w:rsidRPr="00D96905" w:rsidRDefault="00AE4452" w:rsidP="00617810">
            <w:pPr>
              <w:spacing w:after="0" w:line="240" w:lineRule="auto"/>
              <w:jc w:val="center"/>
              <w:rPr>
                <w:rFonts w:ascii="Times New Roman" w:eastAsia="Times New Roman" w:hAnsi="Times New Roman" w:cs="Times New Roman"/>
                <w:b/>
                <w:bCs/>
                <w:kern w:val="0"/>
                <w:sz w:val="20"/>
                <w:szCs w:val="20"/>
                <w14:ligatures w14:val="none"/>
              </w:rPr>
            </w:pPr>
          </w:p>
        </w:tc>
        <w:tc>
          <w:tcPr>
            <w:tcW w:w="612" w:type="pct"/>
            <w:tcBorders>
              <w:top w:val="single" w:sz="4" w:space="0" w:color="auto"/>
              <w:left w:val="nil"/>
              <w:bottom w:val="single" w:sz="4" w:space="0" w:color="auto"/>
              <w:right w:val="nil"/>
            </w:tcBorders>
            <w:noWrap/>
            <w:vAlign w:val="bottom"/>
            <w:hideMark/>
          </w:tcPr>
          <w:p w14:paraId="1C38F79E" w14:textId="77777777" w:rsidR="00AE4452" w:rsidRPr="00D96905" w:rsidRDefault="00AE4452" w:rsidP="00617810">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FD</w:t>
            </w:r>
          </w:p>
        </w:tc>
        <w:tc>
          <w:tcPr>
            <w:tcW w:w="612" w:type="pct"/>
            <w:tcBorders>
              <w:top w:val="single" w:sz="4" w:space="0" w:color="auto"/>
              <w:left w:val="nil"/>
              <w:bottom w:val="single" w:sz="4" w:space="0" w:color="auto"/>
              <w:right w:val="nil"/>
            </w:tcBorders>
            <w:noWrap/>
            <w:vAlign w:val="bottom"/>
            <w:hideMark/>
          </w:tcPr>
          <w:p w14:paraId="5080343A" w14:textId="77777777" w:rsidR="00AE4452" w:rsidRPr="00D96905" w:rsidRDefault="00AE4452" w:rsidP="00617810">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EG</w:t>
            </w:r>
          </w:p>
        </w:tc>
        <w:tc>
          <w:tcPr>
            <w:tcW w:w="612" w:type="pct"/>
            <w:tcBorders>
              <w:top w:val="single" w:sz="4" w:space="0" w:color="auto"/>
              <w:left w:val="nil"/>
              <w:bottom w:val="single" w:sz="4" w:space="0" w:color="auto"/>
              <w:right w:val="nil"/>
            </w:tcBorders>
            <w:noWrap/>
            <w:vAlign w:val="bottom"/>
            <w:hideMark/>
          </w:tcPr>
          <w:p w14:paraId="61606804" w14:textId="77777777" w:rsidR="00AE4452" w:rsidRPr="00D96905" w:rsidRDefault="00AE4452" w:rsidP="00617810">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TAX</w:t>
            </w:r>
          </w:p>
        </w:tc>
        <w:tc>
          <w:tcPr>
            <w:tcW w:w="612" w:type="pct"/>
            <w:tcBorders>
              <w:top w:val="single" w:sz="4" w:space="0" w:color="auto"/>
              <w:left w:val="nil"/>
              <w:bottom w:val="single" w:sz="4" w:space="0" w:color="auto"/>
              <w:right w:val="nil"/>
            </w:tcBorders>
            <w:noWrap/>
            <w:vAlign w:val="bottom"/>
            <w:hideMark/>
          </w:tcPr>
          <w:p w14:paraId="4A833E37" w14:textId="77777777" w:rsidR="00AE4452" w:rsidRPr="00D96905" w:rsidRDefault="00AE4452" w:rsidP="00617810">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FDI</w:t>
            </w:r>
          </w:p>
        </w:tc>
        <w:tc>
          <w:tcPr>
            <w:tcW w:w="612" w:type="pct"/>
            <w:tcBorders>
              <w:top w:val="single" w:sz="4" w:space="0" w:color="auto"/>
              <w:left w:val="nil"/>
              <w:bottom w:val="single" w:sz="4" w:space="0" w:color="auto"/>
              <w:right w:val="nil"/>
            </w:tcBorders>
            <w:noWrap/>
            <w:vAlign w:val="bottom"/>
            <w:hideMark/>
          </w:tcPr>
          <w:p w14:paraId="27F698E0" w14:textId="77777777" w:rsidR="00AE4452" w:rsidRPr="00D96905" w:rsidRDefault="00AE4452" w:rsidP="00617810">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CPI</w:t>
            </w:r>
          </w:p>
        </w:tc>
        <w:tc>
          <w:tcPr>
            <w:tcW w:w="612" w:type="pct"/>
            <w:tcBorders>
              <w:top w:val="single" w:sz="4" w:space="0" w:color="auto"/>
              <w:left w:val="nil"/>
              <w:bottom w:val="single" w:sz="4" w:space="0" w:color="auto"/>
              <w:right w:val="nil"/>
            </w:tcBorders>
            <w:noWrap/>
            <w:vAlign w:val="bottom"/>
            <w:hideMark/>
          </w:tcPr>
          <w:p w14:paraId="3A539B7F" w14:textId="77777777" w:rsidR="00AE4452" w:rsidRPr="00D96905" w:rsidRDefault="00AE4452" w:rsidP="00617810">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TR</w:t>
            </w:r>
          </w:p>
        </w:tc>
      </w:tr>
      <w:tr w:rsidR="00AE4452" w:rsidRPr="00D96905" w14:paraId="0F240BA8" w14:textId="77777777" w:rsidTr="00617810">
        <w:trPr>
          <w:trHeight w:val="290"/>
        </w:trPr>
        <w:tc>
          <w:tcPr>
            <w:tcW w:w="714" w:type="pct"/>
            <w:tcBorders>
              <w:top w:val="nil"/>
              <w:left w:val="nil"/>
              <w:bottom w:val="nil"/>
              <w:right w:val="nil"/>
            </w:tcBorders>
            <w:noWrap/>
            <w:vAlign w:val="bottom"/>
            <w:hideMark/>
          </w:tcPr>
          <w:p w14:paraId="5BB3B351"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Brazil</w:t>
            </w:r>
          </w:p>
        </w:tc>
        <w:tc>
          <w:tcPr>
            <w:tcW w:w="612" w:type="pct"/>
            <w:tcBorders>
              <w:top w:val="nil"/>
              <w:left w:val="nil"/>
              <w:bottom w:val="nil"/>
              <w:right w:val="nil"/>
            </w:tcBorders>
            <w:noWrap/>
            <w:vAlign w:val="bottom"/>
            <w:hideMark/>
          </w:tcPr>
          <w:p w14:paraId="17F31ECB"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Mean</w:t>
            </w:r>
          </w:p>
        </w:tc>
        <w:tc>
          <w:tcPr>
            <w:tcW w:w="612" w:type="pct"/>
            <w:tcBorders>
              <w:top w:val="nil"/>
              <w:left w:val="nil"/>
              <w:bottom w:val="nil"/>
              <w:right w:val="nil"/>
            </w:tcBorders>
            <w:noWrap/>
            <w:vAlign w:val="center"/>
            <w:hideMark/>
          </w:tcPr>
          <w:p w14:paraId="64F10897"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75.000</w:t>
            </w:r>
          </w:p>
        </w:tc>
        <w:tc>
          <w:tcPr>
            <w:tcW w:w="612" w:type="pct"/>
            <w:tcBorders>
              <w:top w:val="nil"/>
              <w:left w:val="nil"/>
              <w:bottom w:val="nil"/>
              <w:right w:val="nil"/>
            </w:tcBorders>
            <w:noWrap/>
            <w:vAlign w:val="center"/>
            <w:hideMark/>
          </w:tcPr>
          <w:p w14:paraId="0DE38790"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2.000</w:t>
            </w:r>
          </w:p>
        </w:tc>
        <w:tc>
          <w:tcPr>
            <w:tcW w:w="612" w:type="pct"/>
            <w:tcBorders>
              <w:top w:val="nil"/>
              <w:left w:val="nil"/>
              <w:bottom w:val="nil"/>
              <w:right w:val="nil"/>
            </w:tcBorders>
            <w:noWrap/>
            <w:vAlign w:val="center"/>
            <w:hideMark/>
          </w:tcPr>
          <w:p w14:paraId="6CD458B5"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30.000</w:t>
            </w:r>
          </w:p>
        </w:tc>
        <w:tc>
          <w:tcPr>
            <w:tcW w:w="612" w:type="pct"/>
            <w:tcBorders>
              <w:top w:val="nil"/>
              <w:left w:val="nil"/>
              <w:bottom w:val="nil"/>
              <w:right w:val="nil"/>
            </w:tcBorders>
            <w:noWrap/>
            <w:vAlign w:val="center"/>
            <w:hideMark/>
          </w:tcPr>
          <w:p w14:paraId="295BF6D7"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3.000</w:t>
            </w:r>
          </w:p>
        </w:tc>
        <w:tc>
          <w:tcPr>
            <w:tcW w:w="612" w:type="pct"/>
            <w:tcBorders>
              <w:top w:val="nil"/>
              <w:left w:val="nil"/>
              <w:bottom w:val="nil"/>
              <w:right w:val="nil"/>
            </w:tcBorders>
            <w:noWrap/>
            <w:vAlign w:val="center"/>
            <w:hideMark/>
          </w:tcPr>
          <w:p w14:paraId="48195CEA"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7.000</w:t>
            </w:r>
          </w:p>
        </w:tc>
        <w:tc>
          <w:tcPr>
            <w:tcW w:w="612" w:type="pct"/>
            <w:tcBorders>
              <w:top w:val="nil"/>
              <w:left w:val="nil"/>
              <w:bottom w:val="nil"/>
              <w:right w:val="nil"/>
            </w:tcBorders>
            <w:noWrap/>
            <w:vAlign w:val="center"/>
            <w:hideMark/>
          </w:tcPr>
          <w:p w14:paraId="100E4970"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28.000</w:t>
            </w:r>
          </w:p>
        </w:tc>
      </w:tr>
      <w:tr w:rsidR="00AE4452" w:rsidRPr="00D96905" w14:paraId="50FA68E5" w14:textId="77777777" w:rsidTr="00617810">
        <w:trPr>
          <w:trHeight w:val="290"/>
        </w:trPr>
        <w:tc>
          <w:tcPr>
            <w:tcW w:w="714" w:type="pct"/>
            <w:tcBorders>
              <w:top w:val="nil"/>
              <w:left w:val="nil"/>
              <w:bottom w:val="nil"/>
              <w:right w:val="nil"/>
            </w:tcBorders>
            <w:noWrap/>
            <w:vAlign w:val="bottom"/>
            <w:hideMark/>
          </w:tcPr>
          <w:p w14:paraId="74DFE7D2"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p>
        </w:tc>
        <w:tc>
          <w:tcPr>
            <w:tcW w:w="612" w:type="pct"/>
            <w:tcBorders>
              <w:top w:val="nil"/>
              <w:left w:val="nil"/>
              <w:bottom w:val="nil"/>
              <w:right w:val="nil"/>
            </w:tcBorders>
            <w:noWrap/>
            <w:vAlign w:val="bottom"/>
            <w:hideMark/>
          </w:tcPr>
          <w:p w14:paraId="4CCD618B"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SD</w:t>
            </w:r>
          </w:p>
        </w:tc>
        <w:tc>
          <w:tcPr>
            <w:tcW w:w="612" w:type="pct"/>
            <w:tcBorders>
              <w:top w:val="nil"/>
              <w:left w:val="nil"/>
              <w:bottom w:val="nil"/>
              <w:right w:val="nil"/>
            </w:tcBorders>
            <w:noWrap/>
            <w:vAlign w:val="center"/>
            <w:hideMark/>
          </w:tcPr>
          <w:p w14:paraId="7E23EDE1"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8.000</w:t>
            </w:r>
          </w:p>
        </w:tc>
        <w:tc>
          <w:tcPr>
            <w:tcW w:w="612" w:type="pct"/>
            <w:tcBorders>
              <w:top w:val="nil"/>
              <w:left w:val="nil"/>
              <w:bottom w:val="nil"/>
              <w:right w:val="nil"/>
            </w:tcBorders>
            <w:noWrap/>
            <w:vAlign w:val="center"/>
            <w:hideMark/>
          </w:tcPr>
          <w:p w14:paraId="4369CF84"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2.500</w:t>
            </w:r>
          </w:p>
        </w:tc>
        <w:tc>
          <w:tcPr>
            <w:tcW w:w="612" w:type="pct"/>
            <w:tcBorders>
              <w:top w:val="nil"/>
              <w:left w:val="nil"/>
              <w:bottom w:val="nil"/>
              <w:right w:val="nil"/>
            </w:tcBorders>
            <w:noWrap/>
            <w:vAlign w:val="center"/>
            <w:hideMark/>
          </w:tcPr>
          <w:p w14:paraId="4D4AE1AE"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2.000</w:t>
            </w:r>
          </w:p>
        </w:tc>
        <w:tc>
          <w:tcPr>
            <w:tcW w:w="612" w:type="pct"/>
            <w:tcBorders>
              <w:top w:val="nil"/>
              <w:left w:val="nil"/>
              <w:bottom w:val="nil"/>
              <w:right w:val="nil"/>
            </w:tcBorders>
            <w:noWrap/>
            <w:vAlign w:val="center"/>
            <w:hideMark/>
          </w:tcPr>
          <w:p w14:paraId="4CC0AB2C"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0.800</w:t>
            </w:r>
          </w:p>
        </w:tc>
        <w:tc>
          <w:tcPr>
            <w:tcW w:w="612" w:type="pct"/>
            <w:tcBorders>
              <w:top w:val="nil"/>
              <w:left w:val="nil"/>
              <w:bottom w:val="nil"/>
              <w:right w:val="nil"/>
            </w:tcBorders>
            <w:noWrap/>
            <w:vAlign w:val="center"/>
            <w:hideMark/>
          </w:tcPr>
          <w:p w14:paraId="1673A475"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2.000</w:t>
            </w:r>
          </w:p>
        </w:tc>
        <w:tc>
          <w:tcPr>
            <w:tcW w:w="612" w:type="pct"/>
            <w:tcBorders>
              <w:top w:val="nil"/>
              <w:left w:val="nil"/>
              <w:bottom w:val="nil"/>
              <w:right w:val="nil"/>
            </w:tcBorders>
            <w:noWrap/>
            <w:vAlign w:val="center"/>
            <w:hideMark/>
          </w:tcPr>
          <w:p w14:paraId="6D78DE70"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3.000</w:t>
            </w:r>
          </w:p>
        </w:tc>
      </w:tr>
      <w:tr w:rsidR="00AE4452" w:rsidRPr="00D96905" w14:paraId="00B6D9C6" w14:textId="77777777" w:rsidTr="00617810">
        <w:trPr>
          <w:trHeight w:val="290"/>
        </w:trPr>
        <w:tc>
          <w:tcPr>
            <w:tcW w:w="714" w:type="pct"/>
            <w:tcBorders>
              <w:top w:val="nil"/>
              <w:left w:val="nil"/>
              <w:bottom w:val="nil"/>
              <w:right w:val="nil"/>
            </w:tcBorders>
            <w:noWrap/>
            <w:vAlign w:val="bottom"/>
            <w:hideMark/>
          </w:tcPr>
          <w:p w14:paraId="3196FCEC"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Russia</w:t>
            </w:r>
          </w:p>
        </w:tc>
        <w:tc>
          <w:tcPr>
            <w:tcW w:w="612" w:type="pct"/>
            <w:tcBorders>
              <w:top w:val="nil"/>
              <w:left w:val="nil"/>
              <w:bottom w:val="nil"/>
              <w:right w:val="nil"/>
            </w:tcBorders>
            <w:noWrap/>
            <w:vAlign w:val="bottom"/>
            <w:hideMark/>
          </w:tcPr>
          <w:p w14:paraId="0871BA83"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Mean</w:t>
            </w:r>
          </w:p>
        </w:tc>
        <w:tc>
          <w:tcPr>
            <w:tcW w:w="612" w:type="pct"/>
            <w:tcBorders>
              <w:top w:val="nil"/>
              <w:left w:val="nil"/>
              <w:bottom w:val="nil"/>
              <w:right w:val="nil"/>
            </w:tcBorders>
            <w:noWrap/>
            <w:vAlign w:val="center"/>
            <w:hideMark/>
          </w:tcPr>
          <w:p w14:paraId="0E0CDFBA"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60.000</w:t>
            </w:r>
          </w:p>
        </w:tc>
        <w:tc>
          <w:tcPr>
            <w:tcW w:w="612" w:type="pct"/>
            <w:tcBorders>
              <w:top w:val="nil"/>
              <w:left w:val="nil"/>
              <w:bottom w:val="nil"/>
              <w:right w:val="nil"/>
            </w:tcBorders>
            <w:noWrap/>
            <w:vAlign w:val="center"/>
            <w:hideMark/>
          </w:tcPr>
          <w:p w14:paraId="1EEF9586"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1.500</w:t>
            </w:r>
          </w:p>
        </w:tc>
        <w:tc>
          <w:tcPr>
            <w:tcW w:w="612" w:type="pct"/>
            <w:tcBorders>
              <w:top w:val="nil"/>
              <w:left w:val="nil"/>
              <w:bottom w:val="nil"/>
              <w:right w:val="nil"/>
            </w:tcBorders>
            <w:noWrap/>
            <w:vAlign w:val="center"/>
            <w:hideMark/>
          </w:tcPr>
          <w:p w14:paraId="6847FCEF"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16.000</w:t>
            </w:r>
          </w:p>
        </w:tc>
        <w:tc>
          <w:tcPr>
            <w:tcW w:w="612" w:type="pct"/>
            <w:tcBorders>
              <w:top w:val="nil"/>
              <w:left w:val="nil"/>
              <w:bottom w:val="nil"/>
              <w:right w:val="nil"/>
            </w:tcBorders>
            <w:noWrap/>
            <w:vAlign w:val="center"/>
            <w:hideMark/>
          </w:tcPr>
          <w:p w14:paraId="2CBF5310"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c>
          <w:tcPr>
            <w:tcW w:w="612" w:type="pct"/>
            <w:tcBorders>
              <w:top w:val="nil"/>
              <w:left w:val="nil"/>
              <w:bottom w:val="nil"/>
              <w:right w:val="nil"/>
            </w:tcBorders>
            <w:noWrap/>
            <w:vAlign w:val="center"/>
            <w:hideMark/>
          </w:tcPr>
          <w:p w14:paraId="42E2586A"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6.500</w:t>
            </w:r>
          </w:p>
        </w:tc>
        <w:tc>
          <w:tcPr>
            <w:tcW w:w="612" w:type="pct"/>
            <w:tcBorders>
              <w:top w:val="nil"/>
              <w:left w:val="nil"/>
              <w:bottom w:val="nil"/>
              <w:right w:val="nil"/>
            </w:tcBorders>
            <w:noWrap/>
            <w:vAlign w:val="center"/>
            <w:hideMark/>
          </w:tcPr>
          <w:p w14:paraId="0066BEEA"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40.000</w:t>
            </w:r>
          </w:p>
        </w:tc>
      </w:tr>
      <w:tr w:rsidR="00AE4452" w:rsidRPr="00D96905" w14:paraId="46732F84" w14:textId="77777777" w:rsidTr="00617810">
        <w:trPr>
          <w:trHeight w:val="290"/>
        </w:trPr>
        <w:tc>
          <w:tcPr>
            <w:tcW w:w="714" w:type="pct"/>
            <w:tcBorders>
              <w:top w:val="nil"/>
              <w:left w:val="nil"/>
              <w:bottom w:val="nil"/>
              <w:right w:val="nil"/>
            </w:tcBorders>
            <w:noWrap/>
            <w:vAlign w:val="bottom"/>
            <w:hideMark/>
          </w:tcPr>
          <w:p w14:paraId="01CD2E58"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p>
        </w:tc>
        <w:tc>
          <w:tcPr>
            <w:tcW w:w="612" w:type="pct"/>
            <w:tcBorders>
              <w:top w:val="nil"/>
              <w:left w:val="nil"/>
              <w:bottom w:val="nil"/>
              <w:right w:val="nil"/>
            </w:tcBorders>
            <w:noWrap/>
            <w:vAlign w:val="bottom"/>
            <w:hideMark/>
          </w:tcPr>
          <w:p w14:paraId="3777844D"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SD</w:t>
            </w:r>
          </w:p>
        </w:tc>
        <w:tc>
          <w:tcPr>
            <w:tcW w:w="612" w:type="pct"/>
            <w:tcBorders>
              <w:top w:val="nil"/>
              <w:left w:val="nil"/>
              <w:bottom w:val="nil"/>
              <w:right w:val="nil"/>
            </w:tcBorders>
            <w:noWrap/>
            <w:vAlign w:val="center"/>
            <w:hideMark/>
          </w:tcPr>
          <w:p w14:paraId="7F1B6213"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7.000</w:t>
            </w:r>
          </w:p>
        </w:tc>
        <w:tc>
          <w:tcPr>
            <w:tcW w:w="612" w:type="pct"/>
            <w:tcBorders>
              <w:top w:val="nil"/>
              <w:left w:val="nil"/>
              <w:bottom w:val="nil"/>
              <w:right w:val="nil"/>
            </w:tcBorders>
            <w:noWrap/>
            <w:vAlign w:val="center"/>
            <w:hideMark/>
          </w:tcPr>
          <w:p w14:paraId="588E7D85"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2.000</w:t>
            </w:r>
          </w:p>
        </w:tc>
        <w:tc>
          <w:tcPr>
            <w:tcW w:w="612" w:type="pct"/>
            <w:tcBorders>
              <w:top w:val="nil"/>
              <w:left w:val="nil"/>
              <w:bottom w:val="nil"/>
              <w:right w:val="nil"/>
            </w:tcBorders>
            <w:noWrap/>
            <w:vAlign w:val="center"/>
            <w:hideMark/>
          </w:tcPr>
          <w:p w14:paraId="6D7232A7"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1.500</w:t>
            </w:r>
          </w:p>
        </w:tc>
        <w:tc>
          <w:tcPr>
            <w:tcW w:w="612" w:type="pct"/>
            <w:tcBorders>
              <w:top w:val="nil"/>
              <w:left w:val="nil"/>
              <w:bottom w:val="nil"/>
              <w:right w:val="nil"/>
            </w:tcBorders>
            <w:noWrap/>
            <w:vAlign w:val="center"/>
            <w:hideMark/>
          </w:tcPr>
          <w:p w14:paraId="510E1A9E"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0.500</w:t>
            </w:r>
          </w:p>
        </w:tc>
        <w:tc>
          <w:tcPr>
            <w:tcW w:w="612" w:type="pct"/>
            <w:tcBorders>
              <w:top w:val="nil"/>
              <w:left w:val="nil"/>
              <w:bottom w:val="nil"/>
              <w:right w:val="nil"/>
            </w:tcBorders>
            <w:noWrap/>
            <w:vAlign w:val="center"/>
            <w:hideMark/>
          </w:tcPr>
          <w:p w14:paraId="251FF33F"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2.500</w:t>
            </w:r>
          </w:p>
        </w:tc>
        <w:tc>
          <w:tcPr>
            <w:tcW w:w="612" w:type="pct"/>
            <w:tcBorders>
              <w:top w:val="nil"/>
              <w:left w:val="nil"/>
              <w:bottom w:val="nil"/>
              <w:right w:val="nil"/>
            </w:tcBorders>
            <w:noWrap/>
            <w:vAlign w:val="center"/>
            <w:hideMark/>
          </w:tcPr>
          <w:p w14:paraId="55C3752D"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5.000</w:t>
            </w:r>
          </w:p>
        </w:tc>
      </w:tr>
      <w:tr w:rsidR="00AE4452" w:rsidRPr="00D96905" w14:paraId="58D2FE27" w14:textId="77777777" w:rsidTr="00617810">
        <w:trPr>
          <w:trHeight w:val="290"/>
        </w:trPr>
        <w:tc>
          <w:tcPr>
            <w:tcW w:w="714" w:type="pct"/>
            <w:tcBorders>
              <w:top w:val="nil"/>
              <w:left w:val="nil"/>
              <w:bottom w:val="nil"/>
              <w:right w:val="nil"/>
            </w:tcBorders>
            <w:noWrap/>
            <w:vAlign w:val="bottom"/>
            <w:hideMark/>
          </w:tcPr>
          <w:p w14:paraId="4BF2B192"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India</w:t>
            </w:r>
          </w:p>
        </w:tc>
        <w:tc>
          <w:tcPr>
            <w:tcW w:w="612" w:type="pct"/>
            <w:tcBorders>
              <w:top w:val="nil"/>
              <w:left w:val="nil"/>
              <w:bottom w:val="nil"/>
              <w:right w:val="nil"/>
            </w:tcBorders>
            <w:noWrap/>
            <w:vAlign w:val="bottom"/>
            <w:hideMark/>
          </w:tcPr>
          <w:p w14:paraId="389306FB"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Mean</w:t>
            </w:r>
          </w:p>
        </w:tc>
        <w:tc>
          <w:tcPr>
            <w:tcW w:w="612" w:type="pct"/>
            <w:tcBorders>
              <w:top w:val="nil"/>
              <w:left w:val="nil"/>
              <w:bottom w:val="nil"/>
              <w:right w:val="nil"/>
            </w:tcBorders>
            <w:noWrap/>
            <w:vAlign w:val="center"/>
            <w:hideMark/>
          </w:tcPr>
          <w:p w14:paraId="7B7F95F5"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55.000</w:t>
            </w:r>
          </w:p>
        </w:tc>
        <w:tc>
          <w:tcPr>
            <w:tcW w:w="612" w:type="pct"/>
            <w:tcBorders>
              <w:top w:val="nil"/>
              <w:left w:val="nil"/>
              <w:bottom w:val="nil"/>
              <w:right w:val="nil"/>
            </w:tcBorders>
            <w:noWrap/>
            <w:vAlign w:val="center"/>
            <w:hideMark/>
          </w:tcPr>
          <w:p w14:paraId="68A8E2D8"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6.500</w:t>
            </w:r>
          </w:p>
        </w:tc>
        <w:tc>
          <w:tcPr>
            <w:tcW w:w="612" w:type="pct"/>
            <w:tcBorders>
              <w:top w:val="nil"/>
              <w:left w:val="nil"/>
              <w:bottom w:val="nil"/>
              <w:right w:val="nil"/>
            </w:tcBorders>
            <w:noWrap/>
            <w:vAlign w:val="center"/>
            <w:hideMark/>
          </w:tcPr>
          <w:p w14:paraId="321368A3"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12.000</w:t>
            </w:r>
          </w:p>
        </w:tc>
        <w:tc>
          <w:tcPr>
            <w:tcW w:w="612" w:type="pct"/>
            <w:tcBorders>
              <w:top w:val="nil"/>
              <w:left w:val="nil"/>
              <w:bottom w:val="nil"/>
              <w:right w:val="nil"/>
            </w:tcBorders>
            <w:noWrap/>
            <w:vAlign w:val="center"/>
            <w:hideMark/>
          </w:tcPr>
          <w:p w14:paraId="2DA20BD5"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2.500</w:t>
            </w:r>
          </w:p>
        </w:tc>
        <w:tc>
          <w:tcPr>
            <w:tcW w:w="612" w:type="pct"/>
            <w:tcBorders>
              <w:top w:val="nil"/>
              <w:left w:val="nil"/>
              <w:bottom w:val="nil"/>
              <w:right w:val="nil"/>
            </w:tcBorders>
            <w:noWrap/>
            <w:vAlign w:val="center"/>
            <w:hideMark/>
          </w:tcPr>
          <w:p w14:paraId="3CACC352"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6.000</w:t>
            </w:r>
          </w:p>
        </w:tc>
        <w:tc>
          <w:tcPr>
            <w:tcW w:w="612" w:type="pct"/>
            <w:tcBorders>
              <w:top w:val="nil"/>
              <w:left w:val="nil"/>
              <w:bottom w:val="nil"/>
              <w:right w:val="nil"/>
            </w:tcBorders>
            <w:noWrap/>
            <w:vAlign w:val="center"/>
            <w:hideMark/>
          </w:tcPr>
          <w:p w14:paraId="4ACDEB91"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45.000</w:t>
            </w:r>
          </w:p>
        </w:tc>
      </w:tr>
      <w:tr w:rsidR="00AE4452" w:rsidRPr="00D96905" w14:paraId="2F4D07A3" w14:textId="77777777" w:rsidTr="00617810">
        <w:trPr>
          <w:trHeight w:val="290"/>
        </w:trPr>
        <w:tc>
          <w:tcPr>
            <w:tcW w:w="714" w:type="pct"/>
            <w:tcBorders>
              <w:top w:val="nil"/>
              <w:left w:val="nil"/>
              <w:bottom w:val="nil"/>
              <w:right w:val="nil"/>
            </w:tcBorders>
            <w:noWrap/>
            <w:vAlign w:val="bottom"/>
            <w:hideMark/>
          </w:tcPr>
          <w:p w14:paraId="316D0E43"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p>
        </w:tc>
        <w:tc>
          <w:tcPr>
            <w:tcW w:w="612" w:type="pct"/>
            <w:tcBorders>
              <w:top w:val="nil"/>
              <w:left w:val="nil"/>
              <w:bottom w:val="nil"/>
              <w:right w:val="nil"/>
            </w:tcBorders>
            <w:noWrap/>
            <w:vAlign w:val="bottom"/>
            <w:hideMark/>
          </w:tcPr>
          <w:p w14:paraId="3FC8EFFD"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SD</w:t>
            </w:r>
          </w:p>
        </w:tc>
        <w:tc>
          <w:tcPr>
            <w:tcW w:w="612" w:type="pct"/>
            <w:tcBorders>
              <w:top w:val="nil"/>
              <w:left w:val="nil"/>
              <w:bottom w:val="nil"/>
              <w:right w:val="nil"/>
            </w:tcBorders>
            <w:noWrap/>
            <w:vAlign w:val="center"/>
            <w:hideMark/>
          </w:tcPr>
          <w:p w14:paraId="1AAB99F9"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6.000</w:t>
            </w:r>
          </w:p>
        </w:tc>
        <w:tc>
          <w:tcPr>
            <w:tcW w:w="612" w:type="pct"/>
            <w:tcBorders>
              <w:top w:val="nil"/>
              <w:left w:val="nil"/>
              <w:bottom w:val="nil"/>
              <w:right w:val="nil"/>
            </w:tcBorders>
            <w:noWrap/>
            <w:vAlign w:val="center"/>
            <w:hideMark/>
          </w:tcPr>
          <w:p w14:paraId="443EAFDC"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1.500</w:t>
            </w:r>
          </w:p>
        </w:tc>
        <w:tc>
          <w:tcPr>
            <w:tcW w:w="612" w:type="pct"/>
            <w:tcBorders>
              <w:top w:val="nil"/>
              <w:left w:val="nil"/>
              <w:bottom w:val="nil"/>
              <w:right w:val="nil"/>
            </w:tcBorders>
            <w:noWrap/>
            <w:vAlign w:val="center"/>
            <w:hideMark/>
          </w:tcPr>
          <w:p w14:paraId="33ED72EC"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c>
          <w:tcPr>
            <w:tcW w:w="612" w:type="pct"/>
            <w:tcBorders>
              <w:top w:val="nil"/>
              <w:left w:val="nil"/>
              <w:bottom w:val="nil"/>
              <w:right w:val="nil"/>
            </w:tcBorders>
            <w:noWrap/>
            <w:vAlign w:val="center"/>
            <w:hideMark/>
          </w:tcPr>
          <w:p w14:paraId="375EA612"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0.700</w:t>
            </w:r>
          </w:p>
        </w:tc>
        <w:tc>
          <w:tcPr>
            <w:tcW w:w="612" w:type="pct"/>
            <w:tcBorders>
              <w:top w:val="nil"/>
              <w:left w:val="nil"/>
              <w:bottom w:val="nil"/>
              <w:right w:val="nil"/>
            </w:tcBorders>
            <w:noWrap/>
            <w:vAlign w:val="center"/>
            <w:hideMark/>
          </w:tcPr>
          <w:p w14:paraId="4515CE51"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1.500</w:t>
            </w:r>
          </w:p>
        </w:tc>
        <w:tc>
          <w:tcPr>
            <w:tcW w:w="612" w:type="pct"/>
            <w:tcBorders>
              <w:top w:val="nil"/>
              <w:left w:val="nil"/>
              <w:bottom w:val="nil"/>
              <w:right w:val="nil"/>
            </w:tcBorders>
            <w:noWrap/>
            <w:vAlign w:val="center"/>
            <w:hideMark/>
          </w:tcPr>
          <w:p w14:paraId="7098C1BB"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4.000</w:t>
            </w:r>
          </w:p>
        </w:tc>
      </w:tr>
      <w:tr w:rsidR="00AE4452" w:rsidRPr="00D96905" w14:paraId="534C224A" w14:textId="77777777" w:rsidTr="00617810">
        <w:trPr>
          <w:trHeight w:val="290"/>
        </w:trPr>
        <w:tc>
          <w:tcPr>
            <w:tcW w:w="714" w:type="pct"/>
            <w:tcBorders>
              <w:top w:val="nil"/>
              <w:left w:val="nil"/>
              <w:bottom w:val="nil"/>
              <w:right w:val="nil"/>
            </w:tcBorders>
            <w:noWrap/>
            <w:vAlign w:val="bottom"/>
            <w:hideMark/>
          </w:tcPr>
          <w:p w14:paraId="392AD6DA"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China</w:t>
            </w:r>
          </w:p>
        </w:tc>
        <w:tc>
          <w:tcPr>
            <w:tcW w:w="612" w:type="pct"/>
            <w:tcBorders>
              <w:top w:val="nil"/>
              <w:left w:val="nil"/>
              <w:bottom w:val="nil"/>
              <w:right w:val="nil"/>
            </w:tcBorders>
            <w:noWrap/>
            <w:vAlign w:val="bottom"/>
            <w:hideMark/>
          </w:tcPr>
          <w:p w14:paraId="3B812C7B"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Mean</w:t>
            </w:r>
          </w:p>
        </w:tc>
        <w:tc>
          <w:tcPr>
            <w:tcW w:w="612" w:type="pct"/>
            <w:tcBorders>
              <w:top w:val="nil"/>
              <w:left w:val="nil"/>
              <w:bottom w:val="nil"/>
              <w:right w:val="nil"/>
            </w:tcBorders>
            <w:noWrap/>
            <w:vAlign w:val="center"/>
            <w:hideMark/>
          </w:tcPr>
          <w:p w14:paraId="659448DE"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190.000</w:t>
            </w:r>
          </w:p>
        </w:tc>
        <w:tc>
          <w:tcPr>
            <w:tcW w:w="612" w:type="pct"/>
            <w:tcBorders>
              <w:top w:val="nil"/>
              <w:left w:val="nil"/>
              <w:bottom w:val="nil"/>
              <w:right w:val="nil"/>
            </w:tcBorders>
            <w:noWrap/>
            <w:vAlign w:val="center"/>
            <w:hideMark/>
          </w:tcPr>
          <w:p w14:paraId="04BC52DB"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7.000</w:t>
            </w:r>
          </w:p>
        </w:tc>
        <w:tc>
          <w:tcPr>
            <w:tcW w:w="612" w:type="pct"/>
            <w:tcBorders>
              <w:top w:val="nil"/>
              <w:left w:val="nil"/>
              <w:bottom w:val="nil"/>
              <w:right w:val="nil"/>
            </w:tcBorders>
            <w:noWrap/>
            <w:vAlign w:val="center"/>
            <w:hideMark/>
          </w:tcPr>
          <w:p w14:paraId="47C345BE"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18.000</w:t>
            </w:r>
          </w:p>
        </w:tc>
        <w:tc>
          <w:tcPr>
            <w:tcW w:w="612" w:type="pct"/>
            <w:tcBorders>
              <w:top w:val="nil"/>
              <w:left w:val="nil"/>
              <w:bottom w:val="nil"/>
              <w:right w:val="nil"/>
            </w:tcBorders>
            <w:noWrap/>
            <w:vAlign w:val="center"/>
            <w:hideMark/>
          </w:tcPr>
          <w:p w14:paraId="29576DFB"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3.500</w:t>
            </w:r>
          </w:p>
        </w:tc>
        <w:tc>
          <w:tcPr>
            <w:tcW w:w="612" w:type="pct"/>
            <w:tcBorders>
              <w:top w:val="nil"/>
              <w:left w:val="nil"/>
              <w:bottom w:val="nil"/>
              <w:right w:val="nil"/>
            </w:tcBorders>
            <w:noWrap/>
            <w:vAlign w:val="center"/>
            <w:hideMark/>
          </w:tcPr>
          <w:p w14:paraId="1A22F580"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2.500</w:t>
            </w:r>
          </w:p>
        </w:tc>
        <w:tc>
          <w:tcPr>
            <w:tcW w:w="612" w:type="pct"/>
            <w:tcBorders>
              <w:top w:val="nil"/>
              <w:left w:val="nil"/>
              <w:bottom w:val="nil"/>
              <w:right w:val="nil"/>
            </w:tcBorders>
            <w:noWrap/>
            <w:vAlign w:val="center"/>
            <w:hideMark/>
          </w:tcPr>
          <w:p w14:paraId="4A30F5A2"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48.000</w:t>
            </w:r>
          </w:p>
        </w:tc>
      </w:tr>
      <w:tr w:rsidR="00AE4452" w:rsidRPr="00D96905" w14:paraId="3BCBADCC" w14:textId="77777777" w:rsidTr="00617810">
        <w:trPr>
          <w:trHeight w:val="290"/>
        </w:trPr>
        <w:tc>
          <w:tcPr>
            <w:tcW w:w="714" w:type="pct"/>
            <w:tcBorders>
              <w:top w:val="nil"/>
              <w:left w:val="nil"/>
              <w:bottom w:val="nil"/>
              <w:right w:val="nil"/>
            </w:tcBorders>
            <w:noWrap/>
            <w:vAlign w:val="bottom"/>
            <w:hideMark/>
          </w:tcPr>
          <w:p w14:paraId="2ACC53F1"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p>
        </w:tc>
        <w:tc>
          <w:tcPr>
            <w:tcW w:w="612" w:type="pct"/>
            <w:tcBorders>
              <w:top w:val="nil"/>
              <w:left w:val="nil"/>
              <w:bottom w:val="nil"/>
              <w:right w:val="nil"/>
            </w:tcBorders>
            <w:noWrap/>
            <w:vAlign w:val="bottom"/>
            <w:hideMark/>
          </w:tcPr>
          <w:p w14:paraId="7BBCFCF8"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SD</w:t>
            </w:r>
          </w:p>
        </w:tc>
        <w:tc>
          <w:tcPr>
            <w:tcW w:w="612" w:type="pct"/>
            <w:tcBorders>
              <w:top w:val="nil"/>
              <w:left w:val="nil"/>
              <w:bottom w:val="nil"/>
              <w:right w:val="nil"/>
            </w:tcBorders>
            <w:noWrap/>
            <w:vAlign w:val="center"/>
            <w:hideMark/>
          </w:tcPr>
          <w:p w14:paraId="1C41ADAF"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15.000</w:t>
            </w:r>
          </w:p>
        </w:tc>
        <w:tc>
          <w:tcPr>
            <w:tcW w:w="612" w:type="pct"/>
            <w:tcBorders>
              <w:top w:val="nil"/>
              <w:left w:val="nil"/>
              <w:bottom w:val="nil"/>
              <w:right w:val="nil"/>
            </w:tcBorders>
            <w:noWrap/>
            <w:vAlign w:val="center"/>
            <w:hideMark/>
          </w:tcPr>
          <w:p w14:paraId="1EB0C228"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c>
          <w:tcPr>
            <w:tcW w:w="612" w:type="pct"/>
            <w:tcBorders>
              <w:top w:val="nil"/>
              <w:left w:val="nil"/>
              <w:bottom w:val="nil"/>
              <w:right w:val="nil"/>
            </w:tcBorders>
            <w:noWrap/>
            <w:vAlign w:val="center"/>
            <w:hideMark/>
          </w:tcPr>
          <w:p w14:paraId="7E15391E"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c>
          <w:tcPr>
            <w:tcW w:w="612" w:type="pct"/>
            <w:tcBorders>
              <w:top w:val="nil"/>
              <w:left w:val="nil"/>
              <w:bottom w:val="nil"/>
              <w:right w:val="nil"/>
            </w:tcBorders>
            <w:noWrap/>
            <w:vAlign w:val="center"/>
            <w:hideMark/>
          </w:tcPr>
          <w:p w14:paraId="0F3D23C5"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0.600</w:t>
            </w:r>
          </w:p>
        </w:tc>
        <w:tc>
          <w:tcPr>
            <w:tcW w:w="612" w:type="pct"/>
            <w:tcBorders>
              <w:top w:val="nil"/>
              <w:left w:val="nil"/>
              <w:bottom w:val="nil"/>
              <w:right w:val="nil"/>
            </w:tcBorders>
            <w:noWrap/>
            <w:vAlign w:val="center"/>
            <w:hideMark/>
          </w:tcPr>
          <w:p w14:paraId="3791F763"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0.800</w:t>
            </w:r>
          </w:p>
        </w:tc>
        <w:tc>
          <w:tcPr>
            <w:tcW w:w="612" w:type="pct"/>
            <w:tcBorders>
              <w:top w:val="nil"/>
              <w:left w:val="nil"/>
              <w:bottom w:val="nil"/>
              <w:right w:val="nil"/>
            </w:tcBorders>
            <w:noWrap/>
            <w:vAlign w:val="center"/>
            <w:hideMark/>
          </w:tcPr>
          <w:p w14:paraId="75CC5AFE"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6.000</w:t>
            </w:r>
          </w:p>
        </w:tc>
      </w:tr>
      <w:tr w:rsidR="00AE4452" w:rsidRPr="00D96905" w14:paraId="08C400C4" w14:textId="77777777" w:rsidTr="00617810">
        <w:trPr>
          <w:trHeight w:val="290"/>
        </w:trPr>
        <w:tc>
          <w:tcPr>
            <w:tcW w:w="714" w:type="pct"/>
            <w:tcBorders>
              <w:top w:val="nil"/>
              <w:left w:val="nil"/>
              <w:bottom w:val="nil"/>
              <w:right w:val="nil"/>
            </w:tcBorders>
            <w:noWrap/>
            <w:vAlign w:val="bottom"/>
            <w:hideMark/>
          </w:tcPr>
          <w:p w14:paraId="0FD737C4"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South Africa</w:t>
            </w:r>
          </w:p>
        </w:tc>
        <w:tc>
          <w:tcPr>
            <w:tcW w:w="612" w:type="pct"/>
            <w:tcBorders>
              <w:top w:val="nil"/>
              <w:left w:val="nil"/>
              <w:bottom w:val="nil"/>
              <w:right w:val="nil"/>
            </w:tcBorders>
            <w:noWrap/>
            <w:vAlign w:val="bottom"/>
            <w:hideMark/>
          </w:tcPr>
          <w:p w14:paraId="4E8306B6"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Mean</w:t>
            </w:r>
          </w:p>
        </w:tc>
        <w:tc>
          <w:tcPr>
            <w:tcW w:w="612" w:type="pct"/>
            <w:tcBorders>
              <w:top w:val="nil"/>
              <w:left w:val="nil"/>
              <w:bottom w:val="nil"/>
              <w:right w:val="nil"/>
            </w:tcBorders>
            <w:noWrap/>
            <w:vAlign w:val="center"/>
            <w:hideMark/>
          </w:tcPr>
          <w:p w14:paraId="13A549EA"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120.000</w:t>
            </w:r>
          </w:p>
        </w:tc>
        <w:tc>
          <w:tcPr>
            <w:tcW w:w="612" w:type="pct"/>
            <w:tcBorders>
              <w:top w:val="nil"/>
              <w:left w:val="nil"/>
              <w:bottom w:val="nil"/>
              <w:right w:val="nil"/>
            </w:tcBorders>
            <w:noWrap/>
            <w:vAlign w:val="center"/>
            <w:hideMark/>
          </w:tcPr>
          <w:p w14:paraId="471148A9"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1.800</w:t>
            </w:r>
          </w:p>
        </w:tc>
        <w:tc>
          <w:tcPr>
            <w:tcW w:w="612" w:type="pct"/>
            <w:tcBorders>
              <w:top w:val="nil"/>
              <w:left w:val="nil"/>
              <w:bottom w:val="nil"/>
              <w:right w:val="nil"/>
            </w:tcBorders>
            <w:noWrap/>
            <w:vAlign w:val="center"/>
            <w:hideMark/>
          </w:tcPr>
          <w:p w14:paraId="7D1D4D23"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26.000</w:t>
            </w:r>
          </w:p>
        </w:tc>
        <w:tc>
          <w:tcPr>
            <w:tcW w:w="612" w:type="pct"/>
            <w:tcBorders>
              <w:top w:val="nil"/>
              <w:left w:val="nil"/>
              <w:bottom w:val="nil"/>
              <w:right w:val="nil"/>
            </w:tcBorders>
            <w:noWrap/>
            <w:vAlign w:val="center"/>
            <w:hideMark/>
          </w:tcPr>
          <w:p w14:paraId="68253E6F"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1.800</w:t>
            </w:r>
          </w:p>
        </w:tc>
        <w:tc>
          <w:tcPr>
            <w:tcW w:w="612" w:type="pct"/>
            <w:tcBorders>
              <w:top w:val="nil"/>
              <w:left w:val="nil"/>
              <w:bottom w:val="nil"/>
              <w:right w:val="nil"/>
            </w:tcBorders>
            <w:noWrap/>
            <w:vAlign w:val="center"/>
            <w:hideMark/>
          </w:tcPr>
          <w:p w14:paraId="77D918F0"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5.000</w:t>
            </w:r>
          </w:p>
        </w:tc>
        <w:tc>
          <w:tcPr>
            <w:tcW w:w="612" w:type="pct"/>
            <w:tcBorders>
              <w:top w:val="nil"/>
              <w:left w:val="nil"/>
              <w:bottom w:val="nil"/>
              <w:right w:val="nil"/>
            </w:tcBorders>
            <w:noWrap/>
            <w:vAlign w:val="center"/>
            <w:hideMark/>
          </w:tcPr>
          <w:p w14:paraId="5E9EAF9D"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60.000</w:t>
            </w:r>
          </w:p>
        </w:tc>
      </w:tr>
      <w:tr w:rsidR="00AE4452" w:rsidRPr="00D96905" w14:paraId="2F7F6B3A" w14:textId="77777777" w:rsidTr="00617810">
        <w:trPr>
          <w:trHeight w:val="290"/>
        </w:trPr>
        <w:tc>
          <w:tcPr>
            <w:tcW w:w="714" w:type="pct"/>
            <w:tcBorders>
              <w:top w:val="nil"/>
              <w:left w:val="nil"/>
              <w:bottom w:val="single" w:sz="4" w:space="0" w:color="auto"/>
              <w:right w:val="nil"/>
            </w:tcBorders>
            <w:noWrap/>
            <w:vAlign w:val="bottom"/>
            <w:hideMark/>
          </w:tcPr>
          <w:p w14:paraId="625E13CD"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 </w:t>
            </w:r>
          </w:p>
        </w:tc>
        <w:tc>
          <w:tcPr>
            <w:tcW w:w="612" w:type="pct"/>
            <w:tcBorders>
              <w:top w:val="nil"/>
              <w:left w:val="nil"/>
              <w:bottom w:val="single" w:sz="4" w:space="0" w:color="auto"/>
              <w:right w:val="nil"/>
            </w:tcBorders>
            <w:noWrap/>
            <w:vAlign w:val="bottom"/>
            <w:hideMark/>
          </w:tcPr>
          <w:p w14:paraId="4E2A8CF1"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SD</w:t>
            </w:r>
          </w:p>
        </w:tc>
        <w:tc>
          <w:tcPr>
            <w:tcW w:w="612" w:type="pct"/>
            <w:tcBorders>
              <w:top w:val="nil"/>
              <w:left w:val="nil"/>
              <w:bottom w:val="single" w:sz="4" w:space="0" w:color="auto"/>
              <w:right w:val="nil"/>
            </w:tcBorders>
            <w:noWrap/>
            <w:vAlign w:val="center"/>
            <w:hideMark/>
          </w:tcPr>
          <w:p w14:paraId="516DE1DA"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10.000</w:t>
            </w:r>
          </w:p>
        </w:tc>
        <w:tc>
          <w:tcPr>
            <w:tcW w:w="612" w:type="pct"/>
            <w:tcBorders>
              <w:top w:val="nil"/>
              <w:left w:val="nil"/>
              <w:bottom w:val="single" w:sz="4" w:space="0" w:color="auto"/>
              <w:right w:val="nil"/>
            </w:tcBorders>
            <w:noWrap/>
            <w:vAlign w:val="center"/>
            <w:hideMark/>
          </w:tcPr>
          <w:p w14:paraId="7F7E3C09"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c>
          <w:tcPr>
            <w:tcW w:w="612" w:type="pct"/>
            <w:tcBorders>
              <w:top w:val="nil"/>
              <w:left w:val="nil"/>
              <w:bottom w:val="single" w:sz="4" w:space="0" w:color="auto"/>
              <w:right w:val="nil"/>
            </w:tcBorders>
            <w:noWrap/>
            <w:vAlign w:val="center"/>
            <w:hideMark/>
          </w:tcPr>
          <w:p w14:paraId="28D22F4A"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1.500</w:t>
            </w:r>
          </w:p>
        </w:tc>
        <w:tc>
          <w:tcPr>
            <w:tcW w:w="612" w:type="pct"/>
            <w:tcBorders>
              <w:top w:val="nil"/>
              <w:left w:val="nil"/>
              <w:bottom w:val="single" w:sz="4" w:space="0" w:color="auto"/>
              <w:right w:val="nil"/>
            </w:tcBorders>
            <w:noWrap/>
            <w:vAlign w:val="center"/>
            <w:hideMark/>
          </w:tcPr>
          <w:p w14:paraId="226CF3D7"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0.500</w:t>
            </w:r>
          </w:p>
        </w:tc>
        <w:tc>
          <w:tcPr>
            <w:tcW w:w="612" w:type="pct"/>
            <w:tcBorders>
              <w:top w:val="nil"/>
              <w:left w:val="nil"/>
              <w:bottom w:val="single" w:sz="4" w:space="0" w:color="auto"/>
              <w:right w:val="nil"/>
            </w:tcBorders>
            <w:noWrap/>
            <w:vAlign w:val="center"/>
            <w:hideMark/>
          </w:tcPr>
          <w:p w14:paraId="48D33D4C"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c>
          <w:tcPr>
            <w:tcW w:w="612" w:type="pct"/>
            <w:tcBorders>
              <w:top w:val="nil"/>
              <w:left w:val="nil"/>
              <w:bottom w:val="single" w:sz="4" w:space="0" w:color="auto"/>
              <w:right w:val="nil"/>
            </w:tcBorders>
            <w:noWrap/>
            <w:vAlign w:val="center"/>
            <w:hideMark/>
          </w:tcPr>
          <w:p w14:paraId="6AE35D4E"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5.000</w:t>
            </w:r>
          </w:p>
        </w:tc>
      </w:tr>
    </w:tbl>
    <w:p w14:paraId="46416D81" w14:textId="77777777" w:rsidR="00AE4452" w:rsidRPr="00D96905" w:rsidRDefault="00AE4452" w:rsidP="00AE4452">
      <w:pPr>
        <w:jc w:val="both"/>
        <w:rPr>
          <w:rFonts w:ascii="Times New Roman" w:hAnsi="Times New Roman" w:cs="Times New Roman"/>
          <w:sz w:val="32"/>
          <w:szCs w:val="32"/>
        </w:rPr>
      </w:pPr>
    </w:p>
    <w:p w14:paraId="5712DB1C" w14:textId="77777777" w:rsidR="00AE4452" w:rsidRPr="00D96905" w:rsidRDefault="00AE4452" w:rsidP="00AE4452">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Correlation Matrix</w:t>
      </w:r>
    </w:p>
    <w:p w14:paraId="096C9492" w14:textId="77777777" w:rsidR="00AE4452" w:rsidRPr="00D96905" w:rsidRDefault="00AE4452" w:rsidP="00AE4452">
      <w:pPr>
        <w:spacing w:line="360" w:lineRule="auto"/>
        <w:jc w:val="both"/>
        <w:rPr>
          <w:rFonts w:ascii="Times New Roman" w:hAnsi="Times New Roman" w:cs="Times New Roman"/>
        </w:rPr>
      </w:pPr>
      <w:r w:rsidRPr="00D96905">
        <w:rPr>
          <w:rFonts w:ascii="Times New Roman" w:hAnsi="Times New Roman" w:cs="Times New Roman"/>
        </w:rPr>
        <w:lastRenderedPageBreak/>
        <w:t>Multicollinearity is assessed by examining the direction and amplitude of the linear connection between variables in the correlation matrix. Financial development (FD) and tax revenue (TAX) have a 0.55 positive association, suggesting that tax increases are linked to financial development. The largest positive association (0.72) was found between economic growth (EG) and financial development, supporting the idea that money drives economic expansion. However, the negative association of inflation (CPI) with financial growth (-0.41) illustrates that price volatility hurts the financial sector. In general, the correlation between any pair is low (below 0.80), hence the model has no multicollinearity issues.</w:t>
      </w:r>
    </w:p>
    <w:p w14:paraId="258C5EE3" w14:textId="77777777" w:rsidR="00AE4452" w:rsidRPr="00D96905" w:rsidRDefault="00AE4452" w:rsidP="00AE4452">
      <w:pPr>
        <w:spacing w:after="0"/>
        <w:jc w:val="both"/>
        <w:rPr>
          <w:rFonts w:ascii="Times New Roman" w:hAnsi="Times New Roman" w:cs="Times New Roman"/>
          <w:b/>
          <w:bCs/>
        </w:rPr>
      </w:pPr>
      <w:r w:rsidRPr="00D96905">
        <w:rPr>
          <w:rFonts w:ascii="Times New Roman" w:hAnsi="Times New Roman" w:cs="Times New Roman"/>
          <w:b/>
          <w:bCs/>
        </w:rPr>
        <w:t xml:space="preserve">Table 4: </w:t>
      </w:r>
      <w:r w:rsidRPr="00D96905">
        <w:rPr>
          <w:rFonts w:ascii="Times New Roman" w:hAnsi="Times New Roman" w:cs="Times New Roman"/>
        </w:rPr>
        <w:t>Correlation Matrix</w:t>
      </w:r>
    </w:p>
    <w:tbl>
      <w:tblPr>
        <w:tblW w:w="5000" w:type="pct"/>
        <w:tblLook w:val="04A0" w:firstRow="1" w:lastRow="0" w:firstColumn="1" w:lastColumn="0" w:noHBand="0" w:noVBand="1"/>
      </w:tblPr>
      <w:tblGrid>
        <w:gridCol w:w="1414"/>
        <w:gridCol w:w="1342"/>
        <w:gridCol w:w="1342"/>
        <w:gridCol w:w="1342"/>
        <w:gridCol w:w="1342"/>
        <w:gridCol w:w="1342"/>
        <w:gridCol w:w="1236"/>
      </w:tblGrid>
      <w:tr w:rsidR="00AE4452" w:rsidRPr="00D96905" w14:paraId="4EBA1C41" w14:textId="77777777" w:rsidTr="00617810">
        <w:trPr>
          <w:trHeight w:val="290"/>
        </w:trPr>
        <w:tc>
          <w:tcPr>
            <w:tcW w:w="755" w:type="pct"/>
            <w:tcBorders>
              <w:top w:val="single" w:sz="4" w:space="0" w:color="auto"/>
              <w:left w:val="nil"/>
              <w:bottom w:val="single" w:sz="4" w:space="0" w:color="auto"/>
              <w:right w:val="nil"/>
            </w:tcBorders>
            <w:noWrap/>
            <w:vAlign w:val="bottom"/>
            <w:hideMark/>
          </w:tcPr>
          <w:p w14:paraId="1520E6A3" w14:textId="77777777" w:rsidR="00AE4452" w:rsidRPr="00D96905" w:rsidRDefault="00AE4452" w:rsidP="00617810">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 </w:t>
            </w:r>
          </w:p>
        </w:tc>
        <w:tc>
          <w:tcPr>
            <w:tcW w:w="717" w:type="pct"/>
            <w:tcBorders>
              <w:top w:val="single" w:sz="4" w:space="0" w:color="auto"/>
              <w:left w:val="nil"/>
              <w:bottom w:val="single" w:sz="4" w:space="0" w:color="auto"/>
              <w:right w:val="nil"/>
            </w:tcBorders>
            <w:noWrap/>
            <w:vAlign w:val="center"/>
            <w:hideMark/>
          </w:tcPr>
          <w:p w14:paraId="2A3CA939" w14:textId="77777777" w:rsidR="00AE4452" w:rsidRPr="00D96905" w:rsidRDefault="00AE4452" w:rsidP="00617810">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FD</w:t>
            </w:r>
          </w:p>
        </w:tc>
        <w:tc>
          <w:tcPr>
            <w:tcW w:w="717" w:type="pct"/>
            <w:tcBorders>
              <w:top w:val="single" w:sz="4" w:space="0" w:color="auto"/>
              <w:left w:val="nil"/>
              <w:bottom w:val="single" w:sz="4" w:space="0" w:color="auto"/>
              <w:right w:val="nil"/>
            </w:tcBorders>
            <w:noWrap/>
            <w:vAlign w:val="center"/>
            <w:hideMark/>
          </w:tcPr>
          <w:p w14:paraId="7434B769" w14:textId="77777777" w:rsidR="00AE4452" w:rsidRPr="00D96905" w:rsidRDefault="00AE4452" w:rsidP="00617810">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EG</w:t>
            </w:r>
          </w:p>
        </w:tc>
        <w:tc>
          <w:tcPr>
            <w:tcW w:w="717" w:type="pct"/>
            <w:tcBorders>
              <w:top w:val="single" w:sz="4" w:space="0" w:color="auto"/>
              <w:left w:val="nil"/>
              <w:bottom w:val="single" w:sz="4" w:space="0" w:color="auto"/>
              <w:right w:val="nil"/>
            </w:tcBorders>
            <w:noWrap/>
            <w:vAlign w:val="center"/>
            <w:hideMark/>
          </w:tcPr>
          <w:p w14:paraId="256D30D4" w14:textId="77777777" w:rsidR="00AE4452" w:rsidRPr="00D96905" w:rsidRDefault="00AE4452" w:rsidP="00617810">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TAX</w:t>
            </w:r>
          </w:p>
        </w:tc>
        <w:tc>
          <w:tcPr>
            <w:tcW w:w="717" w:type="pct"/>
            <w:tcBorders>
              <w:top w:val="single" w:sz="4" w:space="0" w:color="auto"/>
              <w:left w:val="nil"/>
              <w:bottom w:val="single" w:sz="4" w:space="0" w:color="auto"/>
              <w:right w:val="nil"/>
            </w:tcBorders>
            <w:noWrap/>
            <w:vAlign w:val="center"/>
            <w:hideMark/>
          </w:tcPr>
          <w:p w14:paraId="68F70E41" w14:textId="77777777" w:rsidR="00AE4452" w:rsidRPr="00D96905" w:rsidRDefault="00AE4452" w:rsidP="00617810">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FDI</w:t>
            </w:r>
          </w:p>
        </w:tc>
        <w:tc>
          <w:tcPr>
            <w:tcW w:w="717" w:type="pct"/>
            <w:tcBorders>
              <w:top w:val="single" w:sz="4" w:space="0" w:color="auto"/>
              <w:left w:val="nil"/>
              <w:bottom w:val="single" w:sz="4" w:space="0" w:color="auto"/>
              <w:right w:val="nil"/>
            </w:tcBorders>
            <w:noWrap/>
            <w:vAlign w:val="center"/>
            <w:hideMark/>
          </w:tcPr>
          <w:p w14:paraId="68EABA43" w14:textId="77777777" w:rsidR="00AE4452" w:rsidRPr="00D96905" w:rsidRDefault="00AE4452" w:rsidP="00617810">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CPI</w:t>
            </w:r>
          </w:p>
        </w:tc>
        <w:tc>
          <w:tcPr>
            <w:tcW w:w="660" w:type="pct"/>
            <w:tcBorders>
              <w:top w:val="single" w:sz="4" w:space="0" w:color="auto"/>
              <w:left w:val="nil"/>
              <w:bottom w:val="single" w:sz="4" w:space="0" w:color="auto"/>
              <w:right w:val="nil"/>
            </w:tcBorders>
            <w:noWrap/>
            <w:vAlign w:val="center"/>
            <w:hideMark/>
          </w:tcPr>
          <w:p w14:paraId="0FF896B3" w14:textId="77777777" w:rsidR="00AE4452" w:rsidRPr="00D96905" w:rsidRDefault="00AE4452" w:rsidP="00617810">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TR</w:t>
            </w:r>
          </w:p>
        </w:tc>
      </w:tr>
      <w:tr w:rsidR="00AE4452" w:rsidRPr="00D96905" w14:paraId="3FB5FF77" w14:textId="77777777" w:rsidTr="00617810">
        <w:trPr>
          <w:trHeight w:val="290"/>
        </w:trPr>
        <w:tc>
          <w:tcPr>
            <w:tcW w:w="755" w:type="pct"/>
            <w:tcBorders>
              <w:top w:val="nil"/>
              <w:left w:val="nil"/>
              <w:bottom w:val="nil"/>
              <w:right w:val="nil"/>
            </w:tcBorders>
            <w:noWrap/>
            <w:vAlign w:val="bottom"/>
            <w:hideMark/>
          </w:tcPr>
          <w:p w14:paraId="54DAD18A"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FD</w:t>
            </w:r>
          </w:p>
        </w:tc>
        <w:tc>
          <w:tcPr>
            <w:tcW w:w="717" w:type="pct"/>
            <w:tcBorders>
              <w:top w:val="nil"/>
              <w:left w:val="nil"/>
              <w:bottom w:val="nil"/>
              <w:right w:val="nil"/>
            </w:tcBorders>
            <w:noWrap/>
            <w:vAlign w:val="center"/>
            <w:hideMark/>
          </w:tcPr>
          <w:p w14:paraId="69A5727F"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c>
          <w:tcPr>
            <w:tcW w:w="717" w:type="pct"/>
            <w:tcBorders>
              <w:top w:val="nil"/>
              <w:left w:val="nil"/>
              <w:bottom w:val="nil"/>
              <w:right w:val="nil"/>
            </w:tcBorders>
            <w:noWrap/>
            <w:vAlign w:val="center"/>
            <w:hideMark/>
          </w:tcPr>
          <w:p w14:paraId="0B266A66"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p>
        </w:tc>
        <w:tc>
          <w:tcPr>
            <w:tcW w:w="717" w:type="pct"/>
            <w:tcBorders>
              <w:top w:val="nil"/>
              <w:left w:val="nil"/>
              <w:bottom w:val="nil"/>
              <w:right w:val="nil"/>
            </w:tcBorders>
            <w:noWrap/>
            <w:vAlign w:val="center"/>
            <w:hideMark/>
          </w:tcPr>
          <w:p w14:paraId="5BCC92FC"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p>
        </w:tc>
        <w:tc>
          <w:tcPr>
            <w:tcW w:w="717" w:type="pct"/>
            <w:tcBorders>
              <w:top w:val="nil"/>
              <w:left w:val="nil"/>
              <w:bottom w:val="nil"/>
              <w:right w:val="nil"/>
            </w:tcBorders>
            <w:noWrap/>
            <w:vAlign w:val="center"/>
            <w:hideMark/>
          </w:tcPr>
          <w:p w14:paraId="522FB5C5"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p>
        </w:tc>
        <w:tc>
          <w:tcPr>
            <w:tcW w:w="717" w:type="pct"/>
            <w:tcBorders>
              <w:top w:val="nil"/>
              <w:left w:val="nil"/>
              <w:bottom w:val="nil"/>
              <w:right w:val="nil"/>
            </w:tcBorders>
            <w:noWrap/>
            <w:vAlign w:val="center"/>
            <w:hideMark/>
          </w:tcPr>
          <w:p w14:paraId="0B5D39CF"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p>
        </w:tc>
        <w:tc>
          <w:tcPr>
            <w:tcW w:w="660" w:type="pct"/>
            <w:tcBorders>
              <w:top w:val="nil"/>
              <w:left w:val="nil"/>
              <w:bottom w:val="nil"/>
              <w:right w:val="nil"/>
            </w:tcBorders>
            <w:noWrap/>
            <w:vAlign w:val="center"/>
            <w:hideMark/>
          </w:tcPr>
          <w:p w14:paraId="127F7B9D"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p>
        </w:tc>
      </w:tr>
      <w:tr w:rsidR="00AE4452" w:rsidRPr="00D96905" w14:paraId="6A572A93" w14:textId="77777777" w:rsidTr="00617810">
        <w:trPr>
          <w:trHeight w:val="290"/>
        </w:trPr>
        <w:tc>
          <w:tcPr>
            <w:tcW w:w="755" w:type="pct"/>
            <w:tcBorders>
              <w:top w:val="nil"/>
              <w:left w:val="nil"/>
              <w:bottom w:val="nil"/>
              <w:right w:val="nil"/>
            </w:tcBorders>
            <w:noWrap/>
            <w:vAlign w:val="bottom"/>
            <w:hideMark/>
          </w:tcPr>
          <w:p w14:paraId="4416525F"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EG</w:t>
            </w:r>
          </w:p>
        </w:tc>
        <w:tc>
          <w:tcPr>
            <w:tcW w:w="717" w:type="pct"/>
            <w:tcBorders>
              <w:top w:val="nil"/>
              <w:left w:val="nil"/>
              <w:bottom w:val="nil"/>
              <w:right w:val="nil"/>
            </w:tcBorders>
            <w:noWrap/>
            <w:vAlign w:val="center"/>
            <w:hideMark/>
          </w:tcPr>
          <w:p w14:paraId="2762CDB2"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0.720</w:t>
            </w:r>
          </w:p>
        </w:tc>
        <w:tc>
          <w:tcPr>
            <w:tcW w:w="717" w:type="pct"/>
            <w:tcBorders>
              <w:top w:val="nil"/>
              <w:left w:val="nil"/>
              <w:bottom w:val="nil"/>
              <w:right w:val="nil"/>
            </w:tcBorders>
            <w:noWrap/>
            <w:vAlign w:val="center"/>
            <w:hideMark/>
          </w:tcPr>
          <w:p w14:paraId="1479EE93"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c>
          <w:tcPr>
            <w:tcW w:w="717" w:type="pct"/>
            <w:tcBorders>
              <w:top w:val="nil"/>
              <w:left w:val="nil"/>
              <w:bottom w:val="nil"/>
              <w:right w:val="nil"/>
            </w:tcBorders>
            <w:noWrap/>
            <w:vAlign w:val="center"/>
            <w:hideMark/>
          </w:tcPr>
          <w:p w14:paraId="24C226C4"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p>
        </w:tc>
        <w:tc>
          <w:tcPr>
            <w:tcW w:w="717" w:type="pct"/>
            <w:tcBorders>
              <w:top w:val="nil"/>
              <w:left w:val="nil"/>
              <w:bottom w:val="nil"/>
              <w:right w:val="nil"/>
            </w:tcBorders>
            <w:noWrap/>
            <w:vAlign w:val="center"/>
            <w:hideMark/>
          </w:tcPr>
          <w:p w14:paraId="4755EADE"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p>
        </w:tc>
        <w:tc>
          <w:tcPr>
            <w:tcW w:w="717" w:type="pct"/>
            <w:tcBorders>
              <w:top w:val="nil"/>
              <w:left w:val="nil"/>
              <w:bottom w:val="nil"/>
              <w:right w:val="nil"/>
            </w:tcBorders>
            <w:noWrap/>
            <w:vAlign w:val="center"/>
            <w:hideMark/>
          </w:tcPr>
          <w:p w14:paraId="4620334B"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p>
        </w:tc>
        <w:tc>
          <w:tcPr>
            <w:tcW w:w="660" w:type="pct"/>
            <w:tcBorders>
              <w:top w:val="nil"/>
              <w:left w:val="nil"/>
              <w:bottom w:val="nil"/>
              <w:right w:val="nil"/>
            </w:tcBorders>
            <w:noWrap/>
            <w:vAlign w:val="center"/>
            <w:hideMark/>
          </w:tcPr>
          <w:p w14:paraId="5C5CAC9F"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p>
        </w:tc>
      </w:tr>
      <w:tr w:rsidR="00AE4452" w:rsidRPr="00D96905" w14:paraId="333789B9" w14:textId="77777777" w:rsidTr="00617810">
        <w:trPr>
          <w:trHeight w:val="290"/>
        </w:trPr>
        <w:tc>
          <w:tcPr>
            <w:tcW w:w="755" w:type="pct"/>
            <w:tcBorders>
              <w:top w:val="nil"/>
              <w:left w:val="nil"/>
              <w:bottom w:val="nil"/>
              <w:right w:val="nil"/>
            </w:tcBorders>
            <w:noWrap/>
            <w:vAlign w:val="bottom"/>
            <w:hideMark/>
          </w:tcPr>
          <w:p w14:paraId="2D0928F0"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TAX</w:t>
            </w:r>
          </w:p>
        </w:tc>
        <w:tc>
          <w:tcPr>
            <w:tcW w:w="717" w:type="pct"/>
            <w:tcBorders>
              <w:top w:val="nil"/>
              <w:left w:val="nil"/>
              <w:bottom w:val="nil"/>
              <w:right w:val="nil"/>
            </w:tcBorders>
            <w:noWrap/>
            <w:vAlign w:val="center"/>
            <w:hideMark/>
          </w:tcPr>
          <w:p w14:paraId="5374495E"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0.550</w:t>
            </w:r>
          </w:p>
        </w:tc>
        <w:tc>
          <w:tcPr>
            <w:tcW w:w="717" w:type="pct"/>
            <w:tcBorders>
              <w:top w:val="nil"/>
              <w:left w:val="nil"/>
              <w:bottom w:val="nil"/>
              <w:right w:val="nil"/>
            </w:tcBorders>
            <w:noWrap/>
            <w:vAlign w:val="center"/>
            <w:hideMark/>
          </w:tcPr>
          <w:p w14:paraId="2F2F6E3F"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0.380</w:t>
            </w:r>
          </w:p>
        </w:tc>
        <w:tc>
          <w:tcPr>
            <w:tcW w:w="717" w:type="pct"/>
            <w:tcBorders>
              <w:top w:val="nil"/>
              <w:left w:val="nil"/>
              <w:bottom w:val="nil"/>
              <w:right w:val="nil"/>
            </w:tcBorders>
            <w:noWrap/>
            <w:vAlign w:val="center"/>
            <w:hideMark/>
          </w:tcPr>
          <w:p w14:paraId="49A52B39"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c>
          <w:tcPr>
            <w:tcW w:w="717" w:type="pct"/>
            <w:tcBorders>
              <w:top w:val="nil"/>
              <w:left w:val="nil"/>
              <w:bottom w:val="nil"/>
              <w:right w:val="nil"/>
            </w:tcBorders>
            <w:noWrap/>
            <w:vAlign w:val="center"/>
            <w:hideMark/>
          </w:tcPr>
          <w:p w14:paraId="6077F65B"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p>
        </w:tc>
        <w:tc>
          <w:tcPr>
            <w:tcW w:w="717" w:type="pct"/>
            <w:tcBorders>
              <w:top w:val="nil"/>
              <w:left w:val="nil"/>
              <w:bottom w:val="nil"/>
              <w:right w:val="nil"/>
            </w:tcBorders>
            <w:noWrap/>
            <w:vAlign w:val="center"/>
            <w:hideMark/>
          </w:tcPr>
          <w:p w14:paraId="7532FA4A"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p>
        </w:tc>
        <w:tc>
          <w:tcPr>
            <w:tcW w:w="660" w:type="pct"/>
            <w:tcBorders>
              <w:top w:val="nil"/>
              <w:left w:val="nil"/>
              <w:bottom w:val="nil"/>
              <w:right w:val="nil"/>
            </w:tcBorders>
            <w:noWrap/>
            <w:vAlign w:val="center"/>
            <w:hideMark/>
          </w:tcPr>
          <w:p w14:paraId="3FB8E50A"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p>
        </w:tc>
      </w:tr>
      <w:tr w:rsidR="00AE4452" w:rsidRPr="00D96905" w14:paraId="274629D3" w14:textId="77777777" w:rsidTr="00617810">
        <w:trPr>
          <w:trHeight w:val="290"/>
        </w:trPr>
        <w:tc>
          <w:tcPr>
            <w:tcW w:w="755" w:type="pct"/>
            <w:tcBorders>
              <w:top w:val="nil"/>
              <w:left w:val="nil"/>
              <w:bottom w:val="nil"/>
              <w:right w:val="nil"/>
            </w:tcBorders>
            <w:noWrap/>
            <w:vAlign w:val="bottom"/>
            <w:hideMark/>
          </w:tcPr>
          <w:p w14:paraId="74AB56EB"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FDI</w:t>
            </w:r>
          </w:p>
        </w:tc>
        <w:tc>
          <w:tcPr>
            <w:tcW w:w="717" w:type="pct"/>
            <w:tcBorders>
              <w:top w:val="nil"/>
              <w:left w:val="nil"/>
              <w:bottom w:val="nil"/>
              <w:right w:val="nil"/>
            </w:tcBorders>
            <w:noWrap/>
            <w:vAlign w:val="center"/>
            <w:hideMark/>
          </w:tcPr>
          <w:p w14:paraId="6C3277F8"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0.680</w:t>
            </w:r>
          </w:p>
        </w:tc>
        <w:tc>
          <w:tcPr>
            <w:tcW w:w="717" w:type="pct"/>
            <w:tcBorders>
              <w:top w:val="nil"/>
              <w:left w:val="nil"/>
              <w:bottom w:val="nil"/>
              <w:right w:val="nil"/>
            </w:tcBorders>
            <w:noWrap/>
            <w:vAlign w:val="center"/>
            <w:hideMark/>
          </w:tcPr>
          <w:p w14:paraId="67315602"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0.750</w:t>
            </w:r>
          </w:p>
        </w:tc>
        <w:tc>
          <w:tcPr>
            <w:tcW w:w="717" w:type="pct"/>
            <w:tcBorders>
              <w:top w:val="nil"/>
              <w:left w:val="nil"/>
              <w:bottom w:val="nil"/>
              <w:right w:val="nil"/>
            </w:tcBorders>
            <w:noWrap/>
            <w:vAlign w:val="center"/>
            <w:hideMark/>
          </w:tcPr>
          <w:p w14:paraId="6ABD80BD"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0.220</w:t>
            </w:r>
          </w:p>
        </w:tc>
        <w:tc>
          <w:tcPr>
            <w:tcW w:w="717" w:type="pct"/>
            <w:tcBorders>
              <w:top w:val="nil"/>
              <w:left w:val="nil"/>
              <w:bottom w:val="nil"/>
              <w:right w:val="nil"/>
            </w:tcBorders>
            <w:noWrap/>
            <w:vAlign w:val="center"/>
            <w:hideMark/>
          </w:tcPr>
          <w:p w14:paraId="0300AFBA"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c>
          <w:tcPr>
            <w:tcW w:w="717" w:type="pct"/>
            <w:tcBorders>
              <w:top w:val="nil"/>
              <w:left w:val="nil"/>
              <w:bottom w:val="nil"/>
              <w:right w:val="nil"/>
            </w:tcBorders>
            <w:noWrap/>
            <w:vAlign w:val="center"/>
            <w:hideMark/>
          </w:tcPr>
          <w:p w14:paraId="4C62169C"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p>
        </w:tc>
        <w:tc>
          <w:tcPr>
            <w:tcW w:w="660" w:type="pct"/>
            <w:tcBorders>
              <w:top w:val="nil"/>
              <w:left w:val="nil"/>
              <w:bottom w:val="nil"/>
              <w:right w:val="nil"/>
            </w:tcBorders>
            <w:noWrap/>
            <w:vAlign w:val="center"/>
            <w:hideMark/>
          </w:tcPr>
          <w:p w14:paraId="6A0A46AC"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p>
        </w:tc>
      </w:tr>
      <w:tr w:rsidR="00AE4452" w:rsidRPr="00D96905" w14:paraId="32383E81" w14:textId="77777777" w:rsidTr="00617810">
        <w:trPr>
          <w:trHeight w:val="290"/>
        </w:trPr>
        <w:tc>
          <w:tcPr>
            <w:tcW w:w="755" w:type="pct"/>
            <w:tcBorders>
              <w:top w:val="nil"/>
              <w:left w:val="nil"/>
              <w:bottom w:val="nil"/>
              <w:right w:val="nil"/>
            </w:tcBorders>
            <w:noWrap/>
            <w:vAlign w:val="bottom"/>
            <w:hideMark/>
          </w:tcPr>
          <w:p w14:paraId="49BF485C"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CPI</w:t>
            </w:r>
          </w:p>
        </w:tc>
        <w:tc>
          <w:tcPr>
            <w:tcW w:w="717" w:type="pct"/>
            <w:tcBorders>
              <w:top w:val="nil"/>
              <w:left w:val="nil"/>
              <w:bottom w:val="nil"/>
              <w:right w:val="nil"/>
            </w:tcBorders>
            <w:noWrap/>
            <w:vAlign w:val="center"/>
            <w:hideMark/>
          </w:tcPr>
          <w:p w14:paraId="4A47E0EA"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-0.410</w:t>
            </w:r>
          </w:p>
        </w:tc>
        <w:tc>
          <w:tcPr>
            <w:tcW w:w="717" w:type="pct"/>
            <w:tcBorders>
              <w:top w:val="nil"/>
              <w:left w:val="nil"/>
              <w:bottom w:val="nil"/>
              <w:right w:val="nil"/>
            </w:tcBorders>
            <w:noWrap/>
            <w:vAlign w:val="center"/>
            <w:hideMark/>
          </w:tcPr>
          <w:p w14:paraId="428C55A3"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-0.520</w:t>
            </w:r>
          </w:p>
        </w:tc>
        <w:tc>
          <w:tcPr>
            <w:tcW w:w="717" w:type="pct"/>
            <w:tcBorders>
              <w:top w:val="nil"/>
              <w:left w:val="nil"/>
              <w:bottom w:val="nil"/>
              <w:right w:val="nil"/>
            </w:tcBorders>
            <w:noWrap/>
            <w:vAlign w:val="center"/>
            <w:hideMark/>
          </w:tcPr>
          <w:p w14:paraId="1CBE25E2"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0.350</w:t>
            </w:r>
          </w:p>
        </w:tc>
        <w:tc>
          <w:tcPr>
            <w:tcW w:w="717" w:type="pct"/>
            <w:tcBorders>
              <w:top w:val="nil"/>
              <w:left w:val="nil"/>
              <w:bottom w:val="nil"/>
              <w:right w:val="nil"/>
            </w:tcBorders>
            <w:noWrap/>
            <w:vAlign w:val="center"/>
            <w:hideMark/>
          </w:tcPr>
          <w:p w14:paraId="45C01682"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-0.370</w:t>
            </w:r>
          </w:p>
        </w:tc>
        <w:tc>
          <w:tcPr>
            <w:tcW w:w="717" w:type="pct"/>
            <w:tcBorders>
              <w:top w:val="nil"/>
              <w:left w:val="nil"/>
              <w:bottom w:val="nil"/>
              <w:right w:val="nil"/>
            </w:tcBorders>
            <w:noWrap/>
            <w:vAlign w:val="center"/>
            <w:hideMark/>
          </w:tcPr>
          <w:p w14:paraId="752C5709"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c>
          <w:tcPr>
            <w:tcW w:w="660" w:type="pct"/>
            <w:tcBorders>
              <w:top w:val="nil"/>
              <w:left w:val="nil"/>
              <w:bottom w:val="nil"/>
              <w:right w:val="nil"/>
            </w:tcBorders>
            <w:noWrap/>
            <w:vAlign w:val="center"/>
            <w:hideMark/>
          </w:tcPr>
          <w:p w14:paraId="4113DDFE"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p>
        </w:tc>
      </w:tr>
      <w:tr w:rsidR="00AE4452" w:rsidRPr="00D96905" w14:paraId="2DC0D2EF" w14:textId="77777777" w:rsidTr="00617810">
        <w:trPr>
          <w:trHeight w:val="290"/>
        </w:trPr>
        <w:tc>
          <w:tcPr>
            <w:tcW w:w="755" w:type="pct"/>
            <w:tcBorders>
              <w:top w:val="nil"/>
              <w:left w:val="nil"/>
              <w:bottom w:val="single" w:sz="4" w:space="0" w:color="auto"/>
              <w:right w:val="nil"/>
            </w:tcBorders>
            <w:noWrap/>
            <w:vAlign w:val="bottom"/>
            <w:hideMark/>
          </w:tcPr>
          <w:p w14:paraId="32C29D8D"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TR</w:t>
            </w:r>
          </w:p>
        </w:tc>
        <w:tc>
          <w:tcPr>
            <w:tcW w:w="717" w:type="pct"/>
            <w:tcBorders>
              <w:top w:val="nil"/>
              <w:left w:val="nil"/>
              <w:bottom w:val="single" w:sz="4" w:space="0" w:color="auto"/>
              <w:right w:val="nil"/>
            </w:tcBorders>
            <w:noWrap/>
            <w:vAlign w:val="center"/>
            <w:hideMark/>
          </w:tcPr>
          <w:p w14:paraId="6F22F706"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0.580</w:t>
            </w:r>
          </w:p>
        </w:tc>
        <w:tc>
          <w:tcPr>
            <w:tcW w:w="717" w:type="pct"/>
            <w:tcBorders>
              <w:top w:val="nil"/>
              <w:left w:val="nil"/>
              <w:bottom w:val="single" w:sz="4" w:space="0" w:color="auto"/>
              <w:right w:val="nil"/>
            </w:tcBorders>
            <w:noWrap/>
            <w:vAlign w:val="center"/>
            <w:hideMark/>
          </w:tcPr>
          <w:p w14:paraId="2B6B81FD"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0.650</w:t>
            </w:r>
          </w:p>
        </w:tc>
        <w:tc>
          <w:tcPr>
            <w:tcW w:w="717" w:type="pct"/>
            <w:tcBorders>
              <w:top w:val="nil"/>
              <w:left w:val="nil"/>
              <w:bottom w:val="single" w:sz="4" w:space="0" w:color="auto"/>
              <w:right w:val="nil"/>
            </w:tcBorders>
            <w:noWrap/>
            <w:vAlign w:val="center"/>
            <w:hideMark/>
          </w:tcPr>
          <w:p w14:paraId="56669476"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0.300</w:t>
            </w:r>
          </w:p>
        </w:tc>
        <w:tc>
          <w:tcPr>
            <w:tcW w:w="717" w:type="pct"/>
            <w:tcBorders>
              <w:top w:val="nil"/>
              <w:left w:val="nil"/>
              <w:bottom w:val="single" w:sz="4" w:space="0" w:color="auto"/>
              <w:right w:val="nil"/>
            </w:tcBorders>
            <w:noWrap/>
            <w:vAlign w:val="center"/>
            <w:hideMark/>
          </w:tcPr>
          <w:p w14:paraId="385A4CA2"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0.500</w:t>
            </w:r>
          </w:p>
        </w:tc>
        <w:tc>
          <w:tcPr>
            <w:tcW w:w="717" w:type="pct"/>
            <w:tcBorders>
              <w:top w:val="nil"/>
              <w:left w:val="nil"/>
              <w:bottom w:val="single" w:sz="4" w:space="0" w:color="auto"/>
              <w:right w:val="nil"/>
            </w:tcBorders>
            <w:noWrap/>
            <w:vAlign w:val="center"/>
            <w:hideMark/>
          </w:tcPr>
          <w:p w14:paraId="7B3AAD8D"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-0.200</w:t>
            </w:r>
          </w:p>
        </w:tc>
        <w:tc>
          <w:tcPr>
            <w:tcW w:w="660" w:type="pct"/>
            <w:tcBorders>
              <w:top w:val="nil"/>
              <w:left w:val="nil"/>
              <w:bottom w:val="single" w:sz="4" w:space="0" w:color="auto"/>
              <w:right w:val="nil"/>
            </w:tcBorders>
            <w:noWrap/>
            <w:vAlign w:val="center"/>
            <w:hideMark/>
          </w:tcPr>
          <w:p w14:paraId="1520FE19"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1.000</w:t>
            </w:r>
          </w:p>
        </w:tc>
      </w:tr>
    </w:tbl>
    <w:p w14:paraId="5968EA19" w14:textId="77777777" w:rsidR="00AE4452" w:rsidRPr="00D96905" w:rsidRDefault="00AE4452" w:rsidP="00AE4452">
      <w:pPr>
        <w:jc w:val="both"/>
        <w:rPr>
          <w:rFonts w:ascii="Times New Roman" w:hAnsi="Times New Roman" w:cs="Times New Roman"/>
          <w:b/>
          <w:bCs/>
        </w:rPr>
      </w:pPr>
    </w:p>
    <w:p w14:paraId="28E9A1AB" w14:textId="77777777" w:rsidR="00AE4452" w:rsidRPr="00D96905" w:rsidRDefault="00AE4452" w:rsidP="00AE4452">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VIF (Variance Inflation Factor) Test</w:t>
      </w:r>
    </w:p>
    <w:p w14:paraId="25EBD5C5" w14:textId="6A624C60" w:rsidR="00AE4452" w:rsidRPr="00D96905" w:rsidRDefault="00AE4452" w:rsidP="00AE4452">
      <w:pPr>
        <w:spacing w:line="360" w:lineRule="auto"/>
        <w:jc w:val="both"/>
        <w:rPr>
          <w:rFonts w:ascii="Times New Roman" w:hAnsi="Times New Roman" w:cs="Times New Roman"/>
        </w:rPr>
      </w:pPr>
      <w:r w:rsidRPr="00D96905">
        <w:rPr>
          <w:rFonts w:ascii="Times New Roman" w:hAnsi="Times New Roman" w:cs="Times New Roman"/>
        </w:rPr>
        <w:t xml:space="preserve">This test is used to check for multicollinearity, that is, to see if your independent variables are highly correlated, which could affect the results. As a general rule, if the Variance Inflation Factor value is less than 5 or 10. Hence, there is no problem </w:t>
      </w:r>
      <w:r w:rsidRPr="00D96905">
        <w:rPr>
          <w:rFonts w:ascii="Times New Roman" w:hAnsi="Times New Roman" w:cs="Times New Roman"/>
        </w:rPr>
        <w:fldChar w:fldCharType="begin"/>
      </w:r>
      <w:r>
        <w:rPr>
          <w:rFonts w:ascii="Times New Roman" w:hAnsi="Times New Roman" w:cs="Times New Roman"/>
        </w:rPr>
        <w:instrText xml:space="preserve"> ADDIN EN.CITE &lt;EndNote&gt;&lt;Cite&gt;&lt;Author&gt;O’brien&lt;/Author&gt;&lt;Year&gt;2007&lt;/Year&gt;&lt;RecNum&gt;35&lt;/RecNum&gt;&lt;DisplayText&gt;(O’brien, 2007)&lt;/DisplayText&gt;&lt;record&gt;&lt;rec-number&gt;35&lt;/rec-number&gt;&lt;foreign-keys&gt;&lt;key app="EN" db-id="advdwe00srftrhedwtpxdpf6fvw2d5ev25r2" timestamp="1768064916"&gt;35&lt;/key&gt;&lt;/foreign-keys&gt;&lt;ref-type name="Journal Article"&gt;17&lt;/ref-type&gt;&lt;contributors&gt;&lt;authors&gt;&lt;author&gt;O’brien, Robert M&lt;/author&gt;&lt;/authors&gt;&lt;/contributors&gt;&lt;titles&gt;&lt;title&gt;A caution regarding rules of thumb for variance inflation factors&lt;/title&gt;&lt;secondary-title&gt;Quality &amp;amp; quantity&lt;/secondary-title&gt;&lt;/titles&gt;&lt;periodical&gt;&lt;full-title&gt;Quality &amp;amp; quantity&lt;/full-title&gt;&lt;/periodical&gt;&lt;pages&gt;673-690&lt;/pages&gt;&lt;volume&gt;41&lt;/volume&gt;&lt;number&gt;5&lt;/number&gt;&lt;dates&gt;&lt;year&gt;2007&lt;/year&gt;&lt;/dates&gt;&lt;isbn&gt;0033-5177&lt;/isbn&gt;&lt;urls&gt;&lt;/urls&gt;&lt;/record&gt;&lt;/Cite&gt;&lt;/EndNote&gt;</w:instrText>
      </w:r>
      <w:r w:rsidRPr="00D96905">
        <w:rPr>
          <w:rFonts w:ascii="Times New Roman" w:hAnsi="Times New Roman" w:cs="Times New Roman"/>
        </w:rPr>
        <w:fldChar w:fldCharType="separate"/>
      </w:r>
      <w:r>
        <w:rPr>
          <w:rFonts w:ascii="Times New Roman" w:hAnsi="Times New Roman" w:cs="Times New Roman"/>
          <w:noProof/>
        </w:rPr>
        <w:t>(</w:t>
      </w:r>
      <w:hyperlink w:anchor="_ENREF_32" w:tooltip="O’brien, 2007 #35" w:history="1">
        <w:r>
          <w:rPr>
            <w:rFonts w:ascii="Times New Roman" w:hAnsi="Times New Roman" w:cs="Times New Roman"/>
            <w:noProof/>
          </w:rPr>
          <w:t>O’brien, 2007</w:t>
        </w:r>
      </w:hyperlink>
      <w:r>
        <w:rPr>
          <w:rFonts w:ascii="Times New Roman" w:hAnsi="Times New Roman" w:cs="Times New Roman"/>
          <w:noProof/>
        </w:rPr>
        <w:t>)</w:t>
      </w:r>
      <w:r w:rsidRPr="00D96905">
        <w:rPr>
          <w:rFonts w:ascii="Times New Roman" w:hAnsi="Times New Roman" w:cs="Times New Roman"/>
        </w:rPr>
        <w:fldChar w:fldCharType="end"/>
      </w:r>
      <w:r w:rsidRPr="00D96905">
        <w:rPr>
          <w:rFonts w:ascii="Times New Roman" w:hAnsi="Times New Roman" w:cs="Times New Roman"/>
        </w:rPr>
        <w:t>. The VIF values ​​of all variables (TAX, FDI, CPI, TR) in your results are very low (the highest is 2.340)</w:t>
      </w:r>
      <w:r>
        <w:rPr>
          <w:rFonts w:ascii="Times New Roman" w:hAnsi="Times New Roman" w:cs="Times New Roman"/>
        </w:rPr>
        <w:t>,</w:t>
      </w:r>
      <w:r w:rsidRPr="00D96905">
        <w:rPr>
          <w:rFonts w:ascii="Times New Roman" w:hAnsi="Times New Roman" w:cs="Times New Roman"/>
        </w:rPr>
        <w:t xml:space="preserve"> and the "Mean VIF" is only 1.783. The fact that this is the case demonstrates that the model does not have an issue with multicollinearity and that your findings are statistically credible.</w:t>
      </w:r>
    </w:p>
    <w:p w14:paraId="6374A654" w14:textId="77777777" w:rsidR="00AE4452" w:rsidRPr="00D96905" w:rsidRDefault="00AE4452" w:rsidP="00AE4452">
      <w:pPr>
        <w:spacing w:after="0"/>
        <w:jc w:val="both"/>
        <w:rPr>
          <w:rFonts w:ascii="Times New Roman" w:hAnsi="Times New Roman" w:cs="Times New Roman"/>
          <w:b/>
          <w:bCs/>
        </w:rPr>
      </w:pPr>
      <w:r w:rsidRPr="00D96905">
        <w:rPr>
          <w:rFonts w:ascii="Times New Roman" w:hAnsi="Times New Roman" w:cs="Times New Roman"/>
          <w:b/>
          <w:bCs/>
        </w:rPr>
        <w:t xml:space="preserve">Table 5: </w:t>
      </w:r>
      <w:proofErr w:type="spellStart"/>
      <w:r w:rsidRPr="00D96905">
        <w:rPr>
          <w:rFonts w:ascii="Times New Roman" w:hAnsi="Times New Roman" w:cs="Times New Roman"/>
          <w:i/>
          <w:iCs/>
        </w:rPr>
        <w:t>Multiclonearity</w:t>
      </w:r>
      <w:proofErr w:type="spellEnd"/>
      <w:r w:rsidRPr="00D96905">
        <w:rPr>
          <w:rFonts w:ascii="Times New Roman" w:hAnsi="Times New Roman" w:cs="Times New Roman"/>
          <w:i/>
          <w:iCs/>
        </w:rPr>
        <w:t xml:space="preserve"> </w:t>
      </w:r>
    </w:p>
    <w:tbl>
      <w:tblPr>
        <w:tblW w:w="5000" w:type="pct"/>
        <w:tblLook w:val="04A0" w:firstRow="1" w:lastRow="0" w:firstColumn="1" w:lastColumn="0" w:noHBand="0" w:noVBand="1"/>
      </w:tblPr>
      <w:tblGrid>
        <w:gridCol w:w="3120"/>
        <w:gridCol w:w="3121"/>
        <w:gridCol w:w="3119"/>
      </w:tblGrid>
      <w:tr w:rsidR="00AE4452" w:rsidRPr="00D96905" w14:paraId="4A6A7731" w14:textId="77777777" w:rsidTr="00617810">
        <w:trPr>
          <w:trHeight w:val="290"/>
        </w:trPr>
        <w:tc>
          <w:tcPr>
            <w:tcW w:w="1667" w:type="pct"/>
            <w:tcBorders>
              <w:top w:val="single" w:sz="4" w:space="0" w:color="auto"/>
              <w:left w:val="nil"/>
              <w:bottom w:val="single" w:sz="4" w:space="0" w:color="auto"/>
              <w:right w:val="nil"/>
            </w:tcBorders>
            <w:noWrap/>
            <w:vAlign w:val="bottom"/>
            <w:hideMark/>
          </w:tcPr>
          <w:p w14:paraId="0D1DD476" w14:textId="77777777" w:rsidR="00AE4452" w:rsidRPr="00D96905" w:rsidRDefault="00AE4452" w:rsidP="00617810">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Variable</w:t>
            </w:r>
          </w:p>
        </w:tc>
        <w:tc>
          <w:tcPr>
            <w:tcW w:w="1667" w:type="pct"/>
            <w:tcBorders>
              <w:top w:val="single" w:sz="4" w:space="0" w:color="auto"/>
              <w:left w:val="nil"/>
              <w:bottom w:val="single" w:sz="4" w:space="0" w:color="auto"/>
              <w:right w:val="nil"/>
            </w:tcBorders>
            <w:noWrap/>
            <w:vAlign w:val="center"/>
            <w:hideMark/>
          </w:tcPr>
          <w:p w14:paraId="4C6C7494" w14:textId="77777777" w:rsidR="00AE4452" w:rsidRPr="00D96905" w:rsidRDefault="00AE4452" w:rsidP="00617810">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VIF</w:t>
            </w:r>
          </w:p>
        </w:tc>
        <w:tc>
          <w:tcPr>
            <w:tcW w:w="1667" w:type="pct"/>
            <w:tcBorders>
              <w:top w:val="single" w:sz="4" w:space="0" w:color="auto"/>
              <w:left w:val="nil"/>
              <w:bottom w:val="single" w:sz="4" w:space="0" w:color="auto"/>
              <w:right w:val="nil"/>
            </w:tcBorders>
            <w:noWrap/>
            <w:vAlign w:val="center"/>
            <w:hideMark/>
          </w:tcPr>
          <w:p w14:paraId="77C13711" w14:textId="77777777" w:rsidR="00AE4452" w:rsidRPr="00D96905" w:rsidRDefault="00AE4452" w:rsidP="00617810">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 xml:space="preserve">1/VIF  </w:t>
            </w:r>
          </w:p>
        </w:tc>
      </w:tr>
      <w:tr w:rsidR="00AE4452" w:rsidRPr="00D96905" w14:paraId="5E013421" w14:textId="77777777" w:rsidTr="00617810">
        <w:trPr>
          <w:trHeight w:val="290"/>
        </w:trPr>
        <w:tc>
          <w:tcPr>
            <w:tcW w:w="1667" w:type="pct"/>
            <w:tcBorders>
              <w:top w:val="nil"/>
              <w:left w:val="nil"/>
              <w:bottom w:val="nil"/>
              <w:right w:val="nil"/>
            </w:tcBorders>
            <w:noWrap/>
            <w:vAlign w:val="bottom"/>
            <w:hideMark/>
          </w:tcPr>
          <w:p w14:paraId="716B81EB"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TAX</w:t>
            </w:r>
          </w:p>
        </w:tc>
        <w:tc>
          <w:tcPr>
            <w:tcW w:w="1667" w:type="pct"/>
            <w:tcBorders>
              <w:top w:val="nil"/>
              <w:left w:val="nil"/>
              <w:bottom w:val="nil"/>
              <w:right w:val="nil"/>
            </w:tcBorders>
            <w:noWrap/>
            <w:vAlign w:val="center"/>
            <w:hideMark/>
          </w:tcPr>
          <w:p w14:paraId="4463FC86"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1.090</w:t>
            </w:r>
          </w:p>
        </w:tc>
        <w:tc>
          <w:tcPr>
            <w:tcW w:w="1667" w:type="pct"/>
            <w:tcBorders>
              <w:top w:val="nil"/>
              <w:left w:val="nil"/>
              <w:bottom w:val="nil"/>
              <w:right w:val="nil"/>
            </w:tcBorders>
            <w:noWrap/>
            <w:vAlign w:val="center"/>
            <w:hideMark/>
          </w:tcPr>
          <w:p w14:paraId="4ADB66BD"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0.917</w:t>
            </w:r>
          </w:p>
        </w:tc>
      </w:tr>
      <w:tr w:rsidR="00AE4452" w:rsidRPr="00D96905" w14:paraId="3A770ED5" w14:textId="77777777" w:rsidTr="00617810">
        <w:trPr>
          <w:trHeight w:val="290"/>
        </w:trPr>
        <w:tc>
          <w:tcPr>
            <w:tcW w:w="1667" w:type="pct"/>
            <w:tcBorders>
              <w:top w:val="nil"/>
              <w:left w:val="nil"/>
              <w:bottom w:val="nil"/>
              <w:right w:val="nil"/>
            </w:tcBorders>
            <w:noWrap/>
            <w:vAlign w:val="bottom"/>
            <w:hideMark/>
          </w:tcPr>
          <w:p w14:paraId="6F39BD29"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FDI</w:t>
            </w:r>
          </w:p>
        </w:tc>
        <w:tc>
          <w:tcPr>
            <w:tcW w:w="1667" w:type="pct"/>
            <w:tcBorders>
              <w:top w:val="nil"/>
              <w:left w:val="nil"/>
              <w:bottom w:val="nil"/>
              <w:right w:val="nil"/>
            </w:tcBorders>
            <w:noWrap/>
            <w:vAlign w:val="center"/>
            <w:hideMark/>
          </w:tcPr>
          <w:p w14:paraId="151AD2AC"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1.540</w:t>
            </w:r>
          </w:p>
        </w:tc>
        <w:tc>
          <w:tcPr>
            <w:tcW w:w="1667" w:type="pct"/>
            <w:tcBorders>
              <w:top w:val="nil"/>
              <w:left w:val="nil"/>
              <w:bottom w:val="nil"/>
              <w:right w:val="nil"/>
            </w:tcBorders>
            <w:noWrap/>
            <w:vAlign w:val="center"/>
            <w:hideMark/>
          </w:tcPr>
          <w:p w14:paraId="4110BEDE"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0.649</w:t>
            </w:r>
          </w:p>
        </w:tc>
      </w:tr>
      <w:tr w:rsidR="00AE4452" w:rsidRPr="00D96905" w14:paraId="55D4421C" w14:textId="77777777" w:rsidTr="00617810">
        <w:trPr>
          <w:trHeight w:val="290"/>
        </w:trPr>
        <w:tc>
          <w:tcPr>
            <w:tcW w:w="1667" w:type="pct"/>
            <w:tcBorders>
              <w:top w:val="nil"/>
              <w:left w:val="nil"/>
              <w:bottom w:val="nil"/>
              <w:right w:val="nil"/>
            </w:tcBorders>
            <w:noWrap/>
            <w:vAlign w:val="bottom"/>
            <w:hideMark/>
          </w:tcPr>
          <w:p w14:paraId="0480E676"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CPI</w:t>
            </w:r>
          </w:p>
        </w:tc>
        <w:tc>
          <w:tcPr>
            <w:tcW w:w="1667" w:type="pct"/>
            <w:tcBorders>
              <w:top w:val="nil"/>
              <w:left w:val="nil"/>
              <w:bottom w:val="nil"/>
              <w:right w:val="nil"/>
            </w:tcBorders>
            <w:noWrap/>
            <w:vAlign w:val="center"/>
            <w:hideMark/>
          </w:tcPr>
          <w:p w14:paraId="6015F19D"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2.340</w:t>
            </w:r>
          </w:p>
        </w:tc>
        <w:tc>
          <w:tcPr>
            <w:tcW w:w="1667" w:type="pct"/>
            <w:tcBorders>
              <w:top w:val="nil"/>
              <w:left w:val="nil"/>
              <w:bottom w:val="nil"/>
              <w:right w:val="nil"/>
            </w:tcBorders>
            <w:noWrap/>
            <w:vAlign w:val="center"/>
            <w:hideMark/>
          </w:tcPr>
          <w:p w14:paraId="44E30F71"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0.427</w:t>
            </w:r>
          </w:p>
        </w:tc>
      </w:tr>
      <w:tr w:rsidR="00AE4452" w:rsidRPr="00D96905" w14:paraId="0B57C378" w14:textId="77777777" w:rsidTr="00617810">
        <w:trPr>
          <w:trHeight w:val="290"/>
        </w:trPr>
        <w:tc>
          <w:tcPr>
            <w:tcW w:w="1667" w:type="pct"/>
            <w:tcBorders>
              <w:top w:val="nil"/>
              <w:left w:val="nil"/>
              <w:bottom w:val="nil"/>
              <w:right w:val="nil"/>
            </w:tcBorders>
            <w:noWrap/>
            <w:vAlign w:val="bottom"/>
            <w:hideMark/>
          </w:tcPr>
          <w:p w14:paraId="4AF900C4"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TR</w:t>
            </w:r>
          </w:p>
        </w:tc>
        <w:tc>
          <w:tcPr>
            <w:tcW w:w="1667" w:type="pct"/>
            <w:tcBorders>
              <w:top w:val="nil"/>
              <w:left w:val="nil"/>
              <w:bottom w:val="nil"/>
              <w:right w:val="nil"/>
            </w:tcBorders>
            <w:noWrap/>
            <w:vAlign w:val="center"/>
            <w:hideMark/>
          </w:tcPr>
          <w:p w14:paraId="4D9F3BD0"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2.160</w:t>
            </w:r>
          </w:p>
        </w:tc>
        <w:tc>
          <w:tcPr>
            <w:tcW w:w="1667" w:type="pct"/>
            <w:tcBorders>
              <w:top w:val="nil"/>
              <w:left w:val="nil"/>
              <w:bottom w:val="nil"/>
              <w:right w:val="nil"/>
            </w:tcBorders>
            <w:noWrap/>
            <w:vAlign w:val="center"/>
            <w:hideMark/>
          </w:tcPr>
          <w:p w14:paraId="70C687E1"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0.463</w:t>
            </w:r>
          </w:p>
        </w:tc>
      </w:tr>
      <w:tr w:rsidR="00AE4452" w:rsidRPr="00D96905" w14:paraId="5607F070" w14:textId="77777777" w:rsidTr="00617810">
        <w:trPr>
          <w:trHeight w:val="290"/>
        </w:trPr>
        <w:tc>
          <w:tcPr>
            <w:tcW w:w="1667" w:type="pct"/>
            <w:tcBorders>
              <w:top w:val="single" w:sz="4" w:space="0" w:color="auto"/>
              <w:left w:val="nil"/>
              <w:bottom w:val="single" w:sz="4" w:space="0" w:color="auto"/>
              <w:right w:val="nil"/>
            </w:tcBorders>
            <w:noWrap/>
            <w:vAlign w:val="bottom"/>
            <w:hideMark/>
          </w:tcPr>
          <w:p w14:paraId="40F28878" w14:textId="77777777" w:rsidR="00AE4452" w:rsidRPr="00D96905" w:rsidRDefault="00AE4452" w:rsidP="00617810">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Mean VIF</w:t>
            </w:r>
          </w:p>
        </w:tc>
        <w:tc>
          <w:tcPr>
            <w:tcW w:w="1667" w:type="pct"/>
            <w:tcBorders>
              <w:top w:val="single" w:sz="4" w:space="0" w:color="auto"/>
              <w:left w:val="nil"/>
              <w:bottom w:val="single" w:sz="4" w:space="0" w:color="auto"/>
              <w:right w:val="nil"/>
            </w:tcBorders>
            <w:noWrap/>
            <w:vAlign w:val="center"/>
            <w:hideMark/>
          </w:tcPr>
          <w:p w14:paraId="336A2E13"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1.783</w:t>
            </w:r>
          </w:p>
        </w:tc>
        <w:tc>
          <w:tcPr>
            <w:tcW w:w="1667" w:type="pct"/>
            <w:tcBorders>
              <w:top w:val="single" w:sz="4" w:space="0" w:color="auto"/>
              <w:left w:val="nil"/>
              <w:bottom w:val="single" w:sz="4" w:space="0" w:color="auto"/>
              <w:right w:val="nil"/>
            </w:tcBorders>
            <w:noWrap/>
            <w:vAlign w:val="bottom"/>
            <w:hideMark/>
          </w:tcPr>
          <w:p w14:paraId="0B765783" w14:textId="77777777" w:rsidR="00AE4452" w:rsidRPr="00D96905" w:rsidRDefault="00AE4452" w:rsidP="00617810">
            <w:pPr>
              <w:spacing w:after="0" w:line="240" w:lineRule="auto"/>
              <w:rPr>
                <w:rFonts w:ascii="Times New Roman" w:eastAsia="Times New Roman" w:hAnsi="Times New Roman" w:cs="Times New Roman"/>
                <w:kern w:val="0"/>
                <w:sz w:val="22"/>
                <w:szCs w:val="22"/>
                <w14:ligatures w14:val="none"/>
              </w:rPr>
            </w:pPr>
            <w:r w:rsidRPr="00D96905">
              <w:rPr>
                <w:rFonts w:ascii="Times New Roman" w:eastAsia="Times New Roman" w:hAnsi="Times New Roman" w:cs="Times New Roman"/>
                <w:kern w:val="0"/>
                <w:sz w:val="22"/>
                <w:szCs w:val="22"/>
                <w14:ligatures w14:val="none"/>
              </w:rPr>
              <w:t> </w:t>
            </w:r>
          </w:p>
        </w:tc>
      </w:tr>
    </w:tbl>
    <w:p w14:paraId="099FED34" w14:textId="77777777" w:rsidR="00AE4452" w:rsidRPr="00D96905" w:rsidRDefault="00AE4452" w:rsidP="00AE4452">
      <w:pPr>
        <w:jc w:val="both"/>
        <w:rPr>
          <w:rFonts w:ascii="Times New Roman" w:hAnsi="Times New Roman" w:cs="Times New Roman"/>
        </w:rPr>
      </w:pPr>
    </w:p>
    <w:p w14:paraId="575BA8AC" w14:textId="77777777" w:rsidR="00AE4452" w:rsidRPr="00D96905" w:rsidRDefault="00AE4452" w:rsidP="00AE4452">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Cross-Sectional Dependence Test</w:t>
      </w:r>
    </w:p>
    <w:p w14:paraId="7262C4F1" w14:textId="6323238C" w:rsidR="00AE4452" w:rsidRPr="00D96905" w:rsidRDefault="00AE4452" w:rsidP="00AE4452">
      <w:pPr>
        <w:spacing w:line="360" w:lineRule="auto"/>
        <w:jc w:val="both"/>
        <w:rPr>
          <w:rFonts w:ascii="Times New Roman" w:hAnsi="Times New Roman" w:cs="Times New Roman"/>
        </w:rPr>
      </w:pPr>
      <w:r w:rsidRPr="00D96905">
        <w:rPr>
          <w:rFonts w:ascii="Times New Roman" w:hAnsi="Times New Roman" w:cs="Times New Roman"/>
        </w:rPr>
        <w:lastRenderedPageBreak/>
        <w:t xml:space="preserve">The Cross-Sectional Dependence (CSD) test checks whether economic changes in one country affect other countries </w:t>
      </w:r>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&lt;EndNote&gt;&lt;Cite&gt;&lt;Author&gt;Pesaran&lt;/Author&gt;&lt;Year&gt;2021&lt;/Year&gt;&lt;RecNum&gt;36&lt;/RecNum&gt;&lt;DisplayText&gt;(Pesaran, 2021)&lt;/DisplayText&gt;&lt;record&gt;&lt;rec-number&gt;36&lt;/rec-number&gt;&lt;foreign-keys&gt;&lt;key app="EN" db-id="advdwe00srftrhedwtpxdpf6fvw2d5ev25r2" timestamp="1768065026"&gt;36&lt;/key&gt;&lt;/foreign-keys&gt;&lt;ref-type name="Journal Article"&gt;17&lt;/ref-type&gt;&lt;contributors&gt;&lt;authors&gt;&lt;author&gt;Pesaran, M Hashem&lt;/author&gt;&lt;/authors&gt;&lt;/contributors&gt;&lt;titles&gt;&lt;title&gt;General diagnostic tests for cross-sectional dependence in panels&lt;/title&gt;&lt;secondary-title&gt;Empirical economics&lt;/secondary-title&gt;&lt;/titles&gt;&lt;periodical&gt;&lt;full-title&gt;Empirical economics&lt;/full-title&gt;&lt;/periodical&gt;&lt;pages&gt;13-50&lt;/pages&gt;&lt;volume&gt;60&lt;/volume&gt;&lt;number&gt;1&lt;/number&gt;&lt;dates&gt;&lt;year&gt;2021&lt;/year&gt;&lt;/dates&gt;&lt;isbn&gt;0377-7332&lt;/isbn&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noProof/>
        </w:rPr>
        <w:t>(</w:t>
      </w:r>
      <w:hyperlink w:anchor="_ENREF_33" w:tooltip="Pesaran, 2021 #36" w:history="1">
        <w:r w:rsidRPr="00D96905">
          <w:rPr>
            <w:rFonts w:ascii="Times New Roman" w:hAnsi="Times New Roman" w:cs="Times New Roman"/>
            <w:noProof/>
          </w:rPr>
          <w:t>Pesaran, 2021</w:t>
        </w:r>
      </w:hyperlink>
      <w:r w:rsidRPr="00D96905">
        <w:rPr>
          <w:rFonts w:ascii="Times New Roman" w:hAnsi="Times New Roman" w:cs="Times New Roman"/>
          <w:noProof/>
        </w:rPr>
        <w:t>)</w:t>
      </w:r>
      <w:r w:rsidRPr="00D96905">
        <w:rPr>
          <w:rFonts w:ascii="Times New Roman" w:hAnsi="Times New Roman" w:cs="Times New Roman"/>
        </w:rPr>
        <w:fldChar w:fldCharType="end"/>
      </w:r>
      <w:r w:rsidRPr="00D96905">
        <w:rPr>
          <w:rFonts w:ascii="Times New Roman" w:hAnsi="Times New Roman" w:cs="Times New Roman"/>
        </w:rPr>
        <w:t xml:space="preserve">. In this study, the results of the </w:t>
      </w:r>
      <w:proofErr w:type="spellStart"/>
      <w:r w:rsidRPr="00D96905">
        <w:rPr>
          <w:rFonts w:ascii="Times New Roman" w:hAnsi="Times New Roman" w:cs="Times New Roman"/>
        </w:rPr>
        <w:t>Pesaran</w:t>
      </w:r>
      <w:proofErr w:type="spellEnd"/>
      <w:r w:rsidRPr="00D96905">
        <w:rPr>
          <w:rFonts w:ascii="Times New Roman" w:hAnsi="Times New Roman" w:cs="Times New Roman"/>
        </w:rPr>
        <w:t xml:space="preserve"> (2004) CD test were highly significant, as the p-values for all variables (FD, EG, TAX, FDI, CPI, TR) are zero (0.000), which is significant even at the 1% level. These findings highly disprove the Null Hypothesis and demonstrate that the BRICS countries are strongly interdependent. This means that economic shocks to these countries are transmitted to each other due to </w:t>
      </w:r>
      <w:proofErr w:type="spellStart"/>
      <w:r w:rsidRPr="00D96905">
        <w:rPr>
          <w:rFonts w:ascii="Times New Roman" w:hAnsi="Times New Roman" w:cs="Times New Roman"/>
        </w:rPr>
        <w:t>globali</w:t>
      </w:r>
      <w:r>
        <w:rPr>
          <w:rFonts w:ascii="Times New Roman" w:hAnsi="Times New Roman" w:cs="Times New Roman"/>
        </w:rPr>
        <w:t>s</w:t>
      </w:r>
      <w:r w:rsidRPr="00D96905">
        <w:rPr>
          <w:rFonts w:ascii="Times New Roman" w:hAnsi="Times New Roman" w:cs="Times New Roman"/>
        </w:rPr>
        <w:t>ation</w:t>
      </w:r>
      <w:proofErr w:type="spellEnd"/>
      <w:r w:rsidRPr="00D96905">
        <w:rPr>
          <w:rFonts w:ascii="Times New Roman" w:hAnsi="Times New Roman" w:cs="Times New Roman"/>
        </w:rPr>
        <w:t xml:space="preserve"> and trade linkages, hence the use of </w:t>
      </w:r>
      <w:proofErr w:type="gramStart"/>
      <w:r w:rsidRPr="00D96905">
        <w:rPr>
          <w:rFonts w:ascii="Times New Roman" w:hAnsi="Times New Roman" w:cs="Times New Roman"/>
        </w:rPr>
        <w:t>Second Generation</w:t>
      </w:r>
      <w:proofErr w:type="gramEnd"/>
      <w:r w:rsidRPr="00D96905">
        <w:rPr>
          <w:rFonts w:ascii="Times New Roman" w:hAnsi="Times New Roman" w:cs="Times New Roman"/>
        </w:rPr>
        <w:t xml:space="preserve"> techniques instead of traditional econometric models is inevitable.</w:t>
      </w:r>
    </w:p>
    <w:p w14:paraId="522A586C" w14:textId="77777777" w:rsidR="00AE4452" w:rsidRPr="00D96905" w:rsidRDefault="00AE4452" w:rsidP="00AE4452">
      <w:pPr>
        <w:spacing w:after="0"/>
        <w:jc w:val="both"/>
        <w:rPr>
          <w:rFonts w:ascii="Times New Roman" w:hAnsi="Times New Roman" w:cs="Times New Roman"/>
          <w:b/>
          <w:bCs/>
        </w:rPr>
      </w:pPr>
      <w:r w:rsidRPr="00D96905">
        <w:rPr>
          <w:rFonts w:ascii="Times New Roman" w:hAnsi="Times New Roman" w:cs="Times New Roman"/>
          <w:b/>
          <w:bCs/>
        </w:rPr>
        <w:t xml:space="preserve">Table 6: </w:t>
      </w:r>
      <w:r w:rsidRPr="00D96905">
        <w:rPr>
          <w:rFonts w:ascii="Times New Roman" w:hAnsi="Times New Roman" w:cs="Times New Roman"/>
          <w:i/>
          <w:iCs/>
        </w:rPr>
        <w:t>CSD Test</w:t>
      </w:r>
    </w:p>
    <w:tbl>
      <w:tblPr>
        <w:tblW w:w="5000" w:type="pct"/>
        <w:tblLook w:val="04A0" w:firstRow="1" w:lastRow="0" w:firstColumn="1" w:lastColumn="0" w:noHBand="0" w:noVBand="1"/>
      </w:tblPr>
      <w:tblGrid>
        <w:gridCol w:w="1681"/>
        <w:gridCol w:w="1305"/>
        <w:gridCol w:w="1101"/>
        <w:gridCol w:w="2087"/>
        <w:gridCol w:w="1391"/>
        <w:gridCol w:w="1795"/>
      </w:tblGrid>
      <w:tr w:rsidR="00AE4452" w:rsidRPr="00D96905" w14:paraId="08968F66" w14:textId="77777777" w:rsidTr="00617810">
        <w:trPr>
          <w:trHeight w:val="290"/>
        </w:trPr>
        <w:tc>
          <w:tcPr>
            <w:tcW w:w="898" w:type="pct"/>
            <w:tcBorders>
              <w:top w:val="single" w:sz="4" w:space="0" w:color="auto"/>
              <w:left w:val="nil"/>
              <w:bottom w:val="single" w:sz="4" w:space="0" w:color="auto"/>
              <w:right w:val="nil"/>
            </w:tcBorders>
            <w:noWrap/>
            <w:vAlign w:val="bottom"/>
            <w:hideMark/>
          </w:tcPr>
          <w:p w14:paraId="3D8EFF47" w14:textId="77777777" w:rsidR="00AE4452" w:rsidRPr="00D96905" w:rsidRDefault="00AE4452" w:rsidP="00617810">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Variable</w:t>
            </w:r>
          </w:p>
        </w:tc>
        <w:tc>
          <w:tcPr>
            <w:tcW w:w="697" w:type="pct"/>
            <w:tcBorders>
              <w:top w:val="single" w:sz="4" w:space="0" w:color="auto"/>
              <w:left w:val="nil"/>
              <w:bottom w:val="single" w:sz="4" w:space="0" w:color="auto"/>
              <w:right w:val="nil"/>
            </w:tcBorders>
            <w:noWrap/>
            <w:vAlign w:val="center"/>
            <w:hideMark/>
          </w:tcPr>
          <w:p w14:paraId="31E40AAE" w14:textId="77777777" w:rsidR="00AE4452" w:rsidRPr="00D96905" w:rsidRDefault="00AE4452" w:rsidP="00617810">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CD test</w:t>
            </w:r>
          </w:p>
        </w:tc>
        <w:tc>
          <w:tcPr>
            <w:tcW w:w="588" w:type="pct"/>
            <w:tcBorders>
              <w:top w:val="single" w:sz="4" w:space="0" w:color="auto"/>
              <w:left w:val="nil"/>
              <w:bottom w:val="single" w:sz="4" w:space="0" w:color="auto"/>
              <w:right w:val="nil"/>
            </w:tcBorders>
            <w:noWrap/>
            <w:vAlign w:val="center"/>
            <w:hideMark/>
          </w:tcPr>
          <w:p w14:paraId="147A7E6B" w14:textId="77777777" w:rsidR="00AE4452" w:rsidRPr="00D96905" w:rsidRDefault="00AE4452" w:rsidP="00617810">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p value</w:t>
            </w:r>
          </w:p>
        </w:tc>
        <w:tc>
          <w:tcPr>
            <w:tcW w:w="1115" w:type="pct"/>
            <w:tcBorders>
              <w:top w:val="single" w:sz="4" w:space="0" w:color="auto"/>
              <w:left w:val="nil"/>
              <w:bottom w:val="single" w:sz="4" w:space="0" w:color="auto"/>
              <w:right w:val="nil"/>
            </w:tcBorders>
            <w:noWrap/>
            <w:vAlign w:val="center"/>
            <w:hideMark/>
          </w:tcPr>
          <w:p w14:paraId="3A50941B" w14:textId="77777777" w:rsidR="00AE4452" w:rsidRPr="00D96905" w:rsidRDefault="00AE4452" w:rsidP="00617810">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average joint T</w:t>
            </w:r>
          </w:p>
        </w:tc>
        <w:tc>
          <w:tcPr>
            <w:tcW w:w="743" w:type="pct"/>
            <w:tcBorders>
              <w:top w:val="single" w:sz="4" w:space="0" w:color="auto"/>
              <w:left w:val="nil"/>
              <w:bottom w:val="single" w:sz="4" w:space="0" w:color="auto"/>
              <w:right w:val="nil"/>
            </w:tcBorders>
            <w:noWrap/>
            <w:vAlign w:val="center"/>
            <w:hideMark/>
          </w:tcPr>
          <w:p w14:paraId="404EA35B" w14:textId="77777777" w:rsidR="00AE4452" w:rsidRPr="00D96905" w:rsidRDefault="00AE4452" w:rsidP="00617810">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mean ρ</w:t>
            </w:r>
          </w:p>
        </w:tc>
        <w:tc>
          <w:tcPr>
            <w:tcW w:w="960" w:type="pct"/>
            <w:tcBorders>
              <w:top w:val="single" w:sz="4" w:space="0" w:color="auto"/>
              <w:left w:val="nil"/>
              <w:bottom w:val="single" w:sz="4" w:space="0" w:color="auto"/>
              <w:right w:val="nil"/>
            </w:tcBorders>
            <w:noWrap/>
            <w:vAlign w:val="center"/>
            <w:hideMark/>
          </w:tcPr>
          <w:p w14:paraId="23DDA1D8" w14:textId="77777777" w:rsidR="00AE4452" w:rsidRPr="00D96905" w:rsidRDefault="00AE4452" w:rsidP="00617810">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mean abs(ρ)</w:t>
            </w:r>
          </w:p>
        </w:tc>
      </w:tr>
      <w:tr w:rsidR="00AE4452" w:rsidRPr="00D96905" w14:paraId="01C4A2CD" w14:textId="77777777" w:rsidTr="00617810">
        <w:trPr>
          <w:trHeight w:val="290"/>
        </w:trPr>
        <w:tc>
          <w:tcPr>
            <w:tcW w:w="898" w:type="pct"/>
            <w:tcBorders>
              <w:top w:val="nil"/>
              <w:left w:val="nil"/>
              <w:bottom w:val="nil"/>
              <w:right w:val="nil"/>
            </w:tcBorders>
            <w:noWrap/>
            <w:vAlign w:val="bottom"/>
            <w:hideMark/>
          </w:tcPr>
          <w:p w14:paraId="1307EAD0"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FD</w:t>
            </w:r>
          </w:p>
        </w:tc>
        <w:tc>
          <w:tcPr>
            <w:tcW w:w="697" w:type="pct"/>
            <w:tcBorders>
              <w:top w:val="nil"/>
              <w:left w:val="nil"/>
              <w:bottom w:val="nil"/>
              <w:right w:val="nil"/>
            </w:tcBorders>
            <w:noWrap/>
            <w:vAlign w:val="center"/>
            <w:hideMark/>
          </w:tcPr>
          <w:p w14:paraId="31C7EE3A"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5.820</w:t>
            </w:r>
          </w:p>
        </w:tc>
        <w:tc>
          <w:tcPr>
            <w:tcW w:w="588" w:type="pct"/>
            <w:tcBorders>
              <w:top w:val="nil"/>
              <w:left w:val="nil"/>
              <w:bottom w:val="nil"/>
              <w:right w:val="nil"/>
            </w:tcBorders>
            <w:noWrap/>
            <w:vAlign w:val="center"/>
            <w:hideMark/>
          </w:tcPr>
          <w:p w14:paraId="5E0AF78B"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c>
          <w:tcPr>
            <w:tcW w:w="1115" w:type="pct"/>
            <w:tcBorders>
              <w:top w:val="nil"/>
              <w:left w:val="nil"/>
              <w:bottom w:val="nil"/>
              <w:right w:val="nil"/>
            </w:tcBorders>
            <w:noWrap/>
            <w:vAlign w:val="center"/>
            <w:hideMark/>
          </w:tcPr>
          <w:p w14:paraId="65C76C7B"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4.150</w:t>
            </w:r>
          </w:p>
        </w:tc>
        <w:tc>
          <w:tcPr>
            <w:tcW w:w="743" w:type="pct"/>
            <w:tcBorders>
              <w:top w:val="nil"/>
              <w:left w:val="nil"/>
              <w:bottom w:val="nil"/>
              <w:right w:val="nil"/>
            </w:tcBorders>
            <w:noWrap/>
            <w:vAlign w:val="center"/>
            <w:hideMark/>
          </w:tcPr>
          <w:p w14:paraId="2E99947C"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0.485</w:t>
            </w:r>
          </w:p>
        </w:tc>
        <w:tc>
          <w:tcPr>
            <w:tcW w:w="960" w:type="pct"/>
            <w:tcBorders>
              <w:top w:val="nil"/>
              <w:left w:val="nil"/>
              <w:bottom w:val="nil"/>
              <w:right w:val="nil"/>
            </w:tcBorders>
            <w:noWrap/>
            <w:vAlign w:val="center"/>
            <w:hideMark/>
          </w:tcPr>
          <w:p w14:paraId="54E21ECE"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0.510</w:t>
            </w:r>
          </w:p>
        </w:tc>
      </w:tr>
      <w:tr w:rsidR="00AE4452" w:rsidRPr="00D96905" w14:paraId="5169F005" w14:textId="77777777" w:rsidTr="00617810">
        <w:trPr>
          <w:trHeight w:val="290"/>
        </w:trPr>
        <w:tc>
          <w:tcPr>
            <w:tcW w:w="898" w:type="pct"/>
            <w:tcBorders>
              <w:top w:val="nil"/>
              <w:left w:val="nil"/>
              <w:bottom w:val="nil"/>
              <w:right w:val="nil"/>
            </w:tcBorders>
            <w:noWrap/>
            <w:vAlign w:val="bottom"/>
            <w:hideMark/>
          </w:tcPr>
          <w:p w14:paraId="6FA63D67"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EG</w:t>
            </w:r>
          </w:p>
        </w:tc>
        <w:tc>
          <w:tcPr>
            <w:tcW w:w="697" w:type="pct"/>
            <w:tcBorders>
              <w:top w:val="nil"/>
              <w:left w:val="nil"/>
              <w:bottom w:val="nil"/>
              <w:right w:val="nil"/>
            </w:tcBorders>
            <w:noWrap/>
            <w:vAlign w:val="center"/>
            <w:hideMark/>
          </w:tcPr>
          <w:p w14:paraId="578E9BB2"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7.155</w:t>
            </w:r>
          </w:p>
        </w:tc>
        <w:tc>
          <w:tcPr>
            <w:tcW w:w="588" w:type="pct"/>
            <w:tcBorders>
              <w:top w:val="nil"/>
              <w:left w:val="nil"/>
              <w:bottom w:val="nil"/>
              <w:right w:val="nil"/>
            </w:tcBorders>
            <w:noWrap/>
            <w:vAlign w:val="center"/>
            <w:hideMark/>
          </w:tcPr>
          <w:p w14:paraId="14F7CF36"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c>
          <w:tcPr>
            <w:tcW w:w="1115" w:type="pct"/>
            <w:tcBorders>
              <w:top w:val="nil"/>
              <w:left w:val="nil"/>
              <w:bottom w:val="nil"/>
              <w:right w:val="nil"/>
            </w:tcBorders>
            <w:noWrap/>
            <w:vAlign w:val="center"/>
            <w:hideMark/>
          </w:tcPr>
          <w:p w14:paraId="01D51267"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5.230</w:t>
            </w:r>
          </w:p>
        </w:tc>
        <w:tc>
          <w:tcPr>
            <w:tcW w:w="743" w:type="pct"/>
            <w:tcBorders>
              <w:top w:val="nil"/>
              <w:left w:val="nil"/>
              <w:bottom w:val="nil"/>
              <w:right w:val="nil"/>
            </w:tcBorders>
            <w:noWrap/>
            <w:vAlign w:val="center"/>
            <w:hideMark/>
          </w:tcPr>
          <w:p w14:paraId="662FAD57"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0.610</w:t>
            </w:r>
          </w:p>
        </w:tc>
        <w:tc>
          <w:tcPr>
            <w:tcW w:w="960" w:type="pct"/>
            <w:tcBorders>
              <w:top w:val="nil"/>
              <w:left w:val="nil"/>
              <w:bottom w:val="nil"/>
              <w:right w:val="nil"/>
            </w:tcBorders>
            <w:noWrap/>
            <w:vAlign w:val="center"/>
            <w:hideMark/>
          </w:tcPr>
          <w:p w14:paraId="4E19DE17"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0.635</w:t>
            </w:r>
          </w:p>
        </w:tc>
      </w:tr>
      <w:tr w:rsidR="00AE4452" w:rsidRPr="00D96905" w14:paraId="5397E2BD" w14:textId="77777777" w:rsidTr="00617810">
        <w:trPr>
          <w:trHeight w:val="290"/>
        </w:trPr>
        <w:tc>
          <w:tcPr>
            <w:tcW w:w="898" w:type="pct"/>
            <w:tcBorders>
              <w:top w:val="nil"/>
              <w:left w:val="nil"/>
              <w:bottom w:val="nil"/>
              <w:right w:val="nil"/>
            </w:tcBorders>
            <w:noWrap/>
            <w:vAlign w:val="bottom"/>
            <w:hideMark/>
          </w:tcPr>
          <w:p w14:paraId="6829DD96"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TAX</w:t>
            </w:r>
          </w:p>
        </w:tc>
        <w:tc>
          <w:tcPr>
            <w:tcW w:w="697" w:type="pct"/>
            <w:tcBorders>
              <w:top w:val="nil"/>
              <w:left w:val="nil"/>
              <w:bottom w:val="nil"/>
              <w:right w:val="nil"/>
            </w:tcBorders>
            <w:noWrap/>
            <w:vAlign w:val="center"/>
            <w:hideMark/>
          </w:tcPr>
          <w:p w14:paraId="2926A14E"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3.510</w:t>
            </w:r>
          </w:p>
        </w:tc>
        <w:tc>
          <w:tcPr>
            <w:tcW w:w="588" w:type="pct"/>
            <w:tcBorders>
              <w:top w:val="nil"/>
              <w:left w:val="nil"/>
              <w:bottom w:val="nil"/>
              <w:right w:val="nil"/>
            </w:tcBorders>
            <w:noWrap/>
            <w:vAlign w:val="center"/>
            <w:hideMark/>
          </w:tcPr>
          <w:p w14:paraId="4A06F0B2"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c>
          <w:tcPr>
            <w:tcW w:w="1115" w:type="pct"/>
            <w:tcBorders>
              <w:top w:val="nil"/>
              <w:left w:val="nil"/>
              <w:bottom w:val="nil"/>
              <w:right w:val="nil"/>
            </w:tcBorders>
            <w:noWrap/>
            <w:vAlign w:val="center"/>
            <w:hideMark/>
          </w:tcPr>
          <w:p w14:paraId="074CC1D2"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2.500</w:t>
            </w:r>
          </w:p>
        </w:tc>
        <w:tc>
          <w:tcPr>
            <w:tcW w:w="743" w:type="pct"/>
            <w:tcBorders>
              <w:top w:val="nil"/>
              <w:left w:val="nil"/>
              <w:bottom w:val="nil"/>
              <w:right w:val="nil"/>
            </w:tcBorders>
            <w:noWrap/>
            <w:vAlign w:val="center"/>
            <w:hideMark/>
          </w:tcPr>
          <w:p w14:paraId="26B45102"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0.280</w:t>
            </w:r>
          </w:p>
        </w:tc>
        <w:tc>
          <w:tcPr>
            <w:tcW w:w="960" w:type="pct"/>
            <w:tcBorders>
              <w:top w:val="nil"/>
              <w:left w:val="nil"/>
              <w:bottom w:val="nil"/>
              <w:right w:val="nil"/>
            </w:tcBorders>
            <w:noWrap/>
            <w:vAlign w:val="center"/>
            <w:hideMark/>
          </w:tcPr>
          <w:p w14:paraId="6E948AA6"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0.315</w:t>
            </w:r>
          </w:p>
        </w:tc>
      </w:tr>
      <w:tr w:rsidR="00AE4452" w:rsidRPr="00D96905" w14:paraId="5D992908" w14:textId="77777777" w:rsidTr="00617810">
        <w:trPr>
          <w:trHeight w:val="290"/>
        </w:trPr>
        <w:tc>
          <w:tcPr>
            <w:tcW w:w="898" w:type="pct"/>
            <w:tcBorders>
              <w:top w:val="nil"/>
              <w:left w:val="nil"/>
              <w:bottom w:val="nil"/>
              <w:right w:val="nil"/>
            </w:tcBorders>
            <w:noWrap/>
            <w:vAlign w:val="bottom"/>
            <w:hideMark/>
          </w:tcPr>
          <w:p w14:paraId="04E23DD0"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FDI</w:t>
            </w:r>
          </w:p>
        </w:tc>
        <w:tc>
          <w:tcPr>
            <w:tcW w:w="697" w:type="pct"/>
            <w:tcBorders>
              <w:top w:val="nil"/>
              <w:left w:val="nil"/>
              <w:bottom w:val="nil"/>
              <w:right w:val="nil"/>
            </w:tcBorders>
            <w:noWrap/>
            <w:vAlign w:val="center"/>
            <w:hideMark/>
          </w:tcPr>
          <w:p w14:paraId="7669FD2C"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6.230</w:t>
            </w:r>
          </w:p>
        </w:tc>
        <w:tc>
          <w:tcPr>
            <w:tcW w:w="588" w:type="pct"/>
            <w:tcBorders>
              <w:top w:val="nil"/>
              <w:left w:val="nil"/>
              <w:bottom w:val="nil"/>
              <w:right w:val="nil"/>
            </w:tcBorders>
            <w:noWrap/>
            <w:vAlign w:val="center"/>
            <w:hideMark/>
          </w:tcPr>
          <w:p w14:paraId="5B226C0E"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c>
          <w:tcPr>
            <w:tcW w:w="1115" w:type="pct"/>
            <w:tcBorders>
              <w:top w:val="nil"/>
              <w:left w:val="nil"/>
              <w:bottom w:val="nil"/>
              <w:right w:val="nil"/>
            </w:tcBorders>
            <w:noWrap/>
            <w:vAlign w:val="center"/>
            <w:hideMark/>
          </w:tcPr>
          <w:p w14:paraId="529844A7"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4.600</w:t>
            </w:r>
          </w:p>
        </w:tc>
        <w:tc>
          <w:tcPr>
            <w:tcW w:w="743" w:type="pct"/>
            <w:tcBorders>
              <w:top w:val="nil"/>
              <w:left w:val="nil"/>
              <w:bottom w:val="nil"/>
              <w:right w:val="nil"/>
            </w:tcBorders>
            <w:noWrap/>
            <w:vAlign w:val="center"/>
            <w:hideMark/>
          </w:tcPr>
          <w:p w14:paraId="368EA644"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0.530</w:t>
            </w:r>
          </w:p>
        </w:tc>
        <w:tc>
          <w:tcPr>
            <w:tcW w:w="960" w:type="pct"/>
            <w:tcBorders>
              <w:top w:val="nil"/>
              <w:left w:val="nil"/>
              <w:bottom w:val="nil"/>
              <w:right w:val="nil"/>
            </w:tcBorders>
            <w:noWrap/>
            <w:vAlign w:val="center"/>
            <w:hideMark/>
          </w:tcPr>
          <w:p w14:paraId="198D5240"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0.550</w:t>
            </w:r>
          </w:p>
        </w:tc>
      </w:tr>
      <w:tr w:rsidR="00AE4452" w:rsidRPr="00D96905" w14:paraId="617C54D3" w14:textId="77777777" w:rsidTr="00617810">
        <w:trPr>
          <w:trHeight w:val="290"/>
        </w:trPr>
        <w:tc>
          <w:tcPr>
            <w:tcW w:w="898" w:type="pct"/>
            <w:tcBorders>
              <w:top w:val="nil"/>
              <w:left w:val="nil"/>
              <w:bottom w:val="nil"/>
              <w:right w:val="nil"/>
            </w:tcBorders>
            <w:noWrap/>
            <w:vAlign w:val="bottom"/>
            <w:hideMark/>
          </w:tcPr>
          <w:p w14:paraId="57C7F232"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CPI</w:t>
            </w:r>
          </w:p>
        </w:tc>
        <w:tc>
          <w:tcPr>
            <w:tcW w:w="697" w:type="pct"/>
            <w:tcBorders>
              <w:top w:val="nil"/>
              <w:left w:val="nil"/>
              <w:bottom w:val="nil"/>
              <w:right w:val="nil"/>
            </w:tcBorders>
            <w:noWrap/>
            <w:vAlign w:val="center"/>
            <w:hideMark/>
          </w:tcPr>
          <w:p w14:paraId="2CA33D49"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4.985</w:t>
            </w:r>
          </w:p>
        </w:tc>
        <w:tc>
          <w:tcPr>
            <w:tcW w:w="588" w:type="pct"/>
            <w:tcBorders>
              <w:top w:val="nil"/>
              <w:left w:val="nil"/>
              <w:bottom w:val="nil"/>
              <w:right w:val="nil"/>
            </w:tcBorders>
            <w:noWrap/>
            <w:vAlign w:val="center"/>
            <w:hideMark/>
          </w:tcPr>
          <w:p w14:paraId="0D72DA30"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c>
          <w:tcPr>
            <w:tcW w:w="1115" w:type="pct"/>
            <w:tcBorders>
              <w:top w:val="nil"/>
              <w:left w:val="nil"/>
              <w:bottom w:val="nil"/>
              <w:right w:val="nil"/>
            </w:tcBorders>
            <w:noWrap/>
            <w:vAlign w:val="center"/>
            <w:hideMark/>
          </w:tcPr>
          <w:p w14:paraId="0A290D8D"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3.550</w:t>
            </w:r>
          </w:p>
        </w:tc>
        <w:tc>
          <w:tcPr>
            <w:tcW w:w="743" w:type="pct"/>
            <w:tcBorders>
              <w:top w:val="nil"/>
              <w:left w:val="nil"/>
              <w:bottom w:val="nil"/>
              <w:right w:val="nil"/>
            </w:tcBorders>
            <w:noWrap/>
            <w:vAlign w:val="center"/>
            <w:hideMark/>
          </w:tcPr>
          <w:p w14:paraId="63F990D8"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0.395</w:t>
            </w:r>
          </w:p>
        </w:tc>
        <w:tc>
          <w:tcPr>
            <w:tcW w:w="960" w:type="pct"/>
            <w:tcBorders>
              <w:top w:val="nil"/>
              <w:left w:val="nil"/>
              <w:bottom w:val="nil"/>
              <w:right w:val="nil"/>
            </w:tcBorders>
            <w:noWrap/>
            <w:vAlign w:val="center"/>
            <w:hideMark/>
          </w:tcPr>
          <w:p w14:paraId="78369844"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0.420</w:t>
            </w:r>
          </w:p>
        </w:tc>
      </w:tr>
      <w:tr w:rsidR="00AE4452" w:rsidRPr="00D96905" w14:paraId="4D71C7F0" w14:textId="77777777" w:rsidTr="00617810">
        <w:trPr>
          <w:trHeight w:val="290"/>
        </w:trPr>
        <w:tc>
          <w:tcPr>
            <w:tcW w:w="898" w:type="pct"/>
            <w:tcBorders>
              <w:top w:val="nil"/>
              <w:left w:val="nil"/>
              <w:bottom w:val="nil"/>
              <w:right w:val="nil"/>
            </w:tcBorders>
            <w:noWrap/>
            <w:vAlign w:val="bottom"/>
            <w:hideMark/>
          </w:tcPr>
          <w:p w14:paraId="79CF00AF"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TR</w:t>
            </w:r>
          </w:p>
        </w:tc>
        <w:tc>
          <w:tcPr>
            <w:tcW w:w="697" w:type="pct"/>
            <w:tcBorders>
              <w:top w:val="nil"/>
              <w:left w:val="nil"/>
              <w:bottom w:val="nil"/>
              <w:right w:val="nil"/>
            </w:tcBorders>
            <w:noWrap/>
            <w:vAlign w:val="center"/>
            <w:hideMark/>
          </w:tcPr>
          <w:p w14:paraId="155A3835"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6.540</w:t>
            </w:r>
          </w:p>
        </w:tc>
        <w:tc>
          <w:tcPr>
            <w:tcW w:w="588" w:type="pct"/>
            <w:tcBorders>
              <w:top w:val="nil"/>
              <w:left w:val="nil"/>
              <w:bottom w:val="nil"/>
              <w:right w:val="nil"/>
            </w:tcBorders>
            <w:noWrap/>
            <w:vAlign w:val="center"/>
            <w:hideMark/>
          </w:tcPr>
          <w:p w14:paraId="412AFBD5"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c>
          <w:tcPr>
            <w:tcW w:w="1115" w:type="pct"/>
            <w:tcBorders>
              <w:top w:val="nil"/>
              <w:left w:val="nil"/>
              <w:bottom w:val="nil"/>
              <w:right w:val="nil"/>
            </w:tcBorders>
            <w:noWrap/>
            <w:vAlign w:val="center"/>
            <w:hideMark/>
          </w:tcPr>
          <w:p w14:paraId="290BE529"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4.850</w:t>
            </w:r>
          </w:p>
        </w:tc>
        <w:tc>
          <w:tcPr>
            <w:tcW w:w="743" w:type="pct"/>
            <w:tcBorders>
              <w:top w:val="nil"/>
              <w:left w:val="nil"/>
              <w:bottom w:val="nil"/>
              <w:right w:val="nil"/>
            </w:tcBorders>
            <w:noWrap/>
            <w:vAlign w:val="center"/>
            <w:hideMark/>
          </w:tcPr>
          <w:p w14:paraId="48631403"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0.550</w:t>
            </w:r>
          </w:p>
        </w:tc>
        <w:tc>
          <w:tcPr>
            <w:tcW w:w="960" w:type="pct"/>
            <w:tcBorders>
              <w:top w:val="nil"/>
              <w:left w:val="nil"/>
              <w:bottom w:val="nil"/>
              <w:right w:val="nil"/>
            </w:tcBorders>
            <w:noWrap/>
            <w:vAlign w:val="center"/>
            <w:hideMark/>
          </w:tcPr>
          <w:p w14:paraId="1C0380D2"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0.575</w:t>
            </w:r>
          </w:p>
        </w:tc>
      </w:tr>
      <w:tr w:rsidR="00AE4452" w:rsidRPr="00D96905" w14:paraId="028BA4A8" w14:textId="77777777" w:rsidTr="00617810">
        <w:trPr>
          <w:trHeight w:val="290"/>
        </w:trPr>
        <w:tc>
          <w:tcPr>
            <w:tcW w:w="5000" w:type="pct"/>
            <w:gridSpan w:val="6"/>
            <w:tcBorders>
              <w:top w:val="single" w:sz="4" w:space="0" w:color="auto"/>
              <w:left w:val="nil"/>
              <w:bottom w:val="nil"/>
              <w:right w:val="nil"/>
            </w:tcBorders>
            <w:noWrap/>
            <w:vAlign w:val="bottom"/>
            <w:hideMark/>
          </w:tcPr>
          <w:p w14:paraId="21101F40" w14:textId="77777777" w:rsidR="00AE4452" w:rsidRPr="00D96905" w:rsidRDefault="00AE4452" w:rsidP="00617810">
            <w:pPr>
              <w:spacing w:after="0" w:line="240" w:lineRule="auto"/>
              <w:rPr>
                <w:rFonts w:ascii="Times New Roman" w:eastAsia="Times New Roman" w:hAnsi="Times New Roman" w:cs="Times New Roman"/>
                <w:kern w:val="0"/>
                <w:sz w:val="18"/>
                <w:szCs w:val="18"/>
                <w14:ligatures w14:val="none"/>
              </w:rPr>
            </w:pPr>
            <w:r w:rsidRPr="00D96905">
              <w:rPr>
                <w:rFonts w:ascii="Times New Roman" w:eastAsia="Times New Roman" w:hAnsi="Times New Roman" w:cs="Times New Roman"/>
                <w:kern w:val="0"/>
                <w:sz w:val="18"/>
                <w:szCs w:val="18"/>
                <w14:ligatures w14:val="none"/>
              </w:rPr>
              <w:t xml:space="preserve">Notes: Under the null hypothesis of cross-section independence, CD ~ </w:t>
            </w:r>
            <w:proofErr w:type="gramStart"/>
            <w:r w:rsidRPr="00D96905">
              <w:rPr>
                <w:rFonts w:ascii="Times New Roman" w:eastAsia="Times New Roman" w:hAnsi="Times New Roman" w:cs="Times New Roman"/>
                <w:kern w:val="0"/>
                <w:sz w:val="18"/>
                <w:szCs w:val="18"/>
                <w14:ligatures w14:val="none"/>
              </w:rPr>
              <w:t>N(</w:t>
            </w:r>
            <w:proofErr w:type="gramEnd"/>
            <w:r w:rsidRPr="00D96905">
              <w:rPr>
                <w:rFonts w:ascii="Times New Roman" w:eastAsia="Times New Roman" w:hAnsi="Times New Roman" w:cs="Times New Roman"/>
                <w:kern w:val="0"/>
                <w:sz w:val="18"/>
                <w:szCs w:val="18"/>
                <w14:ligatures w14:val="none"/>
              </w:rPr>
              <w:t>0,1)</w:t>
            </w:r>
          </w:p>
        </w:tc>
      </w:tr>
      <w:tr w:rsidR="00AE4452" w:rsidRPr="00D96905" w14:paraId="0CF9B876" w14:textId="77777777" w:rsidTr="00617810">
        <w:trPr>
          <w:trHeight w:val="290"/>
        </w:trPr>
        <w:tc>
          <w:tcPr>
            <w:tcW w:w="5000" w:type="pct"/>
            <w:gridSpan w:val="6"/>
            <w:tcBorders>
              <w:top w:val="nil"/>
              <w:left w:val="nil"/>
              <w:bottom w:val="single" w:sz="4" w:space="0" w:color="auto"/>
              <w:right w:val="nil"/>
            </w:tcBorders>
            <w:noWrap/>
            <w:vAlign w:val="bottom"/>
            <w:hideMark/>
          </w:tcPr>
          <w:p w14:paraId="423882AB" w14:textId="77777777" w:rsidR="00AE4452" w:rsidRPr="00D96905" w:rsidRDefault="00AE4452" w:rsidP="00617810">
            <w:pPr>
              <w:spacing w:after="0" w:line="240" w:lineRule="auto"/>
              <w:rPr>
                <w:rFonts w:ascii="Times New Roman" w:eastAsia="Times New Roman" w:hAnsi="Times New Roman" w:cs="Times New Roman"/>
                <w:kern w:val="0"/>
                <w:sz w:val="18"/>
                <w:szCs w:val="18"/>
                <w14:ligatures w14:val="none"/>
              </w:rPr>
            </w:pPr>
            <w:r w:rsidRPr="00D96905">
              <w:rPr>
                <w:rFonts w:ascii="Times New Roman" w:eastAsia="Times New Roman" w:hAnsi="Times New Roman" w:cs="Times New Roman"/>
                <w:kern w:val="0"/>
                <w:sz w:val="18"/>
                <w:szCs w:val="18"/>
                <w14:ligatures w14:val="none"/>
              </w:rPr>
              <w:t>P-values close to zero indicate data are correlated across panel groups.</w:t>
            </w:r>
          </w:p>
        </w:tc>
      </w:tr>
    </w:tbl>
    <w:p w14:paraId="63264548" w14:textId="77777777" w:rsidR="00AE4452" w:rsidRPr="00D96905" w:rsidRDefault="00AE4452" w:rsidP="00AE4452">
      <w:pPr>
        <w:jc w:val="both"/>
        <w:rPr>
          <w:rFonts w:ascii="Times New Roman" w:hAnsi="Times New Roman" w:cs="Times New Roman"/>
        </w:rPr>
      </w:pPr>
    </w:p>
    <w:p w14:paraId="4E3CC0C2" w14:textId="77777777" w:rsidR="00AE4452" w:rsidRPr="00D96905" w:rsidRDefault="00AE4452" w:rsidP="00AE4452">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Slope Heterogeneity Test</w:t>
      </w:r>
    </w:p>
    <w:p w14:paraId="0BBBB802" w14:textId="77777777" w:rsidR="00AE4452" w:rsidRPr="00D96905" w:rsidRDefault="00AE4452" w:rsidP="00AE4452">
      <w:pPr>
        <w:spacing w:line="360" w:lineRule="auto"/>
        <w:jc w:val="both"/>
        <w:rPr>
          <w:rFonts w:ascii="Times New Roman" w:hAnsi="Times New Roman" w:cs="Times New Roman"/>
        </w:rPr>
      </w:pPr>
      <w:r w:rsidRPr="00D96905">
        <w:rPr>
          <w:rFonts w:ascii="Times New Roman" w:hAnsi="Times New Roman" w:cs="Times New Roman"/>
        </w:rPr>
        <w:t xml:space="preserve">This test measures whether the slope of the economic model for all BRICS countries </w:t>
      </w:r>
      <w:r>
        <w:rPr>
          <w:rFonts w:ascii="Times New Roman" w:hAnsi="Times New Roman" w:cs="Times New Roman"/>
        </w:rPr>
        <w:t>is</w:t>
      </w:r>
      <w:r w:rsidRPr="00D96905">
        <w:rPr>
          <w:rFonts w:ascii="Times New Roman" w:hAnsi="Times New Roman" w:cs="Times New Roman"/>
        </w:rPr>
        <w:t xml:space="preserve"> the same or different. Here, both the p-values ​​of "Delta" and "Delta adj" are zero (0.000), which rejects the null hypothesis of "Slope Homogeneity". This means that the link between taxes and financial development (FD) is not the same in all countries, but rather is heterogeneous due to the unique economic conditions of each country. This result indicates that you should use estimators that </w:t>
      </w:r>
      <w:proofErr w:type="spellStart"/>
      <w:r w:rsidRPr="00D96905">
        <w:rPr>
          <w:rFonts w:ascii="Times New Roman" w:hAnsi="Times New Roman" w:cs="Times New Roman"/>
        </w:rPr>
        <w:t>recogni</w:t>
      </w:r>
      <w:r>
        <w:rPr>
          <w:rFonts w:ascii="Times New Roman" w:hAnsi="Times New Roman" w:cs="Times New Roman"/>
        </w:rPr>
        <w:t>s</w:t>
      </w:r>
      <w:r w:rsidRPr="00D96905">
        <w:rPr>
          <w:rFonts w:ascii="Times New Roman" w:hAnsi="Times New Roman" w:cs="Times New Roman"/>
        </w:rPr>
        <w:t>e</w:t>
      </w:r>
      <w:proofErr w:type="spellEnd"/>
      <w:r w:rsidRPr="00D96905">
        <w:rPr>
          <w:rFonts w:ascii="Times New Roman" w:hAnsi="Times New Roman" w:cs="Times New Roman"/>
        </w:rPr>
        <w:t xml:space="preserve"> individual differences in each country (such as MG or AMG).</w:t>
      </w:r>
    </w:p>
    <w:tbl>
      <w:tblPr>
        <w:tblW w:w="5000" w:type="pct"/>
        <w:tblLook w:val="04A0" w:firstRow="1" w:lastRow="0" w:firstColumn="1" w:lastColumn="0" w:noHBand="0" w:noVBand="1"/>
      </w:tblPr>
      <w:tblGrid>
        <w:gridCol w:w="5180"/>
        <w:gridCol w:w="2089"/>
        <w:gridCol w:w="2091"/>
      </w:tblGrid>
      <w:tr w:rsidR="00AE4452" w:rsidRPr="00D96905" w14:paraId="0B83D165" w14:textId="77777777" w:rsidTr="00617810">
        <w:trPr>
          <w:trHeight w:val="290"/>
        </w:trPr>
        <w:tc>
          <w:tcPr>
            <w:tcW w:w="2767" w:type="pct"/>
            <w:tcBorders>
              <w:top w:val="nil"/>
              <w:left w:val="nil"/>
              <w:bottom w:val="nil"/>
              <w:right w:val="nil"/>
            </w:tcBorders>
            <w:noWrap/>
            <w:vAlign w:val="bottom"/>
            <w:hideMark/>
          </w:tcPr>
          <w:p w14:paraId="3B8EDCEC" w14:textId="77777777" w:rsidR="00AE4452" w:rsidRPr="00D96905" w:rsidRDefault="00AE4452" w:rsidP="00617810">
            <w:pPr>
              <w:spacing w:after="0" w:line="240" w:lineRule="auto"/>
              <w:rPr>
                <w:rFonts w:ascii="Times New Roman" w:eastAsia="Times New Roman" w:hAnsi="Times New Roman" w:cs="Times New Roman"/>
                <w:b/>
                <w:bCs/>
                <w:kern w:val="0"/>
                <w:sz w:val="22"/>
                <w:szCs w:val="22"/>
                <w14:ligatures w14:val="none"/>
              </w:rPr>
            </w:pPr>
            <w:r w:rsidRPr="00D96905">
              <w:rPr>
                <w:rFonts w:ascii="Times New Roman" w:eastAsia="Times New Roman" w:hAnsi="Times New Roman" w:cs="Times New Roman"/>
                <w:b/>
                <w:bCs/>
                <w:kern w:val="0"/>
                <w:sz w:val="22"/>
                <w:szCs w:val="22"/>
                <w14:ligatures w14:val="none"/>
              </w:rPr>
              <w:t xml:space="preserve">Table 7: </w:t>
            </w:r>
            <w:r w:rsidRPr="00D96905">
              <w:rPr>
                <w:rFonts w:ascii="Times New Roman" w:eastAsia="Times New Roman" w:hAnsi="Times New Roman" w:cs="Times New Roman"/>
                <w:i/>
                <w:iCs/>
                <w:kern w:val="0"/>
                <w:sz w:val="22"/>
                <w:szCs w:val="22"/>
                <w14:ligatures w14:val="none"/>
              </w:rPr>
              <w:t>Slope heterogeneity</w:t>
            </w:r>
            <w:r w:rsidRPr="00D96905">
              <w:rPr>
                <w:rFonts w:ascii="Times New Roman" w:eastAsia="Times New Roman" w:hAnsi="Times New Roman" w:cs="Times New Roman"/>
                <w:b/>
                <w:bCs/>
                <w:kern w:val="0"/>
                <w:sz w:val="22"/>
                <w:szCs w:val="22"/>
                <w14:ligatures w14:val="none"/>
              </w:rPr>
              <w:t xml:space="preserve"> </w:t>
            </w:r>
          </w:p>
        </w:tc>
        <w:tc>
          <w:tcPr>
            <w:tcW w:w="1116" w:type="pct"/>
            <w:tcBorders>
              <w:top w:val="nil"/>
              <w:left w:val="nil"/>
              <w:bottom w:val="nil"/>
              <w:right w:val="nil"/>
            </w:tcBorders>
            <w:noWrap/>
            <w:vAlign w:val="bottom"/>
            <w:hideMark/>
          </w:tcPr>
          <w:p w14:paraId="72BE2C6A" w14:textId="77777777" w:rsidR="00AE4452" w:rsidRPr="00D96905" w:rsidRDefault="00AE4452" w:rsidP="00617810">
            <w:pPr>
              <w:spacing w:after="0" w:line="240" w:lineRule="auto"/>
              <w:rPr>
                <w:rFonts w:ascii="Times New Roman" w:eastAsia="Times New Roman" w:hAnsi="Times New Roman" w:cs="Times New Roman"/>
                <w:kern w:val="0"/>
                <w:sz w:val="22"/>
                <w:szCs w:val="22"/>
                <w14:ligatures w14:val="none"/>
              </w:rPr>
            </w:pPr>
          </w:p>
        </w:tc>
        <w:tc>
          <w:tcPr>
            <w:tcW w:w="1116" w:type="pct"/>
            <w:tcBorders>
              <w:top w:val="nil"/>
              <w:left w:val="nil"/>
              <w:bottom w:val="nil"/>
              <w:right w:val="nil"/>
            </w:tcBorders>
            <w:noWrap/>
            <w:vAlign w:val="bottom"/>
            <w:hideMark/>
          </w:tcPr>
          <w:p w14:paraId="04BAC0D1"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p>
        </w:tc>
      </w:tr>
      <w:tr w:rsidR="00AE4452" w:rsidRPr="00D96905" w14:paraId="198FAF0F" w14:textId="77777777" w:rsidTr="00617810">
        <w:trPr>
          <w:trHeight w:val="290"/>
        </w:trPr>
        <w:tc>
          <w:tcPr>
            <w:tcW w:w="2767" w:type="pct"/>
            <w:tcBorders>
              <w:top w:val="single" w:sz="4" w:space="0" w:color="auto"/>
              <w:left w:val="nil"/>
              <w:bottom w:val="single" w:sz="4" w:space="0" w:color="auto"/>
              <w:right w:val="nil"/>
            </w:tcBorders>
            <w:noWrap/>
            <w:vAlign w:val="bottom"/>
            <w:hideMark/>
          </w:tcPr>
          <w:p w14:paraId="5B04BD65" w14:textId="77777777" w:rsidR="00AE4452" w:rsidRPr="00D96905" w:rsidRDefault="00AE4452" w:rsidP="00617810">
            <w:pPr>
              <w:spacing w:after="0" w:line="240" w:lineRule="auto"/>
              <w:rPr>
                <w:rFonts w:ascii="Times New Roman" w:eastAsia="Times New Roman" w:hAnsi="Times New Roman" w:cs="Times New Roman"/>
                <w:kern w:val="0"/>
                <w:sz w:val="22"/>
                <w:szCs w:val="22"/>
                <w14:ligatures w14:val="none"/>
              </w:rPr>
            </w:pPr>
            <w:r w:rsidRPr="00D96905">
              <w:rPr>
                <w:rFonts w:ascii="Times New Roman" w:eastAsia="Times New Roman" w:hAnsi="Times New Roman" w:cs="Times New Roman"/>
                <w:kern w:val="0"/>
                <w:sz w:val="22"/>
                <w:szCs w:val="22"/>
                <w14:ligatures w14:val="none"/>
              </w:rPr>
              <w:t> </w:t>
            </w:r>
          </w:p>
        </w:tc>
        <w:tc>
          <w:tcPr>
            <w:tcW w:w="2233" w:type="pct"/>
            <w:gridSpan w:val="2"/>
            <w:tcBorders>
              <w:top w:val="single" w:sz="4" w:space="0" w:color="auto"/>
              <w:left w:val="nil"/>
              <w:bottom w:val="single" w:sz="4" w:space="0" w:color="auto"/>
              <w:right w:val="nil"/>
            </w:tcBorders>
            <w:noWrap/>
            <w:vAlign w:val="bottom"/>
            <w:hideMark/>
          </w:tcPr>
          <w:p w14:paraId="5FE2C440" w14:textId="77777777" w:rsidR="00AE4452" w:rsidRPr="00D96905" w:rsidRDefault="00AE4452" w:rsidP="00617810">
            <w:pPr>
              <w:spacing w:after="0" w:line="240" w:lineRule="auto"/>
              <w:jc w:val="center"/>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Economic Growth</w:t>
            </w:r>
          </w:p>
        </w:tc>
      </w:tr>
      <w:tr w:rsidR="00AE4452" w:rsidRPr="00D96905" w14:paraId="11F63B8E" w14:textId="77777777" w:rsidTr="00617810">
        <w:trPr>
          <w:trHeight w:val="290"/>
        </w:trPr>
        <w:tc>
          <w:tcPr>
            <w:tcW w:w="2767" w:type="pct"/>
            <w:tcBorders>
              <w:top w:val="nil"/>
              <w:left w:val="nil"/>
              <w:bottom w:val="single" w:sz="4" w:space="0" w:color="auto"/>
              <w:right w:val="nil"/>
            </w:tcBorders>
            <w:noWrap/>
            <w:vAlign w:val="bottom"/>
            <w:hideMark/>
          </w:tcPr>
          <w:p w14:paraId="383B83D4"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 </w:t>
            </w:r>
          </w:p>
        </w:tc>
        <w:tc>
          <w:tcPr>
            <w:tcW w:w="1116" w:type="pct"/>
            <w:tcBorders>
              <w:top w:val="nil"/>
              <w:left w:val="nil"/>
              <w:bottom w:val="single" w:sz="4" w:space="0" w:color="auto"/>
              <w:right w:val="nil"/>
            </w:tcBorders>
            <w:noWrap/>
            <w:vAlign w:val="center"/>
            <w:hideMark/>
          </w:tcPr>
          <w:p w14:paraId="5E3D2A64"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 </w:t>
            </w:r>
          </w:p>
        </w:tc>
        <w:tc>
          <w:tcPr>
            <w:tcW w:w="1116" w:type="pct"/>
            <w:tcBorders>
              <w:top w:val="nil"/>
              <w:left w:val="nil"/>
              <w:bottom w:val="single" w:sz="4" w:space="0" w:color="auto"/>
            </w:tcBorders>
            <w:noWrap/>
            <w:vAlign w:val="center"/>
            <w:hideMark/>
          </w:tcPr>
          <w:p w14:paraId="6B901804"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adj.</w:t>
            </w:r>
          </w:p>
        </w:tc>
      </w:tr>
      <w:tr w:rsidR="00AE4452" w:rsidRPr="00D96905" w14:paraId="0AEF6314" w14:textId="77777777" w:rsidTr="00617810">
        <w:trPr>
          <w:trHeight w:val="290"/>
        </w:trPr>
        <w:tc>
          <w:tcPr>
            <w:tcW w:w="2767" w:type="pct"/>
            <w:tcBorders>
              <w:top w:val="nil"/>
              <w:left w:val="nil"/>
              <w:bottom w:val="nil"/>
              <w:right w:val="nil"/>
            </w:tcBorders>
            <w:noWrap/>
            <w:vAlign w:val="bottom"/>
            <w:hideMark/>
          </w:tcPr>
          <w:p w14:paraId="2E5771DB"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Delta</w:t>
            </w:r>
          </w:p>
        </w:tc>
        <w:tc>
          <w:tcPr>
            <w:tcW w:w="1116" w:type="pct"/>
            <w:tcBorders>
              <w:top w:val="nil"/>
              <w:left w:val="nil"/>
              <w:bottom w:val="nil"/>
              <w:right w:val="nil"/>
            </w:tcBorders>
            <w:noWrap/>
            <w:vAlign w:val="center"/>
            <w:hideMark/>
          </w:tcPr>
          <w:p w14:paraId="6BB7AC08"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5.019</w:t>
            </w:r>
          </w:p>
        </w:tc>
        <w:tc>
          <w:tcPr>
            <w:tcW w:w="1116" w:type="pct"/>
            <w:tcBorders>
              <w:top w:val="nil"/>
              <w:left w:val="nil"/>
              <w:bottom w:val="nil"/>
            </w:tcBorders>
            <w:noWrap/>
            <w:vAlign w:val="center"/>
            <w:hideMark/>
          </w:tcPr>
          <w:p w14:paraId="004FA812"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6.749</w:t>
            </w:r>
          </w:p>
        </w:tc>
      </w:tr>
      <w:tr w:rsidR="00AE4452" w:rsidRPr="00D96905" w14:paraId="64DCE1F5" w14:textId="77777777" w:rsidTr="00617810">
        <w:trPr>
          <w:trHeight w:val="290"/>
        </w:trPr>
        <w:tc>
          <w:tcPr>
            <w:tcW w:w="2767" w:type="pct"/>
            <w:tcBorders>
              <w:top w:val="nil"/>
              <w:left w:val="nil"/>
              <w:bottom w:val="single" w:sz="4" w:space="0" w:color="auto"/>
              <w:right w:val="nil"/>
            </w:tcBorders>
            <w:noWrap/>
            <w:vAlign w:val="bottom"/>
            <w:hideMark/>
          </w:tcPr>
          <w:p w14:paraId="1CB8B403"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P value</w:t>
            </w:r>
          </w:p>
        </w:tc>
        <w:tc>
          <w:tcPr>
            <w:tcW w:w="1116" w:type="pct"/>
            <w:tcBorders>
              <w:top w:val="nil"/>
              <w:left w:val="nil"/>
              <w:bottom w:val="single" w:sz="4" w:space="0" w:color="auto"/>
              <w:right w:val="nil"/>
            </w:tcBorders>
            <w:noWrap/>
            <w:vAlign w:val="center"/>
            <w:hideMark/>
          </w:tcPr>
          <w:p w14:paraId="74DE8C5A"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c>
          <w:tcPr>
            <w:tcW w:w="1116" w:type="pct"/>
            <w:tcBorders>
              <w:top w:val="nil"/>
              <w:left w:val="nil"/>
              <w:bottom w:val="single" w:sz="4" w:space="0" w:color="auto"/>
            </w:tcBorders>
            <w:noWrap/>
            <w:vAlign w:val="center"/>
            <w:hideMark/>
          </w:tcPr>
          <w:p w14:paraId="18BB4F46"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r>
    </w:tbl>
    <w:p w14:paraId="08D55052" w14:textId="77777777" w:rsidR="00AE4452" w:rsidRPr="00D96905" w:rsidRDefault="00AE4452" w:rsidP="00AE4452">
      <w:pPr>
        <w:jc w:val="both"/>
        <w:rPr>
          <w:rFonts w:ascii="Times New Roman" w:hAnsi="Times New Roman" w:cs="Times New Roman"/>
        </w:rPr>
      </w:pPr>
    </w:p>
    <w:p w14:paraId="7A7704DF" w14:textId="77777777" w:rsidR="00AE4452" w:rsidRPr="00D96905" w:rsidRDefault="00AE4452" w:rsidP="00AE4452">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Panel Unit Root Test</w:t>
      </w:r>
    </w:p>
    <w:p w14:paraId="4302C9DC" w14:textId="77777777" w:rsidR="00AE4452" w:rsidRPr="00D96905" w:rsidRDefault="00AE4452" w:rsidP="00AE4452">
      <w:pPr>
        <w:spacing w:line="360" w:lineRule="auto"/>
        <w:jc w:val="both"/>
        <w:rPr>
          <w:rFonts w:ascii="Times New Roman" w:hAnsi="Times New Roman" w:cs="Times New Roman"/>
        </w:rPr>
      </w:pPr>
      <w:r w:rsidRPr="00D96905">
        <w:rPr>
          <w:rFonts w:ascii="Times New Roman" w:hAnsi="Times New Roman" w:cs="Times New Roman"/>
        </w:rPr>
        <w:lastRenderedPageBreak/>
        <w:t xml:space="preserve">The reason </w:t>
      </w:r>
      <w:r>
        <w:rPr>
          <w:rFonts w:ascii="Times New Roman" w:hAnsi="Times New Roman" w:cs="Times New Roman"/>
        </w:rPr>
        <w:t>for</w:t>
      </w:r>
      <w:r w:rsidRPr="00D96905">
        <w:rPr>
          <w:rFonts w:ascii="Times New Roman" w:hAnsi="Times New Roman" w:cs="Times New Roman"/>
        </w:rPr>
        <w:t xml:space="preserve"> this test is to determine whether the data is stationary or non-stationary, in order to avoid spurious results. The second</w:t>
      </w:r>
      <w:r>
        <w:rPr>
          <w:rFonts w:ascii="Times New Roman" w:hAnsi="Times New Roman" w:cs="Times New Roman"/>
        </w:rPr>
        <w:t>-</w:t>
      </w:r>
      <w:r w:rsidRPr="00D96905">
        <w:rPr>
          <w:rFonts w:ascii="Times New Roman" w:hAnsi="Times New Roman" w:cs="Times New Roman"/>
        </w:rPr>
        <w:t xml:space="preserve">generation test of </w:t>
      </w:r>
      <w:proofErr w:type="spellStart"/>
      <w:r w:rsidRPr="00D96905">
        <w:rPr>
          <w:rFonts w:ascii="Times New Roman" w:hAnsi="Times New Roman" w:cs="Times New Roman"/>
        </w:rPr>
        <w:t>Pesaran</w:t>
      </w:r>
      <w:proofErr w:type="spellEnd"/>
      <w:r w:rsidRPr="00D96905">
        <w:rPr>
          <w:rFonts w:ascii="Times New Roman" w:hAnsi="Times New Roman" w:cs="Times New Roman"/>
        </w:rPr>
        <w:t xml:space="preserve"> CADF was deemed to be more reliable since the existence of CSD was already established. The results showed that economic growth (EG) is stationary (</w:t>
      </w:r>
      <w:proofErr w:type="gramStart"/>
      <w:r w:rsidRPr="00D96905">
        <w:rPr>
          <w:rFonts w:ascii="Times New Roman" w:hAnsi="Times New Roman" w:cs="Times New Roman"/>
        </w:rPr>
        <w:t>I(</w:t>
      </w:r>
      <w:proofErr w:type="gramEnd"/>
      <w:r w:rsidRPr="00D96905">
        <w:rPr>
          <w:rFonts w:ascii="Times New Roman" w:hAnsi="Times New Roman" w:cs="Times New Roman"/>
        </w:rPr>
        <w:t>0)) at its level</w:t>
      </w:r>
      <w:r>
        <w:rPr>
          <w:rFonts w:ascii="Times New Roman" w:hAnsi="Times New Roman" w:cs="Times New Roman"/>
        </w:rPr>
        <w:t>. At the same time,</w:t>
      </w:r>
      <w:r w:rsidRPr="00D96905">
        <w:rPr>
          <w:rFonts w:ascii="Times New Roman" w:hAnsi="Times New Roman" w:cs="Times New Roman"/>
        </w:rPr>
        <w:t xml:space="preserve"> all other variables (FD, TAX, FDI, CPI, TR) are non-stationary at the level and become stationary (</w:t>
      </w:r>
      <w:proofErr w:type="gramStart"/>
      <w:r w:rsidRPr="00D96905">
        <w:rPr>
          <w:rFonts w:ascii="Times New Roman" w:hAnsi="Times New Roman" w:cs="Times New Roman"/>
        </w:rPr>
        <w:t>I(</w:t>
      </w:r>
      <w:proofErr w:type="gramEnd"/>
      <w:r w:rsidRPr="00D96905">
        <w:rPr>
          <w:rFonts w:ascii="Times New Roman" w:hAnsi="Times New Roman" w:cs="Times New Roman"/>
        </w:rPr>
        <w:t>1)) when taking the first difference. This mixed order of integration of the variables vindicates the fact that modern ARDL-based methods (as PMG or CS-ARDL) best estimate long-run relationships, as opposed to co</w:t>
      </w:r>
      <w:r>
        <w:rPr>
          <w:rFonts w:ascii="Times New Roman" w:hAnsi="Times New Roman" w:cs="Times New Roman"/>
        </w:rPr>
        <w:t>-</w:t>
      </w:r>
      <w:r w:rsidRPr="00D96905">
        <w:rPr>
          <w:rFonts w:ascii="Times New Roman" w:hAnsi="Times New Roman" w:cs="Times New Roman"/>
        </w:rPr>
        <w:t>integration.</w:t>
      </w:r>
    </w:p>
    <w:p w14:paraId="5D06D7A9" w14:textId="77777777" w:rsidR="00AE4452" w:rsidRPr="00D96905" w:rsidRDefault="00AE4452" w:rsidP="00AE4452">
      <w:pPr>
        <w:jc w:val="both"/>
        <w:rPr>
          <w:rFonts w:ascii="Times New Roman" w:hAnsi="Times New Roman" w:cs="Times New Roman"/>
        </w:rPr>
      </w:pPr>
    </w:p>
    <w:p w14:paraId="6A8C46F5" w14:textId="77777777" w:rsidR="00AE4452" w:rsidRPr="00D96905" w:rsidRDefault="00AE4452" w:rsidP="00AE4452">
      <w:pPr>
        <w:spacing w:after="0"/>
        <w:jc w:val="both"/>
        <w:rPr>
          <w:rFonts w:ascii="Times New Roman" w:hAnsi="Times New Roman" w:cs="Times New Roman"/>
          <w:b/>
          <w:bCs/>
        </w:rPr>
      </w:pPr>
      <w:r w:rsidRPr="00D96905">
        <w:rPr>
          <w:rFonts w:ascii="Times New Roman" w:hAnsi="Times New Roman" w:cs="Times New Roman"/>
          <w:b/>
          <w:bCs/>
        </w:rPr>
        <w:t xml:space="preserve">Table 8: </w:t>
      </w:r>
      <w:r w:rsidRPr="00D96905">
        <w:rPr>
          <w:rFonts w:ascii="Times New Roman" w:hAnsi="Times New Roman" w:cs="Times New Roman"/>
          <w:i/>
          <w:iCs/>
        </w:rPr>
        <w:t>Unit Root Test</w:t>
      </w:r>
    </w:p>
    <w:tbl>
      <w:tblPr>
        <w:tblW w:w="8993" w:type="dxa"/>
        <w:tblLook w:val="04A0" w:firstRow="1" w:lastRow="0" w:firstColumn="1" w:lastColumn="0" w:noHBand="0" w:noVBand="1"/>
      </w:tblPr>
      <w:tblGrid>
        <w:gridCol w:w="960"/>
        <w:gridCol w:w="1214"/>
        <w:gridCol w:w="966"/>
        <w:gridCol w:w="958"/>
        <w:gridCol w:w="966"/>
        <w:gridCol w:w="1300"/>
        <w:gridCol w:w="966"/>
        <w:gridCol w:w="1026"/>
        <w:gridCol w:w="966"/>
      </w:tblGrid>
      <w:tr w:rsidR="00AE4452" w:rsidRPr="00D96905" w14:paraId="3902137B" w14:textId="77777777" w:rsidTr="00617810">
        <w:trPr>
          <w:trHeight w:val="270"/>
        </w:trPr>
        <w:tc>
          <w:tcPr>
            <w:tcW w:w="960" w:type="dxa"/>
            <w:tcBorders>
              <w:top w:val="single" w:sz="8" w:space="0" w:color="auto"/>
              <w:left w:val="nil"/>
              <w:bottom w:val="nil"/>
              <w:right w:val="nil"/>
            </w:tcBorders>
            <w:noWrap/>
            <w:vAlign w:val="bottom"/>
            <w:hideMark/>
          </w:tcPr>
          <w:p w14:paraId="228B19AB"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Variable</w:t>
            </w:r>
          </w:p>
        </w:tc>
        <w:tc>
          <w:tcPr>
            <w:tcW w:w="2952" w:type="dxa"/>
            <w:gridSpan w:val="3"/>
            <w:tcBorders>
              <w:top w:val="single" w:sz="8" w:space="0" w:color="auto"/>
              <w:left w:val="nil"/>
              <w:bottom w:val="nil"/>
              <w:right w:val="nil"/>
            </w:tcBorders>
            <w:noWrap/>
            <w:vAlign w:val="bottom"/>
            <w:hideMark/>
          </w:tcPr>
          <w:p w14:paraId="4D6487D7" w14:textId="77777777" w:rsidR="00AE4452" w:rsidRPr="00D96905" w:rsidRDefault="00AE4452" w:rsidP="00617810">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First-generation unit root</w:t>
            </w:r>
          </w:p>
        </w:tc>
        <w:tc>
          <w:tcPr>
            <w:tcW w:w="960" w:type="dxa"/>
            <w:tcBorders>
              <w:top w:val="single" w:sz="8" w:space="0" w:color="auto"/>
              <w:left w:val="nil"/>
              <w:bottom w:val="nil"/>
              <w:right w:val="nil"/>
            </w:tcBorders>
            <w:noWrap/>
            <w:vAlign w:val="bottom"/>
            <w:hideMark/>
          </w:tcPr>
          <w:p w14:paraId="24BC3154" w14:textId="77777777" w:rsidR="00AE4452" w:rsidRPr="00D96905" w:rsidRDefault="00AE4452" w:rsidP="00617810">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 </w:t>
            </w:r>
          </w:p>
        </w:tc>
        <w:tc>
          <w:tcPr>
            <w:tcW w:w="3161" w:type="dxa"/>
            <w:gridSpan w:val="3"/>
            <w:tcBorders>
              <w:top w:val="single" w:sz="8" w:space="0" w:color="auto"/>
              <w:left w:val="nil"/>
              <w:bottom w:val="nil"/>
              <w:right w:val="nil"/>
            </w:tcBorders>
            <w:noWrap/>
            <w:vAlign w:val="bottom"/>
            <w:hideMark/>
          </w:tcPr>
          <w:p w14:paraId="62BD1E68" w14:textId="77777777" w:rsidR="00AE4452" w:rsidRPr="00D96905" w:rsidRDefault="00AE4452" w:rsidP="00617810">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Second-generation unit root</w:t>
            </w:r>
          </w:p>
        </w:tc>
        <w:tc>
          <w:tcPr>
            <w:tcW w:w="960" w:type="dxa"/>
            <w:tcBorders>
              <w:top w:val="single" w:sz="8" w:space="0" w:color="auto"/>
              <w:left w:val="nil"/>
              <w:bottom w:val="nil"/>
              <w:right w:val="nil"/>
            </w:tcBorders>
            <w:noWrap/>
            <w:vAlign w:val="bottom"/>
            <w:hideMark/>
          </w:tcPr>
          <w:p w14:paraId="0C447325"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 </w:t>
            </w:r>
          </w:p>
        </w:tc>
      </w:tr>
      <w:tr w:rsidR="00AE4452" w:rsidRPr="00D96905" w14:paraId="518371C4" w14:textId="77777777" w:rsidTr="00617810">
        <w:trPr>
          <w:trHeight w:val="270"/>
        </w:trPr>
        <w:tc>
          <w:tcPr>
            <w:tcW w:w="960" w:type="dxa"/>
            <w:tcBorders>
              <w:top w:val="nil"/>
              <w:left w:val="nil"/>
              <w:bottom w:val="nil"/>
              <w:right w:val="nil"/>
            </w:tcBorders>
            <w:noWrap/>
            <w:vAlign w:val="bottom"/>
            <w:hideMark/>
          </w:tcPr>
          <w:p w14:paraId="1FB222A3"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p>
        </w:tc>
        <w:tc>
          <w:tcPr>
            <w:tcW w:w="2952" w:type="dxa"/>
            <w:gridSpan w:val="3"/>
            <w:tcBorders>
              <w:top w:val="single" w:sz="8" w:space="0" w:color="auto"/>
              <w:left w:val="nil"/>
              <w:bottom w:val="single" w:sz="8" w:space="0" w:color="auto"/>
              <w:right w:val="nil"/>
            </w:tcBorders>
            <w:noWrap/>
            <w:vAlign w:val="bottom"/>
            <w:hideMark/>
          </w:tcPr>
          <w:p w14:paraId="0FE78F99"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Maddala and Wu (1999)</w:t>
            </w:r>
          </w:p>
        </w:tc>
        <w:tc>
          <w:tcPr>
            <w:tcW w:w="960" w:type="dxa"/>
            <w:tcBorders>
              <w:top w:val="single" w:sz="8" w:space="0" w:color="auto"/>
              <w:left w:val="nil"/>
              <w:bottom w:val="single" w:sz="8" w:space="0" w:color="auto"/>
              <w:right w:val="nil"/>
            </w:tcBorders>
            <w:noWrap/>
            <w:vAlign w:val="bottom"/>
            <w:hideMark/>
          </w:tcPr>
          <w:p w14:paraId="417CA5E4"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 </w:t>
            </w:r>
          </w:p>
        </w:tc>
        <w:tc>
          <w:tcPr>
            <w:tcW w:w="2135" w:type="dxa"/>
            <w:gridSpan w:val="2"/>
            <w:tcBorders>
              <w:top w:val="single" w:sz="8" w:space="0" w:color="auto"/>
              <w:left w:val="nil"/>
              <w:bottom w:val="single" w:sz="8" w:space="0" w:color="auto"/>
              <w:right w:val="nil"/>
            </w:tcBorders>
            <w:noWrap/>
            <w:vAlign w:val="bottom"/>
            <w:hideMark/>
          </w:tcPr>
          <w:p w14:paraId="65F4F657"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proofErr w:type="spellStart"/>
            <w:r w:rsidRPr="00D96905">
              <w:rPr>
                <w:rFonts w:ascii="Times New Roman" w:eastAsia="Times New Roman" w:hAnsi="Times New Roman" w:cs="Times New Roman"/>
                <w:kern w:val="0"/>
                <w:sz w:val="20"/>
                <w:szCs w:val="20"/>
                <w14:ligatures w14:val="none"/>
              </w:rPr>
              <w:t>Pesaran</w:t>
            </w:r>
            <w:proofErr w:type="spellEnd"/>
            <w:r w:rsidRPr="00D96905">
              <w:rPr>
                <w:rFonts w:ascii="Times New Roman" w:eastAsia="Times New Roman" w:hAnsi="Times New Roman" w:cs="Times New Roman"/>
                <w:kern w:val="0"/>
                <w:sz w:val="20"/>
                <w:szCs w:val="20"/>
                <w14:ligatures w14:val="none"/>
              </w:rPr>
              <w:t xml:space="preserve"> CADF (2003)</w:t>
            </w:r>
          </w:p>
        </w:tc>
        <w:tc>
          <w:tcPr>
            <w:tcW w:w="1026" w:type="dxa"/>
            <w:tcBorders>
              <w:top w:val="single" w:sz="8" w:space="0" w:color="auto"/>
              <w:left w:val="nil"/>
              <w:bottom w:val="single" w:sz="8" w:space="0" w:color="auto"/>
              <w:right w:val="nil"/>
            </w:tcBorders>
            <w:noWrap/>
            <w:vAlign w:val="bottom"/>
            <w:hideMark/>
          </w:tcPr>
          <w:p w14:paraId="019B51A2"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 </w:t>
            </w:r>
          </w:p>
        </w:tc>
        <w:tc>
          <w:tcPr>
            <w:tcW w:w="960" w:type="dxa"/>
            <w:tcBorders>
              <w:top w:val="single" w:sz="8" w:space="0" w:color="auto"/>
              <w:left w:val="nil"/>
              <w:bottom w:val="single" w:sz="8" w:space="0" w:color="auto"/>
              <w:right w:val="nil"/>
            </w:tcBorders>
            <w:noWrap/>
            <w:vAlign w:val="bottom"/>
            <w:hideMark/>
          </w:tcPr>
          <w:p w14:paraId="3E976827"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 </w:t>
            </w:r>
          </w:p>
        </w:tc>
      </w:tr>
      <w:tr w:rsidR="00AE4452" w:rsidRPr="00D96905" w14:paraId="0DDD31B9" w14:textId="77777777" w:rsidTr="00617810">
        <w:trPr>
          <w:trHeight w:val="270"/>
        </w:trPr>
        <w:tc>
          <w:tcPr>
            <w:tcW w:w="960" w:type="dxa"/>
            <w:tcBorders>
              <w:top w:val="nil"/>
              <w:left w:val="nil"/>
              <w:bottom w:val="single" w:sz="8" w:space="0" w:color="auto"/>
              <w:right w:val="nil"/>
            </w:tcBorders>
            <w:noWrap/>
            <w:vAlign w:val="bottom"/>
            <w:hideMark/>
          </w:tcPr>
          <w:p w14:paraId="3AB04A17"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 </w:t>
            </w:r>
          </w:p>
        </w:tc>
        <w:tc>
          <w:tcPr>
            <w:tcW w:w="1214" w:type="dxa"/>
            <w:tcBorders>
              <w:top w:val="nil"/>
              <w:left w:val="nil"/>
              <w:bottom w:val="single" w:sz="8" w:space="0" w:color="auto"/>
              <w:right w:val="nil"/>
            </w:tcBorders>
            <w:noWrap/>
            <w:vAlign w:val="center"/>
            <w:hideMark/>
          </w:tcPr>
          <w:p w14:paraId="18171EB0"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Without Trend</w:t>
            </w:r>
          </w:p>
        </w:tc>
        <w:tc>
          <w:tcPr>
            <w:tcW w:w="780" w:type="dxa"/>
            <w:tcBorders>
              <w:top w:val="nil"/>
              <w:left w:val="nil"/>
              <w:bottom w:val="single" w:sz="8" w:space="0" w:color="auto"/>
              <w:right w:val="nil"/>
            </w:tcBorders>
            <w:noWrap/>
            <w:vAlign w:val="center"/>
            <w:hideMark/>
          </w:tcPr>
          <w:p w14:paraId="4A01009B"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P value</w:t>
            </w:r>
          </w:p>
        </w:tc>
        <w:tc>
          <w:tcPr>
            <w:tcW w:w="958" w:type="dxa"/>
            <w:tcBorders>
              <w:top w:val="nil"/>
              <w:left w:val="nil"/>
              <w:bottom w:val="single" w:sz="8" w:space="0" w:color="auto"/>
              <w:right w:val="nil"/>
            </w:tcBorders>
            <w:noWrap/>
            <w:vAlign w:val="center"/>
            <w:hideMark/>
          </w:tcPr>
          <w:p w14:paraId="23811CC4"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With Trend</w:t>
            </w:r>
          </w:p>
        </w:tc>
        <w:tc>
          <w:tcPr>
            <w:tcW w:w="960" w:type="dxa"/>
            <w:tcBorders>
              <w:top w:val="nil"/>
              <w:left w:val="nil"/>
              <w:bottom w:val="single" w:sz="8" w:space="0" w:color="auto"/>
              <w:right w:val="nil"/>
            </w:tcBorders>
            <w:noWrap/>
            <w:vAlign w:val="center"/>
            <w:hideMark/>
          </w:tcPr>
          <w:p w14:paraId="2B39589B"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P value</w:t>
            </w:r>
          </w:p>
        </w:tc>
        <w:tc>
          <w:tcPr>
            <w:tcW w:w="1300" w:type="dxa"/>
            <w:tcBorders>
              <w:top w:val="nil"/>
              <w:left w:val="nil"/>
              <w:bottom w:val="single" w:sz="8" w:space="0" w:color="auto"/>
              <w:right w:val="nil"/>
            </w:tcBorders>
            <w:noWrap/>
            <w:vAlign w:val="center"/>
            <w:hideMark/>
          </w:tcPr>
          <w:p w14:paraId="5208FE23"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Without Trend</w:t>
            </w:r>
          </w:p>
        </w:tc>
        <w:tc>
          <w:tcPr>
            <w:tcW w:w="835" w:type="dxa"/>
            <w:tcBorders>
              <w:top w:val="nil"/>
              <w:left w:val="nil"/>
              <w:bottom w:val="single" w:sz="8" w:space="0" w:color="auto"/>
              <w:right w:val="nil"/>
            </w:tcBorders>
            <w:noWrap/>
            <w:vAlign w:val="center"/>
            <w:hideMark/>
          </w:tcPr>
          <w:p w14:paraId="3E0A57A9"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P value</w:t>
            </w:r>
          </w:p>
        </w:tc>
        <w:tc>
          <w:tcPr>
            <w:tcW w:w="1026" w:type="dxa"/>
            <w:tcBorders>
              <w:top w:val="nil"/>
              <w:left w:val="nil"/>
              <w:bottom w:val="single" w:sz="8" w:space="0" w:color="auto"/>
              <w:right w:val="nil"/>
            </w:tcBorders>
            <w:noWrap/>
            <w:vAlign w:val="center"/>
            <w:hideMark/>
          </w:tcPr>
          <w:p w14:paraId="2DD1CB28"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With Trend</w:t>
            </w:r>
          </w:p>
        </w:tc>
        <w:tc>
          <w:tcPr>
            <w:tcW w:w="960" w:type="dxa"/>
            <w:tcBorders>
              <w:top w:val="nil"/>
              <w:left w:val="nil"/>
              <w:bottom w:val="single" w:sz="8" w:space="0" w:color="auto"/>
              <w:right w:val="nil"/>
            </w:tcBorders>
            <w:noWrap/>
            <w:vAlign w:val="center"/>
            <w:hideMark/>
          </w:tcPr>
          <w:p w14:paraId="646B926C"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P value</w:t>
            </w:r>
          </w:p>
        </w:tc>
      </w:tr>
      <w:tr w:rsidR="00AE4452" w:rsidRPr="00D96905" w14:paraId="04DBB3FE" w14:textId="77777777" w:rsidTr="00617810">
        <w:trPr>
          <w:trHeight w:val="290"/>
        </w:trPr>
        <w:tc>
          <w:tcPr>
            <w:tcW w:w="960" w:type="dxa"/>
            <w:tcBorders>
              <w:top w:val="nil"/>
              <w:left w:val="nil"/>
              <w:bottom w:val="nil"/>
              <w:right w:val="nil"/>
            </w:tcBorders>
            <w:noWrap/>
            <w:vAlign w:val="bottom"/>
            <w:hideMark/>
          </w:tcPr>
          <w:p w14:paraId="79C93CAD" w14:textId="77777777" w:rsidR="00AE4452" w:rsidRPr="00D96905" w:rsidRDefault="00AE4452" w:rsidP="00617810">
            <w:pPr>
              <w:spacing w:after="0" w:line="240" w:lineRule="auto"/>
              <w:rPr>
                <w:rFonts w:ascii="Times New Roman" w:eastAsia="Times New Roman" w:hAnsi="Times New Roman" w:cs="Times New Roman"/>
                <w:kern w:val="0"/>
                <w:sz w:val="22"/>
                <w:szCs w:val="22"/>
                <w14:ligatures w14:val="none"/>
              </w:rPr>
            </w:pPr>
            <w:r w:rsidRPr="00D96905">
              <w:rPr>
                <w:rFonts w:ascii="Times New Roman" w:eastAsia="Times New Roman" w:hAnsi="Times New Roman" w:cs="Times New Roman"/>
                <w:kern w:val="0"/>
                <w:sz w:val="22"/>
                <w:szCs w:val="22"/>
                <w14:ligatures w14:val="none"/>
              </w:rPr>
              <w:t>FD</w:t>
            </w:r>
          </w:p>
        </w:tc>
        <w:tc>
          <w:tcPr>
            <w:tcW w:w="1214" w:type="dxa"/>
            <w:tcBorders>
              <w:top w:val="nil"/>
              <w:left w:val="nil"/>
              <w:bottom w:val="nil"/>
              <w:right w:val="nil"/>
            </w:tcBorders>
            <w:noWrap/>
            <w:vAlign w:val="center"/>
            <w:hideMark/>
          </w:tcPr>
          <w:p w14:paraId="3829BB13"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8.500</w:t>
            </w:r>
          </w:p>
        </w:tc>
        <w:tc>
          <w:tcPr>
            <w:tcW w:w="780" w:type="dxa"/>
            <w:tcBorders>
              <w:top w:val="nil"/>
              <w:left w:val="nil"/>
              <w:bottom w:val="nil"/>
              <w:right w:val="nil"/>
            </w:tcBorders>
            <w:noWrap/>
            <w:vAlign w:val="bottom"/>
            <w:hideMark/>
          </w:tcPr>
          <w:p w14:paraId="33FA960E"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0.310</w:t>
            </w:r>
          </w:p>
        </w:tc>
        <w:tc>
          <w:tcPr>
            <w:tcW w:w="958" w:type="dxa"/>
            <w:tcBorders>
              <w:top w:val="nil"/>
              <w:left w:val="nil"/>
              <w:bottom w:val="nil"/>
              <w:right w:val="nil"/>
            </w:tcBorders>
            <w:noWrap/>
            <w:vAlign w:val="bottom"/>
            <w:hideMark/>
          </w:tcPr>
          <w:p w14:paraId="2F5B5BDF"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10.200</w:t>
            </w:r>
          </w:p>
        </w:tc>
        <w:tc>
          <w:tcPr>
            <w:tcW w:w="960" w:type="dxa"/>
            <w:tcBorders>
              <w:top w:val="nil"/>
              <w:left w:val="nil"/>
              <w:bottom w:val="nil"/>
              <w:right w:val="nil"/>
            </w:tcBorders>
            <w:noWrap/>
            <w:vAlign w:val="bottom"/>
            <w:hideMark/>
          </w:tcPr>
          <w:p w14:paraId="5EE04A1C"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0.250</w:t>
            </w:r>
          </w:p>
        </w:tc>
        <w:tc>
          <w:tcPr>
            <w:tcW w:w="1300" w:type="dxa"/>
            <w:tcBorders>
              <w:top w:val="nil"/>
              <w:left w:val="nil"/>
              <w:bottom w:val="nil"/>
              <w:right w:val="nil"/>
            </w:tcBorders>
            <w:noWrap/>
            <w:vAlign w:val="bottom"/>
            <w:hideMark/>
          </w:tcPr>
          <w:p w14:paraId="5D87F4AE"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-1.500</w:t>
            </w:r>
          </w:p>
        </w:tc>
        <w:tc>
          <w:tcPr>
            <w:tcW w:w="835" w:type="dxa"/>
            <w:tcBorders>
              <w:top w:val="nil"/>
              <w:left w:val="nil"/>
              <w:bottom w:val="nil"/>
              <w:right w:val="nil"/>
            </w:tcBorders>
            <w:noWrap/>
            <w:vAlign w:val="bottom"/>
            <w:hideMark/>
          </w:tcPr>
          <w:p w14:paraId="43C28F40"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0.130</w:t>
            </w:r>
          </w:p>
        </w:tc>
        <w:tc>
          <w:tcPr>
            <w:tcW w:w="1026" w:type="dxa"/>
            <w:tcBorders>
              <w:top w:val="nil"/>
              <w:left w:val="nil"/>
              <w:bottom w:val="nil"/>
              <w:right w:val="nil"/>
            </w:tcBorders>
            <w:noWrap/>
            <w:vAlign w:val="bottom"/>
            <w:hideMark/>
          </w:tcPr>
          <w:p w14:paraId="19FE7480"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-1.600</w:t>
            </w:r>
          </w:p>
        </w:tc>
        <w:tc>
          <w:tcPr>
            <w:tcW w:w="960" w:type="dxa"/>
            <w:tcBorders>
              <w:top w:val="nil"/>
              <w:left w:val="nil"/>
              <w:bottom w:val="nil"/>
              <w:right w:val="nil"/>
            </w:tcBorders>
            <w:noWrap/>
            <w:vAlign w:val="bottom"/>
            <w:hideMark/>
          </w:tcPr>
          <w:p w14:paraId="51C81BB4"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0.110</w:t>
            </w:r>
          </w:p>
        </w:tc>
      </w:tr>
      <w:tr w:rsidR="00AE4452" w:rsidRPr="00D96905" w14:paraId="3667966A" w14:textId="77777777" w:rsidTr="00617810">
        <w:trPr>
          <w:trHeight w:val="290"/>
        </w:trPr>
        <w:tc>
          <w:tcPr>
            <w:tcW w:w="960" w:type="dxa"/>
            <w:tcBorders>
              <w:top w:val="nil"/>
              <w:left w:val="nil"/>
              <w:bottom w:val="nil"/>
              <w:right w:val="nil"/>
            </w:tcBorders>
            <w:noWrap/>
            <w:vAlign w:val="bottom"/>
            <w:hideMark/>
          </w:tcPr>
          <w:p w14:paraId="7B94C474" w14:textId="77777777" w:rsidR="00AE4452" w:rsidRPr="00D96905" w:rsidRDefault="00AE4452" w:rsidP="00617810">
            <w:pPr>
              <w:spacing w:after="0" w:line="240" w:lineRule="auto"/>
              <w:rPr>
                <w:rFonts w:ascii="Times New Roman" w:eastAsia="Times New Roman" w:hAnsi="Times New Roman" w:cs="Times New Roman"/>
                <w:kern w:val="0"/>
                <w:sz w:val="22"/>
                <w:szCs w:val="22"/>
                <w14:ligatures w14:val="none"/>
              </w:rPr>
            </w:pPr>
            <w:r w:rsidRPr="00D96905">
              <w:rPr>
                <w:rFonts w:ascii="Times New Roman" w:eastAsia="Times New Roman" w:hAnsi="Times New Roman" w:cs="Times New Roman"/>
                <w:kern w:val="0"/>
                <w:sz w:val="22"/>
                <w:szCs w:val="22"/>
                <w14:ligatures w14:val="none"/>
              </w:rPr>
              <w:t>EG</w:t>
            </w:r>
          </w:p>
        </w:tc>
        <w:tc>
          <w:tcPr>
            <w:tcW w:w="1214" w:type="dxa"/>
            <w:tcBorders>
              <w:top w:val="nil"/>
              <w:left w:val="nil"/>
              <w:bottom w:val="nil"/>
              <w:right w:val="nil"/>
            </w:tcBorders>
            <w:noWrap/>
            <w:vAlign w:val="center"/>
            <w:hideMark/>
          </w:tcPr>
          <w:p w14:paraId="1541844A"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35.800</w:t>
            </w:r>
          </w:p>
        </w:tc>
        <w:tc>
          <w:tcPr>
            <w:tcW w:w="780" w:type="dxa"/>
            <w:tcBorders>
              <w:top w:val="nil"/>
              <w:left w:val="nil"/>
              <w:bottom w:val="nil"/>
              <w:right w:val="nil"/>
            </w:tcBorders>
            <w:noWrap/>
            <w:vAlign w:val="bottom"/>
            <w:hideMark/>
          </w:tcPr>
          <w:p w14:paraId="0D7CBEF6"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c>
          <w:tcPr>
            <w:tcW w:w="958" w:type="dxa"/>
            <w:tcBorders>
              <w:top w:val="nil"/>
              <w:left w:val="nil"/>
              <w:bottom w:val="nil"/>
              <w:right w:val="nil"/>
            </w:tcBorders>
            <w:noWrap/>
            <w:vAlign w:val="bottom"/>
            <w:hideMark/>
          </w:tcPr>
          <w:p w14:paraId="05B6A010"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40.500</w:t>
            </w:r>
          </w:p>
        </w:tc>
        <w:tc>
          <w:tcPr>
            <w:tcW w:w="960" w:type="dxa"/>
            <w:tcBorders>
              <w:top w:val="nil"/>
              <w:left w:val="nil"/>
              <w:bottom w:val="nil"/>
              <w:right w:val="nil"/>
            </w:tcBorders>
            <w:noWrap/>
            <w:vAlign w:val="bottom"/>
            <w:hideMark/>
          </w:tcPr>
          <w:p w14:paraId="4A273E3C"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c>
          <w:tcPr>
            <w:tcW w:w="1300" w:type="dxa"/>
            <w:tcBorders>
              <w:top w:val="nil"/>
              <w:left w:val="nil"/>
              <w:bottom w:val="nil"/>
              <w:right w:val="nil"/>
            </w:tcBorders>
            <w:noWrap/>
            <w:vAlign w:val="bottom"/>
            <w:hideMark/>
          </w:tcPr>
          <w:p w14:paraId="5E8B5505"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-3.800</w:t>
            </w:r>
          </w:p>
        </w:tc>
        <w:tc>
          <w:tcPr>
            <w:tcW w:w="835" w:type="dxa"/>
            <w:tcBorders>
              <w:top w:val="nil"/>
              <w:left w:val="nil"/>
              <w:bottom w:val="nil"/>
              <w:right w:val="nil"/>
            </w:tcBorders>
            <w:noWrap/>
            <w:vAlign w:val="bottom"/>
            <w:hideMark/>
          </w:tcPr>
          <w:p w14:paraId="224976C3"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c>
          <w:tcPr>
            <w:tcW w:w="1026" w:type="dxa"/>
            <w:tcBorders>
              <w:top w:val="nil"/>
              <w:left w:val="nil"/>
              <w:bottom w:val="nil"/>
              <w:right w:val="nil"/>
            </w:tcBorders>
            <w:noWrap/>
            <w:vAlign w:val="bottom"/>
            <w:hideMark/>
          </w:tcPr>
          <w:p w14:paraId="775DD76D"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-4.200</w:t>
            </w:r>
          </w:p>
        </w:tc>
        <w:tc>
          <w:tcPr>
            <w:tcW w:w="960" w:type="dxa"/>
            <w:tcBorders>
              <w:top w:val="nil"/>
              <w:left w:val="nil"/>
              <w:bottom w:val="nil"/>
              <w:right w:val="nil"/>
            </w:tcBorders>
            <w:noWrap/>
            <w:vAlign w:val="bottom"/>
            <w:hideMark/>
          </w:tcPr>
          <w:p w14:paraId="661E6077"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r>
      <w:tr w:rsidR="00AE4452" w:rsidRPr="00D96905" w14:paraId="4C4601B1" w14:textId="77777777" w:rsidTr="00617810">
        <w:trPr>
          <w:trHeight w:val="290"/>
        </w:trPr>
        <w:tc>
          <w:tcPr>
            <w:tcW w:w="960" w:type="dxa"/>
            <w:tcBorders>
              <w:top w:val="nil"/>
              <w:left w:val="nil"/>
              <w:bottom w:val="nil"/>
              <w:right w:val="nil"/>
            </w:tcBorders>
            <w:noWrap/>
            <w:vAlign w:val="bottom"/>
            <w:hideMark/>
          </w:tcPr>
          <w:p w14:paraId="3F022A8A" w14:textId="77777777" w:rsidR="00AE4452" w:rsidRPr="00D96905" w:rsidRDefault="00AE4452" w:rsidP="00617810">
            <w:pPr>
              <w:spacing w:after="0" w:line="240" w:lineRule="auto"/>
              <w:rPr>
                <w:rFonts w:ascii="Times New Roman" w:eastAsia="Times New Roman" w:hAnsi="Times New Roman" w:cs="Times New Roman"/>
                <w:kern w:val="0"/>
                <w:sz w:val="22"/>
                <w:szCs w:val="22"/>
                <w14:ligatures w14:val="none"/>
              </w:rPr>
            </w:pPr>
            <w:r w:rsidRPr="00D96905">
              <w:rPr>
                <w:rFonts w:ascii="Times New Roman" w:eastAsia="Times New Roman" w:hAnsi="Times New Roman" w:cs="Times New Roman"/>
                <w:kern w:val="0"/>
                <w:sz w:val="22"/>
                <w:szCs w:val="22"/>
                <w14:ligatures w14:val="none"/>
              </w:rPr>
              <w:t>TAX</w:t>
            </w:r>
          </w:p>
        </w:tc>
        <w:tc>
          <w:tcPr>
            <w:tcW w:w="1214" w:type="dxa"/>
            <w:tcBorders>
              <w:top w:val="nil"/>
              <w:left w:val="nil"/>
              <w:bottom w:val="nil"/>
              <w:right w:val="nil"/>
            </w:tcBorders>
            <w:noWrap/>
            <w:vAlign w:val="center"/>
            <w:hideMark/>
          </w:tcPr>
          <w:p w14:paraId="5126B54A"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10.100</w:t>
            </w:r>
          </w:p>
        </w:tc>
        <w:tc>
          <w:tcPr>
            <w:tcW w:w="780" w:type="dxa"/>
            <w:tcBorders>
              <w:top w:val="nil"/>
              <w:left w:val="nil"/>
              <w:bottom w:val="nil"/>
              <w:right w:val="nil"/>
            </w:tcBorders>
            <w:noWrap/>
            <w:vAlign w:val="bottom"/>
            <w:hideMark/>
          </w:tcPr>
          <w:p w14:paraId="5505CAD2"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0.260</w:t>
            </w:r>
          </w:p>
        </w:tc>
        <w:tc>
          <w:tcPr>
            <w:tcW w:w="958" w:type="dxa"/>
            <w:tcBorders>
              <w:top w:val="nil"/>
              <w:left w:val="nil"/>
              <w:bottom w:val="nil"/>
              <w:right w:val="nil"/>
            </w:tcBorders>
            <w:noWrap/>
            <w:vAlign w:val="bottom"/>
            <w:hideMark/>
          </w:tcPr>
          <w:p w14:paraId="5A42CC8E"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11.500</w:t>
            </w:r>
          </w:p>
        </w:tc>
        <w:tc>
          <w:tcPr>
            <w:tcW w:w="960" w:type="dxa"/>
            <w:tcBorders>
              <w:top w:val="nil"/>
              <w:left w:val="nil"/>
              <w:bottom w:val="nil"/>
              <w:right w:val="nil"/>
            </w:tcBorders>
            <w:noWrap/>
            <w:vAlign w:val="bottom"/>
            <w:hideMark/>
          </w:tcPr>
          <w:p w14:paraId="4FAE3D80"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0.170</w:t>
            </w:r>
          </w:p>
        </w:tc>
        <w:tc>
          <w:tcPr>
            <w:tcW w:w="1300" w:type="dxa"/>
            <w:tcBorders>
              <w:top w:val="nil"/>
              <w:left w:val="nil"/>
              <w:bottom w:val="nil"/>
              <w:right w:val="nil"/>
            </w:tcBorders>
            <w:noWrap/>
            <w:vAlign w:val="bottom"/>
            <w:hideMark/>
          </w:tcPr>
          <w:p w14:paraId="6A7A3023"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-1.300</w:t>
            </w:r>
          </w:p>
        </w:tc>
        <w:tc>
          <w:tcPr>
            <w:tcW w:w="835" w:type="dxa"/>
            <w:tcBorders>
              <w:top w:val="nil"/>
              <w:left w:val="nil"/>
              <w:bottom w:val="nil"/>
              <w:right w:val="nil"/>
            </w:tcBorders>
            <w:noWrap/>
            <w:vAlign w:val="bottom"/>
            <w:hideMark/>
          </w:tcPr>
          <w:p w14:paraId="6C95AA58"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0.190</w:t>
            </w:r>
          </w:p>
        </w:tc>
        <w:tc>
          <w:tcPr>
            <w:tcW w:w="1026" w:type="dxa"/>
            <w:tcBorders>
              <w:top w:val="nil"/>
              <w:left w:val="nil"/>
              <w:bottom w:val="nil"/>
              <w:right w:val="nil"/>
            </w:tcBorders>
            <w:noWrap/>
            <w:vAlign w:val="bottom"/>
            <w:hideMark/>
          </w:tcPr>
          <w:p w14:paraId="44B4E6EF"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-1.400</w:t>
            </w:r>
          </w:p>
        </w:tc>
        <w:tc>
          <w:tcPr>
            <w:tcW w:w="960" w:type="dxa"/>
            <w:tcBorders>
              <w:top w:val="nil"/>
              <w:left w:val="nil"/>
              <w:bottom w:val="nil"/>
              <w:right w:val="nil"/>
            </w:tcBorders>
            <w:noWrap/>
            <w:vAlign w:val="bottom"/>
            <w:hideMark/>
          </w:tcPr>
          <w:p w14:paraId="6B0C2721"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0.160</w:t>
            </w:r>
          </w:p>
        </w:tc>
      </w:tr>
      <w:tr w:rsidR="00AE4452" w:rsidRPr="00D96905" w14:paraId="66835540" w14:textId="77777777" w:rsidTr="00617810">
        <w:trPr>
          <w:trHeight w:val="290"/>
        </w:trPr>
        <w:tc>
          <w:tcPr>
            <w:tcW w:w="960" w:type="dxa"/>
            <w:tcBorders>
              <w:top w:val="nil"/>
              <w:left w:val="nil"/>
              <w:bottom w:val="nil"/>
              <w:right w:val="nil"/>
            </w:tcBorders>
            <w:noWrap/>
            <w:vAlign w:val="bottom"/>
            <w:hideMark/>
          </w:tcPr>
          <w:p w14:paraId="34BBC1F0" w14:textId="77777777" w:rsidR="00AE4452" w:rsidRPr="00D96905" w:rsidRDefault="00AE4452" w:rsidP="00617810">
            <w:pPr>
              <w:spacing w:after="0" w:line="240" w:lineRule="auto"/>
              <w:rPr>
                <w:rFonts w:ascii="Times New Roman" w:eastAsia="Times New Roman" w:hAnsi="Times New Roman" w:cs="Times New Roman"/>
                <w:kern w:val="0"/>
                <w:sz w:val="22"/>
                <w:szCs w:val="22"/>
                <w14:ligatures w14:val="none"/>
              </w:rPr>
            </w:pPr>
            <w:r w:rsidRPr="00D96905">
              <w:rPr>
                <w:rFonts w:ascii="Times New Roman" w:eastAsia="Times New Roman" w:hAnsi="Times New Roman" w:cs="Times New Roman"/>
                <w:kern w:val="0"/>
                <w:sz w:val="22"/>
                <w:szCs w:val="22"/>
                <w14:ligatures w14:val="none"/>
              </w:rPr>
              <w:t>FDI</w:t>
            </w:r>
          </w:p>
        </w:tc>
        <w:tc>
          <w:tcPr>
            <w:tcW w:w="1214" w:type="dxa"/>
            <w:tcBorders>
              <w:top w:val="nil"/>
              <w:left w:val="nil"/>
              <w:bottom w:val="nil"/>
              <w:right w:val="nil"/>
            </w:tcBorders>
            <w:noWrap/>
            <w:vAlign w:val="center"/>
            <w:hideMark/>
          </w:tcPr>
          <w:p w14:paraId="220BD77A"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9.000</w:t>
            </w:r>
          </w:p>
        </w:tc>
        <w:tc>
          <w:tcPr>
            <w:tcW w:w="780" w:type="dxa"/>
            <w:tcBorders>
              <w:top w:val="nil"/>
              <w:left w:val="nil"/>
              <w:bottom w:val="nil"/>
              <w:right w:val="nil"/>
            </w:tcBorders>
            <w:noWrap/>
            <w:vAlign w:val="bottom"/>
            <w:hideMark/>
          </w:tcPr>
          <w:p w14:paraId="3B561B24"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0.290</w:t>
            </w:r>
          </w:p>
        </w:tc>
        <w:tc>
          <w:tcPr>
            <w:tcW w:w="958" w:type="dxa"/>
            <w:tcBorders>
              <w:top w:val="nil"/>
              <w:left w:val="nil"/>
              <w:bottom w:val="nil"/>
              <w:right w:val="nil"/>
            </w:tcBorders>
            <w:noWrap/>
            <w:vAlign w:val="bottom"/>
            <w:hideMark/>
          </w:tcPr>
          <w:p w14:paraId="715C1A47"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10.800</w:t>
            </w:r>
          </w:p>
        </w:tc>
        <w:tc>
          <w:tcPr>
            <w:tcW w:w="960" w:type="dxa"/>
            <w:tcBorders>
              <w:top w:val="nil"/>
              <w:left w:val="nil"/>
              <w:bottom w:val="nil"/>
              <w:right w:val="nil"/>
            </w:tcBorders>
            <w:noWrap/>
            <w:vAlign w:val="bottom"/>
            <w:hideMark/>
          </w:tcPr>
          <w:p w14:paraId="75690CB4"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0.210</w:t>
            </w:r>
          </w:p>
        </w:tc>
        <w:tc>
          <w:tcPr>
            <w:tcW w:w="1300" w:type="dxa"/>
            <w:tcBorders>
              <w:top w:val="nil"/>
              <w:left w:val="nil"/>
              <w:bottom w:val="nil"/>
              <w:right w:val="nil"/>
            </w:tcBorders>
            <w:noWrap/>
            <w:vAlign w:val="bottom"/>
            <w:hideMark/>
          </w:tcPr>
          <w:p w14:paraId="5A19396B"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-1.500</w:t>
            </w:r>
          </w:p>
        </w:tc>
        <w:tc>
          <w:tcPr>
            <w:tcW w:w="835" w:type="dxa"/>
            <w:tcBorders>
              <w:top w:val="nil"/>
              <w:left w:val="nil"/>
              <w:bottom w:val="nil"/>
              <w:right w:val="nil"/>
            </w:tcBorders>
            <w:noWrap/>
            <w:vAlign w:val="bottom"/>
            <w:hideMark/>
          </w:tcPr>
          <w:p w14:paraId="14BCAA98"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0.140</w:t>
            </w:r>
          </w:p>
        </w:tc>
        <w:tc>
          <w:tcPr>
            <w:tcW w:w="1026" w:type="dxa"/>
            <w:tcBorders>
              <w:top w:val="nil"/>
              <w:left w:val="nil"/>
              <w:bottom w:val="nil"/>
              <w:right w:val="nil"/>
            </w:tcBorders>
            <w:noWrap/>
            <w:vAlign w:val="bottom"/>
            <w:hideMark/>
          </w:tcPr>
          <w:p w14:paraId="24E95233"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-1.700</w:t>
            </w:r>
          </w:p>
        </w:tc>
        <w:tc>
          <w:tcPr>
            <w:tcW w:w="960" w:type="dxa"/>
            <w:tcBorders>
              <w:top w:val="nil"/>
              <w:left w:val="nil"/>
              <w:bottom w:val="nil"/>
              <w:right w:val="nil"/>
            </w:tcBorders>
            <w:noWrap/>
            <w:vAlign w:val="bottom"/>
            <w:hideMark/>
          </w:tcPr>
          <w:p w14:paraId="26034539"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0.090*</w:t>
            </w:r>
          </w:p>
        </w:tc>
      </w:tr>
      <w:tr w:rsidR="00AE4452" w:rsidRPr="00D96905" w14:paraId="10CF8B9D" w14:textId="77777777" w:rsidTr="00617810">
        <w:trPr>
          <w:trHeight w:val="290"/>
        </w:trPr>
        <w:tc>
          <w:tcPr>
            <w:tcW w:w="960" w:type="dxa"/>
            <w:tcBorders>
              <w:top w:val="nil"/>
              <w:left w:val="nil"/>
              <w:bottom w:val="nil"/>
              <w:right w:val="nil"/>
            </w:tcBorders>
            <w:noWrap/>
            <w:vAlign w:val="bottom"/>
            <w:hideMark/>
          </w:tcPr>
          <w:p w14:paraId="576A6545" w14:textId="77777777" w:rsidR="00AE4452" w:rsidRPr="00D96905" w:rsidRDefault="00AE4452" w:rsidP="00617810">
            <w:pPr>
              <w:spacing w:after="0" w:line="240" w:lineRule="auto"/>
              <w:rPr>
                <w:rFonts w:ascii="Times New Roman" w:eastAsia="Times New Roman" w:hAnsi="Times New Roman" w:cs="Times New Roman"/>
                <w:kern w:val="0"/>
                <w:sz w:val="22"/>
                <w:szCs w:val="22"/>
                <w14:ligatures w14:val="none"/>
              </w:rPr>
            </w:pPr>
            <w:r w:rsidRPr="00D96905">
              <w:rPr>
                <w:rFonts w:ascii="Times New Roman" w:eastAsia="Times New Roman" w:hAnsi="Times New Roman" w:cs="Times New Roman"/>
                <w:kern w:val="0"/>
                <w:sz w:val="22"/>
                <w:szCs w:val="22"/>
                <w14:ligatures w14:val="none"/>
              </w:rPr>
              <w:t>CPI</w:t>
            </w:r>
          </w:p>
        </w:tc>
        <w:tc>
          <w:tcPr>
            <w:tcW w:w="1214" w:type="dxa"/>
            <w:tcBorders>
              <w:top w:val="nil"/>
              <w:left w:val="nil"/>
              <w:bottom w:val="nil"/>
              <w:right w:val="nil"/>
            </w:tcBorders>
            <w:noWrap/>
            <w:vAlign w:val="center"/>
            <w:hideMark/>
          </w:tcPr>
          <w:p w14:paraId="27BBECEC"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7.800</w:t>
            </w:r>
          </w:p>
        </w:tc>
        <w:tc>
          <w:tcPr>
            <w:tcW w:w="780" w:type="dxa"/>
            <w:tcBorders>
              <w:top w:val="nil"/>
              <w:left w:val="nil"/>
              <w:bottom w:val="nil"/>
              <w:right w:val="nil"/>
            </w:tcBorders>
            <w:noWrap/>
            <w:vAlign w:val="bottom"/>
            <w:hideMark/>
          </w:tcPr>
          <w:p w14:paraId="6F7CDFF1"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0.350</w:t>
            </w:r>
          </w:p>
        </w:tc>
        <w:tc>
          <w:tcPr>
            <w:tcW w:w="958" w:type="dxa"/>
            <w:tcBorders>
              <w:top w:val="nil"/>
              <w:left w:val="nil"/>
              <w:bottom w:val="nil"/>
              <w:right w:val="nil"/>
            </w:tcBorders>
            <w:noWrap/>
            <w:vAlign w:val="bottom"/>
            <w:hideMark/>
          </w:tcPr>
          <w:p w14:paraId="24A801F6"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9.500</w:t>
            </w:r>
          </w:p>
        </w:tc>
        <w:tc>
          <w:tcPr>
            <w:tcW w:w="960" w:type="dxa"/>
            <w:tcBorders>
              <w:top w:val="nil"/>
              <w:left w:val="nil"/>
              <w:bottom w:val="nil"/>
              <w:right w:val="nil"/>
            </w:tcBorders>
            <w:noWrap/>
            <w:vAlign w:val="bottom"/>
            <w:hideMark/>
          </w:tcPr>
          <w:p w14:paraId="5C5FF2F0"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0.280</w:t>
            </w:r>
          </w:p>
        </w:tc>
        <w:tc>
          <w:tcPr>
            <w:tcW w:w="1300" w:type="dxa"/>
            <w:tcBorders>
              <w:top w:val="nil"/>
              <w:left w:val="nil"/>
              <w:bottom w:val="nil"/>
              <w:right w:val="nil"/>
            </w:tcBorders>
            <w:noWrap/>
            <w:vAlign w:val="bottom"/>
            <w:hideMark/>
          </w:tcPr>
          <w:p w14:paraId="67F7C058"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-1.200</w:t>
            </w:r>
          </w:p>
        </w:tc>
        <w:tc>
          <w:tcPr>
            <w:tcW w:w="835" w:type="dxa"/>
            <w:tcBorders>
              <w:top w:val="nil"/>
              <w:left w:val="nil"/>
              <w:bottom w:val="nil"/>
              <w:right w:val="nil"/>
            </w:tcBorders>
            <w:noWrap/>
            <w:vAlign w:val="bottom"/>
            <w:hideMark/>
          </w:tcPr>
          <w:p w14:paraId="269AE409"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0.230</w:t>
            </w:r>
          </w:p>
        </w:tc>
        <w:tc>
          <w:tcPr>
            <w:tcW w:w="1026" w:type="dxa"/>
            <w:tcBorders>
              <w:top w:val="nil"/>
              <w:left w:val="nil"/>
              <w:bottom w:val="nil"/>
              <w:right w:val="nil"/>
            </w:tcBorders>
            <w:noWrap/>
            <w:vAlign w:val="bottom"/>
            <w:hideMark/>
          </w:tcPr>
          <w:p w14:paraId="1F2AEE9C"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-1.300</w:t>
            </w:r>
          </w:p>
        </w:tc>
        <w:tc>
          <w:tcPr>
            <w:tcW w:w="960" w:type="dxa"/>
            <w:tcBorders>
              <w:top w:val="nil"/>
              <w:left w:val="nil"/>
              <w:bottom w:val="nil"/>
              <w:right w:val="nil"/>
            </w:tcBorders>
            <w:noWrap/>
            <w:vAlign w:val="bottom"/>
            <w:hideMark/>
          </w:tcPr>
          <w:p w14:paraId="4D109922"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0.190</w:t>
            </w:r>
          </w:p>
        </w:tc>
      </w:tr>
      <w:tr w:rsidR="00AE4452" w:rsidRPr="00D96905" w14:paraId="1FCB4F81" w14:textId="77777777" w:rsidTr="00617810">
        <w:trPr>
          <w:trHeight w:val="290"/>
        </w:trPr>
        <w:tc>
          <w:tcPr>
            <w:tcW w:w="960" w:type="dxa"/>
            <w:tcBorders>
              <w:top w:val="nil"/>
              <w:left w:val="nil"/>
              <w:bottom w:val="single" w:sz="4" w:space="0" w:color="auto"/>
              <w:right w:val="nil"/>
            </w:tcBorders>
            <w:noWrap/>
            <w:vAlign w:val="bottom"/>
            <w:hideMark/>
          </w:tcPr>
          <w:p w14:paraId="052BCCD9" w14:textId="77777777" w:rsidR="00AE4452" w:rsidRPr="00D96905" w:rsidRDefault="00AE4452" w:rsidP="00617810">
            <w:pPr>
              <w:spacing w:after="0" w:line="240" w:lineRule="auto"/>
              <w:rPr>
                <w:rFonts w:ascii="Times New Roman" w:eastAsia="Times New Roman" w:hAnsi="Times New Roman" w:cs="Times New Roman"/>
                <w:kern w:val="0"/>
                <w:sz w:val="22"/>
                <w:szCs w:val="22"/>
                <w14:ligatures w14:val="none"/>
              </w:rPr>
            </w:pPr>
            <w:r w:rsidRPr="00D96905">
              <w:rPr>
                <w:rFonts w:ascii="Times New Roman" w:eastAsia="Times New Roman" w:hAnsi="Times New Roman" w:cs="Times New Roman"/>
                <w:kern w:val="0"/>
                <w:sz w:val="22"/>
                <w:szCs w:val="22"/>
                <w14:ligatures w14:val="none"/>
              </w:rPr>
              <w:t>TR</w:t>
            </w:r>
          </w:p>
        </w:tc>
        <w:tc>
          <w:tcPr>
            <w:tcW w:w="1214" w:type="dxa"/>
            <w:tcBorders>
              <w:top w:val="nil"/>
              <w:left w:val="nil"/>
              <w:bottom w:val="single" w:sz="4" w:space="0" w:color="auto"/>
              <w:right w:val="nil"/>
            </w:tcBorders>
            <w:noWrap/>
            <w:vAlign w:val="center"/>
            <w:hideMark/>
          </w:tcPr>
          <w:p w14:paraId="7C5E46E4"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11.200</w:t>
            </w:r>
          </w:p>
        </w:tc>
        <w:tc>
          <w:tcPr>
            <w:tcW w:w="780" w:type="dxa"/>
            <w:tcBorders>
              <w:top w:val="nil"/>
              <w:left w:val="nil"/>
              <w:bottom w:val="single" w:sz="4" w:space="0" w:color="auto"/>
              <w:right w:val="nil"/>
            </w:tcBorders>
            <w:noWrap/>
            <w:vAlign w:val="bottom"/>
            <w:hideMark/>
          </w:tcPr>
          <w:p w14:paraId="47D2A385"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0.180</w:t>
            </w:r>
          </w:p>
        </w:tc>
        <w:tc>
          <w:tcPr>
            <w:tcW w:w="958" w:type="dxa"/>
            <w:tcBorders>
              <w:top w:val="nil"/>
              <w:left w:val="nil"/>
              <w:bottom w:val="single" w:sz="4" w:space="0" w:color="auto"/>
              <w:right w:val="nil"/>
            </w:tcBorders>
            <w:noWrap/>
            <w:vAlign w:val="bottom"/>
            <w:hideMark/>
          </w:tcPr>
          <w:p w14:paraId="76D8078B"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12.500</w:t>
            </w:r>
          </w:p>
        </w:tc>
        <w:tc>
          <w:tcPr>
            <w:tcW w:w="960" w:type="dxa"/>
            <w:tcBorders>
              <w:top w:val="nil"/>
              <w:left w:val="nil"/>
              <w:bottom w:val="single" w:sz="4" w:space="0" w:color="auto"/>
              <w:right w:val="nil"/>
            </w:tcBorders>
            <w:noWrap/>
            <w:vAlign w:val="bottom"/>
            <w:hideMark/>
          </w:tcPr>
          <w:p w14:paraId="58A664B8"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0.120</w:t>
            </w:r>
          </w:p>
        </w:tc>
        <w:tc>
          <w:tcPr>
            <w:tcW w:w="1300" w:type="dxa"/>
            <w:tcBorders>
              <w:top w:val="nil"/>
              <w:left w:val="nil"/>
              <w:bottom w:val="single" w:sz="4" w:space="0" w:color="auto"/>
              <w:right w:val="nil"/>
            </w:tcBorders>
            <w:noWrap/>
            <w:vAlign w:val="bottom"/>
            <w:hideMark/>
          </w:tcPr>
          <w:p w14:paraId="0272BF30"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-1.400</w:t>
            </w:r>
          </w:p>
        </w:tc>
        <w:tc>
          <w:tcPr>
            <w:tcW w:w="835" w:type="dxa"/>
            <w:tcBorders>
              <w:top w:val="nil"/>
              <w:left w:val="nil"/>
              <w:bottom w:val="single" w:sz="4" w:space="0" w:color="auto"/>
              <w:right w:val="nil"/>
            </w:tcBorders>
            <w:noWrap/>
            <w:vAlign w:val="bottom"/>
            <w:hideMark/>
          </w:tcPr>
          <w:p w14:paraId="071D4DD6"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0.160</w:t>
            </w:r>
          </w:p>
        </w:tc>
        <w:tc>
          <w:tcPr>
            <w:tcW w:w="1026" w:type="dxa"/>
            <w:tcBorders>
              <w:top w:val="nil"/>
              <w:left w:val="nil"/>
              <w:bottom w:val="single" w:sz="4" w:space="0" w:color="auto"/>
              <w:right w:val="nil"/>
            </w:tcBorders>
            <w:noWrap/>
            <w:vAlign w:val="bottom"/>
            <w:hideMark/>
          </w:tcPr>
          <w:p w14:paraId="0A3FC378"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-1.500</w:t>
            </w:r>
          </w:p>
        </w:tc>
        <w:tc>
          <w:tcPr>
            <w:tcW w:w="960" w:type="dxa"/>
            <w:tcBorders>
              <w:top w:val="nil"/>
              <w:left w:val="nil"/>
              <w:bottom w:val="single" w:sz="4" w:space="0" w:color="auto"/>
              <w:right w:val="nil"/>
            </w:tcBorders>
            <w:noWrap/>
            <w:vAlign w:val="bottom"/>
            <w:hideMark/>
          </w:tcPr>
          <w:p w14:paraId="4B3A89F5"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0.130</w:t>
            </w:r>
          </w:p>
        </w:tc>
      </w:tr>
      <w:tr w:rsidR="00AE4452" w:rsidRPr="00D96905" w14:paraId="086FEE88" w14:textId="77777777" w:rsidTr="00617810">
        <w:trPr>
          <w:trHeight w:val="260"/>
        </w:trPr>
        <w:tc>
          <w:tcPr>
            <w:tcW w:w="3912" w:type="dxa"/>
            <w:gridSpan w:val="4"/>
            <w:tcBorders>
              <w:top w:val="nil"/>
              <w:left w:val="nil"/>
              <w:bottom w:val="nil"/>
              <w:right w:val="nil"/>
            </w:tcBorders>
            <w:noWrap/>
            <w:vAlign w:val="bottom"/>
            <w:hideMark/>
          </w:tcPr>
          <w:p w14:paraId="55B5D018"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 xml:space="preserve">*** Denotes significance at 1% level. </w:t>
            </w:r>
          </w:p>
        </w:tc>
        <w:tc>
          <w:tcPr>
            <w:tcW w:w="960" w:type="dxa"/>
            <w:tcBorders>
              <w:top w:val="nil"/>
              <w:left w:val="nil"/>
              <w:bottom w:val="nil"/>
              <w:right w:val="nil"/>
            </w:tcBorders>
            <w:noWrap/>
            <w:vAlign w:val="bottom"/>
            <w:hideMark/>
          </w:tcPr>
          <w:p w14:paraId="3AFD0674"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p>
        </w:tc>
        <w:tc>
          <w:tcPr>
            <w:tcW w:w="1300" w:type="dxa"/>
            <w:tcBorders>
              <w:top w:val="nil"/>
              <w:left w:val="nil"/>
              <w:bottom w:val="nil"/>
              <w:right w:val="nil"/>
            </w:tcBorders>
            <w:noWrap/>
            <w:vAlign w:val="bottom"/>
            <w:hideMark/>
          </w:tcPr>
          <w:p w14:paraId="17ED72E6"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p>
        </w:tc>
        <w:tc>
          <w:tcPr>
            <w:tcW w:w="835" w:type="dxa"/>
            <w:tcBorders>
              <w:top w:val="nil"/>
              <w:left w:val="nil"/>
              <w:bottom w:val="nil"/>
              <w:right w:val="nil"/>
            </w:tcBorders>
            <w:noWrap/>
            <w:vAlign w:val="bottom"/>
            <w:hideMark/>
          </w:tcPr>
          <w:p w14:paraId="0B5DA478"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p>
        </w:tc>
        <w:tc>
          <w:tcPr>
            <w:tcW w:w="1026" w:type="dxa"/>
            <w:tcBorders>
              <w:top w:val="nil"/>
              <w:left w:val="nil"/>
              <w:bottom w:val="nil"/>
              <w:right w:val="nil"/>
            </w:tcBorders>
            <w:noWrap/>
            <w:vAlign w:val="bottom"/>
            <w:hideMark/>
          </w:tcPr>
          <w:p w14:paraId="227B4AF0"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6EF6ADA1"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p>
        </w:tc>
      </w:tr>
      <w:tr w:rsidR="00AE4452" w:rsidRPr="00D96905" w14:paraId="10B722D8" w14:textId="77777777" w:rsidTr="00617810">
        <w:trPr>
          <w:trHeight w:val="260"/>
        </w:trPr>
        <w:tc>
          <w:tcPr>
            <w:tcW w:w="3912" w:type="dxa"/>
            <w:gridSpan w:val="4"/>
            <w:tcBorders>
              <w:top w:val="nil"/>
              <w:left w:val="nil"/>
              <w:bottom w:val="nil"/>
              <w:right w:val="nil"/>
            </w:tcBorders>
            <w:noWrap/>
            <w:vAlign w:val="bottom"/>
            <w:hideMark/>
          </w:tcPr>
          <w:p w14:paraId="491E8064"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 Denotes significance at 10% level.</w:t>
            </w:r>
          </w:p>
        </w:tc>
        <w:tc>
          <w:tcPr>
            <w:tcW w:w="960" w:type="dxa"/>
            <w:tcBorders>
              <w:top w:val="nil"/>
              <w:left w:val="nil"/>
              <w:bottom w:val="nil"/>
              <w:right w:val="nil"/>
            </w:tcBorders>
            <w:noWrap/>
            <w:vAlign w:val="bottom"/>
            <w:hideMark/>
          </w:tcPr>
          <w:p w14:paraId="323063E1"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p>
        </w:tc>
        <w:tc>
          <w:tcPr>
            <w:tcW w:w="1300" w:type="dxa"/>
            <w:tcBorders>
              <w:top w:val="nil"/>
              <w:left w:val="nil"/>
              <w:bottom w:val="nil"/>
              <w:right w:val="nil"/>
            </w:tcBorders>
            <w:noWrap/>
            <w:vAlign w:val="bottom"/>
            <w:hideMark/>
          </w:tcPr>
          <w:p w14:paraId="057489A1"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p>
        </w:tc>
        <w:tc>
          <w:tcPr>
            <w:tcW w:w="835" w:type="dxa"/>
            <w:tcBorders>
              <w:top w:val="nil"/>
              <w:left w:val="nil"/>
              <w:bottom w:val="nil"/>
              <w:right w:val="nil"/>
            </w:tcBorders>
            <w:noWrap/>
            <w:vAlign w:val="bottom"/>
            <w:hideMark/>
          </w:tcPr>
          <w:p w14:paraId="62D0A5A0"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p>
        </w:tc>
        <w:tc>
          <w:tcPr>
            <w:tcW w:w="1026" w:type="dxa"/>
            <w:tcBorders>
              <w:top w:val="nil"/>
              <w:left w:val="nil"/>
              <w:bottom w:val="nil"/>
              <w:right w:val="nil"/>
            </w:tcBorders>
            <w:noWrap/>
            <w:vAlign w:val="bottom"/>
            <w:hideMark/>
          </w:tcPr>
          <w:p w14:paraId="796ED78B"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2C4FE955"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p>
        </w:tc>
      </w:tr>
    </w:tbl>
    <w:p w14:paraId="5CC07E73" w14:textId="77777777" w:rsidR="00AE4452" w:rsidRPr="00D96905" w:rsidRDefault="00AE4452" w:rsidP="00AE4452">
      <w:pPr>
        <w:jc w:val="both"/>
        <w:rPr>
          <w:rFonts w:ascii="Times New Roman" w:hAnsi="Times New Roman" w:cs="Times New Roman"/>
        </w:rPr>
      </w:pPr>
    </w:p>
    <w:p w14:paraId="5FBFF4A4" w14:textId="77777777" w:rsidR="00AE4452" w:rsidRPr="00D96905" w:rsidRDefault="00AE4452" w:rsidP="00AE4452">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Panel Co</w:t>
      </w:r>
      <w:r>
        <w:rPr>
          <w:rFonts w:ascii="Times New Roman" w:hAnsi="Times New Roman" w:cs="Times New Roman"/>
          <w:b/>
          <w:bCs/>
          <w:sz w:val="32"/>
          <w:szCs w:val="32"/>
        </w:rPr>
        <w:t>-</w:t>
      </w:r>
      <w:r w:rsidRPr="00D96905">
        <w:rPr>
          <w:rFonts w:ascii="Times New Roman" w:hAnsi="Times New Roman" w:cs="Times New Roman"/>
          <w:b/>
          <w:bCs/>
          <w:sz w:val="32"/>
          <w:szCs w:val="32"/>
        </w:rPr>
        <w:t>integration Test</w:t>
      </w:r>
    </w:p>
    <w:p w14:paraId="621922E0" w14:textId="65446443" w:rsidR="00AE4452" w:rsidRPr="00D96905" w:rsidRDefault="00AE4452" w:rsidP="00AE4452">
      <w:pPr>
        <w:spacing w:line="360" w:lineRule="auto"/>
        <w:jc w:val="both"/>
        <w:rPr>
          <w:rFonts w:ascii="Times New Roman" w:hAnsi="Times New Roman" w:cs="Times New Roman"/>
        </w:rPr>
      </w:pPr>
      <w:r w:rsidRPr="00D96905">
        <w:rPr>
          <w:rFonts w:ascii="Times New Roman" w:hAnsi="Times New Roman" w:cs="Times New Roman"/>
        </w:rPr>
        <w:t>The panel co</w:t>
      </w:r>
      <w:r>
        <w:rPr>
          <w:rFonts w:ascii="Times New Roman" w:hAnsi="Times New Roman" w:cs="Times New Roman"/>
        </w:rPr>
        <w:t>-</w:t>
      </w:r>
      <w:r w:rsidRPr="00D96905">
        <w:rPr>
          <w:rFonts w:ascii="Times New Roman" w:hAnsi="Times New Roman" w:cs="Times New Roman"/>
        </w:rPr>
        <w:t xml:space="preserve">integration test tests whether there is a long-run equilibrium between variables, even though they are individually non-stationary. In this study, the results of the Kao, Pedroni, and especially the Westerlund tests tell a similar story </w:t>
      </w:r>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&lt;EndNote&gt;&lt;Cite&gt;&lt;Author&gt;Westerlund&lt;/Author&gt;&lt;Year&gt;2008&lt;/Year&gt;&lt;RecNum&gt;38&lt;/RecNum&gt;&lt;DisplayText&gt;(Westerlund &amp;amp; Basher, 2008)&lt;/DisplayText&gt;&lt;record&gt;&lt;rec-number&gt;38&lt;/rec-number&gt;&lt;foreign-keys&gt;&lt;key app="EN" db-id="advdwe00srftrhedwtpxdpf6fvw2d5ev25r2" timestamp="1768065250"&gt;38&lt;/key&gt;&lt;/foreign-keys&gt;&lt;ref-type name="Journal Article"&gt;17&lt;/ref-type&gt;&lt;contributors&gt;&lt;authors&gt;&lt;author&gt;Westerlund, Joakim&lt;/author&gt;&lt;author&gt;Basher, Syed A&lt;/author&gt;&lt;/authors&gt;&lt;/contributors&gt;&lt;titles&gt;&lt;title&gt;Mixed signals among tests for panel cointegration&lt;/title&gt;&lt;secondary-title&gt;Economic Modelling&lt;/secondary-title&gt;&lt;/titles&gt;&lt;periodical&gt;&lt;full-title&gt;Economic Modelling&lt;/full-title&gt;&lt;/periodical&gt;&lt;pages&gt;128-136&lt;/pages&gt;&lt;volume&gt;25&lt;/volume&gt;&lt;number&gt;1&lt;/number&gt;&lt;dates&gt;&lt;year&gt;2008&lt;/year&gt;&lt;/dates&gt;&lt;isbn&gt;0264-9993&lt;/isbn&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noProof/>
        </w:rPr>
        <w:t>(</w:t>
      </w:r>
      <w:hyperlink w:anchor="_ENREF_44" w:tooltip="Westerlund, 2008 #38" w:history="1">
        <w:r w:rsidRPr="00D96905">
          <w:rPr>
            <w:rFonts w:ascii="Times New Roman" w:hAnsi="Times New Roman" w:cs="Times New Roman"/>
            <w:noProof/>
          </w:rPr>
          <w:t>Westerlund &amp; Basher, 2008</w:t>
        </w:r>
      </w:hyperlink>
      <w:r w:rsidRPr="00D96905">
        <w:rPr>
          <w:rFonts w:ascii="Times New Roman" w:hAnsi="Times New Roman" w:cs="Times New Roman"/>
          <w:noProof/>
        </w:rPr>
        <w:t>)</w:t>
      </w:r>
      <w:r w:rsidRPr="00D96905">
        <w:rPr>
          <w:rFonts w:ascii="Times New Roman" w:hAnsi="Times New Roman" w:cs="Times New Roman"/>
        </w:rPr>
        <w:fldChar w:fldCharType="end"/>
      </w:r>
      <w:r w:rsidRPr="00D96905">
        <w:rPr>
          <w:rFonts w:ascii="Times New Roman" w:hAnsi="Times New Roman" w:cs="Times New Roman"/>
        </w:rPr>
        <w:t>. The null hypothesis of co-integration is rejected since all these tests' p-values (between 0.000 and 0.002) are significant at the 1% level. In particular, the positive result of the Westerlund test, which controls for CSD and heterogeneity, provides conclusive evidence that there is a strong and durable long-run relationship between tax revenue, financial development, and other control variables, and that the model returns to equilibrium after short-term fluctuations.</w:t>
      </w:r>
    </w:p>
    <w:p w14:paraId="795BC968" w14:textId="77777777" w:rsidR="00AE4452" w:rsidRPr="00D96905" w:rsidRDefault="00AE4452" w:rsidP="00AE4452">
      <w:pPr>
        <w:spacing w:after="0"/>
        <w:jc w:val="both"/>
        <w:rPr>
          <w:rFonts w:ascii="Times New Roman" w:hAnsi="Times New Roman" w:cs="Times New Roman"/>
          <w:b/>
          <w:bCs/>
        </w:rPr>
      </w:pPr>
      <w:r w:rsidRPr="00D96905">
        <w:rPr>
          <w:rFonts w:ascii="Times New Roman" w:hAnsi="Times New Roman" w:cs="Times New Roman"/>
          <w:b/>
          <w:bCs/>
        </w:rPr>
        <w:t xml:space="preserve">Table 9: </w:t>
      </w:r>
      <w:r w:rsidRPr="00D96905">
        <w:rPr>
          <w:rFonts w:ascii="Times New Roman" w:hAnsi="Times New Roman" w:cs="Times New Roman"/>
          <w:i/>
          <w:iCs/>
        </w:rPr>
        <w:t>Panel Co</w:t>
      </w:r>
      <w:r>
        <w:rPr>
          <w:rFonts w:ascii="Times New Roman" w:hAnsi="Times New Roman" w:cs="Times New Roman"/>
          <w:i/>
          <w:iCs/>
        </w:rPr>
        <w:t>-</w:t>
      </w:r>
      <w:r w:rsidRPr="00D96905">
        <w:rPr>
          <w:rFonts w:ascii="Times New Roman" w:hAnsi="Times New Roman" w:cs="Times New Roman"/>
          <w:i/>
          <w:iCs/>
        </w:rPr>
        <w:t>integration</w:t>
      </w:r>
      <w:r w:rsidRPr="00D96905">
        <w:rPr>
          <w:rFonts w:ascii="Times New Roman" w:hAnsi="Times New Roman" w:cs="Times New Roman"/>
          <w:b/>
          <w:bCs/>
        </w:rPr>
        <w:t xml:space="preserve"> </w:t>
      </w:r>
    </w:p>
    <w:tbl>
      <w:tblPr>
        <w:tblW w:w="5000" w:type="pct"/>
        <w:tblBorders>
          <w:top w:val="single" w:sz="4" w:space="0" w:color="auto"/>
          <w:bottom w:val="single" w:sz="4" w:space="0" w:color="auto"/>
        </w:tblBorders>
        <w:tblLook w:val="04A0" w:firstRow="1" w:lastRow="0" w:firstColumn="1" w:lastColumn="0" w:noHBand="0" w:noVBand="1"/>
      </w:tblPr>
      <w:tblGrid>
        <w:gridCol w:w="6039"/>
        <w:gridCol w:w="1565"/>
        <w:gridCol w:w="1756"/>
      </w:tblGrid>
      <w:tr w:rsidR="00AE4452" w:rsidRPr="00D96905" w14:paraId="5AB5620B" w14:textId="77777777" w:rsidTr="00617810">
        <w:trPr>
          <w:trHeight w:val="260"/>
        </w:trPr>
        <w:tc>
          <w:tcPr>
            <w:tcW w:w="3225" w:type="pct"/>
            <w:tcBorders>
              <w:top w:val="single" w:sz="4" w:space="0" w:color="auto"/>
              <w:bottom w:val="single" w:sz="4" w:space="0" w:color="auto"/>
            </w:tcBorders>
            <w:noWrap/>
            <w:vAlign w:val="bottom"/>
            <w:hideMark/>
          </w:tcPr>
          <w:p w14:paraId="514A9969" w14:textId="77777777" w:rsidR="00AE4452" w:rsidRPr="00D96905" w:rsidRDefault="00AE4452" w:rsidP="00617810">
            <w:pPr>
              <w:spacing w:after="0" w:line="240" w:lineRule="auto"/>
              <w:rPr>
                <w:rFonts w:ascii="Times New Roman" w:eastAsia="Times New Roman" w:hAnsi="Times New Roman" w:cs="Times New Roman"/>
                <w:b/>
                <w:bCs/>
                <w:kern w:val="0"/>
                <w:sz w:val="20"/>
                <w:szCs w:val="20"/>
                <w14:ligatures w14:val="none"/>
              </w:rPr>
            </w:pPr>
            <w:r w:rsidRPr="00D96905">
              <w:rPr>
                <w:rFonts w:ascii="Times New Roman" w:eastAsia="Times New Roman" w:hAnsi="Times New Roman" w:cs="Times New Roman"/>
                <w:b/>
                <w:bCs/>
                <w:kern w:val="0"/>
                <w:sz w:val="20"/>
                <w:szCs w:val="20"/>
                <w14:ligatures w14:val="none"/>
              </w:rPr>
              <w:t>Kao test for cointegration</w:t>
            </w:r>
          </w:p>
        </w:tc>
        <w:tc>
          <w:tcPr>
            <w:tcW w:w="836" w:type="pct"/>
            <w:tcBorders>
              <w:top w:val="single" w:sz="4" w:space="0" w:color="auto"/>
              <w:bottom w:val="single" w:sz="4" w:space="0" w:color="auto"/>
            </w:tcBorders>
            <w:noWrap/>
            <w:vAlign w:val="center"/>
            <w:hideMark/>
          </w:tcPr>
          <w:p w14:paraId="35EC2A16"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Statistic</w:t>
            </w:r>
          </w:p>
        </w:tc>
        <w:tc>
          <w:tcPr>
            <w:tcW w:w="938" w:type="pct"/>
            <w:tcBorders>
              <w:top w:val="single" w:sz="4" w:space="0" w:color="auto"/>
              <w:bottom w:val="single" w:sz="4" w:space="0" w:color="auto"/>
            </w:tcBorders>
            <w:noWrap/>
            <w:vAlign w:val="center"/>
            <w:hideMark/>
          </w:tcPr>
          <w:p w14:paraId="401758C5"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p-value</w:t>
            </w:r>
          </w:p>
        </w:tc>
      </w:tr>
      <w:tr w:rsidR="00AE4452" w:rsidRPr="00D96905" w14:paraId="32C5D8E0" w14:textId="77777777" w:rsidTr="00617810">
        <w:trPr>
          <w:trHeight w:val="260"/>
        </w:trPr>
        <w:tc>
          <w:tcPr>
            <w:tcW w:w="3225" w:type="pct"/>
            <w:tcBorders>
              <w:top w:val="single" w:sz="4" w:space="0" w:color="auto"/>
            </w:tcBorders>
            <w:noWrap/>
            <w:vAlign w:val="bottom"/>
            <w:hideMark/>
          </w:tcPr>
          <w:p w14:paraId="7B7F3016"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lastRenderedPageBreak/>
              <w:t>Modified Dickey–Fuller t</w:t>
            </w:r>
          </w:p>
        </w:tc>
        <w:tc>
          <w:tcPr>
            <w:tcW w:w="836" w:type="pct"/>
            <w:tcBorders>
              <w:top w:val="single" w:sz="4" w:space="0" w:color="auto"/>
            </w:tcBorders>
            <w:noWrap/>
            <w:vAlign w:val="center"/>
            <w:hideMark/>
          </w:tcPr>
          <w:p w14:paraId="5964B201"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-2.845</w:t>
            </w:r>
          </w:p>
        </w:tc>
        <w:tc>
          <w:tcPr>
            <w:tcW w:w="938" w:type="pct"/>
            <w:tcBorders>
              <w:top w:val="single" w:sz="4" w:space="0" w:color="auto"/>
            </w:tcBorders>
            <w:noWrap/>
            <w:vAlign w:val="center"/>
            <w:hideMark/>
          </w:tcPr>
          <w:p w14:paraId="070DAD81"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0.002***</w:t>
            </w:r>
          </w:p>
        </w:tc>
      </w:tr>
      <w:tr w:rsidR="00AE4452" w:rsidRPr="00D96905" w14:paraId="42EC371B" w14:textId="77777777" w:rsidTr="00617810">
        <w:trPr>
          <w:trHeight w:val="260"/>
        </w:trPr>
        <w:tc>
          <w:tcPr>
            <w:tcW w:w="3225" w:type="pct"/>
            <w:noWrap/>
            <w:vAlign w:val="bottom"/>
            <w:hideMark/>
          </w:tcPr>
          <w:p w14:paraId="6B1DC6E4"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Dickey–Fuller t</w:t>
            </w:r>
          </w:p>
        </w:tc>
        <w:tc>
          <w:tcPr>
            <w:tcW w:w="836" w:type="pct"/>
            <w:noWrap/>
            <w:vAlign w:val="center"/>
            <w:hideMark/>
          </w:tcPr>
          <w:p w14:paraId="7063F789"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-3.150</w:t>
            </w:r>
          </w:p>
        </w:tc>
        <w:tc>
          <w:tcPr>
            <w:tcW w:w="938" w:type="pct"/>
            <w:noWrap/>
            <w:vAlign w:val="center"/>
            <w:hideMark/>
          </w:tcPr>
          <w:p w14:paraId="461C3363"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0.001***</w:t>
            </w:r>
          </w:p>
        </w:tc>
      </w:tr>
      <w:tr w:rsidR="00AE4452" w:rsidRPr="00D96905" w14:paraId="78802C39" w14:textId="77777777" w:rsidTr="00617810">
        <w:trPr>
          <w:trHeight w:val="260"/>
        </w:trPr>
        <w:tc>
          <w:tcPr>
            <w:tcW w:w="3225" w:type="pct"/>
            <w:noWrap/>
            <w:vAlign w:val="bottom"/>
            <w:hideMark/>
          </w:tcPr>
          <w:p w14:paraId="7B0ACDFD"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Augmented Dickey–Fuller t</w:t>
            </w:r>
          </w:p>
        </w:tc>
        <w:tc>
          <w:tcPr>
            <w:tcW w:w="836" w:type="pct"/>
            <w:noWrap/>
            <w:vAlign w:val="center"/>
            <w:hideMark/>
          </w:tcPr>
          <w:p w14:paraId="688D522D"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-4.620</w:t>
            </w:r>
          </w:p>
        </w:tc>
        <w:tc>
          <w:tcPr>
            <w:tcW w:w="938" w:type="pct"/>
            <w:noWrap/>
            <w:vAlign w:val="center"/>
            <w:hideMark/>
          </w:tcPr>
          <w:p w14:paraId="10967E83"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r>
      <w:tr w:rsidR="00AE4452" w:rsidRPr="00D96905" w14:paraId="6A954FF7" w14:textId="77777777" w:rsidTr="00617810">
        <w:trPr>
          <w:trHeight w:val="260"/>
        </w:trPr>
        <w:tc>
          <w:tcPr>
            <w:tcW w:w="3225" w:type="pct"/>
            <w:noWrap/>
            <w:vAlign w:val="bottom"/>
            <w:hideMark/>
          </w:tcPr>
          <w:p w14:paraId="682D6F3B"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Unadjusted modified Dickey–Fuller t</w:t>
            </w:r>
          </w:p>
        </w:tc>
        <w:tc>
          <w:tcPr>
            <w:tcW w:w="836" w:type="pct"/>
            <w:noWrap/>
            <w:vAlign w:val="center"/>
            <w:hideMark/>
          </w:tcPr>
          <w:p w14:paraId="32111342"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-3.950</w:t>
            </w:r>
          </w:p>
        </w:tc>
        <w:tc>
          <w:tcPr>
            <w:tcW w:w="938" w:type="pct"/>
            <w:noWrap/>
            <w:vAlign w:val="center"/>
            <w:hideMark/>
          </w:tcPr>
          <w:p w14:paraId="541CA93C"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r>
      <w:tr w:rsidR="00AE4452" w:rsidRPr="00D96905" w14:paraId="0B8C51D9" w14:textId="77777777" w:rsidTr="00617810">
        <w:trPr>
          <w:trHeight w:val="260"/>
        </w:trPr>
        <w:tc>
          <w:tcPr>
            <w:tcW w:w="3225" w:type="pct"/>
            <w:tcBorders>
              <w:bottom w:val="single" w:sz="4" w:space="0" w:color="auto"/>
            </w:tcBorders>
            <w:noWrap/>
            <w:vAlign w:val="bottom"/>
            <w:hideMark/>
          </w:tcPr>
          <w:p w14:paraId="7D29A984"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Unadjusted Dickey–Fuller t</w:t>
            </w:r>
          </w:p>
        </w:tc>
        <w:tc>
          <w:tcPr>
            <w:tcW w:w="836" w:type="pct"/>
            <w:tcBorders>
              <w:bottom w:val="single" w:sz="4" w:space="0" w:color="auto"/>
            </w:tcBorders>
            <w:noWrap/>
            <w:vAlign w:val="center"/>
            <w:hideMark/>
          </w:tcPr>
          <w:p w14:paraId="425937A5"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-4.100</w:t>
            </w:r>
          </w:p>
        </w:tc>
        <w:tc>
          <w:tcPr>
            <w:tcW w:w="938" w:type="pct"/>
            <w:tcBorders>
              <w:bottom w:val="single" w:sz="4" w:space="0" w:color="auto"/>
            </w:tcBorders>
            <w:noWrap/>
            <w:vAlign w:val="center"/>
            <w:hideMark/>
          </w:tcPr>
          <w:p w14:paraId="73B8972B"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r>
      <w:tr w:rsidR="00AE4452" w:rsidRPr="00D96905" w14:paraId="0F58EA17" w14:textId="77777777" w:rsidTr="00617810">
        <w:trPr>
          <w:trHeight w:val="260"/>
        </w:trPr>
        <w:tc>
          <w:tcPr>
            <w:tcW w:w="3225" w:type="pct"/>
            <w:tcBorders>
              <w:top w:val="single" w:sz="4" w:space="0" w:color="auto"/>
              <w:bottom w:val="single" w:sz="4" w:space="0" w:color="auto"/>
            </w:tcBorders>
            <w:noWrap/>
            <w:vAlign w:val="bottom"/>
            <w:hideMark/>
          </w:tcPr>
          <w:p w14:paraId="212CA3D0"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Pedroni</w:t>
            </w:r>
          </w:p>
        </w:tc>
        <w:tc>
          <w:tcPr>
            <w:tcW w:w="836" w:type="pct"/>
            <w:tcBorders>
              <w:top w:val="single" w:sz="4" w:space="0" w:color="auto"/>
              <w:bottom w:val="single" w:sz="4" w:space="0" w:color="auto"/>
            </w:tcBorders>
            <w:noWrap/>
            <w:vAlign w:val="bottom"/>
            <w:hideMark/>
          </w:tcPr>
          <w:p w14:paraId="48951BF5"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p>
        </w:tc>
        <w:tc>
          <w:tcPr>
            <w:tcW w:w="938" w:type="pct"/>
            <w:tcBorders>
              <w:top w:val="single" w:sz="4" w:space="0" w:color="auto"/>
              <w:bottom w:val="single" w:sz="4" w:space="0" w:color="auto"/>
            </w:tcBorders>
            <w:noWrap/>
            <w:vAlign w:val="bottom"/>
            <w:hideMark/>
          </w:tcPr>
          <w:p w14:paraId="1B5E6517"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p>
        </w:tc>
      </w:tr>
      <w:tr w:rsidR="00AE4452" w:rsidRPr="00D96905" w14:paraId="4AE39B6D" w14:textId="77777777" w:rsidTr="00617810">
        <w:trPr>
          <w:trHeight w:val="260"/>
        </w:trPr>
        <w:tc>
          <w:tcPr>
            <w:tcW w:w="3225" w:type="pct"/>
            <w:tcBorders>
              <w:top w:val="single" w:sz="4" w:space="0" w:color="auto"/>
            </w:tcBorders>
            <w:noWrap/>
            <w:vAlign w:val="bottom"/>
            <w:hideMark/>
          </w:tcPr>
          <w:p w14:paraId="611939D0"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Modified Phillips–Perron t</w:t>
            </w:r>
          </w:p>
        </w:tc>
        <w:tc>
          <w:tcPr>
            <w:tcW w:w="836" w:type="pct"/>
            <w:tcBorders>
              <w:top w:val="single" w:sz="4" w:space="0" w:color="auto"/>
            </w:tcBorders>
            <w:noWrap/>
            <w:vAlign w:val="center"/>
            <w:hideMark/>
          </w:tcPr>
          <w:p w14:paraId="1FCBC904"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-2.950</w:t>
            </w:r>
          </w:p>
        </w:tc>
        <w:tc>
          <w:tcPr>
            <w:tcW w:w="938" w:type="pct"/>
            <w:tcBorders>
              <w:top w:val="single" w:sz="4" w:space="0" w:color="auto"/>
            </w:tcBorders>
            <w:noWrap/>
            <w:vAlign w:val="center"/>
            <w:hideMark/>
          </w:tcPr>
          <w:p w14:paraId="67EB59DF"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0.002***</w:t>
            </w:r>
          </w:p>
        </w:tc>
      </w:tr>
      <w:tr w:rsidR="00AE4452" w:rsidRPr="00D96905" w14:paraId="7A7D4A6C" w14:textId="77777777" w:rsidTr="00617810">
        <w:trPr>
          <w:trHeight w:val="260"/>
        </w:trPr>
        <w:tc>
          <w:tcPr>
            <w:tcW w:w="3225" w:type="pct"/>
            <w:noWrap/>
            <w:vAlign w:val="bottom"/>
            <w:hideMark/>
          </w:tcPr>
          <w:p w14:paraId="18CE6F27"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Phillips–Perron t</w:t>
            </w:r>
          </w:p>
        </w:tc>
        <w:tc>
          <w:tcPr>
            <w:tcW w:w="836" w:type="pct"/>
            <w:noWrap/>
            <w:vAlign w:val="center"/>
            <w:hideMark/>
          </w:tcPr>
          <w:p w14:paraId="428AFABE"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-4.230</w:t>
            </w:r>
          </w:p>
        </w:tc>
        <w:tc>
          <w:tcPr>
            <w:tcW w:w="938" w:type="pct"/>
            <w:noWrap/>
            <w:vAlign w:val="center"/>
            <w:hideMark/>
          </w:tcPr>
          <w:p w14:paraId="68C2211D"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r>
      <w:tr w:rsidR="00AE4452" w:rsidRPr="00D96905" w14:paraId="61ADBA2B" w14:textId="77777777" w:rsidTr="00617810">
        <w:trPr>
          <w:trHeight w:val="260"/>
        </w:trPr>
        <w:tc>
          <w:tcPr>
            <w:tcW w:w="3225" w:type="pct"/>
            <w:tcBorders>
              <w:bottom w:val="single" w:sz="4" w:space="0" w:color="auto"/>
            </w:tcBorders>
            <w:noWrap/>
            <w:vAlign w:val="bottom"/>
            <w:hideMark/>
          </w:tcPr>
          <w:p w14:paraId="339CF8DC"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Augmented Dickey–Fuller t</w:t>
            </w:r>
          </w:p>
        </w:tc>
        <w:tc>
          <w:tcPr>
            <w:tcW w:w="836" w:type="pct"/>
            <w:tcBorders>
              <w:bottom w:val="single" w:sz="4" w:space="0" w:color="auto"/>
            </w:tcBorders>
            <w:noWrap/>
            <w:vAlign w:val="center"/>
            <w:hideMark/>
          </w:tcPr>
          <w:p w14:paraId="2803F1DB"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-5.120</w:t>
            </w:r>
          </w:p>
        </w:tc>
        <w:tc>
          <w:tcPr>
            <w:tcW w:w="938" w:type="pct"/>
            <w:tcBorders>
              <w:bottom w:val="single" w:sz="4" w:space="0" w:color="auto"/>
            </w:tcBorders>
            <w:noWrap/>
            <w:vAlign w:val="center"/>
            <w:hideMark/>
          </w:tcPr>
          <w:p w14:paraId="3A62218C"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r>
      <w:tr w:rsidR="00AE4452" w:rsidRPr="00D96905" w14:paraId="05335CF9" w14:textId="77777777" w:rsidTr="00617810">
        <w:trPr>
          <w:trHeight w:val="260"/>
        </w:trPr>
        <w:tc>
          <w:tcPr>
            <w:tcW w:w="3225" w:type="pct"/>
            <w:tcBorders>
              <w:top w:val="single" w:sz="4" w:space="0" w:color="auto"/>
              <w:bottom w:val="single" w:sz="4" w:space="0" w:color="auto"/>
            </w:tcBorders>
            <w:noWrap/>
            <w:vAlign w:val="bottom"/>
            <w:hideMark/>
          </w:tcPr>
          <w:p w14:paraId="60CBFA4E"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Westerlund</w:t>
            </w:r>
          </w:p>
        </w:tc>
        <w:tc>
          <w:tcPr>
            <w:tcW w:w="836" w:type="pct"/>
            <w:tcBorders>
              <w:top w:val="single" w:sz="4" w:space="0" w:color="auto"/>
              <w:bottom w:val="single" w:sz="4" w:space="0" w:color="auto"/>
            </w:tcBorders>
            <w:noWrap/>
            <w:vAlign w:val="bottom"/>
            <w:hideMark/>
          </w:tcPr>
          <w:p w14:paraId="0C4E77C1"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p>
        </w:tc>
        <w:tc>
          <w:tcPr>
            <w:tcW w:w="938" w:type="pct"/>
            <w:tcBorders>
              <w:top w:val="single" w:sz="4" w:space="0" w:color="auto"/>
              <w:bottom w:val="single" w:sz="4" w:space="0" w:color="auto"/>
            </w:tcBorders>
            <w:noWrap/>
            <w:vAlign w:val="bottom"/>
            <w:hideMark/>
          </w:tcPr>
          <w:p w14:paraId="3954CC6E"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p>
        </w:tc>
      </w:tr>
      <w:tr w:rsidR="00AE4452" w:rsidRPr="00D96905" w14:paraId="3793D17B" w14:textId="77777777" w:rsidTr="00617810">
        <w:trPr>
          <w:trHeight w:val="260"/>
        </w:trPr>
        <w:tc>
          <w:tcPr>
            <w:tcW w:w="3225" w:type="pct"/>
            <w:tcBorders>
              <w:top w:val="single" w:sz="4" w:space="0" w:color="auto"/>
            </w:tcBorders>
            <w:noWrap/>
            <w:vAlign w:val="bottom"/>
            <w:hideMark/>
          </w:tcPr>
          <w:p w14:paraId="1E827B19"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Variance Ratio</w:t>
            </w:r>
          </w:p>
        </w:tc>
        <w:tc>
          <w:tcPr>
            <w:tcW w:w="836" w:type="pct"/>
            <w:tcBorders>
              <w:top w:val="single" w:sz="4" w:space="0" w:color="auto"/>
            </w:tcBorders>
            <w:noWrap/>
            <w:vAlign w:val="center"/>
            <w:hideMark/>
          </w:tcPr>
          <w:p w14:paraId="0EB9423B"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3.450</w:t>
            </w:r>
          </w:p>
        </w:tc>
        <w:tc>
          <w:tcPr>
            <w:tcW w:w="938" w:type="pct"/>
            <w:tcBorders>
              <w:top w:val="single" w:sz="4" w:space="0" w:color="auto"/>
            </w:tcBorders>
            <w:noWrap/>
            <w:vAlign w:val="center"/>
            <w:hideMark/>
          </w:tcPr>
          <w:p w14:paraId="742E843B" w14:textId="77777777" w:rsidR="00AE4452" w:rsidRPr="00D96905" w:rsidRDefault="00AE4452" w:rsidP="00617810">
            <w:pPr>
              <w:spacing w:after="0" w:line="240" w:lineRule="auto"/>
              <w:jc w:val="center"/>
              <w:rPr>
                <w:rFonts w:ascii="Times New Roman" w:eastAsia="Times New Roman" w:hAnsi="Times New Roman" w:cs="Times New Roman"/>
                <w:kern w:val="0"/>
                <w:sz w:val="20"/>
                <w:szCs w:val="20"/>
                <w14:ligatures w14:val="none"/>
              </w:rPr>
            </w:pPr>
            <w:r w:rsidRPr="00D96905">
              <w:rPr>
                <w:rFonts w:ascii="Times New Roman" w:eastAsia="Times New Roman" w:hAnsi="Times New Roman" w:cs="Times New Roman"/>
                <w:kern w:val="0"/>
                <w:sz w:val="20"/>
                <w:szCs w:val="20"/>
                <w14:ligatures w14:val="none"/>
              </w:rPr>
              <w:t>0.000***</w:t>
            </w:r>
          </w:p>
        </w:tc>
      </w:tr>
    </w:tbl>
    <w:p w14:paraId="3CD833E0" w14:textId="77777777" w:rsidR="00AE4452" w:rsidRPr="00D96905" w:rsidRDefault="00AE4452" w:rsidP="00AE4452">
      <w:pPr>
        <w:jc w:val="both"/>
        <w:rPr>
          <w:rFonts w:ascii="Times New Roman" w:hAnsi="Times New Roman" w:cs="Times New Roman"/>
        </w:rPr>
      </w:pPr>
    </w:p>
    <w:p w14:paraId="4D4AEA32" w14:textId="77777777" w:rsidR="00AE4452" w:rsidRPr="00D96905" w:rsidRDefault="00AE4452" w:rsidP="00AE4452">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Westerlund Co</w:t>
      </w:r>
      <w:r>
        <w:rPr>
          <w:rFonts w:ascii="Times New Roman" w:hAnsi="Times New Roman" w:cs="Times New Roman"/>
          <w:b/>
          <w:bCs/>
          <w:sz w:val="32"/>
          <w:szCs w:val="32"/>
        </w:rPr>
        <w:t>-</w:t>
      </w:r>
      <w:r w:rsidRPr="00D96905">
        <w:rPr>
          <w:rFonts w:ascii="Times New Roman" w:hAnsi="Times New Roman" w:cs="Times New Roman"/>
          <w:b/>
          <w:bCs/>
          <w:sz w:val="32"/>
          <w:szCs w:val="32"/>
        </w:rPr>
        <w:t>integration Test</w:t>
      </w:r>
    </w:p>
    <w:p w14:paraId="4E07677D" w14:textId="21E7CFA4" w:rsidR="00AE4452" w:rsidRPr="00D96905" w:rsidRDefault="00AE4452" w:rsidP="00AE4452">
      <w:pPr>
        <w:spacing w:line="360" w:lineRule="auto"/>
        <w:jc w:val="both"/>
        <w:rPr>
          <w:rFonts w:ascii="Times New Roman" w:hAnsi="Times New Roman" w:cs="Times New Roman"/>
        </w:rPr>
      </w:pPr>
      <w:r w:rsidRPr="00D96905">
        <w:rPr>
          <w:rFonts w:ascii="Times New Roman" w:hAnsi="Times New Roman" w:cs="Times New Roman"/>
        </w:rPr>
        <w:t>This table confirms that there is a strong long-run relationship between your variables. The special feature of this test is that it takes into account cross-sectional dependence (CSD) and heterogeneity. Of the four statistics (Gt, Ga, Pt, Pa) given in the table, three (Gt, Pt, Pa) have p-values ​​(which are 0.000 and 0.004) that are significant at the 1% level. These results reject the null hypothesis of "No Co</w:t>
      </w:r>
      <w:r>
        <w:rPr>
          <w:rFonts w:ascii="Times New Roman" w:hAnsi="Times New Roman" w:cs="Times New Roman"/>
        </w:rPr>
        <w:t>-</w:t>
      </w:r>
      <w:r w:rsidRPr="00D96905">
        <w:rPr>
          <w:rFonts w:ascii="Times New Roman" w:hAnsi="Times New Roman" w:cs="Times New Roman"/>
        </w:rPr>
        <w:t xml:space="preserve">integration", which means that tax revenue, financial development and other variables move together in the long run and remain in equilibrium </w:t>
      </w:r>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&lt;EndNote&gt;&lt;Cite&gt;&lt;Author&gt;Westerlund&lt;/Author&gt;&lt;Year&gt;2008&lt;/Year&gt;&lt;RecNum&gt;38&lt;/RecNum&gt;&lt;DisplayText&gt;(Westerlund &amp;amp; Basher, 2008)&lt;/DisplayText&gt;&lt;record&gt;&lt;rec-number&gt;38&lt;/rec-number&gt;&lt;foreign-keys&gt;&lt;key app="EN" db-id="advdwe00srftrhedwtpxdpf6fvw2d5ev25r2" timestamp="1768065250"&gt;38&lt;/key&gt;&lt;/foreign-keys&gt;&lt;ref-type name="Journal Article"&gt;17&lt;/ref-type&gt;&lt;contributors&gt;&lt;authors&gt;&lt;author&gt;Westerlund, Joakim&lt;/author&gt;&lt;author&gt;Basher, Syed A&lt;/author&gt;&lt;/authors&gt;&lt;/contributors&gt;&lt;titles&gt;&lt;title&gt;Mixed signals among tests for panel cointegration&lt;/title&gt;&lt;secondary-title&gt;Economic Modelling&lt;/secondary-title&gt;&lt;/titles&gt;&lt;periodical&gt;&lt;full-title&gt;Economic Modelling&lt;/full-title&gt;&lt;/periodical&gt;&lt;pages&gt;128-136&lt;/pages&gt;&lt;volume&gt;25&lt;/volume&gt;&lt;number&gt;1&lt;/number&gt;&lt;dates&gt;&lt;year&gt;2008&lt;/year&gt;&lt;/dates&gt;&lt;isbn&gt;0264-9993&lt;/isbn&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noProof/>
        </w:rPr>
        <w:t>(</w:t>
      </w:r>
      <w:hyperlink w:anchor="_ENREF_44" w:tooltip="Westerlund, 2008 #38" w:history="1">
        <w:r w:rsidRPr="00D96905">
          <w:rPr>
            <w:rFonts w:ascii="Times New Roman" w:hAnsi="Times New Roman" w:cs="Times New Roman"/>
            <w:noProof/>
          </w:rPr>
          <w:t>Westerlund &amp; Basher, 2008</w:t>
        </w:r>
      </w:hyperlink>
      <w:r w:rsidRPr="00D96905">
        <w:rPr>
          <w:rFonts w:ascii="Times New Roman" w:hAnsi="Times New Roman" w:cs="Times New Roman"/>
          <w:noProof/>
        </w:rPr>
        <w:t>)</w:t>
      </w:r>
      <w:r w:rsidRPr="00D96905">
        <w:rPr>
          <w:rFonts w:ascii="Times New Roman" w:hAnsi="Times New Roman" w:cs="Times New Roman"/>
        </w:rPr>
        <w:fldChar w:fldCharType="end"/>
      </w:r>
      <w:r w:rsidRPr="00D96905">
        <w:rPr>
          <w:rFonts w:ascii="Times New Roman" w:hAnsi="Times New Roman" w:cs="Times New Roman"/>
        </w:rPr>
        <w:t>.</w:t>
      </w:r>
    </w:p>
    <w:tbl>
      <w:tblPr>
        <w:tblW w:w="5000" w:type="pct"/>
        <w:tblLook w:val="04A0" w:firstRow="1" w:lastRow="0" w:firstColumn="1" w:lastColumn="0" w:noHBand="0" w:noVBand="1"/>
      </w:tblPr>
      <w:tblGrid>
        <w:gridCol w:w="2803"/>
        <w:gridCol w:w="2186"/>
        <w:gridCol w:w="2186"/>
        <w:gridCol w:w="2185"/>
      </w:tblGrid>
      <w:tr w:rsidR="00AE4452" w:rsidRPr="00D96905" w14:paraId="55D80F17" w14:textId="77777777" w:rsidTr="00617810">
        <w:trPr>
          <w:trHeight w:val="290"/>
        </w:trPr>
        <w:tc>
          <w:tcPr>
            <w:tcW w:w="1497" w:type="pct"/>
            <w:tcBorders>
              <w:top w:val="nil"/>
              <w:left w:val="nil"/>
              <w:bottom w:val="nil"/>
              <w:right w:val="nil"/>
            </w:tcBorders>
            <w:noWrap/>
            <w:vAlign w:val="bottom"/>
            <w:hideMark/>
          </w:tcPr>
          <w:p w14:paraId="0D1A12C3" w14:textId="77777777" w:rsidR="00AE4452" w:rsidRPr="00D96905" w:rsidRDefault="00AE4452" w:rsidP="00617810">
            <w:pPr>
              <w:spacing w:after="0" w:line="240" w:lineRule="auto"/>
              <w:rPr>
                <w:rFonts w:ascii="Times New Roman" w:eastAsia="Times New Roman" w:hAnsi="Times New Roman" w:cs="Times New Roman"/>
                <w:b/>
                <w:bCs/>
                <w:kern w:val="0"/>
                <w14:ligatures w14:val="none"/>
              </w:rPr>
            </w:pPr>
            <w:r w:rsidRPr="00D96905">
              <w:rPr>
                <w:rFonts w:ascii="Times New Roman" w:eastAsia="Times New Roman" w:hAnsi="Times New Roman" w:cs="Times New Roman"/>
                <w:b/>
                <w:bCs/>
                <w:kern w:val="0"/>
                <w14:ligatures w14:val="none"/>
              </w:rPr>
              <w:t xml:space="preserve">Table 10: </w:t>
            </w:r>
            <w:r w:rsidRPr="00D96905">
              <w:rPr>
                <w:rFonts w:ascii="Times New Roman" w:eastAsia="Times New Roman" w:hAnsi="Times New Roman" w:cs="Times New Roman"/>
                <w:i/>
                <w:iCs/>
                <w:kern w:val="0"/>
                <w14:ligatures w14:val="none"/>
              </w:rPr>
              <w:t>Westerlund</w:t>
            </w:r>
          </w:p>
        </w:tc>
        <w:tc>
          <w:tcPr>
            <w:tcW w:w="1168" w:type="pct"/>
            <w:tcBorders>
              <w:top w:val="nil"/>
              <w:left w:val="nil"/>
              <w:bottom w:val="nil"/>
              <w:right w:val="nil"/>
            </w:tcBorders>
            <w:noWrap/>
            <w:vAlign w:val="bottom"/>
            <w:hideMark/>
          </w:tcPr>
          <w:p w14:paraId="3C4E68FB" w14:textId="77777777" w:rsidR="00AE4452" w:rsidRPr="00D96905" w:rsidRDefault="00AE4452" w:rsidP="00617810">
            <w:pPr>
              <w:spacing w:after="0" w:line="240" w:lineRule="auto"/>
              <w:rPr>
                <w:rFonts w:ascii="Times New Roman" w:eastAsia="Times New Roman" w:hAnsi="Times New Roman" w:cs="Times New Roman"/>
                <w:kern w:val="0"/>
                <w:sz w:val="22"/>
                <w:szCs w:val="22"/>
                <w14:ligatures w14:val="none"/>
              </w:rPr>
            </w:pPr>
          </w:p>
        </w:tc>
        <w:tc>
          <w:tcPr>
            <w:tcW w:w="1168" w:type="pct"/>
            <w:tcBorders>
              <w:top w:val="nil"/>
              <w:left w:val="nil"/>
              <w:bottom w:val="nil"/>
              <w:right w:val="nil"/>
            </w:tcBorders>
            <w:noWrap/>
            <w:vAlign w:val="bottom"/>
            <w:hideMark/>
          </w:tcPr>
          <w:p w14:paraId="271E2A1F"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p>
        </w:tc>
        <w:tc>
          <w:tcPr>
            <w:tcW w:w="1168" w:type="pct"/>
            <w:tcBorders>
              <w:top w:val="nil"/>
              <w:left w:val="nil"/>
              <w:bottom w:val="nil"/>
              <w:right w:val="nil"/>
            </w:tcBorders>
            <w:noWrap/>
            <w:vAlign w:val="bottom"/>
            <w:hideMark/>
          </w:tcPr>
          <w:p w14:paraId="4B429EEF" w14:textId="77777777" w:rsidR="00AE4452" w:rsidRPr="00D96905" w:rsidRDefault="00AE4452" w:rsidP="00617810">
            <w:pPr>
              <w:spacing w:after="0" w:line="240" w:lineRule="auto"/>
              <w:rPr>
                <w:rFonts w:ascii="Times New Roman" w:eastAsia="Times New Roman" w:hAnsi="Times New Roman" w:cs="Times New Roman"/>
                <w:kern w:val="0"/>
                <w:sz w:val="20"/>
                <w:szCs w:val="20"/>
                <w14:ligatures w14:val="none"/>
              </w:rPr>
            </w:pPr>
          </w:p>
        </w:tc>
      </w:tr>
      <w:tr w:rsidR="00AE4452" w:rsidRPr="00D96905" w14:paraId="0FCB9D3A" w14:textId="77777777" w:rsidTr="00617810">
        <w:trPr>
          <w:trHeight w:val="310"/>
        </w:trPr>
        <w:tc>
          <w:tcPr>
            <w:tcW w:w="1497" w:type="pct"/>
            <w:tcBorders>
              <w:top w:val="single" w:sz="4" w:space="0" w:color="auto"/>
              <w:left w:val="nil"/>
              <w:bottom w:val="single" w:sz="4" w:space="0" w:color="auto"/>
              <w:right w:val="nil"/>
            </w:tcBorders>
            <w:noWrap/>
            <w:vAlign w:val="bottom"/>
            <w:hideMark/>
          </w:tcPr>
          <w:p w14:paraId="5CC7BE25" w14:textId="77777777" w:rsidR="00AE4452" w:rsidRPr="00D96905" w:rsidRDefault="00AE4452" w:rsidP="00617810">
            <w:pPr>
              <w:spacing w:after="0" w:line="240" w:lineRule="auto"/>
              <w:rPr>
                <w:rFonts w:ascii="Times New Roman" w:eastAsia="Times New Roman" w:hAnsi="Times New Roman" w:cs="Times New Roman"/>
                <w:b/>
                <w:bCs/>
                <w:kern w:val="0"/>
                <w14:ligatures w14:val="none"/>
              </w:rPr>
            </w:pPr>
            <w:r w:rsidRPr="00D96905">
              <w:rPr>
                <w:rFonts w:ascii="Times New Roman" w:eastAsia="Times New Roman" w:hAnsi="Times New Roman" w:cs="Times New Roman"/>
                <w:b/>
                <w:bCs/>
                <w:kern w:val="0"/>
                <w14:ligatures w14:val="none"/>
              </w:rPr>
              <w:t>Statistic</w:t>
            </w:r>
          </w:p>
        </w:tc>
        <w:tc>
          <w:tcPr>
            <w:tcW w:w="1168" w:type="pct"/>
            <w:tcBorders>
              <w:top w:val="single" w:sz="4" w:space="0" w:color="auto"/>
              <w:left w:val="nil"/>
              <w:bottom w:val="single" w:sz="4" w:space="0" w:color="auto"/>
              <w:right w:val="nil"/>
            </w:tcBorders>
            <w:noWrap/>
            <w:vAlign w:val="center"/>
            <w:hideMark/>
          </w:tcPr>
          <w:p w14:paraId="75D674A5" w14:textId="77777777" w:rsidR="00AE4452" w:rsidRPr="00D96905" w:rsidRDefault="00AE4452" w:rsidP="00617810">
            <w:pPr>
              <w:spacing w:after="0" w:line="240" w:lineRule="auto"/>
              <w:jc w:val="center"/>
              <w:rPr>
                <w:rFonts w:ascii="Times New Roman" w:eastAsia="Times New Roman" w:hAnsi="Times New Roman" w:cs="Times New Roman"/>
                <w:b/>
                <w:bCs/>
                <w:kern w:val="0"/>
                <w14:ligatures w14:val="none"/>
              </w:rPr>
            </w:pPr>
            <w:r w:rsidRPr="00D96905">
              <w:rPr>
                <w:rFonts w:ascii="Times New Roman" w:eastAsia="Times New Roman" w:hAnsi="Times New Roman" w:cs="Times New Roman"/>
                <w:b/>
                <w:bCs/>
                <w:kern w:val="0"/>
                <w14:ligatures w14:val="none"/>
              </w:rPr>
              <w:t>Value</w:t>
            </w:r>
          </w:p>
        </w:tc>
        <w:tc>
          <w:tcPr>
            <w:tcW w:w="1168" w:type="pct"/>
            <w:tcBorders>
              <w:top w:val="single" w:sz="4" w:space="0" w:color="auto"/>
              <w:left w:val="nil"/>
              <w:bottom w:val="single" w:sz="4" w:space="0" w:color="auto"/>
              <w:right w:val="nil"/>
            </w:tcBorders>
            <w:noWrap/>
            <w:vAlign w:val="center"/>
            <w:hideMark/>
          </w:tcPr>
          <w:p w14:paraId="3F45CAAA" w14:textId="77777777" w:rsidR="00AE4452" w:rsidRPr="00D96905" w:rsidRDefault="00AE4452" w:rsidP="00617810">
            <w:pPr>
              <w:spacing w:after="0" w:line="240" w:lineRule="auto"/>
              <w:jc w:val="center"/>
              <w:rPr>
                <w:rFonts w:ascii="Times New Roman" w:eastAsia="Times New Roman" w:hAnsi="Times New Roman" w:cs="Times New Roman"/>
                <w:b/>
                <w:bCs/>
                <w:kern w:val="0"/>
                <w14:ligatures w14:val="none"/>
              </w:rPr>
            </w:pPr>
            <w:r w:rsidRPr="00D96905">
              <w:rPr>
                <w:rFonts w:ascii="Times New Roman" w:eastAsia="Times New Roman" w:hAnsi="Times New Roman" w:cs="Times New Roman"/>
                <w:b/>
                <w:bCs/>
                <w:kern w:val="0"/>
                <w14:ligatures w14:val="none"/>
              </w:rPr>
              <w:t>Z-value</w:t>
            </w:r>
          </w:p>
        </w:tc>
        <w:tc>
          <w:tcPr>
            <w:tcW w:w="1168" w:type="pct"/>
            <w:tcBorders>
              <w:top w:val="single" w:sz="4" w:space="0" w:color="auto"/>
              <w:left w:val="nil"/>
              <w:bottom w:val="single" w:sz="4" w:space="0" w:color="auto"/>
              <w:right w:val="nil"/>
            </w:tcBorders>
            <w:noWrap/>
            <w:vAlign w:val="center"/>
            <w:hideMark/>
          </w:tcPr>
          <w:p w14:paraId="737CA4CF" w14:textId="77777777" w:rsidR="00AE4452" w:rsidRPr="00D96905" w:rsidRDefault="00AE4452" w:rsidP="00617810">
            <w:pPr>
              <w:spacing w:after="0" w:line="240" w:lineRule="auto"/>
              <w:jc w:val="center"/>
              <w:rPr>
                <w:rFonts w:ascii="Times New Roman" w:eastAsia="Times New Roman" w:hAnsi="Times New Roman" w:cs="Times New Roman"/>
                <w:b/>
                <w:bCs/>
                <w:kern w:val="0"/>
                <w14:ligatures w14:val="none"/>
              </w:rPr>
            </w:pPr>
            <w:r w:rsidRPr="00D96905">
              <w:rPr>
                <w:rFonts w:ascii="Times New Roman" w:eastAsia="Times New Roman" w:hAnsi="Times New Roman" w:cs="Times New Roman"/>
                <w:b/>
                <w:bCs/>
                <w:kern w:val="0"/>
                <w14:ligatures w14:val="none"/>
              </w:rPr>
              <w:t>P-value</w:t>
            </w:r>
          </w:p>
        </w:tc>
      </w:tr>
      <w:tr w:rsidR="00AE4452" w:rsidRPr="00D96905" w14:paraId="66268045" w14:textId="77777777" w:rsidTr="00617810">
        <w:trPr>
          <w:trHeight w:val="310"/>
        </w:trPr>
        <w:tc>
          <w:tcPr>
            <w:tcW w:w="1497" w:type="pct"/>
            <w:tcBorders>
              <w:top w:val="nil"/>
              <w:left w:val="nil"/>
              <w:bottom w:val="nil"/>
              <w:right w:val="nil"/>
            </w:tcBorders>
            <w:noWrap/>
            <w:vAlign w:val="bottom"/>
            <w:hideMark/>
          </w:tcPr>
          <w:p w14:paraId="115B6FA6" w14:textId="77777777" w:rsidR="00AE4452" w:rsidRPr="00D96905" w:rsidRDefault="00AE4452" w:rsidP="00617810">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Gt</w:t>
            </w:r>
          </w:p>
        </w:tc>
        <w:tc>
          <w:tcPr>
            <w:tcW w:w="1168" w:type="pct"/>
            <w:tcBorders>
              <w:top w:val="nil"/>
              <w:left w:val="nil"/>
              <w:bottom w:val="nil"/>
              <w:right w:val="nil"/>
            </w:tcBorders>
            <w:noWrap/>
            <w:vAlign w:val="center"/>
            <w:hideMark/>
          </w:tcPr>
          <w:p w14:paraId="7BD6E1E8" w14:textId="77777777" w:rsidR="00AE4452" w:rsidRPr="00D96905" w:rsidRDefault="00AE4452" w:rsidP="00617810">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-2.687</w:t>
            </w:r>
          </w:p>
        </w:tc>
        <w:tc>
          <w:tcPr>
            <w:tcW w:w="1168" w:type="pct"/>
            <w:tcBorders>
              <w:top w:val="nil"/>
              <w:left w:val="nil"/>
              <w:bottom w:val="nil"/>
              <w:right w:val="nil"/>
            </w:tcBorders>
            <w:noWrap/>
            <w:vAlign w:val="center"/>
            <w:hideMark/>
          </w:tcPr>
          <w:p w14:paraId="7DA580BB" w14:textId="77777777" w:rsidR="00AE4452" w:rsidRPr="00D96905" w:rsidRDefault="00AE4452" w:rsidP="00617810">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2.984</w:t>
            </w:r>
          </w:p>
        </w:tc>
        <w:tc>
          <w:tcPr>
            <w:tcW w:w="1168" w:type="pct"/>
            <w:tcBorders>
              <w:top w:val="nil"/>
              <w:left w:val="nil"/>
              <w:bottom w:val="nil"/>
              <w:right w:val="nil"/>
            </w:tcBorders>
            <w:noWrap/>
            <w:vAlign w:val="center"/>
            <w:hideMark/>
          </w:tcPr>
          <w:p w14:paraId="51488516" w14:textId="77777777" w:rsidR="00AE4452" w:rsidRPr="00D96905" w:rsidRDefault="00AE4452" w:rsidP="00617810">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0</w:t>
            </w:r>
          </w:p>
        </w:tc>
      </w:tr>
      <w:tr w:rsidR="00AE4452" w:rsidRPr="00D96905" w14:paraId="189DBC73" w14:textId="77777777" w:rsidTr="00617810">
        <w:trPr>
          <w:trHeight w:val="310"/>
        </w:trPr>
        <w:tc>
          <w:tcPr>
            <w:tcW w:w="1497" w:type="pct"/>
            <w:tcBorders>
              <w:top w:val="nil"/>
              <w:left w:val="nil"/>
              <w:bottom w:val="nil"/>
              <w:right w:val="nil"/>
            </w:tcBorders>
            <w:noWrap/>
            <w:vAlign w:val="bottom"/>
            <w:hideMark/>
          </w:tcPr>
          <w:p w14:paraId="6E13CAC1" w14:textId="77777777" w:rsidR="00AE4452" w:rsidRPr="00D96905" w:rsidRDefault="00AE4452" w:rsidP="00617810">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Ga</w:t>
            </w:r>
          </w:p>
        </w:tc>
        <w:tc>
          <w:tcPr>
            <w:tcW w:w="1168" w:type="pct"/>
            <w:tcBorders>
              <w:top w:val="nil"/>
              <w:left w:val="nil"/>
              <w:bottom w:val="nil"/>
              <w:right w:val="nil"/>
            </w:tcBorders>
            <w:noWrap/>
            <w:vAlign w:val="center"/>
            <w:hideMark/>
          </w:tcPr>
          <w:p w14:paraId="08563957" w14:textId="77777777" w:rsidR="00AE4452" w:rsidRPr="00D96905" w:rsidRDefault="00AE4452" w:rsidP="00617810">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-10.589</w:t>
            </w:r>
          </w:p>
        </w:tc>
        <w:tc>
          <w:tcPr>
            <w:tcW w:w="1168" w:type="pct"/>
            <w:tcBorders>
              <w:top w:val="nil"/>
              <w:left w:val="nil"/>
              <w:bottom w:val="nil"/>
              <w:right w:val="nil"/>
            </w:tcBorders>
            <w:noWrap/>
            <w:vAlign w:val="center"/>
            <w:hideMark/>
          </w:tcPr>
          <w:p w14:paraId="6EE26F62" w14:textId="77777777" w:rsidR="00AE4452" w:rsidRPr="00D96905" w:rsidRDefault="00AE4452" w:rsidP="00617810">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1.267</w:t>
            </w:r>
          </w:p>
        </w:tc>
        <w:tc>
          <w:tcPr>
            <w:tcW w:w="1168" w:type="pct"/>
            <w:tcBorders>
              <w:top w:val="nil"/>
              <w:left w:val="nil"/>
              <w:bottom w:val="nil"/>
              <w:right w:val="nil"/>
            </w:tcBorders>
            <w:noWrap/>
            <w:vAlign w:val="center"/>
            <w:hideMark/>
          </w:tcPr>
          <w:p w14:paraId="7FD7E5F4" w14:textId="77777777" w:rsidR="00AE4452" w:rsidRPr="00D96905" w:rsidRDefault="00AE4452" w:rsidP="00617810">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0.101</w:t>
            </w:r>
          </w:p>
        </w:tc>
      </w:tr>
      <w:tr w:rsidR="00AE4452" w:rsidRPr="00D96905" w14:paraId="2100C3CF" w14:textId="77777777" w:rsidTr="00617810">
        <w:trPr>
          <w:trHeight w:val="310"/>
        </w:trPr>
        <w:tc>
          <w:tcPr>
            <w:tcW w:w="1497" w:type="pct"/>
            <w:tcBorders>
              <w:top w:val="nil"/>
              <w:left w:val="nil"/>
              <w:bottom w:val="nil"/>
              <w:right w:val="nil"/>
            </w:tcBorders>
            <w:noWrap/>
            <w:vAlign w:val="bottom"/>
            <w:hideMark/>
          </w:tcPr>
          <w:p w14:paraId="76535686" w14:textId="77777777" w:rsidR="00AE4452" w:rsidRPr="00D96905" w:rsidRDefault="00AE4452" w:rsidP="00617810">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Pt</w:t>
            </w:r>
          </w:p>
        </w:tc>
        <w:tc>
          <w:tcPr>
            <w:tcW w:w="1168" w:type="pct"/>
            <w:tcBorders>
              <w:top w:val="nil"/>
              <w:left w:val="nil"/>
              <w:bottom w:val="nil"/>
              <w:right w:val="nil"/>
            </w:tcBorders>
            <w:noWrap/>
            <w:vAlign w:val="center"/>
            <w:hideMark/>
          </w:tcPr>
          <w:p w14:paraId="762B4F35" w14:textId="77777777" w:rsidR="00AE4452" w:rsidRPr="00D96905" w:rsidRDefault="00AE4452" w:rsidP="00617810">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-7.789</w:t>
            </w:r>
          </w:p>
        </w:tc>
        <w:tc>
          <w:tcPr>
            <w:tcW w:w="1168" w:type="pct"/>
            <w:tcBorders>
              <w:top w:val="nil"/>
              <w:left w:val="nil"/>
              <w:bottom w:val="nil"/>
              <w:right w:val="nil"/>
            </w:tcBorders>
            <w:noWrap/>
            <w:vAlign w:val="center"/>
            <w:hideMark/>
          </w:tcPr>
          <w:p w14:paraId="768AA042" w14:textId="77777777" w:rsidR="00AE4452" w:rsidRPr="00D96905" w:rsidRDefault="00AE4452" w:rsidP="00617810">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3.01</w:t>
            </w:r>
          </w:p>
        </w:tc>
        <w:tc>
          <w:tcPr>
            <w:tcW w:w="1168" w:type="pct"/>
            <w:tcBorders>
              <w:top w:val="nil"/>
              <w:left w:val="nil"/>
              <w:bottom w:val="nil"/>
              <w:right w:val="nil"/>
            </w:tcBorders>
            <w:noWrap/>
            <w:vAlign w:val="center"/>
            <w:hideMark/>
          </w:tcPr>
          <w:p w14:paraId="3F32F57E" w14:textId="77777777" w:rsidR="00AE4452" w:rsidRPr="00D96905" w:rsidRDefault="00AE4452" w:rsidP="00617810">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0</w:t>
            </w:r>
          </w:p>
        </w:tc>
      </w:tr>
      <w:tr w:rsidR="00AE4452" w:rsidRPr="00D96905" w14:paraId="2B9CF55F" w14:textId="77777777" w:rsidTr="00617810">
        <w:trPr>
          <w:trHeight w:val="310"/>
        </w:trPr>
        <w:tc>
          <w:tcPr>
            <w:tcW w:w="1497" w:type="pct"/>
            <w:tcBorders>
              <w:top w:val="nil"/>
              <w:left w:val="nil"/>
              <w:bottom w:val="single" w:sz="4" w:space="0" w:color="auto"/>
              <w:right w:val="nil"/>
            </w:tcBorders>
            <w:noWrap/>
            <w:vAlign w:val="bottom"/>
            <w:hideMark/>
          </w:tcPr>
          <w:p w14:paraId="3564984B" w14:textId="77777777" w:rsidR="00AE4452" w:rsidRPr="00D96905" w:rsidRDefault="00AE4452" w:rsidP="00617810">
            <w:pPr>
              <w:spacing w:after="0" w:line="240" w:lineRule="auto"/>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Pa</w:t>
            </w:r>
          </w:p>
        </w:tc>
        <w:tc>
          <w:tcPr>
            <w:tcW w:w="1168" w:type="pct"/>
            <w:tcBorders>
              <w:top w:val="nil"/>
              <w:left w:val="nil"/>
              <w:bottom w:val="single" w:sz="4" w:space="0" w:color="auto"/>
              <w:right w:val="nil"/>
            </w:tcBorders>
            <w:noWrap/>
            <w:vAlign w:val="center"/>
            <w:hideMark/>
          </w:tcPr>
          <w:p w14:paraId="6F3342A5" w14:textId="77777777" w:rsidR="00AE4452" w:rsidRPr="00D96905" w:rsidRDefault="00AE4452" w:rsidP="00617810">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-9.899</w:t>
            </w:r>
          </w:p>
        </w:tc>
        <w:tc>
          <w:tcPr>
            <w:tcW w:w="1168" w:type="pct"/>
            <w:tcBorders>
              <w:top w:val="nil"/>
              <w:left w:val="nil"/>
              <w:bottom w:val="single" w:sz="4" w:space="0" w:color="auto"/>
              <w:right w:val="nil"/>
            </w:tcBorders>
            <w:noWrap/>
            <w:vAlign w:val="center"/>
            <w:hideMark/>
          </w:tcPr>
          <w:p w14:paraId="1C90A622" w14:textId="77777777" w:rsidR="00AE4452" w:rsidRPr="00D96905" w:rsidRDefault="00AE4452" w:rsidP="00617810">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2.325</w:t>
            </w:r>
          </w:p>
        </w:tc>
        <w:tc>
          <w:tcPr>
            <w:tcW w:w="1168" w:type="pct"/>
            <w:tcBorders>
              <w:top w:val="nil"/>
              <w:left w:val="nil"/>
              <w:bottom w:val="single" w:sz="4" w:space="0" w:color="auto"/>
              <w:right w:val="nil"/>
            </w:tcBorders>
            <w:noWrap/>
            <w:vAlign w:val="center"/>
            <w:hideMark/>
          </w:tcPr>
          <w:p w14:paraId="7442394B" w14:textId="77777777" w:rsidR="00AE4452" w:rsidRPr="00D96905" w:rsidRDefault="00AE4452" w:rsidP="00617810">
            <w:pPr>
              <w:spacing w:after="0" w:line="240" w:lineRule="auto"/>
              <w:jc w:val="center"/>
              <w:rPr>
                <w:rFonts w:ascii="Times New Roman" w:eastAsia="Times New Roman" w:hAnsi="Times New Roman" w:cs="Times New Roman"/>
                <w:kern w:val="0"/>
                <w14:ligatures w14:val="none"/>
              </w:rPr>
            </w:pPr>
            <w:r w:rsidRPr="00D96905">
              <w:rPr>
                <w:rFonts w:ascii="Times New Roman" w:eastAsia="Times New Roman" w:hAnsi="Times New Roman" w:cs="Times New Roman"/>
                <w:kern w:val="0"/>
                <w14:ligatures w14:val="none"/>
              </w:rPr>
              <w:t>0.004</w:t>
            </w:r>
          </w:p>
        </w:tc>
      </w:tr>
    </w:tbl>
    <w:p w14:paraId="3F7E128E" w14:textId="77777777" w:rsidR="00AE4452" w:rsidRPr="00D96905" w:rsidRDefault="00AE4452" w:rsidP="00AE4452">
      <w:pPr>
        <w:jc w:val="both"/>
        <w:rPr>
          <w:rFonts w:ascii="Times New Roman" w:hAnsi="Times New Roman" w:cs="Times New Roman"/>
        </w:rPr>
      </w:pPr>
    </w:p>
    <w:p w14:paraId="629AB1A4" w14:textId="77777777" w:rsidR="00AE4452" w:rsidRPr="00D96905" w:rsidRDefault="00AE4452" w:rsidP="00AE4452">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Discussion</w:t>
      </w:r>
    </w:p>
    <w:p w14:paraId="639DDB89" w14:textId="2FBFBF70" w:rsidR="00AE4452" w:rsidRPr="00D96905" w:rsidRDefault="00AE4452" w:rsidP="00AE4452">
      <w:pPr>
        <w:spacing w:line="360" w:lineRule="auto"/>
        <w:jc w:val="both"/>
        <w:rPr>
          <w:rFonts w:ascii="Times New Roman" w:hAnsi="Times New Roman" w:cs="Times New Roman"/>
        </w:rPr>
      </w:pPr>
      <w:r w:rsidRPr="00D96905">
        <w:rPr>
          <w:rFonts w:ascii="Times New Roman" w:hAnsi="Times New Roman" w:cs="Times New Roman"/>
        </w:rPr>
        <w:t xml:space="preserve">The purpose of this research was to examine the link between tax income and financial growth in developing economies, particularly the BRICS. Using panel data from 2010 to 2024, we applied advanced econometric techniques to unravel this complex relationship. The empirical evidence will not only substantiate the literature reviews that we have conducted but will also provide new information as far as </w:t>
      </w:r>
      <w:bookmarkStart w:id="0" w:name="_GoBack"/>
      <w:bookmarkEnd w:id="0"/>
      <w:r w:rsidRPr="00D96905">
        <w:rPr>
          <w:rFonts w:ascii="Times New Roman" w:hAnsi="Times New Roman" w:cs="Times New Roman"/>
        </w:rPr>
        <w:t>policy</w:t>
      </w:r>
      <w:r w:rsidR="005C031D">
        <w:rPr>
          <w:rFonts w:ascii="Times New Roman" w:hAnsi="Times New Roman" w:cs="Times New Roman"/>
        </w:rPr>
        <w:t>-</w:t>
      </w:r>
      <w:r w:rsidRPr="00D96905">
        <w:rPr>
          <w:rFonts w:ascii="Times New Roman" w:hAnsi="Times New Roman" w:cs="Times New Roman"/>
        </w:rPr>
        <w:t>making is concerned.</w:t>
      </w:r>
    </w:p>
    <w:p w14:paraId="39FBF362" w14:textId="2310A1EB" w:rsidR="00AE4452" w:rsidRPr="00D96905" w:rsidRDefault="00AE4452" w:rsidP="00AE4452">
      <w:pPr>
        <w:spacing w:line="360" w:lineRule="auto"/>
        <w:jc w:val="both"/>
        <w:rPr>
          <w:rFonts w:ascii="Times New Roman" w:hAnsi="Times New Roman" w:cs="Times New Roman"/>
        </w:rPr>
      </w:pPr>
      <w:r w:rsidRPr="00D96905">
        <w:rPr>
          <w:rFonts w:ascii="Times New Roman" w:hAnsi="Times New Roman" w:cs="Times New Roman"/>
        </w:rPr>
        <w:t xml:space="preserve">First, our initial analysis (Cross-Sectional Dependence Test) confirmed that the BRICS countries are economically deeply interconnected. This interdependence among these countries reflects the </w:t>
      </w:r>
      <w:r w:rsidRPr="00D96905">
        <w:rPr>
          <w:rFonts w:ascii="Times New Roman" w:hAnsi="Times New Roman" w:cs="Times New Roman"/>
        </w:rPr>
        <w:lastRenderedPageBreak/>
        <w:t xml:space="preserve">fact that in this era of </w:t>
      </w:r>
      <w:proofErr w:type="spellStart"/>
      <w:r w:rsidRPr="00D96905">
        <w:rPr>
          <w:rFonts w:ascii="Times New Roman" w:hAnsi="Times New Roman" w:cs="Times New Roman"/>
        </w:rPr>
        <w:t>globali</w:t>
      </w:r>
      <w:r>
        <w:rPr>
          <w:rFonts w:ascii="Times New Roman" w:hAnsi="Times New Roman" w:cs="Times New Roman"/>
        </w:rPr>
        <w:t>s</w:t>
      </w:r>
      <w:r w:rsidRPr="00D96905">
        <w:rPr>
          <w:rFonts w:ascii="Times New Roman" w:hAnsi="Times New Roman" w:cs="Times New Roman"/>
        </w:rPr>
        <w:t>ation</w:t>
      </w:r>
      <w:proofErr w:type="spellEnd"/>
      <w:r w:rsidRPr="00D96905">
        <w:rPr>
          <w:rFonts w:ascii="Times New Roman" w:hAnsi="Times New Roman" w:cs="Times New Roman"/>
        </w:rPr>
        <w:t xml:space="preserve">, a policy or economic shock in one member country affects the other members. This finding is consistent with the research of  </w:t>
      </w:r>
      <w:hyperlink w:anchor="_ENREF_10" w:tooltip="Chevallier, 2018 #39" w:history="1">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 AuthorYear="1"&gt;&lt;Author&gt;Chevallier&lt;/Author&gt;&lt;Year&gt;2018&lt;/Year&gt;&lt;RecNum&gt;39&lt;/RecNum&gt;&lt;DisplayText&gt;Chevallier et al. (2018)&lt;/DisplayText&gt;&lt;record&gt;&lt;rec-number&gt;39&lt;/rec-number&gt;&lt;foreign-keys&gt;&lt;key app="EN" db-id="advdwe00srftrhedwtpxdpf6fvw2d5ev25r2" timestamp="1768065356"&gt;39&lt;/key&gt;&lt;/foreign-keys&gt;&lt;ref-type name="Journal Article"&gt;17&lt;/ref-type&gt;&lt;contributors&gt;&lt;authors&gt;&lt;author&gt;Chevallier, Julien&lt;/author&gt;&lt;author&gt;Nguyen, Duc Khuong&lt;/author&gt;&lt;author&gt;Siverskog, Jonathan&lt;/author&gt;&lt;author&gt;Uddin, Gazi Salah&lt;/author&gt;&lt;/authors&gt;&lt;/contributors&gt;&lt;titles&gt;&lt;title&gt;Market integration and financial linkages among stock markets in Pacific Basin countries&lt;/title&gt;&lt;secondary-title&gt;Journal of Empirical Finance&lt;/secondary-title&gt;&lt;/titles&gt;&lt;periodical&gt;&lt;full-title&gt;Journal of Empirical Finance&lt;/full-title&gt;&lt;/periodical&gt;&lt;pages&gt;77-92&lt;/pages&gt;&lt;volume&gt;46&lt;/volume&gt;&lt;dates&gt;&lt;year&gt;2018&lt;/year&gt;&lt;/dates&gt;&lt;isbn&gt;0927-5398&lt;/isbn&gt;&lt;urls&gt;&lt;/urls&gt;&lt;/record&gt;&lt;/Cite&gt;&lt;/EndNote&gt;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noProof/>
          </w:rPr>
          <w:t>Chevallier et al. (2018)</w:t>
        </w:r>
        <w:r w:rsidRPr="00D96905">
          <w:rPr>
            <w:rFonts w:ascii="Times New Roman" w:hAnsi="Times New Roman" w:cs="Times New Roman"/>
          </w:rPr>
          <w:fldChar w:fldCharType="end"/>
        </w:r>
      </w:hyperlink>
      <w:r>
        <w:t>,</w:t>
      </w:r>
      <w:r w:rsidRPr="00D96905">
        <w:rPr>
          <w:rFonts w:ascii="Times New Roman" w:hAnsi="Times New Roman" w:cs="Times New Roman"/>
        </w:rPr>
        <w:t xml:space="preserve"> which suggests that financial market integration is increasing in developing regions. With such information in hand, we used the second-generation unit root test (</w:t>
      </w:r>
      <w:proofErr w:type="spellStart"/>
      <w:r w:rsidRPr="00D96905">
        <w:rPr>
          <w:rFonts w:ascii="Times New Roman" w:hAnsi="Times New Roman" w:cs="Times New Roman"/>
        </w:rPr>
        <w:t>Pesaran</w:t>
      </w:r>
      <w:proofErr w:type="spellEnd"/>
      <w:r w:rsidRPr="00D96905">
        <w:rPr>
          <w:rFonts w:ascii="Times New Roman" w:hAnsi="Times New Roman" w:cs="Times New Roman"/>
        </w:rPr>
        <w:t xml:space="preserve"> CADF) and the Westerlund co</w:t>
      </w:r>
      <w:r>
        <w:rPr>
          <w:rFonts w:ascii="Times New Roman" w:hAnsi="Times New Roman" w:cs="Times New Roman"/>
        </w:rPr>
        <w:t>-</w:t>
      </w:r>
      <w:r w:rsidRPr="00D96905">
        <w:rPr>
          <w:rFonts w:ascii="Times New Roman" w:hAnsi="Times New Roman" w:cs="Times New Roman"/>
        </w:rPr>
        <w:t>integration test</w:t>
      </w:r>
      <w:r>
        <w:rPr>
          <w:rFonts w:ascii="Times New Roman" w:hAnsi="Times New Roman" w:cs="Times New Roman"/>
        </w:rPr>
        <w:t>,</w:t>
      </w:r>
      <w:r w:rsidRPr="00D96905">
        <w:rPr>
          <w:rFonts w:ascii="Times New Roman" w:hAnsi="Times New Roman" w:cs="Times New Roman"/>
        </w:rPr>
        <w:t xml:space="preserve"> which confirmed the presence of </w:t>
      </w:r>
      <w:r>
        <w:rPr>
          <w:rFonts w:ascii="Times New Roman" w:hAnsi="Times New Roman" w:cs="Times New Roman"/>
        </w:rPr>
        <w:t>a</w:t>
      </w:r>
      <w:r w:rsidRPr="00D96905">
        <w:rPr>
          <w:rFonts w:ascii="Times New Roman" w:hAnsi="Times New Roman" w:cs="Times New Roman"/>
        </w:rPr>
        <w:t xml:space="preserve"> strong and stable link between the constructs. This proves that tax policies and financial development remain in a state of stability despite short-term fluctuations.</w:t>
      </w:r>
    </w:p>
    <w:p w14:paraId="11B4BD90" w14:textId="47F57FE9" w:rsidR="00AE4452" w:rsidRPr="00D96905" w:rsidRDefault="00AE4452" w:rsidP="00AE4452">
      <w:pPr>
        <w:spacing w:line="360" w:lineRule="auto"/>
        <w:jc w:val="both"/>
        <w:rPr>
          <w:rFonts w:ascii="Times New Roman" w:hAnsi="Times New Roman" w:cs="Times New Roman"/>
        </w:rPr>
      </w:pPr>
      <w:r w:rsidRPr="00D96905">
        <w:rPr>
          <w:rFonts w:ascii="Times New Roman" w:hAnsi="Times New Roman" w:cs="Times New Roman"/>
        </w:rPr>
        <w:t xml:space="preserve">The results of our regression analysis (Fixed Effect and FGLS) revealed a positive and statistically significant relationship between tax revenue and financial development. To be more exact, the FGLS model that takes into consideration the heterogeneity and cross-sectional dependence </w:t>
      </w:r>
      <w:r>
        <w:rPr>
          <w:rFonts w:ascii="Times New Roman" w:hAnsi="Times New Roman" w:cs="Times New Roman"/>
        </w:rPr>
        <w:t>i</w:t>
      </w:r>
      <w:r w:rsidRPr="00D96905">
        <w:rPr>
          <w:rFonts w:ascii="Times New Roman" w:hAnsi="Times New Roman" w:cs="Times New Roman"/>
        </w:rPr>
        <w:t>n the data indicates that the growth in tax revenue by 1 per</w:t>
      </w:r>
      <w:r>
        <w:rPr>
          <w:rFonts w:ascii="Times New Roman" w:hAnsi="Times New Roman" w:cs="Times New Roman"/>
        </w:rPr>
        <w:t xml:space="preserve"> </w:t>
      </w:r>
      <w:r w:rsidRPr="00D96905">
        <w:rPr>
          <w:rFonts w:ascii="Times New Roman" w:hAnsi="Times New Roman" w:cs="Times New Roman"/>
        </w:rPr>
        <w:t>cent results in a rise of financial development by approximately 0.21 per</w:t>
      </w:r>
      <w:r>
        <w:rPr>
          <w:rFonts w:ascii="Times New Roman" w:hAnsi="Times New Roman" w:cs="Times New Roman"/>
        </w:rPr>
        <w:t xml:space="preserve"> </w:t>
      </w:r>
      <w:r w:rsidRPr="00D96905">
        <w:rPr>
          <w:rFonts w:ascii="Times New Roman" w:hAnsi="Times New Roman" w:cs="Times New Roman"/>
        </w:rPr>
        <w:t xml:space="preserve">cent. This result is aligned with the works of </w:t>
      </w:r>
      <w:hyperlink w:anchor="_ENREF_31" w:tooltip="Nnyanzi, 2018 #40" w:history="1">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 AuthorYear="1"&gt;&lt;Author&gt;Nnyanzi&lt;/Author&gt;&lt;Year&gt;2018&lt;/Year&gt;&lt;RecNum&gt;40&lt;/RecNum&gt;&lt;DisplayText&gt;Nnyanzi et al. (2018)&lt;/DisplayText&gt;&lt;record&gt;&lt;rec-number&gt;40&lt;/rec-number&gt;&lt;foreign-keys&gt;&lt;key app="EN" db-id="advdwe00srftrhedwtpxdpf6fvw2d5ev25r2" timestamp="1768065464"&gt;40&lt;/key&gt;&lt;/foreign-keys&gt;&lt;ref-type name="Journal Article"&gt;17&lt;/ref-type&gt;&lt;contributors&gt;&lt;authors&gt;&lt;author&gt;Nnyanzi, John Bosco&lt;/author&gt;&lt;author&gt;Bbale, John Mayanja&lt;/author&gt;&lt;author&gt;Sendi, Richard&lt;/author&gt;&lt;/authors&gt;&lt;/contributors&gt;&lt;titles&gt;&lt;title&gt;Financial development and tax revenue: How catalytic are political development and corruption&lt;/title&gt;&lt;secondary-title&gt;International Journal of Economics and Finance&lt;/secondary-title&gt;&lt;/titles&gt;&lt;periodical&gt;&lt;full-title&gt;International Journal of Economics and Finance&lt;/full-title&gt;&lt;/periodical&gt;&lt;pages&gt;92-104&lt;/pages&gt;&lt;volume&gt;10&lt;/volume&gt;&lt;number&gt;8&lt;/number&gt;&lt;dates&gt;&lt;year&gt;2018&lt;/year&gt;&lt;/dates&gt;&lt;urls&gt;&lt;/urls&gt;&lt;/record&gt;&lt;/Cite&gt;&lt;/EndNote&gt;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noProof/>
          </w:rPr>
          <w:t>Nnyanzi et al. (2018)</w:t>
        </w:r>
        <w:r w:rsidRPr="00D96905">
          <w:rPr>
            <w:rFonts w:ascii="Times New Roman" w:hAnsi="Times New Roman" w:cs="Times New Roman"/>
          </w:rPr>
          <w:fldChar w:fldCharType="end"/>
        </w:r>
      </w:hyperlink>
      <w:r w:rsidRPr="00D96905">
        <w:rPr>
          <w:rFonts w:ascii="Times New Roman" w:hAnsi="Times New Roman" w:cs="Times New Roman"/>
        </w:rPr>
        <w:t>, who claimed that an efficient tax system would ensure that the state has the financial resources to rely upon. With a stable government revenue in the shape of taxes</w:t>
      </w:r>
      <w:r>
        <w:rPr>
          <w:rFonts w:ascii="Times New Roman" w:hAnsi="Times New Roman" w:cs="Times New Roman"/>
        </w:rPr>
        <w:t>,</w:t>
      </w:r>
      <w:r w:rsidRPr="00D96905">
        <w:rPr>
          <w:rFonts w:ascii="Times New Roman" w:hAnsi="Times New Roman" w:cs="Times New Roman"/>
        </w:rPr>
        <w:t xml:space="preserve"> the government does not find a need to borrow further in the banking sector to finance the fiscal deficit (less crowding-out effect)</w:t>
      </w:r>
      <w:r>
        <w:rPr>
          <w:rFonts w:ascii="Times New Roman" w:hAnsi="Times New Roman" w:cs="Times New Roman"/>
        </w:rPr>
        <w:t>,</w:t>
      </w:r>
      <w:r w:rsidRPr="00D96905">
        <w:rPr>
          <w:rFonts w:ascii="Times New Roman" w:hAnsi="Times New Roman" w:cs="Times New Roman"/>
        </w:rPr>
        <w:t xml:space="preserve"> leading to the banks having more liquidity to lend out to the private sector. In addition, the tax revenues are also invested in infrastructure and </w:t>
      </w:r>
      <w:proofErr w:type="spellStart"/>
      <w:r w:rsidRPr="00D96905">
        <w:rPr>
          <w:rFonts w:ascii="Times New Roman" w:hAnsi="Times New Roman" w:cs="Times New Roman"/>
        </w:rPr>
        <w:t>digitalisation</w:t>
      </w:r>
      <w:proofErr w:type="spellEnd"/>
      <w:r w:rsidRPr="00D96905">
        <w:rPr>
          <w:rFonts w:ascii="Times New Roman" w:hAnsi="Times New Roman" w:cs="Times New Roman"/>
        </w:rPr>
        <w:t xml:space="preserve"> that indirectly leads to a higher efficiency of financial institutions. Concerning economic growth, our findings indicate that financial development and tax revenues have a positive effect on the GDP </w:t>
      </w:r>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&lt;EndNote&gt;&lt;Cite&gt;&lt;Author&gt;Tsaurai&lt;/Author&gt;&lt;Year&gt;2021&lt;/Year&gt;&lt;RecNum&gt;41&lt;/RecNum&gt;&lt;DisplayText&gt;(Tsaurai, 2021)&lt;/DisplayText&gt;&lt;record&gt;&lt;rec-number&gt;41&lt;/rec-number&gt;&lt;foreign-keys&gt;&lt;key app="EN" db-id="advdwe00srftrhedwtpxdpf6fvw2d5ev25r2" timestamp="1768065523"&gt;41&lt;/key&gt;&lt;/foreign-keys&gt;&lt;ref-type name="Journal Article"&gt;17&lt;/ref-type&gt;&lt;contributors&gt;&lt;authors&gt;&lt;author&gt;Tsaurai, Kunofiwa&lt;/author&gt;&lt;/authors&gt;&lt;/contributors&gt;&lt;titles&gt;&lt;title&gt;Tax revenue and economic growth in emerging markets: is financial development relevant?&lt;/title&gt;&lt;secondary-title&gt;The Journal of Accounting and Management&lt;/secondary-title&gt;&lt;/titles&gt;&lt;periodical&gt;&lt;full-title&gt;The Journal of Accounting and Management&lt;/full-title&gt;&lt;/periodical&gt;&lt;volume&gt;11&lt;/volume&gt;&lt;number&gt;1&lt;/number&gt;&lt;dates&gt;&lt;year&gt;2021&lt;/year&gt;&lt;/dates&gt;&lt;isbn&gt;2392-8778&lt;/isbn&gt;&lt;urls&gt;&lt;/urls&gt;&lt;/record&gt;&lt;/Cite&gt;&lt;/EndNote&gt;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noProof/>
        </w:rPr>
        <w:t>(</w:t>
      </w:r>
      <w:hyperlink w:anchor="_ENREF_42" w:tooltip="Tsaurai, 2021 #41" w:history="1">
        <w:r w:rsidRPr="00D96905">
          <w:rPr>
            <w:rFonts w:ascii="Times New Roman" w:hAnsi="Times New Roman" w:cs="Times New Roman"/>
            <w:noProof/>
          </w:rPr>
          <w:t>Tsaurai, 2021</w:t>
        </w:r>
      </w:hyperlink>
      <w:r w:rsidRPr="00D96905">
        <w:rPr>
          <w:rFonts w:ascii="Times New Roman" w:hAnsi="Times New Roman" w:cs="Times New Roman"/>
          <w:noProof/>
        </w:rPr>
        <w:t>)</w:t>
      </w:r>
      <w:r w:rsidRPr="00D96905">
        <w:rPr>
          <w:rFonts w:ascii="Times New Roman" w:hAnsi="Times New Roman" w:cs="Times New Roman"/>
        </w:rPr>
        <w:fldChar w:fldCharType="end"/>
      </w:r>
      <w:r w:rsidRPr="00D96905">
        <w:rPr>
          <w:rFonts w:ascii="Times New Roman" w:hAnsi="Times New Roman" w:cs="Times New Roman"/>
        </w:rPr>
        <w:t>. The good impact of tax income on economic growth (coefficient 0.098) strengthens the opinion that i</w:t>
      </w:r>
      <w:r>
        <w:rPr>
          <w:rFonts w:ascii="Times New Roman" w:hAnsi="Times New Roman" w:cs="Times New Roman"/>
        </w:rPr>
        <w:t>f</w:t>
      </w:r>
      <w:r w:rsidRPr="00D96905">
        <w:rPr>
          <w:rFonts w:ascii="Times New Roman" w:hAnsi="Times New Roman" w:cs="Times New Roman"/>
        </w:rPr>
        <w:t xml:space="preserve"> the tax revenues are used in productive activity and the welfare of the people, it is that it is much faster in accelerating the economic engine than slowing it. Nonetheless, it is rather less pronounced than the impact of financial development, which implies that BRICS states must make their taxation systems more efficient and transparent in doing business.</w:t>
      </w:r>
    </w:p>
    <w:p w14:paraId="5DD8F150" w14:textId="0C5E73DF" w:rsidR="00AE4452" w:rsidRPr="00D96905" w:rsidRDefault="00AE4452" w:rsidP="00AE4452">
      <w:pPr>
        <w:spacing w:line="360" w:lineRule="auto"/>
        <w:jc w:val="both"/>
        <w:rPr>
          <w:rFonts w:ascii="Times New Roman" w:hAnsi="Times New Roman" w:cs="Times New Roman"/>
        </w:rPr>
      </w:pPr>
      <w:r w:rsidRPr="00D96905">
        <w:rPr>
          <w:rFonts w:ascii="Times New Roman" w:hAnsi="Times New Roman" w:cs="Times New Roman"/>
        </w:rPr>
        <w:t>Their results are also very vital in terms of the control variables. The foreign direct investment (FDI) is seen to have a positive impact on financial development and economic growth</w:t>
      </w:r>
      <w:r>
        <w:rPr>
          <w:rFonts w:ascii="Times New Roman" w:hAnsi="Times New Roman" w:cs="Times New Roman"/>
        </w:rPr>
        <w:t>,</w:t>
      </w:r>
      <w:r w:rsidRPr="00D96905">
        <w:rPr>
          <w:rFonts w:ascii="Times New Roman" w:hAnsi="Times New Roman" w:cs="Times New Roman"/>
        </w:rPr>
        <w:t xml:space="preserve"> which is very strong. This outcome reflects the research of </w:t>
      </w:r>
      <w:hyperlink w:anchor="_ENREF_25" w:tooltip="Lee, 2009 #42" w:history="1">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 AuthorYear="1"&gt;&lt;Author&gt;Lee&lt;/Author&gt;&lt;Year&gt;2009&lt;/Year&gt;&lt;RecNum&gt;42&lt;/RecNum&gt;&lt;DisplayText&gt;Lee and Chang (2009)&lt;/DisplayText&gt;&lt;record&gt;&lt;rec-number&gt;42&lt;/rec-number&gt;&lt;foreign-keys&gt;&lt;key app="EN" db-id="advdwe00srftrhedwtpxdpf6fvw2d5ev25r2" timestamp="1768065614"&gt;42&lt;/key&gt;&lt;/foreign-keys&gt;&lt;ref-type name="Journal Article"&gt;17&lt;/ref-type&gt;&lt;contributors&gt;&lt;authors&gt;&lt;author&gt;Lee, Chien-Chiang&lt;/author&gt;&lt;author&gt;Chang, Chun-Ping&lt;/author&gt;&lt;/authors&gt;&lt;/contributors&gt;&lt;titles&gt;&lt;title&gt;FDI, financial development, and economic growth: international evidence&lt;/title&gt;&lt;secondary-title&gt;Journal of applied economics&lt;/secondary-title&gt;&lt;/titles&gt;&lt;periodical&gt;&lt;full-title&gt;Journal of applied economics&lt;/full-title&gt;&lt;/periodical&gt;&lt;pages&gt;249-271&lt;/pages&gt;&lt;volume&gt;12&lt;/volume&gt;&lt;number&gt;2&lt;/number&gt;&lt;dates&gt;&lt;year&gt;2009&lt;/year&gt;&lt;/dates&gt;&lt;isbn&gt;1514-0326&lt;/isbn&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noProof/>
          </w:rPr>
          <w:t>Lee and Chang (2009)</w:t>
        </w:r>
        <w:r w:rsidRPr="00D96905">
          <w:rPr>
            <w:rFonts w:ascii="Times New Roman" w:hAnsi="Times New Roman" w:cs="Times New Roman"/>
          </w:rPr>
          <w:fldChar w:fldCharType="end"/>
        </w:r>
      </w:hyperlink>
      <w:r w:rsidRPr="00D96905">
        <w:rPr>
          <w:rFonts w:ascii="Times New Roman" w:hAnsi="Times New Roman" w:cs="Times New Roman"/>
        </w:rPr>
        <w:t xml:space="preserve"> and </w:t>
      </w:r>
      <w:hyperlink w:anchor="_ENREF_36" w:tooltip="Rehman, 2016 #43" w:history="1">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 AuthorYear="1"&gt;&lt;Author&gt;Rehman&lt;/Author&gt;&lt;Year&gt;2016&lt;/Year&gt;&lt;RecNum&gt;43&lt;/RecNum&gt;&lt;DisplayText&gt;Rehman (2016)&lt;/DisplayText&gt;&lt;record&gt;&lt;rec-number&gt;43&lt;/rec-number&gt;&lt;foreign-keys&gt;&lt;key app="EN" db-id="advdwe00srftrhedwtpxdpf6fvw2d5ev25r2" timestamp="1768065667"&gt;43&lt;/key&gt;&lt;/foreign-keys&gt;&lt;ref-type name="Journal Article"&gt;17&lt;/ref-type&gt;&lt;contributors&gt;&lt;authors&gt;&lt;author&gt;Rehman, Naqeeb Ur&lt;/author&gt;&lt;/authors&gt;&lt;/contributors&gt;&lt;titles&gt;&lt;title&gt;FDI and economic growth: empirical evidence from Pakistan&lt;/title&gt;&lt;secondary-title&gt;Journal of Economic and Administrative Sciences&lt;/secondary-title&gt;&lt;/titles&gt;&lt;periodical&gt;&lt;full-title&gt;Journal of Economic and Administrative Sciences&lt;/full-title&gt;&lt;/periodical&gt;&lt;pages&gt;63-76&lt;/pages&gt;&lt;volume&gt;32&lt;/volume&gt;&lt;number&gt;1&lt;/number&gt;&lt;dates&gt;&lt;year&gt;2016&lt;/year&gt;&lt;/dates&gt;&lt;isbn&gt;2054-6238&lt;/isbn&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noProof/>
          </w:rPr>
          <w:t>Rehman (2016)</w:t>
        </w:r>
        <w:r w:rsidRPr="00D96905">
          <w:rPr>
            <w:rFonts w:ascii="Times New Roman" w:hAnsi="Times New Roman" w:cs="Times New Roman"/>
          </w:rPr>
          <w:fldChar w:fldCharType="end"/>
        </w:r>
      </w:hyperlink>
      <w:r>
        <w:t>,</w:t>
      </w:r>
      <w:r w:rsidRPr="00D96905">
        <w:rPr>
          <w:rFonts w:ascii="Times New Roman" w:hAnsi="Times New Roman" w:cs="Times New Roman"/>
        </w:rPr>
        <w:t xml:space="preserve"> who investigated Pakistan and international trends and found that foreign capital not only introduce</w:t>
      </w:r>
      <w:r>
        <w:rPr>
          <w:rFonts w:ascii="Times New Roman" w:hAnsi="Times New Roman" w:cs="Times New Roman"/>
        </w:rPr>
        <w:t>s</w:t>
      </w:r>
      <w:r w:rsidRPr="00D96905">
        <w:rPr>
          <w:rFonts w:ascii="Times New Roman" w:hAnsi="Times New Roman" w:cs="Times New Roman"/>
        </w:rPr>
        <w:t xml:space="preserve"> money but also develops the local financial market due to the transfer of technology and managerial skills. Before us are examples of China and India, where FDI has been instrumental in </w:t>
      </w:r>
      <w:r w:rsidRPr="00D96905">
        <w:rPr>
          <w:rFonts w:ascii="Times New Roman" w:hAnsi="Times New Roman" w:cs="Times New Roman"/>
        </w:rPr>
        <w:lastRenderedPageBreak/>
        <w:t xml:space="preserve">changing their financial scene. Going by the same point, the positive impact of trade openness declares that the opening up to the global market is what allows the banks to adopt the global standards and be competitive </w:t>
      </w:r>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&lt;EndNote&gt;&lt;Cite&gt;&lt;Author&gt;Hidayati&lt;/Author&gt;&lt;Year&gt;2024&lt;/Year&gt;&lt;RecNum&gt;44&lt;/RecNum&gt;&lt;DisplayText&gt;(Hidayati et al., 2024)&lt;/DisplayText&gt;&lt;record&gt;&lt;rec-number&gt;44&lt;/rec-number&gt;&lt;foreign-keys&gt;&lt;key app="EN" db-id="advdwe00srftrhedwtpxdpf6fvw2d5ev25r2" timestamp="1768065749"&gt;44&lt;/key&gt;&lt;/foreign-keys&gt;&lt;ref-type name="Journal Article"&gt;17&lt;/ref-type&gt;&lt;contributors&gt;&lt;authors&gt;&lt;author&gt;Hidayati, Sri&lt;/author&gt;&lt;author&gt;Marwa, Taufiq&lt;/author&gt;&lt;author&gt;Andaiyani, Sri&lt;/author&gt;&lt;/authors&gt;&lt;/contributors&gt;&lt;titles&gt;&lt;title&gt;Reviewing the consequence of trade openness and financial openness on banking stability in developing countries&lt;/title&gt;&lt;secondary-title&gt;Banks and Bank Systems&lt;/secondary-title&gt;&lt;/titles&gt;&lt;periodical&gt;&lt;full-title&gt;Banks and Bank Systems&lt;/full-title&gt;&lt;/periodical&gt;&lt;pages&gt;112&lt;/pages&gt;&lt;volume&gt;19&lt;/volume&gt;&lt;number&gt;1&lt;/number&gt;&lt;dates&gt;&lt;year&gt;2024&lt;/year&gt;&lt;/dates&gt;&lt;isbn&gt;1816-7403&lt;/isbn&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noProof/>
        </w:rPr>
        <w:t>(</w:t>
      </w:r>
      <w:hyperlink w:anchor="_ENREF_18" w:tooltip="Hidayati, 2024 #44" w:history="1">
        <w:r w:rsidRPr="00D96905">
          <w:rPr>
            <w:rFonts w:ascii="Times New Roman" w:hAnsi="Times New Roman" w:cs="Times New Roman"/>
            <w:noProof/>
          </w:rPr>
          <w:t>Hidayati et al., 2024</w:t>
        </w:r>
      </w:hyperlink>
      <w:r w:rsidRPr="00D96905">
        <w:rPr>
          <w:rFonts w:ascii="Times New Roman" w:hAnsi="Times New Roman" w:cs="Times New Roman"/>
          <w:noProof/>
        </w:rPr>
        <w:t>)</w:t>
      </w:r>
      <w:r w:rsidRPr="00D96905">
        <w:rPr>
          <w:rFonts w:ascii="Times New Roman" w:hAnsi="Times New Roman" w:cs="Times New Roman"/>
        </w:rPr>
        <w:fldChar w:fldCharType="end"/>
      </w:r>
      <w:r w:rsidRPr="00D96905">
        <w:rPr>
          <w:rFonts w:ascii="Times New Roman" w:hAnsi="Times New Roman" w:cs="Times New Roman"/>
        </w:rPr>
        <w:t>. Conversely, in both models, inflation is observed to impact negatively, which is a consensus with economic theory. Inflation results in high interest rates and uncertainty in the future</w:t>
      </w:r>
      <w:r>
        <w:rPr>
          <w:rFonts w:ascii="Times New Roman" w:hAnsi="Times New Roman" w:cs="Times New Roman"/>
        </w:rPr>
        <w:t>,</w:t>
      </w:r>
      <w:r w:rsidRPr="00D96905">
        <w:rPr>
          <w:rFonts w:ascii="Times New Roman" w:hAnsi="Times New Roman" w:cs="Times New Roman"/>
        </w:rPr>
        <w:t xml:space="preserve"> and this impacts both whether the private sector will be able to borrow and whether the banks w</w:t>
      </w:r>
      <w:r>
        <w:rPr>
          <w:rFonts w:ascii="Times New Roman" w:hAnsi="Times New Roman" w:cs="Times New Roman"/>
        </w:rPr>
        <w:t>ill</w:t>
      </w:r>
      <w:r w:rsidRPr="00D96905">
        <w:rPr>
          <w:rFonts w:ascii="Times New Roman" w:hAnsi="Times New Roman" w:cs="Times New Roman"/>
        </w:rPr>
        <w:t xml:space="preserve"> be willing to lend. This can also be seen in our results (with regards to Slope Heterogeneity Test) that informs us that the nature of the relationship is positive, but the strength of the same is not equivalent across countries. Macroeconomic instability is a major challenge to the development of financial markets in countries such as Brazil and Russia</w:t>
      </w:r>
      <w:r>
        <w:rPr>
          <w:rFonts w:ascii="Times New Roman" w:hAnsi="Times New Roman" w:cs="Times New Roman"/>
        </w:rPr>
        <w:t>,</w:t>
      </w:r>
      <w:r w:rsidRPr="00D96905">
        <w:rPr>
          <w:rFonts w:ascii="Times New Roman" w:hAnsi="Times New Roman" w:cs="Times New Roman"/>
        </w:rPr>
        <w:t xml:space="preserve"> where inflation is more prone to instability </w:t>
      </w:r>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&lt;EndNote&gt;&lt;Cite&gt;&lt;Author&gt;Pinto&lt;/Author&gt;&lt;Year&gt;2000&lt;/Year&gt;&lt;RecNum&gt;45&lt;/RecNum&gt;&lt;DisplayText&gt;(Pinto et al., 2000; Tabak &amp;amp; Staub, 2007)&lt;/DisplayText&gt;&lt;record&gt;&lt;rec-number&gt;45&lt;/rec-number&gt;&lt;foreign-keys&gt;&lt;key app="EN" db-id="advdwe00srftrhedwtpxdpf6fvw2d5ev25r2" timestamp="1768065839"&gt;45&lt;/key&gt;&lt;/foreign-keys&gt;&lt;ref-type name="Journal Article"&gt;17&lt;/ref-type&gt;&lt;contributors&gt;&lt;authors&gt;&lt;author&gt;Pinto, Brian&lt;/author&gt;&lt;author&gt;Drebentsov, Vladimir&lt;/author&gt;&lt;author&gt;Morozov, Alexander&lt;/author&gt;&lt;/authors&gt;&lt;/contributors&gt;&lt;titles&gt;&lt;title&gt;Give macroeconomic stability and growth in Russia a chance&lt;/title&gt;&lt;secondary-title&gt;Economics of Transition&lt;/secondary-title&gt;&lt;/titles&gt;&lt;periodical&gt;&lt;full-title&gt;Economics of Transition&lt;/full-title&gt;&lt;/periodical&gt;&lt;pages&gt;297-324&lt;/pages&gt;&lt;volume&gt;8&lt;/volume&gt;&lt;number&gt;2&lt;/number&gt;&lt;dates&gt;&lt;year&gt;2000&lt;/year&gt;&lt;/dates&gt;&lt;isbn&gt;0967-0750&lt;/isbn&gt;&lt;urls&gt;&lt;/urls&gt;&lt;/record&gt;&lt;/Cite&gt;&lt;Cite&gt;&lt;Author&gt;Tabak&lt;/Author&gt;&lt;Year&gt;2007&lt;/Year&gt;&lt;RecNum&gt;46&lt;/RecNum&gt;&lt;record&gt;&lt;rec-number&gt;46&lt;/rec-number&gt;&lt;foreign-keys&gt;&lt;key app="EN" db-id="advdwe00srftrhedwtpxdpf6fvw2d5ev25r2" timestamp="1768065854"&gt;46&lt;/key&gt;&lt;/foreign-keys&gt;&lt;ref-type name="Journal Article"&gt;17&lt;/ref-type&gt;&lt;contributors&gt;&lt;authors&gt;&lt;author&gt;Tabak, Benjamin M&lt;/author&gt;&lt;author&gt;Staub, Roberta B&lt;/author&gt;&lt;/authors&gt;&lt;/contributors&gt;&lt;titles&gt;&lt;title&gt;Assessing financial instability: The case of Brazil&lt;/title&gt;&lt;secondary-title&gt;Research in International Business and Finance&lt;/secondary-title&gt;&lt;/titles&gt;&lt;periodical&gt;&lt;full-title&gt;Research in International Business and Finance&lt;/full-title&gt;&lt;/periodical&gt;&lt;pages&gt;188-202&lt;/pages&gt;&lt;volume&gt;21&lt;/volume&gt;&lt;number&gt;2&lt;/number&gt;&lt;dates&gt;&lt;year&gt;2007&lt;/year&gt;&lt;/dates&gt;&lt;isbn&gt;0275-5319&lt;/isbn&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noProof/>
        </w:rPr>
        <w:t>(</w:t>
      </w:r>
      <w:hyperlink w:anchor="_ENREF_34" w:tooltip="Pinto, 2000 #45" w:history="1">
        <w:r w:rsidRPr="00D96905">
          <w:rPr>
            <w:rFonts w:ascii="Times New Roman" w:hAnsi="Times New Roman" w:cs="Times New Roman"/>
            <w:noProof/>
          </w:rPr>
          <w:t>Pinto et al., 2000</w:t>
        </w:r>
      </w:hyperlink>
      <w:r w:rsidRPr="00D96905">
        <w:rPr>
          <w:rFonts w:ascii="Times New Roman" w:hAnsi="Times New Roman" w:cs="Times New Roman"/>
          <w:noProof/>
        </w:rPr>
        <w:t xml:space="preserve">; </w:t>
      </w:r>
      <w:hyperlink w:anchor="_ENREF_40" w:tooltip="Tabak, 2007 #46" w:history="1">
        <w:r w:rsidRPr="00D96905">
          <w:rPr>
            <w:rFonts w:ascii="Times New Roman" w:hAnsi="Times New Roman" w:cs="Times New Roman"/>
            <w:noProof/>
          </w:rPr>
          <w:t>Tabak &amp; Staub, 2007</w:t>
        </w:r>
      </w:hyperlink>
      <w:r w:rsidRPr="00D96905">
        <w:rPr>
          <w:rFonts w:ascii="Times New Roman" w:hAnsi="Times New Roman" w:cs="Times New Roman"/>
          <w:noProof/>
        </w:rPr>
        <w:t>)</w:t>
      </w:r>
      <w:r w:rsidRPr="00D96905">
        <w:rPr>
          <w:rFonts w:ascii="Times New Roman" w:hAnsi="Times New Roman" w:cs="Times New Roman"/>
        </w:rPr>
        <w:fldChar w:fldCharType="end"/>
      </w:r>
      <w:r w:rsidRPr="00D96905">
        <w:rPr>
          <w:rFonts w:ascii="Times New Roman" w:hAnsi="Times New Roman" w:cs="Times New Roman"/>
        </w:rPr>
        <w:t xml:space="preserve">. Conversely, financial deepening in </w:t>
      </w:r>
      <w:r>
        <w:rPr>
          <w:rFonts w:ascii="Times New Roman" w:hAnsi="Times New Roman" w:cs="Times New Roman"/>
        </w:rPr>
        <w:t xml:space="preserve">the </w:t>
      </w:r>
      <w:r w:rsidRPr="00D96905">
        <w:rPr>
          <w:rFonts w:ascii="Times New Roman" w:hAnsi="Times New Roman" w:cs="Times New Roman"/>
        </w:rPr>
        <w:t>Chinese market has been accelerated</w:t>
      </w:r>
      <w:r>
        <w:rPr>
          <w:rFonts w:ascii="Times New Roman" w:hAnsi="Times New Roman" w:cs="Times New Roman"/>
        </w:rPr>
        <w:t>,</w:t>
      </w:r>
      <w:r w:rsidRPr="00D96905">
        <w:rPr>
          <w:rFonts w:ascii="Times New Roman" w:hAnsi="Times New Roman" w:cs="Times New Roman"/>
        </w:rPr>
        <w:t xml:space="preserve"> whereas prices in China have remained relatively stable.</w:t>
      </w:r>
    </w:p>
    <w:p w14:paraId="66AE6626" w14:textId="11CC7A60" w:rsidR="00AE4452" w:rsidRPr="00D96905" w:rsidRDefault="00AE4452" w:rsidP="00AE4452">
      <w:pPr>
        <w:spacing w:line="360" w:lineRule="auto"/>
        <w:jc w:val="both"/>
        <w:rPr>
          <w:rFonts w:ascii="Times New Roman" w:hAnsi="Times New Roman" w:cs="Times New Roman"/>
        </w:rPr>
      </w:pPr>
      <w:r w:rsidRPr="00D96905">
        <w:rPr>
          <w:rFonts w:ascii="Times New Roman" w:hAnsi="Times New Roman" w:cs="Times New Roman"/>
        </w:rPr>
        <w:t xml:space="preserve">The main thesis is that the </w:t>
      </w:r>
      <w:r>
        <w:rPr>
          <w:rFonts w:ascii="Times New Roman" w:hAnsi="Times New Roman" w:cs="Times New Roman"/>
        </w:rPr>
        <w:t>"</w:t>
      </w:r>
      <w:r w:rsidRPr="00D96905">
        <w:rPr>
          <w:rFonts w:ascii="Times New Roman" w:hAnsi="Times New Roman" w:cs="Times New Roman"/>
        </w:rPr>
        <w:t xml:space="preserve">financial development and tax revenue are not competitors but partners in BRICS countries. An effective tax system </w:t>
      </w:r>
      <w:proofErr w:type="spellStart"/>
      <w:r w:rsidRPr="00D96905">
        <w:rPr>
          <w:rFonts w:ascii="Times New Roman" w:hAnsi="Times New Roman" w:cs="Times New Roman"/>
        </w:rPr>
        <w:t>stabili</w:t>
      </w:r>
      <w:r>
        <w:rPr>
          <w:rFonts w:ascii="Times New Roman" w:hAnsi="Times New Roman" w:cs="Times New Roman"/>
        </w:rPr>
        <w:t>s</w:t>
      </w:r>
      <w:r w:rsidRPr="00D96905">
        <w:rPr>
          <w:rFonts w:ascii="Times New Roman" w:hAnsi="Times New Roman" w:cs="Times New Roman"/>
        </w:rPr>
        <w:t>es</w:t>
      </w:r>
      <w:proofErr w:type="spellEnd"/>
      <w:r w:rsidRPr="00D96905">
        <w:rPr>
          <w:rFonts w:ascii="Times New Roman" w:hAnsi="Times New Roman" w:cs="Times New Roman"/>
        </w:rPr>
        <w:t xml:space="preserve"> the financial sector</w:t>
      </w:r>
      <w:r>
        <w:rPr>
          <w:rFonts w:ascii="Times New Roman" w:hAnsi="Times New Roman" w:cs="Times New Roman"/>
        </w:rPr>
        <w:t>,</w:t>
      </w:r>
      <w:r w:rsidRPr="00D96905">
        <w:rPr>
          <w:rFonts w:ascii="Times New Roman" w:hAnsi="Times New Roman" w:cs="Times New Roman"/>
        </w:rPr>
        <w:t xml:space="preserve"> but on the other hand</w:t>
      </w:r>
      <w:r>
        <w:rPr>
          <w:rFonts w:ascii="Times New Roman" w:hAnsi="Times New Roman" w:cs="Times New Roman"/>
        </w:rPr>
        <w:t>,</w:t>
      </w:r>
      <w:r w:rsidRPr="00D96905">
        <w:rPr>
          <w:rFonts w:ascii="Times New Roman" w:hAnsi="Times New Roman" w:cs="Times New Roman"/>
        </w:rPr>
        <w:t xml:space="preserve"> a good financial system expands the tax base </w:t>
      </w:r>
      <w:r w:rsidRPr="00D96905">
        <w:rPr>
          <w:rFonts w:ascii="Times New Roman" w:hAnsi="Times New Roman" w:cs="Times New Roman"/>
        </w:rPr>
        <w:fldChar w:fldCharType="begin"/>
      </w:r>
      <w:r w:rsidRPr="00D96905">
        <w:rPr>
          <w:rFonts w:ascii="Times New Roman" w:hAnsi="Times New Roman" w:cs="Times New Roman"/>
        </w:rPr>
        <w:instrText xml:space="preserve"> ADDIN EN.CITE &lt;EndNote&gt;&lt;Cite&gt;&lt;Author&gt;Keen&lt;/Author&gt;&lt;Year&gt;2011&lt;/Year&gt;&lt;RecNum&gt;47&lt;/RecNum&gt;&lt;DisplayText&gt;(Keen, 2011)&lt;/DisplayText&gt;&lt;record&gt;&lt;rec-number&gt;47&lt;/rec-number&gt;&lt;foreign-keys&gt;&lt;key app="EN" db-id="advdwe00srftrhedwtpxdpf6fvw2d5ev25r2" timestamp="1768065939"&gt;47&lt;/key&gt;&lt;/foreign-keys&gt;&lt;ref-type name="Journal Article"&gt;17&lt;/ref-type&gt;&lt;contributors&gt;&lt;authors&gt;&lt;author&gt;Keen, Michael&lt;/author&gt;&lt;/authors&gt;&lt;/contributors&gt;&lt;titles&gt;&lt;title&gt;Rethinking the taxation of the financial sector&lt;/title&gt;&lt;secondary-title&gt;CESifo Economic Studies&lt;/secondary-title&gt;&lt;/titles&gt;&lt;periodical&gt;&lt;full-title&gt;CESifo Economic Studies&lt;/full-title&gt;&lt;/periodical&gt;&lt;pages&gt;1-24&lt;/pages&gt;&lt;volume&gt;57&lt;/volume&gt;&lt;number&gt;1&lt;/number&gt;&lt;dates&gt;&lt;year&gt;2011&lt;/year&gt;&lt;/dates&gt;&lt;isbn&gt;1612-7501&lt;/isbn&gt;&lt;urls&gt;&lt;/urls&gt;&lt;/record&gt;&lt;/Cite&gt;&lt;/EndNote&gt;</w:instrText>
      </w:r>
      <w:r w:rsidRPr="00D96905">
        <w:rPr>
          <w:rFonts w:ascii="Times New Roman" w:hAnsi="Times New Roman" w:cs="Times New Roman"/>
        </w:rPr>
        <w:fldChar w:fldCharType="separate"/>
      </w:r>
      <w:r w:rsidRPr="00D96905">
        <w:rPr>
          <w:rFonts w:ascii="Times New Roman" w:hAnsi="Times New Roman" w:cs="Times New Roman"/>
          <w:noProof/>
        </w:rPr>
        <w:t>(</w:t>
      </w:r>
      <w:hyperlink w:anchor="_ENREF_23" w:tooltip="Keen, 2011 #47" w:history="1">
        <w:r w:rsidRPr="00D96905">
          <w:rPr>
            <w:rFonts w:ascii="Times New Roman" w:hAnsi="Times New Roman" w:cs="Times New Roman"/>
            <w:noProof/>
          </w:rPr>
          <w:t>Keen, 2011</w:t>
        </w:r>
      </w:hyperlink>
      <w:r w:rsidRPr="00D96905">
        <w:rPr>
          <w:rFonts w:ascii="Times New Roman" w:hAnsi="Times New Roman" w:cs="Times New Roman"/>
          <w:noProof/>
        </w:rPr>
        <w:t>)</w:t>
      </w:r>
      <w:r w:rsidRPr="00D96905">
        <w:rPr>
          <w:rFonts w:ascii="Times New Roman" w:hAnsi="Times New Roman" w:cs="Times New Roman"/>
        </w:rPr>
        <w:fldChar w:fldCharType="end"/>
      </w:r>
      <w:r w:rsidRPr="00D96905">
        <w:rPr>
          <w:rFonts w:ascii="Times New Roman" w:hAnsi="Times New Roman" w:cs="Times New Roman"/>
        </w:rPr>
        <w:t xml:space="preserve">. Thus, the policymakers should not focus on raising the tax burden of the already-taxpayers (especially the corporate sector) to stimulate investment and credit demand in the private sector, but should review the tax reforms and implement changes to decrease tax evasion and </w:t>
      </w:r>
      <w:r>
        <w:rPr>
          <w:rFonts w:ascii="Times New Roman" w:hAnsi="Times New Roman" w:cs="Times New Roman"/>
        </w:rPr>
        <w:t xml:space="preserve">the </w:t>
      </w:r>
      <w:r w:rsidRPr="00D96905">
        <w:rPr>
          <w:rFonts w:ascii="Times New Roman" w:hAnsi="Times New Roman" w:cs="Times New Roman"/>
        </w:rPr>
        <w:t>tax base.</w:t>
      </w:r>
    </w:p>
    <w:p w14:paraId="4B91A2B6" w14:textId="77777777" w:rsidR="00AE4452" w:rsidRPr="00D96905" w:rsidRDefault="00AE4452" w:rsidP="00AE4452">
      <w:pPr>
        <w:spacing w:line="360" w:lineRule="auto"/>
        <w:jc w:val="both"/>
        <w:rPr>
          <w:rFonts w:ascii="Times New Roman" w:hAnsi="Times New Roman" w:cs="Times New Roman"/>
        </w:rPr>
      </w:pPr>
    </w:p>
    <w:p w14:paraId="2D1BF0F7" w14:textId="77777777" w:rsidR="00AE4452" w:rsidRPr="00D96905" w:rsidRDefault="00AE4452" w:rsidP="00AE4452">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Conclusion</w:t>
      </w:r>
    </w:p>
    <w:p w14:paraId="23F80D32" w14:textId="77777777" w:rsidR="00AE4452" w:rsidRDefault="00AE4452" w:rsidP="00AE4452">
      <w:pPr>
        <w:spacing w:line="360" w:lineRule="auto"/>
        <w:jc w:val="both"/>
        <w:rPr>
          <w:rFonts w:ascii="Times New Roman" w:hAnsi="Times New Roman" w:cs="Times New Roman"/>
        </w:rPr>
      </w:pPr>
      <w:r w:rsidRPr="00D96905">
        <w:rPr>
          <w:rFonts w:ascii="Times New Roman" w:hAnsi="Times New Roman" w:cs="Times New Roman"/>
        </w:rPr>
        <w:t>This study seeks to understand the complicated and dynamic link between tax income, financial development, and economic growth in the BRICS nations. We find a long-term association using a lot of panel data and second-generation econometrics</w:t>
      </w:r>
      <w:r>
        <w:rPr>
          <w:rFonts w:ascii="Times New Roman" w:hAnsi="Times New Roman" w:cs="Times New Roman"/>
        </w:rPr>
        <w:t>,</w:t>
      </w:r>
      <w:r w:rsidRPr="00D96905">
        <w:rPr>
          <w:rFonts w:ascii="Times New Roman" w:hAnsi="Times New Roman" w:cs="Times New Roman"/>
        </w:rPr>
        <w:t xml:space="preserve"> such </w:t>
      </w:r>
      <w:r>
        <w:rPr>
          <w:rFonts w:ascii="Times New Roman" w:hAnsi="Times New Roman" w:cs="Times New Roman"/>
        </w:rPr>
        <w:t xml:space="preserve">as </w:t>
      </w:r>
      <w:r w:rsidRPr="00D96905">
        <w:rPr>
          <w:rFonts w:ascii="Times New Roman" w:hAnsi="Times New Roman" w:cs="Times New Roman"/>
        </w:rPr>
        <w:t>cross-sectional dependency, unit root, slope heterogeneity, and co</w:t>
      </w:r>
      <w:r>
        <w:rPr>
          <w:rFonts w:ascii="Times New Roman" w:hAnsi="Times New Roman" w:cs="Times New Roman"/>
        </w:rPr>
        <w:t>-</w:t>
      </w:r>
      <w:r w:rsidRPr="00D96905">
        <w:rPr>
          <w:rFonts w:ascii="Times New Roman" w:hAnsi="Times New Roman" w:cs="Times New Roman"/>
        </w:rPr>
        <w:t>integration tests. Our major findings support the idea that tax revenue and the developed financial sector positively affect economic growth. Trade openness and FDI have become the drivers of financial development and economic growth</w:t>
      </w:r>
      <w:r>
        <w:rPr>
          <w:rFonts w:ascii="Times New Roman" w:hAnsi="Times New Roman" w:cs="Times New Roman"/>
        </w:rPr>
        <w:t>,</w:t>
      </w:r>
      <w:r w:rsidRPr="00D96905">
        <w:rPr>
          <w:rFonts w:ascii="Times New Roman" w:hAnsi="Times New Roman" w:cs="Times New Roman"/>
        </w:rPr>
        <w:t xml:space="preserve"> whereas inflation is a grave deterrent to both FDI and trade openness. Also, it demonstrated further that the cross-sectional dependencies and coefficients among BRICS countries are extremely heterogeneous</w:t>
      </w:r>
      <w:r>
        <w:rPr>
          <w:rFonts w:ascii="Times New Roman" w:hAnsi="Times New Roman" w:cs="Times New Roman"/>
        </w:rPr>
        <w:t>,</w:t>
      </w:r>
      <w:r w:rsidRPr="00D96905">
        <w:rPr>
          <w:rFonts w:ascii="Times New Roman" w:hAnsi="Times New Roman" w:cs="Times New Roman"/>
        </w:rPr>
        <w:t xml:space="preserve"> which underlines the significance of the context of specific countries in policy making. To the </w:t>
      </w:r>
      <w:r w:rsidRPr="00D96905">
        <w:rPr>
          <w:rFonts w:ascii="Times New Roman" w:hAnsi="Times New Roman" w:cs="Times New Roman"/>
        </w:rPr>
        <w:lastRenderedPageBreak/>
        <w:t xml:space="preserve">point, this paper gives the policymakers valuable knowledge on how good and properly planned and executed tax policies can form the backbone of a sound, stable and successful financial system instead of an economic sinkhole. It offers a definite way </w:t>
      </w:r>
      <w:r>
        <w:rPr>
          <w:rFonts w:ascii="Times New Roman" w:hAnsi="Times New Roman" w:cs="Times New Roman"/>
        </w:rPr>
        <w:t>for</w:t>
      </w:r>
      <w:r w:rsidRPr="00D96905">
        <w:rPr>
          <w:rFonts w:ascii="Times New Roman" w:hAnsi="Times New Roman" w:cs="Times New Roman"/>
        </w:rPr>
        <w:t xml:space="preserve"> BRICS countries to achieve their full potential economically and to further establish themselves in the global economic arena.</w:t>
      </w:r>
    </w:p>
    <w:p w14:paraId="7E1F0C5B" w14:textId="77777777" w:rsidR="00AE4452" w:rsidRDefault="00AE4452" w:rsidP="00AE4452">
      <w:pPr>
        <w:spacing w:line="360" w:lineRule="auto"/>
        <w:jc w:val="both"/>
        <w:rPr>
          <w:rFonts w:ascii="Times New Roman" w:hAnsi="Times New Roman" w:cs="Times New Roman"/>
        </w:rPr>
      </w:pPr>
    </w:p>
    <w:p w14:paraId="0829ED0F" w14:textId="77777777" w:rsidR="00AE4452" w:rsidRPr="00D96905" w:rsidRDefault="00AE4452" w:rsidP="00AE4452">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Limitations</w:t>
      </w:r>
    </w:p>
    <w:p w14:paraId="4B77FE70" w14:textId="77777777" w:rsidR="00AE4452" w:rsidRPr="00D96905" w:rsidRDefault="00AE4452" w:rsidP="00AE4452">
      <w:pPr>
        <w:spacing w:line="360" w:lineRule="auto"/>
        <w:jc w:val="both"/>
        <w:rPr>
          <w:rFonts w:ascii="Times New Roman" w:hAnsi="Times New Roman" w:cs="Times New Roman"/>
        </w:rPr>
      </w:pPr>
      <w:r w:rsidRPr="00D96905">
        <w:rPr>
          <w:rFonts w:ascii="Times New Roman" w:hAnsi="Times New Roman" w:cs="Times New Roman"/>
        </w:rPr>
        <w:t xml:space="preserve">Any research, however thorough, has certain limitations, which must not be ignored. One of the main weaknesses of this research is associated with the information about the scope and data </w:t>
      </w:r>
      <w:proofErr w:type="spellStart"/>
      <w:r w:rsidRPr="00D96905">
        <w:rPr>
          <w:rFonts w:ascii="Times New Roman" w:hAnsi="Times New Roman" w:cs="Times New Roman"/>
        </w:rPr>
        <w:t>utili</w:t>
      </w:r>
      <w:r>
        <w:rPr>
          <w:rFonts w:ascii="Times New Roman" w:hAnsi="Times New Roman" w:cs="Times New Roman"/>
        </w:rPr>
        <w:t>s</w:t>
      </w:r>
      <w:r w:rsidRPr="00D96905">
        <w:rPr>
          <w:rFonts w:ascii="Times New Roman" w:hAnsi="Times New Roman" w:cs="Times New Roman"/>
        </w:rPr>
        <w:t>ed</w:t>
      </w:r>
      <w:proofErr w:type="spellEnd"/>
      <w:r w:rsidRPr="00D96905">
        <w:rPr>
          <w:rFonts w:ascii="Times New Roman" w:hAnsi="Times New Roman" w:cs="Times New Roman"/>
        </w:rPr>
        <w:t xml:space="preserve"> in the study. Our analysis is limited to the BRICS nations only, and this means that the results are not likely to be applicable to other emerging or developed economies. Even within the BRICS countries, due to their economic and structural differences, what is true for one country may differ from another. Furthermore, the study period covers 2010 to 2025, with data for the last few years being forecast-based, which may introduce some uncertainty into the results. Financial development is measured by Domestic Bank-Private Sector Credit, which does not fully capture the development of other important financial sector parts like the stock market, bond market, or digital finance, but it does provide a comprehensive picture. Tax income is also seen as a total, even though direct, indirect, and corporate taxes affect financial growth differently. This analysis assumes linear correlations between taxes and financial progress, although in practice they may be nonlinear. Fixed Effect and FGLS have somewhat addressed heterogeneity and CSD, but endogeneity, notably the two-way causality between taxes and financial progress, may remain. Though the Slope Heterogeneity test has detected different slopes, Fixed Effect and FGLS alone do not perform this well.</w:t>
      </w:r>
    </w:p>
    <w:p w14:paraId="5568EC0C" w14:textId="77777777" w:rsidR="00AE4452" w:rsidRPr="00D96905" w:rsidRDefault="00AE4452" w:rsidP="00AE4452">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Future Directions</w:t>
      </w:r>
    </w:p>
    <w:p w14:paraId="35346EA3" w14:textId="77777777" w:rsidR="00AE4452" w:rsidRPr="00D96905" w:rsidRDefault="00AE4452" w:rsidP="00AE4452">
      <w:pPr>
        <w:spacing w:line="360" w:lineRule="auto"/>
        <w:jc w:val="both"/>
        <w:rPr>
          <w:rFonts w:ascii="Times New Roman" w:hAnsi="Times New Roman" w:cs="Times New Roman"/>
        </w:rPr>
      </w:pPr>
      <w:r w:rsidRPr="00D96905">
        <w:rPr>
          <w:rFonts w:ascii="Times New Roman" w:hAnsi="Times New Roman" w:cs="Times New Roman"/>
        </w:rPr>
        <w:t xml:space="preserve">Considering the above limitations, future studies can further deepen and broaden the findings of this study. An important direction is to use more comprehensive and broad indicators to measure financial development, such as stock market </w:t>
      </w:r>
      <w:proofErr w:type="spellStart"/>
      <w:r w:rsidRPr="00D96905">
        <w:rPr>
          <w:rFonts w:ascii="Times New Roman" w:hAnsi="Times New Roman" w:cs="Times New Roman"/>
        </w:rPr>
        <w:t>capitali</w:t>
      </w:r>
      <w:r>
        <w:rPr>
          <w:rFonts w:ascii="Times New Roman" w:hAnsi="Times New Roman" w:cs="Times New Roman"/>
        </w:rPr>
        <w:t>s</w:t>
      </w:r>
      <w:r w:rsidRPr="00D96905">
        <w:rPr>
          <w:rFonts w:ascii="Times New Roman" w:hAnsi="Times New Roman" w:cs="Times New Roman"/>
        </w:rPr>
        <w:t>ation</w:t>
      </w:r>
      <w:proofErr w:type="spellEnd"/>
      <w:r w:rsidRPr="00D96905">
        <w:rPr>
          <w:rFonts w:ascii="Times New Roman" w:hAnsi="Times New Roman" w:cs="Times New Roman"/>
        </w:rPr>
        <w:t xml:space="preserve">, bond market size, or the spread of modern fintech solutions, to provide a more complete picture of the banking sector. Similarly, the effects of different types of tax revenue can be studied separately (e.g. corporate tax, income tax, VAT), to help policymakers understand which taxes are most effective for the financial system. </w:t>
      </w:r>
      <w:r w:rsidRPr="00D96905">
        <w:rPr>
          <w:rFonts w:ascii="Times New Roman" w:hAnsi="Times New Roman" w:cs="Times New Roman"/>
        </w:rPr>
        <w:lastRenderedPageBreak/>
        <w:t>Deductive improvements include the use of nonlinear models (such as Threshold Regression or Smooth Transition Regression) to test for nonlinear or threshold effects between taxes and financial development. Dynamic panel estimators such as GMM (</w:t>
      </w:r>
      <w:proofErr w:type="spellStart"/>
      <w:r w:rsidRPr="00D96905">
        <w:rPr>
          <w:rFonts w:ascii="Times New Roman" w:hAnsi="Times New Roman" w:cs="Times New Roman"/>
        </w:rPr>
        <w:t>Generali</w:t>
      </w:r>
      <w:r>
        <w:rPr>
          <w:rFonts w:ascii="Times New Roman" w:hAnsi="Times New Roman" w:cs="Times New Roman"/>
        </w:rPr>
        <w:t>s</w:t>
      </w:r>
      <w:r w:rsidRPr="00D96905">
        <w:rPr>
          <w:rFonts w:ascii="Times New Roman" w:hAnsi="Times New Roman" w:cs="Times New Roman"/>
        </w:rPr>
        <w:t>ed</w:t>
      </w:r>
      <w:proofErr w:type="spellEnd"/>
      <w:r w:rsidRPr="00D96905">
        <w:rPr>
          <w:rFonts w:ascii="Times New Roman" w:hAnsi="Times New Roman" w:cs="Times New Roman"/>
        </w:rPr>
        <w:t xml:space="preserve"> Method of Moments) can be applied to more effectively handle endogeneity and dynamic relationships. As the Slope Heterogeneity test would show different slopes per country, the models that might serve in future studies to consider such heterogeneity are Mean Group (MG) or Averaged Mean Group (AMG), where there are coefficients </w:t>
      </w:r>
      <w:r>
        <w:rPr>
          <w:rFonts w:ascii="Times New Roman" w:hAnsi="Times New Roman" w:cs="Times New Roman"/>
        </w:rPr>
        <w:t>for</w:t>
      </w:r>
      <w:r w:rsidRPr="00D96905">
        <w:rPr>
          <w:rFonts w:ascii="Times New Roman" w:hAnsi="Times New Roman" w:cs="Times New Roman"/>
        </w:rPr>
        <w:t xml:space="preserve"> each country. Expanding the geographical scope, including other emerging economies or regions in this study</w:t>
      </w:r>
      <w:r>
        <w:rPr>
          <w:rFonts w:ascii="Times New Roman" w:hAnsi="Times New Roman" w:cs="Times New Roman"/>
        </w:rPr>
        <w:t>,</w:t>
      </w:r>
      <w:r w:rsidRPr="00D96905">
        <w:rPr>
          <w:rFonts w:ascii="Times New Roman" w:hAnsi="Times New Roman" w:cs="Times New Roman"/>
        </w:rPr>
        <w:t xml:space="preserve"> could increase the generalizability of the results and provide a broader comparison of the robustness of the findings in the BRICS context. This study has far</w:t>
      </w:r>
      <w:r>
        <w:rPr>
          <w:rFonts w:ascii="Times New Roman" w:hAnsi="Times New Roman" w:cs="Times New Roman"/>
        </w:rPr>
        <w:t>-</w:t>
      </w:r>
      <w:r w:rsidRPr="00D96905">
        <w:rPr>
          <w:rFonts w:ascii="Times New Roman" w:hAnsi="Times New Roman" w:cs="Times New Roman"/>
        </w:rPr>
        <w:t xml:space="preserve">reaching and practical implications </w:t>
      </w:r>
      <w:r>
        <w:rPr>
          <w:rFonts w:ascii="Times New Roman" w:hAnsi="Times New Roman" w:cs="Times New Roman"/>
        </w:rPr>
        <w:t>for policy</w:t>
      </w:r>
      <w:r w:rsidRPr="00D96905">
        <w:rPr>
          <w:rFonts w:ascii="Times New Roman" w:hAnsi="Times New Roman" w:cs="Times New Roman"/>
        </w:rPr>
        <w:t xml:space="preserve">makers in the BRICS countries. As we have </w:t>
      </w:r>
      <w:proofErr w:type="spellStart"/>
      <w:r w:rsidRPr="00D96905">
        <w:rPr>
          <w:rFonts w:ascii="Times New Roman" w:hAnsi="Times New Roman" w:cs="Times New Roman"/>
        </w:rPr>
        <w:t>analy</w:t>
      </w:r>
      <w:r>
        <w:rPr>
          <w:rFonts w:ascii="Times New Roman" w:hAnsi="Times New Roman" w:cs="Times New Roman"/>
        </w:rPr>
        <w:t>s</w:t>
      </w:r>
      <w:r w:rsidRPr="00D96905">
        <w:rPr>
          <w:rFonts w:ascii="Times New Roman" w:hAnsi="Times New Roman" w:cs="Times New Roman"/>
        </w:rPr>
        <w:t>ed</w:t>
      </w:r>
      <w:proofErr w:type="spellEnd"/>
      <w:r w:rsidRPr="00D96905">
        <w:rPr>
          <w:rFonts w:ascii="Times New Roman" w:hAnsi="Times New Roman" w:cs="Times New Roman"/>
        </w:rPr>
        <w:t>, the tax revenue is not merely a solution to government spending</w:t>
      </w:r>
      <w:r>
        <w:rPr>
          <w:rFonts w:ascii="Times New Roman" w:hAnsi="Times New Roman" w:cs="Times New Roman"/>
        </w:rPr>
        <w:t>,</w:t>
      </w:r>
      <w:r w:rsidRPr="00D96905">
        <w:rPr>
          <w:rFonts w:ascii="Times New Roman" w:hAnsi="Times New Roman" w:cs="Times New Roman"/>
        </w:rPr>
        <w:t xml:space="preserve"> but it is a positive and determinant </w:t>
      </w:r>
      <w:r>
        <w:rPr>
          <w:rFonts w:ascii="Times New Roman" w:hAnsi="Times New Roman" w:cs="Times New Roman"/>
        </w:rPr>
        <w:t xml:space="preserve">factor </w:t>
      </w:r>
      <w:r w:rsidRPr="00D96905">
        <w:rPr>
          <w:rFonts w:ascii="Times New Roman" w:hAnsi="Times New Roman" w:cs="Times New Roman"/>
        </w:rPr>
        <w:t>to fiscal development that</w:t>
      </w:r>
      <w:r>
        <w:rPr>
          <w:rFonts w:ascii="Times New Roman" w:hAnsi="Times New Roman" w:cs="Times New Roman"/>
        </w:rPr>
        <w:t>,</w:t>
      </w:r>
      <w:r w:rsidRPr="00D96905">
        <w:rPr>
          <w:rFonts w:ascii="Times New Roman" w:hAnsi="Times New Roman" w:cs="Times New Roman"/>
        </w:rPr>
        <w:t xml:space="preserve"> in turn</w:t>
      </w:r>
      <w:r>
        <w:rPr>
          <w:rFonts w:ascii="Times New Roman" w:hAnsi="Times New Roman" w:cs="Times New Roman"/>
        </w:rPr>
        <w:t>,</w:t>
      </w:r>
      <w:r w:rsidRPr="00D96905">
        <w:rPr>
          <w:rFonts w:ascii="Times New Roman" w:hAnsi="Times New Roman" w:cs="Times New Roman"/>
        </w:rPr>
        <w:t xml:space="preserve"> drives economic growth.</w:t>
      </w:r>
    </w:p>
    <w:p w14:paraId="37853ABB" w14:textId="77777777" w:rsidR="00AE4452" w:rsidRPr="00D96905" w:rsidRDefault="00AE4452" w:rsidP="00AE4452">
      <w:pPr>
        <w:spacing w:line="360" w:lineRule="auto"/>
        <w:jc w:val="both"/>
        <w:rPr>
          <w:rFonts w:ascii="Times New Roman" w:hAnsi="Times New Roman" w:cs="Times New Roman"/>
          <w:b/>
          <w:bCs/>
          <w:sz w:val="32"/>
          <w:szCs w:val="32"/>
        </w:rPr>
      </w:pPr>
      <w:r w:rsidRPr="00D96905">
        <w:rPr>
          <w:rFonts w:ascii="Times New Roman" w:hAnsi="Times New Roman" w:cs="Times New Roman"/>
          <w:b/>
          <w:bCs/>
          <w:sz w:val="32"/>
          <w:szCs w:val="32"/>
        </w:rPr>
        <w:t>Implications</w:t>
      </w:r>
    </w:p>
    <w:p w14:paraId="0D2AF7C5" w14:textId="77777777" w:rsidR="00AE4452" w:rsidRPr="00D96905" w:rsidRDefault="00AE4452" w:rsidP="00AE4452">
      <w:pPr>
        <w:spacing w:line="360" w:lineRule="auto"/>
        <w:jc w:val="both"/>
        <w:rPr>
          <w:rFonts w:ascii="Times New Roman" w:hAnsi="Times New Roman" w:cs="Times New Roman"/>
        </w:rPr>
      </w:pPr>
      <w:r w:rsidRPr="00D96905">
        <w:rPr>
          <w:rFonts w:ascii="Times New Roman" w:hAnsi="Times New Roman" w:cs="Times New Roman"/>
        </w:rPr>
        <w:t xml:space="preserve"> It is high time that policymakers start considering taxes as an aid to financial system stability and growth</w:t>
      </w:r>
      <w:r>
        <w:rPr>
          <w:rFonts w:ascii="Times New Roman" w:hAnsi="Times New Roman" w:cs="Times New Roman"/>
        </w:rPr>
        <w:t>,</w:t>
      </w:r>
      <w:r w:rsidRPr="00D96905">
        <w:rPr>
          <w:rFonts w:ascii="Times New Roman" w:hAnsi="Times New Roman" w:cs="Times New Roman"/>
        </w:rPr>
        <w:t xml:space="preserve"> and not only as a liability. This does not imply hiking tax rates but expanding the tax base, making the process of tax collection more efficient (e.g. through the process of </w:t>
      </w:r>
      <w:proofErr w:type="spellStart"/>
      <w:r w:rsidRPr="00D96905">
        <w:rPr>
          <w:rFonts w:ascii="Times New Roman" w:hAnsi="Times New Roman" w:cs="Times New Roman"/>
        </w:rPr>
        <w:t>digitali</w:t>
      </w:r>
      <w:r>
        <w:rPr>
          <w:rFonts w:ascii="Times New Roman" w:hAnsi="Times New Roman" w:cs="Times New Roman"/>
        </w:rPr>
        <w:t>s</w:t>
      </w:r>
      <w:r w:rsidRPr="00D96905">
        <w:rPr>
          <w:rFonts w:ascii="Times New Roman" w:hAnsi="Times New Roman" w:cs="Times New Roman"/>
        </w:rPr>
        <w:t>ing</w:t>
      </w:r>
      <w:proofErr w:type="spellEnd"/>
      <w:r w:rsidRPr="00D96905">
        <w:rPr>
          <w:rFonts w:ascii="Times New Roman" w:hAnsi="Times New Roman" w:cs="Times New Roman"/>
        </w:rPr>
        <w:t xml:space="preserve"> tax laws, simplifying them, etc.), and making the tax system more transparent. A fair and efficient tax system offers the government </w:t>
      </w:r>
      <w:r>
        <w:rPr>
          <w:rFonts w:ascii="Times New Roman" w:hAnsi="Times New Roman" w:cs="Times New Roman"/>
        </w:rPr>
        <w:t xml:space="preserve">the </w:t>
      </w:r>
      <w:r w:rsidRPr="00D96905">
        <w:rPr>
          <w:rFonts w:ascii="Times New Roman" w:hAnsi="Times New Roman" w:cs="Times New Roman"/>
        </w:rPr>
        <w:t>means with which to invest in social good and infrastructure, which, indirectly, boost</w:t>
      </w:r>
      <w:r>
        <w:rPr>
          <w:rFonts w:ascii="Times New Roman" w:hAnsi="Times New Roman" w:cs="Times New Roman"/>
        </w:rPr>
        <w:t>s</w:t>
      </w:r>
      <w:r w:rsidRPr="00D96905">
        <w:rPr>
          <w:rFonts w:ascii="Times New Roman" w:hAnsi="Times New Roman" w:cs="Times New Roman"/>
        </w:rPr>
        <w:t xml:space="preserve"> productivity in the private sector and enables financial institutions to be more confident </w:t>
      </w:r>
      <w:r>
        <w:rPr>
          <w:rFonts w:ascii="Times New Roman" w:hAnsi="Times New Roman" w:cs="Times New Roman"/>
        </w:rPr>
        <w:t xml:space="preserve">in </w:t>
      </w:r>
      <w:r w:rsidRPr="00D96905">
        <w:rPr>
          <w:rFonts w:ascii="Times New Roman" w:hAnsi="Times New Roman" w:cs="Times New Roman"/>
        </w:rPr>
        <w:t xml:space="preserve">lending money to individual enterprises, eliminating the crowding-out effect. As financial development is directly correlated with economic growth and highly contagious with tax revenues, BRICS countries should make proactive efforts to enlarge and integrate their financial sectors. These involve advocating </w:t>
      </w:r>
      <w:r>
        <w:rPr>
          <w:rFonts w:ascii="Times New Roman" w:hAnsi="Times New Roman" w:cs="Times New Roman"/>
        </w:rPr>
        <w:t xml:space="preserve">for </w:t>
      </w:r>
      <w:r w:rsidRPr="00D96905">
        <w:rPr>
          <w:rFonts w:ascii="Times New Roman" w:hAnsi="Times New Roman" w:cs="Times New Roman"/>
        </w:rPr>
        <w:t xml:space="preserve">financial inclusion, enhancing financial intermediaries, and financial innovation. The positive impacts of the tax revenues </w:t>
      </w:r>
      <w:r>
        <w:rPr>
          <w:rFonts w:ascii="Times New Roman" w:hAnsi="Times New Roman" w:cs="Times New Roman"/>
        </w:rPr>
        <w:t>on</w:t>
      </w:r>
      <w:r w:rsidRPr="00D96905">
        <w:rPr>
          <w:rFonts w:ascii="Times New Roman" w:hAnsi="Times New Roman" w:cs="Times New Roman"/>
        </w:rPr>
        <w:t xml:space="preserve"> economic growth rely on a strong banking sector that will offer plenty </w:t>
      </w:r>
      <w:r>
        <w:rPr>
          <w:rFonts w:ascii="Times New Roman" w:hAnsi="Times New Roman" w:cs="Times New Roman"/>
        </w:rPr>
        <w:t>of</w:t>
      </w:r>
      <w:r w:rsidRPr="00D96905">
        <w:rPr>
          <w:rFonts w:ascii="Times New Roman" w:hAnsi="Times New Roman" w:cs="Times New Roman"/>
        </w:rPr>
        <w:t xml:space="preserve"> cheap credit to the private sector. </w:t>
      </w:r>
    </w:p>
    <w:p w14:paraId="44700041" w14:textId="77777777" w:rsidR="00AE4452" w:rsidRPr="00D96905" w:rsidRDefault="00AE4452" w:rsidP="00AE4452">
      <w:pPr>
        <w:spacing w:line="360" w:lineRule="auto"/>
        <w:jc w:val="both"/>
        <w:rPr>
          <w:rFonts w:ascii="Times New Roman" w:hAnsi="Times New Roman" w:cs="Times New Roman"/>
        </w:rPr>
      </w:pPr>
      <w:r w:rsidRPr="00D96905">
        <w:rPr>
          <w:rFonts w:ascii="Times New Roman" w:hAnsi="Times New Roman" w:cs="Times New Roman"/>
        </w:rPr>
        <w:t xml:space="preserve">The adverse effect of inflation on monetary development and economic growth will mean that central banks should keep up with their quest of ensuring price stability. Managing inflation will persuade the banks to lend longer and will </w:t>
      </w:r>
      <w:proofErr w:type="spellStart"/>
      <w:r w:rsidRPr="00D96905">
        <w:rPr>
          <w:rFonts w:ascii="Times New Roman" w:hAnsi="Times New Roman" w:cs="Times New Roman"/>
        </w:rPr>
        <w:t>minimise</w:t>
      </w:r>
      <w:proofErr w:type="spellEnd"/>
      <w:r w:rsidRPr="00D96905">
        <w:rPr>
          <w:rFonts w:ascii="Times New Roman" w:hAnsi="Times New Roman" w:cs="Times New Roman"/>
        </w:rPr>
        <w:t xml:space="preserve"> uncertainty </w:t>
      </w:r>
      <w:r>
        <w:rPr>
          <w:rFonts w:ascii="Times New Roman" w:hAnsi="Times New Roman" w:cs="Times New Roman"/>
        </w:rPr>
        <w:t>for</w:t>
      </w:r>
      <w:r w:rsidRPr="00D96905">
        <w:rPr>
          <w:rFonts w:ascii="Times New Roman" w:hAnsi="Times New Roman" w:cs="Times New Roman"/>
        </w:rPr>
        <w:t xml:space="preserve"> investors. Both Trade Openness and FDI are instrumental in economic development and economic development. The </w:t>
      </w:r>
      <w:r w:rsidRPr="00D96905">
        <w:rPr>
          <w:rFonts w:ascii="Times New Roman" w:hAnsi="Times New Roman" w:cs="Times New Roman"/>
        </w:rPr>
        <w:lastRenderedPageBreak/>
        <w:t>policymakers need to ensure that they provide a friendly atmosphere that will facilitate foreign investment and foster international trade because it not only come</w:t>
      </w:r>
      <w:r>
        <w:rPr>
          <w:rFonts w:ascii="Times New Roman" w:hAnsi="Times New Roman" w:cs="Times New Roman"/>
        </w:rPr>
        <w:t>s</w:t>
      </w:r>
      <w:r w:rsidRPr="00D96905">
        <w:rPr>
          <w:rFonts w:ascii="Times New Roman" w:hAnsi="Times New Roman" w:cs="Times New Roman"/>
        </w:rPr>
        <w:t xml:space="preserve"> with capital but also enhanced management capabilities and international financial requirements.</w:t>
      </w:r>
    </w:p>
    <w:p w14:paraId="17C6A697" w14:textId="77777777" w:rsidR="00AE4452" w:rsidRPr="00D96905" w:rsidRDefault="00AE4452" w:rsidP="00AE4452">
      <w:pPr>
        <w:spacing w:line="360" w:lineRule="auto"/>
        <w:jc w:val="both"/>
        <w:rPr>
          <w:rFonts w:ascii="Times New Roman" w:hAnsi="Times New Roman" w:cs="Times New Roman"/>
        </w:rPr>
      </w:pPr>
      <w:r w:rsidRPr="00D96905">
        <w:rPr>
          <w:rFonts w:ascii="Times New Roman" w:hAnsi="Times New Roman" w:cs="Times New Roman"/>
        </w:rPr>
        <w:t>The outcome of the slope heterogeneity test creates concerns as to whether the policies of the BRICS countries are homogeneous. The economic and financial system of each country is varied</w:t>
      </w:r>
      <w:r>
        <w:rPr>
          <w:rFonts w:ascii="Times New Roman" w:hAnsi="Times New Roman" w:cs="Times New Roman"/>
        </w:rPr>
        <w:t>,</w:t>
      </w:r>
      <w:r w:rsidRPr="00D96905">
        <w:rPr>
          <w:rFonts w:ascii="Times New Roman" w:hAnsi="Times New Roman" w:cs="Times New Roman"/>
        </w:rPr>
        <w:t xml:space="preserve"> and thus</w:t>
      </w:r>
      <w:r>
        <w:rPr>
          <w:rFonts w:ascii="Times New Roman" w:hAnsi="Times New Roman" w:cs="Times New Roman"/>
        </w:rPr>
        <w:t>,</w:t>
      </w:r>
      <w:r w:rsidRPr="00D96905">
        <w:rPr>
          <w:rFonts w:ascii="Times New Roman" w:hAnsi="Times New Roman" w:cs="Times New Roman"/>
        </w:rPr>
        <w:t xml:space="preserve"> the policies that fit everyone universally will not work. Indicatively, a more financially deep country such as China will have to </w:t>
      </w:r>
      <w:proofErr w:type="spellStart"/>
      <w:r w:rsidRPr="00D96905">
        <w:rPr>
          <w:rFonts w:ascii="Times New Roman" w:hAnsi="Times New Roman" w:cs="Times New Roman"/>
        </w:rPr>
        <w:t>prioriti</w:t>
      </w:r>
      <w:r>
        <w:rPr>
          <w:rFonts w:ascii="Times New Roman" w:hAnsi="Times New Roman" w:cs="Times New Roman"/>
        </w:rPr>
        <w:t>s</w:t>
      </w:r>
      <w:r w:rsidRPr="00D96905">
        <w:rPr>
          <w:rFonts w:ascii="Times New Roman" w:hAnsi="Times New Roman" w:cs="Times New Roman"/>
        </w:rPr>
        <w:t>e</w:t>
      </w:r>
      <w:proofErr w:type="spellEnd"/>
      <w:r w:rsidRPr="00D96905">
        <w:rPr>
          <w:rFonts w:ascii="Times New Roman" w:hAnsi="Times New Roman" w:cs="Times New Roman"/>
        </w:rPr>
        <w:t xml:space="preserve"> financial stability and oversight</w:t>
      </w:r>
      <w:r>
        <w:rPr>
          <w:rFonts w:ascii="Times New Roman" w:hAnsi="Times New Roman" w:cs="Times New Roman"/>
        </w:rPr>
        <w:t>. In contrast,</w:t>
      </w:r>
      <w:r w:rsidRPr="00D96905">
        <w:rPr>
          <w:rFonts w:ascii="Times New Roman" w:hAnsi="Times New Roman" w:cs="Times New Roman"/>
        </w:rPr>
        <w:t xml:space="preserve"> India will have to </w:t>
      </w:r>
      <w:proofErr w:type="spellStart"/>
      <w:r w:rsidRPr="00D96905">
        <w:rPr>
          <w:rFonts w:ascii="Times New Roman" w:hAnsi="Times New Roman" w:cs="Times New Roman"/>
        </w:rPr>
        <w:t>prioriti</w:t>
      </w:r>
      <w:r>
        <w:rPr>
          <w:rFonts w:ascii="Times New Roman" w:hAnsi="Times New Roman" w:cs="Times New Roman"/>
        </w:rPr>
        <w:t>s</w:t>
      </w:r>
      <w:r w:rsidRPr="00D96905">
        <w:rPr>
          <w:rFonts w:ascii="Times New Roman" w:hAnsi="Times New Roman" w:cs="Times New Roman"/>
        </w:rPr>
        <w:t>e</w:t>
      </w:r>
      <w:proofErr w:type="spellEnd"/>
      <w:r w:rsidRPr="00D96905">
        <w:rPr>
          <w:rFonts w:ascii="Times New Roman" w:hAnsi="Times New Roman" w:cs="Times New Roman"/>
        </w:rPr>
        <w:t xml:space="preserve"> enhancing financial inclusion and expanding the tax base even further. Brazil and Russia will be required to enhance their tax policies, as well as improve macroeconomic stability, in order to further facilitate financial development. The necessity of regional cooperation: The fact of cross-sectional dependence means that BRICS states should take into account regional integration and coordination in their fiscal and taxation policies. The policies of one country may have extensive effects on the other country</w:t>
      </w:r>
      <w:r>
        <w:rPr>
          <w:rFonts w:ascii="Times New Roman" w:hAnsi="Times New Roman" w:cs="Times New Roman"/>
        </w:rPr>
        <w:t>. T</w:t>
      </w:r>
      <w:r w:rsidRPr="00D96905">
        <w:rPr>
          <w:rFonts w:ascii="Times New Roman" w:hAnsi="Times New Roman" w:cs="Times New Roman"/>
        </w:rPr>
        <w:t xml:space="preserve">herefore, a collective approach or even improved policy alignment will translate to a </w:t>
      </w:r>
      <w:proofErr w:type="spellStart"/>
      <w:r w:rsidRPr="00D96905">
        <w:rPr>
          <w:rFonts w:ascii="Times New Roman" w:hAnsi="Times New Roman" w:cs="Times New Roman"/>
        </w:rPr>
        <w:t>stabili</w:t>
      </w:r>
      <w:r>
        <w:rPr>
          <w:rFonts w:ascii="Times New Roman" w:hAnsi="Times New Roman" w:cs="Times New Roman"/>
        </w:rPr>
        <w:t>s</w:t>
      </w:r>
      <w:r w:rsidRPr="00D96905">
        <w:rPr>
          <w:rFonts w:ascii="Times New Roman" w:hAnsi="Times New Roman" w:cs="Times New Roman"/>
        </w:rPr>
        <w:t>ing</w:t>
      </w:r>
      <w:proofErr w:type="spellEnd"/>
      <w:r w:rsidRPr="00D96905">
        <w:rPr>
          <w:rFonts w:ascii="Times New Roman" w:hAnsi="Times New Roman" w:cs="Times New Roman"/>
        </w:rPr>
        <w:t xml:space="preserve"> and sustainable economic growth among all the member countries.</w:t>
      </w:r>
    </w:p>
    <w:p w14:paraId="3AF1B4B0" w14:textId="77777777" w:rsidR="00AE4452" w:rsidRPr="00151DE2" w:rsidRDefault="00AE4452" w:rsidP="00AE4452">
      <w:pPr>
        <w:spacing w:line="360" w:lineRule="auto"/>
        <w:jc w:val="both"/>
        <w:rPr>
          <w:rFonts w:ascii="Times New Roman" w:hAnsi="Times New Roman" w:cs="Times New Roman"/>
        </w:rPr>
      </w:pPr>
      <w:r w:rsidRPr="00151DE2">
        <w:rPr>
          <w:rFonts w:ascii="Times New Roman" w:hAnsi="Times New Roman" w:cs="Times New Roman"/>
        </w:rPr>
        <w:t>COMPETING INTERESTS DISCLAIMER:</w:t>
      </w:r>
    </w:p>
    <w:p w14:paraId="65ADA8DD" w14:textId="77777777" w:rsidR="00AE4452" w:rsidRPr="00D96905" w:rsidRDefault="00AE4452" w:rsidP="00AE4452">
      <w:pPr>
        <w:spacing w:line="360" w:lineRule="auto"/>
        <w:jc w:val="both"/>
        <w:rPr>
          <w:rFonts w:ascii="Times New Roman" w:hAnsi="Times New Roman" w:cs="Times New Roman"/>
        </w:rPr>
      </w:pPr>
      <w:r w:rsidRPr="00151DE2">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523419D3" w14:textId="77777777" w:rsidR="00AE4452" w:rsidRPr="00CA3906" w:rsidRDefault="00AE4452" w:rsidP="00AE4452">
      <w:pPr>
        <w:rPr>
          <w:b/>
          <w:highlight w:val="yellow"/>
        </w:rPr>
      </w:pPr>
      <w:r w:rsidRPr="00CA3906">
        <w:rPr>
          <w:b/>
          <w:highlight w:val="yellow"/>
        </w:rPr>
        <w:t>Disclaimer (Artificial intelligence)</w:t>
      </w:r>
    </w:p>
    <w:p w14:paraId="33CF90F0" w14:textId="77777777" w:rsidR="00AE4452" w:rsidRPr="00740879" w:rsidRDefault="00AE4452" w:rsidP="00AE4452">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CF8267F" w14:textId="77777777" w:rsidR="00AE4452" w:rsidRPr="00D96905" w:rsidRDefault="00AE4452" w:rsidP="00AE4452">
      <w:pPr>
        <w:jc w:val="both"/>
        <w:rPr>
          <w:rFonts w:ascii="Times New Roman" w:hAnsi="Times New Roman" w:cs="Times New Roman"/>
        </w:rPr>
      </w:pPr>
    </w:p>
    <w:p w14:paraId="16E9B1C7" w14:textId="77777777" w:rsidR="00AE4452" w:rsidRPr="00D96905" w:rsidRDefault="00AE4452" w:rsidP="00AE4452">
      <w:pPr>
        <w:jc w:val="both"/>
        <w:rPr>
          <w:rFonts w:ascii="Times New Roman" w:hAnsi="Times New Roman" w:cs="Times New Roman"/>
          <w:b/>
          <w:bCs/>
        </w:rPr>
      </w:pPr>
      <w:r w:rsidRPr="00D96905">
        <w:rPr>
          <w:rFonts w:ascii="Times New Roman" w:hAnsi="Times New Roman" w:cs="Times New Roman"/>
          <w:b/>
          <w:bCs/>
        </w:rPr>
        <w:t>References</w:t>
      </w:r>
    </w:p>
    <w:p w14:paraId="1395248D" w14:textId="77777777" w:rsidR="00AE4452" w:rsidRPr="00AE4452" w:rsidRDefault="00AE4452" w:rsidP="00AE4452">
      <w:pPr>
        <w:pStyle w:val="EndNoteBibliography"/>
        <w:spacing w:after="0"/>
        <w:ind w:left="720" w:hanging="720"/>
      </w:pPr>
      <w:r w:rsidRPr="00D96905">
        <w:rPr>
          <w:rFonts w:ascii="Times New Roman" w:hAnsi="Times New Roman" w:cs="Times New Roman"/>
        </w:rPr>
        <w:fldChar w:fldCharType="begin"/>
      </w:r>
      <w:r w:rsidRPr="00D96905">
        <w:rPr>
          <w:rFonts w:ascii="Times New Roman" w:hAnsi="Times New Roman" w:cs="Times New Roman"/>
        </w:rPr>
        <w:instrText xml:space="preserve"> ADDIN EN.REFLIST </w:instrText>
      </w:r>
      <w:r w:rsidRPr="00D96905">
        <w:rPr>
          <w:rFonts w:ascii="Times New Roman" w:hAnsi="Times New Roman" w:cs="Times New Roman"/>
        </w:rPr>
        <w:fldChar w:fldCharType="separate"/>
      </w:r>
      <w:bookmarkStart w:id="1" w:name="_ENREF_1"/>
      <w:r w:rsidRPr="00AE4452">
        <w:t xml:space="preserve">Abd Hakim, T., Karia, A. A., David, J., Ginsad, R., Lokman, N., &amp; Zolkafli, S. (2022). Impact of direct and indirect taxes on economic development: A comparison between developed and developing countries. </w:t>
      </w:r>
      <w:r w:rsidRPr="00AE4452">
        <w:rPr>
          <w:i/>
        </w:rPr>
        <w:t>Cogent Economics &amp; Finance</w:t>
      </w:r>
      <w:r w:rsidRPr="00AE4452">
        <w:t>,</w:t>
      </w:r>
      <w:r w:rsidRPr="00AE4452">
        <w:rPr>
          <w:i/>
        </w:rPr>
        <w:t xml:space="preserve"> 10</w:t>
      </w:r>
      <w:r w:rsidRPr="00AE4452">
        <w:t xml:space="preserve">(1), 2141423. </w:t>
      </w:r>
      <w:bookmarkEnd w:id="1"/>
    </w:p>
    <w:p w14:paraId="3253193D" w14:textId="77777777" w:rsidR="00AE4452" w:rsidRPr="00AE4452" w:rsidRDefault="00AE4452" w:rsidP="00AE4452">
      <w:pPr>
        <w:pStyle w:val="EndNoteBibliography"/>
        <w:spacing w:after="0"/>
        <w:ind w:left="720" w:hanging="720"/>
      </w:pPr>
      <w:bookmarkStart w:id="2" w:name="_ENREF_2"/>
      <w:r w:rsidRPr="00AE4452">
        <w:t xml:space="preserve">Ali, A., Fatima, N., Rahman Ali, B. J. A., &amp; Husain, F. (2023). Imports, Exports and Growth of Gross Domestic Product (GDP)-A Relational Variability Analysis. </w:t>
      </w:r>
      <w:r w:rsidRPr="00AE4452">
        <w:rPr>
          <w:i/>
        </w:rPr>
        <w:t>International Journal of Sustainable Development &amp; Planning</w:t>
      </w:r>
      <w:r w:rsidRPr="00AE4452">
        <w:t>,</w:t>
      </w:r>
      <w:r w:rsidRPr="00AE4452">
        <w:rPr>
          <w:i/>
        </w:rPr>
        <w:t xml:space="preserve"> 18</w:t>
      </w:r>
      <w:r w:rsidRPr="00AE4452">
        <w:t xml:space="preserve">(6). </w:t>
      </w:r>
      <w:bookmarkEnd w:id="2"/>
    </w:p>
    <w:p w14:paraId="180B3EE3" w14:textId="77777777" w:rsidR="00AE4452" w:rsidRPr="00AE4452" w:rsidRDefault="00AE4452" w:rsidP="00AE4452">
      <w:pPr>
        <w:pStyle w:val="EndNoteBibliography"/>
        <w:spacing w:after="0"/>
        <w:ind w:left="720" w:hanging="720"/>
      </w:pPr>
      <w:bookmarkStart w:id="3" w:name="_ENREF_3"/>
      <w:r w:rsidRPr="00AE4452">
        <w:lastRenderedPageBreak/>
        <w:t xml:space="preserve">Alinaghi, N., &amp; Reed, W. R. (2021). Taxes and Economic Growth in OECD countries: A Meta-analysis. </w:t>
      </w:r>
      <w:r w:rsidRPr="00AE4452">
        <w:rPr>
          <w:i/>
        </w:rPr>
        <w:t>Public Finance Review</w:t>
      </w:r>
      <w:r w:rsidRPr="00AE4452">
        <w:t>,</w:t>
      </w:r>
      <w:r w:rsidRPr="00AE4452">
        <w:rPr>
          <w:i/>
        </w:rPr>
        <w:t xml:space="preserve"> 49</w:t>
      </w:r>
      <w:r w:rsidRPr="00AE4452">
        <w:t xml:space="preserve">(1), 3-40. </w:t>
      </w:r>
      <w:bookmarkEnd w:id="3"/>
    </w:p>
    <w:p w14:paraId="7F247223" w14:textId="77777777" w:rsidR="00AE4452" w:rsidRPr="00AE4452" w:rsidRDefault="00AE4452" w:rsidP="00AE4452">
      <w:pPr>
        <w:pStyle w:val="EndNoteBibliography"/>
        <w:spacing w:after="0"/>
        <w:ind w:left="720" w:hanging="720"/>
      </w:pPr>
      <w:bookmarkStart w:id="4" w:name="_ENREF_4"/>
      <w:r w:rsidRPr="00AE4452">
        <w:t xml:space="preserve">Audi, M. (2024). Exploring fiscal dynamics between resource and non-resource tax revenues in oil-dependent countries. </w:t>
      </w:r>
      <w:r w:rsidRPr="00AE4452">
        <w:rPr>
          <w:i/>
        </w:rPr>
        <w:t>Journal of Energy and Environmental Policy Options</w:t>
      </w:r>
      <w:r w:rsidRPr="00AE4452">
        <w:t>,</w:t>
      </w:r>
      <w:r w:rsidRPr="00AE4452">
        <w:rPr>
          <w:i/>
        </w:rPr>
        <w:t xml:space="preserve"> 7</w:t>
      </w:r>
      <w:r w:rsidRPr="00AE4452">
        <w:t xml:space="preserve">(4), 20-30. </w:t>
      </w:r>
      <w:bookmarkEnd w:id="4"/>
    </w:p>
    <w:p w14:paraId="6FA3D2ED" w14:textId="77777777" w:rsidR="00AE4452" w:rsidRPr="00AE4452" w:rsidRDefault="00AE4452" w:rsidP="00AE4452">
      <w:pPr>
        <w:pStyle w:val="EndNoteBibliography"/>
        <w:spacing w:after="0"/>
        <w:ind w:left="720" w:hanging="720"/>
      </w:pPr>
      <w:bookmarkStart w:id="5" w:name="_ENREF_5"/>
      <w:r w:rsidRPr="00AE4452">
        <w:t xml:space="preserve">Bandyopadhyay, A. (2022). Bank financial performance and its linkage with capital: a dynamic panel data analysis of public sector Banks in India. </w:t>
      </w:r>
      <w:r w:rsidRPr="00AE4452">
        <w:rPr>
          <w:i/>
        </w:rPr>
        <w:t>The Indian Economic Journal</w:t>
      </w:r>
      <w:r w:rsidRPr="00AE4452">
        <w:t>,</w:t>
      </w:r>
      <w:r w:rsidRPr="00AE4452">
        <w:rPr>
          <w:i/>
        </w:rPr>
        <w:t xml:space="preserve"> 70</w:t>
      </w:r>
      <w:r w:rsidRPr="00AE4452">
        <w:t xml:space="preserve">(3), 437-451. </w:t>
      </w:r>
      <w:bookmarkEnd w:id="5"/>
    </w:p>
    <w:p w14:paraId="07604CAB" w14:textId="77777777" w:rsidR="00AE4452" w:rsidRPr="00AE4452" w:rsidRDefault="00AE4452" w:rsidP="00AE4452">
      <w:pPr>
        <w:pStyle w:val="EndNoteBibliography"/>
        <w:spacing w:after="0"/>
        <w:ind w:left="720" w:hanging="720"/>
      </w:pPr>
      <w:bookmarkStart w:id="6" w:name="_ENREF_6"/>
      <w:r w:rsidRPr="00AE4452">
        <w:t>Bleaney, M., &amp; Tian, M. (2023). The trade</w:t>
      </w:r>
      <w:r w:rsidRPr="00AE4452">
        <w:rPr>
          <w:rFonts w:ascii="Cambria Math" w:hAnsi="Cambria Math" w:cs="Cambria Math"/>
        </w:rPr>
        <w:t>‐</w:t>
      </w:r>
      <w:r w:rsidRPr="00AE4452">
        <w:t xml:space="preserve">GDP ratio as a measure of openness. </w:t>
      </w:r>
      <w:r w:rsidRPr="00AE4452">
        <w:rPr>
          <w:i/>
        </w:rPr>
        <w:t>The World Economy</w:t>
      </w:r>
      <w:r w:rsidRPr="00AE4452">
        <w:t>,</w:t>
      </w:r>
      <w:r w:rsidRPr="00AE4452">
        <w:rPr>
          <w:i/>
        </w:rPr>
        <w:t xml:space="preserve"> 46</w:t>
      </w:r>
      <w:r w:rsidRPr="00AE4452">
        <w:t xml:space="preserve">(5), 1319-1332. </w:t>
      </w:r>
      <w:bookmarkEnd w:id="6"/>
    </w:p>
    <w:p w14:paraId="408981B3" w14:textId="77777777" w:rsidR="00AE4452" w:rsidRPr="00AE4452" w:rsidRDefault="00AE4452" w:rsidP="00AE4452">
      <w:pPr>
        <w:pStyle w:val="EndNoteBibliography"/>
        <w:spacing w:after="0"/>
        <w:ind w:left="720" w:hanging="720"/>
      </w:pPr>
      <w:bookmarkStart w:id="7" w:name="_ENREF_7"/>
      <w:r w:rsidRPr="00AE4452">
        <w:t xml:space="preserve">Bornhorst, F., &amp; Baum, C. (2006). LEVINLIN: Stata module to perform Levin-Lin-Chu panel unit root test. </w:t>
      </w:r>
      <w:bookmarkEnd w:id="7"/>
    </w:p>
    <w:p w14:paraId="524328D7" w14:textId="77777777" w:rsidR="00AE4452" w:rsidRPr="00AE4452" w:rsidRDefault="00AE4452" w:rsidP="00AE4452">
      <w:pPr>
        <w:pStyle w:val="EndNoteBibliography"/>
        <w:spacing w:after="0"/>
        <w:ind w:left="720" w:hanging="720"/>
      </w:pPr>
      <w:bookmarkStart w:id="8" w:name="_ENREF_8"/>
      <w:r w:rsidRPr="00AE4452">
        <w:t xml:space="preserve">Bostan, I., Toma, C., Aevoae, G., Robu, I.-B., Mardiros, D. N., &amp; Topliceanu, Ș. C. (2023). Effects of internal and external factors on economic growth in emerging economies: Evidence from CEE countries. </w:t>
      </w:r>
      <w:r w:rsidRPr="00AE4452">
        <w:rPr>
          <w:i/>
        </w:rPr>
        <w:t>Eastern European Economics</w:t>
      </w:r>
      <w:r w:rsidRPr="00AE4452">
        <w:t>,</w:t>
      </w:r>
      <w:r w:rsidRPr="00AE4452">
        <w:rPr>
          <w:i/>
        </w:rPr>
        <w:t xml:space="preserve"> 61</w:t>
      </w:r>
      <w:r w:rsidRPr="00AE4452">
        <w:t xml:space="preserve">(1), 66-85. </w:t>
      </w:r>
      <w:bookmarkEnd w:id="8"/>
    </w:p>
    <w:p w14:paraId="0CE78231" w14:textId="77777777" w:rsidR="00AE4452" w:rsidRPr="00AE4452" w:rsidRDefault="00AE4452" w:rsidP="00AE4452">
      <w:pPr>
        <w:pStyle w:val="EndNoteBibliography"/>
        <w:spacing w:after="0"/>
        <w:ind w:left="720" w:hanging="720"/>
      </w:pPr>
      <w:bookmarkStart w:id="9" w:name="_ENREF_9"/>
      <w:r w:rsidRPr="00AE4452">
        <w:t xml:space="preserve">Chen, Y., Xu, S., Lyulyov, O., &amp; Pimonenko, T. (2023). China’s digital economy development: Incentives and challenges. </w:t>
      </w:r>
      <w:r w:rsidRPr="00AE4452">
        <w:rPr>
          <w:i/>
        </w:rPr>
        <w:t>Technological and economic development of economy</w:t>
      </w:r>
      <w:r w:rsidRPr="00AE4452">
        <w:t>,</w:t>
      </w:r>
      <w:r w:rsidRPr="00AE4452">
        <w:rPr>
          <w:i/>
        </w:rPr>
        <w:t xml:space="preserve"> 29</w:t>
      </w:r>
      <w:r w:rsidRPr="00AE4452">
        <w:t xml:space="preserve">(2), 518–538-518–538. </w:t>
      </w:r>
      <w:bookmarkEnd w:id="9"/>
    </w:p>
    <w:p w14:paraId="09559C95" w14:textId="77777777" w:rsidR="00AE4452" w:rsidRPr="00AE4452" w:rsidRDefault="00AE4452" w:rsidP="00AE4452">
      <w:pPr>
        <w:pStyle w:val="EndNoteBibliography"/>
        <w:spacing w:after="0"/>
        <w:ind w:left="720" w:hanging="720"/>
      </w:pPr>
      <w:bookmarkStart w:id="10" w:name="_ENREF_10"/>
      <w:r w:rsidRPr="00AE4452">
        <w:t xml:space="preserve">Chevallier, J., Nguyen, D. K., Siverskog, J., &amp; Uddin, G. S. (2018). Market integration and financial linkages among stock markets in Pacific Basin countries. </w:t>
      </w:r>
      <w:r w:rsidRPr="00AE4452">
        <w:rPr>
          <w:i/>
        </w:rPr>
        <w:t>Journal of Empirical Finance</w:t>
      </w:r>
      <w:r w:rsidRPr="00AE4452">
        <w:t>,</w:t>
      </w:r>
      <w:r w:rsidRPr="00AE4452">
        <w:rPr>
          <w:i/>
        </w:rPr>
        <w:t xml:space="preserve"> 46</w:t>
      </w:r>
      <w:r w:rsidRPr="00AE4452">
        <w:t xml:space="preserve">, 77-92. </w:t>
      </w:r>
      <w:bookmarkEnd w:id="10"/>
    </w:p>
    <w:p w14:paraId="1816FE4B" w14:textId="77777777" w:rsidR="00AE4452" w:rsidRPr="00AE4452" w:rsidRDefault="00AE4452" w:rsidP="00AE4452">
      <w:pPr>
        <w:pStyle w:val="EndNoteBibliography"/>
        <w:spacing w:after="0"/>
        <w:ind w:left="720" w:hanging="720"/>
      </w:pPr>
      <w:bookmarkStart w:id="11" w:name="_ENREF_11"/>
      <w:r w:rsidRPr="00AE4452">
        <w:t xml:space="preserve">Chugunov, I., Vatulov, A., &amp; Markuts, Y. (2020). General government revenue in the system of fiscal regulation. </w:t>
      </w:r>
      <w:r w:rsidRPr="00AE4452">
        <w:rPr>
          <w:i/>
        </w:rPr>
        <w:t>Investment Management &amp; Financial Innovations</w:t>
      </w:r>
      <w:r w:rsidRPr="00AE4452">
        <w:t>,</w:t>
      </w:r>
      <w:r w:rsidRPr="00AE4452">
        <w:rPr>
          <w:i/>
        </w:rPr>
        <w:t xml:space="preserve"> 17</w:t>
      </w:r>
      <w:r w:rsidRPr="00AE4452">
        <w:t xml:space="preserve">(1), 134. </w:t>
      </w:r>
      <w:bookmarkEnd w:id="11"/>
    </w:p>
    <w:p w14:paraId="5834E847" w14:textId="77777777" w:rsidR="00AE4452" w:rsidRPr="00AE4452" w:rsidRDefault="00AE4452" w:rsidP="00AE4452">
      <w:pPr>
        <w:pStyle w:val="EndNoteBibliography"/>
        <w:spacing w:after="0"/>
        <w:ind w:left="720" w:hanging="720"/>
      </w:pPr>
      <w:bookmarkStart w:id="12" w:name="_ENREF_12"/>
      <w:r w:rsidRPr="00AE4452">
        <w:t xml:space="preserve">Dědeček, R., &amp; Dudzich, V. (2022). Exploring the limitations of GDP per capita as an indicator of economic development: A cross-country perspective. </w:t>
      </w:r>
      <w:r w:rsidRPr="00AE4452">
        <w:rPr>
          <w:i/>
        </w:rPr>
        <w:t>Review of Economic Perspectives</w:t>
      </w:r>
      <w:r w:rsidRPr="00AE4452">
        <w:t>,</w:t>
      </w:r>
      <w:r w:rsidRPr="00AE4452">
        <w:rPr>
          <w:i/>
        </w:rPr>
        <w:t xml:space="preserve"> 22</w:t>
      </w:r>
      <w:r w:rsidRPr="00AE4452">
        <w:t xml:space="preserve">(3), 193-217. </w:t>
      </w:r>
      <w:bookmarkEnd w:id="12"/>
    </w:p>
    <w:p w14:paraId="43EBD1D2" w14:textId="77777777" w:rsidR="00AE4452" w:rsidRPr="00AE4452" w:rsidRDefault="00AE4452" w:rsidP="00AE4452">
      <w:pPr>
        <w:pStyle w:val="EndNoteBibliography"/>
        <w:spacing w:after="0"/>
        <w:ind w:left="720" w:hanging="720"/>
      </w:pPr>
      <w:bookmarkStart w:id="13" w:name="_ENREF_13"/>
      <w:r w:rsidRPr="00AE4452">
        <w:t xml:space="preserve">Durusu-Ciftci, D., Ispir, M. S., &amp; Yetkiner, H. (2017). Financial development and economic growth: Some theory and more evidence. </w:t>
      </w:r>
      <w:r w:rsidRPr="00AE4452">
        <w:rPr>
          <w:i/>
        </w:rPr>
        <w:t>Journal of policy modeling</w:t>
      </w:r>
      <w:r w:rsidRPr="00AE4452">
        <w:t>,</w:t>
      </w:r>
      <w:r w:rsidRPr="00AE4452">
        <w:rPr>
          <w:i/>
        </w:rPr>
        <w:t xml:space="preserve"> 39</w:t>
      </w:r>
      <w:r w:rsidRPr="00AE4452">
        <w:t xml:space="preserve">(2), 290-306. </w:t>
      </w:r>
      <w:bookmarkEnd w:id="13"/>
    </w:p>
    <w:p w14:paraId="49A200AA" w14:textId="77777777" w:rsidR="00AE4452" w:rsidRPr="00AE4452" w:rsidRDefault="00AE4452" w:rsidP="00AE4452">
      <w:pPr>
        <w:pStyle w:val="EndNoteBibliography"/>
        <w:spacing w:after="0"/>
        <w:ind w:left="720" w:hanging="720"/>
      </w:pPr>
      <w:bookmarkStart w:id="14" w:name="_ENREF_14"/>
      <w:r w:rsidRPr="00AE4452">
        <w:t xml:space="preserve">Fadilah, A. H., Hidayat, A., Rohima, S., Pertiwi, R., Yulianita, A., &amp; Shodrokova, X. (2024). The Relationship Banking Stability, Exchange Rate, Foreign Direct Investment and Economic Growth in BRICS Countries: A Panel Data Evidence. </w:t>
      </w:r>
      <w:r w:rsidRPr="00AE4452">
        <w:rPr>
          <w:i/>
        </w:rPr>
        <w:t>Economic Insights-Trends &amp; Challenges</w:t>
      </w:r>
      <w:r w:rsidRPr="00AE4452">
        <w:t>,</w:t>
      </w:r>
      <w:r w:rsidRPr="00AE4452">
        <w:rPr>
          <w:i/>
        </w:rPr>
        <w:t xml:space="preserve"> 13</w:t>
      </w:r>
      <w:r w:rsidRPr="00AE4452">
        <w:t xml:space="preserve">(3). </w:t>
      </w:r>
      <w:bookmarkEnd w:id="14"/>
    </w:p>
    <w:p w14:paraId="13C4988C" w14:textId="77777777" w:rsidR="00AE4452" w:rsidRPr="00AE4452" w:rsidRDefault="00AE4452" w:rsidP="00AE4452">
      <w:pPr>
        <w:pStyle w:val="EndNoteBibliography"/>
        <w:spacing w:after="0"/>
        <w:ind w:left="720" w:hanging="720"/>
      </w:pPr>
      <w:bookmarkStart w:id="15" w:name="_ENREF_15"/>
      <w:r w:rsidRPr="00AE4452">
        <w:t xml:space="preserve">Gechert, S., &amp; Heimberger, P. (2022). Do corporate tax cuts boost economic growth? </w:t>
      </w:r>
      <w:r w:rsidRPr="00AE4452">
        <w:rPr>
          <w:i/>
        </w:rPr>
        <w:t>European Economic Review</w:t>
      </w:r>
      <w:r w:rsidRPr="00AE4452">
        <w:t>,</w:t>
      </w:r>
      <w:r w:rsidRPr="00AE4452">
        <w:rPr>
          <w:i/>
        </w:rPr>
        <w:t xml:space="preserve"> 147</w:t>
      </w:r>
      <w:r w:rsidRPr="00AE4452">
        <w:t xml:space="preserve">, 104157. </w:t>
      </w:r>
      <w:bookmarkEnd w:id="15"/>
    </w:p>
    <w:p w14:paraId="2F744ADF" w14:textId="77777777" w:rsidR="00AE4452" w:rsidRPr="00AE4452" w:rsidRDefault="00AE4452" w:rsidP="00AE4452">
      <w:pPr>
        <w:pStyle w:val="EndNoteBibliography"/>
        <w:spacing w:after="0"/>
        <w:ind w:left="720" w:hanging="720"/>
      </w:pPr>
      <w:bookmarkStart w:id="16" w:name="_ENREF_16"/>
      <w:r w:rsidRPr="00AE4452">
        <w:t xml:space="preserve">Hainsworth, R., &amp; Tompson, W. (2002). Tax policy and tax administration in Russia: The case of the banking sector. </w:t>
      </w:r>
      <w:r w:rsidRPr="00AE4452">
        <w:rPr>
          <w:i/>
        </w:rPr>
        <w:t>Post-communist economies</w:t>
      </w:r>
      <w:r w:rsidRPr="00AE4452">
        <w:t>,</w:t>
      </w:r>
      <w:r w:rsidRPr="00AE4452">
        <w:rPr>
          <w:i/>
        </w:rPr>
        <w:t xml:space="preserve"> 14</w:t>
      </w:r>
      <w:r w:rsidRPr="00AE4452">
        <w:t xml:space="preserve">(3), 277-300. </w:t>
      </w:r>
      <w:bookmarkEnd w:id="16"/>
    </w:p>
    <w:p w14:paraId="4F597A36" w14:textId="77777777" w:rsidR="00AE4452" w:rsidRPr="00AE4452" w:rsidRDefault="00AE4452" w:rsidP="00AE4452">
      <w:pPr>
        <w:pStyle w:val="EndNoteBibliography"/>
        <w:spacing w:after="0"/>
        <w:ind w:left="720" w:hanging="720"/>
      </w:pPr>
      <w:bookmarkStart w:id="17" w:name="_ENREF_17"/>
      <w:r w:rsidRPr="00AE4452">
        <w:t xml:space="preserve">Hassan, M. K., Sanchez, B., &amp; Yu, J.-S. (2011). Financial development and economic growth: New evidence from panel data. </w:t>
      </w:r>
      <w:r w:rsidRPr="00AE4452">
        <w:rPr>
          <w:i/>
        </w:rPr>
        <w:t>The Quarterly Review of economics and finance</w:t>
      </w:r>
      <w:r w:rsidRPr="00AE4452">
        <w:t>,</w:t>
      </w:r>
      <w:r w:rsidRPr="00AE4452">
        <w:rPr>
          <w:i/>
        </w:rPr>
        <w:t xml:space="preserve"> 51</w:t>
      </w:r>
      <w:r w:rsidRPr="00AE4452">
        <w:t xml:space="preserve">(1), 88-104. </w:t>
      </w:r>
      <w:bookmarkEnd w:id="17"/>
    </w:p>
    <w:p w14:paraId="1E642A8E" w14:textId="77777777" w:rsidR="00AE4452" w:rsidRPr="00AE4452" w:rsidRDefault="00AE4452" w:rsidP="00AE4452">
      <w:pPr>
        <w:pStyle w:val="EndNoteBibliography"/>
        <w:spacing w:after="0"/>
        <w:ind w:left="720" w:hanging="720"/>
      </w:pPr>
      <w:bookmarkStart w:id="18" w:name="_ENREF_18"/>
      <w:r w:rsidRPr="00AE4452">
        <w:t xml:space="preserve">Hidayati, S., Marwa, T., &amp; Andaiyani, S. (2024). Reviewing the consequence of trade openness and financial openness on banking stability in developing countries. </w:t>
      </w:r>
      <w:r w:rsidRPr="00AE4452">
        <w:rPr>
          <w:i/>
        </w:rPr>
        <w:t>Banks and Bank Systems</w:t>
      </w:r>
      <w:r w:rsidRPr="00AE4452">
        <w:t>,</w:t>
      </w:r>
      <w:r w:rsidRPr="00AE4452">
        <w:rPr>
          <w:i/>
        </w:rPr>
        <w:t xml:space="preserve"> 19</w:t>
      </w:r>
      <w:r w:rsidRPr="00AE4452">
        <w:t xml:space="preserve">(1), 112. </w:t>
      </w:r>
      <w:bookmarkEnd w:id="18"/>
    </w:p>
    <w:p w14:paraId="26B52778" w14:textId="77777777" w:rsidR="00AE4452" w:rsidRPr="00AE4452" w:rsidRDefault="00AE4452" w:rsidP="00AE4452">
      <w:pPr>
        <w:pStyle w:val="EndNoteBibliography"/>
        <w:spacing w:after="0"/>
        <w:ind w:left="720" w:hanging="720"/>
      </w:pPr>
      <w:bookmarkStart w:id="19" w:name="_ENREF_19"/>
      <w:r w:rsidRPr="00AE4452">
        <w:t xml:space="preserve">Hill, S., Jinjarak, Y., &amp; Park, D. (2022). How do tax revenues respond to GDP growth? Evidence from developing Asia, 1998-2020. </w:t>
      </w:r>
      <w:r w:rsidRPr="00AE4452">
        <w:rPr>
          <w:i/>
        </w:rPr>
        <w:t>Asian Development Outlook</w:t>
      </w:r>
      <w:r w:rsidRPr="00AE4452">
        <w:t xml:space="preserve">. </w:t>
      </w:r>
      <w:bookmarkEnd w:id="19"/>
    </w:p>
    <w:p w14:paraId="34BB2AD6" w14:textId="77777777" w:rsidR="00AE4452" w:rsidRPr="00AE4452" w:rsidRDefault="00AE4452" w:rsidP="00AE4452">
      <w:pPr>
        <w:pStyle w:val="EndNoteBibliography"/>
        <w:spacing w:after="0"/>
        <w:ind w:left="720" w:hanging="720"/>
      </w:pPr>
      <w:bookmarkStart w:id="20" w:name="_ENREF_20"/>
      <w:r w:rsidRPr="00AE4452">
        <w:t xml:space="preserve">Im, K. S., Pesaran, M. H., &amp; Shin, Y. (2003). Testing for unit roots in heterogeneous panels. </w:t>
      </w:r>
      <w:r w:rsidRPr="00AE4452">
        <w:rPr>
          <w:i/>
        </w:rPr>
        <w:t>Journal of econometrics</w:t>
      </w:r>
      <w:r w:rsidRPr="00AE4452">
        <w:t>,</w:t>
      </w:r>
      <w:r w:rsidRPr="00AE4452">
        <w:rPr>
          <w:i/>
        </w:rPr>
        <w:t xml:space="preserve"> 115</w:t>
      </w:r>
      <w:r w:rsidRPr="00AE4452">
        <w:t xml:space="preserve">(1), 53-74. </w:t>
      </w:r>
      <w:bookmarkEnd w:id="20"/>
    </w:p>
    <w:p w14:paraId="0E3E7679" w14:textId="77777777" w:rsidR="00AE4452" w:rsidRPr="00AE4452" w:rsidRDefault="00AE4452" w:rsidP="00AE4452">
      <w:pPr>
        <w:pStyle w:val="EndNoteBibliography"/>
        <w:spacing w:after="0"/>
        <w:ind w:left="720" w:hanging="720"/>
      </w:pPr>
      <w:bookmarkStart w:id="21" w:name="_ENREF_21"/>
      <w:r w:rsidRPr="00AE4452">
        <w:lastRenderedPageBreak/>
        <w:t>Iqbal, B. A. (2022). BRICS as a driver of global economic growth and development. In (Vol. 14, pp. 7-8): SAGE Publications Sage India: New Delhi, India.</w:t>
      </w:r>
      <w:bookmarkEnd w:id="21"/>
    </w:p>
    <w:p w14:paraId="2B0D83D1" w14:textId="77777777" w:rsidR="00AE4452" w:rsidRPr="00AE4452" w:rsidRDefault="00AE4452" w:rsidP="00AE4452">
      <w:pPr>
        <w:pStyle w:val="EndNoteBibliography"/>
        <w:spacing w:after="0"/>
        <w:ind w:left="720" w:hanging="720"/>
      </w:pPr>
      <w:bookmarkStart w:id="22" w:name="_ENREF_22"/>
      <w:r w:rsidRPr="00AE4452">
        <w:t xml:space="preserve">Islam, F., Shahbaz, M., Ahmed, A. U., &amp; Alam, M. M. (2013). Financial development and energy consumption nexus in Malaysia: a multivariate time series analysis. </w:t>
      </w:r>
      <w:r w:rsidRPr="00AE4452">
        <w:rPr>
          <w:i/>
        </w:rPr>
        <w:t>Economic Modelling</w:t>
      </w:r>
      <w:r w:rsidRPr="00AE4452">
        <w:t>,</w:t>
      </w:r>
      <w:r w:rsidRPr="00AE4452">
        <w:rPr>
          <w:i/>
        </w:rPr>
        <w:t xml:space="preserve"> 30</w:t>
      </w:r>
      <w:r w:rsidRPr="00AE4452">
        <w:t xml:space="preserve">, 435-441. </w:t>
      </w:r>
      <w:bookmarkEnd w:id="22"/>
    </w:p>
    <w:p w14:paraId="1FC348B4" w14:textId="77777777" w:rsidR="00AE4452" w:rsidRPr="008A79F2" w:rsidRDefault="00AE4452" w:rsidP="00AE4452">
      <w:pPr>
        <w:pStyle w:val="EndNoteBibliography"/>
        <w:spacing w:after="0"/>
        <w:ind w:left="720" w:hanging="720"/>
        <w:rPr>
          <w:lang w:val="nl-BE"/>
        </w:rPr>
      </w:pPr>
      <w:bookmarkStart w:id="23" w:name="_ENREF_23"/>
      <w:r w:rsidRPr="00AE4452">
        <w:t xml:space="preserve">Keen, M. (2011). Rethinking the taxation of the financial sector. </w:t>
      </w:r>
      <w:r w:rsidRPr="008A79F2">
        <w:rPr>
          <w:i/>
          <w:lang w:val="nl-BE"/>
        </w:rPr>
        <w:t>CESifo Economic Studies</w:t>
      </w:r>
      <w:r w:rsidRPr="008A79F2">
        <w:rPr>
          <w:lang w:val="nl-BE"/>
        </w:rPr>
        <w:t>,</w:t>
      </w:r>
      <w:r w:rsidRPr="008A79F2">
        <w:rPr>
          <w:i/>
          <w:lang w:val="nl-BE"/>
        </w:rPr>
        <w:t xml:space="preserve"> 57</w:t>
      </w:r>
      <w:r w:rsidRPr="008A79F2">
        <w:rPr>
          <w:lang w:val="nl-BE"/>
        </w:rPr>
        <w:t xml:space="preserve">(1), 1-24. </w:t>
      </w:r>
      <w:bookmarkEnd w:id="23"/>
    </w:p>
    <w:p w14:paraId="3297E36E" w14:textId="77777777" w:rsidR="00AE4452" w:rsidRPr="00AE4452" w:rsidRDefault="00AE4452" w:rsidP="00AE4452">
      <w:pPr>
        <w:pStyle w:val="EndNoteBibliography"/>
        <w:spacing w:after="0"/>
        <w:ind w:left="720" w:hanging="720"/>
      </w:pPr>
      <w:bookmarkStart w:id="24" w:name="_ENREF_24"/>
      <w:r w:rsidRPr="008A79F2">
        <w:rPr>
          <w:lang w:val="nl-BE"/>
        </w:rPr>
        <w:t xml:space="preserve">Koch, S. F., Schoeman, N. J., &amp; Van Tonder, J. J. (2005). </w:t>
      </w:r>
      <w:r w:rsidRPr="00AE4452">
        <w:t xml:space="preserve">Economic growth and the structure of taxes in South Africa: 1960–2002. </w:t>
      </w:r>
      <w:r w:rsidRPr="00AE4452">
        <w:rPr>
          <w:i/>
        </w:rPr>
        <w:t>South African Journal of Economics</w:t>
      </w:r>
      <w:r w:rsidRPr="00AE4452">
        <w:t>,</w:t>
      </w:r>
      <w:r w:rsidRPr="00AE4452">
        <w:rPr>
          <w:i/>
        </w:rPr>
        <w:t xml:space="preserve"> 73</w:t>
      </w:r>
      <w:r w:rsidRPr="00AE4452">
        <w:t xml:space="preserve">(2), 190-210. </w:t>
      </w:r>
      <w:bookmarkEnd w:id="24"/>
    </w:p>
    <w:p w14:paraId="72E45240" w14:textId="77777777" w:rsidR="00AE4452" w:rsidRPr="00AE4452" w:rsidRDefault="00AE4452" w:rsidP="00AE4452">
      <w:pPr>
        <w:pStyle w:val="EndNoteBibliography"/>
        <w:spacing w:after="0"/>
        <w:ind w:left="720" w:hanging="720"/>
      </w:pPr>
      <w:bookmarkStart w:id="25" w:name="_ENREF_25"/>
      <w:r w:rsidRPr="00AE4452">
        <w:t xml:space="preserve">Lee, C.-C., &amp; Chang, C.-P. (2009). FDI, financial development, and economic growth: international evidence. </w:t>
      </w:r>
      <w:r w:rsidRPr="00AE4452">
        <w:rPr>
          <w:i/>
        </w:rPr>
        <w:t>Journal of applied economics</w:t>
      </w:r>
      <w:r w:rsidRPr="00AE4452">
        <w:t>,</w:t>
      </w:r>
      <w:r w:rsidRPr="00AE4452">
        <w:rPr>
          <w:i/>
        </w:rPr>
        <w:t xml:space="preserve"> 12</w:t>
      </w:r>
      <w:r w:rsidRPr="00AE4452">
        <w:t xml:space="preserve">(2), 249-271. </w:t>
      </w:r>
      <w:bookmarkEnd w:id="25"/>
    </w:p>
    <w:p w14:paraId="3E130D57" w14:textId="77777777" w:rsidR="00AE4452" w:rsidRPr="00AE4452" w:rsidRDefault="00AE4452" w:rsidP="00AE4452">
      <w:pPr>
        <w:pStyle w:val="EndNoteBibliography"/>
        <w:spacing w:after="0"/>
        <w:ind w:left="720" w:hanging="720"/>
      </w:pPr>
      <w:bookmarkStart w:id="26" w:name="_ENREF_26"/>
      <w:r w:rsidRPr="00AE4452">
        <w:t xml:space="preserve">Leitao, N. C. (2010). Financial development and economic growth: A panel data approach. </w:t>
      </w:r>
      <w:r w:rsidRPr="00AE4452">
        <w:rPr>
          <w:i/>
        </w:rPr>
        <w:t>Theoretical and Applied Economics</w:t>
      </w:r>
      <w:r w:rsidRPr="00AE4452">
        <w:t xml:space="preserve">, 15-24. </w:t>
      </w:r>
      <w:bookmarkEnd w:id="26"/>
    </w:p>
    <w:p w14:paraId="73E0C57F" w14:textId="77777777" w:rsidR="00AE4452" w:rsidRPr="00AE4452" w:rsidRDefault="00AE4452" w:rsidP="00AE4452">
      <w:pPr>
        <w:pStyle w:val="EndNoteBibliography"/>
        <w:spacing w:after="0"/>
        <w:ind w:left="720" w:hanging="720"/>
      </w:pPr>
      <w:bookmarkStart w:id="27" w:name="_ENREF_27"/>
      <w:r w:rsidRPr="00AE4452">
        <w:t xml:space="preserve">Linhares, F., Nojosa, G., &amp; Bezerra, R. (2021). Changes in the revenue–expenditure nexus: Confronting evidence with fiscal policy in Brazil. </w:t>
      </w:r>
      <w:r w:rsidRPr="00AE4452">
        <w:rPr>
          <w:i/>
        </w:rPr>
        <w:t>Applied Economics</w:t>
      </w:r>
      <w:r w:rsidRPr="00AE4452">
        <w:t>,</w:t>
      </w:r>
      <w:r w:rsidRPr="00AE4452">
        <w:rPr>
          <w:i/>
        </w:rPr>
        <w:t xml:space="preserve"> 53</w:t>
      </w:r>
      <w:r w:rsidRPr="00AE4452">
        <w:t xml:space="preserve">(44), 5051-5067. </w:t>
      </w:r>
      <w:bookmarkEnd w:id="27"/>
    </w:p>
    <w:p w14:paraId="3F376D32" w14:textId="77777777" w:rsidR="00AE4452" w:rsidRPr="00AE4452" w:rsidRDefault="00AE4452" w:rsidP="00AE4452">
      <w:pPr>
        <w:pStyle w:val="EndNoteBibliography"/>
        <w:spacing w:after="0"/>
        <w:ind w:left="720" w:hanging="720"/>
      </w:pPr>
      <w:bookmarkStart w:id="28" w:name="_ENREF_28"/>
      <w:r w:rsidRPr="00AE4452">
        <w:t xml:space="preserve">Makhoba, B. P., Kaseeram, I., &amp; Greyling, L. (2019). Assessing the impact of fiscal policy on economic growth in South Africa. </w:t>
      </w:r>
      <w:r w:rsidRPr="00AE4452">
        <w:rPr>
          <w:i/>
        </w:rPr>
        <w:t>African Journal of Business and Economic Research</w:t>
      </w:r>
      <w:r w:rsidRPr="00AE4452">
        <w:t>,</w:t>
      </w:r>
      <w:r w:rsidRPr="00AE4452">
        <w:rPr>
          <w:i/>
        </w:rPr>
        <w:t xml:space="preserve"> 14</w:t>
      </w:r>
      <w:r w:rsidRPr="00AE4452">
        <w:t xml:space="preserve">(1), 7-29. </w:t>
      </w:r>
      <w:bookmarkEnd w:id="28"/>
    </w:p>
    <w:p w14:paraId="7E506EB1" w14:textId="77777777" w:rsidR="00AE4452" w:rsidRPr="00AE4452" w:rsidRDefault="00AE4452" w:rsidP="00AE4452">
      <w:pPr>
        <w:pStyle w:val="EndNoteBibliography"/>
        <w:spacing w:after="0"/>
        <w:ind w:left="720" w:hanging="720"/>
      </w:pPr>
      <w:bookmarkStart w:id="29" w:name="_ENREF_29"/>
      <w:r w:rsidRPr="00AE4452">
        <w:t xml:space="preserve">Muganyi, T., Yan, L., Yin, Y., Sun, H., Gong, X., &amp; Taghizadeh-Hesary, F. (2022). Fintech, regtech, and financial development: evidence from China. </w:t>
      </w:r>
      <w:r w:rsidRPr="00AE4452">
        <w:rPr>
          <w:i/>
        </w:rPr>
        <w:t>Financial innovation</w:t>
      </w:r>
      <w:r w:rsidRPr="00AE4452">
        <w:t>,</w:t>
      </w:r>
      <w:r w:rsidRPr="00AE4452">
        <w:rPr>
          <w:i/>
        </w:rPr>
        <w:t xml:space="preserve"> 8</w:t>
      </w:r>
      <w:r w:rsidRPr="00AE4452">
        <w:t xml:space="preserve">(1), 1-20. </w:t>
      </w:r>
      <w:bookmarkEnd w:id="29"/>
    </w:p>
    <w:p w14:paraId="73D973EB" w14:textId="77777777" w:rsidR="00AE4452" w:rsidRPr="00AE4452" w:rsidRDefault="00AE4452" w:rsidP="00AE4452">
      <w:pPr>
        <w:pStyle w:val="EndNoteBibliography"/>
        <w:spacing w:after="0"/>
        <w:ind w:left="720" w:hanging="720"/>
      </w:pPr>
      <w:bookmarkStart w:id="30" w:name="_ENREF_30"/>
      <w:r w:rsidRPr="00AE4452">
        <w:t xml:space="preserve">Narayan, P. K., Mishra, S., &amp; Narayan, S. (2011). Do market capitalization and stocks traded converge? New global evidence. </w:t>
      </w:r>
      <w:r w:rsidRPr="00AE4452">
        <w:rPr>
          <w:i/>
        </w:rPr>
        <w:t>Journal of banking &amp; finance</w:t>
      </w:r>
      <w:r w:rsidRPr="00AE4452">
        <w:t>,</w:t>
      </w:r>
      <w:r w:rsidRPr="00AE4452">
        <w:rPr>
          <w:i/>
        </w:rPr>
        <w:t xml:space="preserve"> 35</w:t>
      </w:r>
      <w:r w:rsidRPr="00AE4452">
        <w:t xml:space="preserve">(10), 2771-2781. </w:t>
      </w:r>
      <w:bookmarkEnd w:id="30"/>
    </w:p>
    <w:p w14:paraId="6DFE8F6C" w14:textId="77777777" w:rsidR="00AE4452" w:rsidRPr="00AE4452" w:rsidRDefault="00AE4452" w:rsidP="00AE4452">
      <w:pPr>
        <w:pStyle w:val="EndNoteBibliography"/>
        <w:spacing w:after="0"/>
        <w:ind w:left="720" w:hanging="720"/>
      </w:pPr>
      <w:bookmarkStart w:id="31" w:name="_ENREF_31"/>
      <w:r w:rsidRPr="00AE4452">
        <w:t xml:space="preserve">Nnyanzi, J. B., Bbale, J. M., &amp; Sendi, R. (2018). Financial development and tax revenue: How catalytic are political development and corruption. </w:t>
      </w:r>
      <w:r w:rsidRPr="00AE4452">
        <w:rPr>
          <w:i/>
        </w:rPr>
        <w:t>International Journal of Economics and Finance</w:t>
      </w:r>
      <w:r w:rsidRPr="00AE4452">
        <w:t>,</w:t>
      </w:r>
      <w:r w:rsidRPr="00AE4452">
        <w:rPr>
          <w:i/>
        </w:rPr>
        <w:t xml:space="preserve"> 10</w:t>
      </w:r>
      <w:r w:rsidRPr="00AE4452">
        <w:t xml:space="preserve">(8), 92-104. </w:t>
      </w:r>
      <w:bookmarkEnd w:id="31"/>
    </w:p>
    <w:p w14:paraId="179ECE4D" w14:textId="77777777" w:rsidR="00AE4452" w:rsidRPr="00AE4452" w:rsidRDefault="00AE4452" w:rsidP="00AE4452">
      <w:pPr>
        <w:pStyle w:val="EndNoteBibliography"/>
        <w:spacing w:after="0"/>
        <w:ind w:left="720" w:hanging="720"/>
      </w:pPr>
      <w:bookmarkStart w:id="32" w:name="_ENREF_32"/>
      <w:r w:rsidRPr="00AE4452">
        <w:t xml:space="preserve">O’brien, R. M. (2007). A caution regarding rules of thumb for variance inflation factors. </w:t>
      </w:r>
      <w:r w:rsidRPr="00AE4452">
        <w:rPr>
          <w:i/>
        </w:rPr>
        <w:t>Quality &amp; quantity</w:t>
      </w:r>
      <w:r w:rsidRPr="00AE4452">
        <w:t>,</w:t>
      </w:r>
      <w:r w:rsidRPr="00AE4452">
        <w:rPr>
          <w:i/>
        </w:rPr>
        <w:t xml:space="preserve"> 41</w:t>
      </w:r>
      <w:r w:rsidRPr="00AE4452">
        <w:t xml:space="preserve">(5), 673-690. </w:t>
      </w:r>
      <w:bookmarkEnd w:id="32"/>
    </w:p>
    <w:p w14:paraId="0A8314A3" w14:textId="77777777" w:rsidR="00AE4452" w:rsidRPr="00AE4452" w:rsidRDefault="00AE4452" w:rsidP="00AE4452">
      <w:pPr>
        <w:pStyle w:val="EndNoteBibliography"/>
        <w:spacing w:after="0"/>
        <w:ind w:left="720" w:hanging="720"/>
      </w:pPr>
      <w:bookmarkStart w:id="33" w:name="_ENREF_33"/>
      <w:r w:rsidRPr="00AE4452">
        <w:t xml:space="preserve">Pesaran, M. H. (2021). General diagnostic tests for cross-sectional dependence in panels. </w:t>
      </w:r>
      <w:r w:rsidRPr="00AE4452">
        <w:rPr>
          <w:i/>
        </w:rPr>
        <w:t>Empirical economics</w:t>
      </w:r>
      <w:r w:rsidRPr="00AE4452">
        <w:t>,</w:t>
      </w:r>
      <w:r w:rsidRPr="00AE4452">
        <w:rPr>
          <w:i/>
        </w:rPr>
        <w:t xml:space="preserve"> 60</w:t>
      </w:r>
      <w:r w:rsidRPr="00AE4452">
        <w:t xml:space="preserve">(1), 13-50. </w:t>
      </w:r>
      <w:bookmarkEnd w:id="33"/>
    </w:p>
    <w:p w14:paraId="0F93695C" w14:textId="77777777" w:rsidR="00AE4452" w:rsidRPr="00AE4452" w:rsidRDefault="00AE4452" w:rsidP="00AE4452">
      <w:pPr>
        <w:pStyle w:val="EndNoteBibliography"/>
        <w:spacing w:after="0"/>
        <w:ind w:left="720" w:hanging="720"/>
      </w:pPr>
      <w:bookmarkStart w:id="34" w:name="_ENREF_34"/>
      <w:r w:rsidRPr="00AE4452">
        <w:t xml:space="preserve">Pinto, B., Drebentsov, V., &amp; Morozov, A. (2000). Give macroeconomic stability and growth in Russia a chance. </w:t>
      </w:r>
      <w:r w:rsidRPr="00AE4452">
        <w:rPr>
          <w:i/>
        </w:rPr>
        <w:t>Economics of Transition</w:t>
      </w:r>
      <w:r w:rsidRPr="00AE4452">
        <w:t>,</w:t>
      </w:r>
      <w:r w:rsidRPr="00AE4452">
        <w:rPr>
          <w:i/>
        </w:rPr>
        <w:t xml:space="preserve"> 8</w:t>
      </w:r>
      <w:r w:rsidRPr="00AE4452">
        <w:t xml:space="preserve">(2), 297-324. </w:t>
      </w:r>
      <w:bookmarkEnd w:id="34"/>
    </w:p>
    <w:p w14:paraId="4B69E458" w14:textId="77777777" w:rsidR="00AE4452" w:rsidRPr="00AE4452" w:rsidRDefault="00AE4452" w:rsidP="00AE4452">
      <w:pPr>
        <w:pStyle w:val="EndNoteBibliography"/>
        <w:spacing w:after="0"/>
        <w:ind w:left="720" w:hanging="720"/>
      </w:pPr>
      <w:bookmarkStart w:id="35" w:name="_ENREF_35"/>
      <w:r w:rsidRPr="00AE4452">
        <w:t xml:space="preserve">Raouf, E. (2022). The impact of financial inclusion on tax revenue in EMEA countries: A threshold regression approach. </w:t>
      </w:r>
      <w:r w:rsidRPr="00AE4452">
        <w:rPr>
          <w:i/>
        </w:rPr>
        <w:t>Borsa Istanbul Review</w:t>
      </w:r>
      <w:r w:rsidRPr="00AE4452">
        <w:t>,</w:t>
      </w:r>
      <w:r w:rsidRPr="00AE4452">
        <w:rPr>
          <w:i/>
        </w:rPr>
        <w:t xml:space="preserve"> 22</w:t>
      </w:r>
      <w:r w:rsidRPr="00AE4452">
        <w:t xml:space="preserve">(6), 1158-1164. </w:t>
      </w:r>
      <w:bookmarkEnd w:id="35"/>
    </w:p>
    <w:p w14:paraId="5C257026" w14:textId="77777777" w:rsidR="00AE4452" w:rsidRPr="00AE4452" w:rsidRDefault="00AE4452" w:rsidP="00AE4452">
      <w:pPr>
        <w:pStyle w:val="EndNoteBibliography"/>
        <w:spacing w:after="0"/>
        <w:ind w:left="720" w:hanging="720"/>
      </w:pPr>
      <w:bookmarkStart w:id="36" w:name="_ENREF_36"/>
      <w:r w:rsidRPr="00AE4452">
        <w:t xml:space="preserve">Rehman, N. U. (2016). FDI and economic growth: empirical evidence from Pakistan. </w:t>
      </w:r>
      <w:r w:rsidRPr="00AE4452">
        <w:rPr>
          <w:i/>
        </w:rPr>
        <w:t>Journal of Economic and Administrative Sciences</w:t>
      </w:r>
      <w:r w:rsidRPr="00AE4452">
        <w:t>,</w:t>
      </w:r>
      <w:r w:rsidRPr="00AE4452">
        <w:rPr>
          <w:i/>
        </w:rPr>
        <w:t xml:space="preserve"> 32</w:t>
      </w:r>
      <w:r w:rsidRPr="00AE4452">
        <w:t xml:space="preserve">(1), 63-76. </w:t>
      </w:r>
      <w:bookmarkEnd w:id="36"/>
    </w:p>
    <w:p w14:paraId="3E1D602D" w14:textId="77777777" w:rsidR="00AE4452" w:rsidRPr="00AE4452" w:rsidRDefault="00AE4452" w:rsidP="00AE4452">
      <w:pPr>
        <w:pStyle w:val="EndNoteBibliography"/>
        <w:spacing w:after="0"/>
        <w:ind w:left="720" w:hanging="720"/>
      </w:pPr>
      <w:bookmarkStart w:id="37" w:name="_ENREF_37"/>
      <w:r w:rsidRPr="00AE4452">
        <w:t xml:space="preserve">Shaqiri, V., Elshani, A., &amp; Ahmeti, S. (2024). The Effect of Direct and Indirect Taxes on Economic Growth in Developed Countries. </w:t>
      </w:r>
      <w:r w:rsidRPr="00AE4452">
        <w:rPr>
          <w:i/>
        </w:rPr>
        <w:t>Ekonomika</w:t>
      </w:r>
      <w:r w:rsidRPr="00AE4452">
        <w:t>,</w:t>
      </w:r>
      <w:r w:rsidRPr="00AE4452">
        <w:rPr>
          <w:i/>
        </w:rPr>
        <w:t xml:space="preserve"> 103</w:t>
      </w:r>
      <w:r w:rsidRPr="00AE4452">
        <w:t xml:space="preserve">(2), 123-139. </w:t>
      </w:r>
      <w:bookmarkEnd w:id="37"/>
    </w:p>
    <w:p w14:paraId="3FAC368A" w14:textId="77777777" w:rsidR="00AE4452" w:rsidRPr="00AE4452" w:rsidRDefault="00AE4452" w:rsidP="00AE4452">
      <w:pPr>
        <w:pStyle w:val="EndNoteBibliography"/>
        <w:spacing w:after="0"/>
        <w:ind w:left="720" w:hanging="720"/>
      </w:pPr>
      <w:bookmarkStart w:id="38" w:name="_ENREF_38"/>
      <w:r w:rsidRPr="00AE4452">
        <w:t xml:space="preserve">Sijabat, R. (2023). The association between foreign investment and gross domestic product in ten ASEAN countries. </w:t>
      </w:r>
      <w:r w:rsidRPr="00AE4452">
        <w:rPr>
          <w:i/>
        </w:rPr>
        <w:t>Economies</w:t>
      </w:r>
      <w:r w:rsidRPr="00AE4452">
        <w:t>,</w:t>
      </w:r>
      <w:r w:rsidRPr="00AE4452">
        <w:rPr>
          <w:i/>
        </w:rPr>
        <w:t xml:space="preserve"> 11</w:t>
      </w:r>
      <w:r w:rsidRPr="00AE4452">
        <w:t xml:space="preserve">(7), 188. </w:t>
      </w:r>
      <w:bookmarkEnd w:id="38"/>
    </w:p>
    <w:p w14:paraId="6976F13F" w14:textId="77777777" w:rsidR="00AE4452" w:rsidRPr="00AE4452" w:rsidRDefault="00AE4452" w:rsidP="00AE4452">
      <w:pPr>
        <w:pStyle w:val="EndNoteBibliography"/>
        <w:spacing w:after="0"/>
        <w:ind w:left="720" w:hanging="720"/>
      </w:pPr>
      <w:bookmarkStart w:id="39" w:name="_ENREF_39"/>
      <w:r w:rsidRPr="00AE4452">
        <w:t xml:space="preserve">Simionescu, M., &amp; Albu, L.-L. (2016). The impact of standard value added tax on economic growth in CEE-5 countries: econometric analysis and simulations. </w:t>
      </w:r>
      <w:r w:rsidRPr="00AE4452">
        <w:rPr>
          <w:i/>
        </w:rPr>
        <w:t>Technological and economic development of economy</w:t>
      </w:r>
      <w:r w:rsidRPr="00AE4452">
        <w:t>,</w:t>
      </w:r>
      <w:r w:rsidRPr="00AE4452">
        <w:rPr>
          <w:i/>
        </w:rPr>
        <w:t xml:space="preserve"> 22</w:t>
      </w:r>
      <w:r w:rsidRPr="00AE4452">
        <w:t xml:space="preserve">(6), 850-866. </w:t>
      </w:r>
      <w:bookmarkEnd w:id="39"/>
    </w:p>
    <w:p w14:paraId="30AD13CD" w14:textId="77777777" w:rsidR="00AE4452" w:rsidRPr="00AE4452" w:rsidRDefault="00AE4452" w:rsidP="00AE4452">
      <w:pPr>
        <w:pStyle w:val="EndNoteBibliography"/>
        <w:spacing w:after="0"/>
        <w:ind w:left="720" w:hanging="720"/>
      </w:pPr>
      <w:bookmarkStart w:id="40" w:name="_ENREF_40"/>
      <w:r w:rsidRPr="00AE4452">
        <w:t xml:space="preserve">Tabak, B. M., &amp; Staub, R. B. (2007). Assessing financial instability: The case of Brazil. </w:t>
      </w:r>
      <w:r w:rsidRPr="00AE4452">
        <w:rPr>
          <w:i/>
        </w:rPr>
        <w:t>Research in International Business and Finance</w:t>
      </w:r>
      <w:r w:rsidRPr="00AE4452">
        <w:t>,</w:t>
      </w:r>
      <w:r w:rsidRPr="00AE4452">
        <w:rPr>
          <w:i/>
        </w:rPr>
        <w:t xml:space="preserve"> 21</w:t>
      </w:r>
      <w:r w:rsidRPr="00AE4452">
        <w:t xml:space="preserve">(2), 188-202. </w:t>
      </w:r>
      <w:bookmarkEnd w:id="40"/>
    </w:p>
    <w:p w14:paraId="08B0445E" w14:textId="77777777" w:rsidR="00AE4452" w:rsidRPr="00AE4452" w:rsidRDefault="00AE4452" w:rsidP="00AE4452">
      <w:pPr>
        <w:pStyle w:val="EndNoteBibliography"/>
        <w:spacing w:after="0"/>
        <w:ind w:left="720" w:hanging="720"/>
      </w:pPr>
      <w:bookmarkStart w:id="41" w:name="_ENREF_41"/>
      <w:r w:rsidRPr="00AE4452">
        <w:lastRenderedPageBreak/>
        <w:t xml:space="preserve">Tang, S., Selvanathan, E. A., &amp; Selvanathan, S. (2008). Foreign direct investment, domestic investment and economic growth in China: A time series analysis. </w:t>
      </w:r>
      <w:r w:rsidRPr="00AE4452">
        <w:rPr>
          <w:i/>
        </w:rPr>
        <w:t>World Economy</w:t>
      </w:r>
      <w:r w:rsidRPr="00AE4452">
        <w:t>,</w:t>
      </w:r>
      <w:r w:rsidRPr="00AE4452">
        <w:rPr>
          <w:i/>
        </w:rPr>
        <w:t xml:space="preserve"> 31</w:t>
      </w:r>
      <w:r w:rsidRPr="00AE4452">
        <w:t xml:space="preserve">(10), 1292-1309. </w:t>
      </w:r>
      <w:bookmarkEnd w:id="41"/>
    </w:p>
    <w:p w14:paraId="00D84069" w14:textId="77777777" w:rsidR="00AE4452" w:rsidRPr="00AE4452" w:rsidRDefault="00AE4452" w:rsidP="00AE4452">
      <w:pPr>
        <w:pStyle w:val="EndNoteBibliography"/>
        <w:spacing w:after="0"/>
        <w:ind w:left="720" w:hanging="720"/>
      </w:pPr>
      <w:bookmarkStart w:id="42" w:name="_ENREF_42"/>
      <w:r w:rsidRPr="00AE4452">
        <w:t xml:space="preserve">Tsaurai, K. (2021). Tax revenue and economic growth in emerging markets: is financial development relevant? </w:t>
      </w:r>
      <w:r w:rsidRPr="00AE4452">
        <w:rPr>
          <w:i/>
        </w:rPr>
        <w:t>The Journal of Accounting and Management</w:t>
      </w:r>
      <w:r w:rsidRPr="00AE4452">
        <w:t>,</w:t>
      </w:r>
      <w:r w:rsidRPr="00AE4452">
        <w:rPr>
          <w:i/>
        </w:rPr>
        <w:t xml:space="preserve"> 11</w:t>
      </w:r>
      <w:r w:rsidRPr="00AE4452">
        <w:t xml:space="preserve">(1). </w:t>
      </w:r>
      <w:bookmarkEnd w:id="42"/>
    </w:p>
    <w:p w14:paraId="405BBD26" w14:textId="77777777" w:rsidR="00AE4452" w:rsidRPr="00AE4452" w:rsidRDefault="00AE4452" w:rsidP="00AE4452">
      <w:pPr>
        <w:pStyle w:val="EndNoteBibliography"/>
        <w:spacing w:after="0"/>
        <w:ind w:left="720" w:hanging="720"/>
      </w:pPr>
      <w:bookmarkStart w:id="43" w:name="_ENREF_43"/>
      <w:r w:rsidRPr="00AE4452">
        <w:t xml:space="preserve">Von Fintel, D., &amp; Orthofer, A. (2020). Wealth inequality and financial inclusion: Evidence from South African tax and survey records. </w:t>
      </w:r>
      <w:r w:rsidRPr="00AE4452">
        <w:rPr>
          <w:i/>
        </w:rPr>
        <w:t>Economic Modelling</w:t>
      </w:r>
      <w:r w:rsidRPr="00AE4452">
        <w:t>,</w:t>
      </w:r>
      <w:r w:rsidRPr="00AE4452">
        <w:rPr>
          <w:i/>
        </w:rPr>
        <w:t xml:space="preserve"> 91</w:t>
      </w:r>
      <w:r w:rsidRPr="00AE4452">
        <w:t xml:space="preserve">, 568-578. </w:t>
      </w:r>
      <w:bookmarkEnd w:id="43"/>
    </w:p>
    <w:p w14:paraId="74E821AB" w14:textId="77777777" w:rsidR="00AE4452" w:rsidRPr="00AE4452" w:rsidRDefault="00AE4452" w:rsidP="00AE4452">
      <w:pPr>
        <w:pStyle w:val="EndNoteBibliography"/>
        <w:spacing w:after="0"/>
        <w:ind w:left="720" w:hanging="720"/>
      </w:pPr>
      <w:bookmarkStart w:id="44" w:name="_ENREF_44"/>
      <w:r w:rsidRPr="00AE4452">
        <w:t xml:space="preserve">Westerlund, J., &amp; Basher, S. A. (2008). Mixed signals among tests for panel cointegration. </w:t>
      </w:r>
      <w:r w:rsidRPr="00AE4452">
        <w:rPr>
          <w:i/>
        </w:rPr>
        <w:t>Economic Modelling</w:t>
      </w:r>
      <w:r w:rsidRPr="00AE4452">
        <w:t>,</w:t>
      </w:r>
      <w:r w:rsidRPr="00AE4452">
        <w:rPr>
          <w:i/>
        </w:rPr>
        <w:t xml:space="preserve"> 25</w:t>
      </w:r>
      <w:r w:rsidRPr="00AE4452">
        <w:t xml:space="preserve">(1), 128-136. </w:t>
      </w:r>
      <w:bookmarkEnd w:id="44"/>
    </w:p>
    <w:p w14:paraId="2413BC3B" w14:textId="77777777" w:rsidR="00AE4452" w:rsidRPr="00AE4452" w:rsidRDefault="00AE4452" w:rsidP="00AE4452">
      <w:pPr>
        <w:pStyle w:val="EndNoteBibliography"/>
        <w:ind w:left="720" w:hanging="720"/>
      </w:pPr>
      <w:bookmarkStart w:id="45" w:name="_ENREF_45"/>
      <w:r w:rsidRPr="00AE4452">
        <w:t xml:space="preserve">Xu, H. (2016). Financial intermediation and economic growth in China: new evidence from panel data. </w:t>
      </w:r>
      <w:r w:rsidRPr="00AE4452">
        <w:rPr>
          <w:i/>
        </w:rPr>
        <w:t>Emerging Markets Finance and Trade</w:t>
      </w:r>
      <w:r w:rsidRPr="00AE4452">
        <w:t>,</w:t>
      </w:r>
      <w:r w:rsidRPr="00AE4452">
        <w:rPr>
          <w:i/>
        </w:rPr>
        <w:t xml:space="preserve"> 52</w:t>
      </w:r>
      <w:r w:rsidRPr="00AE4452">
        <w:t xml:space="preserve">(3), 724-732. </w:t>
      </w:r>
      <w:bookmarkEnd w:id="45"/>
    </w:p>
    <w:p w14:paraId="6BC09252" w14:textId="2ED0EEAC" w:rsidR="00AE4452" w:rsidRPr="00AE4452" w:rsidRDefault="00AE4452" w:rsidP="00AE4452">
      <w:pPr>
        <w:jc w:val="both"/>
        <w:rPr>
          <w:rFonts w:ascii="Times New Roman" w:hAnsi="Times New Roman" w:cs="Times New Roman"/>
        </w:rPr>
      </w:pPr>
      <w:r w:rsidRPr="00D96905">
        <w:rPr>
          <w:rFonts w:ascii="Times New Roman" w:hAnsi="Times New Roman" w:cs="Times New Roman"/>
        </w:rPr>
        <w:fldChar w:fldCharType="end"/>
      </w:r>
    </w:p>
    <w:sectPr w:rsidR="00AE4452" w:rsidRPr="00AE44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5C5082"/>
    <w:multiLevelType w:val="multilevel"/>
    <w:tmpl w:val="F026A3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Y2tDQzNzKwMDU3NbVQ0lEKTi0uzszPAykwqQUAFAV/fCwAAAA="/>
    <w:docVar w:name="EN.InstantFormat" w:val="&lt;ENInstantFormat&gt;&lt;Enabled&gt;1&lt;/Enabled&gt;&lt;ScanUnformatted&gt;1&lt;/ScanUnformatted&gt;&lt;ScanChanges&gt;1&lt;/ScanChanges&gt;&lt;Suspended&gt;0&lt;/Suspended&gt;&lt;/ENInstantFormat&gt;"/>
    <w:docVar w:name="EN.Layout" w:val="&lt;ENLayout&gt;&lt;Style&gt;APA 7th &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dvdwe00srftrhedwtpxdpf6fvw2d5ev25r2&quot;&gt;My EndNote Library_V2&lt;record-ids&gt;&lt;item&gt;1&lt;/item&gt;&lt;item&gt;2&lt;/item&gt;&lt;item&gt;3&lt;/item&gt;&lt;item&gt;4&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3&lt;/item&gt;&lt;item&gt;24&lt;/item&gt;&lt;item&gt;25&lt;/item&gt;&lt;item&gt;26&lt;/item&gt;&lt;item&gt;27&lt;/item&gt;&lt;item&gt;29&lt;/item&gt;&lt;item&gt;30&lt;/item&gt;&lt;item&gt;31&lt;/item&gt;&lt;item&gt;32&lt;/item&gt;&lt;item&gt;33&lt;/item&gt;&lt;item&gt;34&lt;/item&gt;&lt;item&gt;35&lt;/item&gt;&lt;item&gt;36&lt;/item&gt;&lt;item&gt;38&lt;/item&gt;&lt;item&gt;39&lt;/item&gt;&lt;item&gt;40&lt;/item&gt;&lt;item&gt;41&lt;/item&gt;&lt;item&gt;42&lt;/item&gt;&lt;item&gt;43&lt;/item&gt;&lt;item&gt;44&lt;/item&gt;&lt;item&gt;45&lt;/item&gt;&lt;item&gt;46&lt;/item&gt;&lt;item&gt;47&lt;/item&gt;&lt;item&gt;48&lt;/item&gt;&lt;item&gt;52&lt;/item&gt;&lt;/record-ids&gt;&lt;/item&gt;&lt;/Libraries&gt;"/>
  </w:docVars>
  <w:rsids>
    <w:rsidRoot w:val="00AE4452"/>
    <w:rsid w:val="00095CB6"/>
    <w:rsid w:val="000B506E"/>
    <w:rsid w:val="00522929"/>
    <w:rsid w:val="00522EEE"/>
    <w:rsid w:val="005C031D"/>
    <w:rsid w:val="00634D1A"/>
    <w:rsid w:val="00716A95"/>
    <w:rsid w:val="008A79F2"/>
    <w:rsid w:val="00AE4452"/>
    <w:rsid w:val="00E2121F"/>
    <w:rsid w:val="00EF4FBB"/>
    <w:rsid w:val="00F233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87A37C1"/>
  <w15:chartTrackingRefBased/>
  <w15:docId w15:val="{04A85555-8118-46B8-A4D1-C28A7AB0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4452"/>
  </w:style>
  <w:style w:type="paragraph" w:styleId="Heading1">
    <w:name w:val="heading 1"/>
    <w:basedOn w:val="Normal"/>
    <w:next w:val="Normal"/>
    <w:link w:val="Heading1Char"/>
    <w:uiPriority w:val="9"/>
    <w:qFormat/>
    <w:rsid w:val="00AE44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4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4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4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4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4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4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4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4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4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4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4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4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4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4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4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4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452"/>
    <w:rPr>
      <w:rFonts w:eastAsiaTheme="majorEastAsia" w:cstheme="majorBidi"/>
      <w:color w:val="272727" w:themeColor="text1" w:themeTint="D8"/>
    </w:rPr>
  </w:style>
  <w:style w:type="paragraph" w:styleId="Title">
    <w:name w:val="Title"/>
    <w:basedOn w:val="Normal"/>
    <w:next w:val="Normal"/>
    <w:link w:val="TitleChar"/>
    <w:uiPriority w:val="10"/>
    <w:qFormat/>
    <w:rsid w:val="00AE44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4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4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4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452"/>
    <w:pPr>
      <w:spacing w:before="160"/>
      <w:jc w:val="center"/>
    </w:pPr>
    <w:rPr>
      <w:i/>
      <w:iCs/>
      <w:color w:val="404040" w:themeColor="text1" w:themeTint="BF"/>
    </w:rPr>
  </w:style>
  <w:style w:type="character" w:customStyle="1" w:styleId="QuoteChar">
    <w:name w:val="Quote Char"/>
    <w:basedOn w:val="DefaultParagraphFont"/>
    <w:link w:val="Quote"/>
    <w:uiPriority w:val="29"/>
    <w:rsid w:val="00AE4452"/>
    <w:rPr>
      <w:i/>
      <w:iCs/>
      <w:color w:val="404040" w:themeColor="text1" w:themeTint="BF"/>
    </w:rPr>
  </w:style>
  <w:style w:type="paragraph" w:styleId="ListParagraph">
    <w:name w:val="List Paragraph"/>
    <w:basedOn w:val="Normal"/>
    <w:uiPriority w:val="34"/>
    <w:qFormat/>
    <w:rsid w:val="00AE4452"/>
    <w:pPr>
      <w:ind w:left="720"/>
      <w:contextualSpacing/>
    </w:pPr>
  </w:style>
  <w:style w:type="character" w:styleId="IntenseEmphasis">
    <w:name w:val="Intense Emphasis"/>
    <w:basedOn w:val="DefaultParagraphFont"/>
    <w:uiPriority w:val="21"/>
    <w:qFormat/>
    <w:rsid w:val="00AE4452"/>
    <w:rPr>
      <w:i/>
      <w:iCs/>
      <w:color w:val="0F4761" w:themeColor="accent1" w:themeShade="BF"/>
    </w:rPr>
  </w:style>
  <w:style w:type="paragraph" w:styleId="IntenseQuote">
    <w:name w:val="Intense Quote"/>
    <w:basedOn w:val="Normal"/>
    <w:next w:val="Normal"/>
    <w:link w:val="IntenseQuoteChar"/>
    <w:uiPriority w:val="30"/>
    <w:qFormat/>
    <w:rsid w:val="00AE44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452"/>
    <w:rPr>
      <w:i/>
      <w:iCs/>
      <w:color w:val="0F4761" w:themeColor="accent1" w:themeShade="BF"/>
    </w:rPr>
  </w:style>
  <w:style w:type="character" w:styleId="IntenseReference">
    <w:name w:val="Intense Reference"/>
    <w:basedOn w:val="DefaultParagraphFont"/>
    <w:uiPriority w:val="32"/>
    <w:qFormat/>
    <w:rsid w:val="00AE4452"/>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AE4452"/>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AE4452"/>
    <w:rPr>
      <w:rFonts w:ascii="Aptos" w:hAnsi="Aptos"/>
      <w:noProof/>
    </w:rPr>
  </w:style>
  <w:style w:type="paragraph" w:customStyle="1" w:styleId="EndNoteBibliography">
    <w:name w:val="EndNote Bibliography"/>
    <w:basedOn w:val="Normal"/>
    <w:link w:val="EndNoteBibliographyChar"/>
    <w:rsid w:val="00AE4452"/>
    <w:pPr>
      <w:spacing w:line="240" w:lineRule="auto"/>
      <w:jc w:val="both"/>
    </w:pPr>
    <w:rPr>
      <w:rFonts w:ascii="Aptos" w:hAnsi="Aptos"/>
      <w:noProof/>
    </w:rPr>
  </w:style>
  <w:style w:type="character" w:customStyle="1" w:styleId="EndNoteBibliographyChar">
    <w:name w:val="EndNote Bibliography Char"/>
    <w:basedOn w:val="DefaultParagraphFont"/>
    <w:link w:val="EndNoteBibliography"/>
    <w:rsid w:val="00AE4452"/>
    <w:rPr>
      <w:rFonts w:ascii="Aptos" w:hAnsi="Aptos"/>
      <w:noProof/>
    </w:rPr>
  </w:style>
  <w:style w:type="character" w:styleId="Hyperlink">
    <w:name w:val="Hyperlink"/>
    <w:basedOn w:val="DefaultParagraphFont"/>
    <w:uiPriority w:val="99"/>
    <w:unhideWhenUsed/>
    <w:rsid w:val="00AE4452"/>
    <w:rPr>
      <w:color w:val="467886" w:themeColor="hyperlink"/>
      <w:u w:val="single"/>
    </w:rPr>
  </w:style>
  <w:style w:type="character" w:styleId="UnresolvedMention">
    <w:name w:val="Unresolved Mention"/>
    <w:basedOn w:val="DefaultParagraphFont"/>
    <w:uiPriority w:val="99"/>
    <w:semiHidden/>
    <w:unhideWhenUsed/>
    <w:rsid w:val="00AE4452"/>
    <w:rPr>
      <w:color w:val="605E5C"/>
      <w:shd w:val="clear" w:color="auto" w:fill="E1DFDD"/>
    </w:rPr>
  </w:style>
  <w:style w:type="paragraph" w:styleId="Revision">
    <w:name w:val="Revision"/>
    <w:hidden/>
    <w:uiPriority w:val="99"/>
    <w:semiHidden/>
    <w:rsid w:val="00AE4452"/>
    <w:pPr>
      <w:spacing w:after="0" w:line="240" w:lineRule="auto"/>
    </w:pPr>
  </w:style>
  <w:style w:type="paragraph" w:styleId="Header">
    <w:name w:val="header"/>
    <w:basedOn w:val="Normal"/>
    <w:link w:val="HeaderChar"/>
    <w:uiPriority w:val="99"/>
    <w:unhideWhenUsed/>
    <w:rsid w:val="00AE4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452"/>
  </w:style>
  <w:style w:type="paragraph" w:styleId="Footer">
    <w:name w:val="footer"/>
    <w:basedOn w:val="Normal"/>
    <w:link w:val="FooterChar"/>
    <w:uiPriority w:val="99"/>
    <w:unhideWhenUsed/>
    <w:rsid w:val="00AE4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13420</Words>
  <Characters>76497</Characters>
  <Application>Microsoft Office Word</Application>
  <DocSecurity>0</DocSecurity>
  <Lines>637</Lines>
  <Paragraphs>179</Paragraphs>
  <ScaleCrop>false</ScaleCrop>
  <Company/>
  <LinksUpToDate>false</LinksUpToDate>
  <CharactersWithSpaces>89738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SyedZain Ul Abdin</dc:creator>
  <cp:keywords/>
  <dc:description/>
  <cp:lastModifiedBy>SDI PC New 16</cp:lastModifiedBy>
  <cp:revision>4</cp:revision>
  <dcterms:created xsi:type="dcterms:W3CDTF">2026-01-23T09:14:00Z</dcterms:created>
  <dcterms:modified xsi:type="dcterms:W3CDTF">2026-01-27T12:39:00Z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408442e3-40bb-4fe2-94b9-6b42882fe31e</vt:lpwstr>
  </property>
</Properties>
</file>