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5170F" w14:textId="0D1C7E34" w:rsidR="008D6FC2" w:rsidRDefault="008D6FC2" w:rsidP="00E33D13">
      <w:pPr>
        <w:spacing w:after="0" w:line="240" w:lineRule="auto"/>
        <w:ind w:left="15" w:right="0" w:firstLine="0"/>
        <w:jc w:val="left"/>
      </w:pPr>
    </w:p>
    <w:p w14:paraId="6F626287" w14:textId="77777777" w:rsidR="008D6FC2" w:rsidRDefault="008D6FC2" w:rsidP="00E33D13">
      <w:pPr>
        <w:spacing w:after="247" w:line="240" w:lineRule="auto"/>
        <w:ind w:left="0" w:right="45" w:firstLine="0"/>
        <w:jc w:val="right"/>
      </w:pPr>
      <w:r>
        <w:rPr>
          <w:b/>
        </w:rPr>
        <w:t xml:space="preserve"> </w:t>
      </w:r>
    </w:p>
    <w:p w14:paraId="45BA5D10" w14:textId="134E8066" w:rsidR="00CB1A4B" w:rsidRDefault="00D757A6" w:rsidP="00E33D13">
      <w:pPr>
        <w:spacing w:after="0" w:line="240" w:lineRule="auto"/>
        <w:ind w:left="0" w:right="0" w:firstLine="0"/>
        <w:jc w:val="right"/>
      </w:pPr>
      <w:r w:rsidRPr="00D757A6">
        <w:rPr>
          <w:b/>
          <w:bCs/>
          <w:sz w:val="24"/>
          <w:szCs w:val="28"/>
        </w:rPr>
        <w:t xml:space="preserve">The Effect </w:t>
      </w:r>
      <w:r w:rsidR="00F254D9">
        <w:rPr>
          <w:b/>
          <w:bCs/>
          <w:sz w:val="24"/>
          <w:szCs w:val="28"/>
        </w:rPr>
        <w:t>o</w:t>
      </w:r>
      <w:r w:rsidRPr="00D757A6">
        <w:rPr>
          <w:b/>
          <w:bCs/>
          <w:sz w:val="24"/>
          <w:szCs w:val="28"/>
        </w:rPr>
        <w:t xml:space="preserve">f Selected Financial Ratios </w:t>
      </w:r>
      <w:r w:rsidR="00F254D9">
        <w:rPr>
          <w:b/>
          <w:bCs/>
          <w:sz w:val="24"/>
          <w:szCs w:val="28"/>
        </w:rPr>
        <w:t>o</w:t>
      </w:r>
      <w:r w:rsidRPr="00D757A6">
        <w:rPr>
          <w:b/>
          <w:bCs/>
          <w:sz w:val="24"/>
          <w:szCs w:val="28"/>
        </w:rPr>
        <w:t xml:space="preserve">n Stock Prices </w:t>
      </w:r>
      <w:r w:rsidR="00F254D9">
        <w:rPr>
          <w:b/>
          <w:bCs/>
          <w:sz w:val="24"/>
          <w:szCs w:val="28"/>
        </w:rPr>
        <w:t>i</w:t>
      </w:r>
      <w:r w:rsidRPr="00D757A6">
        <w:rPr>
          <w:b/>
          <w:bCs/>
          <w:sz w:val="24"/>
          <w:szCs w:val="28"/>
        </w:rPr>
        <w:t xml:space="preserve">n The Transportation Sub-Sector </w:t>
      </w:r>
      <w:r w:rsidR="00F254D9">
        <w:rPr>
          <w:b/>
          <w:bCs/>
          <w:sz w:val="24"/>
          <w:szCs w:val="28"/>
        </w:rPr>
        <w:t>o</w:t>
      </w:r>
      <w:r w:rsidRPr="00D757A6">
        <w:rPr>
          <w:b/>
          <w:bCs/>
          <w:sz w:val="24"/>
          <w:szCs w:val="28"/>
        </w:rPr>
        <w:t>f The Indonesian Stock Exchange</w:t>
      </w:r>
    </w:p>
    <w:p w14:paraId="6AE08D87" w14:textId="77777777" w:rsidR="00CB1A4B" w:rsidRDefault="00CB1A4B" w:rsidP="00E33D13">
      <w:pPr>
        <w:spacing w:after="0" w:line="240" w:lineRule="auto"/>
        <w:ind w:left="0" w:right="0" w:firstLine="0"/>
        <w:jc w:val="right"/>
      </w:pPr>
    </w:p>
    <w:p w14:paraId="19D454E4" w14:textId="49639C4B" w:rsidR="008D6FC2" w:rsidRDefault="008D6FC2" w:rsidP="00150660">
      <w:pPr>
        <w:spacing w:after="0" w:line="240" w:lineRule="auto"/>
        <w:ind w:left="0" w:right="45" w:firstLine="0"/>
        <w:jc w:val="center"/>
      </w:pPr>
    </w:p>
    <w:p w14:paraId="3AEA757B" w14:textId="19224A37" w:rsidR="008D6FC2" w:rsidRDefault="008D6FC2" w:rsidP="00E33D13">
      <w:pPr>
        <w:spacing w:after="0" w:line="240" w:lineRule="auto"/>
        <w:ind w:left="0" w:right="39" w:firstLine="0"/>
        <w:jc w:val="right"/>
      </w:pPr>
    </w:p>
    <w:p w14:paraId="3F3A9023" w14:textId="0D6FBA3F" w:rsidR="008D6FC2" w:rsidRDefault="008D6FC2" w:rsidP="00150660">
      <w:pPr>
        <w:spacing w:after="0" w:line="240" w:lineRule="auto"/>
        <w:ind w:left="0" w:right="39" w:firstLine="0"/>
        <w:jc w:val="right"/>
      </w:pPr>
      <w:r>
        <w:rPr>
          <w:b/>
          <w:sz w:val="22"/>
        </w:rPr>
        <w:t xml:space="preserve"> </w:t>
      </w:r>
      <w:r>
        <w:rPr>
          <w:b/>
          <w:i/>
        </w:rPr>
        <w:tab/>
        <w:t xml:space="preserve">  </w:t>
      </w:r>
    </w:p>
    <w:p w14:paraId="08879E72" w14:textId="189F7B1F" w:rsidR="00627212" w:rsidRDefault="00627212" w:rsidP="00627212">
      <w:pPr>
        <w:spacing w:after="0" w:line="240" w:lineRule="auto"/>
        <w:ind w:right="90"/>
        <w:jc w:val="center"/>
      </w:pPr>
    </w:p>
    <w:p w14:paraId="17C8905C" w14:textId="5BFC7140" w:rsidR="008D6FC2" w:rsidRDefault="008D6FC2" w:rsidP="00627212">
      <w:pPr>
        <w:spacing w:after="29" w:line="240" w:lineRule="auto"/>
        <w:ind w:right="90"/>
        <w:jc w:val="right"/>
      </w:pPr>
      <w:r>
        <w:rPr>
          <w:rFonts w:ascii="Calibri" w:eastAsia="Calibri" w:hAnsi="Calibri" w:cs="Calibri"/>
          <w:noProof/>
          <w:sz w:val="22"/>
        </w:rPr>
        <mc:AlternateContent>
          <mc:Choice Requires="wpg">
            <w:drawing>
              <wp:inline distT="0" distB="0" distL="0" distR="0" wp14:anchorId="4D675BEE" wp14:editId="113E9999">
                <wp:extent cx="5723890" cy="19050"/>
                <wp:effectExtent l="0" t="0" r="0" b="0"/>
                <wp:docPr id="16835" name="Group 1683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760106" id="Group 16835" o:spid="_x0000_s1026" style="width:450.7pt;height:1.5pt;mso-position-horizontal-relative:char;mso-position-vertical-relative:line" coordsize="572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G3RQIAAKAFAAAOAAAAZHJzL2Uyb0RvYy54bWykVE2P2yAQvVfqf0C+N3ZS7ZeVZA/dNpeq&#10;XXW3P2CCwbaEAQGxnX/fYfyRNKvuIfUBDzDzePMYZv3YN4q1wvna6E2yXGQJE5qbotblJvn9+u3T&#10;fcJ8AF2AMlpskqPwyeP244d1Z3OxMpVRhXAMQbTPO7tJqhBsnqaeV6IBvzBWaNyUxjUQcOrKtHDQ&#10;IXqj0lWW3aadcYV1hgvvcfVp2Ey2hC+l4OGnlF4EpjYJcgs0Ohr3cUy3a8hLB7aq+UgDrmDRQK3x&#10;0BnqCQKwg6vfQDU1d8YbGRbcNKmRsuaCcsBsltlFNjtnDpZyKfOutLNMKO2FTlfD8h/tztkX++xQ&#10;ic6WqAXNYi69dE38I0vWk2THWTLRB8Zx8eZu9fn+AZXluLd8yG5GSXmFur+J4tXXd+PS6dD0Lyqd&#10;xeLwp/z9/+X/UoEVJKvPMf9nx+oCyd/dJkxDg0VKDiwukCjkNUvkc49qXaUPaTPnCDk/+LAThkSG&#10;9rsPQzUWkwXVZPFeT6bDmn63mi2EGBcZRpN1p1uKa41pxauh3XBxQUjttKv0udd8z1MJoO/ggUY8&#10;ZrseDToa7fPklI4shvJgHPCdSwWBHgyWuC4wb8LDX7zrQWCywlGJyFXpX0LiPWHJLSnOu3L/RTnW&#10;QnzZ9MXbIhh0jTGyVmqOyv4ZFV1B2QpGrBFmPIAgR6ToKaipXMLykc3QWfB94ouY+gtSmoOIltFh&#10;jtfYFenAs2yjuTfFkd4kCYLFT9JQGyBGY8uKfeZ8Tl6nxrr9AwAA//8DAFBLAwQUAAYACAAAACEA&#10;q6+mmNsAAAADAQAADwAAAGRycy9kb3ducmV2LnhtbEyPQUvDQBCF74L/YRnBm91Nq0VjNqWU6qkI&#10;bQXxNs1Ok9DsbMhuk/Tfu3qxl4HHe7z3TbYYbSN66nztWEMyUSCIC2dqLjV87t8enkH4gGywcUwa&#10;LuRhkd/eZJgaN/CW+l0oRSxhn6KGKoQ2ldIXFVn0E9cSR+/oOoshyq6UpsMhlttGTpWaS4s1x4UK&#10;W1pVVJx2Z6vhfcBhOUvW/eZ0XF2+908fX5uEtL6/G5evIAKN4T8Mv/gRHfLIdHBnNl40GuIj4e9G&#10;70UljyAOGmYKZJ7Ja/b8BwAA//8DAFBLAQItABQABgAIAAAAIQC2gziS/gAAAOEBAAATAAAAAAAA&#10;AAAAAAAAAAAAAABbQ29udGVudF9UeXBlc10ueG1sUEsBAi0AFAAGAAgAAAAhADj9If/WAAAAlAEA&#10;AAsAAAAAAAAAAAAAAAAALwEAAF9yZWxzLy5yZWxzUEsBAi0AFAAGAAgAAAAhAIdUwbdFAgAAoAUA&#10;AA4AAAAAAAAAAAAAAAAALgIAAGRycy9lMm9Eb2MueG1sUEsBAi0AFAAGAAgAAAAhAKuvppjbAAAA&#10;AwEAAA8AAAAAAAAAAAAAAAAAnwQAAGRycy9kb3ducmV2LnhtbFBLBQYAAAAABAAEAPMAAACnBQAA&#10;AAA=&#10;">
                <v:shape id="Shape 176" o:spid="_x0000_s1027" style="position:absolute;width:57238;height:0;visibility:visible;mso-wrap-style:square;v-text-anchor:top" coordsize="572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TFwwAAANwAAAAPAAAAZHJzL2Rvd25yZXYueG1sRI/RagIx&#10;EEXfhf5DmIJvmrUPWrZGEcuCKIKrfsCwmW4WN5NlEzXt1xtB6NsM994zd+bLaFtxo943jhVMxhkI&#10;4srphmsF51Mx+gThA7LG1jEp+CUPy8XbYI65dncu6XYMtUgQ9jkqMCF0uZS+MmTRj11HnLQf11sM&#10;ae1rqXu8J7ht5UeWTaXFhtMFgx2tDVWX49UmyrfdT0wsCrk7lOFveylnJpZKDd/j6gtEoBj+za/0&#10;Rqf6syk8n0kTyMUDAAD//wMAUEsBAi0AFAAGAAgAAAAhANvh9svuAAAAhQEAABMAAAAAAAAAAAAA&#10;AAAAAAAAAFtDb250ZW50X1R5cGVzXS54bWxQSwECLQAUAAYACAAAACEAWvQsW78AAAAVAQAACwAA&#10;AAAAAAAAAAAAAAAfAQAAX3JlbHMvLnJlbHNQSwECLQAUAAYACAAAACEAYCXkxcMAAADcAAAADwAA&#10;AAAAAAAAAAAAAAAHAgAAZHJzL2Rvd25yZXYueG1sUEsFBgAAAAADAAMAtwAAAPcCAAAAAA==&#10;" path="m,l5723890,e" filled="f" strokeweight="1.5pt">
                  <v:path arrowok="t" textboxrect="0,0,5723890,0"/>
                </v:shape>
                <w10:anchorlock/>
              </v:group>
            </w:pict>
          </mc:Fallback>
        </mc:AlternateContent>
      </w:r>
      <w:r>
        <w:rPr>
          <w:b/>
          <w:sz w:val="24"/>
        </w:rPr>
        <w:t xml:space="preserve"> </w:t>
      </w:r>
    </w:p>
    <w:p w14:paraId="0456E507" w14:textId="77777777" w:rsidR="008D6FC2" w:rsidRDefault="008D6FC2" w:rsidP="00E33D13">
      <w:pPr>
        <w:spacing w:after="2" w:line="240" w:lineRule="auto"/>
        <w:ind w:left="0" w:right="0" w:firstLine="0"/>
        <w:jc w:val="left"/>
      </w:pPr>
      <w:r>
        <w:rPr>
          <w:b/>
        </w:rPr>
        <w:t xml:space="preserve"> </w:t>
      </w:r>
    </w:p>
    <w:p w14:paraId="149CFB96" w14:textId="77777777" w:rsidR="008D6FC2" w:rsidRDefault="008D6FC2" w:rsidP="00E33D13">
      <w:pPr>
        <w:pStyle w:val="Heading1"/>
        <w:numPr>
          <w:ilvl w:val="0"/>
          <w:numId w:val="0"/>
        </w:numPr>
        <w:ind w:left="-5"/>
      </w:pPr>
      <w:r>
        <w:t xml:space="preserve">ABSTRACT </w:t>
      </w:r>
    </w:p>
    <w:p w14:paraId="656C6C40" w14:textId="77777777" w:rsidR="008D6FC2" w:rsidRDefault="008D6FC2" w:rsidP="00E33D13">
      <w:pPr>
        <w:spacing w:after="0" w:line="240" w:lineRule="auto"/>
        <w:ind w:left="0" w:right="0" w:firstLine="0"/>
        <w:jc w:val="left"/>
      </w:pPr>
      <w:r>
        <w:rPr>
          <w:b/>
        </w:rPr>
        <w:t xml:space="preserve"> </w:t>
      </w:r>
    </w:p>
    <w:p w14:paraId="0B81CD63" w14:textId="35BBA86A" w:rsidR="008D6FC2" w:rsidRDefault="008D6FC2" w:rsidP="00E33D13">
      <w:pPr>
        <w:pStyle w:val="Style3"/>
        <w:spacing w:line="240" w:lineRule="auto"/>
      </w:pPr>
      <w:r w:rsidRPr="00937C3D">
        <w:rPr>
          <w:b/>
          <w:bCs/>
        </w:rPr>
        <w:t>Objective:</w:t>
      </w:r>
      <w:r>
        <w:t xml:space="preserve"> </w:t>
      </w:r>
      <w:r w:rsidR="002102D8" w:rsidRPr="002102D8">
        <w:t>This study aims to analyze and examine the effect of Total Asset Turnover (TATO), Sales Growth, and Return on Assets (ROA) on stock prices of transportation subsector companies listed on the Indonesia Stock Exchange (IDX) during the 2020–2024 period. In addition, the study seeks to identify which variable has the most dominant influence on stock price movements, thereby providing insights for investors in evaluating the financial performance of transportation companies and its implications for investment decision-making in the capital market.</w:t>
      </w:r>
    </w:p>
    <w:p w14:paraId="2710913D" w14:textId="77777777" w:rsidR="002102D8" w:rsidRDefault="002102D8" w:rsidP="002102D8">
      <w:pPr>
        <w:pStyle w:val="Style3"/>
        <w:spacing w:line="240" w:lineRule="auto"/>
        <w:rPr>
          <w:b/>
          <w:bCs/>
        </w:rPr>
      </w:pPr>
    </w:p>
    <w:p w14:paraId="1DC14133" w14:textId="5C2629DD" w:rsidR="002102D8" w:rsidRDefault="008D6FC2" w:rsidP="002102D8">
      <w:pPr>
        <w:pStyle w:val="Style3"/>
        <w:spacing w:line="240" w:lineRule="auto"/>
      </w:pPr>
      <w:r w:rsidRPr="00937C3D">
        <w:rPr>
          <w:b/>
          <w:bCs/>
        </w:rPr>
        <w:t>Research Design:</w:t>
      </w:r>
      <w:r>
        <w:t xml:space="preserve"> </w:t>
      </w:r>
      <w:r w:rsidR="002102D8">
        <w:t>This study employs a quantitative research design with an associative causal approach, aiming to explain the cause-and-effect relationships between independent variables (TATO, Sales Growth, and ROA) and the dependent variable (stock prices).</w:t>
      </w:r>
    </w:p>
    <w:p w14:paraId="19EEF90D" w14:textId="77777777" w:rsidR="002102D8" w:rsidRDefault="002102D8" w:rsidP="002102D8">
      <w:pPr>
        <w:pStyle w:val="Style3"/>
        <w:spacing w:line="240" w:lineRule="auto"/>
      </w:pPr>
    </w:p>
    <w:p w14:paraId="2A5F9C71" w14:textId="0927EFC6" w:rsidR="008D6FC2" w:rsidRDefault="008D6FC2" w:rsidP="00E33D13">
      <w:pPr>
        <w:pStyle w:val="Style3"/>
        <w:spacing w:line="240" w:lineRule="auto"/>
      </w:pPr>
      <w:r w:rsidRPr="00937C3D">
        <w:rPr>
          <w:b/>
          <w:bCs/>
        </w:rPr>
        <w:t>Methodology:</w:t>
      </w:r>
      <w:r>
        <w:t xml:space="preserve"> </w:t>
      </w:r>
      <w:r w:rsidR="002102D8" w:rsidRPr="002102D8">
        <w:t>The study uses secondary data in the form of audited annual financial reports and year-end closing stock prices of transportation subsector companies listed on the Indonesia Stock Exchange for the 2020–2024 period. The research sample consists of 27 companies, resulting in a total of 135 observations (27 companies × 5 years). The independent variables include Total Asset Turnover, Sales Growth, and Return on Assets, while the dependent variable is stock price. Data analysis was conducted using multiple linear regression with IBM SPSS Statistics. The analysis procedure includes classical assumption tests (normality, multicollinearity, heteroscedasticity, and autocorrelation), followed by regression analysis, partial testing (t-test), simultaneous testing (F-test), and coefficient of determination (R²) to evaluate the influence of the independent variables on stock prices</w:t>
      </w:r>
      <w:r w:rsidR="00C255BE">
        <w:t>.</w:t>
      </w:r>
    </w:p>
    <w:p w14:paraId="384245A1" w14:textId="77777777" w:rsidR="002102D8" w:rsidRDefault="002102D8" w:rsidP="00E33D13">
      <w:pPr>
        <w:pStyle w:val="Style3"/>
        <w:spacing w:line="240" w:lineRule="auto"/>
      </w:pPr>
    </w:p>
    <w:p w14:paraId="4D35CAB7" w14:textId="536B7990" w:rsidR="00C255BE" w:rsidRDefault="008D6FC2" w:rsidP="00E33D13">
      <w:pPr>
        <w:pStyle w:val="Style3"/>
        <w:spacing w:line="240" w:lineRule="auto"/>
      </w:pPr>
      <w:r w:rsidRPr="00937C3D">
        <w:rPr>
          <w:b/>
          <w:bCs/>
        </w:rPr>
        <w:t>Results:</w:t>
      </w:r>
      <w:r>
        <w:t xml:space="preserve"> </w:t>
      </w:r>
      <w:r w:rsidR="002102D8" w:rsidRPr="002102D8">
        <w:t>The results show that, partially, Total Asset Turnover has a positive and significant effect on stock prices (t = 5.076; sig. = 0.000 &lt; 0.05). Sales Growth also has a positive and significant influence on stock prices (t = 2.160; sig. = 0.033 &lt; 0.05), while Return on Assets exhibits a positive and significant effect as well (t = 4.699; sig. = 0.000 &lt; 0.05). Simultaneously, the three variables significantly affect stock prices (F = 23.654; sig. = 0.000 &lt; 0.05). The R² value of 0.351 indicates that the regression model explains 35.1% of the variation in stock prices.</w:t>
      </w:r>
    </w:p>
    <w:p w14:paraId="5D23767B" w14:textId="77777777" w:rsidR="002102D8" w:rsidRDefault="002102D8" w:rsidP="00E33D13">
      <w:pPr>
        <w:pStyle w:val="Style3"/>
        <w:spacing w:line="240" w:lineRule="auto"/>
      </w:pPr>
    </w:p>
    <w:p w14:paraId="2052BBFA" w14:textId="5E73B3E0" w:rsidR="008D6FC2" w:rsidRDefault="008D6FC2" w:rsidP="00E33D13">
      <w:pPr>
        <w:pStyle w:val="Style3"/>
        <w:spacing w:line="240" w:lineRule="auto"/>
      </w:pPr>
      <w:r w:rsidRPr="00937C3D">
        <w:rPr>
          <w:b/>
          <w:bCs/>
        </w:rPr>
        <w:t xml:space="preserve">Conclusion: </w:t>
      </w:r>
      <w:r w:rsidR="002102D8" w:rsidRPr="002102D8">
        <w:t>The findings confirm that Total Asset Turnover, Sales Growth, and Return on Assets have positive and significant effects on stock prices of transportation subsector companies listed on the Indonesia Stock Exchange during the 2020–2024 period, both partially and simultaneously. These results imply that more efficient asset utilization, stronger sales growth, and higher profitability tend to be associated with higher stock prices. From a practical perspective, the study suggests that corporate management should focus on improving asset efficiency, sustaining revenue growth, and maintaining profitability to enhance firm value in the capital market. For investors, the results provide empirical evidence that these financial ratios can be used as important indicators in evaluating transportation sector stocks. The model demonstrates moderate explanatory power (35.1%), indicating that stock price movements are also influenced by other external factors beyond the scope of this study.</w:t>
      </w:r>
    </w:p>
    <w:p w14:paraId="21022211" w14:textId="77777777" w:rsidR="008D6FC2" w:rsidRDefault="008D6FC2" w:rsidP="00E33D13">
      <w:pPr>
        <w:spacing w:after="0" w:line="240" w:lineRule="auto"/>
        <w:ind w:left="0" w:right="0" w:firstLine="0"/>
        <w:jc w:val="left"/>
      </w:pPr>
      <w:r>
        <w:rPr>
          <w:sz w:val="16"/>
        </w:rPr>
        <w:t>_____________________________________________________________________________________________________</w:t>
      </w:r>
    </w:p>
    <w:p w14:paraId="69E19B26" w14:textId="77777777" w:rsidR="008D6FC2" w:rsidRDefault="008D6FC2" w:rsidP="00E33D13">
      <w:pPr>
        <w:spacing w:after="0" w:line="240" w:lineRule="auto"/>
        <w:ind w:left="0" w:right="0" w:firstLine="0"/>
        <w:jc w:val="left"/>
      </w:pPr>
      <w:r>
        <w:rPr>
          <w:i/>
          <w:sz w:val="16"/>
        </w:rPr>
        <w:t xml:space="preserve"> </w:t>
      </w:r>
    </w:p>
    <w:p w14:paraId="0B45C46C" w14:textId="77777777" w:rsidR="008D6FC2" w:rsidRDefault="008D6FC2" w:rsidP="00E33D13">
      <w:pPr>
        <w:spacing w:after="0" w:line="240" w:lineRule="auto"/>
        <w:ind w:left="0" w:right="0" w:firstLine="0"/>
        <w:jc w:val="left"/>
      </w:pPr>
    </w:p>
    <w:p w14:paraId="32EFC947" w14:textId="77777777" w:rsidR="008D6FC2" w:rsidRDefault="008D6FC2" w:rsidP="00E33D13">
      <w:pPr>
        <w:spacing w:after="4" w:line="240" w:lineRule="auto"/>
        <w:ind w:left="1080" w:right="0" w:hanging="1080"/>
        <w:rPr>
          <w:i/>
        </w:rPr>
      </w:pPr>
      <w:r>
        <w:rPr>
          <w:i/>
        </w:rPr>
        <w:t xml:space="preserve">Keywords: Stock Price, Total Asset Turnover, TATO, Sales Growth, </w:t>
      </w:r>
      <w:r w:rsidR="00C255BE" w:rsidRPr="00C255BE">
        <w:rPr>
          <w:i/>
        </w:rPr>
        <w:t xml:space="preserve">Growth </w:t>
      </w:r>
      <w:proofErr w:type="gramStart"/>
      <w:r w:rsidR="00C255BE" w:rsidRPr="00C255BE">
        <w:rPr>
          <w:i/>
        </w:rPr>
        <w:t>Sales ,</w:t>
      </w:r>
      <w:proofErr w:type="gramEnd"/>
      <w:r w:rsidR="00C255BE" w:rsidRPr="00C255BE">
        <w:rPr>
          <w:i/>
        </w:rPr>
        <w:t xml:space="preserve"> Return on Assets, ROA, Financial Performance, Transportation Subsector , Indonesia Stock Exchange , IDX.</w:t>
      </w:r>
    </w:p>
    <w:p w14:paraId="6A9DA144" w14:textId="77777777" w:rsidR="000538F5" w:rsidRDefault="000538F5" w:rsidP="00E33D13">
      <w:pPr>
        <w:spacing w:after="4" w:line="240" w:lineRule="auto"/>
        <w:ind w:left="1080" w:right="0" w:hanging="1080"/>
        <w:rPr>
          <w:i/>
        </w:rPr>
      </w:pPr>
    </w:p>
    <w:p w14:paraId="5514BCA4" w14:textId="73CC7199" w:rsidR="000538F5" w:rsidRDefault="000538F5" w:rsidP="00E33D13">
      <w:pPr>
        <w:spacing w:after="4" w:line="240" w:lineRule="auto"/>
        <w:ind w:left="1080" w:right="0" w:hanging="1080"/>
        <w:sectPr w:rsidR="000538F5" w:rsidSect="000C7F55">
          <w:headerReference w:type="even" r:id="rId7"/>
          <w:headerReference w:type="default" r:id="rId8"/>
          <w:footerReference w:type="even" r:id="rId9"/>
          <w:footerReference w:type="default" r:id="rId10"/>
          <w:headerReference w:type="first" r:id="rId11"/>
          <w:footerReference w:type="first" r:id="rId12"/>
          <w:pgSz w:w="11909" w:h="16834"/>
          <w:pgMar w:top="1020" w:right="1338" w:bottom="863" w:left="1440" w:header="720" w:footer="720" w:gutter="0"/>
          <w:pgNumType w:start="200"/>
          <w:cols w:space="720"/>
          <w:titlePg/>
        </w:sectPr>
      </w:pPr>
    </w:p>
    <w:p w14:paraId="1795D392" w14:textId="77777777" w:rsidR="008D6FC2" w:rsidRDefault="008D6FC2" w:rsidP="00E33D13">
      <w:pPr>
        <w:spacing w:after="0" w:line="240" w:lineRule="auto"/>
        <w:ind w:left="0" w:right="0" w:firstLine="0"/>
        <w:jc w:val="left"/>
      </w:pPr>
      <w:r>
        <w:rPr>
          <w:b/>
          <w:sz w:val="22"/>
        </w:rPr>
        <w:t xml:space="preserve"> </w:t>
      </w:r>
    </w:p>
    <w:p w14:paraId="135057D6" w14:textId="481A0D85" w:rsidR="008D6FC2" w:rsidRDefault="008D6FC2" w:rsidP="00E33D13">
      <w:pPr>
        <w:spacing w:after="40" w:line="240" w:lineRule="auto"/>
        <w:ind w:left="0" w:right="0" w:firstLine="0"/>
        <w:jc w:val="left"/>
      </w:pPr>
    </w:p>
    <w:p w14:paraId="498A838B" w14:textId="77777777" w:rsidR="00B05BF2" w:rsidRDefault="00B05BF2" w:rsidP="00E33D13">
      <w:pPr>
        <w:pStyle w:val="Heading1"/>
        <w:ind w:left="230" w:hanging="245"/>
        <w:sectPr w:rsidR="00B05BF2" w:rsidSect="000C7F55">
          <w:type w:val="continuous"/>
          <w:pgSz w:w="11909" w:h="16834"/>
          <w:pgMar w:top="2026" w:right="1436" w:bottom="1638" w:left="1440" w:header="720" w:footer="720" w:gutter="0"/>
          <w:cols w:space="232"/>
        </w:sectPr>
      </w:pPr>
    </w:p>
    <w:p w14:paraId="6BA61171" w14:textId="4F021BB5" w:rsidR="00A81D8A" w:rsidRPr="00A81D8A" w:rsidRDefault="008D6FC2" w:rsidP="00A81D8A">
      <w:pPr>
        <w:pStyle w:val="Heading1"/>
        <w:numPr>
          <w:ilvl w:val="0"/>
          <w:numId w:val="41"/>
        </w:numPr>
        <w:jc w:val="both"/>
      </w:pPr>
      <w:r>
        <w:t>INTRODUCTION</w:t>
      </w:r>
    </w:p>
    <w:p w14:paraId="05449EB8" w14:textId="77777777" w:rsidR="00A81D8A" w:rsidRDefault="00A81D8A" w:rsidP="00A81D8A">
      <w:pPr>
        <w:pStyle w:val="Style1"/>
        <w:spacing w:line="240" w:lineRule="auto"/>
      </w:pPr>
      <w:r>
        <w:t>The transportation subsector plays an important role in the structure of the Indonesian economy because it supports mobility, interregional connectivity, and the smooth distribution of national logistics. Based on data from the Central Statistics Agency (BPS, 2024), the transportation and warehousing sector is included among business fields that make a significant contribution to Indonesia’s Gross Domestic Product (GDP), indicating that activities in this subsector are dynamically developing and strategically important for national economic growth. This contribution strengthens the position of the transportation subsector as a relevant sector to be analyzed in the capital market context, as the operational performance and profitability of transportation companies potentially serve as important signals for investors in the formation of stock prices on the Indonesia Stock Exchange (IDX).</w:t>
      </w:r>
    </w:p>
    <w:p w14:paraId="34899924" w14:textId="77777777" w:rsidR="00A81D8A" w:rsidRDefault="00A81D8A" w:rsidP="00A81D8A">
      <w:pPr>
        <w:pStyle w:val="Style1"/>
        <w:spacing w:line="240" w:lineRule="auto"/>
      </w:pPr>
    </w:p>
    <w:p w14:paraId="34528785" w14:textId="1DC4B892" w:rsidR="00A81D8A" w:rsidRPr="00237E06" w:rsidRDefault="00A81D8A" w:rsidP="00A81D8A">
      <w:pPr>
        <w:pStyle w:val="Style1"/>
        <w:spacing w:line="240" w:lineRule="auto"/>
      </w:pPr>
      <w:r>
        <w:t>Stock prices are a crucial indicator for investors because they reflect a company’s market value and serve as the primary basis for making investment decisions in the capital market. Stock price movements represent the market’s response to a company’s fundamentals, growth prospects, and investor confidence in its ability to generate future profits. Investors use stock prices as a benchmark to assess potential returns and risks, both in the short term through capital gains and in the long term as a reflection of firm value. Therefore, stock price information plays a strategic role in investment evaluation and portfolio strategy formulation.</w:t>
      </w:r>
    </w:p>
    <w:p w14:paraId="60799C76" w14:textId="77777777" w:rsidR="00845576" w:rsidRPr="00E35D92" w:rsidRDefault="00845576" w:rsidP="00E35D92">
      <w:pPr>
        <w:pStyle w:val="Style1"/>
        <w:rPr>
          <w:lang w:val="id-ID"/>
        </w:rPr>
      </w:pPr>
    </w:p>
    <w:p w14:paraId="347434C8" w14:textId="3C9459D5" w:rsidR="00845576" w:rsidRDefault="00F254D9" w:rsidP="00845576">
      <w:pPr>
        <w:pStyle w:val="Style1"/>
        <w:spacing w:line="240" w:lineRule="auto"/>
        <w:jc w:val="center"/>
        <w:rPr>
          <w:b/>
          <w:spacing w:val="-2"/>
        </w:rPr>
      </w:pPr>
      <w:r>
        <w:rPr>
          <w:b/>
        </w:rPr>
        <w:t>Fig</w:t>
      </w:r>
      <w:r w:rsidR="00845576">
        <w:rPr>
          <w:b/>
          <w:spacing w:val="-7"/>
        </w:rPr>
        <w:t xml:space="preserve"> </w:t>
      </w:r>
      <w:r w:rsidR="00845576">
        <w:rPr>
          <w:b/>
        </w:rPr>
        <w:t>1.</w:t>
      </w:r>
      <w:r w:rsidR="00845576">
        <w:rPr>
          <w:b/>
          <w:spacing w:val="42"/>
        </w:rPr>
        <w:t xml:space="preserve"> </w:t>
      </w:r>
      <w:r w:rsidR="00845576">
        <w:rPr>
          <w:b/>
        </w:rPr>
        <w:t>Stock Price Development</w:t>
      </w:r>
    </w:p>
    <w:p w14:paraId="36CCEE6A" w14:textId="77777777" w:rsidR="00E35D92" w:rsidRDefault="00E35D92" w:rsidP="00E33D13">
      <w:pPr>
        <w:pStyle w:val="Style1"/>
        <w:spacing w:line="240" w:lineRule="auto"/>
      </w:pPr>
    </w:p>
    <w:p w14:paraId="339CB05D" w14:textId="609EC5E8" w:rsidR="00E35D92" w:rsidRDefault="006C71D2" w:rsidP="00520240">
      <w:pPr>
        <w:pStyle w:val="Style1"/>
        <w:spacing w:line="240" w:lineRule="auto"/>
        <w:jc w:val="center"/>
      </w:pPr>
      <w:r>
        <w:rPr>
          <w:noProof/>
        </w:rPr>
        <w:drawing>
          <wp:inline distT="0" distB="0" distL="0" distR="0" wp14:anchorId="2288F295" wp14:editId="4BFF5099">
            <wp:extent cx="2810043" cy="1659646"/>
            <wp:effectExtent l="0" t="0" r="0" b="0"/>
            <wp:docPr id="600282176" name="Gambar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122" cy="1676230"/>
                    </a:xfrm>
                    <a:prstGeom prst="rect">
                      <a:avLst/>
                    </a:prstGeom>
                    <a:noFill/>
                  </pic:spPr>
                </pic:pic>
              </a:graphicData>
            </a:graphic>
          </wp:inline>
        </w:drawing>
      </w:r>
    </w:p>
    <w:p w14:paraId="20D2D468" w14:textId="36FE9A33" w:rsidR="006C71D2" w:rsidRDefault="006C71D2" w:rsidP="00E33D13">
      <w:pPr>
        <w:pStyle w:val="Style1"/>
        <w:spacing w:line="240" w:lineRule="auto"/>
      </w:pPr>
      <w:proofErr w:type="gramStart"/>
      <w:r>
        <w:t>Source :</w:t>
      </w:r>
      <w:proofErr w:type="gramEnd"/>
      <w:r>
        <w:t xml:space="preserve"> BEI Secondary Data ( Processed by Researchers)</w:t>
      </w:r>
    </w:p>
    <w:p w14:paraId="0566F404" w14:textId="77777777" w:rsidR="006C71D2" w:rsidRDefault="006C71D2" w:rsidP="00E33D13">
      <w:pPr>
        <w:pStyle w:val="Style1"/>
        <w:spacing w:line="240" w:lineRule="auto"/>
      </w:pPr>
    </w:p>
    <w:p w14:paraId="17B4A099" w14:textId="77777777" w:rsidR="00A81D8A" w:rsidRPr="00276B26" w:rsidRDefault="00A81D8A" w:rsidP="00A81D8A">
      <w:pPr>
        <w:spacing w:after="2" w:line="240" w:lineRule="auto"/>
        <w:ind w:left="0" w:right="0" w:firstLine="0"/>
        <w:rPr>
          <w:lang w:val="id-ID"/>
        </w:rPr>
      </w:pPr>
      <w:r w:rsidRPr="00276B26">
        <w:rPr>
          <w:lang w:val="id-ID"/>
        </w:rPr>
        <w:t>The graph shows a sharp increase in stock prices in 2021, indicating strong market optimism regarding the performance of transportation issuers during that period. This was followed by a significant decline in 2022, reflecting a market correction or adjustment in investor expectations. In 2023, stock prices experienced a moderate recovery, signaling an improvement in market confidence. However, in 2024, the trend weakened slightly, suggesting that the market continued to respond dynamically to changes in industry fundamentals and sentiment. Overall, the transportation subsector exhibits relatively high stock price volatility, reflecting investors’ sensitivity to changes in company performance and industry conditions.</w:t>
      </w:r>
    </w:p>
    <w:p w14:paraId="0781B9DE" w14:textId="77777777" w:rsidR="00A81D8A" w:rsidRPr="00276B26" w:rsidRDefault="00A81D8A" w:rsidP="00A81D8A">
      <w:pPr>
        <w:spacing w:after="2" w:line="240" w:lineRule="auto"/>
        <w:ind w:left="0" w:right="0" w:firstLine="0"/>
        <w:rPr>
          <w:lang w:val="id-ID"/>
        </w:rPr>
      </w:pPr>
    </w:p>
    <w:p w14:paraId="16C43A8A" w14:textId="77777777" w:rsidR="00A81D8A" w:rsidRPr="00276B26" w:rsidRDefault="00A81D8A" w:rsidP="00A81D8A">
      <w:pPr>
        <w:spacing w:after="2" w:line="240" w:lineRule="auto"/>
        <w:ind w:left="0" w:right="0" w:firstLine="0"/>
        <w:rPr>
          <w:lang w:val="id-ID"/>
        </w:rPr>
      </w:pPr>
      <w:r w:rsidRPr="00276B26">
        <w:rPr>
          <w:lang w:val="id-ID"/>
        </w:rPr>
        <w:t>Investors rely on financial statements as the primary source of information to evaluate firm performance and make investment decisions in the capital market. Financial ratios play an essential role as fundamental signals that help investors assess operational efficiency and profitability. Stock prices, in turn, represent the market value that fluctuates according to how investors interpret and respond to the fundamental information disclosed by companies.</w:t>
      </w:r>
    </w:p>
    <w:p w14:paraId="01067F27" w14:textId="77777777" w:rsidR="00A81D8A" w:rsidRPr="00276B26" w:rsidRDefault="00A81D8A" w:rsidP="00A81D8A">
      <w:pPr>
        <w:spacing w:after="2" w:line="240" w:lineRule="auto"/>
        <w:ind w:left="0" w:right="0" w:firstLine="0"/>
        <w:rPr>
          <w:lang w:val="id-ID"/>
        </w:rPr>
      </w:pPr>
    </w:p>
    <w:p w14:paraId="7148A56D" w14:textId="77777777" w:rsidR="00A81D8A" w:rsidRPr="00276B26" w:rsidRDefault="00A81D8A" w:rsidP="00A81D8A">
      <w:pPr>
        <w:spacing w:after="2" w:line="240" w:lineRule="auto"/>
        <w:ind w:left="0" w:right="0" w:firstLine="0"/>
        <w:rPr>
          <w:lang w:val="id-ID"/>
        </w:rPr>
      </w:pPr>
      <w:r w:rsidRPr="00276B26">
        <w:rPr>
          <w:lang w:val="id-ID"/>
        </w:rPr>
        <w:t xml:space="preserve">One financial ratio that reflects asset utilization efficiency is Total Asset Turnover (TATO). This ratio indicates how effectively a company uses its assets to generate sales, where a higher value suggests optimal asset productivity. Asset efficiency is an important consideration for investors because it reflects operational effectiveness. Empirical studies on the IDX indicate that asset turnover-based activity ratios </w:t>
      </w:r>
      <w:r w:rsidRPr="00276B26">
        <w:rPr>
          <w:lang w:val="id-ID"/>
        </w:rPr>
        <w:lastRenderedPageBreak/>
        <w:t>are positively associated with market responses, as reflected in stock price movements (Listiawati, Rolanda, &amp; Karlina, 2024).</w:t>
      </w:r>
    </w:p>
    <w:p w14:paraId="0AFF3186" w14:textId="77777777" w:rsidR="00A81D8A" w:rsidRPr="00276B26" w:rsidRDefault="00A81D8A" w:rsidP="00A81D8A">
      <w:pPr>
        <w:spacing w:after="2" w:line="240" w:lineRule="auto"/>
        <w:ind w:left="0" w:right="0" w:firstLine="0"/>
        <w:rPr>
          <w:lang w:val="id-ID"/>
        </w:rPr>
      </w:pPr>
    </w:p>
    <w:p w14:paraId="7B1BA87C" w14:textId="77777777" w:rsidR="00A81D8A" w:rsidRPr="00276B26" w:rsidRDefault="00A81D8A" w:rsidP="00A81D8A">
      <w:pPr>
        <w:spacing w:after="2" w:line="240" w:lineRule="auto"/>
        <w:ind w:left="0" w:right="0" w:firstLine="0"/>
        <w:rPr>
          <w:lang w:val="id-ID"/>
        </w:rPr>
      </w:pPr>
      <w:r w:rsidRPr="00276B26">
        <w:rPr>
          <w:lang w:val="id-ID"/>
        </w:rPr>
        <w:t>In addition to asset efficiency, Sales Growth is another fundamental indicator that attracts market attention. This ratio reflects the increase in revenue compared to the previous period and is commonly used to evaluate a company’s ability to maintain competitiveness and expand its operations. Firms with high sales growth are generally perceived as having strong earnings prospects. However, studies in the Indonesian capital market show that Sales Growth does not always have a significant partial effect on stock prices, even though it remains an important variable in regression models (Cahyo &amp; Sutiman, 2025).</w:t>
      </w:r>
    </w:p>
    <w:p w14:paraId="6F1B8FD6" w14:textId="77777777" w:rsidR="00A81D8A" w:rsidRPr="00276B26" w:rsidRDefault="00A81D8A" w:rsidP="00A81D8A">
      <w:pPr>
        <w:spacing w:after="2" w:line="240" w:lineRule="auto"/>
        <w:ind w:left="0" w:right="0" w:firstLine="0"/>
        <w:rPr>
          <w:lang w:val="id-ID"/>
        </w:rPr>
      </w:pPr>
    </w:p>
    <w:p w14:paraId="0F69E913" w14:textId="77777777" w:rsidR="00A81D8A" w:rsidRPr="00276B26" w:rsidRDefault="00A81D8A" w:rsidP="00A81D8A">
      <w:pPr>
        <w:spacing w:after="2" w:line="240" w:lineRule="auto"/>
        <w:ind w:left="0" w:right="0" w:firstLine="0"/>
        <w:rPr>
          <w:lang w:val="id-ID"/>
        </w:rPr>
      </w:pPr>
      <w:r w:rsidRPr="00276B26">
        <w:rPr>
          <w:lang w:val="id-ID"/>
        </w:rPr>
        <w:t>From the profitability perspective, Return on Assets (ROA) is a ratio that measures a company’s ability to convert managed assets into net income. A higher ROA indicates more effective management in generating profits from operational assets. Profitability is a critical signal for investors, as firms with strong profit-generating capabilities tend to receive positive market responses. Research conducted on IDX-listed companies demonstrates that ROA has a positive and significant effect on stock prices because it represents efficient and effective profit performance in the eyes of investors (Mardiana &amp; Utiyati, 2020).</w:t>
      </w:r>
    </w:p>
    <w:p w14:paraId="6D1F39C5" w14:textId="77777777" w:rsidR="00A81D8A" w:rsidRPr="00276B26" w:rsidRDefault="00A81D8A" w:rsidP="00A81D8A">
      <w:pPr>
        <w:spacing w:after="2" w:line="240" w:lineRule="auto"/>
        <w:ind w:left="0" w:right="0" w:firstLine="0"/>
        <w:rPr>
          <w:lang w:val="id-ID"/>
        </w:rPr>
      </w:pPr>
    </w:p>
    <w:p w14:paraId="61F8196D" w14:textId="77777777" w:rsidR="00A81D8A" w:rsidRPr="00276B26" w:rsidRDefault="00A81D8A" w:rsidP="00A81D8A">
      <w:pPr>
        <w:spacing w:after="2" w:line="240" w:lineRule="auto"/>
        <w:ind w:left="0" w:right="0" w:firstLine="0"/>
        <w:rPr>
          <w:lang w:val="id-ID"/>
        </w:rPr>
      </w:pPr>
      <w:r w:rsidRPr="00276B26">
        <w:rPr>
          <w:lang w:val="id-ID"/>
        </w:rPr>
        <w:t>Although asset efficiency, sales growth, and profitability are widely used to explain stock price movements, empirical findings regarding their influence remain inconsistent. Several studies report that Total Asset Turnover has a positive effect on stock prices or stock returns, indicating that firms with more efficient asset utilization tend to receive stronger market responses (Patin et al., 2020). However, Akbar (2024) finds that TATO does not have a significant effect on stock returns, suggesting that asset utilization efficiency is not always strong enough to directly influence market value in certain contexts.</w:t>
      </w:r>
    </w:p>
    <w:p w14:paraId="05F442F1" w14:textId="77777777" w:rsidR="00A81D8A" w:rsidRPr="00276B26" w:rsidRDefault="00A81D8A" w:rsidP="00A81D8A">
      <w:pPr>
        <w:spacing w:after="2" w:line="240" w:lineRule="auto"/>
        <w:ind w:left="0" w:right="0" w:firstLine="0"/>
        <w:rPr>
          <w:lang w:val="id-ID"/>
        </w:rPr>
      </w:pPr>
    </w:p>
    <w:p w14:paraId="06B8D0F3" w14:textId="77777777" w:rsidR="00A81D8A" w:rsidRPr="00276B26" w:rsidRDefault="00A81D8A" w:rsidP="00A81D8A">
      <w:pPr>
        <w:spacing w:after="2" w:line="240" w:lineRule="auto"/>
        <w:ind w:left="0" w:right="0" w:firstLine="0"/>
        <w:rPr>
          <w:lang w:val="id-ID"/>
        </w:rPr>
      </w:pPr>
      <w:r w:rsidRPr="00276B26">
        <w:rPr>
          <w:lang w:val="id-ID"/>
        </w:rPr>
        <w:t>Similarly, prior research on the effect of Sales Growth on stock prices presents contradictory results. Yantri (2024) finds that Sales Growth significantly affects stock prices because revenue growth reflects improved operational activity and market expansion, which investors perceive as positive future prospects. In contrast, Prastiyati (2024) reports that Sales Growth does not significantly influence stock prices, as increased sales are not always accompanied by higher profitability or operational efficiency, leading investors to place greater emphasis on profitability indicators.</w:t>
      </w:r>
    </w:p>
    <w:p w14:paraId="7B34B2FF" w14:textId="77777777" w:rsidR="00A81D8A" w:rsidRPr="00276B26" w:rsidRDefault="00A81D8A" w:rsidP="00A81D8A">
      <w:pPr>
        <w:spacing w:after="2" w:line="240" w:lineRule="auto"/>
        <w:ind w:left="0" w:right="0" w:firstLine="0"/>
        <w:rPr>
          <w:lang w:val="id-ID"/>
        </w:rPr>
      </w:pPr>
    </w:p>
    <w:p w14:paraId="2FC3CDBC" w14:textId="77777777" w:rsidR="00A81D8A" w:rsidRPr="00276B26" w:rsidRDefault="00A81D8A" w:rsidP="00A81D8A">
      <w:pPr>
        <w:spacing w:after="2" w:line="240" w:lineRule="auto"/>
        <w:ind w:left="0" w:right="0" w:firstLine="0"/>
        <w:rPr>
          <w:lang w:val="id-ID"/>
        </w:rPr>
      </w:pPr>
      <w:r w:rsidRPr="00276B26">
        <w:rPr>
          <w:lang w:val="id-ID"/>
        </w:rPr>
        <w:t>Inconsistencies are also found in studies examining the relationship between Return on Assets and stock prices. Richard (2024) shows that ROA significantly affects stock prices because it reflects a firm’s ability to optimize operational assets to generate profits, making it an important fundamental signal for the market. Conversely, Restuningsih and Hertina (2024) find that ROA does not have a significant effect on stock prices, suggesting that asset-based profitability is not always the main factor considered by investors, particularly when market conditions are influenced by other external variables.</w:t>
      </w:r>
    </w:p>
    <w:p w14:paraId="05B86AC2" w14:textId="77777777" w:rsidR="00A81D8A" w:rsidRPr="00276B26" w:rsidRDefault="00A81D8A" w:rsidP="00A81D8A">
      <w:pPr>
        <w:spacing w:after="2" w:line="240" w:lineRule="auto"/>
        <w:ind w:left="0" w:right="0" w:firstLine="0"/>
        <w:rPr>
          <w:lang w:val="id-ID"/>
        </w:rPr>
      </w:pPr>
    </w:p>
    <w:p w14:paraId="0EE45691" w14:textId="77777777" w:rsidR="00A81D8A" w:rsidRDefault="00A81D8A" w:rsidP="00A81D8A">
      <w:pPr>
        <w:spacing w:after="2" w:line="240" w:lineRule="auto"/>
        <w:ind w:left="0" w:right="0" w:firstLine="0"/>
        <w:rPr>
          <w:lang w:val="id-ID"/>
        </w:rPr>
      </w:pPr>
      <w:r w:rsidRPr="00276B26">
        <w:rPr>
          <w:lang w:val="id-ID"/>
        </w:rPr>
        <w:t>Based on these mixed and inconclusive findings, there is a clear research gap regarding the integrated influence of asset efficiency, sales growth, and profitability on stock prices, especially in sectors characterized by high volatility such as transportation. Therefore, this study aims to: (1) analyze the effect of asset utilization efficiency proxied by Total Asset Turnover (TATO) on stock prices; (2) examine the effect of Sales Growth on stock prices as a signal of revenue growth performance; (3) analyze the effect of asset-based profitability measured by Return on Assets (ROA) on stock prices; and (4) test the simultaneous effect of TATO, Sales Growth, and ROA on stock prices to assess the explanatory power of the regression model in explaining stock price movements of transportation subsector companies listed on the Indonesia Stock Exchange.</w:t>
      </w:r>
    </w:p>
    <w:p w14:paraId="61E54496" w14:textId="77777777" w:rsidR="00B05BF2" w:rsidRDefault="00B05BF2" w:rsidP="00520240">
      <w:pPr>
        <w:pStyle w:val="Style1"/>
        <w:spacing w:line="240" w:lineRule="auto"/>
        <w:ind w:left="0" w:firstLine="0"/>
        <w:sectPr w:rsidR="00B05BF2" w:rsidSect="000C7F55">
          <w:type w:val="continuous"/>
          <w:pgSz w:w="11909" w:h="16834"/>
          <w:pgMar w:top="2026" w:right="1436" w:bottom="1638" w:left="1440" w:header="720" w:footer="720" w:gutter="0"/>
          <w:cols w:space="232"/>
        </w:sectPr>
      </w:pPr>
    </w:p>
    <w:p w14:paraId="22D90282" w14:textId="67951D67" w:rsidR="00B05BF2" w:rsidRDefault="00B05BF2" w:rsidP="00520240">
      <w:pPr>
        <w:spacing w:after="2" w:line="240" w:lineRule="auto"/>
        <w:ind w:left="0" w:right="0" w:firstLine="0"/>
        <w:jc w:val="left"/>
        <w:sectPr w:rsidR="00B05BF2" w:rsidSect="000C7F55">
          <w:type w:val="continuous"/>
          <w:pgSz w:w="11909" w:h="16834"/>
          <w:pgMar w:top="2026" w:right="1436" w:bottom="1638" w:left="1440" w:header="720" w:footer="720" w:gutter="0"/>
          <w:cols w:space="232"/>
        </w:sectPr>
      </w:pPr>
    </w:p>
    <w:p w14:paraId="4EF19F8C" w14:textId="38E44C95" w:rsidR="000C7F55" w:rsidRDefault="008D6FC2" w:rsidP="00A81D8A">
      <w:pPr>
        <w:pStyle w:val="Heading1"/>
        <w:numPr>
          <w:ilvl w:val="0"/>
          <w:numId w:val="41"/>
        </w:numPr>
        <w:jc w:val="both"/>
      </w:pPr>
      <w:r>
        <w:t>MATERIALS AND METHODS</w:t>
      </w:r>
    </w:p>
    <w:p w14:paraId="3AED682C" w14:textId="77777777" w:rsidR="000C7F55" w:rsidRDefault="000C7F55" w:rsidP="00237E06">
      <w:pPr>
        <w:pStyle w:val="Style1"/>
        <w:spacing w:line="240" w:lineRule="auto"/>
        <w:ind w:left="0" w:firstLine="0"/>
      </w:pPr>
    </w:p>
    <w:p w14:paraId="40C23CE5" w14:textId="77777777" w:rsidR="00A81D8A" w:rsidRDefault="00A81D8A" w:rsidP="00A81D8A">
      <w:pPr>
        <w:pStyle w:val="Style1"/>
        <w:spacing w:line="240" w:lineRule="auto"/>
      </w:pPr>
      <w:r w:rsidRPr="000538F5">
        <w:t xml:space="preserve">Study This adopt approach quantitative with numerical data processing For test hypothesis in a way objective and </w:t>
      </w:r>
      <w:proofErr w:type="gramStart"/>
      <w:r w:rsidRPr="000538F5">
        <w:t>measurable .</w:t>
      </w:r>
      <w:proofErr w:type="gramEnd"/>
      <w:r w:rsidRPr="000538F5">
        <w:t xml:space="preserve"> Research methods referring to </w:t>
      </w:r>
      <w:proofErr w:type="spellStart"/>
      <w:r w:rsidRPr="000538F5">
        <w:t>Sugiyono</w:t>
      </w:r>
      <w:proofErr w:type="spellEnd"/>
      <w:r w:rsidRPr="000538F5">
        <w:t xml:space="preserve"> (2023), where the research use multiple linear regression For test connection causal between variables SPSS- based </w:t>
      </w:r>
      <w:r>
        <w:t xml:space="preserve">approach This </w:t>
      </w:r>
      <w:r>
        <w:lastRenderedPageBreak/>
        <w:t xml:space="preserve">relevant Because study focus on measurement size influence ratio </w:t>
      </w:r>
      <w:proofErr w:type="gramStart"/>
      <w:r>
        <w:t>activity ,</w:t>
      </w:r>
      <w:proofErr w:type="gramEnd"/>
      <w:r>
        <w:t xml:space="preserve"> growth revenue and profitability based asset to price shares , so that analysis can done in a way measurable using statistical models . Research methods referring to </w:t>
      </w:r>
      <w:proofErr w:type="spellStart"/>
      <w:r>
        <w:t>Sugiyono</w:t>
      </w:r>
      <w:proofErr w:type="spellEnd"/>
      <w:r>
        <w:t xml:space="preserve"> (2023), where the relationship causal intervariable tested use multiple linear regression SPSS </w:t>
      </w:r>
      <w:proofErr w:type="gramStart"/>
      <w:r>
        <w:t>based .</w:t>
      </w:r>
      <w:proofErr w:type="gramEnd"/>
    </w:p>
    <w:p w14:paraId="76A70005" w14:textId="77777777" w:rsidR="00A81D8A" w:rsidRDefault="00A81D8A" w:rsidP="00A81D8A">
      <w:pPr>
        <w:pStyle w:val="Style1"/>
        <w:spacing w:line="240" w:lineRule="auto"/>
      </w:pPr>
    </w:p>
    <w:p w14:paraId="7FB8B00E" w14:textId="77777777" w:rsidR="00A81D8A" w:rsidRDefault="00A81D8A" w:rsidP="00A81D8A">
      <w:pPr>
        <w:pStyle w:val="Style1"/>
        <w:spacing w:line="240" w:lineRule="auto"/>
      </w:pPr>
      <w:r>
        <w:t xml:space="preserve">Object study This is variables ratio finances consisting of from Total Asset Turnover (TATO/TATO) as proxy efficiency utilization </w:t>
      </w:r>
      <w:proofErr w:type="gramStart"/>
      <w:r>
        <w:t>assets ,</w:t>
      </w:r>
      <w:proofErr w:type="gramEnd"/>
      <w:r>
        <w:t xml:space="preserve"> Sales Growth as proxy growth income , and Return on Assets (ROA) as proxy profitability company . As for the variables dependent in study This is price </w:t>
      </w:r>
      <w:proofErr w:type="gramStart"/>
      <w:r>
        <w:t>shares ,</w:t>
      </w:r>
      <w:proofErr w:type="gramEnd"/>
      <w:r>
        <w:t xml:space="preserve"> which are measured use price final closing price year Transportation Subsector companies listed on the Indonesia Stock Exchange for the 2020–2024 period .</w:t>
      </w:r>
    </w:p>
    <w:p w14:paraId="6B470D2F" w14:textId="77777777" w:rsidR="00A81D8A" w:rsidRDefault="00A81D8A" w:rsidP="00A81D8A">
      <w:pPr>
        <w:pStyle w:val="Style1"/>
        <w:spacing w:line="240" w:lineRule="auto"/>
      </w:pPr>
    </w:p>
    <w:p w14:paraId="1FD1A6E8" w14:textId="77777777" w:rsidR="00A81D8A" w:rsidRDefault="00A81D8A" w:rsidP="00A81D8A">
      <w:pPr>
        <w:pStyle w:val="Style1"/>
        <w:spacing w:line="240" w:lineRule="auto"/>
      </w:pPr>
      <w:r w:rsidRPr="00AC26E6">
        <w:t xml:space="preserve">Subject study This is Transportation Subsector companies registered and listed on the Indonesia Stock Exchange </w:t>
      </w:r>
      <w:proofErr w:type="gramStart"/>
      <w:r w:rsidRPr="00AC26E6">
        <w:t>( BEI</w:t>
      </w:r>
      <w:proofErr w:type="gramEnd"/>
      <w:r w:rsidRPr="00AC26E6">
        <w:t xml:space="preserve"> ) during 2020–2024 period . Election subsector This based on characteristics the industry that has dependence big on management asset operations and growth </w:t>
      </w:r>
      <w:proofErr w:type="gramStart"/>
      <w:r w:rsidRPr="00AC26E6">
        <w:t>income ,</w:t>
      </w:r>
      <w:proofErr w:type="gramEnd"/>
      <w:r w:rsidRPr="00AC26E6">
        <w:t xml:space="preserve"> so that relevant with variables analyzed​ in study This . The data used is secondary data in the form of report finance annual companies that have audited as well as price share closing end year </w:t>
      </w:r>
      <w:proofErr w:type="gramStart"/>
      <w:r w:rsidRPr="00AC26E6">
        <w:t xml:space="preserve">( </w:t>
      </w:r>
      <w:r w:rsidRPr="00AC26E6">
        <w:rPr>
          <w:i/>
          <w:iCs/>
        </w:rPr>
        <w:t>closing</w:t>
      </w:r>
      <w:proofErr w:type="gramEnd"/>
      <w:r w:rsidRPr="00AC26E6">
        <w:rPr>
          <w:i/>
          <w:iCs/>
        </w:rPr>
        <w:t xml:space="preserve"> price </w:t>
      </w:r>
      <w:r w:rsidRPr="00AC26E6">
        <w:t>), obtained through studies documentation from publication official BEI and each company's website .</w:t>
      </w:r>
    </w:p>
    <w:p w14:paraId="48FCDC3C" w14:textId="77777777" w:rsidR="00A81D8A" w:rsidRDefault="00A81D8A" w:rsidP="00A81D8A">
      <w:pPr>
        <w:pStyle w:val="Style1"/>
        <w:spacing w:line="240" w:lineRule="auto"/>
      </w:pPr>
    </w:p>
    <w:p w14:paraId="2799CE5A" w14:textId="77777777" w:rsidR="00A81D8A" w:rsidRDefault="00A81D8A" w:rsidP="00A81D8A">
      <w:pPr>
        <w:pStyle w:val="Style1"/>
        <w:spacing w:line="240" w:lineRule="auto"/>
      </w:pPr>
      <w:r w:rsidRPr="00AC26E6">
        <w:t xml:space="preserve">Election sample done with purposive sampling technique, namely technique determination sample based on criteria certain relevant​ with objective research </w:t>
      </w:r>
      <w:proofErr w:type="gramStart"/>
      <w:r w:rsidRPr="00AC26E6">
        <w:t xml:space="preserve">( </w:t>
      </w:r>
      <w:proofErr w:type="spellStart"/>
      <w:r w:rsidRPr="00AC26E6">
        <w:t>Sugiyono</w:t>
      </w:r>
      <w:proofErr w:type="spellEnd"/>
      <w:proofErr w:type="gramEnd"/>
      <w:r w:rsidRPr="00AC26E6">
        <w:t xml:space="preserve"> , 2023). Criteria sample </w:t>
      </w:r>
      <w:proofErr w:type="gramStart"/>
      <w:r w:rsidRPr="00AC26E6">
        <w:t>includes :</w:t>
      </w:r>
      <w:proofErr w:type="gramEnd"/>
      <w:r w:rsidRPr="00AC26E6">
        <w:t xml:space="preserve"> (1) Transportation Subsector companies must registered in a way consistent on the IDX in the 2020–2024 period , (2) has report finance annual complete audit​ during period observation </w:t>
      </w:r>
      <w:r>
        <w:t>.</w:t>
      </w:r>
    </w:p>
    <w:p w14:paraId="528E2364" w14:textId="77777777" w:rsidR="00A81D8A" w:rsidRDefault="00A81D8A" w:rsidP="00A81D8A">
      <w:pPr>
        <w:pStyle w:val="Style1"/>
        <w:spacing w:line="240" w:lineRule="auto"/>
      </w:pPr>
      <w:r w:rsidRPr="00AC26E6">
        <w:t xml:space="preserve">Based on criteria </w:t>
      </w:r>
      <w:proofErr w:type="gramStart"/>
      <w:r w:rsidRPr="00AC26E6">
        <w:t>said ,</w:t>
      </w:r>
      <w:proofErr w:type="gramEnd"/>
      <w:r w:rsidRPr="00AC26E6">
        <w:t xml:space="preserve"> sample research used​ totaling 27 companies , so that obtained a total of 135 observation data (27 companies × 5 years ). </w:t>
      </w:r>
      <w:r>
        <w:t xml:space="preserve">Total sample the assessed adequate For analyzed in a way statistics so that results study can generalized to the </w:t>
      </w:r>
      <w:proofErr w:type="gramStart"/>
      <w:r>
        <w:t>population .</w:t>
      </w:r>
      <w:proofErr w:type="gramEnd"/>
    </w:p>
    <w:p w14:paraId="31F0A538" w14:textId="77777777" w:rsidR="00A81D8A" w:rsidRDefault="00A81D8A" w:rsidP="00A81D8A">
      <w:pPr>
        <w:pStyle w:val="Style1"/>
        <w:spacing w:line="240" w:lineRule="auto"/>
      </w:pPr>
    </w:p>
    <w:p w14:paraId="77FF32C7" w14:textId="77777777" w:rsidR="00A81D8A" w:rsidRDefault="00A81D8A" w:rsidP="00A81D8A">
      <w:pPr>
        <w:pStyle w:val="Style1"/>
        <w:spacing w:line="240" w:lineRule="auto"/>
      </w:pPr>
      <w:r>
        <w:t xml:space="preserve">Data collection was carried out through studies documentation and studies </w:t>
      </w:r>
      <w:proofErr w:type="gramStart"/>
      <w:r>
        <w:t>library .</w:t>
      </w:r>
      <w:proofErr w:type="gramEnd"/>
      <w:r>
        <w:t xml:space="preserve"> Documentation study done with method gather report finance annual company as source main research </w:t>
      </w:r>
      <w:proofErr w:type="gramStart"/>
      <w:r>
        <w:t>data .</w:t>
      </w:r>
      <w:proofErr w:type="gramEnd"/>
      <w:r>
        <w:t xml:space="preserve"> Literature study done For strengthen base theoretical study through review literature from </w:t>
      </w:r>
      <w:proofErr w:type="gramStart"/>
      <w:r>
        <w:t>books ,</w:t>
      </w:r>
      <w:proofErr w:type="gramEnd"/>
      <w:r>
        <w:t xml:space="preserve"> journals and publications related academics​ with management inventory , effectiveness assets , performance finance , and value company . Second technique data collection​ give runway strong scientific​ in build research models and explain connection between the variables </w:t>
      </w:r>
      <w:proofErr w:type="gramStart"/>
      <w:r>
        <w:t>analyzed .</w:t>
      </w:r>
      <w:proofErr w:type="gramEnd"/>
    </w:p>
    <w:p w14:paraId="144BE98B" w14:textId="77777777" w:rsidR="00A81D8A" w:rsidRDefault="00A81D8A" w:rsidP="00A81D8A">
      <w:pPr>
        <w:pStyle w:val="Style1"/>
        <w:spacing w:line="240" w:lineRule="auto"/>
      </w:pPr>
    </w:p>
    <w:p w14:paraId="3F4B26AE" w14:textId="77777777" w:rsidR="00A81D8A" w:rsidRDefault="00A81D8A" w:rsidP="00A81D8A">
      <w:pPr>
        <w:pStyle w:val="Style1"/>
        <w:spacing w:line="240" w:lineRule="auto"/>
      </w:pPr>
      <w:r>
        <w:t xml:space="preserve">Data collected analyzed use </w:t>
      </w:r>
      <w:r w:rsidRPr="00AC26E6">
        <w:t xml:space="preserve">device IBM SPSS Statistics software version 25. Stage beginning analysis done with statistics descriptive For describe data characteristics based on mean, standard value </w:t>
      </w:r>
      <w:proofErr w:type="gramStart"/>
      <w:r w:rsidRPr="00AC26E6">
        <w:t>deviation ,</w:t>
      </w:r>
      <w:proofErr w:type="gramEnd"/>
      <w:r w:rsidRPr="00AC26E6">
        <w:t xml:space="preserve"> value maximum , and minimum. Next assumption testing was carried out classic which includes normality tests using One Sample Kolmogorov–Smirnov, multicollinearity test use tolerance value and Variance Inflation Factor (VIF), heteroscedasticity test using scatterplot and </w:t>
      </w:r>
      <w:proofErr w:type="spellStart"/>
      <w:r w:rsidRPr="00AC26E6">
        <w:t>Glejser</w:t>
      </w:r>
      <w:proofErr w:type="spellEnd"/>
      <w:r w:rsidRPr="00AC26E6">
        <w:t xml:space="preserve"> test with absolute residual, as well as autocorrelation test using Durbin–Watson and Runs Test. After the model meets the assumptions </w:t>
      </w:r>
      <w:proofErr w:type="gramStart"/>
      <w:r w:rsidRPr="00AC26E6">
        <w:t>classic ,</w:t>
      </w:r>
      <w:proofErr w:type="gramEnd"/>
      <w:r w:rsidRPr="00AC26E6">
        <w:t xml:space="preserve"> done analysis multiple linear regression For test influence variables independent consisting of from Total Asset Turnover (TATO/TATO), Sales Growth, and Return on Assets (ROA) to variables dependent that is price shares ( </w:t>
      </w:r>
      <w:r w:rsidRPr="00AC26E6">
        <w:rPr>
          <w:i/>
          <w:iCs/>
        </w:rPr>
        <w:t xml:space="preserve">closing price </w:t>
      </w:r>
      <w:r w:rsidRPr="00AC26E6">
        <w:t>).</w:t>
      </w:r>
    </w:p>
    <w:p w14:paraId="4117A8FE" w14:textId="77777777" w:rsidR="00A81D8A" w:rsidRDefault="00A81D8A" w:rsidP="00A81D8A">
      <w:pPr>
        <w:pStyle w:val="Style1"/>
        <w:spacing w:line="240" w:lineRule="auto"/>
      </w:pPr>
    </w:p>
    <w:p w14:paraId="43BAF290" w14:textId="77777777" w:rsidR="00A81D8A" w:rsidRDefault="00A81D8A" w:rsidP="00A81D8A">
      <w:pPr>
        <w:pStyle w:val="Style1"/>
        <w:spacing w:line="240" w:lineRule="auto"/>
      </w:pPr>
      <w:r w:rsidRPr="00AC26E6">
        <w:t xml:space="preserve">Testing hypothesis partial done using t-test, testing simultaneous using the F test, and the strength of the model is tested use coefficient determination (R²), refers to the procedure analysis regression according to </w:t>
      </w:r>
      <w:proofErr w:type="spellStart"/>
      <w:r w:rsidRPr="00AC26E6">
        <w:t>Sugiyono</w:t>
      </w:r>
      <w:proofErr w:type="spellEnd"/>
      <w:r w:rsidRPr="00AC26E6">
        <w:t xml:space="preserve"> (2023). Through series analysis </w:t>
      </w:r>
      <w:proofErr w:type="gramStart"/>
      <w:r w:rsidRPr="00AC26E6">
        <w:t>said ,</w:t>
      </w:r>
      <w:proofErr w:type="gramEnd"/>
      <w:r w:rsidRPr="00AC26E6">
        <w:t xml:space="preserve"> research This expected capable give proof empirical about influence efficiency utilization assets , growth sales and profitability company to movement price shares in Transportation Subsector companies listed on the Indonesia Stock Exchange . The research results are also expected can become base evaluation for investors in understand relevance fundamental indicators based on assets and income in formation mark shares in the Indonesian capital market.</w:t>
      </w:r>
    </w:p>
    <w:p w14:paraId="55458F75" w14:textId="77777777" w:rsidR="00A81D8A" w:rsidRDefault="00A81D8A" w:rsidP="00237E06">
      <w:pPr>
        <w:pStyle w:val="Style1"/>
        <w:spacing w:line="240" w:lineRule="auto"/>
        <w:ind w:left="0" w:firstLine="0"/>
      </w:pPr>
    </w:p>
    <w:p w14:paraId="25C8C923" w14:textId="33AB7F76" w:rsidR="00A81D8A" w:rsidRPr="00845576" w:rsidRDefault="00A81D8A" w:rsidP="00237E06">
      <w:pPr>
        <w:pStyle w:val="Style1"/>
        <w:spacing w:line="240" w:lineRule="auto"/>
        <w:ind w:left="0" w:firstLine="0"/>
        <w:sectPr w:rsidR="00A81D8A" w:rsidRPr="00845576" w:rsidSect="000C7F55">
          <w:type w:val="continuous"/>
          <w:pgSz w:w="11909" w:h="16834"/>
          <w:pgMar w:top="2026" w:right="1436" w:bottom="1638" w:left="1440" w:header="720" w:footer="720" w:gutter="0"/>
          <w:cols w:space="232"/>
        </w:sectPr>
      </w:pPr>
    </w:p>
    <w:p w14:paraId="4B2AFE18" w14:textId="77777777" w:rsidR="00520240" w:rsidRDefault="008D6FC2" w:rsidP="00520240">
      <w:pPr>
        <w:pStyle w:val="Heading1"/>
        <w:numPr>
          <w:ilvl w:val="0"/>
          <w:numId w:val="41"/>
        </w:numPr>
        <w:jc w:val="both"/>
      </w:pPr>
      <w:r>
        <w:t>RESULTS AND DISCUSSION</w:t>
      </w:r>
    </w:p>
    <w:p w14:paraId="70DA403A" w14:textId="0AC9B0FF" w:rsidR="008D6FC2" w:rsidRPr="00520240" w:rsidRDefault="00520240" w:rsidP="00520240">
      <w:pPr>
        <w:pStyle w:val="Heading1"/>
        <w:numPr>
          <w:ilvl w:val="0"/>
          <w:numId w:val="0"/>
        </w:numPr>
        <w:ind w:left="-15"/>
        <w:jc w:val="both"/>
        <w:rPr>
          <w:sz w:val="24"/>
          <w:szCs w:val="48"/>
        </w:rPr>
      </w:pPr>
      <w:r w:rsidRPr="00520240">
        <w:rPr>
          <w:sz w:val="24"/>
          <w:szCs w:val="48"/>
        </w:rPr>
        <w:t xml:space="preserve">3.1 </w:t>
      </w:r>
      <w:r w:rsidR="008D6FC2" w:rsidRPr="00520240">
        <w:rPr>
          <w:sz w:val="24"/>
          <w:szCs w:val="48"/>
        </w:rPr>
        <w:t>Results</w:t>
      </w:r>
      <w:r w:rsidR="008D6FC2" w:rsidRPr="00520240">
        <w:rPr>
          <w:sz w:val="14"/>
          <w:szCs w:val="48"/>
        </w:rPr>
        <w:t xml:space="preserve"> </w:t>
      </w:r>
    </w:p>
    <w:p w14:paraId="107B0B54" w14:textId="3A2D00FE" w:rsidR="00A31F61" w:rsidRPr="00520240" w:rsidRDefault="00A31F61" w:rsidP="00520240">
      <w:pPr>
        <w:autoSpaceDE w:val="0"/>
        <w:autoSpaceDN w:val="0"/>
        <w:adjustRightInd w:val="0"/>
        <w:spacing w:after="0" w:line="240" w:lineRule="auto"/>
        <w:ind w:left="0" w:firstLine="0"/>
        <w:sectPr w:rsidR="00A31F61" w:rsidRPr="00520240" w:rsidSect="000C7F55">
          <w:type w:val="continuous"/>
          <w:pgSz w:w="11909" w:h="16834"/>
          <w:pgMar w:top="2026" w:right="1436" w:bottom="1638" w:left="1440" w:header="720" w:footer="720" w:gutter="0"/>
          <w:cols w:space="232"/>
        </w:sectPr>
      </w:pPr>
    </w:p>
    <w:p w14:paraId="0C6C3F99" w14:textId="77777777" w:rsidR="00520240" w:rsidRDefault="00520240" w:rsidP="00A81D8A">
      <w:pPr>
        <w:spacing w:after="160" w:line="240" w:lineRule="auto"/>
        <w:ind w:left="0" w:right="0" w:firstLine="0"/>
        <w:rPr>
          <w:b/>
          <w:bCs/>
        </w:rPr>
      </w:pPr>
    </w:p>
    <w:p w14:paraId="3B0FB662" w14:textId="29C88392" w:rsidR="00E33D13" w:rsidRPr="00520240" w:rsidRDefault="00E33D13" w:rsidP="00520240">
      <w:pPr>
        <w:spacing w:after="160" w:line="240" w:lineRule="auto"/>
        <w:ind w:right="0"/>
        <w:rPr>
          <w:b/>
          <w:bCs/>
        </w:rPr>
      </w:pPr>
      <w:r w:rsidRPr="00520240">
        <w:rPr>
          <w:b/>
          <w:bCs/>
        </w:rPr>
        <w:t>Hypothesis Testing In a way Partial (T-Test)</w:t>
      </w:r>
    </w:p>
    <w:tbl>
      <w:tblPr>
        <w:tblW w:w="0" w:type="auto"/>
        <w:tblLayout w:type="fixed"/>
        <w:tblCellMar>
          <w:left w:w="0" w:type="dxa"/>
          <w:right w:w="0" w:type="dxa"/>
        </w:tblCellMar>
        <w:tblLook w:val="04A0" w:firstRow="1" w:lastRow="0" w:firstColumn="1" w:lastColumn="0" w:noHBand="0" w:noVBand="1"/>
      </w:tblPr>
      <w:tblGrid>
        <w:gridCol w:w="221"/>
        <w:gridCol w:w="1480"/>
        <w:gridCol w:w="763"/>
        <w:gridCol w:w="1430"/>
        <w:gridCol w:w="2166"/>
        <w:gridCol w:w="691"/>
        <w:gridCol w:w="491"/>
        <w:gridCol w:w="1103"/>
        <w:gridCol w:w="681"/>
      </w:tblGrid>
      <w:tr w:rsidR="00E33D13" w:rsidRPr="00E33D13" w14:paraId="49D2B222" w14:textId="77777777">
        <w:trPr>
          <w:cantSplit/>
        </w:trPr>
        <w:tc>
          <w:tcPr>
            <w:tcW w:w="9026" w:type="dxa"/>
            <w:gridSpan w:val="9"/>
            <w:shd w:val="clear" w:color="auto" w:fill="FFFFFF"/>
            <w:vAlign w:val="center"/>
            <w:hideMark/>
          </w:tcPr>
          <w:p w14:paraId="64D4912F" w14:textId="35ECCCF8" w:rsidR="00E33D13" w:rsidRPr="00F254D9" w:rsidRDefault="00B26B8B" w:rsidP="00A31F61">
            <w:pPr>
              <w:autoSpaceDE w:val="0"/>
              <w:autoSpaceDN w:val="0"/>
              <w:adjustRightInd w:val="0"/>
              <w:spacing w:after="0" w:line="240" w:lineRule="auto"/>
              <w:ind w:left="60" w:right="60"/>
              <w:rPr>
                <w:color w:val="010205"/>
                <w:sz w:val="22"/>
              </w:rPr>
            </w:pPr>
            <w:r>
              <w:rPr>
                <w:b/>
                <w:bCs/>
                <w:color w:val="010205"/>
                <w:sz w:val="22"/>
              </w:rPr>
              <w:t xml:space="preserve">Table 1. </w:t>
            </w:r>
            <w:r w:rsidR="00E33D13" w:rsidRPr="00E33D13">
              <w:rPr>
                <w:b/>
                <w:bCs/>
                <w:color w:val="010205"/>
                <w:sz w:val="22"/>
              </w:rPr>
              <w:t xml:space="preserve">Coefficients </w:t>
            </w:r>
            <w:r w:rsidR="00E33D13" w:rsidRPr="00E33D13">
              <w:rPr>
                <w:b/>
                <w:bCs/>
                <w:color w:val="010205"/>
                <w:sz w:val="22"/>
                <w:vertAlign w:val="superscript"/>
              </w:rPr>
              <w:t>a</w:t>
            </w:r>
            <w:r w:rsidR="00F254D9">
              <w:rPr>
                <w:b/>
                <w:bCs/>
                <w:color w:val="010205"/>
                <w:sz w:val="22"/>
              </w:rPr>
              <w:t xml:space="preserve"> Result</w:t>
            </w:r>
          </w:p>
        </w:tc>
      </w:tr>
      <w:tr w:rsidR="00E33D13" w:rsidRPr="00E33D13" w14:paraId="6D2A70F0" w14:textId="77777777">
        <w:trPr>
          <w:cantSplit/>
        </w:trPr>
        <w:tc>
          <w:tcPr>
            <w:tcW w:w="1701" w:type="dxa"/>
            <w:gridSpan w:val="2"/>
            <w:vMerge w:val="restart"/>
            <w:shd w:val="clear" w:color="auto" w:fill="FFFFFF"/>
            <w:vAlign w:val="bottom"/>
            <w:hideMark/>
          </w:tcPr>
          <w:p w14:paraId="3308981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2193" w:type="dxa"/>
            <w:gridSpan w:val="2"/>
            <w:tcBorders>
              <w:top w:val="nil"/>
              <w:left w:val="nil"/>
              <w:bottom w:val="nil"/>
              <w:right w:val="single" w:sz="8" w:space="0" w:color="E0E0E0"/>
            </w:tcBorders>
            <w:shd w:val="clear" w:color="auto" w:fill="FFFFFF"/>
            <w:vAlign w:val="bottom"/>
            <w:hideMark/>
          </w:tcPr>
          <w:p w14:paraId="6BBEBC95"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Unstandardized Coefficients</w:t>
            </w:r>
          </w:p>
        </w:tc>
        <w:tc>
          <w:tcPr>
            <w:tcW w:w="2166" w:type="dxa"/>
            <w:tcBorders>
              <w:top w:val="nil"/>
              <w:left w:val="single" w:sz="8" w:space="0" w:color="E0E0E0"/>
              <w:bottom w:val="nil"/>
              <w:right w:val="single" w:sz="8" w:space="0" w:color="E0E0E0"/>
            </w:tcBorders>
            <w:shd w:val="clear" w:color="auto" w:fill="FFFFFF"/>
            <w:vAlign w:val="bottom"/>
            <w:hideMark/>
          </w:tcPr>
          <w:p w14:paraId="0F559C5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Standardized Coefficients</w:t>
            </w:r>
          </w:p>
        </w:tc>
        <w:tc>
          <w:tcPr>
            <w:tcW w:w="691" w:type="dxa"/>
            <w:vMerge w:val="restart"/>
            <w:tcBorders>
              <w:top w:val="nil"/>
              <w:left w:val="single" w:sz="8" w:space="0" w:color="E0E0E0"/>
              <w:bottom w:val="nil"/>
              <w:right w:val="single" w:sz="8" w:space="0" w:color="E0E0E0"/>
            </w:tcBorders>
            <w:shd w:val="clear" w:color="auto" w:fill="FFFFFF"/>
            <w:vAlign w:val="bottom"/>
            <w:hideMark/>
          </w:tcPr>
          <w:p w14:paraId="625C558E"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w:t>
            </w:r>
          </w:p>
        </w:tc>
        <w:tc>
          <w:tcPr>
            <w:tcW w:w="491" w:type="dxa"/>
            <w:vMerge w:val="restart"/>
            <w:tcBorders>
              <w:top w:val="nil"/>
              <w:left w:val="single" w:sz="8" w:space="0" w:color="E0E0E0"/>
              <w:bottom w:val="nil"/>
              <w:right w:val="single" w:sz="8" w:space="0" w:color="E0E0E0"/>
            </w:tcBorders>
            <w:shd w:val="clear" w:color="auto" w:fill="FFFFFF"/>
            <w:vAlign w:val="bottom"/>
            <w:hideMark/>
          </w:tcPr>
          <w:p w14:paraId="0B4B042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Sig.</w:t>
            </w:r>
          </w:p>
        </w:tc>
        <w:tc>
          <w:tcPr>
            <w:tcW w:w="1784" w:type="dxa"/>
            <w:gridSpan w:val="2"/>
            <w:tcBorders>
              <w:top w:val="nil"/>
              <w:left w:val="single" w:sz="8" w:space="0" w:color="E0E0E0"/>
              <w:bottom w:val="nil"/>
              <w:right w:val="nil"/>
            </w:tcBorders>
            <w:shd w:val="clear" w:color="auto" w:fill="FFFFFF"/>
            <w:vAlign w:val="bottom"/>
            <w:hideMark/>
          </w:tcPr>
          <w:p w14:paraId="57EAFE4B"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Collinearity Statistics</w:t>
            </w:r>
          </w:p>
        </w:tc>
      </w:tr>
      <w:tr w:rsidR="00E33D13" w:rsidRPr="00E33D13" w14:paraId="431B2F66" w14:textId="77777777">
        <w:trPr>
          <w:cantSplit/>
        </w:trPr>
        <w:tc>
          <w:tcPr>
            <w:tcW w:w="10506" w:type="dxa"/>
            <w:gridSpan w:val="2"/>
            <w:vMerge/>
            <w:vAlign w:val="center"/>
            <w:hideMark/>
          </w:tcPr>
          <w:p w14:paraId="103BA465" w14:textId="77777777" w:rsidR="00E33D13" w:rsidRPr="00E33D13" w:rsidRDefault="00E33D13" w:rsidP="00A31F61">
            <w:pPr>
              <w:spacing w:after="0" w:line="240" w:lineRule="auto"/>
              <w:rPr>
                <w:color w:val="264A60"/>
                <w:sz w:val="18"/>
                <w:szCs w:val="18"/>
                <w:lang w:eastAsia="en-US"/>
                <w14:ligatures w14:val="standardContextual"/>
              </w:rPr>
            </w:pPr>
          </w:p>
        </w:tc>
        <w:tc>
          <w:tcPr>
            <w:tcW w:w="763" w:type="dxa"/>
            <w:tcBorders>
              <w:top w:val="nil"/>
              <w:left w:val="nil"/>
              <w:bottom w:val="single" w:sz="8" w:space="0" w:color="152935"/>
              <w:right w:val="single" w:sz="8" w:space="0" w:color="E0E0E0"/>
            </w:tcBorders>
            <w:shd w:val="clear" w:color="auto" w:fill="FFFFFF"/>
            <w:vAlign w:val="bottom"/>
            <w:hideMark/>
          </w:tcPr>
          <w:p w14:paraId="5B1E7E3F"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B</w:t>
            </w:r>
          </w:p>
        </w:tc>
        <w:tc>
          <w:tcPr>
            <w:tcW w:w="1430" w:type="dxa"/>
            <w:tcBorders>
              <w:top w:val="nil"/>
              <w:left w:val="single" w:sz="8" w:space="0" w:color="E0E0E0"/>
              <w:bottom w:val="single" w:sz="8" w:space="0" w:color="152935"/>
              <w:right w:val="single" w:sz="8" w:space="0" w:color="E0E0E0"/>
            </w:tcBorders>
            <w:shd w:val="clear" w:color="auto" w:fill="FFFFFF"/>
            <w:vAlign w:val="bottom"/>
            <w:hideMark/>
          </w:tcPr>
          <w:p w14:paraId="3BDE22A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Std. Error</w:t>
            </w:r>
          </w:p>
        </w:tc>
        <w:tc>
          <w:tcPr>
            <w:tcW w:w="2166" w:type="dxa"/>
            <w:tcBorders>
              <w:top w:val="nil"/>
              <w:left w:val="single" w:sz="8" w:space="0" w:color="E0E0E0"/>
              <w:bottom w:val="single" w:sz="8" w:space="0" w:color="152935"/>
              <w:right w:val="single" w:sz="8" w:space="0" w:color="E0E0E0"/>
            </w:tcBorders>
            <w:shd w:val="clear" w:color="auto" w:fill="FFFFFF"/>
            <w:vAlign w:val="bottom"/>
            <w:hideMark/>
          </w:tcPr>
          <w:p w14:paraId="53E38255"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Beta</w:t>
            </w:r>
          </w:p>
        </w:tc>
        <w:tc>
          <w:tcPr>
            <w:tcW w:w="691" w:type="dxa"/>
            <w:vMerge/>
            <w:tcBorders>
              <w:top w:val="nil"/>
              <w:left w:val="single" w:sz="8" w:space="0" w:color="E0E0E0"/>
              <w:bottom w:val="nil"/>
              <w:right w:val="single" w:sz="8" w:space="0" w:color="E0E0E0"/>
            </w:tcBorders>
            <w:vAlign w:val="center"/>
            <w:hideMark/>
          </w:tcPr>
          <w:p w14:paraId="5A0BDCC8" w14:textId="77777777" w:rsidR="00E33D13" w:rsidRPr="00E33D13" w:rsidRDefault="00E33D13" w:rsidP="00A31F61">
            <w:pPr>
              <w:spacing w:after="0" w:line="240" w:lineRule="auto"/>
              <w:rPr>
                <w:color w:val="264A60"/>
                <w:sz w:val="18"/>
                <w:szCs w:val="18"/>
                <w:lang w:eastAsia="en-US"/>
                <w14:ligatures w14:val="standardContextual"/>
              </w:rPr>
            </w:pPr>
          </w:p>
        </w:tc>
        <w:tc>
          <w:tcPr>
            <w:tcW w:w="491" w:type="dxa"/>
            <w:vMerge/>
            <w:tcBorders>
              <w:top w:val="nil"/>
              <w:left w:val="single" w:sz="8" w:space="0" w:color="E0E0E0"/>
              <w:bottom w:val="nil"/>
              <w:right w:val="single" w:sz="8" w:space="0" w:color="E0E0E0"/>
            </w:tcBorders>
            <w:vAlign w:val="center"/>
            <w:hideMark/>
          </w:tcPr>
          <w:p w14:paraId="1421BFB2" w14:textId="77777777" w:rsidR="00E33D13" w:rsidRPr="00E33D13" w:rsidRDefault="00E33D13" w:rsidP="00A31F61">
            <w:pPr>
              <w:spacing w:after="0" w:line="240" w:lineRule="auto"/>
              <w:rPr>
                <w:color w:val="264A60"/>
                <w:sz w:val="18"/>
                <w:szCs w:val="18"/>
                <w:lang w:eastAsia="en-US"/>
                <w14:ligatures w14:val="standardContextual"/>
              </w:rPr>
            </w:pPr>
          </w:p>
        </w:tc>
        <w:tc>
          <w:tcPr>
            <w:tcW w:w="1103" w:type="dxa"/>
            <w:tcBorders>
              <w:top w:val="nil"/>
              <w:left w:val="single" w:sz="8" w:space="0" w:color="E0E0E0"/>
              <w:bottom w:val="single" w:sz="8" w:space="0" w:color="152935"/>
              <w:right w:val="single" w:sz="8" w:space="0" w:color="E0E0E0"/>
            </w:tcBorders>
            <w:shd w:val="clear" w:color="auto" w:fill="FFFFFF"/>
            <w:vAlign w:val="bottom"/>
            <w:hideMark/>
          </w:tcPr>
          <w:p w14:paraId="6DC3DDB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Tolerance</w:t>
            </w:r>
          </w:p>
        </w:tc>
        <w:tc>
          <w:tcPr>
            <w:tcW w:w="681" w:type="dxa"/>
            <w:tcBorders>
              <w:top w:val="nil"/>
              <w:left w:val="single" w:sz="8" w:space="0" w:color="E0E0E0"/>
              <w:bottom w:val="single" w:sz="8" w:space="0" w:color="152935"/>
              <w:right w:val="nil"/>
            </w:tcBorders>
            <w:shd w:val="clear" w:color="auto" w:fill="FFFFFF"/>
            <w:vAlign w:val="bottom"/>
            <w:hideMark/>
          </w:tcPr>
          <w:p w14:paraId="0E1E7FD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VIF</w:t>
            </w:r>
          </w:p>
        </w:tc>
      </w:tr>
      <w:tr w:rsidR="00E33D13" w:rsidRPr="00E33D13" w14:paraId="0254CB28" w14:textId="77777777">
        <w:trPr>
          <w:cantSplit/>
        </w:trPr>
        <w:tc>
          <w:tcPr>
            <w:tcW w:w="221" w:type="dxa"/>
            <w:vMerge w:val="restart"/>
            <w:tcBorders>
              <w:top w:val="single" w:sz="8" w:space="0" w:color="152935"/>
              <w:left w:val="nil"/>
              <w:bottom w:val="single" w:sz="8" w:space="0" w:color="152935"/>
              <w:right w:val="nil"/>
            </w:tcBorders>
            <w:shd w:val="clear" w:color="auto" w:fill="E0E0E0"/>
            <w:hideMark/>
          </w:tcPr>
          <w:p w14:paraId="04F64329"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480" w:type="dxa"/>
            <w:tcBorders>
              <w:top w:val="single" w:sz="8" w:space="0" w:color="152935"/>
              <w:left w:val="nil"/>
              <w:bottom w:val="single" w:sz="8" w:space="0" w:color="AEAEAE"/>
              <w:right w:val="nil"/>
            </w:tcBorders>
            <w:shd w:val="clear" w:color="auto" w:fill="E0E0E0"/>
            <w:hideMark/>
          </w:tcPr>
          <w:p w14:paraId="767B2CF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(Constant)</w:t>
            </w:r>
          </w:p>
        </w:tc>
        <w:tc>
          <w:tcPr>
            <w:tcW w:w="763" w:type="dxa"/>
            <w:tcBorders>
              <w:top w:val="single" w:sz="8" w:space="0" w:color="152935"/>
              <w:left w:val="nil"/>
              <w:bottom w:val="single" w:sz="8" w:space="0" w:color="AEAEAE"/>
              <w:right w:val="single" w:sz="8" w:space="0" w:color="E0E0E0"/>
            </w:tcBorders>
            <w:shd w:val="clear" w:color="auto" w:fill="F9F9FB"/>
            <w:hideMark/>
          </w:tcPr>
          <w:p w14:paraId="6E792552"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4,434</w:t>
            </w:r>
          </w:p>
        </w:tc>
        <w:tc>
          <w:tcPr>
            <w:tcW w:w="1430" w:type="dxa"/>
            <w:tcBorders>
              <w:top w:val="single" w:sz="8" w:space="0" w:color="152935"/>
              <w:left w:val="single" w:sz="8" w:space="0" w:color="E0E0E0"/>
              <w:bottom w:val="single" w:sz="8" w:space="0" w:color="AEAEAE"/>
              <w:right w:val="single" w:sz="8" w:space="0" w:color="E0E0E0"/>
            </w:tcBorders>
            <w:shd w:val="clear" w:color="auto" w:fill="F9F9FB"/>
            <w:hideMark/>
          </w:tcPr>
          <w:p w14:paraId="3899A51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,130</w:t>
            </w:r>
          </w:p>
        </w:tc>
        <w:tc>
          <w:tcPr>
            <w:tcW w:w="216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796019C8" w14:textId="77777777" w:rsidR="00E33D13" w:rsidRPr="00E33D13" w:rsidRDefault="00E33D13" w:rsidP="00A31F61">
            <w:pPr>
              <w:autoSpaceDE w:val="0"/>
              <w:autoSpaceDN w:val="0"/>
              <w:adjustRightInd w:val="0"/>
              <w:spacing w:after="0" w:line="240" w:lineRule="auto"/>
              <w:rPr>
                <w:color w:val="auto"/>
                <w:sz w:val="24"/>
                <w:szCs w:val="24"/>
              </w:rPr>
            </w:pPr>
          </w:p>
        </w:tc>
        <w:tc>
          <w:tcPr>
            <w:tcW w:w="691" w:type="dxa"/>
            <w:tcBorders>
              <w:top w:val="single" w:sz="8" w:space="0" w:color="152935"/>
              <w:left w:val="single" w:sz="8" w:space="0" w:color="E0E0E0"/>
              <w:bottom w:val="single" w:sz="8" w:space="0" w:color="AEAEAE"/>
              <w:right w:val="single" w:sz="8" w:space="0" w:color="E0E0E0"/>
            </w:tcBorders>
            <w:shd w:val="clear" w:color="auto" w:fill="F9F9FB"/>
            <w:hideMark/>
          </w:tcPr>
          <w:p w14:paraId="76C9FC19"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34,178</w:t>
            </w:r>
          </w:p>
        </w:tc>
        <w:tc>
          <w:tcPr>
            <w:tcW w:w="491" w:type="dxa"/>
            <w:tcBorders>
              <w:top w:val="single" w:sz="8" w:space="0" w:color="152935"/>
              <w:left w:val="single" w:sz="8" w:space="0" w:color="E0E0E0"/>
              <w:bottom w:val="single" w:sz="8" w:space="0" w:color="AEAEAE"/>
              <w:right w:val="single" w:sz="8" w:space="0" w:color="E0E0E0"/>
            </w:tcBorders>
            <w:shd w:val="clear" w:color="auto" w:fill="F9F9FB"/>
            <w:hideMark/>
          </w:tcPr>
          <w:p w14:paraId="3DD9416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52AE9256" w14:textId="77777777" w:rsidR="00E33D13" w:rsidRPr="00E33D13" w:rsidRDefault="00E33D13" w:rsidP="00A31F61">
            <w:pPr>
              <w:autoSpaceDE w:val="0"/>
              <w:autoSpaceDN w:val="0"/>
              <w:adjustRightInd w:val="0"/>
              <w:spacing w:after="0" w:line="240" w:lineRule="auto"/>
              <w:rPr>
                <w:color w:val="auto"/>
                <w:sz w:val="24"/>
                <w:szCs w:val="24"/>
              </w:rPr>
            </w:pPr>
          </w:p>
        </w:tc>
        <w:tc>
          <w:tcPr>
            <w:tcW w:w="681" w:type="dxa"/>
            <w:tcBorders>
              <w:top w:val="single" w:sz="8" w:space="0" w:color="152935"/>
              <w:left w:val="single" w:sz="8" w:space="0" w:color="E0E0E0"/>
              <w:bottom w:val="single" w:sz="8" w:space="0" w:color="AEAEAE"/>
              <w:right w:val="nil"/>
            </w:tcBorders>
            <w:shd w:val="clear" w:color="auto" w:fill="F9F9FB"/>
            <w:vAlign w:val="center"/>
          </w:tcPr>
          <w:p w14:paraId="0E30D47F" w14:textId="77777777" w:rsidR="00E33D13" w:rsidRPr="00E33D13" w:rsidRDefault="00E33D13" w:rsidP="00A31F61">
            <w:pPr>
              <w:autoSpaceDE w:val="0"/>
              <w:autoSpaceDN w:val="0"/>
              <w:adjustRightInd w:val="0"/>
              <w:spacing w:after="0" w:line="240" w:lineRule="auto"/>
            </w:pPr>
          </w:p>
        </w:tc>
      </w:tr>
      <w:tr w:rsidR="00E33D13" w:rsidRPr="00E33D13" w14:paraId="56639793" w14:textId="77777777">
        <w:trPr>
          <w:cantSplit/>
        </w:trPr>
        <w:tc>
          <w:tcPr>
            <w:tcW w:w="9026" w:type="dxa"/>
            <w:vMerge/>
            <w:tcBorders>
              <w:top w:val="single" w:sz="8" w:space="0" w:color="152935"/>
              <w:left w:val="nil"/>
              <w:bottom w:val="single" w:sz="8" w:space="0" w:color="152935"/>
              <w:right w:val="nil"/>
            </w:tcBorders>
            <w:vAlign w:val="center"/>
            <w:hideMark/>
          </w:tcPr>
          <w:p w14:paraId="0A0267CB"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AEAEAE"/>
              <w:right w:val="nil"/>
            </w:tcBorders>
            <w:shd w:val="clear" w:color="auto" w:fill="E0E0E0"/>
            <w:hideMark/>
          </w:tcPr>
          <w:p w14:paraId="19549B4F"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X1 TATTOO</w:t>
            </w:r>
          </w:p>
        </w:tc>
        <w:tc>
          <w:tcPr>
            <w:tcW w:w="763" w:type="dxa"/>
            <w:tcBorders>
              <w:top w:val="single" w:sz="8" w:space="0" w:color="AEAEAE"/>
              <w:left w:val="nil"/>
              <w:bottom w:val="single" w:sz="8" w:space="0" w:color="AEAEAE"/>
              <w:right w:val="single" w:sz="8" w:space="0" w:color="E0E0E0"/>
            </w:tcBorders>
            <w:shd w:val="clear" w:color="auto" w:fill="F9F9FB"/>
            <w:hideMark/>
          </w:tcPr>
          <w:p w14:paraId="5DD6F7E2"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,666</w:t>
            </w:r>
          </w:p>
        </w:tc>
        <w:tc>
          <w:tcPr>
            <w:tcW w:w="1430" w:type="dxa"/>
            <w:tcBorders>
              <w:top w:val="single" w:sz="8" w:space="0" w:color="AEAEAE"/>
              <w:left w:val="single" w:sz="8" w:space="0" w:color="E0E0E0"/>
              <w:bottom w:val="single" w:sz="8" w:space="0" w:color="AEAEAE"/>
              <w:right w:val="single" w:sz="8" w:space="0" w:color="E0E0E0"/>
            </w:tcBorders>
            <w:shd w:val="clear" w:color="auto" w:fill="F9F9FB"/>
            <w:hideMark/>
          </w:tcPr>
          <w:p w14:paraId="1AF0940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,131</w:t>
            </w:r>
          </w:p>
        </w:tc>
        <w:tc>
          <w:tcPr>
            <w:tcW w:w="2166" w:type="dxa"/>
            <w:tcBorders>
              <w:top w:val="single" w:sz="8" w:space="0" w:color="AEAEAE"/>
              <w:left w:val="single" w:sz="8" w:space="0" w:color="E0E0E0"/>
              <w:bottom w:val="single" w:sz="8" w:space="0" w:color="AEAEAE"/>
              <w:right w:val="single" w:sz="8" w:space="0" w:color="E0E0E0"/>
            </w:tcBorders>
            <w:shd w:val="clear" w:color="auto" w:fill="F9F9FB"/>
            <w:hideMark/>
          </w:tcPr>
          <w:p w14:paraId="1A6B702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,371</w:t>
            </w:r>
          </w:p>
        </w:tc>
        <w:tc>
          <w:tcPr>
            <w:tcW w:w="691" w:type="dxa"/>
            <w:tcBorders>
              <w:top w:val="single" w:sz="8" w:space="0" w:color="AEAEAE"/>
              <w:left w:val="single" w:sz="8" w:space="0" w:color="E0E0E0"/>
              <w:bottom w:val="single" w:sz="8" w:space="0" w:color="AEAEAE"/>
              <w:right w:val="single" w:sz="8" w:space="0" w:color="E0E0E0"/>
            </w:tcBorders>
            <w:shd w:val="clear" w:color="auto" w:fill="F9F9FB"/>
            <w:hideMark/>
          </w:tcPr>
          <w:p w14:paraId="26BAC7C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5,076</w:t>
            </w:r>
          </w:p>
        </w:tc>
        <w:tc>
          <w:tcPr>
            <w:tcW w:w="491" w:type="dxa"/>
            <w:tcBorders>
              <w:top w:val="single" w:sz="8" w:space="0" w:color="AEAEAE"/>
              <w:left w:val="single" w:sz="8" w:space="0" w:color="E0E0E0"/>
              <w:bottom w:val="single" w:sz="8" w:space="0" w:color="AEAEAE"/>
              <w:right w:val="single" w:sz="8" w:space="0" w:color="E0E0E0"/>
            </w:tcBorders>
            <w:shd w:val="clear" w:color="auto" w:fill="F9F9FB"/>
            <w:hideMark/>
          </w:tcPr>
          <w:p w14:paraId="668E48C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AEAEAE"/>
              <w:left w:val="single" w:sz="8" w:space="0" w:color="E0E0E0"/>
              <w:bottom w:val="single" w:sz="8" w:space="0" w:color="AEAEAE"/>
              <w:right w:val="single" w:sz="8" w:space="0" w:color="E0E0E0"/>
            </w:tcBorders>
            <w:shd w:val="clear" w:color="auto" w:fill="F9F9FB"/>
            <w:hideMark/>
          </w:tcPr>
          <w:p w14:paraId="7B8AB1F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,927</w:t>
            </w:r>
          </w:p>
        </w:tc>
        <w:tc>
          <w:tcPr>
            <w:tcW w:w="681" w:type="dxa"/>
            <w:tcBorders>
              <w:top w:val="single" w:sz="8" w:space="0" w:color="AEAEAE"/>
              <w:left w:val="single" w:sz="8" w:space="0" w:color="E0E0E0"/>
              <w:bottom w:val="single" w:sz="8" w:space="0" w:color="AEAEAE"/>
              <w:right w:val="nil"/>
            </w:tcBorders>
            <w:shd w:val="clear" w:color="auto" w:fill="F9F9FB"/>
            <w:hideMark/>
          </w:tcPr>
          <w:p w14:paraId="12DA2900"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1,079</w:t>
            </w:r>
          </w:p>
        </w:tc>
      </w:tr>
      <w:tr w:rsidR="00E33D13" w:rsidRPr="00E33D13" w14:paraId="3D4356BF" w14:textId="77777777">
        <w:trPr>
          <w:cantSplit/>
        </w:trPr>
        <w:tc>
          <w:tcPr>
            <w:tcW w:w="9026" w:type="dxa"/>
            <w:vMerge/>
            <w:tcBorders>
              <w:top w:val="single" w:sz="8" w:space="0" w:color="152935"/>
              <w:left w:val="nil"/>
              <w:bottom w:val="single" w:sz="8" w:space="0" w:color="152935"/>
              <w:right w:val="nil"/>
            </w:tcBorders>
            <w:vAlign w:val="center"/>
            <w:hideMark/>
          </w:tcPr>
          <w:p w14:paraId="45BAD38B"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AEAEAE"/>
              <w:right w:val="nil"/>
            </w:tcBorders>
            <w:shd w:val="clear" w:color="auto" w:fill="E0E0E0"/>
            <w:hideMark/>
          </w:tcPr>
          <w:p w14:paraId="2B525FF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X2 SGROWTH</w:t>
            </w:r>
          </w:p>
        </w:tc>
        <w:tc>
          <w:tcPr>
            <w:tcW w:w="763" w:type="dxa"/>
            <w:tcBorders>
              <w:top w:val="single" w:sz="8" w:space="0" w:color="AEAEAE"/>
              <w:left w:val="nil"/>
              <w:bottom w:val="single" w:sz="8" w:space="0" w:color="AEAEAE"/>
              <w:right w:val="single" w:sz="8" w:space="0" w:color="E0E0E0"/>
            </w:tcBorders>
            <w:shd w:val="clear" w:color="auto" w:fill="F9F9FB"/>
            <w:hideMark/>
          </w:tcPr>
          <w:p w14:paraId="1238C38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,142</w:t>
            </w:r>
          </w:p>
        </w:tc>
        <w:tc>
          <w:tcPr>
            <w:tcW w:w="1430" w:type="dxa"/>
            <w:tcBorders>
              <w:top w:val="single" w:sz="8" w:space="0" w:color="AEAEAE"/>
              <w:left w:val="single" w:sz="8" w:space="0" w:color="E0E0E0"/>
              <w:bottom w:val="single" w:sz="8" w:space="0" w:color="AEAEAE"/>
              <w:right w:val="single" w:sz="8" w:space="0" w:color="E0E0E0"/>
            </w:tcBorders>
            <w:shd w:val="clear" w:color="auto" w:fill="F9F9FB"/>
            <w:hideMark/>
          </w:tcPr>
          <w:p w14:paraId="26B2C7E0"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,066</w:t>
            </w:r>
          </w:p>
        </w:tc>
        <w:tc>
          <w:tcPr>
            <w:tcW w:w="2166" w:type="dxa"/>
            <w:tcBorders>
              <w:top w:val="single" w:sz="8" w:space="0" w:color="AEAEAE"/>
              <w:left w:val="single" w:sz="8" w:space="0" w:color="E0E0E0"/>
              <w:bottom w:val="single" w:sz="8" w:space="0" w:color="AEAEAE"/>
              <w:right w:val="single" w:sz="8" w:space="0" w:color="E0E0E0"/>
            </w:tcBorders>
            <w:shd w:val="clear" w:color="auto" w:fill="F9F9FB"/>
            <w:hideMark/>
          </w:tcPr>
          <w:p w14:paraId="33AA931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,156</w:t>
            </w:r>
          </w:p>
        </w:tc>
        <w:tc>
          <w:tcPr>
            <w:tcW w:w="691" w:type="dxa"/>
            <w:tcBorders>
              <w:top w:val="single" w:sz="8" w:space="0" w:color="AEAEAE"/>
              <w:left w:val="single" w:sz="8" w:space="0" w:color="E0E0E0"/>
              <w:bottom w:val="single" w:sz="8" w:space="0" w:color="AEAEAE"/>
              <w:right w:val="single" w:sz="8" w:space="0" w:color="E0E0E0"/>
            </w:tcBorders>
            <w:shd w:val="clear" w:color="auto" w:fill="F9F9FB"/>
            <w:hideMark/>
          </w:tcPr>
          <w:p w14:paraId="31D90A4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2,160</w:t>
            </w:r>
          </w:p>
        </w:tc>
        <w:tc>
          <w:tcPr>
            <w:tcW w:w="491" w:type="dxa"/>
            <w:tcBorders>
              <w:top w:val="single" w:sz="8" w:space="0" w:color="AEAEAE"/>
              <w:left w:val="single" w:sz="8" w:space="0" w:color="E0E0E0"/>
              <w:bottom w:val="single" w:sz="8" w:space="0" w:color="AEAEAE"/>
              <w:right w:val="single" w:sz="8" w:space="0" w:color="E0E0E0"/>
            </w:tcBorders>
            <w:shd w:val="clear" w:color="auto" w:fill="F9F9FB"/>
            <w:hideMark/>
          </w:tcPr>
          <w:p w14:paraId="6E6D3A5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,033</w:t>
            </w:r>
          </w:p>
        </w:tc>
        <w:tc>
          <w:tcPr>
            <w:tcW w:w="1103" w:type="dxa"/>
            <w:tcBorders>
              <w:top w:val="single" w:sz="8" w:space="0" w:color="AEAEAE"/>
              <w:left w:val="single" w:sz="8" w:space="0" w:color="E0E0E0"/>
              <w:bottom w:val="single" w:sz="8" w:space="0" w:color="AEAEAE"/>
              <w:right w:val="single" w:sz="8" w:space="0" w:color="E0E0E0"/>
            </w:tcBorders>
            <w:shd w:val="clear" w:color="auto" w:fill="F9F9FB"/>
            <w:hideMark/>
          </w:tcPr>
          <w:p w14:paraId="6F63D39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,946</w:t>
            </w:r>
          </w:p>
        </w:tc>
        <w:tc>
          <w:tcPr>
            <w:tcW w:w="681" w:type="dxa"/>
            <w:tcBorders>
              <w:top w:val="single" w:sz="8" w:space="0" w:color="AEAEAE"/>
              <w:left w:val="single" w:sz="8" w:space="0" w:color="E0E0E0"/>
              <w:bottom w:val="single" w:sz="8" w:space="0" w:color="AEAEAE"/>
              <w:right w:val="nil"/>
            </w:tcBorders>
            <w:shd w:val="clear" w:color="auto" w:fill="F9F9FB"/>
            <w:hideMark/>
          </w:tcPr>
          <w:p w14:paraId="63B8A29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1,057</w:t>
            </w:r>
          </w:p>
        </w:tc>
      </w:tr>
      <w:tr w:rsidR="00E33D13" w:rsidRPr="00E33D13" w14:paraId="59B67DFF" w14:textId="77777777">
        <w:trPr>
          <w:cantSplit/>
        </w:trPr>
        <w:tc>
          <w:tcPr>
            <w:tcW w:w="9026" w:type="dxa"/>
            <w:vMerge/>
            <w:tcBorders>
              <w:top w:val="single" w:sz="8" w:space="0" w:color="152935"/>
              <w:left w:val="nil"/>
              <w:bottom w:val="single" w:sz="8" w:space="0" w:color="152935"/>
              <w:right w:val="nil"/>
            </w:tcBorders>
            <w:vAlign w:val="center"/>
            <w:hideMark/>
          </w:tcPr>
          <w:p w14:paraId="5B63C4F0"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152935"/>
              <w:right w:val="nil"/>
            </w:tcBorders>
            <w:shd w:val="clear" w:color="auto" w:fill="E0E0E0"/>
            <w:hideMark/>
          </w:tcPr>
          <w:p w14:paraId="1D870614"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X3 ROA</w:t>
            </w:r>
          </w:p>
        </w:tc>
        <w:tc>
          <w:tcPr>
            <w:tcW w:w="763" w:type="dxa"/>
            <w:tcBorders>
              <w:top w:val="single" w:sz="8" w:space="0" w:color="AEAEAE"/>
              <w:left w:val="nil"/>
              <w:bottom w:val="single" w:sz="8" w:space="0" w:color="152935"/>
              <w:right w:val="single" w:sz="8" w:space="0" w:color="E0E0E0"/>
            </w:tcBorders>
            <w:shd w:val="clear" w:color="auto" w:fill="F9F9FB"/>
            <w:hideMark/>
          </w:tcPr>
          <w:p w14:paraId="6000ED67"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,743</w:t>
            </w:r>
          </w:p>
        </w:tc>
        <w:tc>
          <w:tcPr>
            <w:tcW w:w="1430" w:type="dxa"/>
            <w:tcBorders>
              <w:top w:val="single" w:sz="8" w:space="0" w:color="AEAEAE"/>
              <w:left w:val="single" w:sz="8" w:space="0" w:color="E0E0E0"/>
              <w:bottom w:val="single" w:sz="8" w:space="0" w:color="152935"/>
              <w:right w:val="single" w:sz="8" w:space="0" w:color="E0E0E0"/>
            </w:tcBorders>
            <w:shd w:val="clear" w:color="auto" w:fill="F9F9FB"/>
            <w:hideMark/>
          </w:tcPr>
          <w:p w14:paraId="1EA074D7"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,158</w:t>
            </w:r>
          </w:p>
        </w:tc>
        <w:tc>
          <w:tcPr>
            <w:tcW w:w="2166" w:type="dxa"/>
            <w:tcBorders>
              <w:top w:val="single" w:sz="8" w:space="0" w:color="AEAEAE"/>
              <w:left w:val="single" w:sz="8" w:space="0" w:color="E0E0E0"/>
              <w:bottom w:val="single" w:sz="8" w:space="0" w:color="152935"/>
              <w:right w:val="single" w:sz="8" w:space="0" w:color="E0E0E0"/>
            </w:tcBorders>
            <w:shd w:val="clear" w:color="auto" w:fill="F9F9FB"/>
            <w:hideMark/>
          </w:tcPr>
          <w:p w14:paraId="0CAF2F94"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,336</w:t>
            </w:r>
          </w:p>
        </w:tc>
        <w:tc>
          <w:tcPr>
            <w:tcW w:w="691" w:type="dxa"/>
            <w:tcBorders>
              <w:top w:val="single" w:sz="8" w:space="0" w:color="AEAEAE"/>
              <w:left w:val="single" w:sz="8" w:space="0" w:color="E0E0E0"/>
              <w:bottom w:val="single" w:sz="8" w:space="0" w:color="152935"/>
              <w:right w:val="single" w:sz="8" w:space="0" w:color="E0E0E0"/>
            </w:tcBorders>
            <w:shd w:val="clear" w:color="auto" w:fill="F9F9FB"/>
            <w:hideMark/>
          </w:tcPr>
          <w:p w14:paraId="37C10194"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4,699</w:t>
            </w:r>
          </w:p>
        </w:tc>
        <w:tc>
          <w:tcPr>
            <w:tcW w:w="491" w:type="dxa"/>
            <w:tcBorders>
              <w:top w:val="single" w:sz="8" w:space="0" w:color="AEAEAE"/>
              <w:left w:val="single" w:sz="8" w:space="0" w:color="E0E0E0"/>
              <w:bottom w:val="single" w:sz="8" w:space="0" w:color="152935"/>
              <w:right w:val="single" w:sz="8" w:space="0" w:color="E0E0E0"/>
            </w:tcBorders>
            <w:shd w:val="clear" w:color="auto" w:fill="F9F9FB"/>
            <w:hideMark/>
          </w:tcPr>
          <w:p w14:paraId="0266692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AEAEAE"/>
              <w:left w:val="single" w:sz="8" w:space="0" w:color="E0E0E0"/>
              <w:bottom w:val="single" w:sz="8" w:space="0" w:color="152935"/>
              <w:right w:val="single" w:sz="8" w:space="0" w:color="E0E0E0"/>
            </w:tcBorders>
            <w:shd w:val="clear" w:color="auto" w:fill="F9F9FB"/>
            <w:hideMark/>
          </w:tcPr>
          <w:p w14:paraId="2DDDB81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,970</w:t>
            </w:r>
          </w:p>
        </w:tc>
        <w:tc>
          <w:tcPr>
            <w:tcW w:w="681" w:type="dxa"/>
            <w:tcBorders>
              <w:top w:val="single" w:sz="8" w:space="0" w:color="AEAEAE"/>
              <w:left w:val="single" w:sz="8" w:space="0" w:color="E0E0E0"/>
              <w:bottom w:val="single" w:sz="8" w:space="0" w:color="152935"/>
              <w:right w:val="nil"/>
            </w:tcBorders>
            <w:shd w:val="clear" w:color="auto" w:fill="F9F9FB"/>
            <w:hideMark/>
          </w:tcPr>
          <w:p w14:paraId="2DEC34E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1,031</w:t>
            </w:r>
          </w:p>
        </w:tc>
      </w:tr>
      <w:tr w:rsidR="00E33D13" w:rsidRPr="00E33D13" w14:paraId="0331DA3B" w14:textId="77777777">
        <w:trPr>
          <w:cantSplit/>
        </w:trPr>
        <w:tc>
          <w:tcPr>
            <w:tcW w:w="9026" w:type="dxa"/>
            <w:gridSpan w:val="9"/>
            <w:shd w:val="clear" w:color="auto" w:fill="FFFFFF"/>
            <w:hideMark/>
          </w:tcPr>
          <w:p w14:paraId="490C980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Dependent Variable: Y1 LOG H. SAHAM</w:t>
            </w:r>
          </w:p>
        </w:tc>
      </w:tr>
    </w:tbl>
    <w:p w14:paraId="2A8DC30E" w14:textId="77777777" w:rsidR="00E33D13" w:rsidRPr="00E33D13" w:rsidRDefault="00E33D13" w:rsidP="00A31F61">
      <w:pPr>
        <w:pStyle w:val="ListParagraph"/>
        <w:spacing w:line="240" w:lineRule="auto"/>
        <w:ind w:left="1440"/>
        <w:rPr>
          <w:rFonts w:cs="Arial"/>
          <w:b/>
          <w:bCs/>
          <w:color w:val="auto"/>
          <w:kern w:val="2"/>
          <w:sz w:val="24"/>
          <w:szCs w:val="24"/>
          <w:lang w:eastAsia="en-US"/>
          <w14:ligatures w14:val="standardContextual"/>
        </w:rPr>
      </w:pPr>
    </w:p>
    <w:p w14:paraId="3D3AB5F7" w14:textId="77777777" w:rsidR="00A31F61" w:rsidRDefault="00A31F61" w:rsidP="00A31F61">
      <w:pPr>
        <w:pStyle w:val="ListParagraph"/>
        <w:autoSpaceDE w:val="0"/>
        <w:autoSpaceDN w:val="0"/>
        <w:adjustRightInd w:val="0"/>
        <w:spacing w:after="0" w:line="240" w:lineRule="auto"/>
        <w:ind w:left="0" w:firstLine="0"/>
        <w:rPr>
          <w:rFonts w:cs="Arial"/>
        </w:rPr>
        <w:sectPr w:rsidR="00A31F61" w:rsidSect="000C7F55">
          <w:type w:val="continuous"/>
          <w:pgSz w:w="11909" w:h="16834"/>
          <w:pgMar w:top="2026" w:right="1436" w:bottom="1638" w:left="1440" w:header="720" w:footer="720" w:gutter="0"/>
          <w:cols w:space="232"/>
        </w:sectPr>
      </w:pPr>
    </w:p>
    <w:p w14:paraId="1B80BDB7"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Variable X1 TATO shows mark coefficient regression of 0.666 with t - value of 5,076 and the level significance of 0.000. Therefore mark significance the far below </w:t>
      </w:r>
      <w:proofErr w:type="gramStart"/>
      <w:r w:rsidRPr="00E33D13">
        <w:rPr>
          <w:rFonts w:cs="Arial"/>
        </w:rPr>
        <w:t>0.05 ,</w:t>
      </w:r>
      <w:proofErr w:type="gramEnd"/>
      <w:r w:rsidRPr="00E33D13">
        <w:rPr>
          <w:rFonts w:cs="Arial"/>
        </w:rPr>
        <w:t xml:space="preserve"> then can concluded that X1 TATO has influence positive and significant against Y1 LOG H. SHARES by partial . This is indicates that improvement activity rotation asset company in a way real capable push increase in logarithm price </w:t>
      </w:r>
      <w:proofErr w:type="gramStart"/>
      <w:r w:rsidRPr="00E33D13">
        <w:rPr>
          <w:rFonts w:cs="Arial"/>
        </w:rPr>
        <w:t>share .</w:t>
      </w:r>
      <w:proofErr w:type="gramEnd"/>
    </w:p>
    <w:p w14:paraId="34FAE6DB"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The variable X2 SGROWTH has mark coefficient regression of 0.142 with t - value of 2,160 and the acquisition significance of 0.033. Considering mark significance of 0.033 more small from level real 0.05, then X2 GROWTH is proven influential positive and significant against Y1 LOG H. STOCK. Condition This reflect that growth sale company give impact real in increase mark logarithm price shares in the market.</w:t>
      </w:r>
    </w:p>
    <w:p w14:paraId="2CA3409D" w14:textId="55135EBF"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Variable X3 ROA produces mark coefficient regression of 0.743 with t - value amounting to 4,699 and the number significance of 0.000. Because the value significance of 0.000 more small of 0.05, then X3 ROA is stated own influence positive and significant against Y1 LOG H. SHARES by </w:t>
      </w:r>
      <w:proofErr w:type="gramStart"/>
      <w:r w:rsidRPr="00E33D13">
        <w:rPr>
          <w:rFonts w:cs="Arial"/>
        </w:rPr>
        <w:t>independent .</w:t>
      </w:r>
      <w:proofErr w:type="gramEnd"/>
      <w:r w:rsidRPr="00E33D13">
        <w:rPr>
          <w:rFonts w:cs="Arial"/>
        </w:rPr>
        <w:t xml:space="preserve"> This is show that effectiveness company in produce profit from assets under management become factor important that in significant increase mark logarithm price </w:t>
      </w:r>
      <w:proofErr w:type="gramStart"/>
      <w:r w:rsidRPr="00E33D13">
        <w:rPr>
          <w:rFonts w:cs="Arial"/>
        </w:rPr>
        <w:t>share .</w:t>
      </w:r>
      <w:proofErr w:type="gramEnd"/>
    </w:p>
    <w:p w14:paraId="10639283" w14:textId="77777777" w:rsidR="00A31F61" w:rsidRDefault="00A31F61" w:rsidP="00A31F61">
      <w:pPr>
        <w:pStyle w:val="ListParagraph"/>
        <w:spacing w:line="240" w:lineRule="auto"/>
        <w:ind w:left="1440"/>
        <w:rPr>
          <w:rFonts w:cs="Arial"/>
          <w:b/>
          <w:bCs/>
        </w:rPr>
        <w:sectPr w:rsidR="00A31F61" w:rsidSect="000C7F55">
          <w:type w:val="continuous"/>
          <w:pgSz w:w="11909" w:h="16834"/>
          <w:pgMar w:top="2026" w:right="1436" w:bottom="1638" w:left="1440" w:header="720" w:footer="720" w:gutter="0"/>
          <w:cols w:space="232"/>
        </w:sectPr>
      </w:pPr>
    </w:p>
    <w:p w14:paraId="0DF2914B" w14:textId="77777777" w:rsidR="00E33D13" w:rsidRPr="00E33D13" w:rsidRDefault="00E33D13" w:rsidP="00A31F61">
      <w:pPr>
        <w:pStyle w:val="ListParagraph"/>
        <w:spacing w:line="240" w:lineRule="auto"/>
        <w:ind w:left="1440"/>
        <w:rPr>
          <w:rFonts w:cs="Arial"/>
          <w:b/>
          <w:bCs/>
        </w:rPr>
      </w:pPr>
    </w:p>
    <w:p w14:paraId="2DBC9DF3" w14:textId="77777777" w:rsidR="00E33D13" w:rsidRPr="00520240" w:rsidRDefault="00E33D13" w:rsidP="00520240">
      <w:pPr>
        <w:spacing w:after="160" w:line="240" w:lineRule="auto"/>
        <w:ind w:right="0"/>
        <w:rPr>
          <w:b/>
          <w:bCs/>
        </w:rPr>
      </w:pPr>
      <w:r w:rsidRPr="00520240">
        <w:rPr>
          <w:b/>
          <w:bCs/>
        </w:rPr>
        <w:t>Hypothesis Testing In a way Simultaneous (F Test)</w:t>
      </w:r>
    </w:p>
    <w:tbl>
      <w:tblPr>
        <w:tblW w:w="8010" w:type="dxa"/>
        <w:jc w:val="center"/>
        <w:tblLayout w:type="fixed"/>
        <w:tblCellMar>
          <w:left w:w="0" w:type="dxa"/>
          <w:right w:w="0" w:type="dxa"/>
        </w:tblCellMar>
        <w:tblLook w:val="04A0" w:firstRow="1" w:lastRow="0" w:firstColumn="1" w:lastColumn="0" w:noHBand="0" w:noVBand="1"/>
      </w:tblPr>
      <w:tblGrid>
        <w:gridCol w:w="737"/>
        <w:gridCol w:w="1292"/>
        <w:gridCol w:w="1476"/>
        <w:gridCol w:w="1030"/>
        <w:gridCol w:w="1415"/>
        <w:gridCol w:w="1030"/>
        <w:gridCol w:w="1030"/>
      </w:tblGrid>
      <w:tr w:rsidR="00E33D13" w:rsidRPr="00E33D13" w14:paraId="143835CD" w14:textId="77777777">
        <w:trPr>
          <w:cantSplit/>
          <w:jc w:val="center"/>
        </w:trPr>
        <w:tc>
          <w:tcPr>
            <w:tcW w:w="8004" w:type="dxa"/>
            <w:gridSpan w:val="7"/>
            <w:shd w:val="clear" w:color="auto" w:fill="FFFFFF"/>
            <w:vAlign w:val="center"/>
            <w:hideMark/>
          </w:tcPr>
          <w:p w14:paraId="3804337E" w14:textId="6110A844" w:rsidR="00E33D13" w:rsidRPr="00F254D9" w:rsidRDefault="00B26B8B" w:rsidP="00A31F61">
            <w:pPr>
              <w:autoSpaceDE w:val="0"/>
              <w:autoSpaceDN w:val="0"/>
              <w:adjustRightInd w:val="0"/>
              <w:spacing w:after="0" w:line="240" w:lineRule="auto"/>
              <w:ind w:left="60" w:right="60"/>
              <w:rPr>
                <w:color w:val="010205"/>
                <w:sz w:val="22"/>
              </w:rPr>
            </w:pPr>
            <w:r w:rsidRPr="00B26B8B">
              <w:rPr>
                <w:b/>
                <w:bCs/>
                <w:color w:val="010205"/>
                <w:sz w:val="22"/>
              </w:rPr>
              <w:t xml:space="preserve">Table </w:t>
            </w:r>
            <w:r>
              <w:rPr>
                <w:b/>
                <w:bCs/>
                <w:color w:val="010205"/>
                <w:sz w:val="22"/>
              </w:rPr>
              <w:t xml:space="preserve">2. </w:t>
            </w:r>
            <w:r w:rsidR="00E33D13" w:rsidRPr="00E33D13">
              <w:rPr>
                <w:b/>
                <w:bCs/>
                <w:color w:val="010205"/>
                <w:sz w:val="22"/>
              </w:rPr>
              <w:t xml:space="preserve">ANOVA </w:t>
            </w:r>
            <w:proofErr w:type="gramStart"/>
            <w:r w:rsidR="00E33D13" w:rsidRPr="00E33D13">
              <w:rPr>
                <w:b/>
                <w:bCs/>
                <w:color w:val="010205"/>
                <w:sz w:val="22"/>
                <w:vertAlign w:val="superscript"/>
              </w:rPr>
              <w:t>a</w:t>
            </w:r>
            <w:r w:rsidR="00F254D9">
              <w:rPr>
                <w:b/>
                <w:bCs/>
                <w:color w:val="010205"/>
                <w:sz w:val="22"/>
              </w:rPr>
              <w:t xml:space="preserve">  Table</w:t>
            </w:r>
            <w:proofErr w:type="gramEnd"/>
          </w:p>
        </w:tc>
      </w:tr>
      <w:tr w:rsidR="00E33D13" w:rsidRPr="00E33D13" w14:paraId="2F23956F" w14:textId="77777777">
        <w:trPr>
          <w:cantSplit/>
          <w:jc w:val="center"/>
        </w:trPr>
        <w:tc>
          <w:tcPr>
            <w:tcW w:w="2028" w:type="dxa"/>
            <w:gridSpan w:val="2"/>
            <w:tcBorders>
              <w:top w:val="nil"/>
              <w:left w:val="nil"/>
              <w:bottom w:val="single" w:sz="8" w:space="0" w:color="152935"/>
              <w:right w:val="nil"/>
            </w:tcBorders>
            <w:shd w:val="clear" w:color="auto" w:fill="FFFFFF"/>
            <w:vAlign w:val="bottom"/>
            <w:hideMark/>
          </w:tcPr>
          <w:p w14:paraId="4B74C8D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hideMark/>
          </w:tcPr>
          <w:p w14:paraId="5A4907D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3EBE9DFE"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hideMark/>
          </w:tcPr>
          <w:p w14:paraId="31BFFFC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2DC43B5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hideMark/>
          </w:tcPr>
          <w:p w14:paraId="5C25BF2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Sig.</w:t>
            </w:r>
          </w:p>
        </w:tc>
      </w:tr>
      <w:tr w:rsidR="00E33D13" w:rsidRPr="00E33D13" w14:paraId="37A9EC55" w14:textId="77777777">
        <w:trPr>
          <w:cantSplit/>
          <w:jc w:val="center"/>
        </w:trPr>
        <w:tc>
          <w:tcPr>
            <w:tcW w:w="737" w:type="dxa"/>
            <w:vMerge w:val="restart"/>
            <w:tcBorders>
              <w:top w:val="single" w:sz="8" w:space="0" w:color="152935"/>
              <w:left w:val="nil"/>
              <w:bottom w:val="single" w:sz="8" w:space="0" w:color="152935"/>
              <w:right w:val="nil"/>
            </w:tcBorders>
            <w:shd w:val="clear" w:color="auto" w:fill="E0E0E0"/>
            <w:hideMark/>
          </w:tcPr>
          <w:p w14:paraId="0328A1B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291" w:type="dxa"/>
            <w:tcBorders>
              <w:top w:val="single" w:sz="8" w:space="0" w:color="152935"/>
              <w:left w:val="nil"/>
              <w:bottom w:val="single" w:sz="8" w:space="0" w:color="AEAEAE"/>
              <w:right w:val="nil"/>
            </w:tcBorders>
            <w:shd w:val="clear" w:color="auto" w:fill="E0E0E0"/>
            <w:hideMark/>
          </w:tcPr>
          <w:p w14:paraId="48D17E0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9F9FB"/>
            <w:hideMark/>
          </w:tcPr>
          <w:p w14:paraId="27DD302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63,400</w:t>
            </w:r>
          </w:p>
        </w:tc>
        <w:tc>
          <w:tcPr>
            <w:tcW w:w="1029" w:type="dxa"/>
            <w:tcBorders>
              <w:top w:val="single" w:sz="8" w:space="0" w:color="152935"/>
              <w:left w:val="single" w:sz="8" w:space="0" w:color="E0E0E0"/>
              <w:bottom w:val="single" w:sz="8" w:space="0" w:color="AEAEAE"/>
              <w:right w:val="single" w:sz="8" w:space="0" w:color="E0E0E0"/>
            </w:tcBorders>
            <w:shd w:val="clear" w:color="auto" w:fill="F9F9FB"/>
            <w:hideMark/>
          </w:tcPr>
          <w:p w14:paraId="6B8E50C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9F9FB"/>
            <w:hideMark/>
          </w:tcPr>
          <w:p w14:paraId="4DBE4DCB"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21,133</w:t>
            </w:r>
          </w:p>
        </w:tc>
        <w:tc>
          <w:tcPr>
            <w:tcW w:w="1029" w:type="dxa"/>
            <w:tcBorders>
              <w:top w:val="single" w:sz="8" w:space="0" w:color="152935"/>
              <w:left w:val="single" w:sz="8" w:space="0" w:color="E0E0E0"/>
              <w:bottom w:val="single" w:sz="8" w:space="0" w:color="AEAEAE"/>
              <w:right w:val="single" w:sz="8" w:space="0" w:color="E0E0E0"/>
            </w:tcBorders>
            <w:shd w:val="clear" w:color="auto" w:fill="F9F9FB"/>
            <w:hideMark/>
          </w:tcPr>
          <w:p w14:paraId="18BB3AB1"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23,654</w:t>
            </w:r>
          </w:p>
        </w:tc>
        <w:tc>
          <w:tcPr>
            <w:tcW w:w="1029" w:type="dxa"/>
            <w:tcBorders>
              <w:top w:val="single" w:sz="8" w:space="0" w:color="152935"/>
              <w:left w:val="single" w:sz="8" w:space="0" w:color="E0E0E0"/>
              <w:bottom w:val="single" w:sz="8" w:space="0" w:color="AEAEAE"/>
              <w:right w:val="nil"/>
            </w:tcBorders>
            <w:shd w:val="clear" w:color="auto" w:fill="F9F9FB"/>
            <w:hideMark/>
          </w:tcPr>
          <w:p w14:paraId="61C758E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 xml:space="preserve">,000 </w:t>
            </w:r>
            <w:r w:rsidRPr="00E33D13">
              <w:rPr>
                <w:color w:val="010205"/>
                <w:sz w:val="18"/>
                <w:szCs w:val="18"/>
                <w:vertAlign w:val="superscript"/>
              </w:rPr>
              <w:t>b</w:t>
            </w:r>
          </w:p>
        </w:tc>
      </w:tr>
      <w:tr w:rsidR="00E33D13" w:rsidRPr="00E33D13" w14:paraId="37BBF2C8" w14:textId="77777777">
        <w:trPr>
          <w:cantSplit/>
          <w:jc w:val="center"/>
        </w:trPr>
        <w:tc>
          <w:tcPr>
            <w:tcW w:w="8004" w:type="dxa"/>
            <w:vMerge/>
            <w:tcBorders>
              <w:top w:val="single" w:sz="8" w:space="0" w:color="152935"/>
              <w:left w:val="nil"/>
              <w:bottom w:val="single" w:sz="8" w:space="0" w:color="152935"/>
              <w:right w:val="nil"/>
            </w:tcBorders>
            <w:vAlign w:val="center"/>
            <w:hideMark/>
          </w:tcPr>
          <w:p w14:paraId="0CDC59FD" w14:textId="77777777" w:rsidR="00E33D13" w:rsidRPr="00E33D13" w:rsidRDefault="00E33D13" w:rsidP="00A31F61">
            <w:pPr>
              <w:spacing w:after="0" w:line="240" w:lineRule="auto"/>
              <w:rPr>
                <w:color w:val="264A60"/>
                <w:sz w:val="18"/>
                <w:szCs w:val="18"/>
                <w:lang w:eastAsia="en-US"/>
                <w14:ligatures w14:val="standardContextual"/>
              </w:rPr>
            </w:pPr>
          </w:p>
        </w:tc>
        <w:tc>
          <w:tcPr>
            <w:tcW w:w="1291" w:type="dxa"/>
            <w:tcBorders>
              <w:top w:val="single" w:sz="8" w:space="0" w:color="AEAEAE"/>
              <w:left w:val="nil"/>
              <w:bottom w:val="single" w:sz="8" w:space="0" w:color="AEAEAE"/>
              <w:right w:val="nil"/>
            </w:tcBorders>
            <w:shd w:val="clear" w:color="auto" w:fill="E0E0E0"/>
            <w:hideMark/>
          </w:tcPr>
          <w:p w14:paraId="7C7501F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9F9FB"/>
            <w:hideMark/>
          </w:tcPr>
          <w:p w14:paraId="2FD976B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117,042</w:t>
            </w:r>
          </w:p>
        </w:tc>
        <w:tc>
          <w:tcPr>
            <w:tcW w:w="1029" w:type="dxa"/>
            <w:tcBorders>
              <w:top w:val="single" w:sz="8" w:space="0" w:color="AEAEAE"/>
              <w:left w:val="single" w:sz="8" w:space="0" w:color="E0E0E0"/>
              <w:bottom w:val="single" w:sz="8" w:space="0" w:color="AEAEAE"/>
              <w:right w:val="single" w:sz="8" w:space="0" w:color="E0E0E0"/>
            </w:tcBorders>
            <w:shd w:val="clear" w:color="auto" w:fill="F9F9FB"/>
            <w:hideMark/>
          </w:tcPr>
          <w:p w14:paraId="44ACFD0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131</w:t>
            </w:r>
          </w:p>
        </w:tc>
        <w:tc>
          <w:tcPr>
            <w:tcW w:w="1414" w:type="dxa"/>
            <w:tcBorders>
              <w:top w:val="single" w:sz="8" w:space="0" w:color="AEAEAE"/>
              <w:left w:val="single" w:sz="8" w:space="0" w:color="E0E0E0"/>
              <w:bottom w:val="single" w:sz="8" w:space="0" w:color="AEAEAE"/>
              <w:right w:val="single" w:sz="8" w:space="0" w:color="E0E0E0"/>
            </w:tcBorders>
            <w:shd w:val="clear" w:color="auto" w:fill="F9F9FB"/>
            <w:hideMark/>
          </w:tcPr>
          <w:p w14:paraId="3B73397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,893</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E6FD70E" w14:textId="77777777" w:rsidR="00E33D13" w:rsidRPr="00E33D13" w:rsidRDefault="00E33D13" w:rsidP="00A31F61">
            <w:pPr>
              <w:autoSpaceDE w:val="0"/>
              <w:autoSpaceDN w:val="0"/>
              <w:adjustRightInd w:val="0"/>
              <w:spacing w:after="0" w:line="240" w:lineRule="auto"/>
              <w:rPr>
                <w:color w:val="auto"/>
                <w:sz w:val="24"/>
                <w:szCs w:val="24"/>
              </w:rPr>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339A0B9A" w14:textId="77777777" w:rsidR="00E33D13" w:rsidRPr="00E33D13" w:rsidRDefault="00E33D13" w:rsidP="00A31F61">
            <w:pPr>
              <w:autoSpaceDE w:val="0"/>
              <w:autoSpaceDN w:val="0"/>
              <w:adjustRightInd w:val="0"/>
              <w:spacing w:after="0" w:line="240" w:lineRule="auto"/>
            </w:pPr>
          </w:p>
        </w:tc>
      </w:tr>
      <w:tr w:rsidR="00E33D13" w:rsidRPr="00E33D13" w14:paraId="50ED16A9" w14:textId="77777777">
        <w:trPr>
          <w:cantSplit/>
          <w:jc w:val="center"/>
        </w:trPr>
        <w:tc>
          <w:tcPr>
            <w:tcW w:w="8004" w:type="dxa"/>
            <w:vMerge/>
            <w:tcBorders>
              <w:top w:val="single" w:sz="8" w:space="0" w:color="152935"/>
              <w:left w:val="nil"/>
              <w:bottom w:val="single" w:sz="8" w:space="0" w:color="152935"/>
              <w:right w:val="nil"/>
            </w:tcBorders>
            <w:vAlign w:val="center"/>
            <w:hideMark/>
          </w:tcPr>
          <w:p w14:paraId="405DA258" w14:textId="77777777" w:rsidR="00E33D13" w:rsidRPr="00E33D13" w:rsidRDefault="00E33D13" w:rsidP="00A31F61">
            <w:pPr>
              <w:spacing w:after="0" w:line="240" w:lineRule="auto"/>
              <w:rPr>
                <w:color w:val="264A60"/>
                <w:sz w:val="18"/>
                <w:szCs w:val="18"/>
                <w:lang w:eastAsia="en-US"/>
                <w14:ligatures w14:val="standardContextual"/>
              </w:rPr>
            </w:pPr>
          </w:p>
        </w:tc>
        <w:tc>
          <w:tcPr>
            <w:tcW w:w="1291" w:type="dxa"/>
            <w:tcBorders>
              <w:top w:val="single" w:sz="8" w:space="0" w:color="AEAEAE"/>
              <w:left w:val="nil"/>
              <w:bottom w:val="single" w:sz="8" w:space="0" w:color="152935"/>
              <w:right w:val="nil"/>
            </w:tcBorders>
            <w:shd w:val="clear" w:color="auto" w:fill="E0E0E0"/>
            <w:hideMark/>
          </w:tcPr>
          <w:p w14:paraId="6329F2F1"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9F9FB"/>
            <w:hideMark/>
          </w:tcPr>
          <w:p w14:paraId="5B59F3B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180,442</w:t>
            </w:r>
          </w:p>
        </w:tc>
        <w:tc>
          <w:tcPr>
            <w:tcW w:w="1029" w:type="dxa"/>
            <w:tcBorders>
              <w:top w:val="single" w:sz="8" w:space="0" w:color="AEAEAE"/>
              <w:left w:val="single" w:sz="8" w:space="0" w:color="E0E0E0"/>
              <w:bottom w:val="single" w:sz="8" w:space="0" w:color="152935"/>
              <w:right w:val="single" w:sz="8" w:space="0" w:color="E0E0E0"/>
            </w:tcBorders>
            <w:shd w:val="clear" w:color="auto" w:fill="F9F9FB"/>
            <w:hideMark/>
          </w:tcPr>
          <w:p w14:paraId="24E8CB51"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134</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1CCAF9B" w14:textId="77777777" w:rsidR="00E33D13" w:rsidRPr="00E33D13" w:rsidRDefault="00E33D13" w:rsidP="00A31F61">
            <w:pPr>
              <w:autoSpaceDE w:val="0"/>
              <w:autoSpaceDN w:val="0"/>
              <w:adjustRightInd w:val="0"/>
              <w:spacing w:after="0" w:line="240" w:lineRule="auto"/>
              <w:rPr>
                <w:color w:val="auto"/>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479843A" w14:textId="77777777" w:rsidR="00E33D13" w:rsidRPr="00E33D13" w:rsidRDefault="00E33D13" w:rsidP="00A31F61">
            <w:pPr>
              <w:autoSpaceDE w:val="0"/>
              <w:autoSpaceDN w:val="0"/>
              <w:adjustRightInd w:val="0"/>
              <w:spacing w:after="0" w:line="240" w:lineRule="auto"/>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74D2AABD" w14:textId="77777777" w:rsidR="00E33D13" w:rsidRPr="00E33D13" w:rsidRDefault="00E33D13" w:rsidP="00A31F61">
            <w:pPr>
              <w:autoSpaceDE w:val="0"/>
              <w:autoSpaceDN w:val="0"/>
              <w:adjustRightInd w:val="0"/>
              <w:spacing w:after="0" w:line="240" w:lineRule="auto"/>
            </w:pPr>
          </w:p>
        </w:tc>
      </w:tr>
      <w:tr w:rsidR="00E33D13" w:rsidRPr="00E33D13" w14:paraId="20E0E4A4" w14:textId="77777777">
        <w:trPr>
          <w:cantSplit/>
          <w:jc w:val="center"/>
        </w:trPr>
        <w:tc>
          <w:tcPr>
            <w:tcW w:w="8004" w:type="dxa"/>
            <w:gridSpan w:val="7"/>
            <w:shd w:val="clear" w:color="auto" w:fill="FFFFFF"/>
            <w:hideMark/>
          </w:tcPr>
          <w:p w14:paraId="328B30E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Dependent Variable: Y1 LOG H. STOCK</w:t>
            </w:r>
          </w:p>
        </w:tc>
      </w:tr>
      <w:tr w:rsidR="00E33D13" w:rsidRPr="00E33D13" w14:paraId="79C7C32E" w14:textId="77777777">
        <w:trPr>
          <w:cantSplit/>
          <w:jc w:val="center"/>
        </w:trPr>
        <w:tc>
          <w:tcPr>
            <w:tcW w:w="8004" w:type="dxa"/>
            <w:gridSpan w:val="7"/>
            <w:shd w:val="clear" w:color="auto" w:fill="FFFFFF"/>
            <w:hideMark/>
          </w:tcPr>
          <w:p w14:paraId="6EB03AA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b. Predictors: (Constant), X3 ROA, X2 SGROWTH, X1 TATO</w:t>
            </w:r>
          </w:p>
        </w:tc>
      </w:tr>
    </w:tbl>
    <w:p w14:paraId="7F97AEB9" w14:textId="77777777" w:rsidR="00E33D13" w:rsidRPr="00E33D13" w:rsidRDefault="00E33D13" w:rsidP="00A31F61">
      <w:pPr>
        <w:pStyle w:val="ListParagraph"/>
        <w:autoSpaceDE w:val="0"/>
        <w:autoSpaceDN w:val="0"/>
        <w:adjustRightInd w:val="0"/>
        <w:spacing w:after="0" w:line="240" w:lineRule="auto"/>
        <w:rPr>
          <w:rFonts w:cs="Arial"/>
          <w:color w:val="auto"/>
          <w:sz w:val="24"/>
          <w:szCs w:val="24"/>
          <w:lang w:eastAsia="en-US"/>
          <w14:ligatures w14:val="standardContextual"/>
        </w:rPr>
      </w:pPr>
    </w:p>
    <w:p w14:paraId="082B4F1A" w14:textId="77777777" w:rsidR="00A31F61" w:rsidRDefault="00A31F61" w:rsidP="00A31F61">
      <w:pPr>
        <w:pStyle w:val="ListParagraph"/>
        <w:autoSpaceDE w:val="0"/>
        <w:autoSpaceDN w:val="0"/>
        <w:adjustRightInd w:val="0"/>
        <w:spacing w:after="0" w:line="240" w:lineRule="auto"/>
        <w:ind w:left="0" w:firstLine="0"/>
        <w:rPr>
          <w:rFonts w:cs="Arial"/>
        </w:rPr>
        <w:sectPr w:rsidR="00A31F61" w:rsidSect="000C7F55">
          <w:type w:val="continuous"/>
          <w:pgSz w:w="11909" w:h="16834"/>
          <w:pgMar w:top="2026" w:right="1436" w:bottom="1638" w:left="1440" w:header="720" w:footer="720" w:gutter="0"/>
          <w:cols w:space="232"/>
        </w:sectPr>
      </w:pPr>
    </w:p>
    <w:p w14:paraId="7916E883"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The F test is used For know whether there is influence in a way together from variables independent to variables </w:t>
      </w:r>
      <w:proofErr w:type="gramStart"/>
      <w:r w:rsidRPr="00E33D13">
        <w:rPr>
          <w:rFonts w:cs="Arial"/>
        </w:rPr>
        <w:t>dependent ,</w:t>
      </w:r>
      <w:proofErr w:type="gramEnd"/>
      <w:r w:rsidRPr="00E33D13">
        <w:rPr>
          <w:rFonts w:cs="Arial"/>
        </w:rPr>
        <w:t xml:space="preserve"> where the condition significance must more small from 0.05. Test results show calculated F value amounting to 23,654 with number significance of 0.000. </w:t>
      </w:r>
      <w:proofErr w:type="gramStart"/>
      <w:r w:rsidRPr="00E33D13">
        <w:rPr>
          <w:rFonts w:cs="Arial"/>
        </w:rPr>
        <w:t>Therefore</w:t>
      </w:r>
      <w:proofErr w:type="gramEnd"/>
      <w:r w:rsidRPr="00E33D13">
        <w:rPr>
          <w:rFonts w:cs="Arial"/>
        </w:rPr>
        <w:t xml:space="preserve"> mark significance of 0.000 more small of 0.05, then the regression model This declared to have passed the F test, which means variables X1 TATO, X2 SGROWTH, and X3 ROA simultaneous influential significant to variable Y1 LOG H. SHARES.</w:t>
      </w:r>
    </w:p>
    <w:p w14:paraId="00865A16" w14:textId="77777777" w:rsidR="00A31F61" w:rsidRDefault="00A31F61" w:rsidP="00A31F61">
      <w:pPr>
        <w:pStyle w:val="ListParagraph"/>
        <w:autoSpaceDE w:val="0"/>
        <w:autoSpaceDN w:val="0"/>
        <w:adjustRightInd w:val="0"/>
        <w:spacing w:after="0" w:line="240" w:lineRule="auto"/>
        <w:rPr>
          <w:rFonts w:cs="Arial"/>
        </w:rPr>
        <w:sectPr w:rsidR="00A31F61" w:rsidSect="000C7F55">
          <w:type w:val="continuous"/>
          <w:pgSz w:w="11909" w:h="16834"/>
          <w:pgMar w:top="2026" w:right="1436" w:bottom="1638" w:left="1440" w:header="720" w:footer="720" w:gutter="0"/>
          <w:cols w:space="232"/>
        </w:sectPr>
      </w:pPr>
    </w:p>
    <w:p w14:paraId="7EE2ECC9" w14:textId="77777777" w:rsidR="00E33D13" w:rsidRPr="00E33D13" w:rsidRDefault="00E33D13" w:rsidP="00A31F61">
      <w:pPr>
        <w:pStyle w:val="ListParagraph"/>
        <w:autoSpaceDE w:val="0"/>
        <w:autoSpaceDN w:val="0"/>
        <w:adjustRightInd w:val="0"/>
        <w:spacing w:after="0" w:line="240" w:lineRule="auto"/>
        <w:rPr>
          <w:rFonts w:cs="Arial"/>
        </w:rPr>
      </w:pPr>
    </w:p>
    <w:p w14:paraId="62A2DD51" w14:textId="77777777" w:rsidR="00E33D13" w:rsidRPr="00520240" w:rsidRDefault="00E33D13" w:rsidP="00520240">
      <w:pPr>
        <w:spacing w:after="160" w:line="240" w:lineRule="auto"/>
        <w:ind w:right="0"/>
        <w:rPr>
          <w:b/>
          <w:bCs/>
          <w:kern w:val="2"/>
        </w:rPr>
      </w:pPr>
      <w:proofErr w:type="spellStart"/>
      <w:r w:rsidRPr="00520240">
        <w:rPr>
          <w:b/>
          <w:bCs/>
        </w:rPr>
        <w:t>Koefisien</w:t>
      </w:r>
      <w:proofErr w:type="spellEnd"/>
      <w:r w:rsidRPr="00520240">
        <w:rPr>
          <w:b/>
          <w:bCs/>
        </w:rPr>
        <w:t xml:space="preserve"> </w:t>
      </w:r>
      <w:proofErr w:type="spellStart"/>
      <w:r w:rsidRPr="00520240">
        <w:rPr>
          <w:b/>
          <w:bCs/>
        </w:rPr>
        <w:t>Determinasi</w:t>
      </w:r>
      <w:proofErr w:type="spellEnd"/>
      <w:r w:rsidRPr="00520240">
        <w:rPr>
          <w:b/>
          <w:bCs/>
        </w:rPr>
        <w:t xml:space="preserve"> (R2)</w:t>
      </w:r>
    </w:p>
    <w:tbl>
      <w:tblPr>
        <w:tblW w:w="7350" w:type="dxa"/>
        <w:jc w:val="center"/>
        <w:tblLayout w:type="fixed"/>
        <w:tblCellMar>
          <w:left w:w="0" w:type="dxa"/>
          <w:right w:w="0" w:type="dxa"/>
        </w:tblCellMar>
        <w:tblLook w:val="04A0" w:firstRow="1" w:lastRow="0" w:firstColumn="1" w:lastColumn="0" w:noHBand="0" w:noVBand="1"/>
      </w:tblPr>
      <w:tblGrid>
        <w:gridCol w:w="800"/>
        <w:gridCol w:w="1030"/>
        <w:gridCol w:w="1092"/>
        <w:gridCol w:w="1476"/>
        <w:gridCol w:w="1476"/>
        <w:gridCol w:w="1476"/>
      </w:tblGrid>
      <w:tr w:rsidR="00E33D13" w:rsidRPr="00E33D13" w14:paraId="3FC93670" w14:textId="77777777">
        <w:trPr>
          <w:cantSplit/>
          <w:jc w:val="center"/>
        </w:trPr>
        <w:tc>
          <w:tcPr>
            <w:tcW w:w="7344" w:type="dxa"/>
            <w:gridSpan w:val="6"/>
            <w:shd w:val="clear" w:color="auto" w:fill="FFFFFF"/>
            <w:vAlign w:val="center"/>
            <w:hideMark/>
          </w:tcPr>
          <w:p w14:paraId="1D1167D6" w14:textId="1B5CA93B" w:rsidR="00E33D13" w:rsidRPr="00F254D9" w:rsidRDefault="00B26B8B" w:rsidP="00A31F61">
            <w:pPr>
              <w:autoSpaceDE w:val="0"/>
              <w:autoSpaceDN w:val="0"/>
              <w:adjustRightInd w:val="0"/>
              <w:spacing w:after="0" w:line="240" w:lineRule="auto"/>
              <w:ind w:left="60" w:right="60"/>
              <w:rPr>
                <w:color w:val="010205"/>
                <w:sz w:val="22"/>
              </w:rPr>
            </w:pPr>
            <w:r w:rsidRPr="00B26B8B">
              <w:rPr>
                <w:b/>
                <w:bCs/>
                <w:color w:val="010205"/>
                <w:sz w:val="22"/>
              </w:rPr>
              <w:t xml:space="preserve">Table </w:t>
            </w:r>
            <w:r>
              <w:rPr>
                <w:b/>
                <w:bCs/>
                <w:color w:val="010205"/>
                <w:sz w:val="22"/>
              </w:rPr>
              <w:t xml:space="preserve">3. </w:t>
            </w:r>
            <w:r w:rsidR="00E33D13" w:rsidRPr="00E33D13">
              <w:rPr>
                <w:b/>
                <w:bCs/>
                <w:color w:val="010205"/>
                <w:sz w:val="22"/>
              </w:rPr>
              <w:t xml:space="preserve">Model </w:t>
            </w:r>
            <w:proofErr w:type="spellStart"/>
            <w:r w:rsidR="00E33D13" w:rsidRPr="00E33D13">
              <w:rPr>
                <w:b/>
                <w:bCs/>
                <w:color w:val="010205"/>
                <w:sz w:val="22"/>
              </w:rPr>
              <w:t>Summary</w:t>
            </w:r>
            <w:r w:rsidR="00E33D13" w:rsidRPr="00E33D13">
              <w:rPr>
                <w:b/>
                <w:bCs/>
                <w:color w:val="010205"/>
                <w:sz w:val="22"/>
                <w:vertAlign w:val="superscript"/>
              </w:rPr>
              <w:t>b</w:t>
            </w:r>
            <w:proofErr w:type="spellEnd"/>
            <w:r w:rsidR="00F254D9">
              <w:rPr>
                <w:b/>
                <w:bCs/>
                <w:color w:val="010205"/>
                <w:sz w:val="22"/>
              </w:rPr>
              <w:t xml:space="preserve"> Result</w:t>
            </w:r>
          </w:p>
        </w:tc>
      </w:tr>
      <w:tr w:rsidR="00E33D13" w:rsidRPr="00E33D13" w14:paraId="15677A9F" w14:textId="77777777">
        <w:trPr>
          <w:cantSplit/>
          <w:jc w:val="center"/>
        </w:trPr>
        <w:tc>
          <w:tcPr>
            <w:tcW w:w="799" w:type="dxa"/>
            <w:tcBorders>
              <w:top w:val="nil"/>
              <w:left w:val="nil"/>
              <w:bottom w:val="single" w:sz="8" w:space="0" w:color="152935"/>
              <w:right w:val="nil"/>
            </w:tcBorders>
            <w:shd w:val="clear" w:color="auto" w:fill="FFFFFF"/>
            <w:vAlign w:val="bottom"/>
            <w:hideMark/>
          </w:tcPr>
          <w:p w14:paraId="253A3B49"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hideMark/>
          </w:tcPr>
          <w:p w14:paraId="460115C4"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32ACED86"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2F21080B"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213E6A16"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hideMark/>
          </w:tcPr>
          <w:p w14:paraId="72788A8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Durbin-Watson</w:t>
            </w:r>
          </w:p>
        </w:tc>
      </w:tr>
      <w:tr w:rsidR="00E33D13" w:rsidRPr="00E33D13" w14:paraId="22C6CE96" w14:textId="77777777">
        <w:trPr>
          <w:cantSplit/>
          <w:jc w:val="center"/>
        </w:trPr>
        <w:tc>
          <w:tcPr>
            <w:tcW w:w="799" w:type="dxa"/>
            <w:tcBorders>
              <w:top w:val="single" w:sz="8" w:space="0" w:color="152935"/>
              <w:left w:val="nil"/>
              <w:bottom w:val="single" w:sz="8" w:space="0" w:color="152935"/>
              <w:right w:val="nil"/>
            </w:tcBorders>
            <w:shd w:val="clear" w:color="auto" w:fill="E0E0E0"/>
            <w:hideMark/>
          </w:tcPr>
          <w:p w14:paraId="3DD7D8F0"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9F9FB"/>
            <w:hideMark/>
          </w:tcPr>
          <w:p w14:paraId="1CAA4B5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,593</w:t>
            </w:r>
            <w:r w:rsidRPr="00E33D13">
              <w:rPr>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9F9FB"/>
            <w:hideMark/>
          </w:tcPr>
          <w:p w14:paraId="4C197F3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,351</w:t>
            </w:r>
          </w:p>
        </w:tc>
        <w:tc>
          <w:tcPr>
            <w:tcW w:w="1475" w:type="dxa"/>
            <w:tcBorders>
              <w:top w:val="single" w:sz="8" w:space="0" w:color="152935"/>
              <w:left w:val="single" w:sz="8" w:space="0" w:color="E0E0E0"/>
              <w:bottom w:val="single" w:sz="8" w:space="0" w:color="152935"/>
              <w:right w:val="single" w:sz="8" w:space="0" w:color="E0E0E0"/>
            </w:tcBorders>
            <w:shd w:val="clear" w:color="auto" w:fill="F9F9FB"/>
            <w:hideMark/>
          </w:tcPr>
          <w:p w14:paraId="0931E0F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,337</w:t>
            </w:r>
          </w:p>
        </w:tc>
        <w:tc>
          <w:tcPr>
            <w:tcW w:w="1475" w:type="dxa"/>
            <w:tcBorders>
              <w:top w:val="single" w:sz="8" w:space="0" w:color="152935"/>
              <w:left w:val="single" w:sz="8" w:space="0" w:color="E0E0E0"/>
              <w:bottom w:val="single" w:sz="8" w:space="0" w:color="152935"/>
              <w:right w:val="single" w:sz="8" w:space="0" w:color="E0E0E0"/>
            </w:tcBorders>
            <w:shd w:val="clear" w:color="auto" w:fill="F9F9FB"/>
            <w:hideMark/>
          </w:tcPr>
          <w:p w14:paraId="5990D70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,9452243</w:t>
            </w:r>
          </w:p>
        </w:tc>
        <w:tc>
          <w:tcPr>
            <w:tcW w:w="1475" w:type="dxa"/>
            <w:tcBorders>
              <w:top w:val="single" w:sz="8" w:space="0" w:color="152935"/>
              <w:left w:val="single" w:sz="8" w:space="0" w:color="E0E0E0"/>
              <w:bottom w:val="single" w:sz="8" w:space="0" w:color="152935"/>
              <w:right w:val="nil"/>
            </w:tcBorders>
            <w:shd w:val="clear" w:color="auto" w:fill="F9F9FB"/>
            <w:hideMark/>
          </w:tcPr>
          <w:p w14:paraId="2495D2DB"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1,951</w:t>
            </w:r>
          </w:p>
        </w:tc>
      </w:tr>
      <w:tr w:rsidR="00E33D13" w:rsidRPr="00E33D13" w14:paraId="79D74498" w14:textId="77777777">
        <w:trPr>
          <w:cantSplit/>
          <w:jc w:val="center"/>
        </w:trPr>
        <w:tc>
          <w:tcPr>
            <w:tcW w:w="7344" w:type="dxa"/>
            <w:gridSpan w:val="6"/>
            <w:shd w:val="clear" w:color="auto" w:fill="FFFFFF"/>
            <w:hideMark/>
          </w:tcPr>
          <w:p w14:paraId="3FF01EB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Predictors: (Constant), X3 ROA, X2 SGROWTH, X1 TATO</w:t>
            </w:r>
          </w:p>
        </w:tc>
      </w:tr>
      <w:tr w:rsidR="00E33D13" w:rsidRPr="00E33D13" w14:paraId="17CAE7FC" w14:textId="77777777">
        <w:trPr>
          <w:cantSplit/>
          <w:jc w:val="center"/>
        </w:trPr>
        <w:tc>
          <w:tcPr>
            <w:tcW w:w="7344" w:type="dxa"/>
            <w:gridSpan w:val="6"/>
            <w:shd w:val="clear" w:color="auto" w:fill="FFFFFF"/>
            <w:hideMark/>
          </w:tcPr>
          <w:p w14:paraId="526F6D8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b. Dependent Variable: Y1 LOG H. SAHAM</w:t>
            </w:r>
          </w:p>
        </w:tc>
      </w:tr>
    </w:tbl>
    <w:p w14:paraId="5E326AA3" w14:textId="77777777" w:rsidR="00E33D13" w:rsidRPr="00E33D13" w:rsidRDefault="00E33D13" w:rsidP="00A31F61">
      <w:pPr>
        <w:pStyle w:val="ListParagraph"/>
        <w:autoSpaceDE w:val="0"/>
        <w:autoSpaceDN w:val="0"/>
        <w:adjustRightInd w:val="0"/>
        <w:spacing w:after="0" w:line="240" w:lineRule="auto"/>
        <w:rPr>
          <w:rFonts w:cs="Arial"/>
          <w:color w:val="auto"/>
          <w:sz w:val="24"/>
          <w:szCs w:val="24"/>
          <w:lang w:eastAsia="en-US"/>
          <w14:ligatures w14:val="standardContextual"/>
        </w:rPr>
      </w:pPr>
    </w:p>
    <w:p w14:paraId="5236C5D4" w14:textId="77777777" w:rsidR="00A31F61" w:rsidRDefault="00A31F61" w:rsidP="00A31F61">
      <w:pPr>
        <w:spacing w:line="240" w:lineRule="auto"/>
        <w:sectPr w:rsidR="00A31F61" w:rsidSect="000C7F55">
          <w:type w:val="continuous"/>
          <w:pgSz w:w="11909" w:h="16834"/>
          <w:pgMar w:top="2026" w:right="1436" w:bottom="1638" w:left="1440" w:header="720" w:footer="720" w:gutter="0"/>
          <w:cols w:space="232"/>
        </w:sectPr>
      </w:pPr>
    </w:p>
    <w:p w14:paraId="5518EB5A" w14:textId="4F31E2FA" w:rsidR="00E33D13" w:rsidRPr="00E33D13" w:rsidRDefault="00E33D13" w:rsidP="00A31F61">
      <w:pPr>
        <w:spacing w:line="240" w:lineRule="auto"/>
      </w:pPr>
      <w:r w:rsidRPr="00E33D13">
        <w:lastRenderedPageBreak/>
        <w:t xml:space="preserve">Analysis coefficient determination used For measure how much big ability variables independent in explain variations in variables </w:t>
      </w:r>
      <w:proofErr w:type="gramStart"/>
      <w:r w:rsidRPr="00E33D13">
        <w:t>dependent .</w:t>
      </w:r>
      <w:proofErr w:type="gramEnd"/>
      <w:r w:rsidRPr="00E33D13">
        <w:t xml:space="preserve"> Based on results data </w:t>
      </w:r>
      <w:proofErr w:type="gramStart"/>
      <w:r w:rsidRPr="00E33D13">
        <w:t>processing ,</w:t>
      </w:r>
      <w:proofErr w:type="gramEnd"/>
      <w:r w:rsidRPr="00E33D13">
        <w:t xml:space="preserve"> obtained The R Square value is 0.351, which indicates that variables X1 TATO, X2 SGROWTH, and X3 ROA are capable explain variation in the Y1 LOG H. SHARES variable is 35.1 percent . Meanwhile </w:t>
      </w:r>
      <w:proofErr w:type="gramStart"/>
      <w:r w:rsidRPr="00E33D13">
        <w:t>that ,</w:t>
      </w:r>
      <w:proofErr w:type="gramEnd"/>
      <w:r w:rsidRPr="00E33D13">
        <w:t xml:space="preserve"> the rest from percentage the influenced by other factors outside variables used​ in the research model This .</w:t>
      </w:r>
    </w:p>
    <w:p w14:paraId="25856640" w14:textId="77777777" w:rsidR="00A31F61" w:rsidRDefault="00A31F61" w:rsidP="00E33D13">
      <w:pPr>
        <w:spacing w:after="40" w:line="240" w:lineRule="auto"/>
        <w:ind w:left="0" w:right="0" w:firstLine="0"/>
        <w:jc w:val="left"/>
      </w:pPr>
    </w:p>
    <w:p w14:paraId="52397057" w14:textId="77777777" w:rsidR="00A81D8A" w:rsidRDefault="00A81D8A" w:rsidP="00E33D13">
      <w:pPr>
        <w:spacing w:after="40" w:line="240" w:lineRule="auto"/>
        <w:ind w:left="0" w:right="0" w:firstLine="0"/>
        <w:jc w:val="left"/>
      </w:pPr>
    </w:p>
    <w:p w14:paraId="1A50461C" w14:textId="09B079B3" w:rsidR="00A81D8A" w:rsidRDefault="00A81D8A" w:rsidP="00E33D13">
      <w:pPr>
        <w:spacing w:after="40" w:line="240" w:lineRule="auto"/>
        <w:ind w:left="0" w:right="0" w:firstLine="0"/>
        <w:jc w:val="left"/>
        <w:sectPr w:rsidR="00A81D8A" w:rsidSect="000C7F55">
          <w:type w:val="continuous"/>
          <w:pgSz w:w="11909" w:h="16834"/>
          <w:pgMar w:top="2026" w:right="1436" w:bottom="1638" w:left="1440" w:header="720" w:footer="720" w:gutter="0"/>
          <w:cols w:space="232"/>
        </w:sectPr>
      </w:pPr>
    </w:p>
    <w:p w14:paraId="6EA87E4B" w14:textId="12AC553F" w:rsidR="008D6FC2" w:rsidRDefault="008D6FC2" w:rsidP="00E33D13">
      <w:pPr>
        <w:spacing w:after="40" w:line="240" w:lineRule="auto"/>
        <w:ind w:left="0" w:right="0" w:firstLine="0"/>
        <w:jc w:val="left"/>
      </w:pPr>
    </w:p>
    <w:p w14:paraId="149E6FD3" w14:textId="77777777" w:rsidR="00A31F61" w:rsidRDefault="00A31F61" w:rsidP="00520240">
      <w:pPr>
        <w:pStyle w:val="Heading2"/>
        <w:numPr>
          <w:ilvl w:val="1"/>
          <w:numId w:val="41"/>
        </w:numPr>
        <w:ind w:left="354" w:hanging="369"/>
        <w:sectPr w:rsidR="00A31F61" w:rsidSect="000C7F55">
          <w:type w:val="continuous"/>
          <w:pgSz w:w="11909" w:h="16834"/>
          <w:pgMar w:top="2026" w:right="1436" w:bottom="1638" w:left="1440" w:header="720" w:footer="720" w:gutter="0"/>
          <w:cols w:space="232"/>
        </w:sectPr>
      </w:pPr>
    </w:p>
    <w:p w14:paraId="1D34A85A" w14:textId="05594B2B" w:rsidR="00A31F61" w:rsidRPr="000C7F55" w:rsidRDefault="00520240" w:rsidP="00520240">
      <w:pPr>
        <w:pStyle w:val="Heading2"/>
        <w:numPr>
          <w:ilvl w:val="0"/>
          <w:numId w:val="0"/>
        </w:numPr>
        <w:ind w:left="-15"/>
        <w:sectPr w:rsidR="00A31F61" w:rsidRPr="000C7F55" w:rsidSect="000C7F55">
          <w:type w:val="continuous"/>
          <w:pgSz w:w="11909" w:h="16834"/>
          <w:pgMar w:top="2026" w:right="1436" w:bottom="1638" w:left="1440" w:header="720" w:footer="720" w:gutter="0"/>
          <w:cols w:space="232"/>
        </w:sectPr>
      </w:pPr>
      <w:r>
        <w:t>3.2</w:t>
      </w:r>
      <w:r>
        <w:tab/>
      </w:r>
      <w:r w:rsidR="008D6FC2">
        <w:t>Discussion</w:t>
      </w:r>
    </w:p>
    <w:p w14:paraId="50927724" w14:textId="77777777" w:rsidR="00A31F61" w:rsidRDefault="00A31F61" w:rsidP="00520240">
      <w:pPr>
        <w:pStyle w:val="Style1"/>
        <w:spacing w:line="240" w:lineRule="auto"/>
        <w:ind w:left="0" w:firstLine="0"/>
        <w:rPr>
          <w:rFonts w:ascii="Times New Roman" w:eastAsia="Times New Roman" w:hAnsi="Times New Roman" w:cs="Times New Roman"/>
          <w:color w:val="auto"/>
        </w:rPr>
      </w:pPr>
    </w:p>
    <w:p w14:paraId="2B2748FD" w14:textId="77777777" w:rsidR="00A81D8A" w:rsidRPr="00276B26" w:rsidRDefault="00A81D8A" w:rsidP="00A81D8A">
      <w:pPr>
        <w:spacing w:after="2" w:line="240" w:lineRule="auto"/>
        <w:ind w:left="0" w:right="0" w:firstLine="0"/>
        <w:rPr>
          <w:lang w:val="id-ID"/>
        </w:rPr>
      </w:pPr>
      <w:r w:rsidRPr="00276B26">
        <w:rPr>
          <w:lang w:val="id-ID"/>
        </w:rPr>
        <w:t>The significant effect of Total Asset Turnover (TATO) on stock prices indicates that asset utilization efficiency is a critical concern for investors in the transportation subsector. This finding can be explained by the capital-intensive nature of transportation businesses, which rely heavily on fixed assets such as fleets, infrastructure, and logistics facilities. In such sectors, inefficient asset utilization directly increases operational costs and reduces the firm’s ability to generate revenue optimally. From the perspective of signaling theory, a higher TATO serves as a credible signal that management is capable of deploying assets productively to generate sales, thereby reducing information asymmetry between managers and investors. As a result, the market responds positively to firms that demonstrate superior asset efficiency, which is reflected in higher stock prices. This interpretation supports the view that, in capital-intensive industries, asset effectiveness becomes a dominant factor shaping investor valuation decisions, consistent with empirical evidence reported by Azizah (2025).</w:t>
      </w:r>
    </w:p>
    <w:p w14:paraId="1D27D6C6" w14:textId="77777777" w:rsidR="00A81D8A" w:rsidRPr="00276B26" w:rsidRDefault="00A81D8A" w:rsidP="00A81D8A">
      <w:pPr>
        <w:spacing w:after="2" w:line="240" w:lineRule="auto"/>
        <w:ind w:left="0" w:right="0" w:firstLine="0"/>
        <w:rPr>
          <w:lang w:val="id-ID"/>
        </w:rPr>
      </w:pPr>
    </w:p>
    <w:p w14:paraId="1C671AA3" w14:textId="77777777" w:rsidR="00A81D8A" w:rsidRPr="00276B26" w:rsidRDefault="00A81D8A" w:rsidP="00A81D8A">
      <w:pPr>
        <w:spacing w:after="2" w:line="240" w:lineRule="auto"/>
        <w:ind w:left="0" w:right="0" w:firstLine="0"/>
        <w:rPr>
          <w:lang w:val="id-ID"/>
        </w:rPr>
      </w:pPr>
      <w:r w:rsidRPr="00276B26">
        <w:rPr>
          <w:lang w:val="id-ID"/>
        </w:rPr>
        <w:t>The positive and significant influence of Sales Growth on stock prices suggests that revenue expansion remains an important indicator of future prospects in the transportation subsector. Sales growth reflects a firm’s ability to expand market reach, maintain demand, and adapt to changing economic conditions. According to growth opportunity theory, firms with strong sales growth are perceived as having better long-term earnings potential, which increases investor expectations of future cash flows. In the context of the transportation sector, rising sales may also signal recovery in mobility demand and logistics activity, strengthening investor confidence. However, the market does not merely respond to sales growth in isolation, but rather interprets it in conjunction with other financial fundamentals. This explains why sales growth becomes more meaningful when evaluated together with efficiency and profitability indicators. The findings reinforce prior evidence by Ansori (2022), while also highlighting that sales growth functions as a forward-looking signal that complements other financial ratios in stock price formation.</w:t>
      </w:r>
    </w:p>
    <w:p w14:paraId="3A75953D" w14:textId="77777777" w:rsidR="00A81D8A" w:rsidRPr="00276B26" w:rsidRDefault="00A81D8A" w:rsidP="00A81D8A">
      <w:pPr>
        <w:spacing w:after="2" w:line="240" w:lineRule="auto"/>
        <w:ind w:left="0" w:right="0" w:firstLine="0"/>
        <w:rPr>
          <w:lang w:val="id-ID"/>
        </w:rPr>
      </w:pPr>
    </w:p>
    <w:p w14:paraId="4BEB1D93" w14:textId="77777777" w:rsidR="00A81D8A" w:rsidRPr="00276B26" w:rsidRDefault="00A81D8A" w:rsidP="00A81D8A">
      <w:pPr>
        <w:spacing w:after="2" w:line="240" w:lineRule="auto"/>
        <w:ind w:left="0" w:right="0" w:firstLine="0"/>
        <w:rPr>
          <w:lang w:val="id-ID"/>
        </w:rPr>
      </w:pPr>
      <w:r w:rsidRPr="00276B26">
        <w:rPr>
          <w:lang w:val="id-ID"/>
        </w:rPr>
        <w:t>Return on Assets (ROA) shows a significant effect on stock prices, confirming the importance of asset-based profitability in shaping market valuation. ROA captures management’s ability to convert operational assets into net income, making it a key indicator of managerial effectiveness. From the standpoint of profitability signaling, firms with higher ROA convey stronger operational performance and superior resource management, which reduces investor uncertainty regarding future returns. In the transportation subsector, where asset maintenance and utilization costs are substantial, sustained profitability indicates that firms are not only generating revenue but also controlling costs efficiently. Consequently, the market rewards companies with higher ROA through increased stock prices. This finding aligns with valuation theory, which emphasizes profitability as a fundamental determinant of firm value, and is consistent with the results reported by Sanusi et al. (2022).</w:t>
      </w:r>
    </w:p>
    <w:p w14:paraId="15DA7722" w14:textId="77777777" w:rsidR="00A81D8A" w:rsidRPr="00276B26" w:rsidRDefault="00A81D8A" w:rsidP="00A81D8A">
      <w:pPr>
        <w:spacing w:after="2" w:line="240" w:lineRule="auto"/>
        <w:ind w:left="0" w:right="0" w:firstLine="0"/>
        <w:rPr>
          <w:lang w:val="id-ID"/>
        </w:rPr>
      </w:pPr>
    </w:p>
    <w:p w14:paraId="791907F3" w14:textId="77777777" w:rsidR="00A81D8A" w:rsidRPr="00276B26" w:rsidRDefault="00A81D8A" w:rsidP="00A81D8A">
      <w:pPr>
        <w:spacing w:after="2" w:line="240" w:lineRule="auto"/>
        <w:ind w:left="0" w:right="0" w:firstLine="0"/>
        <w:rPr>
          <w:lang w:val="id-ID"/>
        </w:rPr>
      </w:pPr>
      <w:r w:rsidRPr="00276B26">
        <w:rPr>
          <w:lang w:val="id-ID"/>
        </w:rPr>
        <w:t xml:space="preserve">The simultaneous significance of TATO, Sales Growth, and ROA demonstrates that stock prices in the transportation subsector are influenced by a comprehensive assessment of firm fundamentals rather than by a single financial indicator. Investors in the capital market tend to evaluate companies holistically, considering the interaction between asset efficiency, growth capability, and profitability in forming expectations about future performance. This integrated effect supports the fundamental analysis framework, which posits that firm value is determined by the combined strength of operational efficiency, growth prospects, and profit generation. The results imply that improvements in one dimension alone may not be sufficient to enhance market valuation unless accompanied by consistent performance across other financial aspects. These findings are consistent with empirical evidence </w:t>
      </w:r>
      <w:r w:rsidRPr="00276B26">
        <w:rPr>
          <w:lang w:val="id-ID"/>
        </w:rPr>
        <w:lastRenderedPageBreak/>
        <w:t>presented by Sumantri et al. (2022), which emphasizes the importance of combined financial ratios in explaining stock price movements on the Indonesia Stock Exchange.</w:t>
      </w:r>
    </w:p>
    <w:p w14:paraId="5052E2BF" w14:textId="77777777" w:rsidR="00A81D8A" w:rsidRPr="00276B26" w:rsidRDefault="00A81D8A" w:rsidP="00A81D8A">
      <w:pPr>
        <w:spacing w:after="2" w:line="240" w:lineRule="auto"/>
        <w:ind w:left="0" w:right="0" w:firstLine="0"/>
        <w:rPr>
          <w:lang w:val="id-ID"/>
        </w:rPr>
      </w:pPr>
    </w:p>
    <w:p w14:paraId="033790A8" w14:textId="7A2D8A16" w:rsidR="00A81D8A" w:rsidRPr="00A81D8A" w:rsidRDefault="00A81D8A" w:rsidP="00A81D8A">
      <w:pPr>
        <w:spacing w:after="2" w:line="240" w:lineRule="auto"/>
        <w:ind w:left="0" w:right="0" w:firstLine="0"/>
        <w:rPr>
          <w:lang w:val="en-US"/>
        </w:rPr>
        <w:sectPr w:rsidR="00A81D8A" w:rsidRPr="00A81D8A" w:rsidSect="000C7F55">
          <w:type w:val="continuous"/>
          <w:pgSz w:w="11909" w:h="16834"/>
          <w:pgMar w:top="2026" w:right="1436" w:bottom="1638" w:left="1440" w:header="720" w:footer="720" w:gutter="0"/>
          <w:cols w:space="232"/>
        </w:sectPr>
      </w:pPr>
      <w:r w:rsidRPr="00276B26">
        <w:rPr>
          <w:lang w:val="id-ID"/>
        </w:rPr>
        <w:t>From a managerial perspective, the results imply that transportation companies should prioritize integrated performance management strategies. Management is encouraged to optimize asset utilization, pursue sustainable revenue growth, and maintain consistent profitability to strengthen market confidence. For investors, the findings suggest that investment decisions in the transportation subsector should be based on a multidimensional evaluation of firm fundamentals rather than isolated financial ratios. Overall, this study contributes to the literature by providing a theoretically grounded explanation of how asset efficiency, growth, and profitability jointly influence stock prices in a capital-intensive and volatile sector</w:t>
      </w:r>
      <w:r>
        <w:rPr>
          <w:lang w:val="en-US"/>
        </w:rPr>
        <w:t>.</w:t>
      </w:r>
    </w:p>
    <w:p w14:paraId="30B95D23" w14:textId="77777777" w:rsidR="00A31F61" w:rsidRDefault="00A31F61" w:rsidP="00A31F61">
      <w:pPr>
        <w:spacing w:after="2" w:line="240" w:lineRule="auto"/>
        <w:ind w:left="0" w:right="0" w:firstLine="0"/>
        <w:sectPr w:rsidR="00A31F61" w:rsidSect="000C7F55">
          <w:type w:val="continuous"/>
          <w:pgSz w:w="11909" w:h="16834"/>
          <w:pgMar w:top="2026" w:right="1436" w:bottom="1638" w:left="1440" w:header="720" w:footer="720" w:gutter="0"/>
          <w:cols w:space="232"/>
        </w:sectPr>
      </w:pPr>
    </w:p>
    <w:p w14:paraId="43664D45" w14:textId="46AF1D8B" w:rsidR="00520240" w:rsidRDefault="00520240" w:rsidP="00E33D13">
      <w:pPr>
        <w:spacing w:after="2" w:line="240" w:lineRule="auto"/>
        <w:ind w:left="0" w:right="0" w:firstLine="0"/>
        <w:jc w:val="left"/>
      </w:pPr>
    </w:p>
    <w:p w14:paraId="470D304B" w14:textId="77777777" w:rsidR="00520240" w:rsidRDefault="00520240" w:rsidP="00E33D13">
      <w:pPr>
        <w:spacing w:after="2" w:line="240" w:lineRule="auto"/>
        <w:ind w:left="0" w:right="0" w:firstLine="0"/>
        <w:jc w:val="left"/>
      </w:pPr>
    </w:p>
    <w:p w14:paraId="709CA67A" w14:textId="06FA7560" w:rsidR="008D6FC2" w:rsidRDefault="00520240" w:rsidP="00520240">
      <w:pPr>
        <w:pStyle w:val="Heading1"/>
        <w:numPr>
          <w:ilvl w:val="0"/>
          <w:numId w:val="0"/>
        </w:numPr>
        <w:jc w:val="both"/>
      </w:pPr>
      <w:r>
        <w:t>4.</w:t>
      </w:r>
      <w:r>
        <w:tab/>
      </w:r>
      <w:r w:rsidR="008D6FC2">
        <w:t>CONCLUSION</w:t>
      </w:r>
    </w:p>
    <w:p w14:paraId="32DBDE3A" w14:textId="77777777" w:rsidR="00B05BF2" w:rsidRDefault="00B05BF2" w:rsidP="00520240">
      <w:pPr>
        <w:spacing w:after="0" w:line="240" w:lineRule="auto"/>
        <w:ind w:left="0" w:right="0" w:firstLine="0"/>
        <w:jc w:val="left"/>
      </w:pPr>
    </w:p>
    <w:p w14:paraId="05236D8F" w14:textId="77777777" w:rsidR="00A81D8A" w:rsidRPr="00276B26" w:rsidRDefault="00A81D8A" w:rsidP="00A81D8A">
      <w:pPr>
        <w:spacing w:after="78" w:line="240" w:lineRule="auto"/>
        <w:ind w:left="0" w:right="0" w:firstLine="0"/>
        <w:rPr>
          <w:lang w:val="id-ID"/>
        </w:rPr>
      </w:pPr>
      <w:r w:rsidRPr="00276B26">
        <w:rPr>
          <w:lang w:val="id-ID"/>
        </w:rPr>
        <w:t>This study provides empirical evidence that asset utilization efficiency, sales growth, and asset-based profitability play a significant role in explaining stock price movements of transportation subsector companies listed on the Indonesia Stock Exchange. The findings demonstrate that stock prices are not shaped by a single financial indicator, but rather by an integrated assessment of firm fundamentals, particularly in capital-intensive sectors such as transportation. Among the examined variables, Total Asset Turnover and Return on Assets emerge as dominant drivers of market valuation, highlighting the importance of efficient asset management and sustained profitability in influencing investor perceptions.</w:t>
      </w:r>
    </w:p>
    <w:p w14:paraId="3B2EAAEA" w14:textId="77777777" w:rsidR="00A81D8A" w:rsidRPr="00276B26" w:rsidRDefault="00A81D8A" w:rsidP="00A81D8A">
      <w:pPr>
        <w:spacing w:after="78" w:line="240" w:lineRule="auto"/>
        <w:ind w:left="0" w:right="0" w:firstLine="0"/>
        <w:rPr>
          <w:lang w:val="id-ID"/>
        </w:rPr>
      </w:pPr>
    </w:p>
    <w:p w14:paraId="085FB40B" w14:textId="77777777" w:rsidR="00A81D8A" w:rsidRPr="00276B26" w:rsidRDefault="00A81D8A" w:rsidP="00A81D8A">
      <w:pPr>
        <w:spacing w:after="78" w:line="240" w:lineRule="auto"/>
        <w:ind w:left="0" w:right="0" w:firstLine="0"/>
        <w:rPr>
          <w:lang w:val="id-ID"/>
        </w:rPr>
      </w:pPr>
      <w:r w:rsidRPr="00276B26">
        <w:rPr>
          <w:lang w:val="id-ID"/>
        </w:rPr>
        <w:t>From a theoretical perspective, this study contributes to the capital market and financial performance literature by addressing inconsistencies in prior empirical findings. By examining asset efficiency, growth, and profitability simultaneously within a unified framework, the results support signaling theory and fundamental valuation theory, which emphasize that financial ratios convey critical information that reduces information asymmetry between managers and investors. The findings confirm that in capital-intensive industries, efficiency in asset utilization and the ability to generate profits from those assets serve as strong signals that are rewarded by the market through higher stock prices.</w:t>
      </w:r>
    </w:p>
    <w:p w14:paraId="5A8AC616" w14:textId="77777777" w:rsidR="00A81D8A" w:rsidRPr="00276B26" w:rsidRDefault="00A81D8A" w:rsidP="00A81D8A">
      <w:pPr>
        <w:spacing w:after="78" w:line="240" w:lineRule="auto"/>
        <w:ind w:left="0" w:right="0" w:firstLine="0"/>
        <w:rPr>
          <w:lang w:val="id-ID"/>
        </w:rPr>
      </w:pPr>
    </w:p>
    <w:p w14:paraId="18DE2DC2" w14:textId="77777777" w:rsidR="00A81D8A" w:rsidRPr="00276B26" w:rsidRDefault="00A81D8A" w:rsidP="00A81D8A">
      <w:pPr>
        <w:spacing w:after="78" w:line="240" w:lineRule="auto"/>
        <w:ind w:left="0" w:right="0" w:firstLine="0"/>
        <w:rPr>
          <w:lang w:val="id-ID"/>
        </w:rPr>
      </w:pPr>
      <w:r w:rsidRPr="00276B26">
        <w:rPr>
          <w:lang w:val="id-ID"/>
        </w:rPr>
        <w:t>Practically, the results carry important implications for corporate management and investors. For managers of transportation companies, the findings suggest that improving market value requires an integrated performance strategy that prioritizes efficient asset utilization, sustainable sales growth, and consistent profitability rather than focusing on a single financial metric. Strategic decisions related to asset investment, capacity utilization, and operational efficiency should therefore be aligned with profitability objectives to enhance firm value. For investors, the study highlights the importance of conducting comprehensive fundamental analysis when evaluating transportation stocks, as stock price movements are influenced by the combined performance of efficiency, growth, and profitability indicators.</w:t>
      </w:r>
    </w:p>
    <w:p w14:paraId="1E8E374E" w14:textId="77777777" w:rsidR="00A81D8A" w:rsidRPr="00276B26" w:rsidRDefault="00A81D8A" w:rsidP="00A81D8A">
      <w:pPr>
        <w:spacing w:after="78" w:line="240" w:lineRule="auto"/>
        <w:ind w:left="0" w:right="0" w:firstLine="0"/>
        <w:rPr>
          <w:lang w:val="id-ID"/>
        </w:rPr>
      </w:pPr>
    </w:p>
    <w:p w14:paraId="50EC7E48" w14:textId="77777777" w:rsidR="00A81D8A" w:rsidRPr="00276B26" w:rsidRDefault="00A81D8A" w:rsidP="00A81D8A">
      <w:pPr>
        <w:spacing w:after="78" w:line="240" w:lineRule="auto"/>
        <w:ind w:left="0" w:right="0" w:firstLine="0"/>
        <w:rPr>
          <w:lang w:val="id-ID"/>
        </w:rPr>
      </w:pPr>
      <w:r w:rsidRPr="00276B26">
        <w:rPr>
          <w:lang w:val="id-ID"/>
        </w:rPr>
        <w:t>Despite its contributions, this study has several limitations. First, the analysis is limited to transportation subsector companies listed on the Indonesia Stock Exchange over the 2020–2024 period, which may restrict the generalizability of the findings to other sectors or time periods. Second, the study focuses solely on internal financial ratios and does not incorporate external macroeconomic factors, such as interest rates, fuel prices, or regulatory changes, which may also influence stock prices.</w:t>
      </w:r>
    </w:p>
    <w:p w14:paraId="1BB56CEC" w14:textId="77777777" w:rsidR="00A81D8A" w:rsidRPr="00276B26" w:rsidRDefault="00A81D8A" w:rsidP="00A81D8A">
      <w:pPr>
        <w:spacing w:after="78" w:line="240" w:lineRule="auto"/>
        <w:ind w:left="0" w:right="0" w:firstLine="0"/>
        <w:rPr>
          <w:lang w:val="id-ID"/>
        </w:rPr>
      </w:pPr>
    </w:p>
    <w:p w14:paraId="1A204844" w14:textId="77777777" w:rsidR="00A81D8A" w:rsidRPr="005013EB" w:rsidRDefault="00A81D8A" w:rsidP="00A81D8A">
      <w:pPr>
        <w:spacing w:after="78" w:line="240" w:lineRule="auto"/>
        <w:ind w:left="0" w:right="0" w:firstLine="0"/>
        <w:rPr>
          <w:lang w:val="id-ID"/>
        </w:rPr>
      </w:pPr>
      <w:r w:rsidRPr="00276B26">
        <w:rPr>
          <w:lang w:val="id-ID"/>
        </w:rPr>
        <w:t>Future research is therefore encouraged to extend the analysis by incorporating additional explanatory variables, including macroeconomic indicators and corporate governance factors, as well as by expanding the sample to other sectors or cross-country settings. Moreover, the use of alternative performance measures or dynamic panel models could provide deeper insights into the long-term relationship between firm fundamentals and stock price behavior.</w:t>
      </w:r>
    </w:p>
    <w:p w14:paraId="100C8B95" w14:textId="77777777" w:rsidR="00A81D8A" w:rsidRDefault="00A81D8A" w:rsidP="00520240">
      <w:pPr>
        <w:spacing w:after="0" w:line="240" w:lineRule="auto"/>
        <w:ind w:left="0" w:right="0" w:firstLine="0"/>
        <w:jc w:val="left"/>
      </w:pPr>
    </w:p>
    <w:p w14:paraId="5C04015C" w14:textId="66F64045" w:rsidR="00A81D8A" w:rsidRPr="00520240" w:rsidRDefault="00A81D8A" w:rsidP="00520240">
      <w:pPr>
        <w:spacing w:after="0" w:line="240" w:lineRule="auto"/>
        <w:ind w:left="0" w:right="0" w:firstLine="0"/>
        <w:jc w:val="left"/>
        <w:sectPr w:rsidR="00A81D8A" w:rsidRPr="00520240" w:rsidSect="000C7F55">
          <w:type w:val="continuous"/>
          <w:pgSz w:w="11909" w:h="16834"/>
          <w:pgMar w:top="2026" w:right="1436" w:bottom="1638" w:left="1440" w:header="720" w:footer="720" w:gutter="0"/>
          <w:cols w:space="232"/>
        </w:sectPr>
      </w:pPr>
    </w:p>
    <w:p w14:paraId="782F7668" w14:textId="77777777" w:rsidR="00396D05" w:rsidRPr="00F254D9" w:rsidRDefault="00396D05" w:rsidP="00F254D9">
      <w:pPr>
        <w:rPr>
          <w:b/>
          <w:highlight w:val="yellow"/>
        </w:rPr>
      </w:pPr>
      <w:r w:rsidRPr="00F254D9">
        <w:rPr>
          <w:b/>
          <w:highlight w:val="yellow"/>
        </w:rPr>
        <w:t>Disclaimer (Artificial intelligence)</w:t>
      </w:r>
    </w:p>
    <w:p w14:paraId="4FDE5CE8" w14:textId="77777777" w:rsidR="00396D05" w:rsidRPr="00F254D9" w:rsidRDefault="00396D05" w:rsidP="00F254D9">
      <w:pPr>
        <w:rPr>
          <w:highlight w:val="yellow"/>
        </w:rPr>
      </w:pPr>
      <w:r w:rsidRPr="00F254D9">
        <w:rPr>
          <w:highlight w:val="yellow"/>
        </w:rPr>
        <w:t>Author(s) hereby declare that NO generative AI technologies such as Large Language Models (</w:t>
      </w:r>
      <w:proofErr w:type="spellStart"/>
      <w:r w:rsidRPr="00F254D9">
        <w:rPr>
          <w:highlight w:val="yellow"/>
        </w:rPr>
        <w:t>ChatGPT</w:t>
      </w:r>
      <w:proofErr w:type="spellEnd"/>
      <w:r w:rsidRPr="00F254D9">
        <w:rPr>
          <w:highlight w:val="yellow"/>
        </w:rPr>
        <w:t xml:space="preserve">, COPILOT, etc.) and text-to-image generators have been used during the writing or editing of this manuscript. </w:t>
      </w:r>
    </w:p>
    <w:p w14:paraId="582D81BF" w14:textId="77777777" w:rsidR="00396D05" w:rsidRPr="00396D05" w:rsidRDefault="00396D05" w:rsidP="00396D05">
      <w:pPr>
        <w:spacing w:after="78" w:line="240" w:lineRule="auto"/>
        <w:ind w:right="0"/>
        <w:rPr>
          <w:lang w:val="id-ID"/>
        </w:rPr>
      </w:pPr>
    </w:p>
    <w:p w14:paraId="227E3451" w14:textId="77777777" w:rsidR="00B05BF2" w:rsidRDefault="00B05BF2" w:rsidP="00E33D13">
      <w:pPr>
        <w:spacing w:after="78" w:line="240" w:lineRule="auto"/>
        <w:ind w:left="0" w:right="0" w:firstLine="0"/>
        <w:jc w:val="left"/>
        <w:rPr>
          <w:sz w:val="14"/>
        </w:rPr>
      </w:pPr>
    </w:p>
    <w:p w14:paraId="31A793C1" w14:textId="77777777" w:rsidR="00DF29CD" w:rsidRDefault="00DF29CD" w:rsidP="00E33D13">
      <w:pPr>
        <w:spacing w:after="78" w:line="240" w:lineRule="auto"/>
        <w:ind w:left="0" w:right="0" w:firstLine="0"/>
        <w:jc w:val="left"/>
        <w:rPr>
          <w:sz w:val="14"/>
        </w:rPr>
      </w:pPr>
    </w:p>
    <w:p w14:paraId="20B508A8" w14:textId="77777777" w:rsidR="00DF29CD" w:rsidRDefault="00DF29CD" w:rsidP="00E33D13">
      <w:pPr>
        <w:spacing w:after="78" w:line="240" w:lineRule="auto"/>
        <w:ind w:left="0" w:right="0" w:firstLine="0"/>
        <w:jc w:val="left"/>
        <w:rPr>
          <w:sz w:val="14"/>
        </w:rPr>
        <w:sectPr w:rsidR="00DF29CD" w:rsidSect="000C7F55">
          <w:type w:val="continuous"/>
          <w:pgSz w:w="11909" w:h="16834"/>
          <w:pgMar w:top="2026" w:right="1436" w:bottom="1638" w:left="1440" w:header="720" w:footer="720" w:gutter="0"/>
          <w:cols w:space="232"/>
        </w:sectPr>
      </w:pPr>
    </w:p>
    <w:p w14:paraId="6AFD904C" w14:textId="77777777" w:rsidR="008D6FC2" w:rsidRDefault="008D6FC2" w:rsidP="00E33D13">
      <w:pPr>
        <w:spacing w:after="78" w:line="240" w:lineRule="auto"/>
        <w:ind w:left="0" w:right="0" w:firstLine="0"/>
        <w:jc w:val="left"/>
      </w:pPr>
      <w:r>
        <w:rPr>
          <w:sz w:val="14"/>
        </w:rPr>
        <w:t xml:space="preserve"> </w:t>
      </w:r>
    </w:p>
    <w:p w14:paraId="18092A1B" w14:textId="77777777" w:rsidR="008D6FC2" w:rsidRDefault="008D6FC2" w:rsidP="00520240">
      <w:pPr>
        <w:pStyle w:val="Heading1"/>
        <w:numPr>
          <w:ilvl w:val="0"/>
          <w:numId w:val="0"/>
        </w:numPr>
        <w:ind w:left="-5"/>
        <w:jc w:val="both"/>
      </w:pPr>
      <w:r>
        <w:t>REFERENCES</w:t>
      </w:r>
    </w:p>
    <w:p w14:paraId="32A10DF3" w14:textId="77777777" w:rsidR="008D6FC2" w:rsidRDefault="008D6FC2" w:rsidP="00E33D13">
      <w:pPr>
        <w:spacing w:after="0" w:line="240" w:lineRule="auto"/>
        <w:ind w:left="0" w:right="0" w:firstLine="0"/>
        <w:jc w:val="left"/>
      </w:pPr>
      <w:r>
        <w:rPr>
          <w:sz w:val="22"/>
        </w:rPr>
        <w:t xml:space="preserve"> </w:t>
      </w:r>
    </w:p>
    <w:p w14:paraId="5CC59720" w14:textId="77777777" w:rsidR="00C3797A" w:rsidRDefault="00C3797A" w:rsidP="00286975">
      <w:pPr>
        <w:pStyle w:val="Style2"/>
        <w:numPr>
          <w:ilvl w:val="0"/>
          <w:numId w:val="42"/>
        </w:numPr>
        <w:spacing w:line="240" w:lineRule="auto"/>
      </w:pPr>
      <w:r>
        <w:t>Akbar, A. (2024). The effect of total asset turnover ratio, company size, and leverage on stock returns in food and beverage companies listed on the Indonesia Stock Exchange during the 2018–2021 period. Journal of Economics, 13(2), 1253–1262.</w:t>
      </w:r>
    </w:p>
    <w:p w14:paraId="234384D0" w14:textId="77777777" w:rsidR="00C3797A" w:rsidRDefault="00C3797A" w:rsidP="00C3797A">
      <w:pPr>
        <w:pStyle w:val="Style2"/>
        <w:spacing w:line="240" w:lineRule="auto"/>
        <w:ind w:left="450" w:hanging="450"/>
      </w:pPr>
    </w:p>
    <w:p w14:paraId="704ADF66" w14:textId="77777777" w:rsidR="00C3797A" w:rsidRDefault="00C3797A" w:rsidP="00286975">
      <w:pPr>
        <w:pStyle w:val="Style2"/>
        <w:numPr>
          <w:ilvl w:val="0"/>
          <w:numId w:val="42"/>
        </w:numPr>
        <w:spacing w:line="240" w:lineRule="auto"/>
      </w:pPr>
      <w:proofErr w:type="spellStart"/>
      <w:r>
        <w:t>Ansori</w:t>
      </w:r>
      <w:proofErr w:type="spellEnd"/>
      <w:r>
        <w:t xml:space="preserve">, A. F., &amp; </w:t>
      </w:r>
      <w:proofErr w:type="spellStart"/>
      <w:r>
        <w:t>Riharjo</w:t>
      </w:r>
      <w:proofErr w:type="spellEnd"/>
      <w:r>
        <w:t>, I. B. (2022). The influence of financial ratios, sales growth, and dividend policy on stock price changes. Journal of Scientific Accounting and Finance (</w:t>
      </w:r>
      <w:proofErr w:type="spellStart"/>
      <w:r>
        <w:t>JIAKu</w:t>
      </w:r>
      <w:proofErr w:type="spellEnd"/>
      <w:r>
        <w:t>), 1(2), 142–160.</w:t>
      </w:r>
    </w:p>
    <w:p w14:paraId="036942F8" w14:textId="77777777" w:rsidR="00C3797A" w:rsidRDefault="00C3797A" w:rsidP="00C3797A">
      <w:pPr>
        <w:pStyle w:val="Style2"/>
        <w:spacing w:line="240" w:lineRule="auto"/>
        <w:ind w:left="450" w:hanging="450"/>
      </w:pPr>
    </w:p>
    <w:p w14:paraId="783AE1C2" w14:textId="77777777" w:rsidR="00C3797A" w:rsidRDefault="00C3797A" w:rsidP="00286975">
      <w:pPr>
        <w:pStyle w:val="Style2"/>
        <w:numPr>
          <w:ilvl w:val="0"/>
          <w:numId w:val="42"/>
        </w:numPr>
        <w:spacing w:line="240" w:lineRule="auto"/>
      </w:pPr>
      <w:proofErr w:type="spellStart"/>
      <w:r>
        <w:t>Arismutia</w:t>
      </w:r>
      <w:proofErr w:type="spellEnd"/>
      <w:r>
        <w:t>, S. A. (2024). The influence of total asset turnover, return on assets, and debt-to-equity ratio on stock prices in transportation and logistics companies listed on the Indonesia Stock Exchange. Journal of Accounting Inaba, 3(1), 14–28.</w:t>
      </w:r>
    </w:p>
    <w:p w14:paraId="05F3BC20" w14:textId="77777777" w:rsidR="00C3797A" w:rsidRDefault="00C3797A" w:rsidP="00C3797A">
      <w:pPr>
        <w:pStyle w:val="Style2"/>
        <w:spacing w:line="240" w:lineRule="auto"/>
        <w:ind w:left="450" w:hanging="450"/>
      </w:pPr>
    </w:p>
    <w:p w14:paraId="7284D9C9" w14:textId="77777777" w:rsidR="00C3797A" w:rsidRDefault="00C3797A" w:rsidP="00286975">
      <w:pPr>
        <w:pStyle w:val="Style2"/>
        <w:numPr>
          <w:ilvl w:val="0"/>
          <w:numId w:val="42"/>
        </w:numPr>
        <w:spacing w:line="240" w:lineRule="auto"/>
      </w:pPr>
      <w:proofErr w:type="spellStart"/>
      <w:r>
        <w:t>Azizah</w:t>
      </w:r>
      <w:proofErr w:type="spellEnd"/>
      <w:r>
        <w:t xml:space="preserve">, S. N., &amp; </w:t>
      </w:r>
      <w:proofErr w:type="spellStart"/>
      <w:r>
        <w:t>Sairin</w:t>
      </w:r>
      <w:proofErr w:type="spellEnd"/>
      <w:r>
        <w:t xml:space="preserve">, S. (2025). The effect of total asset turnover and current ratio on stock prices at PT </w:t>
      </w:r>
      <w:proofErr w:type="spellStart"/>
      <w:r>
        <w:t>Hanjaya</w:t>
      </w:r>
      <w:proofErr w:type="spellEnd"/>
      <w:r>
        <w:t xml:space="preserve"> Mandala </w:t>
      </w:r>
      <w:proofErr w:type="spellStart"/>
      <w:r>
        <w:t>Sampoerna</w:t>
      </w:r>
      <w:proofErr w:type="spellEnd"/>
      <w:r>
        <w:t xml:space="preserve"> </w:t>
      </w:r>
      <w:proofErr w:type="spellStart"/>
      <w:r>
        <w:t>Tbk</w:t>
      </w:r>
      <w:proofErr w:type="spellEnd"/>
      <w:r>
        <w:t xml:space="preserve"> during the 2014–2024 period. Journal of Intellectuals and Scholars of the Archipelago, 2(4), 5819–5827.</w:t>
      </w:r>
    </w:p>
    <w:p w14:paraId="6DA3DCC4" w14:textId="77777777" w:rsidR="00C3797A" w:rsidRDefault="00C3797A" w:rsidP="00C3797A">
      <w:pPr>
        <w:pStyle w:val="Style2"/>
        <w:spacing w:line="240" w:lineRule="auto"/>
        <w:ind w:left="450" w:hanging="450"/>
      </w:pPr>
    </w:p>
    <w:p w14:paraId="42594902" w14:textId="77777777" w:rsidR="00C3797A" w:rsidRDefault="00C3797A" w:rsidP="00286975">
      <w:pPr>
        <w:pStyle w:val="Style2"/>
        <w:numPr>
          <w:ilvl w:val="0"/>
          <w:numId w:val="42"/>
        </w:numPr>
        <w:spacing w:line="240" w:lineRule="auto"/>
      </w:pPr>
      <w:proofErr w:type="spellStart"/>
      <w:r>
        <w:t>Cahyo</w:t>
      </w:r>
      <w:proofErr w:type="spellEnd"/>
      <w:r>
        <w:t xml:space="preserve">, D. N., &amp; </w:t>
      </w:r>
      <w:proofErr w:type="spellStart"/>
      <w:r>
        <w:t>Sutiman</w:t>
      </w:r>
      <w:proofErr w:type="spellEnd"/>
      <w:r>
        <w:t xml:space="preserve">, S. (2025). The effect of sales growth and return on equity on stock prices at PT Gajah Tunggal </w:t>
      </w:r>
      <w:proofErr w:type="spellStart"/>
      <w:r>
        <w:t>Tbk</w:t>
      </w:r>
      <w:proofErr w:type="spellEnd"/>
      <w:r>
        <w:t xml:space="preserve"> during the 2015–2024 period. Journal of Intellectuals and Scholars of the Archipelago, 2(4), 5605–5614.</w:t>
      </w:r>
    </w:p>
    <w:p w14:paraId="7652AAAA" w14:textId="77777777" w:rsidR="00C3797A" w:rsidRDefault="00C3797A" w:rsidP="00C3797A">
      <w:pPr>
        <w:pStyle w:val="Style2"/>
        <w:spacing w:line="240" w:lineRule="auto"/>
        <w:ind w:left="450" w:hanging="450"/>
      </w:pPr>
    </w:p>
    <w:p w14:paraId="5C6A2CE6" w14:textId="77777777" w:rsidR="00C3797A" w:rsidRDefault="00C3797A" w:rsidP="00286975">
      <w:pPr>
        <w:pStyle w:val="Style2"/>
        <w:numPr>
          <w:ilvl w:val="0"/>
          <w:numId w:val="42"/>
        </w:numPr>
        <w:spacing w:line="240" w:lineRule="auto"/>
      </w:pPr>
      <w:r>
        <w:t>Central Statistics Agency. (2024). Indonesia’s gross domestic product: Second quarter 2024. BPS Indonesia.</w:t>
      </w:r>
    </w:p>
    <w:p w14:paraId="7049582E" w14:textId="77777777" w:rsidR="00C3797A" w:rsidRDefault="00C3797A" w:rsidP="00C3797A">
      <w:pPr>
        <w:pStyle w:val="Style2"/>
        <w:spacing w:line="240" w:lineRule="auto"/>
        <w:ind w:left="450" w:hanging="450"/>
      </w:pPr>
    </w:p>
    <w:p w14:paraId="48C8DABD" w14:textId="77777777" w:rsidR="00C3797A" w:rsidRDefault="00C3797A" w:rsidP="00286975">
      <w:pPr>
        <w:pStyle w:val="Style2"/>
        <w:numPr>
          <w:ilvl w:val="0"/>
          <w:numId w:val="42"/>
        </w:numPr>
        <w:spacing w:line="240" w:lineRule="auto"/>
      </w:pPr>
      <w:proofErr w:type="spellStart"/>
      <w:r>
        <w:t>Chairunnisa</w:t>
      </w:r>
      <w:proofErr w:type="spellEnd"/>
      <w:r>
        <w:t xml:space="preserve">, E. R., &amp; </w:t>
      </w:r>
      <w:proofErr w:type="spellStart"/>
      <w:r>
        <w:t>Rosdiana</w:t>
      </w:r>
      <w:proofErr w:type="spellEnd"/>
      <w:r>
        <w:t>, R. (2024). The effect of total asset turnover and return on assets on price to book value in the transportation sector. Journal of Fundamental Management, 4(3).</w:t>
      </w:r>
    </w:p>
    <w:p w14:paraId="5C7C7294" w14:textId="77777777" w:rsidR="00C3797A" w:rsidRDefault="00C3797A" w:rsidP="00C3797A">
      <w:pPr>
        <w:pStyle w:val="Style2"/>
        <w:spacing w:line="240" w:lineRule="auto"/>
        <w:ind w:left="450" w:hanging="450"/>
      </w:pPr>
    </w:p>
    <w:p w14:paraId="2D448384" w14:textId="77777777" w:rsidR="00C3797A" w:rsidRDefault="00C3797A" w:rsidP="00286975">
      <w:pPr>
        <w:pStyle w:val="Style2"/>
        <w:numPr>
          <w:ilvl w:val="0"/>
          <w:numId w:val="42"/>
        </w:numPr>
        <w:spacing w:line="240" w:lineRule="auto"/>
      </w:pPr>
      <w:r>
        <w:t xml:space="preserve">Lim, B., </w:t>
      </w:r>
      <w:proofErr w:type="spellStart"/>
      <w:r>
        <w:t>Sotes</w:t>
      </w:r>
      <w:proofErr w:type="spellEnd"/>
      <w:r>
        <w:t>-Paladino, J., Wang, G. J., &amp; Yao, Y. (2023). The value of growth: Changes in profitability and future stock returns. Journal of Banking &amp; Finance, 137, 107036. https://doi.org/10.1016/j.jbankfin.2022.107036</w:t>
      </w:r>
    </w:p>
    <w:p w14:paraId="38761A13" w14:textId="77777777" w:rsidR="00C3797A" w:rsidRDefault="00C3797A" w:rsidP="00C3797A">
      <w:pPr>
        <w:pStyle w:val="Style2"/>
        <w:spacing w:line="240" w:lineRule="auto"/>
        <w:ind w:left="450" w:hanging="450"/>
      </w:pPr>
    </w:p>
    <w:p w14:paraId="25D30A72" w14:textId="77777777" w:rsidR="00C3797A" w:rsidRDefault="00C3797A" w:rsidP="00286975">
      <w:pPr>
        <w:pStyle w:val="Style2"/>
        <w:numPr>
          <w:ilvl w:val="0"/>
          <w:numId w:val="42"/>
        </w:numPr>
        <w:spacing w:line="240" w:lineRule="auto"/>
      </w:pPr>
      <w:proofErr w:type="spellStart"/>
      <w:r>
        <w:t>Listiawati</w:t>
      </w:r>
      <w:proofErr w:type="spellEnd"/>
      <w:r>
        <w:t xml:space="preserve">, N. A., Rolanda, I., &amp; </w:t>
      </w:r>
      <w:proofErr w:type="spellStart"/>
      <w:r>
        <w:t>Karlina</w:t>
      </w:r>
      <w:proofErr w:type="spellEnd"/>
      <w:r>
        <w:t>, B. (2024). The effect of total asset turnover, debt-to-equity ratio, return on equity, and sales growth on price to book value: Evidence from property and real estate subsector companies listed on the Indonesia Stock Exchange. Proceedings of the International Conference on Economics, Accounting, and Taxation (ICEAT), 1(2), 123–135.</w:t>
      </w:r>
    </w:p>
    <w:p w14:paraId="2C446C17" w14:textId="77777777" w:rsidR="00C3797A" w:rsidRDefault="00C3797A" w:rsidP="00C3797A">
      <w:pPr>
        <w:pStyle w:val="Style2"/>
        <w:spacing w:line="240" w:lineRule="auto"/>
        <w:ind w:left="450" w:hanging="450"/>
      </w:pPr>
    </w:p>
    <w:p w14:paraId="57F37C6E" w14:textId="77777777" w:rsidR="00C3797A" w:rsidRDefault="00C3797A" w:rsidP="00286975">
      <w:pPr>
        <w:pStyle w:val="Style2"/>
        <w:numPr>
          <w:ilvl w:val="0"/>
          <w:numId w:val="42"/>
        </w:numPr>
        <w:spacing w:line="240" w:lineRule="auto"/>
      </w:pPr>
      <w:proofErr w:type="spellStart"/>
      <w:r>
        <w:t>Mardiana</w:t>
      </w:r>
      <w:proofErr w:type="spellEnd"/>
      <w:r>
        <w:t xml:space="preserve">, E., &amp; </w:t>
      </w:r>
      <w:proofErr w:type="spellStart"/>
      <w:r>
        <w:t>Utiyati</w:t>
      </w:r>
      <w:proofErr w:type="spellEnd"/>
      <w:r>
        <w:t xml:space="preserve">, S. (2020). The effect of return on assets, return on equity, and current ratio on stock prices. </w:t>
      </w:r>
      <w:proofErr w:type="spellStart"/>
      <w:r>
        <w:t>Jurnal</w:t>
      </w:r>
      <w:proofErr w:type="spellEnd"/>
      <w:r>
        <w:t xml:space="preserve"> </w:t>
      </w:r>
      <w:proofErr w:type="spellStart"/>
      <w:r>
        <w:t>Ilmu</w:t>
      </w:r>
      <w:proofErr w:type="spellEnd"/>
      <w:r>
        <w:t xml:space="preserve"> dan </w:t>
      </w:r>
      <w:proofErr w:type="spellStart"/>
      <w:r>
        <w:t>Riset</w:t>
      </w:r>
      <w:proofErr w:type="spellEnd"/>
      <w:r>
        <w:t xml:space="preserve"> </w:t>
      </w:r>
      <w:proofErr w:type="spellStart"/>
      <w:r>
        <w:t>Manajemen</w:t>
      </w:r>
      <w:proofErr w:type="spellEnd"/>
      <w:r>
        <w:t xml:space="preserve"> (JIRM), 9(4).</w:t>
      </w:r>
    </w:p>
    <w:p w14:paraId="32F96C24" w14:textId="77777777" w:rsidR="00C3797A" w:rsidRDefault="00C3797A" w:rsidP="00C3797A">
      <w:pPr>
        <w:pStyle w:val="Style2"/>
        <w:spacing w:line="240" w:lineRule="auto"/>
        <w:ind w:left="450" w:hanging="450"/>
      </w:pPr>
    </w:p>
    <w:p w14:paraId="25B6754D" w14:textId="77777777" w:rsidR="00C3797A" w:rsidRDefault="00C3797A" w:rsidP="00286975">
      <w:pPr>
        <w:pStyle w:val="Style2"/>
        <w:numPr>
          <w:ilvl w:val="0"/>
          <w:numId w:val="42"/>
        </w:numPr>
        <w:spacing w:line="240" w:lineRule="auto"/>
      </w:pPr>
      <w:proofErr w:type="spellStart"/>
      <w:r>
        <w:t>Patin</w:t>
      </w:r>
      <w:proofErr w:type="spellEnd"/>
      <w:r>
        <w:t>, J. C., Rahman, M., &amp; Mustafa, M. (2020). Impact of total asset turnover ratios on equity returns: Dynamic panel data analyses. Journal of Accounting, Business and Management, 27(1), 19–29.</w:t>
      </w:r>
    </w:p>
    <w:p w14:paraId="63BEC4BE" w14:textId="77777777" w:rsidR="00C3797A" w:rsidRDefault="00C3797A" w:rsidP="00C3797A">
      <w:pPr>
        <w:pStyle w:val="Style2"/>
        <w:spacing w:line="240" w:lineRule="auto"/>
        <w:ind w:left="450" w:hanging="450"/>
      </w:pPr>
    </w:p>
    <w:p w14:paraId="288E8896" w14:textId="77777777" w:rsidR="00C3797A" w:rsidRDefault="00C3797A" w:rsidP="00286975">
      <w:pPr>
        <w:pStyle w:val="Style2"/>
        <w:numPr>
          <w:ilvl w:val="0"/>
          <w:numId w:val="42"/>
        </w:numPr>
        <w:spacing w:line="240" w:lineRule="auto"/>
      </w:pPr>
      <w:proofErr w:type="spellStart"/>
      <w:r>
        <w:lastRenderedPageBreak/>
        <w:t>Prastyatini</w:t>
      </w:r>
      <w:proofErr w:type="spellEnd"/>
      <w:r>
        <w:t>, S. L. Y., &amp; Resita, D. (2025). The influence of revenue growth rate and initial public offering on stock price estimation. Indonesian Interdisciplinary Journal of Sharia Economics, 8(2), 6218–6235.</w:t>
      </w:r>
    </w:p>
    <w:p w14:paraId="7F1ABAFB" w14:textId="77777777" w:rsidR="00C3797A" w:rsidRDefault="00C3797A" w:rsidP="00C3797A">
      <w:pPr>
        <w:pStyle w:val="Style2"/>
        <w:spacing w:line="240" w:lineRule="auto"/>
        <w:ind w:left="450" w:hanging="450"/>
      </w:pPr>
    </w:p>
    <w:p w14:paraId="3F841CE1" w14:textId="77777777" w:rsidR="00C3797A" w:rsidRDefault="00C3797A" w:rsidP="00286975">
      <w:pPr>
        <w:pStyle w:val="Style2"/>
        <w:numPr>
          <w:ilvl w:val="0"/>
          <w:numId w:val="42"/>
        </w:numPr>
        <w:spacing w:line="240" w:lineRule="auto"/>
      </w:pPr>
      <w:proofErr w:type="spellStart"/>
      <w:r>
        <w:t>Restuningsih</w:t>
      </w:r>
      <w:proofErr w:type="spellEnd"/>
      <w:r>
        <w:t xml:space="preserve">, J., &amp; </w:t>
      </w:r>
      <w:proofErr w:type="spellStart"/>
      <w:r>
        <w:t>Hertina</w:t>
      </w:r>
      <w:proofErr w:type="spellEnd"/>
      <w:r>
        <w:t>, D. (2024). Return on assets and stock prices: Evidence from Indonesian listed firms across industry subsectors. Proceedings of the International Conference on Economics, Accounting, and Taxation (ICEAT), 1(2), 123–135.</w:t>
      </w:r>
    </w:p>
    <w:p w14:paraId="4A54BA94" w14:textId="77777777" w:rsidR="00C3797A" w:rsidRDefault="00C3797A" w:rsidP="00C3797A">
      <w:pPr>
        <w:pStyle w:val="Style2"/>
        <w:spacing w:line="240" w:lineRule="auto"/>
        <w:ind w:left="450" w:hanging="450"/>
      </w:pPr>
    </w:p>
    <w:p w14:paraId="2F86AD9D" w14:textId="77777777" w:rsidR="00C3797A" w:rsidRDefault="00C3797A" w:rsidP="00286975">
      <w:pPr>
        <w:pStyle w:val="Style2"/>
        <w:numPr>
          <w:ilvl w:val="0"/>
          <w:numId w:val="42"/>
        </w:numPr>
        <w:spacing w:line="240" w:lineRule="auto"/>
      </w:pPr>
      <w:r>
        <w:t xml:space="preserve">Sanusi, R., </w:t>
      </w:r>
      <w:proofErr w:type="spellStart"/>
      <w:r>
        <w:t>Balafif</w:t>
      </w:r>
      <w:proofErr w:type="spellEnd"/>
      <w:r>
        <w:t>, M., &amp; Shanti, L. K. A. (2024). The effect of debt-to-equity ratio, return on assets, and total asset turnover on stock prices of commercial banks listed on the Indonesia Stock Exchange. Journal of System Information, Accounting and Management, 4(2), 215–224.</w:t>
      </w:r>
    </w:p>
    <w:p w14:paraId="5CBF1E73" w14:textId="77777777" w:rsidR="00C3797A" w:rsidRDefault="00C3797A" w:rsidP="00C3797A">
      <w:pPr>
        <w:pStyle w:val="Style2"/>
        <w:spacing w:line="240" w:lineRule="auto"/>
        <w:ind w:left="450" w:hanging="450"/>
      </w:pPr>
    </w:p>
    <w:p w14:paraId="2B000762" w14:textId="77777777" w:rsidR="00C3797A" w:rsidRDefault="00C3797A" w:rsidP="00286975">
      <w:pPr>
        <w:pStyle w:val="Style2"/>
        <w:numPr>
          <w:ilvl w:val="0"/>
          <w:numId w:val="42"/>
        </w:numPr>
        <w:spacing w:line="240" w:lineRule="auto"/>
      </w:pPr>
      <w:proofErr w:type="spellStart"/>
      <w:r>
        <w:t>Saputri</w:t>
      </w:r>
      <w:proofErr w:type="spellEnd"/>
      <w:r>
        <w:t xml:space="preserve">, F., &amp; </w:t>
      </w:r>
      <w:proofErr w:type="spellStart"/>
      <w:r>
        <w:t>Muharam</w:t>
      </w:r>
      <w:proofErr w:type="spellEnd"/>
      <w:r>
        <w:t xml:space="preserve">, H. (2024). Profitability, financial leverage, asset efficiency, and dividend policy toward sustainable growth rate. </w:t>
      </w:r>
      <w:proofErr w:type="spellStart"/>
      <w:r>
        <w:t>Diponegoro</w:t>
      </w:r>
      <w:proofErr w:type="spellEnd"/>
      <w:r>
        <w:t xml:space="preserve"> Journal of Management, 13(5).</w:t>
      </w:r>
    </w:p>
    <w:p w14:paraId="3B27F9C4" w14:textId="77777777" w:rsidR="00C3797A" w:rsidRDefault="00C3797A" w:rsidP="00C3797A">
      <w:pPr>
        <w:pStyle w:val="Style2"/>
        <w:spacing w:line="240" w:lineRule="auto"/>
        <w:ind w:left="450" w:hanging="450"/>
      </w:pPr>
    </w:p>
    <w:p w14:paraId="07A5B2C4" w14:textId="77777777" w:rsidR="00C3797A" w:rsidRDefault="00C3797A" w:rsidP="00286975">
      <w:pPr>
        <w:pStyle w:val="Style2"/>
        <w:numPr>
          <w:ilvl w:val="0"/>
          <w:numId w:val="42"/>
        </w:numPr>
        <w:spacing w:line="240" w:lineRule="auto"/>
      </w:pPr>
      <w:proofErr w:type="spellStart"/>
      <w:r>
        <w:t>Sihombing</w:t>
      </w:r>
      <w:proofErr w:type="spellEnd"/>
      <w:r>
        <w:t xml:space="preserve">, P., &amp; </w:t>
      </w:r>
      <w:proofErr w:type="spellStart"/>
      <w:r>
        <w:t>Zakchona</w:t>
      </w:r>
      <w:proofErr w:type="spellEnd"/>
      <w:r>
        <w:t>, E. (2024). Determinants of profitability, liquidity, solvency, and activity ratios on stock prices with dividend payout as a moderating variable. Journal of Economics and Business, 27(2).</w:t>
      </w:r>
    </w:p>
    <w:p w14:paraId="7AC7C584" w14:textId="77777777" w:rsidR="00C3797A" w:rsidRDefault="00C3797A" w:rsidP="00C3797A">
      <w:pPr>
        <w:pStyle w:val="Style2"/>
        <w:spacing w:line="240" w:lineRule="auto"/>
        <w:ind w:left="450" w:hanging="450"/>
      </w:pPr>
    </w:p>
    <w:p w14:paraId="5CF1619F" w14:textId="77777777" w:rsidR="00C3797A" w:rsidRDefault="00C3797A" w:rsidP="00286975">
      <w:pPr>
        <w:pStyle w:val="Style2"/>
        <w:numPr>
          <w:ilvl w:val="0"/>
          <w:numId w:val="42"/>
        </w:numPr>
        <w:spacing w:line="240" w:lineRule="auto"/>
      </w:pPr>
      <w:proofErr w:type="spellStart"/>
      <w:r>
        <w:t>Sugiyono</w:t>
      </w:r>
      <w:proofErr w:type="spellEnd"/>
      <w:r>
        <w:t xml:space="preserve">. (2023). Research methods: Quantitative, qualitative, and R&amp;D. </w:t>
      </w:r>
      <w:proofErr w:type="spellStart"/>
      <w:r>
        <w:t>Alfabeta</w:t>
      </w:r>
      <w:proofErr w:type="spellEnd"/>
      <w:r>
        <w:t>.</w:t>
      </w:r>
    </w:p>
    <w:p w14:paraId="333AF697" w14:textId="77777777" w:rsidR="00C3797A" w:rsidRDefault="00C3797A" w:rsidP="00C3797A">
      <w:pPr>
        <w:pStyle w:val="Style2"/>
        <w:spacing w:line="240" w:lineRule="auto"/>
        <w:ind w:left="450" w:hanging="450"/>
      </w:pPr>
    </w:p>
    <w:p w14:paraId="7812D2EC" w14:textId="77777777" w:rsidR="00C3797A" w:rsidRDefault="00C3797A" w:rsidP="00286975">
      <w:pPr>
        <w:pStyle w:val="Style2"/>
        <w:numPr>
          <w:ilvl w:val="0"/>
          <w:numId w:val="42"/>
        </w:numPr>
        <w:spacing w:line="240" w:lineRule="auto"/>
      </w:pPr>
      <w:proofErr w:type="spellStart"/>
      <w:r>
        <w:t>Sumantri</w:t>
      </w:r>
      <w:proofErr w:type="spellEnd"/>
      <w:r>
        <w:t xml:space="preserve">, G. M., &amp; </w:t>
      </w:r>
      <w:proofErr w:type="spellStart"/>
      <w:r>
        <w:t>Sukartaatmadja</w:t>
      </w:r>
      <w:proofErr w:type="spellEnd"/>
      <w:r>
        <w:t>, I. (2022). The effect of return on assets, current ratio, and total asset turnover on stock prices of pharmaceutical companies listed on the Indonesia Stock Exchange during the 2016–2020 period.</w:t>
      </w:r>
    </w:p>
    <w:p w14:paraId="0532A04C" w14:textId="77777777" w:rsidR="00C3797A" w:rsidRDefault="00C3797A" w:rsidP="00C3797A">
      <w:pPr>
        <w:pStyle w:val="Style2"/>
        <w:spacing w:line="240" w:lineRule="auto"/>
        <w:ind w:left="450" w:hanging="450"/>
      </w:pPr>
    </w:p>
    <w:p w14:paraId="1FBFB5AA" w14:textId="023C4121" w:rsidR="00A81D8A" w:rsidRDefault="00C3797A" w:rsidP="00286975">
      <w:pPr>
        <w:pStyle w:val="Style2"/>
        <w:numPr>
          <w:ilvl w:val="0"/>
          <w:numId w:val="42"/>
        </w:numPr>
        <w:spacing w:line="240" w:lineRule="auto"/>
      </w:pPr>
      <w:proofErr w:type="spellStart"/>
      <w:r>
        <w:t>Yantri</w:t>
      </w:r>
      <w:proofErr w:type="spellEnd"/>
      <w:r>
        <w:t xml:space="preserve">, O., &amp; </w:t>
      </w:r>
      <w:proofErr w:type="spellStart"/>
      <w:r>
        <w:t>Sumarman</w:t>
      </w:r>
      <w:proofErr w:type="spellEnd"/>
      <w:r>
        <w:t xml:space="preserve">, B. (2023). The effect of inflation, leverage, and sales growth on stock returns of food and beverage companies listed on the Indonesia Stock Exchange during the 2017–2021 period. Zona </w:t>
      </w:r>
      <w:proofErr w:type="spellStart"/>
      <w:r>
        <w:t>Keuangan</w:t>
      </w:r>
      <w:proofErr w:type="spellEnd"/>
      <w:r>
        <w:t>, 13(1).</w:t>
      </w:r>
    </w:p>
    <w:p w14:paraId="5847DA54" w14:textId="77777777" w:rsidR="00A40D70" w:rsidRDefault="00A40D70" w:rsidP="006C71D2">
      <w:pPr>
        <w:pStyle w:val="Style2"/>
        <w:spacing w:line="240" w:lineRule="auto"/>
        <w:ind w:left="450" w:hanging="450"/>
      </w:pPr>
    </w:p>
    <w:p w14:paraId="4693C11A" w14:textId="27EDAD61" w:rsidR="008D6FC2" w:rsidRDefault="008D6FC2" w:rsidP="00E33D13">
      <w:pPr>
        <w:spacing w:after="0" w:line="240" w:lineRule="auto"/>
        <w:ind w:left="0" w:right="0" w:firstLine="0"/>
        <w:jc w:val="left"/>
      </w:pPr>
    </w:p>
    <w:p w14:paraId="186F4249" w14:textId="77777777" w:rsidR="002C5492" w:rsidRDefault="002C5492" w:rsidP="00E33D13">
      <w:pPr>
        <w:spacing w:line="240" w:lineRule="auto"/>
      </w:pPr>
      <w:bookmarkStart w:id="0" w:name="_GoBack"/>
      <w:bookmarkEnd w:id="0"/>
    </w:p>
    <w:sectPr w:rsidR="002C5492" w:rsidSect="000C7F55">
      <w:type w:val="continuous"/>
      <w:pgSz w:w="11909" w:h="16834"/>
      <w:pgMar w:top="2025" w:right="1366" w:bottom="16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59DB2" w14:textId="77777777" w:rsidR="00075C6B" w:rsidRDefault="00075C6B">
      <w:pPr>
        <w:spacing w:after="0" w:line="240" w:lineRule="auto"/>
      </w:pPr>
      <w:r>
        <w:separator/>
      </w:r>
    </w:p>
  </w:endnote>
  <w:endnote w:type="continuationSeparator" w:id="0">
    <w:p w14:paraId="526ED100" w14:textId="77777777" w:rsidR="00075C6B" w:rsidRDefault="0007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6475" w14:textId="77777777" w:rsidR="008D6FC2" w:rsidRDefault="008D6FC2">
    <w:pPr>
      <w:spacing w:after="0" w:line="259" w:lineRule="auto"/>
      <w:ind w:left="0" w:right="22" w:firstLine="0"/>
      <w:jc w:val="center"/>
    </w:pPr>
    <w:r>
      <w:rPr>
        <w:sz w:val="28"/>
      </w:rPr>
      <w:t xml:space="preserve"> </w:t>
    </w:r>
  </w:p>
  <w:p w14:paraId="4EE4A4A9" w14:textId="77777777" w:rsidR="008D6FC2" w:rsidRDefault="008D6FC2">
    <w:pPr>
      <w:spacing w:after="0" w:line="259" w:lineRule="auto"/>
      <w:ind w:left="0" w:right="105" w:firstLine="0"/>
      <w:jc w:val="center"/>
    </w:pPr>
    <w:r>
      <w:fldChar w:fldCharType="begin"/>
    </w:r>
    <w:r>
      <w:instrText xml:space="preserve"> PAGE   \* MERGEFORMAT </w:instrText>
    </w:r>
    <w:r>
      <w:fldChar w:fldCharType="separate"/>
    </w:r>
    <w:r>
      <w:t>202</w:t>
    </w:r>
    <w:r>
      <w:fldChar w:fldCharType="end"/>
    </w:r>
    <w:r>
      <w:t xml:space="preserve"> </w:t>
    </w:r>
  </w:p>
  <w:p w14:paraId="348DBE2A" w14:textId="77777777" w:rsidR="008D6FC2" w:rsidRDefault="008D6FC2">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9B77" w14:textId="77777777" w:rsidR="008D6FC2" w:rsidRDefault="008D6FC2">
    <w:pPr>
      <w:spacing w:after="0" w:line="259" w:lineRule="auto"/>
      <w:ind w:left="0" w:right="5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4AA9" w14:textId="77777777" w:rsidR="008D6FC2" w:rsidRDefault="008D6FC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AEE1C" w14:textId="77777777" w:rsidR="00075C6B" w:rsidRDefault="00075C6B">
      <w:pPr>
        <w:spacing w:after="0" w:line="240" w:lineRule="auto"/>
      </w:pPr>
      <w:r>
        <w:separator/>
      </w:r>
    </w:p>
  </w:footnote>
  <w:footnote w:type="continuationSeparator" w:id="0">
    <w:p w14:paraId="2CF7AA54" w14:textId="77777777" w:rsidR="00075C6B" w:rsidRDefault="0007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C344" w14:textId="53BC49E7" w:rsidR="008D6FC2" w:rsidRDefault="00075C6B">
    <w:pPr>
      <w:spacing w:after="0" w:line="259" w:lineRule="auto"/>
      <w:ind w:left="0" w:right="55" w:firstLine="0"/>
      <w:jc w:val="right"/>
    </w:pPr>
    <w:r>
      <w:rPr>
        <w:noProof/>
      </w:rPr>
      <w:pict w14:anchorId="0B8DA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2" o:spid="_x0000_s2050" type="#_x0000_t136" style="position:absolute;left:0;text-align:left;margin-left:0;margin-top:0;width:579.25pt;height:64.3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8D6FC2">
      <w:rPr>
        <w:i/>
        <w:sz w:val="16"/>
      </w:rPr>
      <w:t xml:space="preserve"> </w:t>
    </w:r>
  </w:p>
  <w:p w14:paraId="19EEC6DF" w14:textId="77777777" w:rsidR="008D6FC2" w:rsidRDefault="008D6FC2">
    <w:pPr>
      <w:spacing w:after="0" w:line="259" w:lineRule="auto"/>
      <w:ind w:left="0" w:right="55" w:firstLine="0"/>
      <w:jc w:val="right"/>
    </w:pPr>
    <w:r>
      <w:rPr>
        <w:i/>
        <w:sz w:val="16"/>
      </w:rPr>
      <w:t xml:space="preserve"> </w:t>
    </w:r>
  </w:p>
  <w:p w14:paraId="78501134" w14:textId="77777777" w:rsidR="008D6FC2" w:rsidRDefault="008D6FC2">
    <w:pPr>
      <w:spacing w:after="0" w:line="259" w:lineRule="auto"/>
      <w:ind w:left="0" w:right="55" w:firstLine="0"/>
      <w:jc w:val="right"/>
    </w:pPr>
    <w:r>
      <w:rPr>
        <w:i/>
        <w:sz w:val="16"/>
      </w:rPr>
      <w:t xml:space="preserve"> </w:t>
    </w:r>
  </w:p>
  <w:p w14:paraId="32B100F0" w14:textId="77777777" w:rsidR="008D6FC2" w:rsidRDefault="008D6FC2">
    <w:pPr>
      <w:spacing w:after="0" w:line="259" w:lineRule="auto"/>
      <w:ind w:left="0" w:right="55" w:firstLine="0"/>
      <w:jc w:val="right"/>
    </w:pPr>
    <w:r>
      <w:rPr>
        <w:i/>
        <w:sz w:val="16"/>
      </w:rPr>
      <w:t xml:space="preserve"> </w:t>
    </w:r>
  </w:p>
  <w:p w14:paraId="4B7DB334" w14:textId="77777777" w:rsidR="008D6FC2" w:rsidRDefault="008D6FC2">
    <w:pPr>
      <w:spacing w:after="0" w:line="259" w:lineRule="auto"/>
      <w:ind w:left="0" w:right="99" w:firstLine="0"/>
      <w:jc w:val="right"/>
    </w:pPr>
    <w:proofErr w:type="spellStart"/>
    <w:r>
      <w:rPr>
        <w:i/>
        <w:sz w:val="16"/>
      </w:rPr>
      <w:t>Fauzan</w:t>
    </w:r>
    <w:proofErr w:type="spellEnd"/>
    <w:r>
      <w:rPr>
        <w:i/>
        <w:sz w:val="16"/>
      </w:rPr>
      <w:t xml:space="preserve">; Asia J. Econ. </w:t>
    </w:r>
    <w:proofErr w:type="gramStart"/>
    <w:r>
      <w:rPr>
        <w:i/>
        <w:sz w:val="16"/>
      </w:rPr>
      <w:t>Smoke .</w:t>
    </w:r>
    <w:proofErr w:type="gramEnd"/>
    <w:r>
      <w:rPr>
        <w:i/>
        <w:sz w:val="16"/>
      </w:rPr>
      <w:t xml:space="preserve"> Acc., vol. 25, no. 2, pp. 200–208, 2025; Item no. AJEBA.130441</w:t>
    </w:r>
  </w:p>
  <w:p w14:paraId="3050BEB0" w14:textId="77777777" w:rsidR="008D6FC2" w:rsidRDefault="008D6FC2">
    <w:pPr>
      <w:spacing w:after="0" w:line="259" w:lineRule="auto"/>
      <w:ind w:left="0" w:right="55" w:firstLine="0"/>
      <w:jc w:val="right"/>
    </w:pPr>
    <w:r>
      <w:rPr>
        <w:i/>
        <w:sz w:val="16"/>
      </w:rPr>
      <w:t xml:space="preserve"> </w:t>
    </w:r>
  </w:p>
  <w:p w14:paraId="24B035E3" w14:textId="77777777" w:rsidR="008D6FC2" w:rsidRDefault="008D6FC2">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F18D" w14:textId="5E5E8B18" w:rsidR="008D6FC2" w:rsidRDefault="00075C6B">
    <w:pPr>
      <w:spacing w:after="0" w:line="259" w:lineRule="auto"/>
      <w:ind w:left="0" w:right="64" w:firstLine="0"/>
      <w:jc w:val="right"/>
    </w:pPr>
    <w:r>
      <w:rPr>
        <w:noProof/>
      </w:rPr>
      <w:pict w14:anchorId="1AD0F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3" o:spid="_x0000_s2051" type="#_x0000_t136" style="position:absolute;left:0;text-align:left;margin-left:0;margin-top:0;width:579.25pt;height:64.3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B6A0" w14:textId="0F1EF9A0" w:rsidR="008D6FC2" w:rsidRDefault="00075C6B">
    <w:pPr>
      <w:spacing w:after="160" w:line="259" w:lineRule="auto"/>
      <w:ind w:left="0" w:right="0" w:firstLine="0"/>
      <w:jc w:val="left"/>
    </w:pPr>
    <w:r>
      <w:rPr>
        <w:noProof/>
      </w:rPr>
      <w:pict w14:anchorId="2758A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1" o:spid="_x0000_s2049" type="#_x0000_t136" style="position:absolute;margin-left:0;margin-top:0;width:579.25pt;height:64.3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A8C"/>
    <w:multiLevelType w:val="hybridMultilevel"/>
    <w:tmpl w:val="A0B6F17E"/>
    <w:lvl w:ilvl="0" w:tplc="146A6F02">
      <w:start w:val="1"/>
      <w:numFmt w:val="lowerLetter"/>
      <w:lvlText w:val="%1."/>
      <w:lvlJc w:val="left"/>
      <w:pPr>
        <w:ind w:left="873"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tplc="08C60366">
      <w:start w:val="1"/>
      <w:numFmt w:val="lowerLetter"/>
      <w:lvlText w:val="%2."/>
      <w:lvlJc w:val="left"/>
      <w:pPr>
        <w:ind w:left="1432"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CE4CC558">
      <w:start w:val="1"/>
      <w:numFmt w:val="lowerLetter"/>
      <w:lvlText w:val="%3."/>
      <w:lvlJc w:val="left"/>
      <w:pPr>
        <w:ind w:left="2029"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3" w:tplc="4852E0AC">
      <w:numFmt w:val="bullet"/>
      <w:lvlText w:val="•"/>
      <w:lvlJc w:val="left"/>
      <w:pPr>
        <w:ind w:left="2972" w:hanging="190"/>
      </w:pPr>
      <w:rPr>
        <w:rFonts w:hint="default"/>
        <w:lang w:val="en-US" w:eastAsia="en-US" w:bidi="ar-SA"/>
      </w:rPr>
    </w:lvl>
    <w:lvl w:ilvl="4" w:tplc="E19E109A">
      <w:numFmt w:val="bullet"/>
      <w:lvlText w:val="•"/>
      <w:lvlJc w:val="left"/>
      <w:pPr>
        <w:ind w:left="3924" w:hanging="190"/>
      </w:pPr>
      <w:rPr>
        <w:rFonts w:hint="default"/>
        <w:lang w:val="en-US" w:eastAsia="en-US" w:bidi="ar-SA"/>
      </w:rPr>
    </w:lvl>
    <w:lvl w:ilvl="5" w:tplc="345E670A">
      <w:numFmt w:val="bullet"/>
      <w:lvlText w:val="•"/>
      <w:lvlJc w:val="left"/>
      <w:pPr>
        <w:ind w:left="4877" w:hanging="190"/>
      </w:pPr>
      <w:rPr>
        <w:rFonts w:hint="default"/>
        <w:lang w:val="en-US" w:eastAsia="en-US" w:bidi="ar-SA"/>
      </w:rPr>
    </w:lvl>
    <w:lvl w:ilvl="6" w:tplc="6D9C5E0E">
      <w:numFmt w:val="bullet"/>
      <w:lvlText w:val="•"/>
      <w:lvlJc w:val="left"/>
      <w:pPr>
        <w:ind w:left="5829" w:hanging="190"/>
      </w:pPr>
      <w:rPr>
        <w:rFonts w:hint="default"/>
        <w:lang w:val="en-US" w:eastAsia="en-US" w:bidi="ar-SA"/>
      </w:rPr>
    </w:lvl>
    <w:lvl w:ilvl="7" w:tplc="C408E36C">
      <w:numFmt w:val="bullet"/>
      <w:lvlText w:val="•"/>
      <w:lvlJc w:val="left"/>
      <w:pPr>
        <w:ind w:left="6782" w:hanging="190"/>
      </w:pPr>
      <w:rPr>
        <w:rFonts w:hint="default"/>
        <w:lang w:val="en-US" w:eastAsia="en-US" w:bidi="ar-SA"/>
      </w:rPr>
    </w:lvl>
    <w:lvl w:ilvl="8" w:tplc="3ED84A98">
      <w:numFmt w:val="bullet"/>
      <w:lvlText w:val="•"/>
      <w:lvlJc w:val="left"/>
      <w:pPr>
        <w:ind w:left="7734" w:hanging="190"/>
      </w:pPr>
      <w:rPr>
        <w:rFonts w:hint="default"/>
        <w:lang w:val="en-US" w:eastAsia="en-US" w:bidi="ar-SA"/>
      </w:rPr>
    </w:lvl>
  </w:abstractNum>
  <w:abstractNum w:abstractNumId="1" w15:restartNumberingAfterBreak="0">
    <w:nsid w:val="0EB85CF1"/>
    <w:multiLevelType w:val="hybridMultilevel"/>
    <w:tmpl w:val="9DC05B74"/>
    <w:lvl w:ilvl="0" w:tplc="F93291A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8B3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6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F8098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2420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C14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2203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37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E460F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F37D31"/>
    <w:multiLevelType w:val="hybridMultilevel"/>
    <w:tmpl w:val="19983C40"/>
    <w:lvl w:ilvl="0" w:tplc="C55E601C">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6EE69A">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FCAA4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ACA12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EED6D6">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AC03E7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02901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04B3A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0A82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81546D"/>
    <w:multiLevelType w:val="hybridMultilevel"/>
    <w:tmpl w:val="24E6ED6E"/>
    <w:lvl w:ilvl="0" w:tplc="2220676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6D27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6D7C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F76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64F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A2576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6F87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886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0E43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594A6F"/>
    <w:multiLevelType w:val="hybridMultilevel"/>
    <w:tmpl w:val="ADF03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760E5"/>
    <w:multiLevelType w:val="hybridMultilevel"/>
    <w:tmpl w:val="FC90BFC4"/>
    <w:lvl w:ilvl="0" w:tplc="CCE05396">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1B9F4BCE"/>
    <w:multiLevelType w:val="hybridMultilevel"/>
    <w:tmpl w:val="A726F478"/>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7" w15:restartNumberingAfterBreak="0">
    <w:nsid w:val="1CDC56C3"/>
    <w:multiLevelType w:val="multilevel"/>
    <w:tmpl w:val="D04EB6A8"/>
    <w:lvl w:ilvl="0">
      <w:start w:val="1"/>
      <w:numFmt w:val="upperRoman"/>
      <w:pStyle w:val="Heading1"/>
      <w:lvlText w:val="BAB %1"/>
      <w:lvlJc w:val="left"/>
      <w:pPr>
        <w:tabs>
          <w:tab w:val="num" w:pos="964"/>
        </w:tabs>
        <w:ind w:left="0" w:firstLine="0"/>
      </w:pPr>
      <w:rPr>
        <w:rFonts w:ascii="Times New Roman" w:hAnsi="Times New Roman" w:hint="default"/>
        <w:b/>
        <w:i w:val="0"/>
        <w:sz w:val="28"/>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1844"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F4A0075"/>
    <w:multiLevelType w:val="hybridMultilevel"/>
    <w:tmpl w:val="89621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A47B0F"/>
    <w:multiLevelType w:val="hybridMultilevel"/>
    <w:tmpl w:val="7BB8AAAE"/>
    <w:lvl w:ilvl="0" w:tplc="69B60AC2">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62C9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E405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70A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885A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C47C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458A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DE3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0EE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1C4EE2"/>
    <w:multiLevelType w:val="hybridMultilevel"/>
    <w:tmpl w:val="FAFC182C"/>
    <w:lvl w:ilvl="0" w:tplc="AF0CD42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8206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21AA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2767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821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AF9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812D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2EE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729A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4A29B1"/>
    <w:multiLevelType w:val="hybridMultilevel"/>
    <w:tmpl w:val="37A8982C"/>
    <w:lvl w:ilvl="0" w:tplc="72405E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C976E">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3A273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E68BD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3A1E8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44E436">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5E427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7DC745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A62A2C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0B7382"/>
    <w:multiLevelType w:val="hybridMultilevel"/>
    <w:tmpl w:val="3EDC0F82"/>
    <w:lvl w:ilvl="0" w:tplc="2A0A375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A9D9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641B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335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EC4B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084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25A8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48E12">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0A7FC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6F63D1"/>
    <w:multiLevelType w:val="hybridMultilevel"/>
    <w:tmpl w:val="2CBCB7B4"/>
    <w:lvl w:ilvl="0" w:tplc="1512B8A6">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A45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C1A6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2E96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CDF7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38287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D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86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78F13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A390328"/>
    <w:multiLevelType w:val="hybridMultilevel"/>
    <w:tmpl w:val="A65214EE"/>
    <w:lvl w:ilvl="0" w:tplc="2E7A6E48">
      <w:start w:val="1"/>
      <w:numFmt w:val="lowerLetter"/>
      <w:lvlText w:val="%1."/>
      <w:lvlJc w:val="left"/>
      <w:pPr>
        <w:ind w:left="12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44C0E972">
      <w:numFmt w:val="bullet"/>
      <w:lvlText w:val="•"/>
      <w:lvlJc w:val="left"/>
      <w:pPr>
        <w:ind w:left="2061" w:hanging="190"/>
      </w:pPr>
      <w:rPr>
        <w:rFonts w:hint="default"/>
        <w:lang w:val="en-US" w:eastAsia="en-US" w:bidi="ar-SA"/>
      </w:rPr>
    </w:lvl>
    <w:lvl w:ilvl="2" w:tplc="3CA4A7EC">
      <w:numFmt w:val="bullet"/>
      <w:lvlText w:val="•"/>
      <w:lvlJc w:val="left"/>
      <w:pPr>
        <w:ind w:left="2903" w:hanging="190"/>
      </w:pPr>
      <w:rPr>
        <w:rFonts w:hint="default"/>
        <w:lang w:val="en-US" w:eastAsia="en-US" w:bidi="ar-SA"/>
      </w:rPr>
    </w:lvl>
    <w:lvl w:ilvl="3" w:tplc="B9E8AD98">
      <w:numFmt w:val="bullet"/>
      <w:lvlText w:val="•"/>
      <w:lvlJc w:val="left"/>
      <w:pPr>
        <w:ind w:left="3745" w:hanging="190"/>
      </w:pPr>
      <w:rPr>
        <w:rFonts w:hint="default"/>
        <w:lang w:val="en-US" w:eastAsia="en-US" w:bidi="ar-SA"/>
      </w:rPr>
    </w:lvl>
    <w:lvl w:ilvl="4" w:tplc="1344770A">
      <w:numFmt w:val="bullet"/>
      <w:lvlText w:val="•"/>
      <w:lvlJc w:val="left"/>
      <w:pPr>
        <w:ind w:left="4587" w:hanging="190"/>
      </w:pPr>
      <w:rPr>
        <w:rFonts w:hint="default"/>
        <w:lang w:val="en-US" w:eastAsia="en-US" w:bidi="ar-SA"/>
      </w:rPr>
    </w:lvl>
    <w:lvl w:ilvl="5" w:tplc="1C868FAC">
      <w:numFmt w:val="bullet"/>
      <w:lvlText w:val="•"/>
      <w:lvlJc w:val="left"/>
      <w:pPr>
        <w:ind w:left="5429" w:hanging="190"/>
      </w:pPr>
      <w:rPr>
        <w:rFonts w:hint="default"/>
        <w:lang w:val="en-US" w:eastAsia="en-US" w:bidi="ar-SA"/>
      </w:rPr>
    </w:lvl>
    <w:lvl w:ilvl="6" w:tplc="3A509E34">
      <w:numFmt w:val="bullet"/>
      <w:lvlText w:val="•"/>
      <w:lvlJc w:val="left"/>
      <w:pPr>
        <w:ind w:left="6271" w:hanging="190"/>
      </w:pPr>
      <w:rPr>
        <w:rFonts w:hint="default"/>
        <w:lang w:val="en-US" w:eastAsia="en-US" w:bidi="ar-SA"/>
      </w:rPr>
    </w:lvl>
    <w:lvl w:ilvl="7" w:tplc="CDC21874">
      <w:numFmt w:val="bullet"/>
      <w:lvlText w:val="•"/>
      <w:lvlJc w:val="left"/>
      <w:pPr>
        <w:ind w:left="7113" w:hanging="190"/>
      </w:pPr>
      <w:rPr>
        <w:rFonts w:hint="default"/>
        <w:lang w:val="en-US" w:eastAsia="en-US" w:bidi="ar-SA"/>
      </w:rPr>
    </w:lvl>
    <w:lvl w:ilvl="8" w:tplc="79C05946">
      <w:numFmt w:val="bullet"/>
      <w:lvlText w:val="•"/>
      <w:lvlJc w:val="left"/>
      <w:pPr>
        <w:ind w:left="7955" w:hanging="190"/>
      </w:pPr>
      <w:rPr>
        <w:rFonts w:hint="default"/>
        <w:lang w:val="en-US" w:eastAsia="en-US" w:bidi="ar-SA"/>
      </w:rPr>
    </w:lvl>
  </w:abstractNum>
  <w:abstractNum w:abstractNumId="15" w15:restartNumberingAfterBreak="0">
    <w:nsid w:val="2ECA2BFD"/>
    <w:multiLevelType w:val="hybridMultilevel"/>
    <w:tmpl w:val="75AE1A32"/>
    <w:lvl w:ilvl="0" w:tplc="62945A3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2223E">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E8C24">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2F0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032BC">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A9624">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A9E0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0A91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8950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3A63C8"/>
    <w:multiLevelType w:val="hybridMultilevel"/>
    <w:tmpl w:val="97F4E92E"/>
    <w:lvl w:ilvl="0" w:tplc="1434721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CB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43AC">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0605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EEA6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CD3F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FA513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E9D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8C08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3A87DE3"/>
    <w:multiLevelType w:val="hybridMultilevel"/>
    <w:tmpl w:val="8F32E2A0"/>
    <w:lvl w:ilvl="0" w:tplc="A4B40D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24FDA0">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2B807F4">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A0BE84">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96A16A">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22D3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B80B4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7E91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38E292">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3B56962"/>
    <w:multiLevelType w:val="hybridMultilevel"/>
    <w:tmpl w:val="589016D8"/>
    <w:lvl w:ilvl="0" w:tplc="9F3EA33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C1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05C6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AF4D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372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62F7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106C1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226E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22B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5BA531A"/>
    <w:multiLevelType w:val="hybridMultilevel"/>
    <w:tmpl w:val="A60CB5D8"/>
    <w:lvl w:ilvl="0" w:tplc="BA8C341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201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8989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7EF6B8">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CFDF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B2215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6C1E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4ADB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401CC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B96038"/>
    <w:multiLevelType w:val="hybridMultilevel"/>
    <w:tmpl w:val="163A24F0"/>
    <w:lvl w:ilvl="0" w:tplc="5B483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C4A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C1D5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66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266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AFA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8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66E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F41E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2D06C88"/>
    <w:multiLevelType w:val="hybridMultilevel"/>
    <w:tmpl w:val="DE784D4C"/>
    <w:lvl w:ilvl="0" w:tplc="C92C44A8">
      <w:start w:val="1"/>
      <w:numFmt w:val="lowerLetter"/>
      <w:lvlText w:val="%1."/>
      <w:lvlJc w:val="left"/>
      <w:pPr>
        <w:ind w:left="1158"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6EF293F4">
      <w:numFmt w:val="bullet"/>
      <w:lvlText w:val="•"/>
      <w:lvlJc w:val="left"/>
      <w:pPr>
        <w:ind w:left="2007" w:hanging="190"/>
      </w:pPr>
      <w:rPr>
        <w:rFonts w:hint="default"/>
        <w:lang w:val="en-US" w:eastAsia="en-US" w:bidi="ar-SA"/>
      </w:rPr>
    </w:lvl>
    <w:lvl w:ilvl="2" w:tplc="969C6558">
      <w:numFmt w:val="bullet"/>
      <w:lvlText w:val="•"/>
      <w:lvlJc w:val="left"/>
      <w:pPr>
        <w:ind w:left="2855" w:hanging="190"/>
      </w:pPr>
      <w:rPr>
        <w:rFonts w:hint="default"/>
        <w:lang w:val="en-US" w:eastAsia="en-US" w:bidi="ar-SA"/>
      </w:rPr>
    </w:lvl>
    <w:lvl w:ilvl="3" w:tplc="7820026E">
      <w:numFmt w:val="bullet"/>
      <w:lvlText w:val="•"/>
      <w:lvlJc w:val="left"/>
      <w:pPr>
        <w:ind w:left="3703" w:hanging="190"/>
      </w:pPr>
      <w:rPr>
        <w:rFonts w:hint="default"/>
        <w:lang w:val="en-US" w:eastAsia="en-US" w:bidi="ar-SA"/>
      </w:rPr>
    </w:lvl>
    <w:lvl w:ilvl="4" w:tplc="8FF064AE">
      <w:numFmt w:val="bullet"/>
      <w:lvlText w:val="•"/>
      <w:lvlJc w:val="left"/>
      <w:pPr>
        <w:ind w:left="4551" w:hanging="190"/>
      </w:pPr>
      <w:rPr>
        <w:rFonts w:hint="default"/>
        <w:lang w:val="en-US" w:eastAsia="en-US" w:bidi="ar-SA"/>
      </w:rPr>
    </w:lvl>
    <w:lvl w:ilvl="5" w:tplc="0156A9B4">
      <w:numFmt w:val="bullet"/>
      <w:lvlText w:val="•"/>
      <w:lvlJc w:val="left"/>
      <w:pPr>
        <w:ind w:left="5399" w:hanging="190"/>
      </w:pPr>
      <w:rPr>
        <w:rFonts w:hint="default"/>
        <w:lang w:val="en-US" w:eastAsia="en-US" w:bidi="ar-SA"/>
      </w:rPr>
    </w:lvl>
    <w:lvl w:ilvl="6" w:tplc="EDD0FA06">
      <w:numFmt w:val="bullet"/>
      <w:lvlText w:val="•"/>
      <w:lvlJc w:val="left"/>
      <w:pPr>
        <w:ind w:left="6247" w:hanging="190"/>
      </w:pPr>
      <w:rPr>
        <w:rFonts w:hint="default"/>
        <w:lang w:val="en-US" w:eastAsia="en-US" w:bidi="ar-SA"/>
      </w:rPr>
    </w:lvl>
    <w:lvl w:ilvl="7" w:tplc="7D36E482">
      <w:numFmt w:val="bullet"/>
      <w:lvlText w:val="•"/>
      <w:lvlJc w:val="left"/>
      <w:pPr>
        <w:ind w:left="7095" w:hanging="190"/>
      </w:pPr>
      <w:rPr>
        <w:rFonts w:hint="default"/>
        <w:lang w:val="en-US" w:eastAsia="en-US" w:bidi="ar-SA"/>
      </w:rPr>
    </w:lvl>
    <w:lvl w:ilvl="8" w:tplc="D1F2A6BE">
      <w:numFmt w:val="bullet"/>
      <w:lvlText w:val="•"/>
      <w:lvlJc w:val="left"/>
      <w:pPr>
        <w:ind w:left="7943" w:hanging="190"/>
      </w:pPr>
      <w:rPr>
        <w:rFonts w:hint="default"/>
        <w:lang w:val="en-US" w:eastAsia="en-US" w:bidi="ar-SA"/>
      </w:rPr>
    </w:lvl>
  </w:abstractNum>
  <w:abstractNum w:abstractNumId="22" w15:restartNumberingAfterBreak="0">
    <w:nsid w:val="44D14F96"/>
    <w:multiLevelType w:val="hybridMultilevel"/>
    <w:tmpl w:val="E04430B6"/>
    <w:lvl w:ilvl="0" w:tplc="13F2ADD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698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4CF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2690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0F0D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BA937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6C052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ECE1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68A4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A86A93"/>
    <w:multiLevelType w:val="multilevel"/>
    <w:tmpl w:val="82A20FC2"/>
    <w:lvl w:ilvl="0">
      <w:start w:val="1"/>
      <w:numFmt w:val="decimal"/>
      <w:lvlText w:val="%1."/>
      <w:lvlJc w:val="left"/>
      <w:pPr>
        <w:tabs>
          <w:tab w:val="num" w:pos="0"/>
        </w:tabs>
        <w:ind w:left="0" w:firstLine="0"/>
      </w:pPr>
      <w:rPr>
        <w:rFonts w:ascii="Arial" w:eastAsia="Arial" w:hAnsi="Arial" w:cs="Angsana New"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E277205"/>
    <w:multiLevelType w:val="hybridMultilevel"/>
    <w:tmpl w:val="F0269778"/>
    <w:lvl w:ilvl="0" w:tplc="66868246">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21AB27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64E5A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DC7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EA6A5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20D5A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4A1E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4ADE4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F45E2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F9712C1"/>
    <w:multiLevelType w:val="hybridMultilevel"/>
    <w:tmpl w:val="4648AF14"/>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14A39E3"/>
    <w:multiLevelType w:val="hybridMultilevel"/>
    <w:tmpl w:val="15F26B30"/>
    <w:lvl w:ilvl="0" w:tplc="734E1C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EC40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470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8DE3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80FD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68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A69C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E462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AE5AA">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7CF6692"/>
    <w:multiLevelType w:val="hybridMultilevel"/>
    <w:tmpl w:val="80B4F342"/>
    <w:lvl w:ilvl="0" w:tplc="F3C8FE4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AAA63E">
      <w:start w:val="1"/>
      <w:numFmt w:val="lowerLetter"/>
      <w:lvlText w:val="%2."/>
      <w:lvlJc w:val="left"/>
      <w:pPr>
        <w:ind w:left="1127"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1BD88E0C">
      <w:numFmt w:val="bullet"/>
      <w:lvlText w:val="•"/>
      <w:lvlJc w:val="left"/>
      <w:pPr>
        <w:ind w:left="1529" w:hanging="190"/>
      </w:pPr>
      <w:rPr>
        <w:rFonts w:hint="default"/>
        <w:lang w:val="en-US" w:eastAsia="en-US" w:bidi="ar-SA"/>
      </w:rPr>
    </w:lvl>
    <w:lvl w:ilvl="3" w:tplc="E8968482">
      <w:numFmt w:val="bullet"/>
      <w:lvlText w:val="•"/>
      <w:lvlJc w:val="left"/>
      <w:pPr>
        <w:ind w:left="1938" w:hanging="190"/>
      </w:pPr>
      <w:rPr>
        <w:rFonts w:hint="default"/>
        <w:lang w:val="en-US" w:eastAsia="en-US" w:bidi="ar-SA"/>
      </w:rPr>
    </w:lvl>
    <w:lvl w:ilvl="4" w:tplc="CE2CE4D8">
      <w:numFmt w:val="bullet"/>
      <w:lvlText w:val="•"/>
      <w:lvlJc w:val="left"/>
      <w:pPr>
        <w:ind w:left="2348" w:hanging="190"/>
      </w:pPr>
      <w:rPr>
        <w:rFonts w:hint="default"/>
        <w:lang w:val="en-US" w:eastAsia="en-US" w:bidi="ar-SA"/>
      </w:rPr>
    </w:lvl>
    <w:lvl w:ilvl="5" w:tplc="C0FC045A">
      <w:numFmt w:val="bullet"/>
      <w:lvlText w:val="•"/>
      <w:lvlJc w:val="left"/>
      <w:pPr>
        <w:ind w:left="2757" w:hanging="190"/>
      </w:pPr>
      <w:rPr>
        <w:rFonts w:hint="default"/>
        <w:lang w:val="en-US" w:eastAsia="en-US" w:bidi="ar-SA"/>
      </w:rPr>
    </w:lvl>
    <w:lvl w:ilvl="6" w:tplc="2DFC6498">
      <w:numFmt w:val="bullet"/>
      <w:lvlText w:val="•"/>
      <w:lvlJc w:val="left"/>
      <w:pPr>
        <w:ind w:left="3167" w:hanging="190"/>
      </w:pPr>
      <w:rPr>
        <w:rFonts w:hint="default"/>
        <w:lang w:val="en-US" w:eastAsia="en-US" w:bidi="ar-SA"/>
      </w:rPr>
    </w:lvl>
    <w:lvl w:ilvl="7" w:tplc="84985FA2">
      <w:numFmt w:val="bullet"/>
      <w:lvlText w:val="•"/>
      <w:lvlJc w:val="left"/>
      <w:pPr>
        <w:ind w:left="3576" w:hanging="190"/>
      </w:pPr>
      <w:rPr>
        <w:rFonts w:hint="default"/>
        <w:lang w:val="en-US" w:eastAsia="en-US" w:bidi="ar-SA"/>
      </w:rPr>
    </w:lvl>
    <w:lvl w:ilvl="8" w:tplc="5A04C734">
      <w:numFmt w:val="bullet"/>
      <w:lvlText w:val="•"/>
      <w:lvlJc w:val="left"/>
      <w:pPr>
        <w:ind w:left="3986" w:hanging="190"/>
      </w:pPr>
      <w:rPr>
        <w:rFonts w:hint="default"/>
        <w:lang w:val="en-US" w:eastAsia="en-US" w:bidi="ar-SA"/>
      </w:rPr>
    </w:lvl>
  </w:abstractNum>
  <w:abstractNum w:abstractNumId="28" w15:restartNumberingAfterBreak="0">
    <w:nsid w:val="5BFA4D5B"/>
    <w:multiLevelType w:val="hybridMultilevel"/>
    <w:tmpl w:val="B800733E"/>
    <w:lvl w:ilvl="0" w:tplc="7A7AF5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E8B47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02188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F28C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EDCF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78164C">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E8A122">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B48AD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4471A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58565CE"/>
    <w:multiLevelType w:val="hybridMultilevel"/>
    <w:tmpl w:val="BA2A760E"/>
    <w:lvl w:ilvl="0" w:tplc="7832A6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6237C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A3E3D2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1B0BD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704EE20">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CA21F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60EBB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CA681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8E06C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74B7DE5"/>
    <w:multiLevelType w:val="hybridMultilevel"/>
    <w:tmpl w:val="2ADCC20C"/>
    <w:lvl w:ilvl="0" w:tplc="BCC2032C">
      <w:start w:val="1"/>
      <w:numFmt w:val="lowerLetter"/>
      <w:lvlText w:val="%1."/>
      <w:lvlJc w:val="left"/>
      <w:pPr>
        <w:ind w:left="1295"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FCC0DF5C">
      <w:numFmt w:val="bullet"/>
      <w:lvlText w:val="•"/>
      <w:lvlJc w:val="left"/>
      <w:pPr>
        <w:ind w:left="2133" w:hanging="190"/>
      </w:pPr>
      <w:rPr>
        <w:rFonts w:hint="default"/>
        <w:lang w:val="en-US" w:eastAsia="en-US" w:bidi="ar-SA"/>
      </w:rPr>
    </w:lvl>
    <w:lvl w:ilvl="2" w:tplc="74045208">
      <w:numFmt w:val="bullet"/>
      <w:lvlText w:val="•"/>
      <w:lvlJc w:val="left"/>
      <w:pPr>
        <w:ind w:left="2967" w:hanging="190"/>
      </w:pPr>
      <w:rPr>
        <w:rFonts w:hint="default"/>
        <w:lang w:val="en-US" w:eastAsia="en-US" w:bidi="ar-SA"/>
      </w:rPr>
    </w:lvl>
    <w:lvl w:ilvl="3" w:tplc="8F5C31BC">
      <w:numFmt w:val="bullet"/>
      <w:lvlText w:val="•"/>
      <w:lvlJc w:val="left"/>
      <w:pPr>
        <w:ind w:left="3801" w:hanging="190"/>
      </w:pPr>
      <w:rPr>
        <w:rFonts w:hint="default"/>
        <w:lang w:val="en-US" w:eastAsia="en-US" w:bidi="ar-SA"/>
      </w:rPr>
    </w:lvl>
    <w:lvl w:ilvl="4" w:tplc="5B86AD8E">
      <w:numFmt w:val="bullet"/>
      <w:lvlText w:val="•"/>
      <w:lvlJc w:val="left"/>
      <w:pPr>
        <w:ind w:left="4635" w:hanging="190"/>
      </w:pPr>
      <w:rPr>
        <w:rFonts w:hint="default"/>
        <w:lang w:val="en-US" w:eastAsia="en-US" w:bidi="ar-SA"/>
      </w:rPr>
    </w:lvl>
    <w:lvl w:ilvl="5" w:tplc="C484A888">
      <w:numFmt w:val="bullet"/>
      <w:lvlText w:val="•"/>
      <w:lvlJc w:val="left"/>
      <w:pPr>
        <w:ind w:left="5469" w:hanging="190"/>
      </w:pPr>
      <w:rPr>
        <w:rFonts w:hint="default"/>
        <w:lang w:val="en-US" w:eastAsia="en-US" w:bidi="ar-SA"/>
      </w:rPr>
    </w:lvl>
    <w:lvl w:ilvl="6" w:tplc="DB609EA8">
      <w:numFmt w:val="bullet"/>
      <w:lvlText w:val="•"/>
      <w:lvlJc w:val="left"/>
      <w:pPr>
        <w:ind w:left="6303" w:hanging="190"/>
      </w:pPr>
      <w:rPr>
        <w:rFonts w:hint="default"/>
        <w:lang w:val="en-US" w:eastAsia="en-US" w:bidi="ar-SA"/>
      </w:rPr>
    </w:lvl>
    <w:lvl w:ilvl="7" w:tplc="2A403C1E">
      <w:numFmt w:val="bullet"/>
      <w:lvlText w:val="•"/>
      <w:lvlJc w:val="left"/>
      <w:pPr>
        <w:ind w:left="7137" w:hanging="190"/>
      </w:pPr>
      <w:rPr>
        <w:rFonts w:hint="default"/>
        <w:lang w:val="en-US" w:eastAsia="en-US" w:bidi="ar-SA"/>
      </w:rPr>
    </w:lvl>
    <w:lvl w:ilvl="8" w:tplc="CE52DF9C">
      <w:numFmt w:val="bullet"/>
      <w:lvlText w:val="•"/>
      <w:lvlJc w:val="left"/>
      <w:pPr>
        <w:ind w:left="7971" w:hanging="190"/>
      </w:pPr>
      <w:rPr>
        <w:rFonts w:hint="default"/>
        <w:lang w:val="en-US" w:eastAsia="en-US" w:bidi="ar-SA"/>
      </w:rPr>
    </w:lvl>
  </w:abstractNum>
  <w:abstractNum w:abstractNumId="31" w15:restartNumberingAfterBreak="0">
    <w:nsid w:val="705E04D2"/>
    <w:multiLevelType w:val="hybridMultilevel"/>
    <w:tmpl w:val="C22E1750"/>
    <w:lvl w:ilvl="0" w:tplc="7B027FDC">
      <w:start w:val="1"/>
      <w:numFmt w:val="decimal"/>
      <w:lvlText w:val="%1."/>
      <w:lvlJc w:val="left"/>
      <w:pPr>
        <w:ind w:left="1012" w:hanging="360"/>
      </w:pPr>
      <w:rPr>
        <w:rFonts w:hint="default"/>
      </w:rPr>
    </w:lvl>
    <w:lvl w:ilvl="1" w:tplc="04210019" w:tentative="1">
      <w:start w:val="1"/>
      <w:numFmt w:val="lowerLetter"/>
      <w:lvlText w:val="%2."/>
      <w:lvlJc w:val="left"/>
      <w:pPr>
        <w:ind w:left="1732" w:hanging="360"/>
      </w:pPr>
    </w:lvl>
    <w:lvl w:ilvl="2" w:tplc="0421001B" w:tentative="1">
      <w:start w:val="1"/>
      <w:numFmt w:val="lowerRoman"/>
      <w:lvlText w:val="%3."/>
      <w:lvlJc w:val="right"/>
      <w:pPr>
        <w:ind w:left="2452" w:hanging="180"/>
      </w:pPr>
    </w:lvl>
    <w:lvl w:ilvl="3" w:tplc="0421000F" w:tentative="1">
      <w:start w:val="1"/>
      <w:numFmt w:val="decimal"/>
      <w:lvlText w:val="%4."/>
      <w:lvlJc w:val="left"/>
      <w:pPr>
        <w:ind w:left="3172" w:hanging="360"/>
      </w:pPr>
    </w:lvl>
    <w:lvl w:ilvl="4" w:tplc="04210019" w:tentative="1">
      <w:start w:val="1"/>
      <w:numFmt w:val="lowerLetter"/>
      <w:lvlText w:val="%5."/>
      <w:lvlJc w:val="left"/>
      <w:pPr>
        <w:ind w:left="3892" w:hanging="360"/>
      </w:pPr>
    </w:lvl>
    <w:lvl w:ilvl="5" w:tplc="0421001B" w:tentative="1">
      <w:start w:val="1"/>
      <w:numFmt w:val="lowerRoman"/>
      <w:lvlText w:val="%6."/>
      <w:lvlJc w:val="right"/>
      <w:pPr>
        <w:ind w:left="4612" w:hanging="180"/>
      </w:pPr>
    </w:lvl>
    <w:lvl w:ilvl="6" w:tplc="0421000F" w:tentative="1">
      <w:start w:val="1"/>
      <w:numFmt w:val="decimal"/>
      <w:lvlText w:val="%7."/>
      <w:lvlJc w:val="left"/>
      <w:pPr>
        <w:ind w:left="5332" w:hanging="360"/>
      </w:pPr>
    </w:lvl>
    <w:lvl w:ilvl="7" w:tplc="04210019" w:tentative="1">
      <w:start w:val="1"/>
      <w:numFmt w:val="lowerLetter"/>
      <w:lvlText w:val="%8."/>
      <w:lvlJc w:val="left"/>
      <w:pPr>
        <w:ind w:left="6052" w:hanging="360"/>
      </w:pPr>
    </w:lvl>
    <w:lvl w:ilvl="8" w:tplc="0421001B" w:tentative="1">
      <w:start w:val="1"/>
      <w:numFmt w:val="lowerRoman"/>
      <w:lvlText w:val="%9."/>
      <w:lvlJc w:val="right"/>
      <w:pPr>
        <w:ind w:left="6772" w:hanging="180"/>
      </w:pPr>
    </w:lvl>
  </w:abstractNum>
  <w:abstractNum w:abstractNumId="32" w15:restartNumberingAfterBreak="0">
    <w:nsid w:val="713671AE"/>
    <w:multiLevelType w:val="hybridMultilevel"/>
    <w:tmpl w:val="F65E2C32"/>
    <w:lvl w:ilvl="0" w:tplc="D6D0A72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5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B2C87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E6D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7A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90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EFE7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A8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0FF9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1AC29F9"/>
    <w:multiLevelType w:val="hybridMultilevel"/>
    <w:tmpl w:val="002E3F74"/>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34" w15:restartNumberingAfterBreak="0">
    <w:nsid w:val="72B25544"/>
    <w:multiLevelType w:val="hybridMultilevel"/>
    <w:tmpl w:val="96E457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5" w15:restartNumberingAfterBreak="0">
    <w:nsid w:val="76A4330A"/>
    <w:multiLevelType w:val="hybridMultilevel"/>
    <w:tmpl w:val="8976D606"/>
    <w:lvl w:ilvl="0" w:tplc="5FE6849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E2251C">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5232A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82F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9C1FB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6AACC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932F16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4F0260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F2D84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C8C47D4"/>
    <w:multiLevelType w:val="hybridMultilevel"/>
    <w:tmpl w:val="AE8A7186"/>
    <w:lvl w:ilvl="0" w:tplc="80EA151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CA901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66071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78E480">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127B1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6A645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6E188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8CBAE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AC4FC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D1D0695"/>
    <w:multiLevelType w:val="multilevel"/>
    <w:tmpl w:val="84F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1F6161"/>
    <w:multiLevelType w:val="hybridMultilevel"/>
    <w:tmpl w:val="42FAF4B4"/>
    <w:lvl w:ilvl="0" w:tplc="2A30BEE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E458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4BF9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E79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AB6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0EE71E">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01C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23DD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0773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7"/>
  </w:num>
  <w:num w:numId="3">
    <w:abstractNumId w:val="7"/>
  </w:num>
  <w:num w:numId="4">
    <w:abstractNumId w:val="32"/>
  </w:num>
  <w:num w:numId="5">
    <w:abstractNumId w:val="38"/>
  </w:num>
  <w:num w:numId="6">
    <w:abstractNumId w:val="19"/>
  </w:num>
  <w:num w:numId="7">
    <w:abstractNumId w:val="13"/>
  </w:num>
  <w:num w:numId="8">
    <w:abstractNumId w:val="15"/>
  </w:num>
  <w:num w:numId="9">
    <w:abstractNumId w:val="20"/>
  </w:num>
  <w:num w:numId="10">
    <w:abstractNumId w:val="3"/>
  </w:num>
  <w:num w:numId="11">
    <w:abstractNumId w:val="10"/>
  </w:num>
  <w:num w:numId="12">
    <w:abstractNumId w:val="22"/>
  </w:num>
  <w:num w:numId="13">
    <w:abstractNumId w:val="12"/>
  </w:num>
  <w:num w:numId="14">
    <w:abstractNumId w:val="16"/>
  </w:num>
  <w:num w:numId="15">
    <w:abstractNumId w:val="18"/>
  </w:num>
  <w:num w:numId="16">
    <w:abstractNumId w:val="1"/>
  </w:num>
  <w:num w:numId="17">
    <w:abstractNumId w:val="9"/>
  </w:num>
  <w:num w:numId="18">
    <w:abstractNumId w:val="29"/>
  </w:num>
  <w:num w:numId="19">
    <w:abstractNumId w:val="11"/>
  </w:num>
  <w:num w:numId="20">
    <w:abstractNumId w:val="36"/>
  </w:num>
  <w:num w:numId="21">
    <w:abstractNumId w:val="35"/>
  </w:num>
  <w:num w:numId="22">
    <w:abstractNumId w:val="2"/>
  </w:num>
  <w:num w:numId="23">
    <w:abstractNumId w:val="17"/>
  </w:num>
  <w:num w:numId="24">
    <w:abstractNumId w:val="28"/>
  </w:num>
  <w:num w:numId="25">
    <w:abstractNumId w:val="24"/>
  </w:num>
  <w:num w:numId="26">
    <w:abstractNumId w:val="26"/>
  </w:num>
  <w:num w:numId="27">
    <w:abstractNumId w:val="14"/>
  </w:num>
  <w:num w:numId="28">
    <w:abstractNumId w:val="0"/>
  </w:num>
  <w:num w:numId="29">
    <w:abstractNumId w:val="21"/>
  </w:num>
  <w:num w:numId="30">
    <w:abstractNumId w:val="30"/>
  </w:num>
  <w:num w:numId="31">
    <w:abstractNumId w:val="27"/>
  </w:num>
  <w:num w:numId="32">
    <w:abstractNumId w:val="37"/>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6"/>
  </w:num>
  <w:num w:numId="36">
    <w:abstractNumId w:val="33"/>
  </w:num>
  <w:num w:numId="37">
    <w:abstractNumId w:val="34"/>
  </w:num>
  <w:num w:numId="38">
    <w:abstractNumId w:val="25"/>
  </w:num>
  <w:num w:numId="39">
    <w:abstractNumId w:val="23"/>
  </w:num>
  <w:num w:numId="40">
    <w:abstractNumId w:val="8"/>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C2"/>
    <w:rsid w:val="00004C6B"/>
    <w:rsid w:val="000065D8"/>
    <w:rsid w:val="00041703"/>
    <w:rsid w:val="000538F5"/>
    <w:rsid w:val="00075C6B"/>
    <w:rsid w:val="000C1A72"/>
    <w:rsid w:val="000C7F55"/>
    <w:rsid w:val="000E54D4"/>
    <w:rsid w:val="000F4473"/>
    <w:rsid w:val="00103AEB"/>
    <w:rsid w:val="00121BC6"/>
    <w:rsid w:val="00150660"/>
    <w:rsid w:val="00192548"/>
    <w:rsid w:val="001E46C0"/>
    <w:rsid w:val="002102D8"/>
    <w:rsid w:val="00222279"/>
    <w:rsid w:val="00237E06"/>
    <w:rsid w:val="0026664C"/>
    <w:rsid w:val="00286975"/>
    <w:rsid w:val="002A7324"/>
    <w:rsid w:val="002C5492"/>
    <w:rsid w:val="002E682A"/>
    <w:rsid w:val="002F0163"/>
    <w:rsid w:val="00346184"/>
    <w:rsid w:val="003666C5"/>
    <w:rsid w:val="003764B8"/>
    <w:rsid w:val="00396D05"/>
    <w:rsid w:val="00422CD4"/>
    <w:rsid w:val="004242D4"/>
    <w:rsid w:val="00470C6C"/>
    <w:rsid w:val="004E450D"/>
    <w:rsid w:val="005013EB"/>
    <w:rsid w:val="00520240"/>
    <w:rsid w:val="005C4D6B"/>
    <w:rsid w:val="00626029"/>
    <w:rsid w:val="00627212"/>
    <w:rsid w:val="006350D7"/>
    <w:rsid w:val="006820B1"/>
    <w:rsid w:val="006C71D2"/>
    <w:rsid w:val="006E338A"/>
    <w:rsid w:val="006E4304"/>
    <w:rsid w:val="006F461B"/>
    <w:rsid w:val="007061AA"/>
    <w:rsid w:val="007C490F"/>
    <w:rsid w:val="00824699"/>
    <w:rsid w:val="00841E32"/>
    <w:rsid w:val="00845576"/>
    <w:rsid w:val="00871ABB"/>
    <w:rsid w:val="008D6FC2"/>
    <w:rsid w:val="008F4514"/>
    <w:rsid w:val="00960CC1"/>
    <w:rsid w:val="009621C1"/>
    <w:rsid w:val="009B0C37"/>
    <w:rsid w:val="009D3311"/>
    <w:rsid w:val="009E7C20"/>
    <w:rsid w:val="00A07CA2"/>
    <w:rsid w:val="00A25F44"/>
    <w:rsid w:val="00A31F61"/>
    <w:rsid w:val="00A40D70"/>
    <w:rsid w:val="00A81D8A"/>
    <w:rsid w:val="00AC26E6"/>
    <w:rsid w:val="00AF76F0"/>
    <w:rsid w:val="00B05BF2"/>
    <w:rsid w:val="00B26B8B"/>
    <w:rsid w:val="00B76AAB"/>
    <w:rsid w:val="00BB1EF3"/>
    <w:rsid w:val="00C255BE"/>
    <w:rsid w:val="00C3666E"/>
    <w:rsid w:val="00C3797A"/>
    <w:rsid w:val="00CB1A4B"/>
    <w:rsid w:val="00CD4D2E"/>
    <w:rsid w:val="00CE739D"/>
    <w:rsid w:val="00D44532"/>
    <w:rsid w:val="00D757A6"/>
    <w:rsid w:val="00D87591"/>
    <w:rsid w:val="00D91E96"/>
    <w:rsid w:val="00DC0D25"/>
    <w:rsid w:val="00DC50BB"/>
    <w:rsid w:val="00DC6E57"/>
    <w:rsid w:val="00DF29CD"/>
    <w:rsid w:val="00E009E4"/>
    <w:rsid w:val="00E22FEF"/>
    <w:rsid w:val="00E33D13"/>
    <w:rsid w:val="00E35D92"/>
    <w:rsid w:val="00E505C6"/>
    <w:rsid w:val="00F254D9"/>
    <w:rsid w:val="00FC09ED"/>
    <w:rsid w:val="00FD11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67149"/>
  <w15:chartTrackingRefBased/>
  <w15:docId w15:val="{5553AFB5-84ED-4484-9DAA-F762291A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C2"/>
    <w:pPr>
      <w:spacing w:after="5" w:line="250" w:lineRule="auto"/>
      <w:ind w:left="10" w:right="57" w:hanging="10"/>
    </w:pPr>
    <w:rPr>
      <w:rFonts w:ascii="Arial" w:eastAsia="Arial" w:hAnsi="Arial" w:cs="Arial"/>
      <w:color w:val="000000"/>
      <w:kern w:val="0"/>
      <w:sz w:val="20"/>
      <w:szCs w:val="22"/>
      <w:lang w:eastAsia="en-ID"/>
      <w14:ligatures w14:val="none"/>
    </w:rPr>
  </w:style>
  <w:style w:type="paragraph" w:styleId="Heading1">
    <w:name w:val="heading 1"/>
    <w:aliases w:val="JUDUL 1"/>
    <w:basedOn w:val="Normal"/>
    <w:next w:val="NoSpacing"/>
    <w:link w:val="Heading1Char"/>
    <w:uiPriority w:val="9"/>
    <w:qFormat/>
    <w:rsid w:val="00121BC6"/>
    <w:pPr>
      <w:keepNext/>
      <w:keepLines/>
      <w:numPr>
        <w:numId w:val="3"/>
      </w:numPr>
      <w:spacing w:after="240" w:line="240" w:lineRule="auto"/>
      <w:jc w:val="center"/>
      <w:outlineLvl w:val="0"/>
    </w:pPr>
    <w:rPr>
      <w:rFonts w:eastAsiaTheme="majorEastAsia" w:cstheme="majorBidi"/>
      <w:b/>
      <w:sz w:val="28"/>
      <w:szCs w:val="50"/>
    </w:rPr>
  </w:style>
  <w:style w:type="paragraph" w:styleId="Heading2">
    <w:name w:val="heading 2"/>
    <w:basedOn w:val="Normal"/>
    <w:next w:val="Normal"/>
    <w:link w:val="Heading2Char"/>
    <w:uiPriority w:val="9"/>
    <w:unhideWhenUsed/>
    <w:qFormat/>
    <w:rsid w:val="00121BC6"/>
    <w:pPr>
      <w:keepNext/>
      <w:keepLines/>
      <w:numPr>
        <w:ilvl w:val="1"/>
        <w:numId w:val="3"/>
      </w:numPr>
      <w:spacing w:before="100" w:beforeAutospacing="1" w:after="240" w:line="240" w:lineRule="auto"/>
      <w:outlineLvl w:val="1"/>
    </w:pPr>
    <w:rPr>
      <w:rFonts w:eastAsiaTheme="majorEastAsia" w:cstheme="majorBidi"/>
      <w:b/>
      <w:szCs w:val="40"/>
    </w:rPr>
  </w:style>
  <w:style w:type="paragraph" w:styleId="Heading3">
    <w:name w:val="heading 3"/>
    <w:basedOn w:val="Normal"/>
    <w:next w:val="Normal"/>
    <w:link w:val="Heading3Char"/>
    <w:uiPriority w:val="9"/>
    <w:unhideWhenUsed/>
    <w:qFormat/>
    <w:rsid w:val="00121BC6"/>
    <w:pPr>
      <w:keepNext/>
      <w:keepLines/>
      <w:numPr>
        <w:ilvl w:val="2"/>
        <w:numId w:val="1"/>
      </w:numPr>
      <w:spacing w:after="240" w:line="240" w:lineRule="auto"/>
      <w:ind w:left="0"/>
      <w:outlineLvl w:val="2"/>
    </w:pPr>
    <w:rPr>
      <w:rFonts w:eastAsiaTheme="majorEastAsia" w:cstheme="majorBidi"/>
      <w:b/>
      <w:szCs w:val="35"/>
    </w:rPr>
  </w:style>
  <w:style w:type="paragraph" w:styleId="Heading4">
    <w:name w:val="heading 4"/>
    <w:basedOn w:val="Normal"/>
    <w:next w:val="Normal"/>
    <w:link w:val="Heading4Char"/>
    <w:uiPriority w:val="9"/>
    <w:semiHidden/>
    <w:unhideWhenUsed/>
    <w:qFormat/>
    <w:rsid w:val="008D6FC2"/>
    <w:pPr>
      <w:keepNext/>
      <w:keepLines/>
      <w:spacing w:before="80" w:after="40"/>
      <w:outlineLvl w:val="3"/>
    </w:pPr>
    <w:rPr>
      <w:rFonts w:asciiTheme="minorHAnsi" w:eastAsiaTheme="majorEastAsia" w:hAnsiTheme="minorHAnsi" w:cs="Angsana New"/>
      <w:i/>
      <w:iCs/>
      <w:color w:val="0F4761" w:themeColor="accent1" w:themeShade="BF"/>
      <w:szCs w:val="30"/>
    </w:rPr>
  </w:style>
  <w:style w:type="paragraph" w:styleId="Heading5">
    <w:name w:val="heading 5"/>
    <w:basedOn w:val="Normal"/>
    <w:next w:val="Normal"/>
    <w:link w:val="Heading5Char"/>
    <w:uiPriority w:val="9"/>
    <w:semiHidden/>
    <w:unhideWhenUsed/>
    <w:qFormat/>
    <w:rsid w:val="008D6FC2"/>
    <w:pPr>
      <w:keepNext/>
      <w:keepLines/>
      <w:spacing w:before="80" w:after="40"/>
      <w:outlineLvl w:val="4"/>
    </w:pPr>
    <w:rPr>
      <w:rFonts w:asciiTheme="minorHAnsi" w:eastAsiaTheme="majorEastAsia" w:hAnsiTheme="minorHAnsi" w:cs="Angsana New"/>
      <w:color w:val="0F4761" w:themeColor="accent1" w:themeShade="BF"/>
      <w:szCs w:val="30"/>
    </w:rPr>
  </w:style>
  <w:style w:type="paragraph" w:styleId="Heading6">
    <w:name w:val="heading 6"/>
    <w:basedOn w:val="Normal"/>
    <w:next w:val="Normal"/>
    <w:link w:val="Heading6Char"/>
    <w:uiPriority w:val="9"/>
    <w:semiHidden/>
    <w:unhideWhenUsed/>
    <w:qFormat/>
    <w:rsid w:val="008D6FC2"/>
    <w:pPr>
      <w:keepNext/>
      <w:keepLines/>
      <w:spacing w:before="40"/>
      <w:outlineLvl w:val="5"/>
    </w:pPr>
    <w:rPr>
      <w:rFonts w:asciiTheme="minorHAnsi" w:eastAsiaTheme="majorEastAsia" w:hAnsiTheme="minorHAnsi" w:cs="Angsana New"/>
      <w:i/>
      <w:iCs/>
      <w:color w:val="595959" w:themeColor="text1" w:themeTint="A6"/>
      <w:szCs w:val="30"/>
    </w:rPr>
  </w:style>
  <w:style w:type="paragraph" w:styleId="Heading7">
    <w:name w:val="heading 7"/>
    <w:basedOn w:val="Normal"/>
    <w:next w:val="Normal"/>
    <w:link w:val="Heading7Char"/>
    <w:uiPriority w:val="9"/>
    <w:semiHidden/>
    <w:unhideWhenUsed/>
    <w:qFormat/>
    <w:rsid w:val="008D6FC2"/>
    <w:pPr>
      <w:keepNext/>
      <w:keepLines/>
      <w:spacing w:before="40"/>
      <w:outlineLvl w:val="6"/>
    </w:pPr>
    <w:rPr>
      <w:rFonts w:asciiTheme="minorHAnsi" w:eastAsiaTheme="majorEastAsia" w:hAnsiTheme="minorHAnsi" w:cs="Angsana New"/>
      <w:color w:val="595959" w:themeColor="text1" w:themeTint="A6"/>
      <w:szCs w:val="30"/>
    </w:rPr>
  </w:style>
  <w:style w:type="paragraph" w:styleId="Heading8">
    <w:name w:val="heading 8"/>
    <w:basedOn w:val="Normal"/>
    <w:next w:val="Normal"/>
    <w:link w:val="Heading8Char"/>
    <w:uiPriority w:val="9"/>
    <w:semiHidden/>
    <w:unhideWhenUsed/>
    <w:qFormat/>
    <w:rsid w:val="008D6FC2"/>
    <w:pPr>
      <w:keepNext/>
      <w:keepLines/>
      <w:outlineLvl w:val="7"/>
    </w:pPr>
    <w:rPr>
      <w:rFonts w:asciiTheme="minorHAnsi" w:eastAsiaTheme="majorEastAsia" w:hAnsiTheme="minorHAnsi" w:cs="Angsana New"/>
      <w:i/>
      <w:iCs/>
      <w:color w:val="272727" w:themeColor="text1" w:themeTint="D8"/>
      <w:szCs w:val="30"/>
    </w:rPr>
  </w:style>
  <w:style w:type="paragraph" w:styleId="Heading9">
    <w:name w:val="heading 9"/>
    <w:basedOn w:val="Normal"/>
    <w:next w:val="Normal"/>
    <w:link w:val="Heading9Char"/>
    <w:uiPriority w:val="9"/>
    <w:semiHidden/>
    <w:unhideWhenUsed/>
    <w:qFormat/>
    <w:rsid w:val="008D6FC2"/>
    <w:pPr>
      <w:keepNext/>
      <w:keepLines/>
      <w:outlineLvl w:val="8"/>
    </w:pPr>
    <w:rPr>
      <w:rFonts w:asciiTheme="minorHAnsi" w:eastAsiaTheme="majorEastAsia" w:hAnsiTheme="minorHAnsi" w:cs="Angsana New"/>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21BC6"/>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21BC6"/>
    <w:rPr>
      <w:rFonts w:ascii="Times New Roman" w:eastAsiaTheme="majorEastAsia" w:hAnsi="Times New Roman" w:cstheme="majorBidi"/>
      <w:b/>
      <w:spacing w:val="-10"/>
      <w:kern w:val="28"/>
      <w:sz w:val="28"/>
      <w:szCs w:val="56"/>
    </w:rPr>
  </w:style>
  <w:style w:type="character" w:customStyle="1" w:styleId="Heading1Char">
    <w:name w:val="Heading 1 Char"/>
    <w:aliases w:val="JUDUL 1 Char"/>
    <w:basedOn w:val="DefaultParagraphFont"/>
    <w:link w:val="Heading1"/>
    <w:uiPriority w:val="9"/>
    <w:rsid w:val="00121BC6"/>
    <w:rPr>
      <w:rFonts w:ascii="Times New Roman" w:eastAsiaTheme="majorEastAsia" w:hAnsi="Times New Roman" w:cstheme="majorBidi"/>
      <w:b/>
      <w:sz w:val="28"/>
      <w:szCs w:val="50"/>
    </w:rPr>
  </w:style>
  <w:style w:type="paragraph" w:styleId="NoSpacing">
    <w:name w:val="No Spacing"/>
    <w:next w:val="Normal"/>
    <w:uiPriority w:val="1"/>
    <w:qFormat/>
    <w:rsid w:val="00121BC6"/>
    <w:pPr>
      <w:spacing w:line="240" w:lineRule="auto"/>
      <w:jc w:val="center"/>
    </w:pPr>
    <w:rPr>
      <w:rFonts w:ascii="Times New Roman" w:hAnsi="Times New Roman"/>
      <w:b/>
      <w:sz w:val="28"/>
      <w:szCs w:val="30"/>
      <w:lang w:bidi="th-TH"/>
    </w:rPr>
  </w:style>
  <w:style w:type="character" w:customStyle="1" w:styleId="Heading2Char">
    <w:name w:val="Heading 2 Char"/>
    <w:basedOn w:val="DefaultParagraphFont"/>
    <w:link w:val="Heading2"/>
    <w:uiPriority w:val="9"/>
    <w:rsid w:val="00121BC6"/>
    <w:rPr>
      <w:rFonts w:ascii="Times New Roman" w:eastAsiaTheme="majorEastAsia" w:hAnsi="Times New Roman" w:cstheme="majorBidi"/>
      <w:b/>
      <w:szCs w:val="40"/>
    </w:rPr>
  </w:style>
  <w:style w:type="character" w:customStyle="1" w:styleId="Heading3Char">
    <w:name w:val="Heading 3 Char"/>
    <w:basedOn w:val="DefaultParagraphFont"/>
    <w:link w:val="Heading3"/>
    <w:uiPriority w:val="9"/>
    <w:rsid w:val="00121BC6"/>
    <w:rPr>
      <w:rFonts w:ascii="Times New Roman" w:eastAsiaTheme="majorEastAsia" w:hAnsi="Times New Roman" w:cstheme="majorBidi"/>
      <w:b/>
      <w:szCs w:val="35"/>
    </w:rPr>
  </w:style>
  <w:style w:type="character" w:customStyle="1" w:styleId="Heading4Char">
    <w:name w:val="Heading 4 Char"/>
    <w:basedOn w:val="DefaultParagraphFont"/>
    <w:link w:val="Heading4"/>
    <w:uiPriority w:val="9"/>
    <w:semiHidden/>
    <w:rsid w:val="008D6FC2"/>
    <w:rPr>
      <w:rFonts w:eastAsiaTheme="majorEastAsia" w:cs="Angsana New"/>
      <w:i/>
      <w:iCs/>
      <w:color w:val="0F4761" w:themeColor="accent1" w:themeShade="BF"/>
      <w:szCs w:val="30"/>
      <w:lang w:val="en" w:bidi="th-TH"/>
    </w:rPr>
  </w:style>
  <w:style w:type="character" w:customStyle="1" w:styleId="Heading5Char">
    <w:name w:val="Heading 5 Char"/>
    <w:basedOn w:val="DefaultParagraphFont"/>
    <w:link w:val="Heading5"/>
    <w:uiPriority w:val="9"/>
    <w:semiHidden/>
    <w:rsid w:val="008D6FC2"/>
    <w:rPr>
      <w:rFonts w:eastAsiaTheme="majorEastAsia" w:cs="Angsana New"/>
      <w:color w:val="0F4761" w:themeColor="accent1" w:themeShade="BF"/>
      <w:szCs w:val="30"/>
      <w:lang w:val="en" w:bidi="th-TH"/>
    </w:rPr>
  </w:style>
  <w:style w:type="character" w:customStyle="1" w:styleId="Heading6Char">
    <w:name w:val="Heading 6 Char"/>
    <w:basedOn w:val="DefaultParagraphFont"/>
    <w:link w:val="Heading6"/>
    <w:uiPriority w:val="9"/>
    <w:semiHidden/>
    <w:rsid w:val="008D6FC2"/>
    <w:rPr>
      <w:rFonts w:eastAsiaTheme="majorEastAsia" w:cs="Angsana New"/>
      <w:i/>
      <w:iCs/>
      <w:color w:val="595959" w:themeColor="text1" w:themeTint="A6"/>
      <w:szCs w:val="30"/>
      <w:lang w:val="en" w:bidi="th-TH"/>
    </w:rPr>
  </w:style>
  <w:style w:type="character" w:customStyle="1" w:styleId="Heading7Char">
    <w:name w:val="Heading 7 Char"/>
    <w:basedOn w:val="DefaultParagraphFont"/>
    <w:link w:val="Heading7"/>
    <w:uiPriority w:val="9"/>
    <w:semiHidden/>
    <w:rsid w:val="008D6FC2"/>
    <w:rPr>
      <w:rFonts w:eastAsiaTheme="majorEastAsia" w:cs="Angsana New"/>
      <w:color w:val="595959" w:themeColor="text1" w:themeTint="A6"/>
      <w:szCs w:val="30"/>
      <w:lang w:val="en" w:bidi="th-TH"/>
    </w:rPr>
  </w:style>
  <w:style w:type="character" w:customStyle="1" w:styleId="Heading8Char">
    <w:name w:val="Heading 8 Char"/>
    <w:basedOn w:val="DefaultParagraphFont"/>
    <w:link w:val="Heading8"/>
    <w:uiPriority w:val="9"/>
    <w:semiHidden/>
    <w:rsid w:val="008D6FC2"/>
    <w:rPr>
      <w:rFonts w:eastAsiaTheme="majorEastAsia" w:cs="Angsana New"/>
      <w:i/>
      <w:iCs/>
      <w:color w:val="272727" w:themeColor="text1" w:themeTint="D8"/>
      <w:szCs w:val="30"/>
      <w:lang w:val="en" w:bidi="th-TH"/>
    </w:rPr>
  </w:style>
  <w:style w:type="character" w:customStyle="1" w:styleId="Heading9Char">
    <w:name w:val="Heading 9 Char"/>
    <w:basedOn w:val="DefaultParagraphFont"/>
    <w:link w:val="Heading9"/>
    <w:uiPriority w:val="9"/>
    <w:semiHidden/>
    <w:rsid w:val="008D6FC2"/>
    <w:rPr>
      <w:rFonts w:eastAsiaTheme="majorEastAsia" w:cs="Angsana New"/>
      <w:color w:val="272727" w:themeColor="text1" w:themeTint="D8"/>
      <w:szCs w:val="30"/>
      <w:lang w:val="en" w:bidi="th-TH"/>
    </w:rPr>
  </w:style>
  <w:style w:type="paragraph" w:styleId="Subtitle">
    <w:name w:val="Subtitle"/>
    <w:basedOn w:val="Normal"/>
    <w:next w:val="Normal"/>
    <w:link w:val="SubtitleChar"/>
    <w:uiPriority w:val="11"/>
    <w:qFormat/>
    <w:rsid w:val="008D6FC2"/>
    <w:pPr>
      <w:numPr>
        <w:ilvl w:val="1"/>
      </w:numPr>
      <w:spacing w:after="160"/>
      <w:ind w:left="-113" w:firstLine="720"/>
    </w:pPr>
    <w:rPr>
      <w:rFonts w:asciiTheme="minorHAnsi" w:eastAsiaTheme="majorEastAsia" w:hAnsiTheme="minorHAnsi"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8D6FC2"/>
    <w:rPr>
      <w:rFonts w:eastAsiaTheme="majorEastAsia" w:cs="Angsana New"/>
      <w:color w:val="595959" w:themeColor="text1" w:themeTint="A6"/>
      <w:spacing w:val="15"/>
      <w:sz w:val="28"/>
      <w:szCs w:val="35"/>
      <w:lang w:val="en" w:bidi="th-TH"/>
    </w:rPr>
  </w:style>
  <w:style w:type="paragraph" w:styleId="Quote">
    <w:name w:val="Quote"/>
    <w:basedOn w:val="Normal"/>
    <w:next w:val="Normal"/>
    <w:link w:val="QuoteChar"/>
    <w:uiPriority w:val="29"/>
    <w:qFormat/>
    <w:rsid w:val="008D6FC2"/>
    <w:pPr>
      <w:spacing w:before="160" w:after="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D6FC2"/>
    <w:rPr>
      <w:rFonts w:ascii="Times New Roman" w:hAnsi="Times New Roman" w:cs="Angsana New"/>
      <w:i/>
      <w:iCs/>
      <w:color w:val="404040" w:themeColor="text1" w:themeTint="BF"/>
      <w:szCs w:val="30"/>
      <w:lang w:val="en" w:bidi="th-TH"/>
    </w:rPr>
  </w:style>
  <w:style w:type="paragraph" w:styleId="ListParagraph">
    <w:name w:val="List Paragraph"/>
    <w:basedOn w:val="Normal"/>
    <w:uiPriority w:val="34"/>
    <w:qFormat/>
    <w:rsid w:val="008D6FC2"/>
    <w:pPr>
      <w:ind w:left="720"/>
      <w:contextualSpacing/>
    </w:pPr>
    <w:rPr>
      <w:rFonts w:cs="Angsana New"/>
      <w:szCs w:val="30"/>
    </w:rPr>
  </w:style>
  <w:style w:type="character" w:styleId="IntenseEmphasis">
    <w:name w:val="Intense Emphasis"/>
    <w:basedOn w:val="DefaultParagraphFont"/>
    <w:uiPriority w:val="21"/>
    <w:qFormat/>
    <w:rsid w:val="008D6FC2"/>
    <w:rPr>
      <w:i/>
      <w:iCs/>
      <w:color w:val="0F4761" w:themeColor="accent1" w:themeShade="BF"/>
    </w:rPr>
  </w:style>
  <w:style w:type="paragraph" w:styleId="IntenseQuote">
    <w:name w:val="Intense Quote"/>
    <w:basedOn w:val="Normal"/>
    <w:next w:val="Normal"/>
    <w:link w:val="IntenseQuoteChar"/>
    <w:uiPriority w:val="30"/>
    <w:qFormat/>
    <w:rsid w:val="008D6FC2"/>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D6FC2"/>
    <w:rPr>
      <w:rFonts w:ascii="Times New Roman" w:hAnsi="Times New Roman" w:cs="Angsana New"/>
      <w:i/>
      <w:iCs/>
      <w:color w:val="0F4761" w:themeColor="accent1" w:themeShade="BF"/>
      <w:szCs w:val="30"/>
      <w:lang w:val="en" w:bidi="th-TH"/>
    </w:rPr>
  </w:style>
  <w:style w:type="character" w:styleId="IntenseReference">
    <w:name w:val="Intense Reference"/>
    <w:basedOn w:val="DefaultParagraphFont"/>
    <w:uiPriority w:val="32"/>
    <w:qFormat/>
    <w:rsid w:val="008D6FC2"/>
    <w:rPr>
      <w:b/>
      <w:bCs/>
      <w:smallCaps/>
      <w:color w:val="0F4761" w:themeColor="accent1" w:themeShade="BF"/>
      <w:spacing w:val="5"/>
    </w:rPr>
  </w:style>
  <w:style w:type="table" w:customStyle="1" w:styleId="TableGrid">
    <w:name w:val="TableGrid"/>
    <w:rsid w:val="008D6FC2"/>
    <w:pPr>
      <w:spacing w:line="240" w:lineRule="auto"/>
      <w:jc w:val="left"/>
    </w:pPr>
    <w:rPr>
      <w:rFonts w:eastAsiaTheme="minorEastAsia"/>
      <w:kern w:val="0"/>
      <w:sz w:val="22"/>
      <w:szCs w:val="22"/>
      <w:lang w:eastAsia="en-ID"/>
      <w14:ligatures w14:val="none"/>
    </w:rPr>
    <w:tblPr>
      <w:tblCellMar>
        <w:top w:w="0" w:type="dxa"/>
        <w:left w:w="0" w:type="dxa"/>
        <w:bottom w:w="0" w:type="dxa"/>
        <w:right w:w="0" w:type="dxa"/>
      </w:tblCellMar>
    </w:tblPr>
  </w:style>
  <w:style w:type="paragraph" w:customStyle="1" w:styleId="Style1">
    <w:name w:val="Style1"/>
    <w:basedOn w:val="Normal"/>
    <w:link w:val="Style1Char"/>
    <w:qFormat/>
    <w:rsid w:val="008D6FC2"/>
    <w:pPr>
      <w:ind w:right="0"/>
    </w:pPr>
  </w:style>
  <w:style w:type="paragraph" w:customStyle="1" w:styleId="font-claude-response-body">
    <w:name w:val="font-claude-response-body"/>
    <w:basedOn w:val="Normal"/>
    <w:rsid w:val="008D6FC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Style1Char">
    <w:name w:val="Style1 Char"/>
    <w:basedOn w:val="DefaultParagraphFont"/>
    <w:link w:val="Style1"/>
    <w:rsid w:val="008D6FC2"/>
    <w:rPr>
      <w:rFonts w:ascii="Arial" w:eastAsia="Arial" w:hAnsi="Arial" w:cs="Arial"/>
      <w:color w:val="000000"/>
      <w:kern w:val="0"/>
      <w:sz w:val="20"/>
      <w:szCs w:val="22"/>
      <w:lang w:val="en" w:eastAsia="en-ID"/>
      <w14:ligatures w14:val="none"/>
    </w:rPr>
  </w:style>
  <w:style w:type="paragraph" w:customStyle="1" w:styleId="Style2">
    <w:name w:val="Style2"/>
    <w:basedOn w:val="Normal"/>
    <w:link w:val="Style2Char"/>
    <w:qFormat/>
    <w:rsid w:val="008D6FC2"/>
    <w:pPr>
      <w:ind w:right="0"/>
    </w:pPr>
  </w:style>
  <w:style w:type="character" w:styleId="Emphasis">
    <w:name w:val="Emphasis"/>
    <w:basedOn w:val="DefaultParagraphFont"/>
    <w:uiPriority w:val="20"/>
    <w:qFormat/>
    <w:rsid w:val="008D6FC2"/>
    <w:rPr>
      <w:i/>
      <w:iCs/>
    </w:rPr>
  </w:style>
  <w:style w:type="character" w:customStyle="1" w:styleId="Style2Char">
    <w:name w:val="Style2 Char"/>
    <w:basedOn w:val="DefaultParagraphFont"/>
    <w:link w:val="Style2"/>
    <w:rsid w:val="008D6FC2"/>
    <w:rPr>
      <w:rFonts w:ascii="Arial" w:eastAsia="Arial" w:hAnsi="Arial" w:cs="Arial"/>
      <w:color w:val="000000"/>
      <w:kern w:val="0"/>
      <w:sz w:val="20"/>
      <w:szCs w:val="22"/>
      <w:lang w:val="en" w:eastAsia="en-ID"/>
      <w14:ligatures w14:val="none"/>
    </w:rPr>
  </w:style>
  <w:style w:type="paragraph" w:styleId="BodyText">
    <w:name w:val="Body Text"/>
    <w:basedOn w:val="Normal"/>
    <w:link w:val="BodyTextChar"/>
    <w:uiPriority w:val="1"/>
    <w:qFormat/>
    <w:rsid w:val="008D6FC2"/>
    <w:pPr>
      <w:widowControl w:val="0"/>
      <w:autoSpaceDE w:val="0"/>
      <w:autoSpaceDN w:val="0"/>
      <w:spacing w:after="0" w:line="240" w:lineRule="auto"/>
      <w:ind w:left="165"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8D6FC2"/>
    <w:rPr>
      <w:rFonts w:ascii="Times New Roman" w:eastAsia="Times New Roman" w:hAnsi="Times New Roman" w:cs="Times New Roman"/>
      <w:kern w:val="0"/>
      <w:lang w:val="en"/>
      <w14:ligatures w14:val="none"/>
    </w:rPr>
  </w:style>
  <w:style w:type="character" w:styleId="Hyperlink">
    <w:name w:val="Hyperlink"/>
    <w:basedOn w:val="DefaultParagraphFont"/>
    <w:uiPriority w:val="99"/>
    <w:unhideWhenUsed/>
    <w:rsid w:val="008D6FC2"/>
    <w:rPr>
      <w:color w:val="467886" w:themeColor="hyperlink"/>
      <w:u w:val="single"/>
    </w:rPr>
  </w:style>
  <w:style w:type="table" w:customStyle="1" w:styleId="TableNormal1">
    <w:name w:val="Table Normal1"/>
    <w:uiPriority w:val="2"/>
    <w:semiHidden/>
    <w:unhideWhenUsed/>
    <w:qFormat/>
    <w:rsid w:val="008D6FC2"/>
    <w:pPr>
      <w:widowControl w:val="0"/>
      <w:autoSpaceDE w:val="0"/>
      <w:autoSpaceDN w:val="0"/>
      <w:spacing w:line="240" w:lineRule="auto"/>
      <w:jc w:val="left"/>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6FC2"/>
    <w:pPr>
      <w:widowControl w:val="0"/>
      <w:autoSpaceDE w:val="0"/>
      <w:autoSpaceDN w:val="0"/>
      <w:spacing w:after="0" w:line="210" w:lineRule="exact"/>
      <w:ind w:left="0" w:right="0" w:firstLine="0"/>
      <w:jc w:val="left"/>
    </w:pPr>
    <w:rPr>
      <w:rFonts w:ascii="Times New Roman" w:eastAsia="Times New Roman" w:hAnsi="Times New Roman" w:cs="Times New Roman"/>
      <w:color w:val="auto"/>
      <w:sz w:val="22"/>
      <w:lang w:eastAsia="en-US"/>
    </w:rPr>
  </w:style>
  <w:style w:type="character" w:styleId="UnresolvedMention">
    <w:name w:val="Unresolved Mention"/>
    <w:basedOn w:val="DefaultParagraphFont"/>
    <w:uiPriority w:val="99"/>
    <w:semiHidden/>
    <w:unhideWhenUsed/>
    <w:rsid w:val="008D6FC2"/>
    <w:rPr>
      <w:color w:val="605E5C"/>
      <w:shd w:val="clear" w:color="auto" w:fill="E1DFDD"/>
    </w:rPr>
  </w:style>
  <w:style w:type="paragraph" w:styleId="NormalWeb">
    <w:name w:val="Normal (Web)"/>
    <w:basedOn w:val="Normal"/>
    <w:uiPriority w:val="99"/>
    <w:semiHidden/>
    <w:unhideWhenUsed/>
    <w:rsid w:val="008D6FC2"/>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HeaderChar">
    <w:name w:val="Header Char"/>
    <w:basedOn w:val="DefaultParagraphFont"/>
    <w:link w:val="Header"/>
    <w:uiPriority w:val="99"/>
    <w:rsid w:val="008D6FC2"/>
    <w:rPr>
      <w:rFonts w:ascii="Times New Roman" w:eastAsia="Times New Roman" w:hAnsi="Times New Roman" w:cs="Times New Roman"/>
      <w:kern w:val="0"/>
      <w:sz w:val="22"/>
      <w:szCs w:val="22"/>
      <w:lang w:val="en"/>
      <w14:ligatures w14:val="none"/>
    </w:rPr>
  </w:style>
  <w:style w:type="paragraph" w:styleId="Footer">
    <w:name w:val="footer"/>
    <w:basedOn w:val="Normal"/>
    <w:link w:val="Foot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FooterChar">
    <w:name w:val="Footer Char"/>
    <w:basedOn w:val="DefaultParagraphFont"/>
    <w:link w:val="Footer"/>
    <w:uiPriority w:val="99"/>
    <w:rsid w:val="008D6FC2"/>
    <w:rPr>
      <w:rFonts w:ascii="Times New Roman" w:eastAsia="Times New Roman" w:hAnsi="Times New Roman" w:cs="Times New Roman"/>
      <w:kern w:val="0"/>
      <w:sz w:val="22"/>
      <w:szCs w:val="22"/>
      <w:lang w:val="en"/>
      <w14:ligatures w14:val="none"/>
    </w:rPr>
  </w:style>
  <w:style w:type="paragraph" w:customStyle="1" w:styleId="Style3">
    <w:name w:val="Style3"/>
    <w:basedOn w:val="Normal"/>
    <w:link w:val="Style3Char"/>
    <w:qFormat/>
    <w:rsid w:val="008D6FC2"/>
    <w:pPr>
      <w:pBdr>
        <w:top w:val="single" w:sz="4" w:space="0" w:color="000000"/>
        <w:left w:val="single" w:sz="4" w:space="0" w:color="000000"/>
        <w:bottom w:val="single" w:sz="4" w:space="0" w:color="000000"/>
        <w:right w:val="single" w:sz="4" w:space="0" w:color="000000"/>
      </w:pBdr>
      <w:spacing w:after="4"/>
      <w:ind w:left="96" w:right="196"/>
    </w:pPr>
  </w:style>
  <w:style w:type="character" w:customStyle="1" w:styleId="Style3Char">
    <w:name w:val="Style3 Char"/>
    <w:basedOn w:val="DefaultParagraphFont"/>
    <w:link w:val="Style3"/>
    <w:rsid w:val="008D6FC2"/>
    <w:rPr>
      <w:rFonts w:ascii="Arial" w:eastAsia="Arial" w:hAnsi="Arial" w:cs="Arial"/>
      <w:color w:val="000000"/>
      <w:kern w:val="0"/>
      <w:sz w:val="20"/>
      <w:szCs w:val="22"/>
      <w:lang w:val="en" w:eastAsia="en-ID"/>
      <w14:ligatures w14:val="none"/>
    </w:rPr>
  </w:style>
  <w:style w:type="character" w:styleId="Strong">
    <w:name w:val="Strong"/>
    <w:basedOn w:val="DefaultParagraphFont"/>
    <w:uiPriority w:val="22"/>
    <w:qFormat/>
    <w:rsid w:val="00A81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711</TotalTime>
  <Pages>9</Pages>
  <Words>4723</Words>
  <Characters>26925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Gyska Restiana</dc:creator>
  <cp:keywords/>
  <dc:description/>
  <cp:lastModifiedBy>Editor-1183</cp:lastModifiedBy>
  <cp:revision>38</cp:revision>
  <dcterms:created xsi:type="dcterms:W3CDTF">2026-01-06T15:31:00Z</dcterms:created>
  <dcterms:modified xsi:type="dcterms:W3CDTF">2026-01-19T11:41:00Z</dcterms:modified>
</cp:coreProperties>
</file>