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D070" w14:textId="77777777" w:rsidR="008679C5" w:rsidRDefault="008679C5" w:rsidP="005757C8">
      <w:pPr>
        <w:bidi w:val="0"/>
        <w:spacing w:after="0" w:line="240" w:lineRule="auto"/>
        <w:jc w:val="center"/>
        <w:rPr>
          <w:rFonts w:asciiTheme="majorBidi" w:hAnsiTheme="majorBidi" w:cstheme="majorBidi"/>
          <w:b/>
          <w:bCs/>
          <w:sz w:val="24"/>
          <w:szCs w:val="24"/>
        </w:rPr>
      </w:pPr>
      <w:r w:rsidRPr="008679C5">
        <w:rPr>
          <w:rFonts w:asciiTheme="majorBidi" w:hAnsiTheme="majorBidi" w:cstheme="majorBidi"/>
          <w:b/>
          <w:bCs/>
          <w:sz w:val="24"/>
          <w:szCs w:val="24"/>
        </w:rPr>
        <w:t xml:space="preserve">Original Research Article </w:t>
      </w:r>
    </w:p>
    <w:p w14:paraId="361C20E0" w14:textId="77777777" w:rsidR="008679C5" w:rsidRDefault="008679C5" w:rsidP="008679C5">
      <w:pPr>
        <w:bidi w:val="0"/>
        <w:spacing w:after="0" w:line="240" w:lineRule="auto"/>
        <w:jc w:val="center"/>
        <w:rPr>
          <w:rFonts w:asciiTheme="majorBidi" w:hAnsiTheme="majorBidi" w:cstheme="majorBidi"/>
          <w:b/>
          <w:bCs/>
          <w:sz w:val="24"/>
          <w:szCs w:val="24"/>
        </w:rPr>
      </w:pPr>
    </w:p>
    <w:p w14:paraId="3019C4C3" w14:textId="77777777" w:rsidR="006722B4" w:rsidRDefault="006722B4" w:rsidP="006722B4">
      <w:pPr>
        <w:bidi w:val="0"/>
        <w:spacing w:after="0" w:line="240" w:lineRule="auto"/>
        <w:jc w:val="center"/>
        <w:rPr>
          <w:rFonts w:asciiTheme="majorBidi" w:hAnsiTheme="majorBidi" w:cstheme="majorBidi"/>
          <w:b/>
          <w:bCs/>
          <w:sz w:val="24"/>
          <w:szCs w:val="24"/>
        </w:rPr>
      </w:pPr>
    </w:p>
    <w:p w14:paraId="01AEE047" w14:textId="774AD759" w:rsidR="006722B4" w:rsidRDefault="006722B4" w:rsidP="006722B4">
      <w:pPr>
        <w:bidi w:val="0"/>
        <w:spacing w:after="0" w:line="240" w:lineRule="auto"/>
        <w:jc w:val="center"/>
        <w:rPr>
          <w:rFonts w:asciiTheme="majorBidi" w:hAnsiTheme="majorBidi" w:cstheme="majorBidi"/>
          <w:b/>
          <w:bCs/>
          <w:sz w:val="24"/>
          <w:szCs w:val="24"/>
        </w:rPr>
      </w:pPr>
      <w:r w:rsidRPr="00E43554">
        <w:rPr>
          <w:rFonts w:asciiTheme="majorBidi" w:hAnsiTheme="majorBidi" w:cstheme="majorBidi"/>
          <w:b/>
          <w:bCs/>
          <w:sz w:val="24"/>
          <w:szCs w:val="24"/>
          <w:highlight w:val="yellow"/>
        </w:rPr>
        <w:t>Transaction Costs in Financing Knowledge-Based Firms: Empirical Evidence from Iran’s Innovation and Prosperity Fund</w:t>
      </w:r>
    </w:p>
    <w:p w14:paraId="2B11279C" w14:textId="77777777" w:rsidR="008679C5" w:rsidRDefault="008679C5" w:rsidP="008679C5">
      <w:pPr>
        <w:bidi w:val="0"/>
        <w:spacing w:after="0" w:line="240" w:lineRule="auto"/>
        <w:jc w:val="center"/>
        <w:rPr>
          <w:rFonts w:asciiTheme="majorBidi" w:hAnsiTheme="majorBidi" w:cstheme="majorBidi"/>
          <w:b/>
          <w:bCs/>
          <w:sz w:val="24"/>
          <w:szCs w:val="24"/>
        </w:rPr>
      </w:pPr>
    </w:p>
    <w:p w14:paraId="59D38689" w14:textId="77777777" w:rsidR="0075042B" w:rsidRDefault="0075042B" w:rsidP="0075042B">
      <w:pPr>
        <w:bidi w:val="0"/>
        <w:spacing w:after="0" w:line="240" w:lineRule="auto"/>
        <w:jc w:val="center"/>
        <w:rPr>
          <w:rFonts w:asciiTheme="majorBidi" w:hAnsiTheme="majorBidi" w:cstheme="majorBidi"/>
          <w:b/>
          <w:bCs/>
          <w:sz w:val="24"/>
          <w:szCs w:val="24"/>
        </w:rPr>
      </w:pPr>
    </w:p>
    <w:p w14:paraId="16FCF637" w14:textId="77777777" w:rsidR="0075042B" w:rsidRDefault="0075042B" w:rsidP="0075042B">
      <w:pPr>
        <w:bidi w:val="0"/>
        <w:spacing w:after="0" w:line="240" w:lineRule="auto"/>
        <w:jc w:val="center"/>
        <w:rPr>
          <w:rFonts w:asciiTheme="majorBidi" w:hAnsiTheme="majorBidi" w:cstheme="majorBidi"/>
          <w:b/>
          <w:bCs/>
          <w:sz w:val="24"/>
          <w:szCs w:val="24"/>
        </w:rPr>
      </w:pPr>
    </w:p>
    <w:p w14:paraId="42752D0B" w14:textId="77777777" w:rsidR="0075042B" w:rsidRDefault="0075042B" w:rsidP="0075042B">
      <w:pPr>
        <w:bidi w:val="0"/>
        <w:spacing w:after="0" w:line="240" w:lineRule="auto"/>
        <w:jc w:val="center"/>
        <w:rPr>
          <w:rFonts w:asciiTheme="majorBidi" w:hAnsiTheme="majorBidi" w:cstheme="majorBidi"/>
          <w:b/>
          <w:bCs/>
          <w:sz w:val="24"/>
          <w:szCs w:val="24"/>
        </w:rPr>
      </w:pPr>
    </w:p>
    <w:p w14:paraId="5B13E970" w14:textId="77777777" w:rsidR="0075042B" w:rsidRPr="00EB699C" w:rsidRDefault="0075042B" w:rsidP="0075042B">
      <w:pPr>
        <w:bidi w:val="0"/>
        <w:spacing w:after="0" w:line="240" w:lineRule="auto"/>
        <w:jc w:val="center"/>
        <w:rPr>
          <w:rFonts w:asciiTheme="majorBidi" w:hAnsiTheme="majorBidi" w:cstheme="majorBidi"/>
          <w:b/>
          <w:bCs/>
          <w:sz w:val="24"/>
          <w:szCs w:val="24"/>
        </w:rPr>
      </w:pPr>
    </w:p>
    <w:p w14:paraId="4FDE15DB" w14:textId="5E505067" w:rsidR="00EB699C" w:rsidRDefault="00EB699C" w:rsidP="005757C8">
      <w:pPr>
        <w:bidi w:val="0"/>
        <w:spacing w:after="0" w:line="240" w:lineRule="auto"/>
        <w:jc w:val="both"/>
        <w:rPr>
          <w:rFonts w:asciiTheme="majorBidi" w:hAnsiTheme="majorBidi" w:cstheme="majorBidi"/>
          <w:b/>
          <w:bCs/>
          <w:sz w:val="24"/>
          <w:szCs w:val="24"/>
        </w:rPr>
      </w:pPr>
      <w:r w:rsidRPr="008F00DF">
        <w:rPr>
          <w:rFonts w:asciiTheme="majorBidi" w:hAnsiTheme="majorBidi" w:cstheme="majorBidi"/>
          <w:b/>
          <w:bCs/>
          <w:sz w:val="24"/>
          <w:szCs w:val="24"/>
        </w:rPr>
        <w:t>Abstract</w:t>
      </w:r>
    </w:p>
    <w:p w14:paraId="4A2962FF" w14:textId="77777777" w:rsidR="004A55A2" w:rsidRPr="008F00DF" w:rsidRDefault="004A55A2" w:rsidP="004A55A2">
      <w:pPr>
        <w:bidi w:val="0"/>
        <w:spacing w:after="0" w:line="240" w:lineRule="auto"/>
        <w:jc w:val="both"/>
        <w:rPr>
          <w:rFonts w:asciiTheme="majorBidi" w:hAnsiTheme="majorBidi" w:cstheme="majorBidi"/>
          <w:b/>
          <w:bCs/>
          <w:sz w:val="24"/>
          <w:szCs w:val="24"/>
        </w:rPr>
      </w:pPr>
    </w:p>
    <w:p w14:paraId="6EE17F00" w14:textId="04C94363" w:rsidR="00EF42D3" w:rsidRPr="00EF42D3" w:rsidRDefault="00EF42D3" w:rsidP="00134C44">
      <w:pPr>
        <w:bidi w:val="0"/>
        <w:spacing w:after="0" w:line="240" w:lineRule="auto"/>
        <w:jc w:val="both"/>
        <w:rPr>
          <w:rFonts w:asciiTheme="majorBidi" w:hAnsiTheme="majorBidi" w:cstheme="majorBidi"/>
          <w:sz w:val="24"/>
          <w:szCs w:val="24"/>
        </w:rPr>
      </w:pPr>
      <w:r w:rsidRPr="00EF42D3">
        <w:rPr>
          <w:rFonts w:asciiTheme="majorBidi" w:hAnsiTheme="majorBidi" w:cstheme="majorBidi"/>
          <w:sz w:val="24"/>
          <w:szCs w:val="24"/>
        </w:rPr>
        <w:t>Transaction costs are critical in shaping financing accessibility and efficiency for knowledge-based companies</w:t>
      </w:r>
      <w:r w:rsidRPr="00162BB1">
        <w:rPr>
          <w:rFonts w:asciiTheme="majorBidi" w:hAnsiTheme="majorBidi" w:cstheme="majorBidi"/>
          <w:sz w:val="24"/>
          <w:szCs w:val="24"/>
          <w:highlight w:val="yellow"/>
        </w:rPr>
        <w:t xml:space="preserve">. </w:t>
      </w:r>
      <w:r w:rsidR="00162BB1" w:rsidRPr="00162BB1">
        <w:rPr>
          <w:rFonts w:asciiTheme="majorBidi" w:hAnsiTheme="majorBidi" w:cstheme="majorBidi"/>
          <w:sz w:val="24"/>
          <w:szCs w:val="24"/>
          <w:highlight w:val="yellow"/>
        </w:rPr>
        <w:t>This study investigates the transaction costs associated with financing via Iran’s Innovation and Prosperity Fund</w:t>
      </w:r>
      <w:r w:rsidR="00162BB1" w:rsidRPr="00162BB1">
        <w:rPr>
          <w:rFonts w:asciiTheme="majorBidi" w:hAnsiTheme="majorBidi" w:cstheme="majorBidi"/>
          <w:sz w:val="24"/>
          <w:szCs w:val="24"/>
        </w:rPr>
        <w:t>.</w:t>
      </w:r>
      <w:r w:rsidR="00CE145A">
        <w:rPr>
          <w:rFonts w:asciiTheme="majorBidi" w:hAnsiTheme="majorBidi" w:cstheme="majorBidi"/>
          <w:sz w:val="24"/>
          <w:szCs w:val="24"/>
        </w:rPr>
        <w:t xml:space="preserve"> </w:t>
      </w:r>
      <w:r w:rsidR="00DB6103" w:rsidRPr="004A56A4">
        <w:rPr>
          <w:rFonts w:asciiTheme="majorBidi" w:hAnsiTheme="majorBidi" w:cstheme="majorBidi"/>
          <w:sz w:val="24"/>
          <w:szCs w:val="24"/>
          <w:highlight w:val="yellow"/>
        </w:rPr>
        <w:t xml:space="preserve">In order to better </w:t>
      </w:r>
      <w:proofErr w:type="spellStart"/>
      <w:r w:rsidR="00E853A0" w:rsidRPr="004A56A4">
        <w:rPr>
          <w:rFonts w:asciiTheme="majorBidi" w:hAnsiTheme="majorBidi" w:cstheme="majorBidi"/>
          <w:sz w:val="24"/>
          <w:szCs w:val="24"/>
          <w:highlight w:val="yellow"/>
        </w:rPr>
        <w:t>analy</w:t>
      </w:r>
      <w:r w:rsidR="00E853A0">
        <w:rPr>
          <w:rFonts w:asciiTheme="majorBidi" w:hAnsiTheme="majorBidi" w:cstheme="majorBidi"/>
          <w:sz w:val="24"/>
          <w:szCs w:val="24"/>
          <w:highlight w:val="yellow"/>
        </w:rPr>
        <w:t>s</w:t>
      </w:r>
      <w:r w:rsidR="00E853A0" w:rsidRPr="004A56A4">
        <w:rPr>
          <w:rFonts w:asciiTheme="majorBidi" w:hAnsiTheme="majorBidi" w:cstheme="majorBidi"/>
          <w:sz w:val="24"/>
          <w:szCs w:val="24"/>
          <w:highlight w:val="yellow"/>
        </w:rPr>
        <w:t>e</w:t>
      </w:r>
      <w:proofErr w:type="spellEnd"/>
      <w:r w:rsidR="00E853A0" w:rsidRPr="004A56A4">
        <w:rPr>
          <w:rFonts w:asciiTheme="majorBidi" w:hAnsiTheme="majorBidi" w:cstheme="majorBidi"/>
          <w:sz w:val="24"/>
          <w:szCs w:val="24"/>
          <w:highlight w:val="yellow"/>
        </w:rPr>
        <w:t xml:space="preserve"> </w:t>
      </w:r>
      <w:r w:rsidR="00DB6103" w:rsidRPr="004A56A4">
        <w:rPr>
          <w:rFonts w:asciiTheme="majorBidi" w:hAnsiTheme="majorBidi" w:cstheme="majorBidi"/>
          <w:sz w:val="24"/>
          <w:szCs w:val="24"/>
          <w:highlight w:val="yellow"/>
        </w:rPr>
        <w:t>the transaction cost dimensions of knowledge-based companies, after calculating the transaction cost, the factors affecting it can be investigated in the framework of econometric analysis.</w:t>
      </w:r>
      <w:r w:rsidR="00F46D47" w:rsidRPr="00F46D47">
        <w:t xml:space="preserve"> </w:t>
      </w:r>
      <w:r w:rsidR="00567FB8" w:rsidRPr="00567FB8">
        <w:rPr>
          <w:rFonts w:asciiTheme="majorBidi" w:hAnsiTheme="majorBidi" w:cstheme="majorBidi"/>
          <w:sz w:val="24"/>
          <w:szCs w:val="24"/>
          <w:highlight w:val="yellow"/>
        </w:rPr>
        <w:t>A multi-stage random sampling method was employed to extract a sample of 123 knowledge-based companies from nearly 2000 facilities granted by the fund, for in-depth interviews and analysis.</w:t>
      </w:r>
      <w:r w:rsidR="00DB6103" w:rsidRPr="00567FB8">
        <w:rPr>
          <w:rFonts w:asciiTheme="majorBidi" w:hAnsiTheme="majorBidi" w:cstheme="majorBidi"/>
          <w:sz w:val="24"/>
          <w:szCs w:val="24"/>
          <w:highlight w:val="yellow"/>
        </w:rPr>
        <w:t xml:space="preserve"> </w:t>
      </w:r>
      <w:r w:rsidRPr="00FD18E5">
        <w:rPr>
          <w:rFonts w:asciiTheme="majorBidi" w:hAnsiTheme="majorBidi" w:cstheme="majorBidi"/>
          <w:sz w:val="24"/>
          <w:szCs w:val="24"/>
          <w:highlight w:val="yellow"/>
        </w:rPr>
        <w:t>Data from 123 companies reve</w:t>
      </w:r>
      <w:r w:rsidRPr="00EF42D3">
        <w:rPr>
          <w:rFonts w:asciiTheme="majorBidi" w:hAnsiTheme="majorBidi" w:cstheme="majorBidi"/>
          <w:sz w:val="24"/>
          <w:szCs w:val="24"/>
        </w:rPr>
        <w:t>als that documentation, multi-stage payments, and collateral requirements are primary cost drivers. On average, transaction costs constitute 3.33% of the borrowed amount, adding 15.66% to overall financing costs. Smaller loans face higher transaction costs, and delays in financing increase costs due to opportunity losses. Indirect costs, such as document preparation, make up a significant portion of expenses. Econometric mode</w:t>
      </w:r>
      <w:r w:rsidR="00E853A0">
        <w:rPr>
          <w:rFonts w:asciiTheme="majorBidi" w:hAnsiTheme="majorBidi" w:cstheme="majorBidi"/>
          <w:sz w:val="24"/>
          <w:szCs w:val="24"/>
        </w:rPr>
        <w:t>l</w:t>
      </w:r>
      <w:r w:rsidRPr="00EF42D3">
        <w:rPr>
          <w:rFonts w:asciiTheme="majorBidi" w:hAnsiTheme="majorBidi" w:cstheme="majorBidi"/>
          <w:sz w:val="24"/>
          <w:szCs w:val="24"/>
        </w:rPr>
        <w:t xml:space="preserve">ling highlights the impact of loan </w:t>
      </w:r>
      <w:r w:rsidRPr="006451BF">
        <w:rPr>
          <w:rFonts w:asciiTheme="majorBidi" w:hAnsiTheme="majorBidi" w:cstheme="majorBidi"/>
          <w:sz w:val="24"/>
          <w:szCs w:val="24"/>
          <w:highlight w:val="yellow"/>
        </w:rPr>
        <w:t xml:space="preserve">size, payment structure, and delays on transaction costs. The study recommends measures to </w:t>
      </w:r>
      <w:proofErr w:type="spellStart"/>
      <w:r w:rsidR="00E853A0" w:rsidRPr="006451BF">
        <w:rPr>
          <w:rFonts w:asciiTheme="majorBidi" w:hAnsiTheme="majorBidi" w:cstheme="majorBidi"/>
          <w:sz w:val="24"/>
          <w:szCs w:val="24"/>
          <w:highlight w:val="yellow"/>
        </w:rPr>
        <w:t>optimise</w:t>
      </w:r>
      <w:proofErr w:type="spellEnd"/>
      <w:r w:rsidR="00E853A0" w:rsidRPr="006451BF">
        <w:rPr>
          <w:rFonts w:asciiTheme="majorBidi" w:hAnsiTheme="majorBidi" w:cstheme="majorBidi"/>
          <w:sz w:val="24"/>
          <w:szCs w:val="24"/>
          <w:highlight w:val="yellow"/>
        </w:rPr>
        <w:t xml:space="preserve"> </w:t>
      </w:r>
      <w:r w:rsidRPr="006451BF">
        <w:rPr>
          <w:rFonts w:asciiTheme="majorBidi" w:hAnsiTheme="majorBidi" w:cstheme="majorBidi"/>
          <w:sz w:val="24"/>
          <w:szCs w:val="24"/>
          <w:highlight w:val="yellow"/>
        </w:rPr>
        <w:t xml:space="preserve">the process, including streamlining documentation, reducing payment stages, implementing credit ratings to </w:t>
      </w:r>
      <w:proofErr w:type="spellStart"/>
      <w:r w:rsidR="00E853A0" w:rsidRPr="006451BF">
        <w:rPr>
          <w:rFonts w:asciiTheme="majorBidi" w:hAnsiTheme="majorBidi" w:cstheme="majorBidi"/>
          <w:sz w:val="24"/>
          <w:szCs w:val="24"/>
          <w:highlight w:val="yellow"/>
        </w:rPr>
        <w:t>minimise</w:t>
      </w:r>
      <w:proofErr w:type="spellEnd"/>
      <w:r w:rsidR="00E853A0" w:rsidRPr="006451BF">
        <w:rPr>
          <w:rFonts w:asciiTheme="majorBidi" w:hAnsiTheme="majorBidi" w:cstheme="majorBidi"/>
          <w:sz w:val="24"/>
          <w:szCs w:val="24"/>
          <w:highlight w:val="yellow"/>
        </w:rPr>
        <w:t xml:space="preserve"> </w:t>
      </w:r>
      <w:r w:rsidRPr="006451BF">
        <w:rPr>
          <w:rFonts w:asciiTheme="majorBidi" w:hAnsiTheme="majorBidi" w:cstheme="majorBidi"/>
          <w:sz w:val="24"/>
          <w:szCs w:val="24"/>
          <w:highlight w:val="yellow"/>
        </w:rPr>
        <w:t>collater</w:t>
      </w:r>
      <w:r w:rsidRPr="00EF42D3">
        <w:rPr>
          <w:rFonts w:asciiTheme="majorBidi" w:hAnsiTheme="majorBidi" w:cstheme="majorBidi"/>
          <w:sz w:val="24"/>
          <w:szCs w:val="24"/>
        </w:rPr>
        <w:t>al costs, and speeding up loan approvals, which could improve the fund's competitiveness and financial accessibility for knowledge-based firms</w:t>
      </w:r>
      <w:r w:rsidRPr="00EF42D3">
        <w:rPr>
          <w:rFonts w:asciiTheme="majorBidi" w:hAnsiTheme="majorBidi" w:cs="Times New Roman"/>
          <w:sz w:val="24"/>
          <w:szCs w:val="24"/>
          <w:rtl/>
        </w:rPr>
        <w:t>.</w:t>
      </w:r>
    </w:p>
    <w:p w14:paraId="7D30C032" w14:textId="77777777" w:rsidR="00EF42D3" w:rsidRPr="00EF42D3" w:rsidRDefault="00EF42D3" w:rsidP="00EF42D3">
      <w:pPr>
        <w:spacing w:after="0" w:line="240" w:lineRule="auto"/>
        <w:rPr>
          <w:rFonts w:asciiTheme="majorBidi" w:hAnsiTheme="majorBidi" w:cstheme="majorBidi"/>
          <w:sz w:val="24"/>
          <w:szCs w:val="24"/>
        </w:rPr>
      </w:pPr>
    </w:p>
    <w:p w14:paraId="26BA0635" w14:textId="477A2912" w:rsidR="00EB699C" w:rsidRDefault="00EB699C" w:rsidP="005757C8">
      <w:pPr>
        <w:bidi w:val="0"/>
        <w:spacing w:after="0" w:line="240" w:lineRule="auto"/>
        <w:jc w:val="both"/>
        <w:rPr>
          <w:rFonts w:asciiTheme="majorBidi" w:hAnsiTheme="majorBidi" w:cstheme="majorBidi"/>
          <w:sz w:val="24"/>
          <w:szCs w:val="24"/>
        </w:rPr>
      </w:pPr>
      <w:r w:rsidRPr="00EB699C">
        <w:rPr>
          <w:rFonts w:asciiTheme="majorBidi" w:hAnsiTheme="majorBidi" w:cstheme="majorBidi"/>
          <w:b/>
          <w:bCs/>
          <w:sz w:val="24"/>
          <w:szCs w:val="24"/>
        </w:rPr>
        <w:t>Keywords</w:t>
      </w:r>
      <w:r w:rsidRPr="00EB699C">
        <w:rPr>
          <w:rFonts w:asciiTheme="majorBidi" w:hAnsiTheme="majorBidi" w:cstheme="majorBidi"/>
          <w:b/>
          <w:bCs/>
          <w:sz w:val="32"/>
          <w:szCs w:val="32"/>
        </w:rPr>
        <w:t xml:space="preserve">: </w:t>
      </w:r>
      <w:r w:rsidRPr="00EB699C">
        <w:rPr>
          <w:rFonts w:asciiTheme="majorBidi" w:hAnsiTheme="majorBidi" w:cstheme="majorBidi"/>
          <w:sz w:val="24"/>
          <w:szCs w:val="24"/>
        </w:rPr>
        <w:t>Transaction Costs, Knowledge-Based Companies, Financing, Iran, Innovation Fund</w:t>
      </w:r>
    </w:p>
    <w:p w14:paraId="67D32B10" w14:textId="77777777" w:rsidR="00134C44" w:rsidRPr="00EB699C" w:rsidRDefault="00134C44" w:rsidP="00134C44">
      <w:pPr>
        <w:bidi w:val="0"/>
        <w:spacing w:after="0" w:line="240" w:lineRule="auto"/>
        <w:jc w:val="both"/>
        <w:rPr>
          <w:rFonts w:asciiTheme="majorBidi" w:hAnsiTheme="majorBidi" w:cstheme="majorBidi"/>
          <w:sz w:val="24"/>
          <w:szCs w:val="24"/>
        </w:rPr>
      </w:pPr>
    </w:p>
    <w:p w14:paraId="29C01844" w14:textId="13D67E5A" w:rsidR="00F9482F" w:rsidRPr="00F9482F" w:rsidRDefault="00F9482F" w:rsidP="005757C8">
      <w:pPr>
        <w:bidi w:val="0"/>
        <w:spacing w:after="0" w:line="240" w:lineRule="auto"/>
        <w:rPr>
          <w:rFonts w:asciiTheme="majorBidi" w:hAnsiTheme="majorBidi" w:cstheme="majorBidi"/>
          <w:b/>
          <w:bCs/>
          <w:sz w:val="24"/>
          <w:szCs w:val="24"/>
        </w:rPr>
      </w:pPr>
      <w:r w:rsidRPr="00F9482F">
        <w:rPr>
          <w:rFonts w:asciiTheme="majorBidi" w:hAnsiTheme="majorBidi" w:cstheme="majorBidi"/>
          <w:b/>
          <w:bCs/>
          <w:sz w:val="24"/>
          <w:szCs w:val="24"/>
        </w:rPr>
        <w:t>Introduction</w:t>
      </w:r>
    </w:p>
    <w:p w14:paraId="033FBF2E" w14:textId="1B12F4F6" w:rsidR="00673B4B" w:rsidRDefault="00673B4B" w:rsidP="005757C8">
      <w:pPr>
        <w:pStyle w:val="NormalWeb"/>
        <w:spacing w:before="0" w:beforeAutospacing="0" w:after="0" w:afterAutospacing="0"/>
        <w:jc w:val="both"/>
      </w:pPr>
      <w:r>
        <w:t xml:space="preserve">Economic exchanges involve transaction costs, which are expenses incurred to control </w:t>
      </w:r>
      <w:proofErr w:type="spellStart"/>
      <w:r w:rsidRPr="006451BF">
        <w:rPr>
          <w:highlight w:val="yellow"/>
        </w:rPr>
        <w:t>behavio</w:t>
      </w:r>
      <w:r w:rsidR="00E853A0" w:rsidRPr="006451BF">
        <w:rPr>
          <w:highlight w:val="yellow"/>
        </w:rPr>
        <w:t>u</w:t>
      </w:r>
      <w:r w:rsidRPr="006451BF">
        <w:rPr>
          <w:highlight w:val="yellow"/>
        </w:rPr>
        <w:t>r</w:t>
      </w:r>
      <w:proofErr w:type="spellEnd"/>
      <w:r w:rsidRPr="006451BF">
        <w:rPr>
          <w:highlight w:val="yellow"/>
        </w:rPr>
        <w:t xml:space="preserve"> and monito</w:t>
      </w:r>
      <w:r>
        <w:t xml:space="preserve">r exchanges (Williamson, 1996). Coase introduced transaction cost economics in the 1960s, challenging classical economists' assumptions of frictionless exchange. Unlike traditional economic theories, this perspective acknowledges transaction costs. A core principle of new institutional economics is that institutions </w:t>
      </w:r>
      <w:r w:rsidRPr="006451BF">
        <w:rPr>
          <w:highlight w:val="yellow"/>
        </w:rPr>
        <w:t xml:space="preserve">evolve to </w:t>
      </w:r>
      <w:proofErr w:type="spellStart"/>
      <w:r w:rsidR="00E853A0" w:rsidRPr="006451BF">
        <w:rPr>
          <w:highlight w:val="yellow"/>
        </w:rPr>
        <w:t>minimise</w:t>
      </w:r>
      <w:proofErr w:type="spellEnd"/>
      <w:r w:rsidR="00E853A0" w:rsidRPr="006451BF">
        <w:rPr>
          <w:highlight w:val="yellow"/>
        </w:rPr>
        <w:t xml:space="preserve"> </w:t>
      </w:r>
      <w:r w:rsidRPr="006451BF">
        <w:rPr>
          <w:highlight w:val="yellow"/>
        </w:rPr>
        <w:t>these costs. North identified trans</w:t>
      </w:r>
      <w:r>
        <w:t>action costs as a major barrier to development in third-world countries (</w:t>
      </w:r>
      <w:proofErr w:type="spellStart"/>
      <w:r>
        <w:t>Libecap</w:t>
      </w:r>
      <w:proofErr w:type="spellEnd"/>
      <w:r>
        <w:t>, 2018). As transaction costs rise, economic efficiency declines, pushing entrepreneurs toward unproductive activities (</w:t>
      </w:r>
      <w:r w:rsidR="00A23298" w:rsidRPr="00A23298">
        <w:t>Reynolds</w:t>
      </w:r>
      <w:r w:rsidR="00A23298">
        <w:t>, 1992</w:t>
      </w:r>
      <w:r>
        <w:t xml:space="preserve">). </w:t>
      </w:r>
      <w:r w:rsidR="00A23298">
        <w:t>“</w:t>
      </w:r>
      <w:r w:rsidR="008C34D0" w:rsidRPr="008C34D0">
        <w:rPr>
          <w:highlight w:val="yellow"/>
        </w:rPr>
        <w:t>Identifying and understanding key factors that contribute significantly to economic performance is crucial for the development of effective economic policies</w:t>
      </w:r>
      <w:r w:rsidR="00A23298">
        <w:rPr>
          <w:highlight w:val="yellow"/>
        </w:rPr>
        <w:t>”</w:t>
      </w:r>
      <w:r w:rsidR="003E25C0">
        <w:rPr>
          <w:highlight w:val="yellow"/>
        </w:rPr>
        <w:t xml:space="preserve"> (</w:t>
      </w:r>
      <w:proofErr w:type="spellStart"/>
      <w:r w:rsidR="003E25C0" w:rsidRPr="003E25C0">
        <w:t>Aidara</w:t>
      </w:r>
      <w:proofErr w:type="spellEnd"/>
      <w:r w:rsidR="003E25C0">
        <w:t xml:space="preserve"> et al., 2021)</w:t>
      </w:r>
      <w:r w:rsidR="008C34D0" w:rsidRPr="008C34D0">
        <w:rPr>
          <w:highlight w:val="yellow"/>
        </w:rPr>
        <w:t>.</w:t>
      </w:r>
      <w:r w:rsidR="008C34D0" w:rsidRPr="008C34D0">
        <w:t xml:space="preserve"> </w:t>
      </w:r>
      <w:r>
        <w:t xml:space="preserve">Transaction costs also play a significant </w:t>
      </w:r>
      <w:r w:rsidRPr="006451BF">
        <w:rPr>
          <w:highlight w:val="yellow"/>
        </w:rPr>
        <w:t>role in economic performance by affecting knowledge</w:t>
      </w:r>
      <w:r>
        <w:t xml:space="preserve"> accumulation, </w:t>
      </w:r>
      <w:proofErr w:type="spellStart"/>
      <w:r w:rsidR="00E853A0">
        <w:t>specialisation</w:t>
      </w:r>
      <w:proofErr w:type="spellEnd"/>
      <w:r>
        <w:t xml:space="preserve">, </w:t>
      </w:r>
      <w:proofErr w:type="spellStart"/>
      <w:r>
        <w:t>labo</w:t>
      </w:r>
      <w:r w:rsidR="00E853A0">
        <w:t>u</w:t>
      </w:r>
      <w:r>
        <w:t>r</w:t>
      </w:r>
      <w:proofErr w:type="spellEnd"/>
      <w:r>
        <w:t xml:space="preserve"> division, and trade expansion (</w:t>
      </w:r>
      <w:proofErr w:type="spellStart"/>
      <w:r>
        <w:t>Fathollahi</w:t>
      </w:r>
      <w:proofErr w:type="spellEnd"/>
      <w:r>
        <w:t xml:space="preserve"> et al., 2014).</w:t>
      </w:r>
    </w:p>
    <w:p w14:paraId="3F95FC3D" w14:textId="3F4DAEFF" w:rsidR="00673B4B" w:rsidRDefault="00673B4B" w:rsidP="005757C8">
      <w:pPr>
        <w:pStyle w:val="NormalWeb"/>
        <w:spacing w:before="0" w:beforeAutospacing="0" w:after="0" w:afterAutospacing="0"/>
        <w:jc w:val="both"/>
      </w:pPr>
      <w:r>
        <w:t xml:space="preserve">In economies with </w:t>
      </w:r>
      <w:r w:rsidRPr="006451BF">
        <w:rPr>
          <w:highlight w:val="yellow"/>
        </w:rPr>
        <w:t xml:space="preserve">high transaction costs, particularly in developing countries, credit market inefficiencies hinder full </w:t>
      </w:r>
      <w:proofErr w:type="spellStart"/>
      <w:r w:rsidR="00E853A0" w:rsidRPr="006451BF">
        <w:rPr>
          <w:highlight w:val="yellow"/>
        </w:rPr>
        <w:t>utilisation</w:t>
      </w:r>
      <w:proofErr w:type="spellEnd"/>
      <w:r w:rsidR="00E853A0" w:rsidRPr="006451BF">
        <w:rPr>
          <w:highlight w:val="yellow"/>
        </w:rPr>
        <w:t xml:space="preserve"> </w:t>
      </w:r>
      <w:r w:rsidRPr="006451BF">
        <w:rPr>
          <w:highlight w:val="yellow"/>
        </w:rPr>
        <w:t>of financial</w:t>
      </w:r>
      <w:r>
        <w:t xml:space="preserve"> opportunities (</w:t>
      </w:r>
      <w:proofErr w:type="spellStart"/>
      <w:r>
        <w:t>Gabre-Madhin</w:t>
      </w:r>
      <w:proofErr w:type="spellEnd"/>
      <w:r>
        <w:t xml:space="preserve">, 2001). Reducing transaction costs fosters financial development, improving overall welfare and access to resources (Burgess &amp; </w:t>
      </w:r>
      <w:proofErr w:type="spellStart"/>
      <w:r>
        <w:t>Pande</w:t>
      </w:r>
      <w:proofErr w:type="spellEnd"/>
      <w:r>
        <w:t xml:space="preserve">, 2005; Suri &amp; Jack, 2016). This is especially important for </w:t>
      </w:r>
      <w:r>
        <w:lastRenderedPageBreak/>
        <w:t xml:space="preserve">knowledge-based companies, which are central to economic growth and development (Burke, 2000; </w:t>
      </w:r>
      <w:proofErr w:type="spellStart"/>
      <w:r>
        <w:t>GhaffariFard</w:t>
      </w:r>
      <w:proofErr w:type="spellEnd"/>
      <w:r>
        <w:t xml:space="preserve"> and </w:t>
      </w:r>
      <w:proofErr w:type="spellStart"/>
      <w:r>
        <w:t>MalekiNasr</w:t>
      </w:r>
      <w:proofErr w:type="spellEnd"/>
      <w:r>
        <w:t xml:space="preserve">, 2021). These companies face significant challenges in accessing financial resources, primarily due to traditional risk assessment models that </w:t>
      </w:r>
      <w:proofErr w:type="spellStart"/>
      <w:r w:rsidR="00E853A0" w:rsidRPr="006451BF">
        <w:rPr>
          <w:highlight w:val="yellow"/>
        </w:rPr>
        <w:t>prioritise</w:t>
      </w:r>
      <w:proofErr w:type="spellEnd"/>
      <w:r w:rsidR="00E853A0" w:rsidRPr="006451BF">
        <w:rPr>
          <w:highlight w:val="yellow"/>
        </w:rPr>
        <w:t xml:space="preserve"> </w:t>
      </w:r>
      <w:r w:rsidRPr="006451BF">
        <w:rPr>
          <w:highlight w:val="yellow"/>
        </w:rPr>
        <w:t>collateral and</w:t>
      </w:r>
      <w:r>
        <w:t xml:space="preserve"> historical track records, limiting their access to financing.</w:t>
      </w:r>
      <w:r w:rsidR="008B5B3D" w:rsidRPr="008B5B3D">
        <w:t xml:space="preserve"> </w:t>
      </w:r>
      <w:r w:rsidR="00A23298">
        <w:t>“</w:t>
      </w:r>
      <w:r w:rsidR="008B5B3D" w:rsidRPr="008B5B3D">
        <w:rPr>
          <w:highlight w:val="yellow"/>
        </w:rPr>
        <w:t xml:space="preserve">Risk management refers to the practice firms apply to make sure that the risks to which they are exposed are the risks to which they believe they may be exposed in order to maintain their core business operations. Firms identify the risk and then take any </w:t>
      </w:r>
      <w:r w:rsidR="00E853A0" w:rsidRPr="008B5B3D">
        <w:rPr>
          <w:highlight w:val="yellow"/>
        </w:rPr>
        <w:t>early</w:t>
      </w:r>
      <w:r w:rsidR="00E853A0">
        <w:rPr>
          <w:highlight w:val="yellow"/>
        </w:rPr>
        <w:t>-</w:t>
      </w:r>
      <w:r w:rsidR="008B5B3D" w:rsidRPr="008B5B3D">
        <w:rPr>
          <w:highlight w:val="yellow"/>
        </w:rPr>
        <w:t>stage or follow-up actions to handle deflections of real risk exposures from predetermined risk tolerances</w:t>
      </w:r>
      <w:r w:rsidR="00A23298">
        <w:rPr>
          <w:highlight w:val="yellow"/>
        </w:rPr>
        <w:t>”</w:t>
      </w:r>
      <w:r w:rsidR="008B5B3D" w:rsidRPr="008B5B3D">
        <w:rPr>
          <w:highlight w:val="yellow"/>
        </w:rPr>
        <w:t xml:space="preserve"> </w:t>
      </w:r>
      <w:r w:rsidR="00D63FF6">
        <w:rPr>
          <w:highlight w:val="yellow"/>
        </w:rPr>
        <w:t>(</w:t>
      </w:r>
      <w:proofErr w:type="spellStart"/>
      <w:r w:rsidR="00D63FF6" w:rsidRPr="00D63FF6">
        <w:t>Faedfar</w:t>
      </w:r>
      <w:proofErr w:type="spellEnd"/>
      <w:r w:rsidR="00D63FF6">
        <w:t xml:space="preserve"> et al., 2022</w:t>
      </w:r>
      <w:r w:rsidR="00B7357C">
        <w:t xml:space="preserve">; </w:t>
      </w:r>
      <w:r w:rsidR="00B7357C" w:rsidRPr="00B7357C">
        <w:t>Culp, 2001</w:t>
      </w:r>
      <w:r w:rsidR="00D63FF6">
        <w:t>)</w:t>
      </w:r>
      <w:r w:rsidR="008B5B3D" w:rsidRPr="008B5B3D">
        <w:rPr>
          <w:highlight w:val="yellow"/>
        </w:rPr>
        <w:t>.</w:t>
      </w:r>
    </w:p>
    <w:p w14:paraId="77FA7BCB" w14:textId="5B2F8195" w:rsidR="00673B4B" w:rsidRDefault="00673B4B" w:rsidP="005757C8">
      <w:pPr>
        <w:pStyle w:val="NormalWeb"/>
        <w:spacing w:before="0" w:beforeAutospacing="0" w:after="0" w:afterAutospacing="0"/>
        <w:jc w:val="both"/>
      </w:pPr>
      <w:r>
        <w:t xml:space="preserve">Knowledge-based companies often possess intangible assets, making it difficult to meet collateral requirements, especially for startups (Gorman, 2002). To reduce transaction costs for these companies, it is essential </w:t>
      </w:r>
      <w:r w:rsidRPr="006451BF">
        <w:rPr>
          <w:highlight w:val="yellow"/>
        </w:rPr>
        <w:t xml:space="preserve">to </w:t>
      </w:r>
      <w:proofErr w:type="spellStart"/>
      <w:r w:rsidR="00E853A0" w:rsidRPr="006451BF">
        <w:rPr>
          <w:highlight w:val="yellow"/>
        </w:rPr>
        <w:t>analyse</w:t>
      </w:r>
      <w:proofErr w:type="spellEnd"/>
      <w:r w:rsidR="00E853A0" w:rsidRPr="006451BF">
        <w:rPr>
          <w:highlight w:val="yellow"/>
        </w:rPr>
        <w:t xml:space="preserve"> </w:t>
      </w:r>
      <w:r w:rsidRPr="006451BF">
        <w:rPr>
          <w:highlight w:val="yellow"/>
        </w:rPr>
        <w:t>the s</w:t>
      </w:r>
      <w:r>
        <w:t>tructure and amount of these costs. Identifying the key factors contributing to transaction costs at various stages of the financing process will help streamline procedures and lower barriers, facilitating growth and innovation in knowledge-based companies.</w:t>
      </w:r>
    </w:p>
    <w:p w14:paraId="440BBFF2" w14:textId="488B07AC" w:rsidR="00A557C2" w:rsidRDefault="00A557C2" w:rsidP="005757C8">
      <w:pPr>
        <w:bidi w:val="0"/>
        <w:spacing w:after="0" w:line="240" w:lineRule="auto"/>
        <w:jc w:val="both"/>
        <w:rPr>
          <w:rFonts w:asciiTheme="majorBidi" w:hAnsiTheme="majorBidi" w:cstheme="majorBidi"/>
          <w:sz w:val="24"/>
          <w:szCs w:val="24"/>
        </w:rPr>
      </w:pPr>
      <w:r w:rsidRPr="00A557C2">
        <w:rPr>
          <w:rFonts w:asciiTheme="majorBidi" w:hAnsiTheme="majorBidi" w:cstheme="majorBidi"/>
          <w:sz w:val="24"/>
          <w:szCs w:val="24"/>
        </w:rPr>
        <w:t xml:space="preserve">This analysis will allow for a revision and redesign of the financing process, with the goal of streamlining the procedures and reducing the associated costs for knowledge-based companies. This research, aiming to assess the current situation, seeks to evaluate the transaction costs imposed on the recipients of financial support from an official fund in Iran, which provides financial assistance for innovations and technologies. Additionally, the study will explore the possibility of reducing these transaction costs by </w:t>
      </w:r>
      <w:r w:rsidRPr="006451BF">
        <w:rPr>
          <w:rFonts w:asciiTheme="majorBidi" w:hAnsiTheme="majorBidi" w:cstheme="majorBidi"/>
          <w:sz w:val="24"/>
          <w:szCs w:val="24"/>
          <w:highlight w:val="yellow"/>
        </w:rPr>
        <w:t xml:space="preserve">identifying and </w:t>
      </w:r>
      <w:proofErr w:type="spellStart"/>
      <w:r w:rsidR="00E853A0" w:rsidRPr="006451BF">
        <w:rPr>
          <w:rFonts w:asciiTheme="majorBidi" w:hAnsiTheme="majorBidi" w:cstheme="majorBidi"/>
          <w:sz w:val="24"/>
          <w:szCs w:val="24"/>
          <w:highlight w:val="yellow"/>
        </w:rPr>
        <w:t>analysing</w:t>
      </w:r>
      <w:proofErr w:type="spellEnd"/>
      <w:r w:rsidR="00E853A0" w:rsidRPr="006451BF">
        <w:rPr>
          <w:rFonts w:asciiTheme="majorBidi" w:hAnsiTheme="majorBidi" w:cstheme="majorBidi"/>
          <w:sz w:val="24"/>
          <w:szCs w:val="24"/>
          <w:highlight w:val="yellow"/>
        </w:rPr>
        <w:t xml:space="preserve"> </w:t>
      </w:r>
      <w:r w:rsidRPr="006451BF">
        <w:rPr>
          <w:rFonts w:asciiTheme="majorBidi" w:hAnsiTheme="majorBidi" w:cstheme="majorBidi"/>
          <w:sz w:val="24"/>
          <w:szCs w:val="24"/>
          <w:highlight w:val="yellow"/>
        </w:rPr>
        <w:t>thei</w:t>
      </w:r>
      <w:r w:rsidRPr="00A557C2">
        <w:rPr>
          <w:rFonts w:asciiTheme="majorBidi" w:hAnsiTheme="majorBidi" w:cstheme="majorBidi"/>
          <w:sz w:val="24"/>
          <w:szCs w:val="24"/>
        </w:rPr>
        <w:t>r underlying factors. This approach will help in improving the efficiency of the financing process, ultimately lowering the barriers to access for knowledge-based companies and facilitating their growth and innovation.</w:t>
      </w:r>
    </w:p>
    <w:p w14:paraId="41683B0F" w14:textId="3357A2C2" w:rsidR="00124771" w:rsidRPr="001D47D7" w:rsidRDefault="00124771" w:rsidP="005757C8">
      <w:pPr>
        <w:bidi w:val="0"/>
        <w:spacing w:after="0" w:line="240" w:lineRule="auto"/>
        <w:jc w:val="both"/>
        <w:rPr>
          <w:rFonts w:asciiTheme="majorBidi" w:hAnsiTheme="majorBidi" w:cstheme="majorBidi"/>
          <w:b/>
          <w:bCs/>
          <w:sz w:val="24"/>
          <w:szCs w:val="24"/>
        </w:rPr>
      </w:pPr>
      <w:r w:rsidRPr="001D47D7">
        <w:rPr>
          <w:rFonts w:asciiTheme="majorBidi" w:hAnsiTheme="majorBidi" w:cstheme="majorBidi"/>
          <w:b/>
          <w:bCs/>
          <w:sz w:val="24"/>
          <w:szCs w:val="24"/>
        </w:rPr>
        <w:t>Literature Review</w:t>
      </w:r>
    </w:p>
    <w:p w14:paraId="6182DD00" w14:textId="77777777" w:rsidR="005757C8" w:rsidRDefault="005757C8" w:rsidP="005757C8">
      <w:pPr>
        <w:pStyle w:val="NormalWeb"/>
        <w:spacing w:before="0" w:beforeAutospacing="0" w:after="0" w:afterAutospacing="0"/>
        <w:jc w:val="both"/>
      </w:pPr>
      <w:r>
        <w:t>The field of institutional economics, specifically the study of transaction costs, has evolved from being largely descriptive to more empirical over time. Early contributions to transaction cost theory stemmed from Coase (1937), who implicitly introduced the concept of "transaction costs" as the "cost of using the price mechanism" (Coase, 1937). While Coase didn't provide a formal definition, his work laid the groundwork for future studies. Arrow (1970), building on Coase, noted that transaction costs can delay or even prevent market formation, contributing to market failure when excessively high.</w:t>
      </w:r>
    </w:p>
    <w:p w14:paraId="74654561" w14:textId="18B22375" w:rsidR="005757C8" w:rsidRDefault="005757C8" w:rsidP="005757C8">
      <w:pPr>
        <w:pStyle w:val="NormalWeb"/>
        <w:spacing w:before="0" w:beforeAutospacing="0" w:after="0" w:afterAutospacing="0"/>
        <w:jc w:val="both"/>
      </w:pPr>
      <w:proofErr w:type="spellStart"/>
      <w:r>
        <w:t>Dahlman</w:t>
      </w:r>
      <w:proofErr w:type="spellEnd"/>
      <w:r>
        <w:t xml:space="preserve"> (1979) expanded Coase’s ideas </w:t>
      </w:r>
      <w:r w:rsidRPr="006451BF">
        <w:rPr>
          <w:highlight w:val="yellow"/>
        </w:rPr>
        <w:t xml:space="preserve">by </w:t>
      </w:r>
      <w:proofErr w:type="spellStart"/>
      <w:r w:rsidR="00E853A0" w:rsidRPr="006451BF">
        <w:rPr>
          <w:highlight w:val="yellow"/>
        </w:rPr>
        <w:t>categorising</w:t>
      </w:r>
      <w:proofErr w:type="spellEnd"/>
      <w:r w:rsidR="00E853A0" w:rsidRPr="006451BF">
        <w:rPr>
          <w:highlight w:val="yellow"/>
        </w:rPr>
        <w:t xml:space="preserve"> </w:t>
      </w:r>
      <w:r w:rsidRPr="006451BF">
        <w:rPr>
          <w:highlight w:val="yellow"/>
        </w:rPr>
        <w:t>transaction</w:t>
      </w:r>
      <w:r>
        <w:t xml:space="preserve"> costs into search and information costs, bargaining costs, and law enforcement costs, attributing these to the inefficiencies caused by incomplete information. Williamson (1985a, 1991) further developed the theory by drawing analogies between transaction costs and physical friction, dividing them into "front" and "back" costs—those incurred before and after an exchange, respectively. </w:t>
      </w:r>
      <w:proofErr w:type="spellStart"/>
      <w:r>
        <w:t>Eggertsson</w:t>
      </w:r>
      <w:proofErr w:type="spellEnd"/>
      <w:r>
        <w:t xml:space="preserve"> (1990) framed transaction costs as related to the exchange and exercise of property rights, highlighting activities such as searching for information, bargaining, contract enforcement, and protecting property rights.</w:t>
      </w:r>
    </w:p>
    <w:p w14:paraId="6C238828" w14:textId="05070E68" w:rsidR="005757C8" w:rsidRDefault="005757C8" w:rsidP="005757C8">
      <w:pPr>
        <w:pStyle w:val="NormalWeb"/>
        <w:spacing w:before="0" w:beforeAutospacing="0" w:after="0" w:afterAutospacing="0"/>
        <w:jc w:val="both"/>
      </w:pPr>
      <w:r>
        <w:t xml:space="preserve">Adams and </w:t>
      </w:r>
      <w:proofErr w:type="spellStart"/>
      <w:r>
        <w:t>Nahman</w:t>
      </w:r>
      <w:proofErr w:type="spellEnd"/>
      <w:r>
        <w:t xml:space="preserve"> (1979) explored transaction costs in borrowing, </w:t>
      </w:r>
      <w:proofErr w:type="spellStart"/>
      <w:r w:rsidR="00E853A0" w:rsidRPr="006451BF">
        <w:rPr>
          <w:highlight w:val="yellow"/>
        </w:rPr>
        <w:t>categorising</w:t>
      </w:r>
      <w:proofErr w:type="spellEnd"/>
      <w:r w:rsidR="00E853A0">
        <w:t xml:space="preserve"> </w:t>
      </w:r>
      <w:r>
        <w:t xml:space="preserve">them into lender-related costs, third-party coordination expenses, and borrower time and travel costs. Saito and Villanueva (1981) distinguished between administrative costs and non-repayment risk costs in lending, noting that reducing evaluation and monitoring costs can mitigate non-repayment risks. </w:t>
      </w:r>
      <w:proofErr w:type="spellStart"/>
      <w:r>
        <w:t>Yedra</w:t>
      </w:r>
      <w:proofErr w:type="spellEnd"/>
      <w:r>
        <w:t xml:space="preserve"> (1996) revealed that transaction costs for borrowers in developing economies ranged from 11% to 20% of total loan costs.</w:t>
      </w:r>
    </w:p>
    <w:p w14:paraId="2A2B525B" w14:textId="429D06EE" w:rsidR="005757C8" w:rsidRDefault="005757C8" w:rsidP="005757C8">
      <w:pPr>
        <w:pStyle w:val="NormalWeb"/>
        <w:spacing w:before="0" w:beforeAutospacing="0" w:after="0" w:afterAutospacing="0"/>
        <w:jc w:val="both"/>
      </w:pPr>
      <w:r>
        <w:t xml:space="preserve">The role of transaction costs in lending was further examined by Gorman (2002) in the context of knowledge-based businesses (KBBs), which struggle with traditional risk assessments due to their intangible assets. Studies in developing countries, such as </w:t>
      </w:r>
      <w:proofErr w:type="spellStart"/>
      <w:r>
        <w:t>Rweyemamu</w:t>
      </w:r>
      <w:proofErr w:type="spellEnd"/>
      <w:r>
        <w:t xml:space="preserve"> et al. (2003) in Tanzania, highlighted how transaction costs in borrowing—such as travel, legal fees, and </w:t>
      </w:r>
      <w:r>
        <w:lastRenderedPageBreak/>
        <w:t xml:space="preserve">opportunity costs—can burden borrowers. </w:t>
      </w:r>
      <w:proofErr w:type="spellStart"/>
      <w:r>
        <w:t>Chulangani</w:t>
      </w:r>
      <w:proofErr w:type="spellEnd"/>
      <w:r>
        <w:t xml:space="preserve"> and </w:t>
      </w:r>
      <w:proofErr w:type="spellStart"/>
      <w:r>
        <w:t>Ariyawardana</w:t>
      </w:r>
      <w:proofErr w:type="spellEnd"/>
      <w:r>
        <w:t xml:space="preserve"> (</w:t>
      </w:r>
      <w:r w:rsidRPr="006451BF">
        <w:rPr>
          <w:highlight w:val="yellow"/>
        </w:rPr>
        <w:t xml:space="preserve">2007) </w:t>
      </w:r>
      <w:proofErr w:type="spellStart"/>
      <w:r w:rsidR="00E853A0" w:rsidRPr="006451BF">
        <w:rPr>
          <w:highlight w:val="yellow"/>
        </w:rPr>
        <w:t>emphasised</w:t>
      </w:r>
      <w:proofErr w:type="spellEnd"/>
      <w:r w:rsidR="00E853A0" w:rsidRPr="006451BF">
        <w:rPr>
          <w:highlight w:val="yellow"/>
        </w:rPr>
        <w:t xml:space="preserve"> </w:t>
      </w:r>
      <w:r w:rsidRPr="006451BF">
        <w:rPr>
          <w:highlight w:val="yellow"/>
        </w:rPr>
        <w:t>that micro-enterprises in</w:t>
      </w:r>
      <w:r>
        <w:t xml:space="preserve"> Sri Lanka faced high transaction costs, despite lower interest rates for such businesses.</w:t>
      </w:r>
    </w:p>
    <w:p w14:paraId="5B032F38" w14:textId="1D1FBCCB" w:rsidR="005757C8" w:rsidRDefault="005757C8" w:rsidP="005757C8">
      <w:pPr>
        <w:pStyle w:val="NormalWeb"/>
        <w:spacing w:before="0" w:beforeAutospacing="0" w:after="0" w:afterAutospacing="0"/>
        <w:jc w:val="both"/>
      </w:pPr>
      <w:r>
        <w:t xml:space="preserve">In Africa, </w:t>
      </w:r>
      <w:proofErr w:type="spellStart"/>
      <w:r>
        <w:t>Nissanke</w:t>
      </w:r>
      <w:proofErr w:type="spellEnd"/>
      <w:r>
        <w:t xml:space="preserve"> and </w:t>
      </w:r>
      <w:proofErr w:type="spellStart"/>
      <w:r>
        <w:t>Aryeetey</w:t>
      </w:r>
      <w:proofErr w:type="spellEnd"/>
      <w:r>
        <w:t xml:space="preserve"> (2008) showed how transaction cost allocations differ by country, with commercial banks in </w:t>
      </w:r>
      <w:r w:rsidRPr="006451BF">
        <w:rPr>
          <w:highlight w:val="yellow"/>
        </w:rPr>
        <w:t xml:space="preserve">Ghana </w:t>
      </w:r>
      <w:proofErr w:type="spellStart"/>
      <w:r w:rsidR="00E853A0" w:rsidRPr="006451BF">
        <w:rPr>
          <w:highlight w:val="yellow"/>
        </w:rPr>
        <w:t>prioritising</w:t>
      </w:r>
      <w:proofErr w:type="spellEnd"/>
      <w:r w:rsidR="00E853A0" w:rsidRPr="006451BF">
        <w:rPr>
          <w:highlight w:val="yellow"/>
        </w:rPr>
        <w:t xml:space="preserve"> </w:t>
      </w:r>
      <w:r w:rsidRPr="006451BF">
        <w:rPr>
          <w:highlight w:val="yellow"/>
        </w:rPr>
        <w:t xml:space="preserve">inspection costs, while Nigerian banks focused on monitoring and enforcement. </w:t>
      </w:r>
      <w:proofErr w:type="spellStart"/>
      <w:r w:rsidRPr="006451BF">
        <w:rPr>
          <w:highlight w:val="yellow"/>
        </w:rPr>
        <w:t>Kakuru</w:t>
      </w:r>
      <w:proofErr w:type="spellEnd"/>
      <w:r w:rsidRPr="006451BF">
        <w:rPr>
          <w:highlight w:val="yellow"/>
        </w:rPr>
        <w:t xml:space="preserve"> (2008) expl</w:t>
      </w:r>
      <w:r>
        <w:t xml:space="preserve">ored transaction costs in small and micro-enterprise financing, noting systemic barriers for women entrepreneurs. </w:t>
      </w:r>
      <w:proofErr w:type="spellStart"/>
      <w:r>
        <w:t>Nguvava</w:t>
      </w:r>
      <w:proofErr w:type="spellEnd"/>
      <w:r>
        <w:t xml:space="preserve"> and </w:t>
      </w:r>
      <w:proofErr w:type="spellStart"/>
      <w:r>
        <w:t>Ngaruko</w:t>
      </w:r>
      <w:proofErr w:type="spellEnd"/>
      <w:r>
        <w:t xml:space="preserve"> (2016) in Tanzania identified key factors such as illiteracy and poor infrastructure as contributors to high transaction costs.</w:t>
      </w:r>
    </w:p>
    <w:p w14:paraId="24376018" w14:textId="77777777" w:rsidR="005757C8" w:rsidRDefault="005757C8" w:rsidP="005757C8">
      <w:pPr>
        <w:pStyle w:val="NormalWeb"/>
        <w:spacing w:before="0" w:beforeAutospacing="0" w:after="0" w:afterAutospacing="0"/>
        <w:jc w:val="both"/>
      </w:pPr>
      <w:r>
        <w:t xml:space="preserve">In recent years, technological solutions like blockchain have been studied for their potential to reduce transaction costs. Harder (2017) and Ahluwalia et al. (2020) suggested that blockchain could lower costs in financial markets, particularly in startup financing, by enhancing transparency and reducing inefficiencies. </w:t>
      </w:r>
      <w:proofErr w:type="spellStart"/>
      <w:r>
        <w:t>Boulahbel</w:t>
      </w:r>
      <w:proofErr w:type="spellEnd"/>
      <w:r>
        <w:t xml:space="preserve"> (2021) also explored Islamic finance’s role in reducing transaction costs for startups, specifically through Islamic crowdfunding, though challenges like regulatory frameworks and trust issues remain.</w:t>
      </w:r>
    </w:p>
    <w:p w14:paraId="622502C6" w14:textId="77777777" w:rsidR="00903EBC" w:rsidRDefault="00903EBC" w:rsidP="005757C8">
      <w:pPr>
        <w:pStyle w:val="NormalWeb"/>
        <w:spacing w:before="0" w:beforeAutospacing="0" w:after="0" w:afterAutospacing="0"/>
        <w:jc w:val="both"/>
      </w:pPr>
      <w:r>
        <w:t>The review of previous studies shows that while transaction costs in credit provision, particularly for knowledge-based companies, have been examined, there has been limited research on the specific transaction costs of financing knowledge-based companies. Therefore, the current research aims to fill this gap by calculating the transaction costs involved in granting facilities to these companies, identifying the processes and factors that influence these costs, and suggesting ways to reduce them. This effort is crucial for improving access to financing for knowledge-based businesses, which are often constrained by high transaction costs and inefficiencies in the financing ecosystem.</w:t>
      </w:r>
    </w:p>
    <w:p w14:paraId="078B2B97" w14:textId="77777777" w:rsidR="009F2A28" w:rsidRDefault="009F2A28" w:rsidP="005757C8">
      <w:pPr>
        <w:bidi w:val="0"/>
        <w:spacing w:after="0" w:line="240" w:lineRule="auto"/>
        <w:jc w:val="both"/>
        <w:rPr>
          <w:rFonts w:asciiTheme="majorBidi" w:hAnsiTheme="majorBidi" w:cstheme="majorBidi"/>
          <w:sz w:val="24"/>
          <w:szCs w:val="24"/>
        </w:rPr>
      </w:pPr>
      <w:r w:rsidRPr="009F2A28">
        <w:rPr>
          <w:rFonts w:asciiTheme="majorBidi" w:hAnsiTheme="majorBidi" w:cstheme="majorBidi"/>
          <w:b/>
          <w:bCs/>
          <w:sz w:val="24"/>
          <w:szCs w:val="24"/>
        </w:rPr>
        <w:t>Materials and Methods</w:t>
      </w:r>
    </w:p>
    <w:p w14:paraId="22255D47" w14:textId="77777777" w:rsidR="00C56BB9" w:rsidRPr="00C56BB9" w:rsidRDefault="00C56BB9" w:rsidP="00C56BB9">
      <w:p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sz w:val="24"/>
          <w:szCs w:val="24"/>
          <w:lang w:bidi="ar-SA"/>
        </w:rPr>
        <w:t>The credit exchange process, as depicted in Figure 1, consists of several stages, beginning with the receipt and registration of the applicant's credit request and culminating in the payment of facilities to the applicant, provided the loan is approved.</w:t>
      </w:r>
    </w:p>
    <w:p w14:paraId="0E7820DF"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Application Acceptance</w:t>
      </w:r>
      <w:r w:rsidRPr="00C56BB9">
        <w:rPr>
          <w:rFonts w:ascii="Times New Roman" w:eastAsia="Times New Roman" w:hAnsi="Times New Roman" w:cs="Times New Roman"/>
          <w:sz w:val="24"/>
          <w:szCs w:val="24"/>
          <w:lang w:bidi="ar-SA"/>
        </w:rPr>
        <w:t>: The process begins with the acceptance of the applicant's information and related documents, followed by sending the completed and signed worksheet to the fund.</w:t>
      </w:r>
    </w:p>
    <w:p w14:paraId="3191C7B4"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Evaluation</w:t>
      </w:r>
      <w:r w:rsidRPr="00C56BB9">
        <w:rPr>
          <w:rFonts w:ascii="Times New Roman" w:eastAsia="Times New Roman" w:hAnsi="Times New Roman" w:cs="Times New Roman"/>
          <w:sz w:val="24"/>
          <w:szCs w:val="24"/>
          <w:lang w:bidi="ar-SA"/>
        </w:rPr>
        <w:t>: The request is carefully reviewed by experts, who examine the application information, documents, and plans. The proposal is then sent to the relevant approval committee, which evaluates it based on various criteria. This step may be done internally or outsourced to fund brokers.</w:t>
      </w:r>
    </w:p>
    <w:p w14:paraId="40A7232D"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Approval</w:t>
      </w:r>
      <w:r w:rsidRPr="00C56BB9">
        <w:rPr>
          <w:rFonts w:ascii="Times New Roman" w:eastAsia="Times New Roman" w:hAnsi="Times New Roman" w:cs="Times New Roman"/>
          <w:sz w:val="24"/>
          <w:szCs w:val="24"/>
          <w:lang w:bidi="ar-SA"/>
        </w:rPr>
        <w:t>: In this step, the committee reviews the credit report and facility proposal. The proposal is then evaluated and defended by the trustee area, and once the relevant approval is issued, the company is notified.</w:t>
      </w:r>
    </w:p>
    <w:p w14:paraId="66FD4691"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Contract Conclusion</w:t>
      </w:r>
      <w:r w:rsidRPr="00C56BB9">
        <w:rPr>
          <w:rFonts w:ascii="Times New Roman" w:eastAsia="Times New Roman" w:hAnsi="Times New Roman" w:cs="Times New Roman"/>
          <w:sz w:val="24"/>
          <w:szCs w:val="24"/>
          <w:lang w:bidi="ar-SA"/>
        </w:rPr>
        <w:t>: Following approval, the contract is concluded after completing all necessary paperwork, legal checks, and document gathering. The contract is then signed by both parties.</w:t>
      </w:r>
    </w:p>
    <w:p w14:paraId="1D8924FC"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Payment</w:t>
      </w:r>
      <w:r w:rsidRPr="00C56BB9">
        <w:rPr>
          <w:rFonts w:ascii="Times New Roman" w:eastAsia="Times New Roman" w:hAnsi="Times New Roman" w:cs="Times New Roman"/>
          <w:sz w:val="24"/>
          <w:szCs w:val="24"/>
          <w:lang w:bidi="ar-SA"/>
        </w:rPr>
        <w:t>: Once the contract is signed, the first payment is made if no conditions are required for initial payment. For multi-stage payments, the monitoring process is initiated to confirm the subsequent payment stages.</w:t>
      </w:r>
    </w:p>
    <w:p w14:paraId="315C9823" w14:textId="77777777" w:rsid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Refund</w:t>
      </w:r>
      <w:r w:rsidRPr="00C56BB9">
        <w:rPr>
          <w:rFonts w:ascii="Times New Roman" w:eastAsia="Times New Roman" w:hAnsi="Times New Roman" w:cs="Times New Roman"/>
          <w:sz w:val="24"/>
          <w:szCs w:val="24"/>
          <w:lang w:bidi="ar-SA"/>
        </w:rPr>
        <w:t>: Finally, after the payments are completed and the breathing period has passed, the refund process is initiated, guided by the refund checks from the facility recipient and the claims collection procedure.</w:t>
      </w:r>
    </w:p>
    <w:p w14:paraId="2B65256C" w14:textId="77777777" w:rsidR="00D113A7" w:rsidRDefault="00D113A7" w:rsidP="00D113A7">
      <w:pPr>
        <w:bidi w:val="0"/>
        <w:spacing w:before="100" w:beforeAutospacing="1" w:after="100" w:afterAutospacing="1" w:line="240" w:lineRule="auto"/>
        <w:jc w:val="both"/>
        <w:rPr>
          <w:rFonts w:ascii="Times New Roman" w:eastAsia="Times New Roman" w:hAnsi="Times New Roman" w:cs="Times New Roman"/>
          <w:sz w:val="24"/>
          <w:szCs w:val="24"/>
          <w:lang w:bidi="ar-SA"/>
        </w:rPr>
      </w:pPr>
    </w:p>
    <w:p w14:paraId="19770D13" w14:textId="77777777" w:rsidR="00D113A7" w:rsidRPr="00C56BB9" w:rsidRDefault="00D113A7" w:rsidP="00D113A7">
      <w:pPr>
        <w:bidi w:val="0"/>
        <w:spacing w:before="100" w:beforeAutospacing="1" w:after="100" w:afterAutospacing="1" w:line="240" w:lineRule="auto"/>
        <w:jc w:val="both"/>
        <w:rPr>
          <w:rFonts w:ascii="Times New Roman" w:eastAsia="Times New Roman" w:hAnsi="Times New Roman" w:cs="Times New Roman"/>
          <w:sz w:val="24"/>
          <w:szCs w:val="24"/>
          <w:lang w:bidi="ar-SA"/>
        </w:rPr>
      </w:pPr>
    </w:p>
    <w:p w14:paraId="7C8FA251" w14:textId="77777777" w:rsidR="00B13215" w:rsidRPr="001D47D7" w:rsidRDefault="00CC4BC0" w:rsidP="005757C8">
      <w:pPr>
        <w:bidi w:val="0"/>
        <w:spacing w:after="0" w:line="240" w:lineRule="auto"/>
        <w:jc w:val="center"/>
        <w:rPr>
          <w:rFonts w:asciiTheme="majorBidi" w:hAnsiTheme="majorBidi" w:cstheme="majorBidi"/>
          <w:sz w:val="24"/>
          <w:szCs w:val="24"/>
        </w:rPr>
      </w:pPr>
      <w:r w:rsidRPr="001D47D7">
        <w:rPr>
          <w:rFonts w:asciiTheme="majorBidi" w:hAnsiTheme="majorBidi" w:cstheme="majorBidi"/>
          <w:noProof/>
          <w:sz w:val="24"/>
          <w:szCs w:val="24"/>
          <w:lang w:bidi="ar-SA"/>
        </w:rPr>
        <mc:AlternateContent>
          <mc:Choice Requires="wpg">
            <w:drawing>
              <wp:anchor distT="0" distB="0" distL="114300" distR="114300" simplePos="0" relativeHeight="251679744" behindDoc="0" locked="0" layoutInCell="1" allowOverlap="1" wp14:anchorId="1E2F5152" wp14:editId="184F83F8">
                <wp:simplePos x="0" y="0"/>
                <wp:positionH relativeFrom="column">
                  <wp:posOffset>396658</wp:posOffset>
                </wp:positionH>
                <wp:positionV relativeFrom="paragraph">
                  <wp:posOffset>125608</wp:posOffset>
                </wp:positionV>
                <wp:extent cx="4622800" cy="1178560"/>
                <wp:effectExtent l="0" t="0" r="25400" b="21590"/>
                <wp:wrapNone/>
                <wp:docPr id="15" name="Group 15"/>
                <wp:cNvGraphicFramePr/>
                <a:graphic xmlns:a="http://schemas.openxmlformats.org/drawingml/2006/main">
                  <a:graphicData uri="http://schemas.microsoft.com/office/word/2010/wordprocessingGroup">
                    <wpg:wgp>
                      <wpg:cNvGrpSpPr/>
                      <wpg:grpSpPr>
                        <a:xfrm>
                          <a:off x="0" y="0"/>
                          <a:ext cx="4622800" cy="1178560"/>
                          <a:chOff x="0" y="0"/>
                          <a:chExt cx="4622800" cy="1178560"/>
                        </a:xfrm>
                      </wpg:grpSpPr>
                      <wpg:grpSp>
                        <wpg:cNvPr id="9" name="Group 9"/>
                        <wpg:cNvGrpSpPr/>
                        <wpg:grpSpPr>
                          <a:xfrm>
                            <a:off x="0" y="0"/>
                            <a:ext cx="4622800" cy="1178560"/>
                            <a:chOff x="0" y="0"/>
                            <a:chExt cx="4622800" cy="1178560"/>
                          </a:xfrm>
                        </wpg:grpSpPr>
                        <wps:wsp>
                          <wps:cNvPr id="1" name="Rectangle 1"/>
                          <wps:cNvSpPr/>
                          <wps:spPr>
                            <a:xfrm>
                              <a:off x="0" y="0"/>
                              <a:ext cx="4622800" cy="1178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Text Box 3"/>
                          <wps:cNvSpPr txBox="1"/>
                          <wps:spPr>
                            <a:xfrm>
                              <a:off x="50800" y="96520"/>
                              <a:ext cx="1219200" cy="276225"/>
                            </a:xfrm>
                            <a:prstGeom prst="rect">
                              <a:avLst/>
                            </a:prstGeom>
                            <a:solidFill>
                              <a:schemeClr val="lt1"/>
                            </a:solidFill>
                            <a:ln w="6350">
                              <a:solidFill>
                                <a:prstClr val="black"/>
                              </a:solidFill>
                            </a:ln>
                          </wps:spPr>
                          <wps:txbx>
                            <w:txbxContent>
                              <w:p w14:paraId="21C6827A" w14:textId="77777777" w:rsidR="00DE18B5" w:rsidRDefault="00DE18B5" w:rsidP="00102F12">
                                <w:pPr>
                                  <w:jc w:val="center"/>
                                  <w:rPr>
                                    <w:rFonts w:asciiTheme="majorBidi" w:hAnsiTheme="majorBidi" w:cstheme="majorBidi"/>
                                    <w:sz w:val="20"/>
                                    <w:szCs w:val="20"/>
                                  </w:rPr>
                                </w:pPr>
                                <w:r w:rsidRPr="008E50EA">
                                  <w:rPr>
                                    <w:rFonts w:asciiTheme="majorBidi" w:hAnsiTheme="majorBidi" w:cstheme="majorBidi"/>
                                    <w:sz w:val="20"/>
                                    <w:szCs w:val="20"/>
                                  </w:rPr>
                                  <w:t>Request acceptance</w:t>
                                </w:r>
                              </w:p>
                              <w:p w14:paraId="57883A5E" w14:textId="77777777" w:rsidR="00DE18B5" w:rsidRDefault="00DE18B5" w:rsidP="008E50EA">
                                <w:pPr>
                                  <w:jc w:val="right"/>
                                  <w:rPr>
                                    <w:rFonts w:asciiTheme="majorBidi" w:hAnsiTheme="majorBidi" w:cstheme="majorBidi"/>
                                    <w:sz w:val="20"/>
                                    <w:szCs w:val="20"/>
                                    <w:rtl/>
                                  </w:rPr>
                                </w:pPr>
                              </w:p>
                              <w:p w14:paraId="2033FCE5" w14:textId="77777777" w:rsidR="00DE18B5" w:rsidRDefault="00DE18B5" w:rsidP="008E50EA">
                                <w:pPr>
                                  <w:jc w:val="right"/>
                                  <w:rPr>
                                    <w:rFonts w:asciiTheme="majorBidi" w:hAnsiTheme="majorBidi" w:cstheme="majorBidi"/>
                                    <w:sz w:val="20"/>
                                    <w:szCs w:val="20"/>
                                    <w:rtl/>
                                  </w:rPr>
                                </w:pPr>
                              </w:p>
                              <w:p w14:paraId="0579A161" w14:textId="77777777" w:rsidR="00DE18B5" w:rsidRDefault="00DE18B5" w:rsidP="008E50EA">
                                <w:pPr>
                                  <w:jc w:val="right"/>
                                  <w:rPr>
                                    <w:rFonts w:asciiTheme="majorBidi" w:hAnsiTheme="majorBidi" w:cstheme="majorBidi"/>
                                    <w:sz w:val="20"/>
                                    <w:szCs w:val="20"/>
                                    <w:rtl/>
                                  </w:rPr>
                                </w:pPr>
                              </w:p>
                              <w:p w14:paraId="2630C4F5" w14:textId="77777777" w:rsidR="00DE18B5" w:rsidRPr="008E50EA" w:rsidRDefault="00DE18B5"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4" name="Text Box 4"/>
                          <wps:cNvSpPr txBox="1"/>
                          <wps:spPr>
                            <a:xfrm>
                              <a:off x="1686560" y="96520"/>
                              <a:ext cx="1219200" cy="276225"/>
                            </a:xfrm>
                            <a:prstGeom prst="rect">
                              <a:avLst/>
                            </a:prstGeom>
                            <a:solidFill>
                              <a:sysClr val="window" lastClr="FFFFFF"/>
                            </a:solidFill>
                            <a:ln w="6350">
                              <a:solidFill>
                                <a:prstClr val="black"/>
                              </a:solidFill>
                            </a:ln>
                          </wps:spPr>
                          <wps:txbx>
                            <w:txbxContent>
                              <w:p w14:paraId="0AFD8429" w14:textId="77777777" w:rsidR="00DE18B5" w:rsidRDefault="00DE18B5" w:rsidP="00102F12">
                                <w:pPr>
                                  <w:jc w:val="center"/>
                                  <w:rPr>
                                    <w:rFonts w:asciiTheme="majorBidi" w:hAnsiTheme="majorBidi" w:cstheme="majorBidi"/>
                                    <w:sz w:val="20"/>
                                    <w:szCs w:val="20"/>
                                    <w:rtl/>
                                  </w:rPr>
                                </w:pPr>
                                <w:r w:rsidRPr="00DB095C">
                                  <w:rPr>
                                    <w:rFonts w:asciiTheme="majorBidi" w:hAnsiTheme="majorBidi" w:cstheme="majorBidi"/>
                                    <w:sz w:val="20"/>
                                    <w:szCs w:val="20"/>
                                  </w:rPr>
                                  <w:t>Request evaluation</w:t>
                                </w:r>
                              </w:p>
                              <w:p w14:paraId="3AC3D297" w14:textId="77777777" w:rsidR="00DE18B5" w:rsidRDefault="00DE18B5" w:rsidP="008E50EA">
                                <w:pPr>
                                  <w:jc w:val="right"/>
                                  <w:rPr>
                                    <w:rFonts w:asciiTheme="majorBidi" w:hAnsiTheme="majorBidi" w:cstheme="majorBidi"/>
                                    <w:sz w:val="20"/>
                                    <w:szCs w:val="20"/>
                                    <w:rtl/>
                                  </w:rPr>
                                </w:pPr>
                              </w:p>
                              <w:p w14:paraId="0572BF74" w14:textId="77777777" w:rsidR="00DE18B5" w:rsidRDefault="00DE18B5" w:rsidP="008E50EA">
                                <w:pPr>
                                  <w:jc w:val="right"/>
                                  <w:rPr>
                                    <w:rFonts w:asciiTheme="majorBidi" w:hAnsiTheme="majorBidi" w:cstheme="majorBidi"/>
                                    <w:sz w:val="20"/>
                                    <w:szCs w:val="20"/>
                                    <w:rtl/>
                                  </w:rPr>
                                </w:pPr>
                              </w:p>
                              <w:p w14:paraId="1E277B64" w14:textId="77777777" w:rsidR="00DE18B5" w:rsidRPr="008E50EA" w:rsidRDefault="00DE18B5"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Text Box 5"/>
                          <wps:cNvSpPr txBox="1"/>
                          <wps:spPr>
                            <a:xfrm>
                              <a:off x="3337560" y="96520"/>
                              <a:ext cx="1219200" cy="276225"/>
                            </a:xfrm>
                            <a:prstGeom prst="rect">
                              <a:avLst/>
                            </a:prstGeom>
                            <a:solidFill>
                              <a:sysClr val="window" lastClr="FFFFFF"/>
                            </a:solidFill>
                            <a:ln w="6350">
                              <a:solidFill>
                                <a:prstClr val="black"/>
                              </a:solidFill>
                            </a:ln>
                          </wps:spPr>
                          <wps:txbx>
                            <w:txbxContent>
                              <w:p w14:paraId="2AEE34E2" w14:textId="77777777" w:rsidR="00DE18B5" w:rsidRDefault="00DE18B5" w:rsidP="00102F12">
                                <w:pPr>
                                  <w:jc w:val="center"/>
                                  <w:rPr>
                                    <w:rFonts w:asciiTheme="majorBidi" w:hAnsiTheme="majorBidi" w:cstheme="majorBidi"/>
                                    <w:sz w:val="20"/>
                                    <w:szCs w:val="20"/>
                                    <w:rtl/>
                                  </w:rPr>
                                </w:pPr>
                                <w:r w:rsidRPr="00DB095C">
                                  <w:rPr>
                                    <w:rFonts w:asciiTheme="majorBidi" w:hAnsiTheme="majorBidi" w:cstheme="majorBidi"/>
                                    <w:sz w:val="20"/>
                                    <w:szCs w:val="20"/>
                                  </w:rPr>
                                  <w:t>Approval process</w:t>
                                </w:r>
                              </w:p>
                              <w:p w14:paraId="0F6F9E57" w14:textId="77777777" w:rsidR="00DE18B5" w:rsidRDefault="00DE18B5" w:rsidP="008E50EA">
                                <w:pPr>
                                  <w:jc w:val="right"/>
                                  <w:rPr>
                                    <w:rFonts w:asciiTheme="majorBidi" w:hAnsiTheme="majorBidi" w:cstheme="majorBidi"/>
                                    <w:sz w:val="20"/>
                                    <w:szCs w:val="20"/>
                                    <w:rtl/>
                                  </w:rPr>
                                </w:pPr>
                              </w:p>
                              <w:p w14:paraId="481A3A16" w14:textId="77777777" w:rsidR="00DE18B5" w:rsidRDefault="00DE18B5" w:rsidP="008E50EA">
                                <w:pPr>
                                  <w:jc w:val="right"/>
                                  <w:rPr>
                                    <w:rFonts w:asciiTheme="majorBidi" w:hAnsiTheme="majorBidi" w:cstheme="majorBidi"/>
                                    <w:sz w:val="20"/>
                                    <w:szCs w:val="20"/>
                                    <w:rtl/>
                                  </w:rPr>
                                </w:pPr>
                              </w:p>
                              <w:p w14:paraId="31332699" w14:textId="77777777" w:rsidR="00DE18B5" w:rsidRPr="008E50EA" w:rsidRDefault="00DE18B5"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Text Box 6"/>
                          <wps:cNvSpPr txBox="1"/>
                          <wps:spPr>
                            <a:xfrm>
                              <a:off x="3357880" y="838200"/>
                              <a:ext cx="1219200" cy="276225"/>
                            </a:xfrm>
                            <a:prstGeom prst="rect">
                              <a:avLst/>
                            </a:prstGeom>
                            <a:solidFill>
                              <a:sysClr val="window" lastClr="FFFFFF"/>
                            </a:solidFill>
                            <a:ln w="6350">
                              <a:solidFill>
                                <a:prstClr val="black"/>
                              </a:solidFill>
                            </a:ln>
                          </wps:spPr>
                          <wps:txbx>
                            <w:txbxContent>
                              <w:p w14:paraId="04EB8143" w14:textId="77777777" w:rsidR="00DE18B5" w:rsidRDefault="00DE18B5" w:rsidP="00102F12">
                                <w:pPr>
                                  <w:jc w:val="center"/>
                                  <w:rPr>
                                    <w:rFonts w:asciiTheme="majorBidi" w:hAnsiTheme="majorBidi" w:cstheme="majorBidi"/>
                                    <w:sz w:val="20"/>
                                    <w:szCs w:val="20"/>
                                    <w:rtl/>
                                  </w:rPr>
                                </w:pPr>
                                <w:r>
                                  <w:rPr>
                                    <w:rFonts w:asciiTheme="majorBidi" w:hAnsiTheme="majorBidi" w:cstheme="majorBidi"/>
                                    <w:sz w:val="20"/>
                                    <w:szCs w:val="20"/>
                                  </w:rPr>
                                  <w:t>Made</w:t>
                                </w:r>
                                <w:r w:rsidRPr="00DB095C">
                                  <w:rPr>
                                    <w:rFonts w:asciiTheme="majorBidi" w:hAnsiTheme="majorBidi" w:cstheme="majorBidi"/>
                                    <w:sz w:val="20"/>
                                    <w:szCs w:val="20"/>
                                  </w:rPr>
                                  <w:t xml:space="preserve"> contract</w:t>
                                </w:r>
                              </w:p>
                              <w:p w14:paraId="59CAAC1F" w14:textId="77777777" w:rsidR="00DE18B5" w:rsidRDefault="00DE18B5" w:rsidP="008E50EA">
                                <w:pPr>
                                  <w:jc w:val="right"/>
                                  <w:rPr>
                                    <w:rFonts w:asciiTheme="majorBidi" w:hAnsiTheme="majorBidi" w:cstheme="majorBidi"/>
                                    <w:sz w:val="20"/>
                                    <w:szCs w:val="20"/>
                                    <w:rtl/>
                                  </w:rPr>
                                </w:pPr>
                              </w:p>
                              <w:p w14:paraId="4F3A17B9" w14:textId="77777777" w:rsidR="00DE18B5" w:rsidRDefault="00DE18B5" w:rsidP="008E50EA">
                                <w:pPr>
                                  <w:jc w:val="right"/>
                                  <w:rPr>
                                    <w:rFonts w:asciiTheme="majorBidi" w:hAnsiTheme="majorBidi" w:cstheme="majorBidi"/>
                                    <w:sz w:val="20"/>
                                    <w:szCs w:val="20"/>
                                    <w:rtl/>
                                  </w:rPr>
                                </w:pPr>
                              </w:p>
                              <w:p w14:paraId="02ACF4B8" w14:textId="77777777" w:rsidR="00DE18B5" w:rsidRPr="008E50EA" w:rsidRDefault="00DE18B5"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 name="Text Box 7"/>
                          <wps:cNvSpPr txBox="1"/>
                          <wps:spPr>
                            <a:xfrm>
                              <a:off x="1590040" y="838200"/>
                              <a:ext cx="1361440" cy="276225"/>
                            </a:xfrm>
                            <a:prstGeom prst="rect">
                              <a:avLst/>
                            </a:prstGeom>
                            <a:solidFill>
                              <a:sysClr val="window" lastClr="FFFFFF"/>
                            </a:solidFill>
                            <a:ln w="6350">
                              <a:solidFill>
                                <a:prstClr val="black"/>
                              </a:solidFill>
                            </a:ln>
                          </wps:spPr>
                          <wps:txbx>
                            <w:txbxContent>
                              <w:p w14:paraId="48C92091" w14:textId="77777777" w:rsidR="00DE18B5" w:rsidRDefault="00DE18B5" w:rsidP="00102F12">
                                <w:pPr>
                                  <w:jc w:val="center"/>
                                  <w:rPr>
                                    <w:rFonts w:asciiTheme="majorBidi" w:hAnsiTheme="majorBidi" w:cstheme="majorBidi"/>
                                    <w:sz w:val="20"/>
                                    <w:szCs w:val="20"/>
                                    <w:rtl/>
                                  </w:rPr>
                                </w:pPr>
                                <w:r>
                                  <w:rPr>
                                    <w:rFonts w:asciiTheme="majorBidi" w:hAnsiTheme="majorBidi" w:cstheme="majorBidi"/>
                                    <w:sz w:val="20"/>
                                    <w:szCs w:val="20"/>
                                  </w:rPr>
                                  <w:t xml:space="preserve">Payment &amp; </w:t>
                                </w:r>
                                <w:r w:rsidRPr="00102F12">
                                  <w:rPr>
                                    <w:rFonts w:asciiTheme="majorBidi" w:hAnsiTheme="majorBidi" w:cstheme="majorBidi"/>
                                    <w:sz w:val="20"/>
                                    <w:szCs w:val="20"/>
                                  </w:rPr>
                                  <w:t>monitoring</w:t>
                                </w:r>
                              </w:p>
                              <w:p w14:paraId="66F33AE2" w14:textId="77777777" w:rsidR="00DE18B5" w:rsidRDefault="00DE18B5" w:rsidP="008E50EA">
                                <w:pPr>
                                  <w:jc w:val="right"/>
                                  <w:rPr>
                                    <w:rFonts w:asciiTheme="majorBidi" w:hAnsiTheme="majorBidi" w:cstheme="majorBidi"/>
                                    <w:sz w:val="20"/>
                                    <w:szCs w:val="20"/>
                                    <w:rtl/>
                                  </w:rPr>
                                </w:pPr>
                              </w:p>
                              <w:p w14:paraId="1C26D2A3" w14:textId="77777777" w:rsidR="00DE18B5" w:rsidRDefault="00DE18B5" w:rsidP="008E50EA">
                                <w:pPr>
                                  <w:jc w:val="right"/>
                                  <w:rPr>
                                    <w:rFonts w:asciiTheme="majorBidi" w:hAnsiTheme="majorBidi" w:cstheme="majorBidi"/>
                                    <w:sz w:val="20"/>
                                    <w:szCs w:val="20"/>
                                    <w:rtl/>
                                  </w:rPr>
                                </w:pPr>
                              </w:p>
                              <w:p w14:paraId="186B6539" w14:textId="77777777" w:rsidR="00DE18B5" w:rsidRPr="008E50EA" w:rsidRDefault="00DE18B5"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 name="Text Box 8"/>
                          <wps:cNvSpPr txBox="1"/>
                          <wps:spPr>
                            <a:xfrm>
                              <a:off x="81280" y="838200"/>
                              <a:ext cx="1219200" cy="276225"/>
                            </a:xfrm>
                            <a:prstGeom prst="rect">
                              <a:avLst/>
                            </a:prstGeom>
                            <a:solidFill>
                              <a:sysClr val="window" lastClr="FFFFFF"/>
                            </a:solidFill>
                            <a:ln w="6350">
                              <a:solidFill>
                                <a:prstClr val="black"/>
                              </a:solidFill>
                            </a:ln>
                          </wps:spPr>
                          <wps:txbx>
                            <w:txbxContent>
                              <w:p w14:paraId="6CEACCD3" w14:textId="77777777" w:rsidR="00DE18B5" w:rsidRDefault="00DE18B5" w:rsidP="00102F12">
                                <w:pPr>
                                  <w:jc w:val="center"/>
                                  <w:rPr>
                                    <w:rFonts w:asciiTheme="majorBidi" w:hAnsiTheme="majorBidi" w:cstheme="majorBidi"/>
                                    <w:sz w:val="20"/>
                                    <w:szCs w:val="20"/>
                                    <w:rtl/>
                                  </w:rPr>
                                </w:pPr>
                                <w:r w:rsidRPr="00102F12">
                                  <w:rPr>
                                    <w:rFonts w:asciiTheme="majorBidi" w:hAnsiTheme="majorBidi" w:cstheme="majorBidi"/>
                                    <w:sz w:val="20"/>
                                    <w:szCs w:val="20"/>
                                  </w:rPr>
                                  <w:t>Repayment</w:t>
                                </w:r>
                              </w:p>
                              <w:p w14:paraId="06C0BA42" w14:textId="77777777" w:rsidR="00DE18B5" w:rsidRDefault="00DE18B5" w:rsidP="008E50EA">
                                <w:pPr>
                                  <w:jc w:val="right"/>
                                  <w:rPr>
                                    <w:rFonts w:asciiTheme="majorBidi" w:hAnsiTheme="majorBidi" w:cstheme="majorBidi"/>
                                    <w:sz w:val="20"/>
                                    <w:szCs w:val="20"/>
                                    <w:rtl/>
                                  </w:rPr>
                                </w:pPr>
                              </w:p>
                              <w:p w14:paraId="2AB63657" w14:textId="77777777" w:rsidR="00DE18B5" w:rsidRDefault="00DE18B5" w:rsidP="008E50EA">
                                <w:pPr>
                                  <w:jc w:val="right"/>
                                  <w:rPr>
                                    <w:rFonts w:asciiTheme="majorBidi" w:hAnsiTheme="majorBidi" w:cstheme="majorBidi"/>
                                    <w:sz w:val="20"/>
                                    <w:szCs w:val="20"/>
                                    <w:rtl/>
                                  </w:rPr>
                                </w:pPr>
                              </w:p>
                              <w:p w14:paraId="2B4F8292" w14:textId="77777777" w:rsidR="00DE18B5" w:rsidRPr="008E50EA" w:rsidRDefault="00DE18B5"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10" name="Right Arrow 10"/>
                        <wps:cNvSpPr/>
                        <wps:spPr>
                          <a:xfrm>
                            <a:off x="1298531" y="171189"/>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Right Arrow 11"/>
                        <wps:cNvSpPr/>
                        <wps:spPr>
                          <a:xfrm>
                            <a:off x="2931090" y="192066"/>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Right Arrow 12"/>
                        <wps:cNvSpPr/>
                        <wps:spPr>
                          <a:xfrm rot="10800000">
                            <a:off x="2956142" y="922751"/>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Right Arrow 13"/>
                        <wps:cNvSpPr/>
                        <wps:spPr>
                          <a:xfrm rot="10800000">
                            <a:off x="1311057" y="931102"/>
                            <a:ext cx="254696" cy="833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Right Arrow 14"/>
                        <wps:cNvSpPr/>
                        <wps:spPr>
                          <a:xfrm rot="5400000">
                            <a:off x="3741107" y="563671"/>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1E2F5152" id="Group 15" o:spid="_x0000_s1026" style="position:absolute;left:0;text-align:left;margin-left:31.25pt;margin-top:9.9pt;width:364pt;height:92.8pt;z-index:251679744" coordsize="46228,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">
                <v:group id="Group 9" o:spid="_x0000_s1027" style="position:absolute;width:46228;height:11785" coordsize="46228,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 o:spid="_x0000_s1028" style="position:absolute;width:46228;height:1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3" o:spid="_x0000_s1029" type="#_x0000_t202" style="position:absolute;left:508;top:965;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1C6827A" w14:textId="77777777" w:rsidR="00DE18B5" w:rsidRDefault="00DE18B5" w:rsidP="00102F12">
                          <w:pPr>
                            <w:jc w:val="center"/>
                            <w:rPr>
                              <w:rFonts w:asciiTheme="majorBidi" w:hAnsiTheme="majorBidi" w:cstheme="majorBidi"/>
                              <w:sz w:val="20"/>
                              <w:szCs w:val="20"/>
                            </w:rPr>
                          </w:pPr>
                          <w:r w:rsidRPr="008E50EA">
                            <w:rPr>
                              <w:rFonts w:asciiTheme="majorBidi" w:hAnsiTheme="majorBidi" w:cstheme="majorBidi"/>
                              <w:sz w:val="20"/>
                              <w:szCs w:val="20"/>
                            </w:rPr>
                            <w:t>Request acceptance</w:t>
                          </w:r>
                        </w:p>
                        <w:p w14:paraId="57883A5E" w14:textId="77777777" w:rsidR="00DE18B5" w:rsidRDefault="00DE18B5" w:rsidP="008E50EA">
                          <w:pPr>
                            <w:jc w:val="right"/>
                            <w:rPr>
                              <w:rFonts w:asciiTheme="majorBidi" w:hAnsiTheme="majorBidi" w:cstheme="majorBidi"/>
                              <w:sz w:val="20"/>
                              <w:szCs w:val="20"/>
                              <w:rtl/>
                            </w:rPr>
                          </w:pPr>
                        </w:p>
                        <w:p w14:paraId="2033FCE5" w14:textId="77777777" w:rsidR="00DE18B5" w:rsidRDefault="00DE18B5" w:rsidP="008E50EA">
                          <w:pPr>
                            <w:jc w:val="right"/>
                            <w:rPr>
                              <w:rFonts w:asciiTheme="majorBidi" w:hAnsiTheme="majorBidi" w:cstheme="majorBidi"/>
                              <w:sz w:val="20"/>
                              <w:szCs w:val="20"/>
                              <w:rtl/>
                            </w:rPr>
                          </w:pPr>
                        </w:p>
                        <w:p w14:paraId="0579A161" w14:textId="77777777" w:rsidR="00DE18B5" w:rsidRDefault="00DE18B5" w:rsidP="008E50EA">
                          <w:pPr>
                            <w:jc w:val="right"/>
                            <w:rPr>
                              <w:rFonts w:asciiTheme="majorBidi" w:hAnsiTheme="majorBidi" w:cstheme="majorBidi"/>
                              <w:sz w:val="20"/>
                              <w:szCs w:val="20"/>
                              <w:rtl/>
                            </w:rPr>
                          </w:pPr>
                        </w:p>
                        <w:p w14:paraId="2630C4F5" w14:textId="77777777" w:rsidR="00DE18B5" w:rsidRPr="008E50EA" w:rsidRDefault="00DE18B5" w:rsidP="008E50EA">
                          <w:pPr>
                            <w:jc w:val="right"/>
                            <w:rPr>
                              <w:rFonts w:asciiTheme="majorBidi" w:hAnsiTheme="majorBidi" w:cstheme="majorBidi"/>
                              <w:sz w:val="20"/>
                              <w:szCs w:val="20"/>
                            </w:rPr>
                          </w:pPr>
                        </w:p>
                      </w:txbxContent>
                    </v:textbox>
                  </v:shape>
                  <v:shape id="Text Box 4" o:spid="_x0000_s1030" type="#_x0000_t202" style="position:absolute;left:16865;top:965;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0AFD8429" w14:textId="77777777" w:rsidR="00DE18B5" w:rsidRDefault="00DE18B5" w:rsidP="00102F12">
                          <w:pPr>
                            <w:jc w:val="center"/>
                            <w:rPr>
                              <w:rFonts w:asciiTheme="majorBidi" w:hAnsiTheme="majorBidi" w:cstheme="majorBidi"/>
                              <w:sz w:val="20"/>
                              <w:szCs w:val="20"/>
                              <w:rtl/>
                            </w:rPr>
                          </w:pPr>
                          <w:r w:rsidRPr="00DB095C">
                            <w:rPr>
                              <w:rFonts w:asciiTheme="majorBidi" w:hAnsiTheme="majorBidi" w:cstheme="majorBidi"/>
                              <w:sz w:val="20"/>
                              <w:szCs w:val="20"/>
                            </w:rPr>
                            <w:t>Request evaluation</w:t>
                          </w:r>
                        </w:p>
                        <w:p w14:paraId="3AC3D297" w14:textId="77777777" w:rsidR="00DE18B5" w:rsidRDefault="00DE18B5" w:rsidP="008E50EA">
                          <w:pPr>
                            <w:jc w:val="right"/>
                            <w:rPr>
                              <w:rFonts w:asciiTheme="majorBidi" w:hAnsiTheme="majorBidi" w:cstheme="majorBidi"/>
                              <w:sz w:val="20"/>
                              <w:szCs w:val="20"/>
                              <w:rtl/>
                            </w:rPr>
                          </w:pPr>
                        </w:p>
                        <w:p w14:paraId="0572BF74" w14:textId="77777777" w:rsidR="00DE18B5" w:rsidRDefault="00DE18B5" w:rsidP="008E50EA">
                          <w:pPr>
                            <w:jc w:val="right"/>
                            <w:rPr>
                              <w:rFonts w:asciiTheme="majorBidi" w:hAnsiTheme="majorBidi" w:cstheme="majorBidi"/>
                              <w:sz w:val="20"/>
                              <w:szCs w:val="20"/>
                              <w:rtl/>
                            </w:rPr>
                          </w:pPr>
                        </w:p>
                        <w:p w14:paraId="1E277B64" w14:textId="77777777" w:rsidR="00DE18B5" w:rsidRPr="008E50EA" w:rsidRDefault="00DE18B5" w:rsidP="008E50EA">
                          <w:pPr>
                            <w:jc w:val="right"/>
                            <w:rPr>
                              <w:rFonts w:asciiTheme="majorBidi" w:hAnsiTheme="majorBidi" w:cstheme="majorBidi"/>
                              <w:sz w:val="20"/>
                              <w:szCs w:val="20"/>
                            </w:rPr>
                          </w:pPr>
                        </w:p>
                      </w:txbxContent>
                    </v:textbox>
                  </v:shape>
                  <v:shape id="Text Box 5" o:spid="_x0000_s1031" type="#_x0000_t202" style="position:absolute;left:33375;top:965;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14:paraId="2AEE34E2" w14:textId="77777777" w:rsidR="00DE18B5" w:rsidRDefault="00DE18B5" w:rsidP="00102F12">
                          <w:pPr>
                            <w:jc w:val="center"/>
                            <w:rPr>
                              <w:rFonts w:asciiTheme="majorBidi" w:hAnsiTheme="majorBidi" w:cstheme="majorBidi"/>
                              <w:sz w:val="20"/>
                              <w:szCs w:val="20"/>
                              <w:rtl/>
                            </w:rPr>
                          </w:pPr>
                          <w:r w:rsidRPr="00DB095C">
                            <w:rPr>
                              <w:rFonts w:asciiTheme="majorBidi" w:hAnsiTheme="majorBidi" w:cstheme="majorBidi"/>
                              <w:sz w:val="20"/>
                              <w:szCs w:val="20"/>
                            </w:rPr>
                            <w:t>Approval process</w:t>
                          </w:r>
                        </w:p>
                        <w:p w14:paraId="0F6F9E57" w14:textId="77777777" w:rsidR="00DE18B5" w:rsidRDefault="00DE18B5" w:rsidP="008E50EA">
                          <w:pPr>
                            <w:jc w:val="right"/>
                            <w:rPr>
                              <w:rFonts w:asciiTheme="majorBidi" w:hAnsiTheme="majorBidi" w:cstheme="majorBidi"/>
                              <w:sz w:val="20"/>
                              <w:szCs w:val="20"/>
                              <w:rtl/>
                            </w:rPr>
                          </w:pPr>
                        </w:p>
                        <w:p w14:paraId="481A3A16" w14:textId="77777777" w:rsidR="00DE18B5" w:rsidRDefault="00DE18B5" w:rsidP="008E50EA">
                          <w:pPr>
                            <w:jc w:val="right"/>
                            <w:rPr>
                              <w:rFonts w:asciiTheme="majorBidi" w:hAnsiTheme="majorBidi" w:cstheme="majorBidi"/>
                              <w:sz w:val="20"/>
                              <w:szCs w:val="20"/>
                              <w:rtl/>
                            </w:rPr>
                          </w:pPr>
                        </w:p>
                        <w:p w14:paraId="31332699" w14:textId="77777777" w:rsidR="00DE18B5" w:rsidRPr="008E50EA" w:rsidRDefault="00DE18B5" w:rsidP="008E50EA">
                          <w:pPr>
                            <w:jc w:val="right"/>
                            <w:rPr>
                              <w:rFonts w:asciiTheme="majorBidi" w:hAnsiTheme="majorBidi" w:cstheme="majorBidi"/>
                              <w:sz w:val="20"/>
                              <w:szCs w:val="20"/>
                            </w:rPr>
                          </w:pPr>
                        </w:p>
                      </w:txbxContent>
                    </v:textbox>
                  </v:shape>
                  <v:shape id="Text Box 6" o:spid="_x0000_s1032" type="#_x0000_t202" style="position:absolute;left:33578;top:8382;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04EB8143" w14:textId="77777777" w:rsidR="00DE18B5" w:rsidRDefault="00DE18B5" w:rsidP="00102F12">
                          <w:pPr>
                            <w:jc w:val="center"/>
                            <w:rPr>
                              <w:rFonts w:asciiTheme="majorBidi" w:hAnsiTheme="majorBidi" w:cstheme="majorBidi"/>
                              <w:sz w:val="20"/>
                              <w:szCs w:val="20"/>
                              <w:rtl/>
                            </w:rPr>
                          </w:pPr>
                          <w:r>
                            <w:rPr>
                              <w:rFonts w:asciiTheme="majorBidi" w:hAnsiTheme="majorBidi" w:cstheme="majorBidi"/>
                              <w:sz w:val="20"/>
                              <w:szCs w:val="20"/>
                            </w:rPr>
                            <w:t>Made</w:t>
                          </w:r>
                          <w:r w:rsidRPr="00DB095C">
                            <w:rPr>
                              <w:rFonts w:asciiTheme="majorBidi" w:hAnsiTheme="majorBidi" w:cstheme="majorBidi"/>
                              <w:sz w:val="20"/>
                              <w:szCs w:val="20"/>
                            </w:rPr>
                            <w:t xml:space="preserve"> contract</w:t>
                          </w:r>
                        </w:p>
                        <w:p w14:paraId="59CAAC1F" w14:textId="77777777" w:rsidR="00DE18B5" w:rsidRDefault="00DE18B5" w:rsidP="008E50EA">
                          <w:pPr>
                            <w:jc w:val="right"/>
                            <w:rPr>
                              <w:rFonts w:asciiTheme="majorBidi" w:hAnsiTheme="majorBidi" w:cstheme="majorBidi"/>
                              <w:sz w:val="20"/>
                              <w:szCs w:val="20"/>
                              <w:rtl/>
                            </w:rPr>
                          </w:pPr>
                        </w:p>
                        <w:p w14:paraId="4F3A17B9" w14:textId="77777777" w:rsidR="00DE18B5" w:rsidRDefault="00DE18B5" w:rsidP="008E50EA">
                          <w:pPr>
                            <w:jc w:val="right"/>
                            <w:rPr>
                              <w:rFonts w:asciiTheme="majorBidi" w:hAnsiTheme="majorBidi" w:cstheme="majorBidi"/>
                              <w:sz w:val="20"/>
                              <w:szCs w:val="20"/>
                              <w:rtl/>
                            </w:rPr>
                          </w:pPr>
                        </w:p>
                        <w:p w14:paraId="02ACF4B8" w14:textId="77777777" w:rsidR="00DE18B5" w:rsidRPr="008E50EA" w:rsidRDefault="00DE18B5" w:rsidP="008E50EA">
                          <w:pPr>
                            <w:jc w:val="right"/>
                            <w:rPr>
                              <w:rFonts w:asciiTheme="majorBidi" w:hAnsiTheme="majorBidi" w:cstheme="majorBidi"/>
                              <w:sz w:val="20"/>
                              <w:szCs w:val="20"/>
                            </w:rPr>
                          </w:pPr>
                        </w:p>
                      </w:txbxContent>
                    </v:textbox>
                  </v:shape>
                  <v:shape id="Text Box 7" o:spid="_x0000_s1033" type="#_x0000_t202" style="position:absolute;left:15900;top:8382;width:1361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48C92091" w14:textId="77777777" w:rsidR="00DE18B5" w:rsidRDefault="00DE18B5" w:rsidP="00102F12">
                          <w:pPr>
                            <w:jc w:val="center"/>
                            <w:rPr>
                              <w:rFonts w:asciiTheme="majorBidi" w:hAnsiTheme="majorBidi" w:cstheme="majorBidi"/>
                              <w:sz w:val="20"/>
                              <w:szCs w:val="20"/>
                              <w:rtl/>
                            </w:rPr>
                          </w:pPr>
                          <w:r>
                            <w:rPr>
                              <w:rFonts w:asciiTheme="majorBidi" w:hAnsiTheme="majorBidi" w:cstheme="majorBidi"/>
                              <w:sz w:val="20"/>
                              <w:szCs w:val="20"/>
                            </w:rPr>
                            <w:t xml:space="preserve">Payment &amp; </w:t>
                          </w:r>
                          <w:r w:rsidRPr="00102F12">
                            <w:rPr>
                              <w:rFonts w:asciiTheme="majorBidi" w:hAnsiTheme="majorBidi" w:cstheme="majorBidi"/>
                              <w:sz w:val="20"/>
                              <w:szCs w:val="20"/>
                            </w:rPr>
                            <w:t>monitoring</w:t>
                          </w:r>
                        </w:p>
                        <w:p w14:paraId="66F33AE2" w14:textId="77777777" w:rsidR="00DE18B5" w:rsidRDefault="00DE18B5" w:rsidP="008E50EA">
                          <w:pPr>
                            <w:jc w:val="right"/>
                            <w:rPr>
                              <w:rFonts w:asciiTheme="majorBidi" w:hAnsiTheme="majorBidi" w:cstheme="majorBidi"/>
                              <w:sz w:val="20"/>
                              <w:szCs w:val="20"/>
                              <w:rtl/>
                            </w:rPr>
                          </w:pPr>
                        </w:p>
                        <w:p w14:paraId="1C26D2A3" w14:textId="77777777" w:rsidR="00DE18B5" w:rsidRDefault="00DE18B5" w:rsidP="008E50EA">
                          <w:pPr>
                            <w:jc w:val="right"/>
                            <w:rPr>
                              <w:rFonts w:asciiTheme="majorBidi" w:hAnsiTheme="majorBidi" w:cstheme="majorBidi"/>
                              <w:sz w:val="20"/>
                              <w:szCs w:val="20"/>
                              <w:rtl/>
                            </w:rPr>
                          </w:pPr>
                        </w:p>
                        <w:p w14:paraId="186B6539" w14:textId="77777777" w:rsidR="00DE18B5" w:rsidRPr="008E50EA" w:rsidRDefault="00DE18B5" w:rsidP="008E50EA">
                          <w:pPr>
                            <w:jc w:val="right"/>
                            <w:rPr>
                              <w:rFonts w:asciiTheme="majorBidi" w:hAnsiTheme="majorBidi" w:cstheme="majorBidi"/>
                              <w:sz w:val="20"/>
                              <w:szCs w:val="20"/>
                            </w:rPr>
                          </w:pPr>
                        </w:p>
                      </w:txbxContent>
                    </v:textbox>
                  </v:shape>
                  <v:shape id="Text Box 8" o:spid="_x0000_s1034" type="#_x0000_t202" style="position:absolute;left:812;top:8382;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CEACCD3" w14:textId="77777777" w:rsidR="00DE18B5" w:rsidRDefault="00DE18B5" w:rsidP="00102F12">
                          <w:pPr>
                            <w:jc w:val="center"/>
                            <w:rPr>
                              <w:rFonts w:asciiTheme="majorBidi" w:hAnsiTheme="majorBidi" w:cstheme="majorBidi"/>
                              <w:sz w:val="20"/>
                              <w:szCs w:val="20"/>
                              <w:rtl/>
                            </w:rPr>
                          </w:pPr>
                          <w:r w:rsidRPr="00102F12">
                            <w:rPr>
                              <w:rFonts w:asciiTheme="majorBidi" w:hAnsiTheme="majorBidi" w:cstheme="majorBidi"/>
                              <w:sz w:val="20"/>
                              <w:szCs w:val="20"/>
                            </w:rPr>
                            <w:t>Repayment</w:t>
                          </w:r>
                        </w:p>
                        <w:p w14:paraId="06C0BA42" w14:textId="77777777" w:rsidR="00DE18B5" w:rsidRDefault="00DE18B5" w:rsidP="008E50EA">
                          <w:pPr>
                            <w:jc w:val="right"/>
                            <w:rPr>
                              <w:rFonts w:asciiTheme="majorBidi" w:hAnsiTheme="majorBidi" w:cstheme="majorBidi"/>
                              <w:sz w:val="20"/>
                              <w:szCs w:val="20"/>
                              <w:rtl/>
                            </w:rPr>
                          </w:pPr>
                        </w:p>
                        <w:p w14:paraId="2AB63657" w14:textId="77777777" w:rsidR="00DE18B5" w:rsidRDefault="00DE18B5" w:rsidP="008E50EA">
                          <w:pPr>
                            <w:jc w:val="right"/>
                            <w:rPr>
                              <w:rFonts w:asciiTheme="majorBidi" w:hAnsiTheme="majorBidi" w:cstheme="majorBidi"/>
                              <w:sz w:val="20"/>
                              <w:szCs w:val="20"/>
                              <w:rtl/>
                            </w:rPr>
                          </w:pPr>
                        </w:p>
                        <w:p w14:paraId="2B4F8292" w14:textId="77777777" w:rsidR="00DE18B5" w:rsidRPr="008E50EA" w:rsidRDefault="00DE18B5" w:rsidP="008E50EA">
                          <w:pPr>
                            <w:jc w:val="right"/>
                            <w:rPr>
                              <w:rFonts w:asciiTheme="majorBidi" w:hAnsiTheme="majorBidi" w:cstheme="majorBidi"/>
                              <w:sz w:val="20"/>
                              <w:szCs w:val="20"/>
                            </w:rPr>
                          </w:pP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5" type="#_x0000_t13" style="position:absolute;left:12985;top:1711;width:3696;height: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" adj="18794" fillcolor="black [3200]" strokecolor="black [1600]" strokeweight="1pt"/>
                <v:shape id="Right Arrow 11" o:spid="_x0000_s1036" type="#_x0000_t13" style="position:absolute;left:29310;top:1920;width:3697;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" adj="18794" fillcolor="black [3200]" strokecolor="black [1600]" strokeweight="1pt"/>
                <v:shape id="Right Arrow 12" o:spid="_x0000_s1037" type="#_x0000_t13" style="position:absolute;left:29561;top:9227;width:3696;height:9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" adj="18794" fillcolor="black [3200]" strokecolor="black [1600]" strokeweight="1pt"/>
                <v:shape id="Right Arrow 13" o:spid="_x0000_s1038" type="#_x0000_t13" style="position:absolute;left:13110;top:9311;width:2547;height:83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" adj="18065" fillcolor="black [3200]" strokecolor="black [1600]" strokeweight="1pt"/>
                <v:shape id="Right Arrow 14" o:spid="_x0000_s1039" type="#_x0000_t13" style="position:absolute;left:37410;top:5637;width:3697;height:9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" adj="18794" fillcolor="black [3200]" strokecolor="black [1600]" strokeweight="1pt"/>
              </v:group>
            </w:pict>
          </mc:Fallback>
        </mc:AlternateContent>
      </w:r>
    </w:p>
    <w:p w14:paraId="2D52E7C0" w14:textId="77777777" w:rsidR="00B13215" w:rsidRPr="001D47D7" w:rsidRDefault="00B13215" w:rsidP="005757C8">
      <w:pPr>
        <w:bidi w:val="0"/>
        <w:spacing w:after="0" w:line="240" w:lineRule="auto"/>
        <w:jc w:val="center"/>
        <w:rPr>
          <w:rFonts w:asciiTheme="majorBidi" w:hAnsiTheme="majorBidi" w:cstheme="majorBidi"/>
          <w:sz w:val="24"/>
          <w:szCs w:val="24"/>
        </w:rPr>
      </w:pPr>
    </w:p>
    <w:p w14:paraId="609180FF" w14:textId="77777777" w:rsidR="00B13215" w:rsidRPr="001D47D7" w:rsidRDefault="00B13215" w:rsidP="005757C8">
      <w:pPr>
        <w:bidi w:val="0"/>
        <w:spacing w:after="0" w:line="240" w:lineRule="auto"/>
        <w:jc w:val="center"/>
        <w:rPr>
          <w:rFonts w:asciiTheme="majorBidi" w:hAnsiTheme="majorBidi" w:cstheme="majorBidi"/>
          <w:sz w:val="24"/>
          <w:szCs w:val="24"/>
        </w:rPr>
      </w:pPr>
    </w:p>
    <w:p w14:paraId="490EA515" w14:textId="77777777" w:rsidR="00B13215" w:rsidRPr="001D47D7" w:rsidRDefault="00B13215" w:rsidP="005757C8">
      <w:pPr>
        <w:bidi w:val="0"/>
        <w:spacing w:after="0" w:line="240" w:lineRule="auto"/>
        <w:jc w:val="center"/>
        <w:rPr>
          <w:rFonts w:asciiTheme="majorBidi" w:hAnsiTheme="majorBidi" w:cstheme="majorBidi"/>
          <w:sz w:val="24"/>
          <w:szCs w:val="24"/>
        </w:rPr>
      </w:pPr>
    </w:p>
    <w:p w14:paraId="51DFE66D" w14:textId="506FAC9C" w:rsidR="008E50EA" w:rsidRDefault="008E50EA" w:rsidP="005757C8">
      <w:pPr>
        <w:bidi w:val="0"/>
        <w:spacing w:after="0" w:line="240" w:lineRule="auto"/>
        <w:jc w:val="both"/>
        <w:rPr>
          <w:rFonts w:asciiTheme="majorBidi" w:hAnsiTheme="majorBidi" w:cstheme="majorBidi"/>
          <w:sz w:val="24"/>
          <w:szCs w:val="24"/>
        </w:rPr>
      </w:pPr>
    </w:p>
    <w:p w14:paraId="673DB53C" w14:textId="455EB376" w:rsidR="00903EBC" w:rsidRDefault="00903EBC" w:rsidP="005757C8">
      <w:pPr>
        <w:bidi w:val="0"/>
        <w:spacing w:after="0" w:line="240" w:lineRule="auto"/>
        <w:jc w:val="both"/>
        <w:rPr>
          <w:rFonts w:asciiTheme="majorBidi" w:hAnsiTheme="majorBidi" w:cstheme="majorBidi"/>
          <w:sz w:val="24"/>
          <w:szCs w:val="24"/>
        </w:rPr>
      </w:pPr>
    </w:p>
    <w:p w14:paraId="5D178896" w14:textId="6ADFD0B6" w:rsidR="00903EBC" w:rsidRDefault="00903EBC" w:rsidP="005757C8">
      <w:pPr>
        <w:bidi w:val="0"/>
        <w:spacing w:after="0" w:line="240" w:lineRule="auto"/>
        <w:jc w:val="both"/>
        <w:rPr>
          <w:rFonts w:asciiTheme="majorBidi" w:hAnsiTheme="majorBidi" w:cstheme="majorBidi"/>
          <w:sz w:val="24"/>
          <w:szCs w:val="24"/>
        </w:rPr>
      </w:pPr>
    </w:p>
    <w:p w14:paraId="2756B760" w14:textId="77777777" w:rsidR="00903EBC" w:rsidRPr="001D47D7" w:rsidRDefault="00903EBC" w:rsidP="005757C8">
      <w:pPr>
        <w:bidi w:val="0"/>
        <w:spacing w:after="0" w:line="240" w:lineRule="auto"/>
        <w:jc w:val="both"/>
        <w:rPr>
          <w:rFonts w:asciiTheme="majorBidi" w:hAnsiTheme="majorBidi" w:cstheme="majorBidi"/>
          <w:sz w:val="24"/>
          <w:szCs w:val="24"/>
        </w:rPr>
      </w:pPr>
    </w:p>
    <w:p w14:paraId="1597CE99" w14:textId="77777777" w:rsidR="008E50EA" w:rsidRPr="003D6F9E" w:rsidRDefault="003D6F9E" w:rsidP="005757C8">
      <w:pPr>
        <w:bidi w:val="0"/>
        <w:spacing w:after="0" w:line="240" w:lineRule="auto"/>
        <w:jc w:val="center"/>
        <w:rPr>
          <w:rFonts w:asciiTheme="majorBidi" w:hAnsiTheme="majorBidi" w:cstheme="majorBidi"/>
          <w:sz w:val="24"/>
          <w:szCs w:val="24"/>
        </w:rPr>
      </w:pPr>
      <w:r w:rsidRPr="003D6F9E">
        <w:rPr>
          <w:rFonts w:asciiTheme="majorBidi" w:hAnsiTheme="majorBidi" w:cstheme="majorBidi"/>
          <w:sz w:val="24"/>
          <w:szCs w:val="24"/>
        </w:rPr>
        <w:t>Figure 1.</w:t>
      </w:r>
      <w:r w:rsidR="008E50EA" w:rsidRPr="003D6F9E">
        <w:rPr>
          <w:rFonts w:asciiTheme="majorBidi" w:hAnsiTheme="majorBidi" w:cstheme="majorBidi"/>
          <w:sz w:val="24"/>
          <w:szCs w:val="24"/>
        </w:rPr>
        <w:t xml:space="preserve"> The general process of a credit exchange in the fund</w:t>
      </w:r>
    </w:p>
    <w:p w14:paraId="46CE427F" w14:textId="77777777" w:rsidR="00903EBC" w:rsidRDefault="00903EBC" w:rsidP="005757C8">
      <w:pPr>
        <w:bidi w:val="0"/>
        <w:spacing w:after="0" w:line="240" w:lineRule="auto"/>
        <w:jc w:val="both"/>
        <w:rPr>
          <w:rFonts w:asciiTheme="majorBidi" w:hAnsiTheme="majorBidi" w:cstheme="majorBidi"/>
          <w:sz w:val="24"/>
          <w:szCs w:val="24"/>
        </w:rPr>
      </w:pPr>
    </w:p>
    <w:p w14:paraId="21EAB90E" w14:textId="77777777" w:rsidR="00C56BB9" w:rsidRPr="00C56BB9" w:rsidRDefault="00C56BB9" w:rsidP="00C56BB9">
      <w:p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sz w:val="24"/>
          <w:szCs w:val="24"/>
          <w:lang w:bidi="ar-SA"/>
        </w:rPr>
        <w:t>Transaction costs in the credit market are divided into direct and indirect costs.</w:t>
      </w:r>
    </w:p>
    <w:p w14:paraId="44CA2048" w14:textId="77777777" w:rsidR="00C56BB9" w:rsidRPr="00C56BB9" w:rsidRDefault="00C56BB9" w:rsidP="00C56BB9">
      <w:pPr>
        <w:numPr>
          <w:ilvl w:val="0"/>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Direct Costs (Cash)</w:t>
      </w:r>
      <w:r w:rsidRPr="00C56BB9">
        <w:rPr>
          <w:rFonts w:ascii="Times New Roman" w:eastAsia="Times New Roman" w:hAnsi="Times New Roman" w:cs="Times New Roman"/>
          <w:sz w:val="24"/>
          <w:szCs w:val="24"/>
          <w:lang w:bidi="ar-SA"/>
        </w:rPr>
        <w:t>: These include travel expenses, document preparation, and administrative fees incurred during the loan application and approval process.</w:t>
      </w:r>
    </w:p>
    <w:p w14:paraId="19454DF7" w14:textId="77777777" w:rsidR="00C56BB9" w:rsidRPr="00C56BB9" w:rsidRDefault="00C56BB9" w:rsidP="00C56BB9">
      <w:pPr>
        <w:numPr>
          <w:ilvl w:val="0"/>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Indirect Costs (Non-Cash)</w:t>
      </w:r>
      <w:r w:rsidRPr="00C56BB9">
        <w:rPr>
          <w:rFonts w:ascii="Times New Roman" w:eastAsia="Times New Roman" w:hAnsi="Times New Roman" w:cs="Times New Roman"/>
          <w:sz w:val="24"/>
          <w:szCs w:val="24"/>
          <w:lang w:bidi="ar-SA"/>
        </w:rPr>
        <w:t>: These are opportunity costs related to the time spent obtaining the loan. They include:</w:t>
      </w:r>
    </w:p>
    <w:p w14:paraId="12CCAE1C" w14:textId="77777777" w:rsidR="00C56BB9" w:rsidRPr="00C56BB9" w:rsidRDefault="00C56BB9" w:rsidP="00C56BB9">
      <w:pPr>
        <w:numPr>
          <w:ilvl w:val="1"/>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Obvious Costs</w:t>
      </w:r>
      <w:r w:rsidRPr="00C56BB9">
        <w:rPr>
          <w:rFonts w:ascii="Times New Roman" w:eastAsia="Times New Roman" w:hAnsi="Times New Roman" w:cs="Times New Roman"/>
          <w:sz w:val="24"/>
          <w:szCs w:val="24"/>
          <w:lang w:bidi="ar-SA"/>
        </w:rPr>
        <w:t>: Time spent on the process, multiplied by the borrower’s potential hourly wage.</w:t>
      </w:r>
    </w:p>
    <w:p w14:paraId="5140368C" w14:textId="77777777" w:rsidR="00C56BB9" w:rsidRPr="00C56BB9" w:rsidRDefault="00C56BB9" w:rsidP="00C56BB9">
      <w:pPr>
        <w:numPr>
          <w:ilvl w:val="1"/>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Hidden Costs</w:t>
      </w:r>
      <w:r w:rsidRPr="00C56BB9">
        <w:rPr>
          <w:rFonts w:ascii="Times New Roman" w:eastAsia="Times New Roman" w:hAnsi="Times New Roman" w:cs="Times New Roman"/>
          <w:sz w:val="24"/>
          <w:szCs w:val="24"/>
          <w:lang w:bidi="ar-SA"/>
        </w:rPr>
        <w:t>: Time spent waiting for loan approval, which can be significant due to lengthy processing and high inflation.</w:t>
      </w:r>
    </w:p>
    <w:p w14:paraId="22546E74" w14:textId="36D1C549" w:rsidR="001852F3" w:rsidRPr="001D47D7" w:rsidRDefault="00C56BB9" w:rsidP="00C56BB9">
      <w:pPr>
        <w:bidi w:val="0"/>
        <w:spacing w:before="100" w:beforeAutospacing="1" w:after="100" w:afterAutospacing="1" w:line="240" w:lineRule="auto"/>
        <w:rPr>
          <w:rFonts w:asciiTheme="majorBidi" w:hAnsiTheme="majorBidi" w:cstheme="majorBidi"/>
          <w:sz w:val="24"/>
          <w:szCs w:val="24"/>
        </w:rPr>
      </w:pPr>
      <w:r w:rsidRPr="00C56BB9">
        <w:rPr>
          <w:rFonts w:ascii="Times New Roman" w:eastAsia="Times New Roman" w:hAnsi="Times New Roman" w:cs="Times New Roman"/>
          <w:sz w:val="24"/>
          <w:szCs w:val="24"/>
          <w:lang w:bidi="ar-SA"/>
        </w:rPr>
        <w:t>These costs impact borrowers by consuming time that could otherwise be used for income-generating activities.</w:t>
      </w:r>
      <w:r w:rsidR="00E853A0">
        <w:rPr>
          <w:rFonts w:ascii="Times New Roman" w:eastAsia="Times New Roman" w:hAnsi="Times New Roman" w:cs="Times New Roman"/>
          <w:sz w:val="24"/>
          <w:szCs w:val="24"/>
          <w:lang w:bidi="ar-SA"/>
        </w:rPr>
        <w:t xml:space="preserve"> </w:t>
      </w:r>
      <w:r>
        <w:rPr>
          <w:rFonts w:asciiTheme="majorBidi" w:hAnsiTheme="majorBidi" w:cstheme="majorBidi"/>
          <w:sz w:val="24"/>
          <w:szCs w:val="24"/>
        </w:rPr>
        <w:t>i</w:t>
      </w:r>
      <w:r w:rsidR="00AC4668" w:rsidRPr="001D47D7">
        <w:rPr>
          <w:rFonts w:asciiTheme="majorBidi" w:hAnsiTheme="majorBidi" w:cstheme="majorBidi"/>
          <w:sz w:val="24"/>
          <w:szCs w:val="24"/>
        </w:rPr>
        <w:t xml:space="preserve">f we represent the transaction cost of a customer with TC, this cost will be equal to the sum of various items, each of which we represent with ci. </w:t>
      </w:r>
      <w:proofErr w:type="gramStart"/>
      <w:r w:rsidR="00AC4668" w:rsidRPr="001D47D7">
        <w:rPr>
          <w:rFonts w:asciiTheme="majorBidi" w:hAnsiTheme="majorBidi" w:cstheme="majorBidi"/>
          <w:sz w:val="24"/>
          <w:szCs w:val="24"/>
        </w:rPr>
        <w:t>So</w:t>
      </w:r>
      <w:proofErr w:type="gramEnd"/>
      <w:r w:rsidR="00AC4668" w:rsidRPr="001D47D7">
        <w:rPr>
          <w:rFonts w:asciiTheme="majorBidi" w:hAnsiTheme="majorBidi" w:cstheme="majorBidi"/>
          <w:sz w:val="24"/>
          <w:szCs w:val="24"/>
        </w:rPr>
        <w:t xml:space="preserve"> we can write: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24CDD" w:rsidRPr="001D47D7" w14:paraId="506BF5ED" w14:textId="77777777" w:rsidTr="00124CDD">
        <w:tc>
          <w:tcPr>
            <w:tcW w:w="4508" w:type="dxa"/>
          </w:tcPr>
          <w:p w14:paraId="1C1E22EC" w14:textId="77777777" w:rsidR="00124CDD" w:rsidRPr="001D47D7" w:rsidRDefault="00124CDD"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24"/>
                <w:sz w:val="24"/>
                <w:szCs w:val="24"/>
              </w:rPr>
              <w:object w:dxaOrig="2540" w:dyaOrig="499" w14:anchorId="3D867804">
                <v:shape id="_x0000_i1026" type="#_x0000_t75" style="width:128.95pt;height:25.05pt" o:ole="">
                  <v:imagedata r:id="rId8" o:title=""/>
                </v:shape>
                <o:OLEObject Type="Embed" ProgID="Equation.3" ShapeID="_x0000_i1026" DrawAspect="Content" ObjectID="_1817215556" r:id="rId9"/>
              </w:object>
            </w:r>
          </w:p>
        </w:tc>
        <w:tc>
          <w:tcPr>
            <w:tcW w:w="4508" w:type="dxa"/>
          </w:tcPr>
          <w:p w14:paraId="4B2E75D9" w14:textId="77777777" w:rsidR="00124CDD" w:rsidRPr="001D47D7" w:rsidRDefault="00124CDD" w:rsidP="005757C8">
            <w:pPr>
              <w:jc w:val="both"/>
              <w:rPr>
                <w:rFonts w:asciiTheme="majorBidi" w:hAnsiTheme="majorBidi" w:cstheme="majorBidi"/>
                <w:sz w:val="24"/>
                <w:szCs w:val="24"/>
                <w:rtl/>
              </w:rPr>
            </w:pPr>
            <w:r w:rsidRPr="001D47D7">
              <w:rPr>
                <w:rFonts w:asciiTheme="majorBidi" w:hAnsiTheme="majorBidi" w:cstheme="majorBidi"/>
                <w:sz w:val="24"/>
                <w:szCs w:val="24"/>
              </w:rPr>
              <w:t>(1)</w:t>
            </w:r>
          </w:p>
        </w:tc>
      </w:tr>
    </w:tbl>
    <w:p w14:paraId="58C654BF" w14:textId="50CB99EA" w:rsidR="00124CDD" w:rsidRPr="001D47D7" w:rsidRDefault="006E00EF"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In this way, </w:t>
      </w:r>
      <w:r w:rsidRPr="006451BF">
        <w:rPr>
          <w:rFonts w:asciiTheme="majorBidi" w:hAnsiTheme="majorBidi" w:cstheme="majorBidi"/>
          <w:sz w:val="24"/>
          <w:szCs w:val="24"/>
          <w:highlight w:val="yellow"/>
        </w:rPr>
        <w:t xml:space="preserve">following the evaluation of the </w:t>
      </w:r>
      <w:r w:rsidR="001A0143" w:rsidRPr="006451BF">
        <w:rPr>
          <w:rFonts w:asciiTheme="majorBidi" w:hAnsiTheme="majorBidi" w:cstheme="majorBidi"/>
          <w:sz w:val="24"/>
          <w:szCs w:val="24"/>
          <w:highlight w:val="yellow"/>
        </w:rPr>
        <w:t xml:space="preserve">transaction </w:t>
      </w:r>
      <w:r w:rsidRPr="006451BF">
        <w:rPr>
          <w:rFonts w:asciiTheme="majorBidi" w:hAnsiTheme="majorBidi" w:cstheme="majorBidi"/>
          <w:sz w:val="24"/>
          <w:szCs w:val="24"/>
          <w:highlight w:val="yellow"/>
        </w:rPr>
        <w:t xml:space="preserve">costs of receiving facilities for each company, it is time to </w:t>
      </w:r>
      <w:proofErr w:type="spellStart"/>
      <w:r w:rsidR="00E853A0" w:rsidRPr="006451BF">
        <w:rPr>
          <w:rFonts w:asciiTheme="majorBidi" w:hAnsiTheme="majorBidi" w:cstheme="majorBidi"/>
          <w:sz w:val="24"/>
          <w:szCs w:val="24"/>
          <w:highlight w:val="yellow"/>
        </w:rPr>
        <w:t>categorise</w:t>
      </w:r>
      <w:proofErr w:type="spellEnd"/>
      <w:r w:rsidR="00E853A0" w:rsidRPr="006451BF">
        <w:rPr>
          <w:rFonts w:asciiTheme="majorBidi" w:hAnsiTheme="majorBidi" w:cstheme="majorBidi"/>
          <w:sz w:val="24"/>
          <w:szCs w:val="24"/>
          <w:highlight w:val="yellow"/>
        </w:rPr>
        <w:t xml:space="preserve"> </w:t>
      </w:r>
      <w:r w:rsidRPr="006451BF">
        <w:rPr>
          <w:rFonts w:asciiTheme="majorBidi" w:hAnsiTheme="majorBidi" w:cstheme="majorBidi"/>
          <w:sz w:val="24"/>
          <w:szCs w:val="24"/>
          <w:highlight w:val="yellow"/>
        </w:rPr>
        <w:t>an</w:t>
      </w:r>
      <w:r w:rsidRPr="001D47D7">
        <w:rPr>
          <w:rFonts w:asciiTheme="majorBidi" w:hAnsiTheme="majorBidi" w:cstheme="majorBidi"/>
          <w:sz w:val="24"/>
          <w:szCs w:val="24"/>
        </w:rPr>
        <w:t xml:space="preserve">d collect them. Based on this, </w:t>
      </w:r>
      <w:r w:rsidR="00A23298">
        <w:rPr>
          <w:rFonts w:asciiTheme="majorBidi" w:hAnsiTheme="majorBidi" w:cstheme="majorBidi"/>
          <w:sz w:val="24"/>
          <w:szCs w:val="24"/>
        </w:rPr>
        <w:t>“</w:t>
      </w:r>
      <w:r w:rsidRPr="001D47D7">
        <w:rPr>
          <w:rFonts w:asciiTheme="majorBidi" w:hAnsiTheme="majorBidi" w:cstheme="majorBidi"/>
          <w:sz w:val="24"/>
          <w:szCs w:val="24"/>
        </w:rPr>
        <w:t xml:space="preserve">the most important part of the work is the statistics of the cost items and their accurate estimation, and the other parts will not be so difficult. Since several companies will be </w:t>
      </w:r>
      <w:r w:rsidRPr="006451BF">
        <w:rPr>
          <w:rFonts w:asciiTheme="majorBidi" w:hAnsiTheme="majorBidi" w:cstheme="majorBidi"/>
          <w:sz w:val="24"/>
          <w:szCs w:val="24"/>
          <w:highlight w:val="yellow"/>
        </w:rPr>
        <w:t>referred</w:t>
      </w:r>
      <w:r w:rsidR="00E853A0" w:rsidRPr="006451BF">
        <w:rPr>
          <w:rFonts w:asciiTheme="majorBidi" w:hAnsiTheme="majorBidi" w:cstheme="majorBidi"/>
          <w:sz w:val="24"/>
          <w:szCs w:val="24"/>
          <w:highlight w:val="yellow"/>
        </w:rPr>
        <w:t xml:space="preserve"> to</w:t>
      </w:r>
      <w:r w:rsidRPr="006451BF">
        <w:rPr>
          <w:rFonts w:asciiTheme="majorBidi" w:hAnsiTheme="majorBidi" w:cstheme="majorBidi"/>
          <w:sz w:val="24"/>
          <w:szCs w:val="24"/>
          <w:highlight w:val="yellow"/>
        </w:rPr>
        <w:t>, it is possible to</w:t>
      </w:r>
      <w:r w:rsidRPr="001D47D7">
        <w:rPr>
          <w:rFonts w:asciiTheme="majorBidi" w:hAnsiTheme="majorBidi" w:cstheme="majorBidi"/>
          <w:sz w:val="24"/>
          <w:szCs w:val="24"/>
        </w:rPr>
        <w:t xml:space="preserve"> average the transaction costs for different facilities and the total facility. In other words, the average </w:t>
      </w:r>
      <w:r w:rsidR="001A014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costs of receiving facilities from the studied fund will be equal to the average costs of all the companies in the sample, which</w:t>
      </w:r>
      <w:r w:rsidR="00E853A0">
        <w:rPr>
          <w:rFonts w:asciiTheme="majorBidi" w:hAnsiTheme="majorBidi" w:cstheme="majorBidi"/>
          <w:sz w:val="24"/>
          <w:szCs w:val="24"/>
        </w:rPr>
        <w:t>,</w:t>
      </w:r>
      <w:r w:rsidRPr="001D47D7">
        <w:rPr>
          <w:rFonts w:asciiTheme="majorBidi" w:hAnsiTheme="majorBidi" w:cstheme="majorBidi"/>
          <w:sz w:val="24"/>
          <w:szCs w:val="24"/>
        </w:rPr>
        <w:t xml:space="preserve"> of course</w:t>
      </w:r>
      <w:r w:rsidR="00E853A0">
        <w:rPr>
          <w:rFonts w:asciiTheme="majorBidi" w:hAnsiTheme="majorBidi" w:cstheme="majorBidi"/>
          <w:sz w:val="24"/>
          <w:szCs w:val="24"/>
        </w:rPr>
        <w:t>,</w:t>
      </w:r>
      <w:r w:rsidRPr="001D47D7">
        <w:rPr>
          <w:rFonts w:asciiTheme="majorBidi" w:hAnsiTheme="majorBidi" w:cstheme="majorBidi"/>
          <w:sz w:val="24"/>
          <w:szCs w:val="24"/>
        </w:rPr>
        <w:t xml:space="preserve"> can </w:t>
      </w:r>
      <w:r w:rsidRPr="006451BF">
        <w:rPr>
          <w:rFonts w:asciiTheme="majorBidi" w:hAnsiTheme="majorBidi" w:cstheme="majorBidi"/>
          <w:sz w:val="24"/>
          <w:szCs w:val="24"/>
          <w:highlight w:val="yellow"/>
        </w:rPr>
        <w:t xml:space="preserve">be </w:t>
      </w:r>
      <w:proofErr w:type="spellStart"/>
      <w:r w:rsidR="00E853A0" w:rsidRPr="006451BF">
        <w:rPr>
          <w:rFonts w:asciiTheme="majorBidi" w:hAnsiTheme="majorBidi" w:cstheme="majorBidi"/>
          <w:sz w:val="24"/>
          <w:szCs w:val="24"/>
          <w:highlight w:val="yellow"/>
        </w:rPr>
        <w:t>categorised</w:t>
      </w:r>
      <w:proofErr w:type="spellEnd"/>
      <w:r w:rsidR="00E853A0" w:rsidRPr="006451BF">
        <w:rPr>
          <w:rFonts w:asciiTheme="majorBidi" w:hAnsiTheme="majorBidi" w:cstheme="majorBidi"/>
          <w:sz w:val="24"/>
          <w:szCs w:val="24"/>
          <w:highlight w:val="yellow"/>
        </w:rPr>
        <w:t xml:space="preserve"> </w:t>
      </w:r>
      <w:r w:rsidRPr="006451BF">
        <w:rPr>
          <w:rFonts w:asciiTheme="majorBidi" w:hAnsiTheme="majorBidi" w:cstheme="majorBidi"/>
          <w:sz w:val="24"/>
          <w:szCs w:val="24"/>
          <w:highlight w:val="yellow"/>
        </w:rPr>
        <w:t>into different facilities</w:t>
      </w:r>
      <w:r w:rsidR="00E853A0">
        <w:rPr>
          <w:rFonts w:asciiTheme="majorBidi" w:hAnsiTheme="majorBidi" w:cstheme="majorBidi"/>
          <w:sz w:val="24"/>
          <w:szCs w:val="24"/>
        </w:rPr>
        <w:t>,</w:t>
      </w:r>
      <w:r w:rsidRPr="001D47D7">
        <w:rPr>
          <w:rFonts w:asciiTheme="majorBidi" w:hAnsiTheme="majorBidi" w:cstheme="majorBidi"/>
          <w:sz w:val="24"/>
          <w:szCs w:val="24"/>
        </w:rPr>
        <w:t xml:space="preserve"> and the average </w:t>
      </w:r>
      <w:r w:rsidR="001A014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 of each facility can be obtained.</w:t>
      </w:r>
      <w:r w:rsidR="008D19DD" w:rsidRPr="001D47D7">
        <w:rPr>
          <w:sz w:val="24"/>
          <w:szCs w:val="24"/>
        </w:rPr>
        <w:t xml:space="preserve"> </w:t>
      </w:r>
      <w:r w:rsidR="008D19DD" w:rsidRPr="001D47D7">
        <w:rPr>
          <w:rFonts w:asciiTheme="majorBidi" w:hAnsiTheme="majorBidi" w:cstheme="majorBidi"/>
          <w:sz w:val="24"/>
          <w:szCs w:val="24"/>
        </w:rPr>
        <w:t xml:space="preserve">The </w:t>
      </w:r>
      <w:r w:rsidR="001A0143" w:rsidRPr="001D47D7">
        <w:rPr>
          <w:rFonts w:asciiTheme="majorBidi" w:hAnsiTheme="majorBidi" w:cstheme="majorBidi"/>
          <w:sz w:val="24"/>
          <w:szCs w:val="24"/>
        </w:rPr>
        <w:t xml:space="preserve">transaction </w:t>
      </w:r>
      <w:r w:rsidR="008D19DD" w:rsidRPr="001D47D7">
        <w:rPr>
          <w:rFonts w:asciiTheme="majorBidi" w:hAnsiTheme="majorBidi" w:cstheme="majorBidi"/>
          <w:sz w:val="24"/>
          <w:szCs w:val="24"/>
        </w:rPr>
        <w:t>cost calculated by the above method for each company is related to the total facilities received by that company. This cost can also be evaluated as a ratio or percentage, which shows how much it cost</w:t>
      </w:r>
      <w:r w:rsidR="00E853A0">
        <w:rPr>
          <w:rFonts w:asciiTheme="majorBidi" w:hAnsiTheme="majorBidi" w:cstheme="majorBidi"/>
          <w:sz w:val="24"/>
          <w:szCs w:val="24"/>
        </w:rPr>
        <w:t>s</w:t>
      </w:r>
      <w:r w:rsidR="008D19DD" w:rsidRPr="001D47D7">
        <w:rPr>
          <w:rFonts w:asciiTheme="majorBidi" w:hAnsiTheme="majorBidi" w:cstheme="majorBidi"/>
          <w:sz w:val="24"/>
          <w:szCs w:val="24"/>
        </w:rPr>
        <w:t xml:space="preserve"> that company to receive each </w:t>
      </w:r>
      <w:proofErr w:type="spellStart"/>
      <w:r w:rsidR="008D19DD" w:rsidRPr="001D47D7">
        <w:rPr>
          <w:rFonts w:asciiTheme="majorBidi" w:hAnsiTheme="majorBidi" w:cstheme="majorBidi"/>
          <w:sz w:val="24"/>
          <w:szCs w:val="24"/>
        </w:rPr>
        <w:t>rial</w:t>
      </w:r>
      <w:proofErr w:type="spellEnd"/>
      <w:r w:rsidR="008D19DD" w:rsidRPr="001D47D7">
        <w:rPr>
          <w:rFonts w:asciiTheme="majorBidi" w:hAnsiTheme="majorBidi" w:cstheme="majorBidi"/>
          <w:sz w:val="24"/>
          <w:szCs w:val="24"/>
        </w:rPr>
        <w:t xml:space="preserve"> of loan from the fund. The algebraic expression of this issue is in equation 2</w:t>
      </w:r>
      <w:r w:rsidR="00A23298">
        <w:rPr>
          <w:rFonts w:asciiTheme="majorBidi" w:hAnsiTheme="majorBidi" w:cstheme="majorBidi"/>
          <w:sz w:val="24"/>
          <w:szCs w:val="24"/>
        </w:rPr>
        <w:t>”</w:t>
      </w:r>
      <w:r w:rsidR="008D19DD" w:rsidRPr="001D47D7">
        <w:rPr>
          <w:rFonts w:asciiTheme="majorBidi" w:hAnsiTheme="majorBidi" w:cstheme="majorBidi"/>
          <w:sz w:val="24"/>
          <w:szCs w:val="24"/>
        </w:rPr>
        <w:t xml:space="preserve"> (Rojas and Rojas, 1997; Hosseini et al., 2012).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D19DD" w:rsidRPr="001D47D7" w14:paraId="4B7DFAB6" w14:textId="77777777" w:rsidTr="008D19DD">
        <w:tc>
          <w:tcPr>
            <w:tcW w:w="4508" w:type="dxa"/>
          </w:tcPr>
          <w:p w14:paraId="4BAE0073" w14:textId="77777777" w:rsidR="008D19DD" w:rsidRPr="001D47D7" w:rsidRDefault="008D19DD"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14"/>
                <w:sz w:val="24"/>
                <w:szCs w:val="24"/>
              </w:rPr>
              <w:object w:dxaOrig="1939" w:dyaOrig="380" w14:anchorId="6AB710C2">
                <v:shape id="_x0000_i1027" type="#_x0000_t75" style="width:98.3pt;height:21.3pt" o:ole="">
                  <v:imagedata r:id="rId10" o:title=""/>
                </v:shape>
                <o:OLEObject Type="Embed" ProgID="Equation.3" ShapeID="_x0000_i1027" DrawAspect="Content" ObjectID="_1817215557" r:id="rId11"/>
              </w:object>
            </w:r>
          </w:p>
        </w:tc>
        <w:tc>
          <w:tcPr>
            <w:tcW w:w="4508" w:type="dxa"/>
          </w:tcPr>
          <w:p w14:paraId="6D54062E" w14:textId="77777777" w:rsidR="008D19DD" w:rsidRPr="001D47D7" w:rsidRDefault="008D19DD" w:rsidP="005757C8">
            <w:pPr>
              <w:jc w:val="both"/>
              <w:rPr>
                <w:rFonts w:asciiTheme="majorBidi" w:hAnsiTheme="majorBidi" w:cstheme="majorBidi"/>
                <w:sz w:val="24"/>
                <w:szCs w:val="24"/>
                <w:rtl/>
              </w:rPr>
            </w:pPr>
            <w:r w:rsidRPr="001D47D7">
              <w:rPr>
                <w:rFonts w:asciiTheme="majorBidi" w:hAnsiTheme="majorBidi" w:cstheme="majorBidi"/>
                <w:sz w:val="24"/>
                <w:szCs w:val="24"/>
              </w:rPr>
              <w:t>(2)</w:t>
            </w:r>
          </w:p>
        </w:tc>
      </w:tr>
    </w:tbl>
    <w:p w14:paraId="3B07F674" w14:textId="1224178B" w:rsidR="008D19DD" w:rsidRPr="001D47D7" w:rsidRDefault="00E853A0" w:rsidP="005757C8">
      <w:pPr>
        <w:bidi w:val="0"/>
        <w:spacing w:after="0" w:line="240" w:lineRule="auto"/>
        <w:jc w:val="both"/>
        <w:rPr>
          <w:rFonts w:asciiTheme="majorBidi" w:hAnsiTheme="majorBidi" w:cstheme="majorBidi"/>
          <w:sz w:val="24"/>
          <w:szCs w:val="24"/>
        </w:rPr>
      </w:pPr>
      <w:r w:rsidRPr="006451BF">
        <w:rPr>
          <w:rFonts w:asciiTheme="majorBidi" w:hAnsiTheme="majorBidi" w:cstheme="majorBidi"/>
          <w:sz w:val="24"/>
          <w:szCs w:val="24"/>
          <w:highlight w:val="yellow"/>
        </w:rPr>
        <w:t xml:space="preserve">Where </w:t>
      </w:r>
      <w:r w:rsidR="00BF794E" w:rsidRPr="006451BF">
        <w:rPr>
          <w:rFonts w:asciiTheme="majorBidi" w:hAnsiTheme="majorBidi" w:cstheme="majorBidi"/>
          <w:sz w:val="24"/>
          <w:szCs w:val="24"/>
          <w:highlight w:val="yellow"/>
        </w:rPr>
        <w:t xml:space="preserve">the p represents the company and r represents the percentage of the </w:t>
      </w:r>
      <w:r w:rsidR="00D02AF7" w:rsidRPr="006451BF">
        <w:rPr>
          <w:rFonts w:asciiTheme="majorBidi" w:hAnsiTheme="majorBidi" w:cstheme="majorBidi"/>
          <w:sz w:val="24"/>
          <w:szCs w:val="24"/>
          <w:highlight w:val="yellow"/>
        </w:rPr>
        <w:t xml:space="preserve">transaction </w:t>
      </w:r>
      <w:r w:rsidR="00BF794E" w:rsidRPr="006451BF">
        <w:rPr>
          <w:rFonts w:asciiTheme="majorBidi" w:hAnsiTheme="majorBidi" w:cstheme="majorBidi"/>
          <w:sz w:val="24"/>
          <w:szCs w:val="24"/>
          <w:highlight w:val="yellow"/>
        </w:rPr>
        <w:t>cost, L also represents the amount of the received loa</w:t>
      </w:r>
      <w:r w:rsidR="00D02AF7" w:rsidRPr="006451BF">
        <w:rPr>
          <w:rFonts w:asciiTheme="majorBidi" w:hAnsiTheme="majorBidi" w:cstheme="majorBidi"/>
          <w:sz w:val="24"/>
          <w:szCs w:val="24"/>
          <w:highlight w:val="yellow"/>
        </w:rPr>
        <w:t>n. So far, it is clear that the</w:t>
      </w:r>
      <w:r w:rsidR="00BF794E" w:rsidRPr="006451BF">
        <w:rPr>
          <w:rFonts w:asciiTheme="majorBidi" w:hAnsiTheme="majorBidi" w:cstheme="majorBidi"/>
          <w:sz w:val="24"/>
          <w:szCs w:val="24"/>
          <w:highlight w:val="yellow"/>
        </w:rPr>
        <w:t xml:space="preserve"> </w:t>
      </w:r>
      <w:proofErr w:type="spellStart"/>
      <w:r w:rsidR="00BF794E" w:rsidRPr="006451BF">
        <w:rPr>
          <w:rFonts w:asciiTheme="majorBidi" w:hAnsiTheme="majorBidi" w:cstheme="majorBidi"/>
          <w:sz w:val="24"/>
          <w:szCs w:val="24"/>
          <w:highlight w:val="yellow"/>
        </w:rPr>
        <w:t>pth</w:t>
      </w:r>
      <w:proofErr w:type="spellEnd"/>
      <w:r w:rsidR="00BF794E" w:rsidRPr="006451BF">
        <w:rPr>
          <w:rFonts w:asciiTheme="majorBidi" w:hAnsiTheme="majorBidi" w:cstheme="majorBidi"/>
          <w:sz w:val="24"/>
          <w:szCs w:val="24"/>
          <w:highlight w:val="yellow"/>
        </w:rPr>
        <w:t xml:space="preserve"> company has incurred a percentage of the </w:t>
      </w:r>
      <w:r w:rsidR="001A0143" w:rsidRPr="006451BF">
        <w:rPr>
          <w:rFonts w:asciiTheme="majorBidi" w:hAnsiTheme="majorBidi" w:cstheme="majorBidi"/>
          <w:sz w:val="24"/>
          <w:szCs w:val="24"/>
          <w:highlight w:val="yellow"/>
        </w:rPr>
        <w:t xml:space="preserve">transaction </w:t>
      </w:r>
      <w:r w:rsidR="00BF794E" w:rsidRPr="006451BF">
        <w:rPr>
          <w:rFonts w:asciiTheme="majorBidi" w:hAnsiTheme="majorBidi" w:cstheme="majorBidi"/>
          <w:sz w:val="24"/>
          <w:szCs w:val="24"/>
          <w:highlight w:val="yellow"/>
        </w:rPr>
        <w:t xml:space="preserve">cost to receive a loan in the amount of L </w:t>
      </w:r>
      <w:proofErr w:type="spellStart"/>
      <w:r w:rsidR="00BF794E" w:rsidRPr="006451BF">
        <w:rPr>
          <w:rFonts w:asciiTheme="majorBidi" w:hAnsiTheme="majorBidi" w:cstheme="majorBidi"/>
          <w:sz w:val="24"/>
          <w:szCs w:val="24"/>
          <w:highlight w:val="yellow"/>
        </w:rPr>
        <w:t>Rials</w:t>
      </w:r>
      <w:proofErr w:type="spellEnd"/>
      <w:r w:rsidR="00BF794E" w:rsidRPr="006451BF">
        <w:rPr>
          <w:rFonts w:asciiTheme="majorBidi" w:hAnsiTheme="majorBidi" w:cstheme="majorBidi"/>
          <w:sz w:val="24"/>
          <w:szCs w:val="24"/>
          <w:highlight w:val="yellow"/>
        </w:rPr>
        <w:t xml:space="preserve">; Deducting the </w:t>
      </w:r>
      <w:r w:rsidR="00D02AF7" w:rsidRPr="006451BF">
        <w:rPr>
          <w:rFonts w:asciiTheme="majorBidi" w:hAnsiTheme="majorBidi" w:cstheme="majorBidi"/>
          <w:sz w:val="24"/>
          <w:szCs w:val="24"/>
          <w:highlight w:val="yellow"/>
        </w:rPr>
        <w:t xml:space="preserve">transaction cost </w:t>
      </w:r>
      <w:r w:rsidR="00BF794E" w:rsidRPr="006451BF">
        <w:rPr>
          <w:rFonts w:asciiTheme="majorBidi" w:hAnsiTheme="majorBidi" w:cstheme="majorBidi"/>
          <w:sz w:val="24"/>
          <w:szCs w:val="24"/>
          <w:highlight w:val="yellow"/>
        </w:rPr>
        <w:t xml:space="preserve">from </w:t>
      </w:r>
      <w:r w:rsidRPr="006451BF">
        <w:rPr>
          <w:rFonts w:asciiTheme="majorBidi" w:hAnsiTheme="majorBidi" w:cstheme="majorBidi"/>
          <w:sz w:val="24"/>
          <w:szCs w:val="24"/>
          <w:highlight w:val="yellow"/>
        </w:rPr>
        <w:t xml:space="preserve">its </w:t>
      </w:r>
      <w:r w:rsidR="00BF794E" w:rsidRPr="006451BF">
        <w:rPr>
          <w:rFonts w:asciiTheme="majorBidi" w:hAnsiTheme="majorBidi" w:cstheme="majorBidi"/>
          <w:sz w:val="24"/>
          <w:szCs w:val="24"/>
          <w:highlight w:val="yellow"/>
        </w:rPr>
        <w:t>loan amount will</w:t>
      </w:r>
      <w:r w:rsidR="00BF794E" w:rsidRPr="001D47D7">
        <w:rPr>
          <w:rFonts w:asciiTheme="majorBidi" w:hAnsiTheme="majorBidi" w:cstheme="majorBidi"/>
          <w:sz w:val="24"/>
          <w:szCs w:val="24"/>
        </w:rPr>
        <w:t xml:space="preserve"> show the result of the received loan.</w:t>
      </w:r>
    </w:p>
    <w:p w14:paraId="3B868DEB" w14:textId="7C8D3E32" w:rsidR="006E00EF" w:rsidRPr="001D47D7" w:rsidRDefault="00A52C20"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Another indicator that is useful in the analysis of the </w:t>
      </w:r>
      <w:r w:rsidR="0015749A"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of receiving facilities is the comparison of the </w:t>
      </w:r>
      <w:r w:rsidR="0015749A"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with the price (profit or fee). Actually, the problem is that the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 is calculated in the present time (at the price of the current year)</w:t>
      </w:r>
      <w:r w:rsidR="00E853A0">
        <w:rPr>
          <w:rFonts w:asciiTheme="majorBidi" w:hAnsiTheme="majorBidi" w:cstheme="majorBidi"/>
          <w:sz w:val="24"/>
          <w:szCs w:val="24"/>
        </w:rPr>
        <w:t>,</w:t>
      </w:r>
      <w:r w:rsidRPr="001D47D7">
        <w:rPr>
          <w:rFonts w:asciiTheme="majorBidi" w:hAnsiTheme="majorBidi" w:cstheme="majorBidi"/>
          <w:sz w:val="24"/>
          <w:szCs w:val="24"/>
        </w:rPr>
        <w:t xml:space="preserve"> and </w:t>
      </w:r>
      <w:r w:rsidRPr="001D47D7">
        <w:rPr>
          <w:rFonts w:asciiTheme="majorBidi" w:hAnsiTheme="majorBidi" w:cstheme="majorBidi"/>
          <w:sz w:val="24"/>
          <w:szCs w:val="24"/>
        </w:rPr>
        <w:lastRenderedPageBreak/>
        <w:t>it should be corrected to be comparable with the interest rate. These costs are mainly imposed during the filing period</w:t>
      </w:r>
      <w:r w:rsidR="00E853A0">
        <w:rPr>
          <w:rFonts w:asciiTheme="majorBidi" w:hAnsiTheme="majorBidi" w:cstheme="majorBidi"/>
          <w:sz w:val="24"/>
          <w:szCs w:val="24"/>
        </w:rPr>
        <w:t>,</w:t>
      </w:r>
      <w:r w:rsidRPr="001D47D7">
        <w:rPr>
          <w:rFonts w:asciiTheme="majorBidi" w:hAnsiTheme="majorBidi" w:cstheme="majorBidi"/>
          <w:sz w:val="24"/>
          <w:szCs w:val="24"/>
        </w:rPr>
        <w:t xml:space="preserve"> and the rest of the items will be estimated based on the opportunity cost of the present time. Therefore,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costs are estimated at the current year's price and for the total facility received. To convert these costs into an index comparable to the interest rate (or fee), it is done in the following manner</w:t>
      </w:r>
      <w:r w:rsidR="00126E8D">
        <w:rPr>
          <w:rFonts w:asciiTheme="majorBidi" w:hAnsiTheme="majorBidi" w:cstheme="majorBidi"/>
          <w:sz w:val="24"/>
          <w:szCs w:val="24"/>
        </w:rPr>
        <w:t xml:space="preserve"> </w:t>
      </w:r>
      <w:r w:rsidR="00126E8D" w:rsidRPr="00126E8D">
        <w:rPr>
          <w:rFonts w:asciiTheme="majorBidi" w:hAnsiTheme="majorBidi" w:cstheme="majorBidi"/>
          <w:sz w:val="24"/>
          <w:szCs w:val="24"/>
        </w:rPr>
        <w:t>(Hosseini et al., 2023)</w:t>
      </w:r>
      <w:r w:rsidRPr="001D47D7">
        <w:rPr>
          <w:rFonts w:asciiTheme="majorBidi" w:hAnsiTheme="majorBidi" w:cstheme="majorBidi"/>
          <w:sz w:val="24"/>
          <w:szCs w:val="24"/>
        </w:rPr>
        <w:t xml:space="preserve">. Imposing the amount of TC as </w:t>
      </w:r>
      <w:r w:rsidR="000B5D24" w:rsidRPr="001D47D7">
        <w:rPr>
          <w:rFonts w:asciiTheme="majorBidi" w:hAnsiTheme="majorBidi" w:cstheme="majorBidi"/>
          <w:sz w:val="24"/>
          <w:szCs w:val="24"/>
        </w:rPr>
        <w:t>a</w:t>
      </w:r>
      <w:r w:rsidRPr="001D47D7">
        <w:rPr>
          <w:rFonts w:asciiTheme="majorBidi" w:hAnsiTheme="majorBidi" w:cstheme="majorBidi"/>
          <w:sz w:val="24"/>
          <w:szCs w:val="24"/>
        </w:rPr>
        <w:t xml:space="preserv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at the present time (or at the time of receiving the loan) on the company can be considered in such a way that the net loan received by him is equal to the </w:t>
      </w:r>
      <w:r w:rsidRPr="006451BF">
        <w:rPr>
          <w:rFonts w:asciiTheme="majorBidi" w:hAnsiTheme="majorBidi" w:cstheme="majorBidi"/>
          <w:sz w:val="24"/>
          <w:szCs w:val="24"/>
          <w:highlight w:val="yellow"/>
        </w:rPr>
        <w:t xml:space="preserve">difference </w:t>
      </w:r>
      <w:r w:rsidR="00E853A0" w:rsidRPr="006451BF">
        <w:rPr>
          <w:rFonts w:asciiTheme="majorBidi" w:hAnsiTheme="majorBidi" w:cstheme="majorBidi"/>
          <w:sz w:val="24"/>
          <w:szCs w:val="24"/>
          <w:highlight w:val="yellow"/>
        </w:rPr>
        <w:t xml:space="preserve">between </w:t>
      </w:r>
      <w:r w:rsidRPr="006451BF">
        <w:rPr>
          <w:rFonts w:asciiTheme="majorBidi" w:hAnsiTheme="majorBidi" w:cstheme="majorBidi"/>
          <w:sz w:val="24"/>
          <w:szCs w:val="24"/>
          <w:highlight w:val="yellow"/>
        </w:rPr>
        <w:t>the nominal</w:t>
      </w:r>
      <w:r w:rsidRPr="001D47D7">
        <w:rPr>
          <w:rFonts w:asciiTheme="majorBidi" w:hAnsiTheme="majorBidi" w:cstheme="majorBidi"/>
          <w:sz w:val="24"/>
          <w:szCs w:val="24"/>
        </w:rPr>
        <w:t xml:space="preserve"> facility and the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 of receiving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424F" w:rsidRPr="001D47D7" w14:paraId="42FCE4DB" w14:textId="77777777" w:rsidTr="00AB424F">
        <w:tc>
          <w:tcPr>
            <w:tcW w:w="4508" w:type="dxa"/>
          </w:tcPr>
          <w:p w14:paraId="33FF38AE" w14:textId="77777777" w:rsidR="00AB424F" w:rsidRPr="001D47D7" w:rsidRDefault="00AB424F"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6"/>
                <w:sz w:val="24"/>
                <w:szCs w:val="24"/>
              </w:rPr>
              <w:object w:dxaOrig="1320" w:dyaOrig="315" w14:anchorId="0C0AE47B">
                <v:shape id="_x0000_i1028" type="#_x0000_t75" style="width:67pt;height:17.55pt" o:ole="">
                  <v:imagedata r:id="rId12" o:title=""/>
                </v:shape>
                <o:OLEObject Type="Embed" ProgID="Equation.3" ShapeID="_x0000_i1028" DrawAspect="Content" ObjectID="_1817215558" r:id="rId13"/>
              </w:object>
            </w:r>
          </w:p>
        </w:tc>
        <w:tc>
          <w:tcPr>
            <w:tcW w:w="4508" w:type="dxa"/>
          </w:tcPr>
          <w:p w14:paraId="612E298D" w14:textId="77777777" w:rsidR="00AB424F" w:rsidRPr="001D47D7" w:rsidRDefault="00AB424F" w:rsidP="005757C8">
            <w:pPr>
              <w:jc w:val="both"/>
              <w:rPr>
                <w:rFonts w:asciiTheme="majorBidi" w:hAnsiTheme="majorBidi" w:cstheme="majorBidi"/>
                <w:sz w:val="24"/>
                <w:szCs w:val="24"/>
                <w:rtl/>
              </w:rPr>
            </w:pPr>
            <w:r w:rsidRPr="001D47D7">
              <w:rPr>
                <w:rFonts w:asciiTheme="majorBidi" w:hAnsiTheme="majorBidi" w:cstheme="majorBidi"/>
                <w:sz w:val="24"/>
                <w:szCs w:val="24"/>
              </w:rPr>
              <w:t>(3)</w:t>
            </w:r>
          </w:p>
        </w:tc>
      </w:tr>
    </w:tbl>
    <w:p w14:paraId="7AE48F34" w14:textId="7AE6AB6D" w:rsidR="00AB424F" w:rsidRPr="001D47D7" w:rsidRDefault="006A7F90"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Now it is necessary to find the interest rate that gives the same amount </w:t>
      </w:r>
      <w:r w:rsidRPr="006451BF">
        <w:rPr>
          <w:rFonts w:asciiTheme="majorBidi" w:hAnsiTheme="majorBidi" w:cstheme="majorBidi"/>
          <w:sz w:val="24"/>
          <w:szCs w:val="24"/>
          <w:highlight w:val="yellow"/>
        </w:rPr>
        <w:t>of instalment</w:t>
      </w:r>
      <w:r w:rsidRPr="001D47D7">
        <w:rPr>
          <w:rFonts w:asciiTheme="majorBidi" w:hAnsiTheme="majorBidi" w:cstheme="majorBidi"/>
          <w:sz w:val="24"/>
          <w:szCs w:val="24"/>
        </w:rPr>
        <w:t xml:space="preserve"> amount for the </w:t>
      </w:r>
      <w:proofErr w:type="spellStart"/>
      <w:r w:rsidRPr="001D47D7">
        <w:rPr>
          <w:rFonts w:asciiTheme="majorBidi" w:hAnsiTheme="majorBidi" w:cstheme="majorBidi"/>
          <w:sz w:val="24"/>
          <w:szCs w:val="24"/>
        </w:rPr>
        <w:t>net</w:t>
      </w:r>
      <w:proofErr w:type="spellEnd"/>
      <w:r w:rsidRPr="001D47D7">
        <w:rPr>
          <w:rFonts w:asciiTheme="majorBidi" w:hAnsiTheme="majorBidi" w:cstheme="majorBidi"/>
          <w:sz w:val="24"/>
          <w:szCs w:val="24"/>
        </w:rPr>
        <w:t xml:space="preserve"> facility. In other words, the interest rate should be raised so much that the loan instalment </w:t>
      </w:r>
      <w:r w:rsidR="00E853A0">
        <w:rPr>
          <w:rFonts w:asciiTheme="majorBidi" w:hAnsiTheme="majorBidi" w:cstheme="majorBidi"/>
          <w:sz w:val="24"/>
          <w:szCs w:val="24"/>
        </w:rPr>
        <w:t xml:space="preserve">is </w:t>
      </w:r>
      <w:r w:rsidRPr="001D47D7">
        <w:rPr>
          <w:rFonts w:asciiTheme="majorBidi" w:hAnsiTheme="majorBidi" w:cstheme="majorBidi"/>
          <w:sz w:val="24"/>
          <w:szCs w:val="24"/>
        </w:rPr>
        <w:t xml:space="preserve">equal to </w:t>
      </w:r>
      <w:proofErr w:type="spellStart"/>
      <w:r w:rsidRPr="006451BF">
        <w:rPr>
          <w:rFonts w:asciiTheme="majorBidi" w:hAnsiTheme="majorBidi" w:cstheme="majorBidi"/>
          <w:sz w:val="24"/>
          <w:szCs w:val="24"/>
          <w:highlight w:val="yellow"/>
        </w:rPr>
        <w:t>NLRials</w:t>
      </w:r>
      <w:proofErr w:type="spellEnd"/>
      <w:r w:rsidRPr="006451BF">
        <w:rPr>
          <w:rFonts w:asciiTheme="majorBidi" w:hAnsiTheme="majorBidi" w:cstheme="majorBidi"/>
          <w:sz w:val="24"/>
          <w:szCs w:val="24"/>
          <w:highlight w:val="yellow"/>
        </w:rPr>
        <w:t xml:space="preserve"> </w:t>
      </w:r>
      <w:r w:rsidR="00E853A0" w:rsidRPr="006451BF">
        <w:rPr>
          <w:rFonts w:asciiTheme="majorBidi" w:hAnsiTheme="majorBidi" w:cstheme="majorBidi"/>
          <w:sz w:val="24"/>
          <w:szCs w:val="24"/>
          <w:highlight w:val="yellow"/>
        </w:rPr>
        <w:t xml:space="preserve">leading </w:t>
      </w:r>
      <w:r w:rsidRPr="006451BF">
        <w:rPr>
          <w:rFonts w:asciiTheme="majorBidi" w:hAnsiTheme="majorBidi" w:cstheme="majorBidi"/>
          <w:sz w:val="24"/>
          <w:szCs w:val="24"/>
          <w:highlight w:val="yellow"/>
        </w:rPr>
        <w:t xml:space="preserve">to the same </w:t>
      </w:r>
      <w:proofErr w:type="gramStart"/>
      <w:r w:rsidRPr="006451BF">
        <w:rPr>
          <w:rFonts w:asciiTheme="majorBidi" w:hAnsiTheme="majorBidi" w:cstheme="majorBidi"/>
          <w:sz w:val="24"/>
          <w:szCs w:val="24"/>
          <w:highlight w:val="yellow"/>
        </w:rPr>
        <w:t>amount</w:t>
      </w:r>
      <w:proofErr w:type="gramEnd"/>
      <w:r w:rsidRPr="006451BF">
        <w:rPr>
          <w:rFonts w:asciiTheme="majorBidi" w:hAnsiTheme="majorBidi" w:cstheme="majorBidi"/>
          <w:sz w:val="24"/>
          <w:szCs w:val="24"/>
          <w:highlight w:val="yellow"/>
        </w:rPr>
        <w:t xml:space="preserve"> of instalments</w:t>
      </w:r>
      <w:r w:rsidRPr="001D47D7">
        <w:rPr>
          <w:rFonts w:asciiTheme="majorBidi" w:hAnsiTheme="majorBidi" w:cstheme="majorBidi"/>
          <w:sz w:val="24"/>
          <w:szCs w:val="24"/>
        </w:rPr>
        <w:t xml:space="preserve"> for each borrower. This new interest rate is called the effective interest rate (r*)</w:t>
      </w:r>
      <w:r w:rsidR="00E853A0">
        <w:rPr>
          <w:rFonts w:asciiTheme="majorBidi" w:hAnsiTheme="majorBidi" w:cstheme="majorBidi"/>
          <w:sz w:val="24"/>
          <w:szCs w:val="24"/>
        </w:rPr>
        <w:t>,</w:t>
      </w:r>
      <w:r w:rsidRPr="001D47D7">
        <w:rPr>
          <w:rFonts w:asciiTheme="majorBidi" w:hAnsiTheme="majorBidi" w:cstheme="majorBidi"/>
          <w:sz w:val="24"/>
          <w:szCs w:val="24"/>
        </w:rPr>
        <w:t xml:space="preserve"> and its difference with the official interest rate is called the </w:t>
      </w:r>
      <w:r w:rsidR="008B689F"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 rate. This rate is calculated using equation 4. In relation 4,</w:t>
      </w:r>
      <w:r w:rsidR="00CA44FD" w:rsidRPr="001D47D7">
        <w:rPr>
          <w:rFonts w:ascii="Times New Roman" w:eastAsia="Calibri" w:hAnsi="Times New Roman" w:cs="B Mitra"/>
          <w:i/>
          <w:sz w:val="24"/>
          <w:szCs w:val="24"/>
        </w:rPr>
        <w:t xml:space="preserve"> </w:t>
      </w:r>
      <w:r w:rsidR="00CA44FD" w:rsidRPr="001D47D7">
        <w:rPr>
          <w:rFonts w:ascii="Times New Roman" w:eastAsia="Calibri" w:hAnsi="Times New Roman" w:cs="B Mitra"/>
          <w:i/>
          <w:position w:val="-12"/>
          <w:sz w:val="24"/>
          <w:szCs w:val="24"/>
        </w:rPr>
        <w:object w:dxaOrig="279" w:dyaOrig="360" w14:anchorId="18EBFBC8">
          <v:shape id="_x0000_i1029" type="#_x0000_t75" style="width:14.4pt;height:17.55pt" o:ole="">
            <v:imagedata r:id="rId14" o:title=""/>
          </v:shape>
          <o:OLEObject Type="Embed" ProgID="Equation.3" ShapeID="_x0000_i1029" DrawAspect="Content" ObjectID="_1817215559" r:id="rId15"/>
        </w:object>
      </w:r>
      <w:r w:rsidR="00CA44FD" w:rsidRPr="001D47D7">
        <w:rPr>
          <w:rFonts w:ascii="Times New Roman" w:eastAsia="Calibri" w:hAnsi="Times New Roman" w:cs="B Mitra"/>
          <w:i/>
          <w:sz w:val="24"/>
          <w:szCs w:val="24"/>
        </w:rPr>
        <w:t xml:space="preserve"> </w:t>
      </w:r>
      <w:r w:rsidR="00CA44FD" w:rsidRPr="001D47D7">
        <w:rPr>
          <w:rFonts w:ascii="Times New Roman" w:eastAsia="Calibri" w:hAnsi="Times New Roman" w:cs="B Mitra"/>
          <w:iCs/>
          <w:sz w:val="24"/>
          <w:szCs w:val="24"/>
        </w:rPr>
        <w:t>is</w:t>
      </w:r>
      <w:r w:rsidRPr="001D47D7">
        <w:rPr>
          <w:rFonts w:asciiTheme="majorBidi" w:hAnsiTheme="majorBidi" w:cstheme="majorBidi"/>
          <w:sz w:val="24"/>
          <w:szCs w:val="24"/>
        </w:rPr>
        <w:t xml:space="preserve"> repayment of the facility, t is the time period, n is the number of months of the repayment of the facility (Hosseini et al., 2012).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4683" w:rsidRPr="001D47D7" w14:paraId="4126633F" w14:textId="77777777" w:rsidTr="00E27C7C">
        <w:tc>
          <w:tcPr>
            <w:tcW w:w="4508" w:type="dxa"/>
            <w:vAlign w:val="center"/>
          </w:tcPr>
          <w:p w14:paraId="2D56C271" w14:textId="77777777" w:rsidR="00914683" w:rsidRPr="001D47D7" w:rsidRDefault="00914683" w:rsidP="005757C8">
            <w:pPr>
              <w:bidi w:val="0"/>
              <w:rPr>
                <w:rFonts w:asciiTheme="majorBidi" w:hAnsiTheme="majorBidi" w:cstheme="majorBidi"/>
                <w:sz w:val="24"/>
                <w:szCs w:val="24"/>
              </w:rPr>
            </w:pPr>
            <w:r w:rsidRPr="001D47D7">
              <w:rPr>
                <w:rFonts w:ascii="Times New Roman" w:eastAsia="Calibri" w:hAnsi="Times New Roman" w:cs="B Mitra"/>
                <w:i/>
                <w:position w:val="-34"/>
                <w:sz w:val="24"/>
                <w:szCs w:val="24"/>
              </w:rPr>
              <w:object w:dxaOrig="1860" w:dyaOrig="800" w14:anchorId="3026EADE">
                <v:shape id="_x0000_i1030" type="#_x0000_t75" style="width:93.3pt;height:40.05pt" o:ole="">
                  <v:imagedata r:id="rId16" o:title=""/>
                </v:shape>
                <o:OLEObject Type="Embed" ProgID="Equation.3" ShapeID="_x0000_i1030" DrawAspect="Content" ObjectID="_1817215560" r:id="rId17"/>
              </w:object>
            </w:r>
          </w:p>
        </w:tc>
        <w:tc>
          <w:tcPr>
            <w:tcW w:w="4508" w:type="dxa"/>
            <w:vAlign w:val="center"/>
          </w:tcPr>
          <w:p w14:paraId="746E28F6" w14:textId="77777777" w:rsidR="00914683" w:rsidRPr="001D47D7" w:rsidRDefault="00914683" w:rsidP="005757C8">
            <w:pPr>
              <w:rPr>
                <w:rFonts w:asciiTheme="majorBidi" w:hAnsiTheme="majorBidi" w:cstheme="majorBidi"/>
                <w:sz w:val="24"/>
                <w:szCs w:val="24"/>
              </w:rPr>
            </w:pPr>
            <w:r w:rsidRPr="001D47D7">
              <w:rPr>
                <w:rFonts w:asciiTheme="majorBidi" w:hAnsiTheme="majorBidi" w:cstheme="majorBidi"/>
                <w:sz w:val="24"/>
                <w:szCs w:val="24"/>
              </w:rPr>
              <w:t>(4)</w:t>
            </w:r>
          </w:p>
        </w:tc>
      </w:tr>
      <w:tr w:rsidR="00914683" w:rsidRPr="001D47D7" w14:paraId="445F9151" w14:textId="77777777" w:rsidTr="00E27C7C">
        <w:tc>
          <w:tcPr>
            <w:tcW w:w="4508" w:type="dxa"/>
            <w:vAlign w:val="center"/>
          </w:tcPr>
          <w:p w14:paraId="78BA47B8" w14:textId="77777777" w:rsidR="00914683" w:rsidRPr="001D47D7" w:rsidRDefault="00914683" w:rsidP="005757C8">
            <w:pPr>
              <w:bidi w:val="0"/>
              <w:rPr>
                <w:rFonts w:asciiTheme="majorBidi" w:hAnsiTheme="majorBidi" w:cstheme="majorBidi"/>
                <w:sz w:val="24"/>
                <w:szCs w:val="24"/>
              </w:rPr>
            </w:pPr>
            <w:r w:rsidRPr="001D47D7">
              <w:rPr>
                <w:rFonts w:ascii="Times New Roman" w:eastAsia="Times New Roman" w:hAnsi="Times New Roman" w:cs="B Mitra"/>
                <w:i/>
                <w:noProof/>
                <w:position w:val="-12"/>
                <w:sz w:val="24"/>
                <w:szCs w:val="24"/>
              </w:rPr>
              <w:object w:dxaOrig="1050" w:dyaOrig="405" w14:anchorId="600D1DDD">
                <v:shape id="_x0000_i1031" type="#_x0000_t75" style="width:50.7pt;height:21.3pt" o:ole="">
                  <v:imagedata r:id="rId18" o:title=""/>
                </v:shape>
                <o:OLEObject Type="Embed" ProgID="Equation.3" ShapeID="_x0000_i1031" DrawAspect="Content" ObjectID="_1817215561" r:id="rId19"/>
              </w:object>
            </w:r>
          </w:p>
        </w:tc>
        <w:tc>
          <w:tcPr>
            <w:tcW w:w="4508" w:type="dxa"/>
            <w:vAlign w:val="center"/>
          </w:tcPr>
          <w:p w14:paraId="1D5E43E6" w14:textId="77777777" w:rsidR="00914683" w:rsidRPr="001D47D7" w:rsidRDefault="00914683" w:rsidP="005757C8">
            <w:pPr>
              <w:rPr>
                <w:rFonts w:asciiTheme="majorBidi" w:hAnsiTheme="majorBidi" w:cstheme="majorBidi"/>
                <w:sz w:val="24"/>
                <w:szCs w:val="24"/>
              </w:rPr>
            </w:pPr>
            <w:r w:rsidRPr="001D47D7">
              <w:rPr>
                <w:rFonts w:asciiTheme="majorBidi" w:hAnsiTheme="majorBidi" w:cstheme="majorBidi"/>
                <w:sz w:val="24"/>
                <w:szCs w:val="24"/>
              </w:rPr>
              <w:t>(5)</w:t>
            </w:r>
          </w:p>
        </w:tc>
      </w:tr>
    </w:tbl>
    <w:p w14:paraId="2156A433" w14:textId="42103CEE" w:rsidR="00914683" w:rsidRPr="001D47D7" w:rsidRDefault="009D3F71" w:rsidP="005757C8">
      <w:pPr>
        <w:bidi w:val="0"/>
        <w:spacing w:after="0" w:line="240" w:lineRule="auto"/>
        <w:jc w:val="both"/>
        <w:rPr>
          <w:rFonts w:asciiTheme="majorBidi" w:hAnsiTheme="majorBidi" w:cstheme="majorBidi"/>
          <w:sz w:val="24"/>
          <w:szCs w:val="24"/>
        </w:rPr>
      </w:pPr>
      <w:proofErr w:type="spellStart"/>
      <w:r w:rsidRPr="006451BF">
        <w:rPr>
          <w:rStyle w:val="q4iawc"/>
          <w:rFonts w:asciiTheme="majorBidi" w:hAnsiTheme="majorBidi" w:cstheme="majorBidi"/>
          <w:sz w:val="24"/>
          <w:szCs w:val="24"/>
          <w:highlight w:val="yellow"/>
          <w:lang w:val="en"/>
        </w:rPr>
        <w:t>r</w:t>
      </w:r>
      <w:r w:rsidRPr="006451BF">
        <w:rPr>
          <w:rStyle w:val="q4iawc"/>
          <w:rFonts w:asciiTheme="majorBidi" w:hAnsiTheme="majorBidi" w:cstheme="majorBidi"/>
          <w:sz w:val="24"/>
          <w:szCs w:val="24"/>
          <w:highlight w:val="yellow"/>
          <w:vertAlign w:val="subscript"/>
          <w:lang w:val="en"/>
        </w:rPr>
        <w:t>tc</w:t>
      </w:r>
      <w:proofErr w:type="spellEnd"/>
      <w:r w:rsidRPr="006451BF">
        <w:rPr>
          <w:rStyle w:val="q4iawc"/>
          <w:rFonts w:asciiTheme="majorBidi" w:hAnsiTheme="majorBidi" w:cstheme="majorBidi"/>
          <w:sz w:val="24"/>
          <w:szCs w:val="24"/>
          <w:highlight w:val="yellow"/>
          <w:lang w:val="en"/>
        </w:rPr>
        <w:t xml:space="preserve"> is the </w:t>
      </w:r>
      <w:r w:rsidR="00CA4A92" w:rsidRPr="006451BF">
        <w:rPr>
          <w:rStyle w:val="q4iawc"/>
          <w:rFonts w:asciiTheme="majorBidi" w:hAnsiTheme="majorBidi" w:cstheme="majorBidi"/>
          <w:sz w:val="24"/>
          <w:szCs w:val="24"/>
          <w:highlight w:val="yellow"/>
          <w:lang w:val="en"/>
        </w:rPr>
        <w:t>tra</w:t>
      </w:r>
      <w:r w:rsidR="00CA4A92" w:rsidRPr="001D47D7">
        <w:rPr>
          <w:rStyle w:val="q4iawc"/>
          <w:rFonts w:asciiTheme="majorBidi" w:hAnsiTheme="majorBidi" w:cstheme="majorBidi"/>
          <w:sz w:val="24"/>
          <w:szCs w:val="24"/>
          <w:lang w:val="en"/>
        </w:rPr>
        <w:t xml:space="preserve">nsaction </w:t>
      </w:r>
      <w:r w:rsidRPr="001D47D7">
        <w:rPr>
          <w:rStyle w:val="q4iawc"/>
          <w:rFonts w:asciiTheme="majorBidi" w:hAnsiTheme="majorBidi" w:cstheme="majorBidi"/>
          <w:sz w:val="24"/>
          <w:szCs w:val="24"/>
          <w:lang w:val="en"/>
        </w:rPr>
        <w:t>cost rate and is now comparable to the official interest rate.</w:t>
      </w:r>
      <w:r w:rsidRPr="001D47D7">
        <w:rPr>
          <w:rStyle w:val="viiyi"/>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It is also noted that the formula used in some contracts (as well as unequal distribution) is different</w:t>
      </w:r>
      <w:r w:rsidR="00E853A0">
        <w:rPr>
          <w:rStyle w:val="q4iawc"/>
          <w:rFonts w:asciiTheme="majorBidi" w:hAnsiTheme="majorBidi" w:cstheme="majorBidi"/>
          <w:sz w:val="24"/>
          <w:szCs w:val="24"/>
          <w:lang w:val="en"/>
        </w:rPr>
        <w:t>,</w:t>
      </w:r>
      <w:r w:rsidRPr="001D47D7">
        <w:rPr>
          <w:rStyle w:val="q4iawc"/>
          <w:rFonts w:asciiTheme="majorBidi" w:hAnsiTheme="majorBidi" w:cstheme="majorBidi"/>
          <w:sz w:val="24"/>
          <w:szCs w:val="24"/>
          <w:lang w:val="en"/>
        </w:rPr>
        <w:t xml:space="preserve"> and therefore, the same formula will be used in this section as well.</w:t>
      </w:r>
      <w:r w:rsidRPr="001D47D7">
        <w:rPr>
          <w:rStyle w:val="viiyi"/>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 xml:space="preserve">This rate is also calculated for each company separately, similar to the absolute amount of </w:t>
      </w:r>
      <w:r w:rsidR="001A0143" w:rsidRPr="001D47D7">
        <w:rPr>
          <w:rStyle w:val="q4iawc"/>
          <w:rFonts w:asciiTheme="majorBidi" w:hAnsiTheme="majorBidi" w:cstheme="majorBidi"/>
          <w:sz w:val="24"/>
          <w:szCs w:val="24"/>
          <w:lang w:val="en"/>
        </w:rPr>
        <w:t xml:space="preserve">transaction </w:t>
      </w:r>
      <w:r w:rsidRPr="001D47D7">
        <w:rPr>
          <w:rStyle w:val="q4iawc"/>
          <w:rFonts w:asciiTheme="majorBidi" w:hAnsiTheme="majorBidi" w:cstheme="majorBidi"/>
          <w:sz w:val="24"/>
          <w:szCs w:val="24"/>
          <w:lang w:val="en"/>
        </w:rPr>
        <w:t xml:space="preserve">costs, and </w:t>
      </w:r>
      <w:r w:rsidRPr="006451BF">
        <w:rPr>
          <w:rStyle w:val="q4iawc"/>
          <w:rFonts w:asciiTheme="majorBidi" w:hAnsiTheme="majorBidi" w:cstheme="majorBidi"/>
          <w:sz w:val="24"/>
          <w:szCs w:val="24"/>
          <w:highlight w:val="yellow"/>
          <w:lang w:val="en"/>
        </w:rPr>
        <w:t xml:space="preserve">then it </w:t>
      </w:r>
      <w:r w:rsidR="00E853A0" w:rsidRPr="006451BF">
        <w:rPr>
          <w:rStyle w:val="q4iawc"/>
          <w:rFonts w:asciiTheme="majorBidi" w:hAnsiTheme="majorBidi" w:cstheme="majorBidi"/>
          <w:sz w:val="24"/>
          <w:szCs w:val="24"/>
          <w:highlight w:val="yellow"/>
          <w:lang w:val="en"/>
        </w:rPr>
        <w:t>is</w:t>
      </w:r>
      <w:r w:rsidRPr="006451BF">
        <w:rPr>
          <w:rStyle w:val="q4iawc"/>
          <w:rFonts w:asciiTheme="majorBidi" w:hAnsiTheme="majorBidi" w:cstheme="majorBidi"/>
          <w:sz w:val="24"/>
          <w:szCs w:val="24"/>
          <w:highlight w:val="yellow"/>
          <w:lang w:val="en"/>
        </w:rPr>
        <w:t xml:space="preserve"> averaged for contracts and all companies.</w:t>
      </w:r>
      <w:r w:rsidRPr="006451BF">
        <w:rPr>
          <w:rStyle w:val="viiyi"/>
          <w:rFonts w:asciiTheme="majorBidi" w:hAnsiTheme="majorBidi" w:cstheme="majorBidi"/>
          <w:sz w:val="24"/>
          <w:szCs w:val="24"/>
          <w:highlight w:val="yellow"/>
          <w:lang w:val="en"/>
        </w:rPr>
        <w:t xml:space="preserve"> </w:t>
      </w:r>
      <w:r w:rsidRPr="006451BF">
        <w:rPr>
          <w:rStyle w:val="q4iawc"/>
          <w:rFonts w:asciiTheme="majorBidi" w:hAnsiTheme="majorBidi" w:cstheme="majorBidi"/>
          <w:sz w:val="24"/>
          <w:szCs w:val="24"/>
          <w:highlight w:val="yellow"/>
          <w:lang w:val="en"/>
        </w:rPr>
        <w:t xml:space="preserve">In order to better </w:t>
      </w:r>
      <w:proofErr w:type="spellStart"/>
      <w:r w:rsidR="00E853A0" w:rsidRPr="006451BF">
        <w:rPr>
          <w:rStyle w:val="q4iawc"/>
          <w:rFonts w:asciiTheme="majorBidi" w:hAnsiTheme="majorBidi" w:cstheme="majorBidi"/>
          <w:sz w:val="24"/>
          <w:szCs w:val="24"/>
          <w:highlight w:val="yellow"/>
          <w:lang w:val="en"/>
        </w:rPr>
        <w:t>analyse</w:t>
      </w:r>
      <w:proofErr w:type="spellEnd"/>
      <w:r w:rsidR="00E853A0" w:rsidRPr="006451BF">
        <w:rPr>
          <w:rStyle w:val="q4iawc"/>
          <w:rFonts w:asciiTheme="majorBidi" w:hAnsiTheme="majorBidi" w:cstheme="majorBidi"/>
          <w:sz w:val="24"/>
          <w:szCs w:val="24"/>
          <w:highlight w:val="yellow"/>
          <w:lang w:val="en"/>
        </w:rPr>
        <w:t xml:space="preserve"> </w:t>
      </w:r>
      <w:r w:rsidRPr="006451BF">
        <w:rPr>
          <w:rStyle w:val="q4iawc"/>
          <w:rFonts w:asciiTheme="majorBidi" w:hAnsiTheme="majorBidi" w:cstheme="majorBidi"/>
          <w:sz w:val="24"/>
          <w:szCs w:val="24"/>
          <w:highlight w:val="yellow"/>
          <w:lang w:val="en"/>
        </w:rPr>
        <w:t xml:space="preserve">the </w:t>
      </w:r>
      <w:r w:rsidR="001A0143" w:rsidRPr="006451BF">
        <w:rPr>
          <w:rStyle w:val="q4iawc"/>
          <w:rFonts w:asciiTheme="majorBidi" w:hAnsiTheme="majorBidi" w:cstheme="majorBidi"/>
          <w:sz w:val="24"/>
          <w:szCs w:val="24"/>
          <w:highlight w:val="yellow"/>
          <w:lang w:val="en"/>
        </w:rPr>
        <w:t>transaction</w:t>
      </w:r>
      <w:r w:rsidR="001A0143" w:rsidRPr="001D47D7">
        <w:rPr>
          <w:rStyle w:val="q4iawc"/>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 xml:space="preserve">cost dimensions of knowledge-based companies, after calculating the </w:t>
      </w:r>
      <w:r w:rsidR="00CA4A92" w:rsidRPr="001D47D7">
        <w:rPr>
          <w:rStyle w:val="q4iawc"/>
          <w:rFonts w:asciiTheme="majorBidi" w:hAnsiTheme="majorBidi" w:cstheme="majorBidi"/>
          <w:sz w:val="24"/>
          <w:szCs w:val="24"/>
          <w:lang w:val="en"/>
        </w:rPr>
        <w:t xml:space="preserve">transaction </w:t>
      </w:r>
      <w:r w:rsidRPr="001D47D7">
        <w:rPr>
          <w:rStyle w:val="q4iawc"/>
          <w:rFonts w:asciiTheme="majorBidi" w:hAnsiTheme="majorBidi" w:cstheme="majorBidi"/>
          <w:sz w:val="24"/>
          <w:szCs w:val="24"/>
          <w:lang w:val="en"/>
        </w:rPr>
        <w:t>cost, the factors affecting it can be investigated in the framework of econometric analysis.</w:t>
      </w:r>
      <w:r w:rsidRPr="001D47D7">
        <w:rPr>
          <w:rStyle w:val="viiyi"/>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Equation 6 shows its general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D3F71" w:rsidRPr="001D47D7" w14:paraId="2CCA4E81" w14:textId="77777777" w:rsidTr="009D3F71">
        <w:tc>
          <w:tcPr>
            <w:tcW w:w="4508" w:type="dxa"/>
          </w:tcPr>
          <w:p w14:paraId="13E5EEDA" w14:textId="77777777" w:rsidR="009D3F71" w:rsidRPr="001D47D7" w:rsidRDefault="009D3F71"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14"/>
                <w:sz w:val="24"/>
                <w:szCs w:val="24"/>
              </w:rPr>
              <w:object w:dxaOrig="1725" w:dyaOrig="420" w14:anchorId="723F919B">
                <v:shape id="_x0000_i1032" type="#_x0000_t75" style="width:86.4pt;height:21.3pt" o:ole="">
                  <v:imagedata r:id="rId20" o:title=""/>
                </v:shape>
                <o:OLEObject Type="Embed" ProgID="Equation.3" ShapeID="_x0000_i1032" DrawAspect="Content" ObjectID="_1817215562" r:id="rId21"/>
              </w:object>
            </w:r>
          </w:p>
        </w:tc>
        <w:tc>
          <w:tcPr>
            <w:tcW w:w="4508" w:type="dxa"/>
          </w:tcPr>
          <w:p w14:paraId="7708EF1E" w14:textId="77777777" w:rsidR="009D3F71" w:rsidRPr="001D47D7" w:rsidRDefault="009D3F71" w:rsidP="005757C8">
            <w:pPr>
              <w:jc w:val="both"/>
              <w:rPr>
                <w:rFonts w:asciiTheme="majorBidi" w:hAnsiTheme="majorBidi" w:cstheme="majorBidi"/>
                <w:sz w:val="24"/>
                <w:szCs w:val="24"/>
                <w:rtl/>
              </w:rPr>
            </w:pPr>
            <w:r w:rsidRPr="001D47D7">
              <w:rPr>
                <w:rFonts w:asciiTheme="majorBidi" w:hAnsiTheme="majorBidi" w:cstheme="majorBidi"/>
                <w:sz w:val="24"/>
                <w:szCs w:val="24"/>
              </w:rPr>
              <w:t>(6)</w:t>
            </w:r>
          </w:p>
        </w:tc>
      </w:tr>
    </w:tbl>
    <w:p w14:paraId="68328766" w14:textId="58EAE4DE" w:rsidR="009D3F71" w:rsidRPr="001D47D7" w:rsidRDefault="00CA4A92"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where </w:t>
      </w:r>
      <m:oMath>
        <m:sSub>
          <m:sSubPr>
            <m:ctrlPr>
              <w:rPr>
                <w:rFonts w:ascii="Cambria Math" w:eastAsia="Times New Roman" w:hAnsi="Cambria Math" w:cs="B Mitra"/>
                <w:i/>
                <w:sz w:val="24"/>
                <w:szCs w:val="24"/>
                <w:lang w:val="en-GB"/>
              </w:rPr>
            </m:ctrlPr>
          </m:sSubPr>
          <m:e>
            <m:r>
              <w:rPr>
                <w:rFonts w:ascii="Cambria Math" w:eastAsia="Times New Roman" w:hAnsi="Cambria Math" w:cs="B Mitra"/>
                <w:sz w:val="24"/>
                <w:szCs w:val="24"/>
                <w:lang w:val="en-GB"/>
              </w:rPr>
              <m:t>TC</m:t>
            </m:r>
          </m:e>
          <m:sub>
            <m:r>
              <w:rPr>
                <w:rFonts w:ascii="Cambria Math" w:eastAsia="Times New Roman" w:hAnsi="Cambria Math" w:cs="B Mitra"/>
                <w:sz w:val="24"/>
                <w:szCs w:val="24"/>
                <w:lang w:val="en-GB"/>
              </w:rPr>
              <m:t>p</m:t>
            </m:r>
          </m:sub>
        </m:sSub>
      </m:oMath>
      <w:r w:rsidRPr="001D47D7">
        <w:rPr>
          <w:rFonts w:asciiTheme="majorBidi" w:hAnsiTheme="majorBidi" w:cstheme="majorBidi"/>
          <w:sz w:val="24"/>
          <w:szCs w:val="24"/>
        </w:rPr>
        <w:t>is the transaction cost of receiving facilities by company p (or the corresponding rate) and the vectors</w:t>
      </w:r>
      <w:r w:rsidR="00E471C5" w:rsidRPr="001D47D7">
        <w:rPr>
          <w:rFonts w:asciiTheme="majorBidi" w:hAnsiTheme="majorBidi" w:cstheme="majorBidi"/>
          <w:sz w:val="24"/>
          <w:szCs w:val="24"/>
        </w:rPr>
        <w:t xml:space="preserve"> </w:t>
      </w:r>
      <m:oMath>
        <m:sSubSup>
          <m:sSubSupPr>
            <m:ctrlPr>
              <w:rPr>
                <w:rFonts w:ascii="Cambria Math" w:eastAsia="Times New Roman" w:hAnsi="Cambria Math" w:cs="B Mitra"/>
                <w:i/>
                <w:sz w:val="24"/>
                <w:szCs w:val="24"/>
              </w:rPr>
            </m:ctrlPr>
          </m:sSubSupPr>
          <m:e>
            <m:r>
              <w:rPr>
                <w:rFonts w:ascii="Cambria Math" w:eastAsia="Times New Roman" w:hAnsi="Cambria Math" w:cs="B Mitra"/>
                <w:sz w:val="24"/>
                <w:szCs w:val="24"/>
              </w:rPr>
              <m:t>X</m:t>
            </m:r>
          </m:e>
          <m:sub>
            <m:r>
              <w:rPr>
                <w:rFonts w:ascii="Cambria Math" w:eastAsia="Times New Roman" w:hAnsi="Cambria Math" w:cs="B Mitra"/>
                <w:sz w:val="24"/>
                <w:szCs w:val="24"/>
              </w:rPr>
              <m:t>p</m:t>
            </m:r>
          </m:sub>
          <m:sup>
            <m:r>
              <w:rPr>
                <w:rFonts w:ascii="Cambria Math" w:eastAsia="Times New Roman" w:hAnsi="Cambria Math" w:cs="B Mitra"/>
                <w:sz w:val="24"/>
                <w:szCs w:val="24"/>
              </w:rPr>
              <m:t>p</m:t>
            </m:r>
          </m:sup>
        </m:sSubSup>
      </m:oMath>
      <w:r w:rsidRPr="001D47D7">
        <w:rPr>
          <w:rFonts w:asciiTheme="majorBidi" w:hAnsiTheme="majorBidi" w:cstheme="majorBidi"/>
          <w:sz w:val="24"/>
          <w:szCs w:val="24"/>
        </w:rPr>
        <w:t xml:space="preserve"> and</w:t>
      </w:r>
      <m:oMath>
        <m:r>
          <w:rPr>
            <w:rFonts w:ascii="Cambria Math" w:hAnsi="Cambria Math" w:cstheme="majorBidi"/>
            <w:sz w:val="24"/>
            <w:szCs w:val="24"/>
          </w:rPr>
          <m:t xml:space="preserve"> </m:t>
        </m:r>
        <m:sSubSup>
          <m:sSubSupPr>
            <m:ctrlPr>
              <w:rPr>
                <w:rFonts w:ascii="Cambria Math" w:eastAsia="Times New Roman" w:hAnsi="Cambria Math" w:cs="B Mitra"/>
                <w:i/>
                <w:sz w:val="24"/>
                <w:szCs w:val="24"/>
              </w:rPr>
            </m:ctrlPr>
          </m:sSubSupPr>
          <m:e>
            <m:r>
              <w:rPr>
                <w:rFonts w:ascii="Cambria Math" w:eastAsia="Times New Roman" w:hAnsi="Cambria Math" w:cs="B Mitra"/>
                <w:sz w:val="24"/>
                <w:szCs w:val="24"/>
              </w:rPr>
              <m:t>X</m:t>
            </m:r>
          </m:e>
          <m:sub>
            <m:r>
              <w:rPr>
                <w:rFonts w:ascii="Cambria Math" w:eastAsia="Times New Roman" w:hAnsi="Cambria Math" w:cs="B Mitra"/>
                <w:sz w:val="24"/>
                <w:szCs w:val="24"/>
              </w:rPr>
              <m:t>p</m:t>
            </m:r>
          </m:sub>
          <m:sup>
            <m:r>
              <w:rPr>
                <w:rFonts w:ascii="Cambria Math" w:eastAsia="Times New Roman" w:hAnsi="Cambria Math" w:cs="B Mitra"/>
                <w:sz w:val="24"/>
                <w:szCs w:val="24"/>
              </w:rPr>
              <m:t>i</m:t>
            </m:r>
          </m:sup>
        </m:sSubSup>
      </m:oMath>
      <w:r w:rsidRPr="001D47D7">
        <w:rPr>
          <w:rFonts w:asciiTheme="majorBidi" w:hAnsiTheme="majorBidi" w:cstheme="majorBidi"/>
          <w:sz w:val="24"/>
          <w:szCs w:val="24"/>
        </w:rPr>
        <w:t xml:space="preserve"> </w:t>
      </w:r>
      <w:r w:rsidR="00E471C5" w:rsidRPr="001D47D7">
        <w:rPr>
          <w:rFonts w:asciiTheme="majorBidi" w:hAnsiTheme="majorBidi" w:cstheme="majorBidi"/>
          <w:sz w:val="24"/>
          <w:szCs w:val="24"/>
        </w:rPr>
        <w:t>,</w:t>
      </w:r>
      <w:r w:rsidR="00E853A0">
        <w:rPr>
          <w:rFonts w:asciiTheme="majorBidi" w:hAnsiTheme="majorBidi" w:cstheme="majorBidi"/>
          <w:sz w:val="24"/>
          <w:szCs w:val="24"/>
        </w:rPr>
        <w:t xml:space="preserve"> </w:t>
      </w:r>
      <w:r w:rsidRPr="001D47D7">
        <w:rPr>
          <w:rFonts w:asciiTheme="majorBidi" w:hAnsiTheme="majorBidi" w:cstheme="majorBidi"/>
          <w:sz w:val="24"/>
          <w:szCs w:val="24"/>
        </w:rPr>
        <w:t>respectively, indicate the variables of company characteristics (company capital, type of basic knowledge of the company) and loan c</w:t>
      </w:r>
      <w:r w:rsidR="00E471C5" w:rsidRPr="001D47D7">
        <w:rPr>
          <w:rFonts w:asciiTheme="majorBidi" w:hAnsiTheme="majorBidi" w:cstheme="majorBidi"/>
          <w:sz w:val="24"/>
          <w:szCs w:val="24"/>
        </w:rPr>
        <w:t>haracteristics (facility amount</w:t>
      </w:r>
      <w:r w:rsidRPr="001D47D7">
        <w:rPr>
          <w:rFonts w:asciiTheme="majorBidi" w:hAnsiTheme="majorBidi" w:cstheme="majorBidi"/>
          <w:sz w:val="24"/>
          <w:szCs w:val="24"/>
        </w:rPr>
        <w:t xml:space="preserve">, the distance between the application and the conclusion of the contract, </w:t>
      </w:r>
      <w:r w:rsidR="00D93CB2" w:rsidRPr="001D47D7">
        <w:rPr>
          <w:rFonts w:asciiTheme="majorBidi" w:hAnsiTheme="majorBidi" w:cstheme="majorBidi"/>
          <w:sz w:val="24"/>
          <w:szCs w:val="24"/>
        </w:rPr>
        <w:t>interest rate</w:t>
      </w:r>
      <w:r w:rsidRPr="001D47D7">
        <w:rPr>
          <w:rFonts w:asciiTheme="majorBidi" w:hAnsiTheme="majorBidi" w:cstheme="majorBidi"/>
          <w:sz w:val="24"/>
          <w:szCs w:val="24"/>
        </w:rPr>
        <w:t>, the type of the facility)</w:t>
      </w:r>
      <w:r w:rsidR="00A23298" w:rsidRPr="00A23298">
        <w:rPr>
          <w:rFonts w:asciiTheme="majorBidi" w:hAnsiTheme="majorBidi" w:cstheme="majorBidi"/>
          <w:sz w:val="24"/>
          <w:szCs w:val="24"/>
        </w:rPr>
        <w:t>(Hosseini et al., 2012).</w:t>
      </w:r>
    </w:p>
    <w:p w14:paraId="75813A67" w14:textId="122684E7" w:rsidR="00CA6F68" w:rsidRPr="001D47D7" w:rsidRDefault="00CA6F68" w:rsidP="005757C8">
      <w:pPr>
        <w:bidi w:val="0"/>
        <w:spacing w:after="0" w:line="240" w:lineRule="auto"/>
        <w:jc w:val="both"/>
        <w:rPr>
          <w:rFonts w:asciiTheme="majorBidi" w:hAnsiTheme="majorBidi" w:cstheme="majorBidi"/>
          <w:sz w:val="24"/>
          <w:szCs w:val="24"/>
          <w:rtl/>
        </w:rPr>
      </w:pPr>
      <w:r w:rsidRPr="001D47D7">
        <w:rPr>
          <w:rFonts w:asciiTheme="majorBidi" w:hAnsiTheme="majorBidi" w:cstheme="majorBidi"/>
          <w:sz w:val="24"/>
          <w:szCs w:val="24"/>
        </w:rPr>
        <w:t xml:space="preserve">The society of this research includes all the customers of the studied fund facilities. The intended sample was extracted from among the beneficiaries of the fund using a multi-stage random sampling method. Due to the fact that the scope of the research is related </w:t>
      </w:r>
      <w:r w:rsidRPr="006451BF">
        <w:rPr>
          <w:rFonts w:asciiTheme="majorBidi" w:hAnsiTheme="majorBidi" w:cstheme="majorBidi"/>
          <w:sz w:val="24"/>
          <w:szCs w:val="24"/>
          <w:highlight w:val="yellow"/>
        </w:rPr>
        <w:t xml:space="preserve">to all the payment facilities that are given to the companies in the form of a type of contract, </w:t>
      </w:r>
      <w:r w:rsidRPr="001D47D7">
        <w:rPr>
          <w:rFonts w:asciiTheme="majorBidi" w:hAnsiTheme="majorBidi" w:cstheme="majorBidi"/>
          <w:sz w:val="24"/>
          <w:szCs w:val="24"/>
        </w:rPr>
        <w:t xml:space="preserve">the size of the studied facilities is completely different and will include all the knowledge-based companies of the applicant. The total number of facilities granted by the fund has been almost 2000, from which information on </w:t>
      </w:r>
      <w:r w:rsidRPr="00531291">
        <w:rPr>
          <w:rFonts w:asciiTheme="majorBidi" w:hAnsiTheme="majorBidi" w:cstheme="majorBidi"/>
          <w:sz w:val="24"/>
          <w:szCs w:val="24"/>
          <w:highlight w:val="yellow"/>
        </w:rPr>
        <w:t>the facilities of 200 knowledge-based companies has been obtained from the fund. Out of this number, 123 companies were interviewed</w:t>
      </w:r>
      <w:r w:rsidR="00E853A0">
        <w:rPr>
          <w:rFonts w:asciiTheme="majorBidi" w:hAnsiTheme="majorBidi" w:cstheme="majorBidi"/>
          <w:sz w:val="24"/>
          <w:szCs w:val="24"/>
          <w:highlight w:val="yellow"/>
        </w:rPr>
        <w:t>,</w:t>
      </w:r>
      <w:r w:rsidRPr="00531291">
        <w:rPr>
          <w:rFonts w:asciiTheme="majorBidi" w:hAnsiTheme="majorBidi" w:cstheme="majorBidi"/>
          <w:sz w:val="24"/>
          <w:szCs w:val="24"/>
          <w:highlight w:val="yellow"/>
        </w:rPr>
        <w:t xml:space="preserve"> and the design questionnaire was completed and entered into the analysis process.</w:t>
      </w:r>
    </w:p>
    <w:p w14:paraId="18092839" w14:textId="20FC75B2" w:rsidR="00325EB3" w:rsidRDefault="00F30EF0" w:rsidP="005757C8">
      <w:pPr>
        <w:bidi w:val="0"/>
        <w:spacing w:after="0" w:line="240" w:lineRule="auto"/>
        <w:jc w:val="both"/>
        <w:rPr>
          <w:rFonts w:asciiTheme="majorBidi" w:hAnsiTheme="majorBidi" w:cstheme="majorBidi"/>
          <w:b/>
          <w:bCs/>
          <w:sz w:val="24"/>
          <w:szCs w:val="24"/>
          <w:rtl/>
        </w:rPr>
      </w:pPr>
      <w:r w:rsidRPr="001D47D7">
        <w:rPr>
          <w:rFonts w:asciiTheme="majorBidi" w:hAnsiTheme="majorBidi" w:cstheme="majorBidi"/>
          <w:b/>
          <w:bCs/>
          <w:sz w:val="24"/>
          <w:szCs w:val="24"/>
        </w:rPr>
        <w:t>Results</w:t>
      </w:r>
      <w:r w:rsidR="003D6F9E">
        <w:rPr>
          <w:rFonts w:asciiTheme="majorBidi" w:hAnsiTheme="majorBidi" w:cstheme="majorBidi"/>
          <w:b/>
          <w:bCs/>
          <w:sz w:val="24"/>
          <w:szCs w:val="24"/>
        </w:rPr>
        <w:t xml:space="preserve"> and </w:t>
      </w:r>
      <w:r w:rsidR="003D6F9E" w:rsidRPr="003D6F9E">
        <w:rPr>
          <w:rFonts w:asciiTheme="majorBidi" w:hAnsiTheme="majorBidi" w:cstheme="majorBidi"/>
          <w:b/>
          <w:bCs/>
          <w:sz w:val="24"/>
          <w:szCs w:val="24"/>
        </w:rPr>
        <w:t>Discussion</w:t>
      </w:r>
    </w:p>
    <w:p w14:paraId="3F05F5E5" w14:textId="3087BCE3" w:rsidR="0020580E" w:rsidRPr="006451BF" w:rsidRDefault="0020580E" w:rsidP="0020580E">
      <w:pPr>
        <w:pStyle w:val="NormalWeb"/>
        <w:jc w:val="both"/>
        <w:rPr>
          <w:highlight w:val="yellow"/>
        </w:rPr>
      </w:pPr>
      <w:r>
        <w:t xml:space="preserve">Descriptive statistics of the facilities provided to the investigated </w:t>
      </w:r>
      <w:r w:rsidRPr="006451BF">
        <w:rPr>
          <w:highlight w:val="yellow"/>
        </w:rPr>
        <w:t xml:space="preserve">companies, </w:t>
      </w:r>
      <w:proofErr w:type="spellStart"/>
      <w:r w:rsidR="00EC2ABD" w:rsidRPr="006451BF">
        <w:rPr>
          <w:highlight w:val="yellow"/>
        </w:rPr>
        <w:t>categorised</w:t>
      </w:r>
      <w:proofErr w:type="spellEnd"/>
      <w:r w:rsidR="00EC2ABD" w:rsidRPr="006451BF">
        <w:rPr>
          <w:highlight w:val="yellow"/>
        </w:rPr>
        <w:t xml:space="preserve"> </w:t>
      </w:r>
      <w:r w:rsidRPr="006451BF">
        <w:rPr>
          <w:highlight w:val="yellow"/>
        </w:rPr>
        <w:t>by loan ty</w:t>
      </w:r>
      <w:r>
        <w:t xml:space="preserve">pes, are presented in Table 1. Working capital and prototyping loans constitute the majority of the facilities, representing 70.73% of the total loans examined. The average loan </w:t>
      </w:r>
      <w:r>
        <w:lastRenderedPageBreak/>
        <w:t xml:space="preserve">amounts for each facility type are as follows: working capital facilities average 34.34 billion </w:t>
      </w:r>
      <w:proofErr w:type="spellStart"/>
      <w:r>
        <w:t>rials</w:t>
      </w:r>
      <w:proofErr w:type="spellEnd"/>
      <w:r>
        <w:t xml:space="preserve">, industrial production activities loans average 67.43 billion </w:t>
      </w:r>
      <w:proofErr w:type="spellStart"/>
      <w:r>
        <w:t>rials</w:t>
      </w:r>
      <w:proofErr w:type="spellEnd"/>
      <w:r>
        <w:t xml:space="preserve">, prototyping loans average 3.7 billion </w:t>
      </w:r>
      <w:proofErr w:type="spellStart"/>
      <w:r>
        <w:t>rials</w:t>
      </w:r>
      <w:proofErr w:type="spellEnd"/>
      <w:r>
        <w:t xml:space="preserve">, and leasing facilities average 15.57 billion </w:t>
      </w:r>
      <w:proofErr w:type="spellStart"/>
      <w:r>
        <w:t>rials</w:t>
      </w:r>
      <w:proofErr w:type="spellEnd"/>
      <w:r>
        <w:t xml:space="preserve">. The smallest loan amount is associated with leasing facilities, which amounts to 0.35 billion </w:t>
      </w:r>
      <w:proofErr w:type="spellStart"/>
      <w:r>
        <w:t>rials</w:t>
      </w:r>
      <w:proofErr w:type="spellEnd"/>
      <w:r>
        <w:t xml:space="preserve">, while the largest loan amount is for industrial production activities, </w:t>
      </w:r>
      <w:proofErr w:type="spellStart"/>
      <w:r>
        <w:t>tota</w:t>
      </w:r>
      <w:r w:rsidR="00EC2ABD">
        <w:t>l</w:t>
      </w:r>
      <w:r>
        <w:t>ling</w:t>
      </w:r>
      <w:proofErr w:type="spellEnd"/>
      <w:r>
        <w:t xml:space="preserve"> 410 billion </w:t>
      </w:r>
      <w:proofErr w:type="spellStart"/>
      <w:r>
        <w:t>rials</w:t>
      </w:r>
      <w:proofErr w:type="spellEnd"/>
      <w:r>
        <w:t xml:space="preserve">. In terms of interest rates, working capital facilities and industrial production activities have an average interest rate of 11%, while prototyping and leasing facilities have average interest rates of 4% and 9.57%, </w:t>
      </w:r>
      <w:r w:rsidRPr="006451BF">
        <w:rPr>
          <w:highlight w:val="yellow"/>
        </w:rPr>
        <w:t>respectively.</w:t>
      </w:r>
    </w:p>
    <w:p w14:paraId="62B72BCE" w14:textId="0A5B558B" w:rsidR="0020580E" w:rsidRDefault="0020580E" w:rsidP="0020580E">
      <w:pPr>
        <w:pStyle w:val="NormalWeb"/>
        <w:jc w:val="both"/>
      </w:pPr>
      <w:r w:rsidRPr="006451BF">
        <w:rPr>
          <w:highlight w:val="yellow"/>
        </w:rPr>
        <w:t xml:space="preserve">The transaction costs for the studied companies, </w:t>
      </w:r>
      <w:proofErr w:type="spellStart"/>
      <w:r w:rsidR="00EC2ABD" w:rsidRPr="006451BF">
        <w:rPr>
          <w:highlight w:val="yellow"/>
        </w:rPr>
        <w:t>categorised</w:t>
      </w:r>
      <w:proofErr w:type="spellEnd"/>
      <w:r w:rsidR="00EC2ABD" w:rsidRPr="006451BF">
        <w:rPr>
          <w:highlight w:val="yellow"/>
        </w:rPr>
        <w:t xml:space="preserve"> </w:t>
      </w:r>
      <w:r w:rsidRPr="006451BF">
        <w:rPr>
          <w:highlight w:val="yellow"/>
        </w:rPr>
        <w:t xml:space="preserve">by loan size groups, are also presented and </w:t>
      </w:r>
      <w:proofErr w:type="spellStart"/>
      <w:r w:rsidR="00EC2ABD" w:rsidRPr="006451BF">
        <w:rPr>
          <w:highlight w:val="yellow"/>
        </w:rPr>
        <w:t>analysed</w:t>
      </w:r>
      <w:proofErr w:type="spellEnd"/>
      <w:r w:rsidRPr="006451BF">
        <w:rPr>
          <w:highlight w:val="yellow"/>
        </w:rPr>
        <w:t xml:space="preserve">. The loans were first </w:t>
      </w:r>
      <w:proofErr w:type="spellStart"/>
      <w:r w:rsidR="00EC2ABD" w:rsidRPr="006451BF">
        <w:rPr>
          <w:highlight w:val="yellow"/>
        </w:rPr>
        <w:t>categorised</w:t>
      </w:r>
      <w:proofErr w:type="spellEnd"/>
      <w:r w:rsidR="00EC2ABD" w:rsidRPr="006451BF">
        <w:rPr>
          <w:highlight w:val="yellow"/>
        </w:rPr>
        <w:t xml:space="preserve"> </w:t>
      </w:r>
      <w:r w:rsidRPr="006451BF">
        <w:rPr>
          <w:highlight w:val="yellow"/>
        </w:rPr>
        <w:t xml:space="preserve">into four groups based on contract amounts: the first group includes loans less than 280 million </w:t>
      </w:r>
      <w:proofErr w:type="spellStart"/>
      <w:r w:rsidRPr="006451BF">
        <w:rPr>
          <w:highlight w:val="yellow"/>
        </w:rPr>
        <w:t>tomans</w:t>
      </w:r>
      <w:proofErr w:type="spellEnd"/>
      <w:r w:rsidRPr="006451BF">
        <w:rPr>
          <w:highlight w:val="yellow"/>
        </w:rPr>
        <w:t xml:space="preserve">, the second group consists of loans ranging from 280 million to 1 billion </w:t>
      </w:r>
      <w:proofErr w:type="spellStart"/>
      <w:r w:rsidRPr="006451BF">
        <w:rPr>
          <w:highlight w:val="yellow"/>
        </w:rPr>
        <w:t>tomans</w:t>
      </w:r>
      <w:proofErr w:type="spellEnd"/>
      <w:r w:rsidRPr="006451BF">
        <w:rPr>
          <w:highlight w:val="yellow"/>
        </w:rPr>
        <w:t>, the third</w:t>
      </w:r>
      <w:r>
        <w:t xml:space="preserve"> group includes loans from 1 billion to 2.7 billion </w:t>
      </w:r>
      <w:proofErr w:type="spellStart"/>
      <w:r>
        <w:t>tomans</w:t>
      </w:r>
      <w:proofErr w:type="spellEnd"/>
      <w:r>
        <w:t xml:space="preserve">, and the fourth group comprises loans exceeding 2.7 billion </w:t>
      </w:r>
      <w:proofErr w:type="spellStart"/>
      <w:r>
        <w:t>tomans</w:t>
      </w:r>
      <w:proofErr w:type="spellEnd"/>
      <w:r>
        <w:t>. The transaction costs and the distribution of costs across different stages of the loan process, from acquisition to settlement, are then reported for each loan size group.</w:t>
      </w:r>
    </w:p>
    <w:p w14:paraId="281860F8" w14:textId="6CED7D6D" w:rsidR="0020580E" w:rsidRDefault="0020580E" w:rsidP="0020580E">
      <w:pPr>
        <w:pStyle w:val="NormalWeb"/>
        <w:jc w:val="both"/>
      </w:pPr>
      <w:r>
        <w:t>The results from Table 2, which detail the direct and indirect costs of obtaining loans by loan size groups, show that</w:t>
      </w:r>
      <w:r w:rsidR="0055672A">
        <w:t>,</w:t>
      </w:r>
      <w:r>
        <w:t xml:space="preserve"> in terms of indirect costs, there is little variation across the loan groups for most cost components. For instance, the average cost of acquiring information for groups 1, 2, 3, </w:t>
      </w:r>
      <w:r w:rsidRPr="006451BF">
        <w:rPr>
          <w:highlight w:val="yellow"/>
        </w:rPr>
        <w:t xml:space="preserve">and 4 </w:t>
      </w:r>
      <w:r w:rsidR="0055672A" w:rsidRPr="006451BF">
        <w:rPr>
          <w:highlight w:val="yellow"/>
        </w:rPr>
        <w:t xml:space="preserve">is </w:t>
      </w:r>
      <w:r w:rsidRPr="006451BF">
        <w:rPr>
          <w:highlight w:val="yellow"/>
        </w:rPr>
        <w:t>6.22, 7.78, 7.82,</w:t>
      </w:r>
      <w:r>
        <w:t xml:space="preserve"> and 7.55 million </w:t>
      </w:r>
      <w:proofErr w:type="spellStart"/>
      <w:r>
        <w:t>rials</w:t>
      </w:r>
      <w:proofErr w:type="spellEnd"/>
      <w:r>
        <w:t>, respectively. However, the costs related to visits to notary offices, banks, and government offices are higher for the third and fourth loan groups compared to the first and second groups. This increase is attributable to the additional guarantees required for larger loans. Regarding direct costs, it is evident that as the loan amount increases, so do the direct costs incurred by the companies. This increase is primarily due to higher collateral and associated costs.</w:t>
      </w:r>
    </w:p>
    <w:p w14:paraId="1DDDECC2" w14:textId="7654590A" w:rsidR="004D3B3F" w:rsidRPr="00B67BE7" w:rsidRDefault="004D3B3F"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Table 1-Descriptive statistics of paid facilities by type of facility</w:t>
      </w:r>
      <w:r w:rsidR="00FA3DDA">
        <w:rPr>
          <w:rFonts w:asciiTheme="majorBidi" w:hAnsiTheme="majorBidi" w:cstheme="majorBidi"/>
          <w:b/>
          <w:bCs/>
          <w:sz w:val="20"/>
          <w:szCs w:val="20"/>
        </w:rPr>
        <w:t xml:space="preserve"> </w:t>
      </w:r>
      <w:r w:rsidR="00FA3DDA" w:rsidRPr="00FA3DDA">
        <w:rPr>
          <w:rFonts w:asciiTheme="majorBidi" w:hAnsiTheme="majorBidi" w:cstheme="majorBidi"/>
          <w:b/>
          <w:bCs/>
          <w:sz w:val="20"/>
          <w:szCs w:val="20"/>
        </w:rPr>
        <w:t>(Hosseini et al., 2023)</w:t>
      </w:r>
    </w:p>
    <w:tbl>
      <w:tblPr>
        <w:tblStyle w:val="PlainTable51"/>
        <w:tblW w:w="0" w:type="auto"/>
        <w:tblLook w:val="04A0" w:firstRow="1" w:lastRow="0" w:firstColumn="1" w:lastColumn="0" w:noHBand="0" w:noVBand="1"/>
      </w:tblPr>
      <w:tblGrid>
        <w:gridCol w:w="1888"/>
        <w:gridCol w:w="861"/>
        <w:gridCol w:w="1571"/>
        <w:gridCol w:w="1232"/>
        <w:gridCol w:w="1411"/>
        <w:gridCol w:w="2063"/>
      </w:tblGrid>
      <w:tr w:rsidR="004D3B3F" w:rsidRPr="00642F77" w14:paraId="0AB16CD2" w14:textId="77777777" w:rsidTr="00C042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65D09B0D"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Type of facility</w:t>
            </w:r>
          </w:p>
        </w:tc>
        <w:tc>
          <w:tcPr>
            <w:tcW w:w="0" w:type="auto"/>
            <w:vAlign w:val="center"/>
          </w:tcPr>
          <w:p w14:paraId="0ED933FE"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Number</w:t>
            </w:r>
          </w:p>
        </w:tc>
        <w:tc>
          <w:tcPr>
            <w:tcW w:w="0" w:type="auto"/>
            <w:vAlign w:val="center"/>
          </w:tcPr>
          <w:p w14:paraId="3DAC4AD3"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 xml:space="preserve">Average (billions of </w:t>
            </w:r>
            <w:proofErr w:type="spellStart"/>
            <w:r w:rsidRPr="00642F77">
              <w:rPr>
                <w:rFonts w:asciiTheme="majorBidi" w:hAnsiTheme="majorBidi"/>
                <w:sz w:val="20"/>
                <w:szCs w:val="20"/>
              </w:rPr>
              <w:t>Rials</w:t>
            </w:r>
            <w:proofErr w:type="spellEnd"/>
            <w:r w:rsidRPr="00642F77">
              <w:rPr>
                <w:rFonts w:asciiTheme="majorBidi" w:hAnsiTheme="majorBidi"/>
                <w:sz w:val="20"/>
                <w:szCs w:val="20"/>
              </w:rPr>
              <w:t>)</w:t>
            </w:r>
          </w:p>
        </w:tc>
        <w:tc>
          <w:tcPr>
            <w:tcW w:w="0" w:type="auto"/>
            <w:vAlign w:val="center"/>
          </w:tcPr>
          <w:p w14:paraId="15BF594C"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 xml:space="preserve">Min (billion </w:t>
            </w:r>
            <w:proofErr w:type="spellStart"/>
            <w:r w:rsidRPr="00642F77">
              <w:rPr>
                <w:rFonts w:asciiTheme="majorBidi" w:hAnsiTheme="majorBidi"/>
                <w:sz w:val="20"/>
                <w:szCs w:val="20"/>
              </w:rPr>
              <w:t>Rials</w:t>
            </w:r>
            <w:proofErr w:type="spellEnd"/>
            <w:r w:rsidRPr="00642F77">
              <w:rPr>
                <w:rFonts w:asciiTheme="majorBidi" w:hAnsiTheme="majorBidi"/>
                <w:sz w:val="20"/>
                <w:szCs w:val="20"/>
              </w:rPr>
              <w:t>)</w:t>
            </w:r>
          </w:p>
        </w:tc>
        <w:tc>
          <w:tcPr>
            <w:tcW w:w="0" w:type="auto"/>
            <w:vAlign w:val="center"/>
          </w:tcPr>
          <w:p w14:paraId="68D16783"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proofErr w:type="gramStart"/>
            <w:r w:rsidRPr="00642F77">
              <w:rPr>
                <w:rFonts w:asciiTheme="majorBidi" w:hAnsiTheme="majorBidi"/>
                <w:sz w:val="20"/>
                <w:szCs w:val="20"/>
              </w:rPr>
              <w:t>Max(</w:t>
            </w:r>
            <w:proofErr w:type="gramEnd"/>
            <w:r w:rsidRPr="00642F77">
              <w:rPr>
                <w:rFonts w:asciiTheme="majorBidi" w:hAnsiTheme="majorBidi"/>
                <w:sz w:val="20"/>
                <w:szCs w:val="20"/>
              </w:rPr>
              <w:t xml:space="preserve">billion </w:t>
            </w:r>
            <w:proofErr w:type="spellStart"/>
            <w:r w:rsidRPr="00642F77">
              <w:rPr>
                <w:rFonts w:asciiTheme="majorBidi" w:hAnsiTheme="majorBidi"/>
                <w:sz w:val="20"/>
                <w:szCs w:val="20"/>
              </w:rPr>
              <w:t>Rials</w:t>
            </w:r>
            <w:proofErr w:type="spellEnd"/>
            <w:r w:rsidRPr="00642F77">
              <w:rPr>
                <w:rFonts w:asciiTheme="majorBidi" w:hAnsiTheme="majorBidi"/>
                <w:sz w:val="20"/>
                <w:szCs w:val="20"/>
              </w:rPr>
              <w:t>)</w:t>
            </w:r>
          </w:p>
        </w:tc>
        <w:tc>
          <w:tcPr>
            <w:tcW w:w="0" w:type="auto"/>
            <w:vAlign w:val="center"/>
          </w:tcPr>
          <w:p w14:paraId="447D018E"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Average interest rate (percentage)</w:t>
            </w:r>
          </w:p>
        </w:tc>
      </w:tr>
      <w:tr w:rsidR="004D3B3F" w:rsidRPr="00642F77" w14:paraId="36350C62" w14:textId="77777777"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A86BA9"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Working capital</w:t>
            </w:r>
          </w:p>
        </w:tc>
        <w:tc>
          <w:tcPr>
            <w:tcW w:w="0" w:type="auto"/>
            <w:vAlign w:val="center"/>
          </w:tcPr>
          <w:p w14:paraId="7F371526"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49</w:t>
            </w:r>
          </w:p>
        </w:tc>
        <w:tc>
          <w:tcPr>
            <w:tcW w:w="0" w:type="auto"/>
            <w:vAlign w:val="center"/>
          </w:tcPr>
          <w:p w14:paraId="7F333C13"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642F77">
              <w:rPr>
                <w:rFonts w:asciiTheme="majorBidi" w:hAnsiTheme="majorBidi" w:cstheme="majorBidi"/>
                <w:sz w:val="20"/>
                <w:szCs w:val="20"/>
              </w:rPr>
              <w:t>34</w:t>
            </w:r>
          </w:p>
        </w:tc>
        <w:tc>
          <w:tcPr>
            <w:tcW w:w="0" w:type="auto"/>
            <w:vAlign w:val="center"/>
          </w:tcPr>
          <w:p w14:paraId="6B94AD0B"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2.3</w:t>
            </w:r>
          </w:p>
        </w:tc>
        <w:tc>
          <w:tcPr>
            <w:tcW w:w="0" w:type="auto"/>
            <w:vAlign w:val="center"/>
          </w:tcPr>
          <w:p w14:paraId="41BF80D9"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200</w:t>
            </w:r>
          </w:p>
        </w:tc>
        <w:tc>
          <w:tcPr>
            <w:tcW w:w="0" w:type="auto"/>
            <w:vAlign w:val="center"/>
          </w:tcPr>
          <w:p w14:paraId="6ABED66D"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11</w:t>
            </w:r>
          </w:p>
        </w:tc>
      </w:tr>
      <w:tr w:rsidR="004D3B3F" w:rsidRPr="00642F77" w14:paraId="61D730D5" w14:textId="77777777" w:rsidTr="00C04258">
        <w:tc>
          <w:tcPr>
            <w:cnfStyle w:val="001000000000" w:firstRow="0" w:lastRow="0" w:firstColumn="1" w:lastColumn="0" w:oddVBand="0" w:evenVBand="0" w:oddHBand="0" w:evenHBand="0" w:firstRowFirstColumn="0" w:firstRowLastColumn="0" w:lastRowFirstColumn="0" w:lastRowLastColumn="0"/>
            <w:tcW w:w="0" w:type="auto"/>
            <w:vAlign w:val="center"/>
          </w:tcPr>
          <w:p w14:paraId="2C28DDF3"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Industrial production activities</w:t>
            </w:r>
          </w:p>
        </w:tc>
        <w:tc>
          <w:tcPr>
            <w:tcW w:w="0" w:type="auto"/>
            <w:vAlign w:val="center"/>
          </w:tcPr>
          <w:p w14:paraId="36D77EA8"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17</w:t>
            </w:r>
          </w:p>
        </w:tc>
        <w:tc>
          <w:tcPr>
            <w:tcW w:w="0" w:type="auto"/>
            <w:vAlign w:val="center"/>
          </w:tcPr>
          <w:p w14:paraId="0422C289"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67</w:t>
            </w:r>
          </w:p>
        </w:tc>
        <w:tc>
          <w:tcPr>
            <w:tcW w:w="0" w:type="auto"/>
            <w:vAlign w:val="center"/>
          </w:tcPr>
          <w:p w14:paraId="448DAA88"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2.44</w:t>
            </w:r>
          </w:p>
        </w:tc>
        <w:tc>
          <w:tcPr>
            <w:tcW w:w="0" w:type="auto"/>
            <w:vAlign w:val="center"/>
          </w:tcPr>
          <w:p w14:paraId="09D3F60E"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410</w:t>
            </w:r>
          </w:p>
        </w:tc>
        <w:tc>
          <w:tcPr>
            <w:tcW w:w="0" w:type="auto"/>
            <w:vAlign w:val="center"/>
          </w:tcPr>
          <w:p w14:paraId="239337FA"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11</w:t>
            </w:r>
          </w:p>
        </w:tc>
      </w:tr>
      <w:tr w:rsidR="004D3B3F" w:rsidRPr="00642F77" w14:paraId="3E86B6CC" w14:textId="77777777"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79525E"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prototyping</w:t>
            </w:r>
          </w:p>
        </w:tc>
        <w:tc>
          <w:tcPr>
            <w:tcW w:w="0" w:type="auto"/>
            <w:vAlign w:val="center"/>
          </w:tcPr>
          <w:p w14:paraId="2459A4B6"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38</w:t>
            </w:r>
          </w:p>
        </w:tc>
        <w:tc>
          <w:tcPr>
            <w:tcW w:w="0" w:type="auto"/>
            <w:vAlign w:val="center"/>
          </w:tcPr>
          <w:p w14:paraId="1E109550"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w:t>
            </w:r>
          </w:p>
        </w:tc>
        <w:tc>
          <w:tcPr>
            <w:tcW w:w="0" w:type="auto"/>
            <w:vAlign w:val="center"/>
          </w:tcPr>
          <w:p w14:paraId="7D3CE491"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0.6</w:t>
            </w:r>
          </w:p>
        </w:tc>
        <w:tc>
          <w:tcPr>
            <w:tcW w:w="0" w:type="auto"/>
            <w:vAlign w:val="center"/>
          </w:tcPr>
          <w:p w14:paraId="24198BF5"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17</w:t>
            </w:r>
          </w:p>
        </w:tc>
        <w:tc>
          <w:tcPr>
            <w:tcW w:w="0" w:type="auto"/>
            <w:vAlign w:val="center"/>
          </w:tcPr>
          <w:p w14:paraId="031B0475"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w:t>
            </w:r>
          </w:p>
        </w:tc>
      </w:tr>
      <w:tr w:rsidR="004D3B3F" w:rsidRPr="00642F77" w14:paraId="3CFFC647" w14:textId="77777777" w:rsidTr="00C04258">
        <w:tc>
          <w:tcPr>
            <w:cnfStyle w:val="001000000000" w:firstRow="0" w:lastRow="0" w:firstColumn="1" w:lastColumn="0" w:oddVBand="0" w:evenVBand="0" w:oddHBand="0" w:evenHBand="0" w:firstRowFirstColumn="0" w:firstRowLastColumn="0" w:lastRowFirstColumn="0" w:lastRowLastColumn="0"/>
            <w:tcW w:w="0" w:type="auto"/>
            <w:vAlign w:val="center"/>
          </w:tcPr>
          <w:p w14:paraId="511F9617" w14:textId="6DF1B252" w:rsidR="004D3B3F" w:rsidRPr="00642F77" w:rsidRDefault="004D3B3F" w:rsidP="005757C8">
            <w:pPr>
              <w:jc w:val="center"/>
              <w:rPr>
                <w:rFonts w:asciiTheme="majorBidi" w:hAnsiTheme="majorBidi"/>
                <w:sz w:val="20"/>
                <w:szCs w:val="20"/>
              </w:rPr>
            </w:pPr>
            <w:r w:rsidRPr="00642F77">
              <w:rPr>
                <w:rFonts w:asciiTheme="majorBidi" w:hAnsiTheme="majorBidi"/>
                <w:sz w:val="20"/>
                <w:szCs w:val="20"/>
              </w:rPr>
              <w:t>Instalment sales (leasing)</w:t>
            </w:r>
          </w:p>
        </w:tc>
        <w:tc>
          <w:tcPr>
            <w:tcW w:w="0" w:type="auto"/>
            <w:vAlign w:val="center"/>
          </w:tcPr>
          <w:p w14:paraId="43CDC300"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19</w:t>
            </w:r>
          </w:p>
        </w:tc>
        <w:tc>
          <w:tcPr>
            <w:tcW w:w="0" w:type="auto"/>
            <w:vAlign w:val="center"/>
          </w:tcPr>
          <w:p w14:paraId="47BEBE40"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642F77">
              <w:rPr>
                <w:rFonts w:asciiTheme="majorBidi" w:hAnsiTheme="majorBidi" w:cstheme="majorBidi"/>
                <w:sz w:val="20"/>
                <w:szCs w:val="20"/>
              </w:rPr>
              <w:t>15</w:t>
            </w:r>
          </w:p>
        </w:tc>
        <w:tc>
          <w:tcPr>
            <w:tcW w:w="0" w:type="auto"/>
            <w:vAlign w:val="center"/>
          </w:tcPr>
          <w:p w14:paraId="7B9582A0"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0.35</w:t>
            </w:r>
          </w:p>
        </w:tc>
        <w:tc>
          <w:tcPr>
            <w:tcW w:w="0" w:type="auto"/>
            <w:vAlign w:val="center"/>
          </w:tcPr>
          <w:p w14:paraId="31C12B1D"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140</w:t>
            </w:r>
          </w:p>
        </w:tc>
        <w:tc>
          <w:tcPr>
            <w:tcW w:w="0" w:type="auto"/>
            <w:vAlign w:val="center"/>
          </w:tcPr>
          <w:p w14:paraId="5A9FBC18"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9.57</w:t>
            </w:r>
          </w:p>
        </w:tc>
      </w:tr>
    </w:tbl>
    <w:p w14:paraId="3B66584D" w14:textId="77777777" w:rsidR="004D3B3F" w:rsidRPr="001D47D7" w:rsidRDefault="004D3B3F"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Source: research findings</w:t>
      </w:r>
    </w:p>
    <w:p w14:paraId="6AF1D030" w14:textId="382F089F" w:rsidR="0093526E" w:rsidRPr="00B67BE7" w:rsidRDefault="003718C9" w:rsidP="005757C8">
      <w:pPr>
        <w:keepNext/>
        <w:numPr>
          <w:ilvl w:val="1"/>
          <w:numId w:val="0"/>
        </w:numPr>
        <w:spacing w:after="0" w:line="240" w:lineRule="auto"/>
        <w:ind w:left="792" w:hanging="792"/>
        <w:jc w:val="center"/>
        <w:outlineLvl w:val="1"/>
        <w:rPr>
          <w:rFonts w:asciiTheme="majorBidi" w:hAnsiTheme="majorBidi" w:cstheme="majorBidi"/>
          <w:b/>
          <w:bCs/>
          <w:sz w:val="20"/>
        </w:rPr>
      </w:pPr>
      <w:bookmarkStart w:id="0" w:name="_Toc100413144"/>
      <w:bookmarkStart w:id="1" w:name="_Toc100418604"/>
      <w:bookmarkStart w:id="2" w:name="_Toc100420222"/>
      <w:bookmarkStart w:id="3" w:name="_Toc100421130"/>
      <w:bookmarkStart w:id="4" w:name="_Toc101453455"/>
      <w:r w:rsidRPr="00B67BE7">
        <w:rPr>
          <w:rFonts w:asciiTheme="majorBidi" w:hAnsiTheme="majorBidi" w:cstheme="majorBidi"/>
          <w:b/>
          <w:bCs/>
          <w:sz w:val="20"/>
        </w:rPr>
        <w:lastRenderedPageBreak/>
        <w:t xml:space="preserve">Table 2 - Average Direct and Indirect Costs of Obtaining Loans by Cost Components and Loan Groups (Unit: Million </w:t>
      </w:r>
      <w:proofErr w:type="spellStart"/>
      <w:r w:rsidRPr="00B67BE7">
        <w:rPr>
          <w:rFonts w:asciiTheme="majorBidi" w:hAnsiTheme="majorBidi" w:cstheme="majorBidi"/>
          <w:b/>
          <w:bCs/>
          <w:sz w:val="20"/>
        </w:rPr>
        <w:t>Rials</w:t>
      </w:r>
      <w:proofErr w:type="spellEnd"/>
      <w:r w:rsidRPr="00B67BE7">
        <w:rPr>
          <w:rFonts w:asciiTheme="majorBidi" w:hAnsiTheme="majorBidi" w:cstheme="majorBidi"/>
          <w:b/>
          <w:bCs/>
          <w:sz w:val="20"/>
        </w:rPr>
        <w:t>)</w:t>
      </w:r>
    </w:p>
    <w:tbl>
      <w:tblPr>
        <w:tblStyle w:val="PlainTable51"/>
        <w:bidiVisual/>
        <w:tblW w:w="5000" w:type="pct"/>
        <w:tblLook w:val="04A0" w:firstRow="1" w:lastRow="0" w:firstColumn="1" w:lastColumn="0" w:noHBand="0" w:noVBand="1"/>
      </w:tblPr>
      <w:tblGrid>
        <w:gridCol w:w="960"/>
        <w:gridCol w:w="1087"/>
        <w:gridCol w:w="939"/>
        <w:gridCol w:w="1108"/>
        <w:gridCol w:w="4932"/>
      </w:tblGrid>
      <w:tr w:rsidR="00C51CBD" w:rsidRPr="005619B0" w14:paraId="1B040012" w14:textId="77777777" w:rsidTr="00C042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38B1E0A6" w14:textId="639DCB84" w:rsidR="00C51CBD" w:rsidRPr="005619B0" w:rsidRDefault="00C51CBD" w:rsidP="005757C8">
            <w:pPr>
              <w:keepNext/>
              <w:numPr>
                <w:ilvl w:val="1"/>
                <w:numId w:val="0"/>
              </w:numPr>
              <w:jc w:val="center"/>
              <w:outlineLvl w:val="1"/>
              <w:rPr>
                <w:rFonts w:asciiTheme="majorBidi" w:hAnsiTheme="majorBidi"/>
                <w:sz w:val="20"/>
                <w:szCs w:val="20"/>
              </w:rPr>
            </w:pPr>
            <w:r w:rsidRPr="00C51CBD">
              <w:rPr>
                <w:rFonts w:asciiTheme="majorBidi" w:hAnsiTheme="majorBidi"/>
                <w:sz w:val="20"/>
                <w:szCs w:val="20"/>
              </w:rPr>
              <w:t xml:space="preserve">Indirect Costs (Million </w:t>
            </w:r>
            <w:proofErr w:type="spellStart"/>
            <w:r w:rsidRPr="00C51CBD">
              <w:rPr>
                <w:rFonts w:asciiTheme="majorBidi" w:hAnsiTheme="majorBidi"/>
                <w:sz w:val="20"/>
                <w:szCs w:val="20"/>
              </w:rPr>
              <w:t>Rials</w:t>
            </w:r>
            <w:proofErr w:type="spellEnd"/>
            <w:r w:rsidRPr="00C51CBD">
              <w:rPr>
                <w:rFonts w:asciiTheme="majorBidi" w:hAnsiTheme="majorBidi"/>
                <w:sz w:val="20"/>
                <w:szCs w:val="20"/>
              </w:rPr>
              <w:t>)</w:t>
            </w:r>
          </w:p>
        </w:tc>
      </w:tr>
      <w:tr w:rsidR="00E21151" w:rsidRPr="005619B0" w14:paraId="644B0D13" w14:textId="40FAC9DF"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275A8516" w14:textId="0FA4BD4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Group 4</w:t>
            </w:r>
          </w:p>
        </w:tc>
        <w:tc>
          <w:tcPr>
            <w:tcW w:w="602" w:type="pct"/>
          </w:tcPr>
          <w:p w14:paraId="56B06A8B" w14:textId="2EC856E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3</w:t>
            </w:r>
          </w:p>
        </w:tc>
        <w:tc>
          <w:tcPr>
            <w:tcW w:w="520" w:type="pct"/>
          </w:tcPr>
          <w:p w14:paraId="48F43043" w14:textId="4AEB2998"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2</w:t>
            </w:r>
          </w:p>
        </w:tc>
        <w:tc>
          <w:tcPr>
            <w:tcW w:w="614" w:type="pct"/>
          </w:tcPr>
          <w:p w14:paraId="5AEC450B" w14:textId="4FE26F4F"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1</w:t>
            </w:r>
          </w:p>
        </w:tc>
        <w:tc>
          <w:tcPr>
            <w:tcW w:w="2731" w:type="pct"/>
          </w:tcPr>
          <w:p w14:paraId="701F3FA8" w14:textId="3178284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Cost Components</w:t>
            </w:r>
          </w:p>
        </w:tc>
      </w:tr>
      <w:tr w:rsidR="00E21151" w:rsidRPr="005619B0" w14:paraId="20633232" w14:textId="79DA1374" w:rsidTr="00C04258">
        <w:tc>
          <w:tcPr>
            <w:cnfStyle w:val="001000000000" w:firstRow="0" w:lastRow="0" w:firstColumn="1" w:lastColumn="0" w:oddVBand="0" w:evenVBand="0" w:oddHBand="0" w:evenHBand="0" w:firstRowFirstColumn="0" w:firstRowLastColumn="0" w:lastRowFirstColumn="0" w:lastRowLastColumn="0"/>
            <w:tcW w:w="532" w:type="pct"/>
          </w:tcPr>
          <w:p w14:paraId="2E41878B" w14:textId="3DFE334C"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7.55</w:t>
            </w:r>
          </w:p>
        </w:tc>
        <w:tc>
          <w:tcPr>
            <w:tcW w:w="602" w:type="pct"/>
          </w:tcPr>
          <w:p w14:paraId="22F999B8" w14:textId="56BB635D"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7.82</w:t>
            </w:r>
          </w:p>
        </w:tc>
        <w:tc>
          <w:tcPr>
            <w:tcW w:w="520" w:type="pct"/>
          </w:tcPr>
          <w:p w14:paraId="5C8AE07D" w14:textId="3AA79BC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7.78</w:t>
            </w:r>
          </w:p>
        </w:tc>
        <w:tc>
          <w:tcPr>
            <w:tcW w:w="614" w:type="pct"/>
          </w:tcPr>
          <w:p w14:paraId="56D30189" w14:textId="3CD4FB7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6.22</w:t>
            </w:r>
          </w:p>
        </w:tc>
        <w:tc>
          <w:tcPr>
            <w:tcW w:w="2731" w:type="pct"/>
          </w:tcPr>
          <w:p w14:paraId="3E293A0F" w14:textId="69AF170B"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Information Acquisition</w:t>
            </w:r>
          </w:p>
        </w:tc>
      </w:tr>
      <w:tr w:rsidR="00E21151" w:rsidRPr="005619B0" w14:paraId="6ED43B2A" w14:textId="4EA52119"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1889672E" w14:textId="5C02B0AA"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30.66</w:t>
            </w:r>
          </w:p>
        </w:tc>
        <w:tc>
          <w:tcPr>
            <w:tcW w:w="602" w:type="pct"/>
          </w:tcPr>
          <w:p w14:paraId="6A482055" w14:textId="6DDFD97F"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26.09</w:t>
            </w:r>
          </w:p>
        </w:tc>
        <w:tc>
          <w:tcPr>
            <w:tcW w:w="520" w:type="pct"/>
          </w:tcPr>
          <w:p w14:paraId="6C0D47CD" w14:textId="4B10599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24.71</w:t>
            </w:r>
          </w:p>
        </w:tc>
        <w:tc>
          <w:tcPr>
            <w:tcW w:w="614" w:type="pct"/>
          </w:tcPr>
          <w:p w14:paraId="54886507" w14:textId="51BF24C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20.95</w:t>
            </w:r>
          </w:p>
        </w:tc>
        <w:tc>
          <w:tcPr>
            <w:tcW w:w="2731" w:type="pct"/>
          </w:tcPr>
          <w:p w14:paraId="2FF39925" w14:textId="7D13F19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Request Acceptance</w:t>
            </w:r>
          </w:p>
        </w:tc>
      </w:tr>
      <w:tr w:rsidR="00E21151" w:rsidRPr="005619B0" w14:paraId="31799A48" w14:textId="2F46EAD9" w:rsidTr="00C04258">
        <w:tc>
          <w:tcPr>
            <w:cnfStyle w:val="001000000000" w:firstRow="0" w:lastRow="0" w:firstColumn="1" w:lastColumn="0" w:oddVBand="0" w:evenVBand="0" w:oddHBand="0" w:evenHBand="0" w:firstRowFirstColumn="0" w:firstRowLastColumn="0" w:lastRowFirstColumn="0" w:lastRowLastColumn="0"/>
            <w:tcW w:w="532" w:type="pct"/>
          </w:tcPr>
          <w:p w14:paraId="5EEEA6D4" w14:textId="6E406397"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9.66</w:t>
            </w:r>
          </w:p>
        </w:tc>
        <w:tc>
          <w:tcPr>
            <w:tcW w:w="602" w:type="pct"/>
          </w:tcPr>
          <w:p w14:paraId="0482F480" w14:textId="3FA7E0DC"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5.52</w:t>
            </w:r>
          </w:p>
        </w:tc>
        <w:tc>
          <w:tcPr>
            <w:tcW w:w="520" w:type="pct"/>
          </w:tcPr>
          <w:p w14:paraId="2EEA920A" w14:textId="4D4AD5F1"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5.92</w:t>
            </w:r>
          </w:p>
        </w:tc>
        <w:tc>
          <w:tcPr>
            <w:tcW w:w="614" w:type="pct"/>
          </w:tcPr>
          <w:p w14:paraId="77F164AB" w14:textId="2CF28A0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4.14</w:t>
            </w:r>
          </w:p>
        </w:tc>
        <w:tc>
          <w:tcPr>
            <w:tcW w:w="2731" w:type="pct"/>
          </w:tcPr>
          <w:p w14:paraId="4EAC4878" w14:textId="0128EE1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Request Evaluation</w:t>
            </w:r>
          </w:p>
        </w:tc>
      </w:tr>
      <w:tr w:rsidR="00E21151" w:rsidRPr="005619B0" w14:paraId="21F9F8C5" w14:textId="426501EE"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212077F4" w14:textId="37397F0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0.15</w:t>
            </w:r>
          </w:p>
        </w:tc>
        <w:tc>
          <w:tcPr>
            <w:tcW w:w="602" w:type="pct"/>
          </w:tcPr>
          <w:p w14:paraId="75A6942B" w14:textId="266A3E5A"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0.65</w:t>
            </w:r>
          </w:p>
        </w:tc>
        <w:tc>
          <w:tcPr>
            <w:tcW w:w="520" w:type="pct"/>
          </w:tcPr>
          <w:p w14:paraId="128F2F3C" w14:textId="4AFE6CB2"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1.40</w:t>
            </w:r>
          </w:p>
        </w:tc>
        <w:tc>
          <w:tcPr>
            <w:tcW w:w="614" w:type="pct"/>
          </w:tcPr>
          <w:p w14:paraId="1A13BCC8" w14:textId="6FA6476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1.79</w:t>
            </w:r>
          </w:p>
        </w:tc>
        <w:tc>
          <w:tcPr>
            <w:tcW w:w="2731" w:type="pct"/>
          </w:tcPr>
          <w:p w14:paraId="3807D53D" w14:textId="1A431BD0"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Approval Process</w:t>
            </w:r>
          </w:p>
        </w:tc>
      </w:tr>
      <w:tr w:rsidR="00E21151" w:rsidRPr="005619B0" w14:paraId="2702C6F3" w14:textId="1F8C4D78" w:rsidTr="00C04258">
        <w:tc>
          <w:tcPr>
            <w:cnfStyle w:val="001000000000" w:firstRow="0" w:lastRow="0" w:firstColumn="1" w:lastColumn="0" w:oddVBand="0" w:evenVBand="0" w:oddHBand="0" w:evenHBand="0" w:firstRowFirstColumn="0" w:firstRowLastColumn="0" w:lastRowFirstColumn="0" w:lastRowLastColumn="0"/>
            <w:tcW w:w="532" w:type="pct"/>
          </w:tcPr>
          <w:p w14:paraId="0DC96CB2" w14:textId="33CB3464"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5.70</w:t>
            </w:r>
          </w:p>
        </w:tc>
        <w:tc>
          <w:tcPr>
            <w:tcW w:w="602" w:type="pct"/>
          </w:tcPr>
          <w:p w14:paraId="035BABF4" w14:textId="54E6C1C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5.55</w:t>
            </w:r>
          </w:p>
        </w:tc>
        <w:tc>
          <w:tcPr>
            <w:tcW w:w="520" w:type="pct"/>
          </w:tcPr>
          <w:p w14:paraId="6EE06776" w14:textId="1D9CC2F5"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4.90</w:t>
            </w:r>
          </w:p>
        </w:tc>
        <w:tc>
          <w:tcPr>
            <w:tcW w:w="614" w:type="pct"/>
          </w:tcPr>
          <w:p w14:paraId="31EE0012" w14:textId="590DDC8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4.49</w:t>
            </w:r>
          </w:p>
        </w:tc>
        <w:tc>
          <w:tcPr>
            <w:tcW w:w="2731" w:type="pct"/>
          </w:tcPr>
          <w:p w14:paraId="6484B2EF" w14:textId="1B8EAF2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Contract Signing</w:t>
            </w:r>
          </w:p>
        </w:tc>
      </w:tr>
      <w:tr w:rsidR="00E21151" w:rsidRPr="005619B0" w14:paraId="731EDDE5" w14:textId="51D15975"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0971798" w14:textId="15A5BC0B"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12.14</w:t>
            </w:r>
          </w:p>
        </w:tc>
        <w:tc>
          <w:tcPr>
            <w:tcW w:w="602" w:type="pct"/>
          </w:tcPr>
          <w:p w14:paraId="2F70E85A" w14:textId="33A5139D"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7.59</w:t>
            </w:r>
          </w:p>
        </w:tc>
        <w:tc>
          <w:tcPr>
            <w:tcW w:w="520" w:type="pct"/>
          </w:tcPr>
          <w:p w14:paraId="198E9F23" w14:textId="21EFDFC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7.61</w:t>
            </w:r>
          </w:p>
        </w:tc>
        <w:tc>
          <w:tcPr>
            <w:tcW w:w="614" w:type="pct"/>
          </w:tcPr>
          <w:p w14:paraId="0F7BBE69" w14:textId="03D159F2"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6.88</w:t>
            </w:r>
          </w:p>
        </w:tc>
        <w:tc>
          <w:tcPr>
            <w:tcW w:w="2731" w:type="pct"/>
          </w:tcPr>
          <w:p w14:paraId="6761C727" w14:textId="4BE2B0D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Payment &amp; Supervision</w:t>
            </w:r>
          </w:p>
        </w:tc>
      </w:tr>
      <w:tr w:rsidR="00E21151" w:rsidRPr="005619B0" w14:paraId="72764D40" w14:textId="2D22015B" w:rsidTr="00C04258">
        <w:tc>
          <w:tcPr>
            <w:cnfStyle w:val="001000000000" w:firstRow="0" w:lastRow="0" w:firstColumn="1" w:lastColumn="0" w:oddVBand="0" w:evenVBand="0" w:oddHBand="0" w:evenHBand="0" w:firstRowFirstColumn="0" w:firstRowLastColumn="0" w:lastRowFirstColumn="0" w:lastRowLastColumn="0"/>
            <w:tcW w:w="532" w:type="pct"/>
          </w:tcPr>
          <w:p w14:paraId="02339680" w14:textId="122BB210"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4.34</w:t>
            </w:r>
          </w:p>
        </w:tc>
        <w:tc>
          <w:tcPr>
            <w:tcW w:w="602" w:type="pct"/>
          </w:tcPr>
          <w:p w14:paraId="10216D2B" w14:textId="5EEE2E7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3.19</w:t>
            </w:r>
          </w:p>
        </w:tc>
        <w:tc>
          <w:tcPr>
            <w:tcW w:w="520" w:type="pct"/>
          </w:tcPr>
          <w:p w14:paraId="6D65B4BB" w14:textId="0A67FC8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2.78</w:t>
            </w:r>
          </w:p>
        </w:tc>
        <w:tc>
          <w:tcPr>
            <w:tcW w:w="614" w:type="pct"/>
          </w:tcPr>
          <w:p w14:paraId="71D35DEB" w14:textId="11744FE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1.89</w:t>
            </w:r>
          </w:p>
        </w:tc>
        <w:tc>
          <w:tcPr>
            <w:tcW w:w="2731" w:type="pct"/>
          </w:tcPr>
          <w:p w14:paraId="0C9ABFE7" w14:textId="52A8053C"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Phone Calls</w:t>
            </w:r>
          </w:p>
        </w:tc>
      </w:tr>
      <w:tr w:rsidR="00E21151" w:rsidRPr="005619B0" w14:paraId="6A78DDEF" w14:textId="27C0AB1B"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F7E751B" w14:textId="315ACEE7"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4.15</w:t>
            </w:r>
          </w:p>
        </w:tc>
        <w:tc>
          <w:tcPr>
            <w:tcW w:w="602" w:type="pct"/>
          </w:tcPr>
          <w:p w14:paraId="715F532A" w14:textId="7279B9E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1.98</w:t>
            </w:r>
          </w:p>
        </w:tc>
        <w:tc>
          <w:tcPr>
            <w:tcW w:w="520" w:type="pct"/>
          </w:tcPr>
          <w:p w14:paraId="71066199" w14:textId="524EB156"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3.28</w:t>
            </w:r>
          </w:p>
        </w:tc>
        <w:tc>
          <w:tcPr>
            <w:tcW w:w="614" w:type="pct"/>
          </w:tcPr>
          <w:p w14:paraId="1CDB27CA" w14:textId="362A83E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1.83</w:t>
            </w:r>
          </w:p>
        </w:tc>
        <w:tc>
          <w:tcPr>
            <w:tcW w:w="2731" w:type="pct"/>
          </w:tcPr>
          <w:p w14:paraId="2570E867" w14:textId="12DDA30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In-Person Visits</w:t>
            </w:r>
          </w:p>
        </w:tc>
      </w:tr>
      <w:tr w:rsidR="00E21151" w:rsidRPr="005619B0" w14:paraId="21AD73BD" w14:textId="779076BB" w:rsidTr="00C04258">
        <w:tc>
          <w:tcPr>
            <w:cnfStyle w:val="001000000000" w:firstRow="0" w:lastRow="0" w:firstColumn="1" w:lastColumn="0" w:oddVBand="0" w:evenVBand="0" w:oddHBand="0" w:evenHBand="0" w:firstRowFirstColumn="0" w:firstRowLastColumn="0" w:lastRowFirstColumn="0" w:lastRowLastColumn="0"/>
            <w:tcW w:w="532" w:type="pct"/>
          </w:tcPr>
          <w:p w14:paraId="39E6FB4E" w14:textId="03C04B83"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0.22</w:t>
            </w:r>
          </w:p>
        </w:tc>
        <w:tc>
          <w:tcPr>
            <w:tcW w:w="602" w:type="pct"/>
          </w:tcPr>
          <w:p w14:paraId="6D43C53C" w14:textId="42DD22D0"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0.00</w:t>
            </w:r>
          </w:p>
        </w:tc>
        <w:tc>
          <w:tcPr>
            <w:tcW w:w="520" w:type="pct"/>
          </w:tcPr>
          <w:p w14:paraId="5BF29032" w14:textId="2FF60D3B"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0.15</w:t>
            </w:r>
          </w:p>
        </w:tc>
        <w:tc>
          <w:tcPr>
            <w:tcW w:w="614" w:type="pct"/>
          </w:tcPr>
          <w:p w14:paraId="0392C2AE" w14:textId="1813CC41"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0.13</w:t>
            </w:r>
          </w:p>
        </w:tc>
        <w:tc>
          <w:tcPr>
            <w:tcW w:w="2731" w:type="pct"/>
          </w:tcPr>
          <w:p w14:paraId="7C27D06D" w14:textId="5BC3B096"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Documents Delivered to Fund</w:t>
            </w:r>
          </w:p>
        </w:tc>
      </w:tr>
      <w:tr w:rsidR="00E21151" w:rsidRPr="005619B0" w14:paraId="5392B506" w14:textId="1E73E667"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163DD3CF" w14:textId="031DA10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0.05</w:t>
            </w:r>
          </w:p>
        </w:tc>
        <w:tc>
          <w:tcPr>
            <w:tcW w:w="602" w:type="pct"/>
          </w:tcPr>
          <w:p w14:paraId="5CF35DE0" w14:textId="388D6E6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0.285</w:t>
            </w:r>
          </w:p>
        </w:tc>
        <w:tc>
          <w:tcPr>
            <w:tcW w:w="520" w:type="pct"/>
          </w:tcPr>
          <w:p w14:paraId="7F65449F" w14:textId="0D6653DF"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0.91</w:t>
            </w:r>
          </w:p>
        </w:tc>
        <w:tc>
          <w:tcPr>
            <w:tcW w:w="614" w:type="pct"/>
          </w:tcPr>
          <w:p w14:paraId="6B067754" w14:textId="4A8F931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0.31</w:t>
            </w:r>
          </w:p>
        </w:tc>
        <w:tc>
          <w:tcPr>
            <w:tcW w:w="2731" w:type="pct"/>
          </w:tcPr>
          <w:p w14:paraId="5F5ABA2F" w14:textId="7D5A460D"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Repeat Document Completion</w:t>
            </w:r>
          </w:p>
        </w:tc>
      </w:tr>
      <w:tr w:rsidR="00E21151" w:rsidRPr="005619B0" w14:paraId="49FF81AC" w14:textId="36A582D4" w:rsidTr="00C04258">
        <w:tc>
          <w:tcPr>
            <w:cnfStyle w:val="001000000000" w:firstRow="0" w:lastRow="0" w:firstColumn="1" w:lastColumn="0" w:oddVBand="0" w:evenVBand="0" w:oddHBand="0" w:evenHBand="0" w:firstRowFirstColumn="0" w:firstRowLastColumn="0" w:lastRowFirstColumn="0" w:lastRowLastColumn="0"/>
            <w:tcW w:w="532" w:type="pct"/>
          </w:tcPr>
          <w:p w14:paraId="3E37983F" w14:textId="22B76B7A"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17.72</w:t>
            </w:r>
          </w:p>
        </w:tc>
        <w:tc>
          <w:tcPr>
            <w:tcW w:w="602" w:type="pct"/>
          </w:tcPr>
          <w:p w14:paraId="75D88665" w14:textId="24D0AA3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13.98</w:t>
            </w:r>
          </w:p>
        </w:tc>
        <w:tc>
          <w:tcPr>
            <w:tcW w:w="520" w:type="pct"/>
          </w:tcPr>
          <w:p w14:paraId="0EA8C4E9" w14:textId="29AC57C6"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3.43</w:t>
            </w:r>
          </w:p>
        </w:tc>
        <w:tc>
          <w:tcPr>
            <w:tcW w:w="614" w:type="pct"/>
          </w:tcPr>
          <w:p w14:paraId="7B96C7A1" w14:textId="010A72AF"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1.24</w:t>
            </w:r>
          </w:p>
        </w:tc>
        <w:tc>
          <w:tcPr>
            <w:tcW w:w="2731" w:type="pct"/>
          </w:tcPr>
          <w:p w14:paraId="0698CC1F" w14:textId="0B3E5F94"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Visits to Notary, Bank &amp; Government Offices</w:t>
            </w:r>
          </w:p>
        </w:tc>
      </w:tr>
      <w:tr w:rsidR="00E21151" w:rsidRPr="005619B0" w14:paraId="5A51E688" w14:textId="2EDB7138"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6A1E718F" w14:textId="71A2EA4E"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1.25</w:t>
            </w:r>
          </w:p>
        </w:tc>
        <w:tc>
          <w:tcPr>
            <w:tcW w:w="602" w:type="pct"/>
          </w:tcPr>
          <w:p w14:paraId="2CF75F21" w14:textId="741F39E0"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1.45</w:t>
            </w:r>
          </w:p>
        </w:tc>
        <w:tc>
          <w:tcPr>
            <w:tcW w:w="520" w:type="pct"/>
          </w:tcPr>
          <w:p w14:paraId="29094936" w14:textId="53AFFE87"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1.81</w:t>
            </w:r>
          </w:p>
        </w:tc>
        <w:tc>
          <w:tcPr>
            <w:tcW w:w="614" w:type="pct"/>
          </w:tcPr>
          <w:p w14:paraId="644A5663" w14:textId="08DE6630"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2.73</w:t>
            </w:r>
          </w:p>
        </w:tc>
        <w:tc>
          <w:tcPr>
            <w:tcW w:w="2731" w:type="pct"/>
          </w:tcPr>
          <w:p w14:paraId="33932E69" w14:textId="72E5782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Other Actions</w:t>
            </w:r>
          </w:p>
        </w:tc>
      </w:tr>
      <w:tr w:rsidR="00C51CBD" w:rsidRPr="005619B0" w14:paraId="21E97F4B" w14:textId="77777777" w:rsidTr="00C04258">
        <w:tc>
          <w:tcPr>
            <w:cnfStyle w:val="001000000000" w:firstRow="0" w:lastRow="0" w:firstColumn="1" w:lastColumn="0" w:oddVBand="0" w:evenVBand="0" w:oddHBand="0" w:evenHBand="0" w:firstRowFirstColumn="0" w:firstRowLastColumn="0" w:lastRowFirstColumn="0" w:lastRowLastColumn="0"/>
            <w:tcW w:w="5000" w:type="pct"/>
            <w:gridSpan w:val="5"/>
          </w:tcPr>
          <w:p w14:paraId="054E24E1" w14:textId="64497A33" w:rsidR="00C51CBD" w:rsidRPr="005619B0" w:rsidRDefault="00C51CBD" w:rsidP="005757C8">
            <w:pPr>
              <w:keepNext/>
              <w:numPr>
                <w:ilvl w:val="1"/>
                <w:numId w:val="0"/>
              </w:numPr>
              <w:jc w:val="center"/>
              <w:outlineLvl w:val="1"/>
              <w:rPr>
                <w:rFonts w:asciiTheme="majorBidi" w:hAnsiTheme="majorBidi"/>
                <w:sz w:val="20"/>
                <w:szCs w:val="20"/>
              </w:rPr>
            </w:pPr>
            <w:r w:rsidRPr="00C51CBD">
              <w:rPr>
                <w:rFonts w:asciiTheme="majorBidi" w:hAnsiTheme="majorBidi"/>
                <w:sz w:val="20"/>
                <w:szCs w:val="20"/>
              </w:rPr>
              <w:t xml:space="preserve">Direct Costs (Million </w:t>
            </w:r>
            <w:proofErr w:type="spellStart"/>
            <w:r w:rsidRPr="00C51CBD">
              <w:rPr>
                <w:rFonts w:asciiTheme="majorBidi" w:hAnsiTheme="majorBidi"/>
                <w:sz w:val="20"/>
                <w:szCs w:val="20"/>
              </w:rPr>
              <w:t>Rials</w:t>
            </w:r>
            <w:proofErr w:type="spellEnd"/>
            <w:r w:rsidRPr="00C51CBD">
              <w:rPr>
                <w:rFonts w:asciiTheme="majorBidi" w:hAnsiTheme="majorBidi"/>
                <w:sz w:val="20"/>
                <w:szCs w:val="20"/>
              </w:rPr>
              <w:t>)</w:t>
            </w:r>
          </w:p>
        </w:tc>
      </w:tr>
      <w:tr w:rsidR="00E21151" w:rsidRPr="005619B0" w14:paraId="4653620C" w14:textId="240F1DA8"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584B206" w14:textId="4B14770D"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Group 4</w:t>
            </w:r>
          </w:p>
        </w:tc>
        <w:tc>
          <w:tcPr>
            <w:tcW w:w="602" w:type="pct"/>
          </w:tcPr>
          <w:p w14:paraId="3EAE6BAB" w14:textId="06AAA86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3</w:t>
            </w:r>
          </w:p>
        </w:tc>
        <w:tc>
          <w:tcPr>
            <w:tcW w:w="520" w:type="pct"/>
          </w:tcPr>
          <w:p w14:paraId="446550A5" w14:textId="30DAE5A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2</w:t>
            </w:r>
          </w:p>
        </w:tc>
        <w:tc>
          <w:tcPr>
            <w:tcW w:w="614" w:type="pct"/>
          </w:tcPr>
          <w:p w14:paraId="7DD39564" w14:textId="6A901444"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1</w:t>
            </w:r>
          </w:p>
        </w:tc>
        <w:tc>
          <w:tcPr>
            <w:tcW w:w="2731" w:type="pct"/>
          </w:tcPr>
          <w:p w14:paraId="72F18B5F" w14:textId="77777777"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21151" w:rsidRPr="005619B0" w14:paraId="7ECD24A0" w14:textId="377CB772" w:rsidTr="00C04258">
        <w:tc>
          <w:tcPr>
            <w:cnfStyle w:val="001000000000" w:firstRow="0" w:lastRow="0" w:firstColumn="1" w:lastColumn="0" w:oddVBand="0" w:evenVBand="0" w:oddHBand="0" w:evenHBand="0" w:firstRowFirstColumn="0" w:firstRowLastColumn="0" w:lastRowFirstColumn="0" w:lastRowLastColumn="0"/>
            <w:tcW w:w="532" w:type="pct"/>
          </w:tcPr>
          <w:p w14:paraId="07E54752" w14:textId="6B2812B9"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666.07</w:t>
            </w:r>
          </w:p>
        </w:tc>
        <w:tc>
          <w:tcPr>
            <w:tcW w:w="602" w:type="pct"/>
          </w:tcPr>
          <w:p w14:paraId="01EDC9EB" w14:textId="5C0BD6B4"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318.5</w:t>
            </w:r>
          </w:p>
        </w:tc>
        <w:tc>
          <w:tcPr>
            <w:tcW w:w="520" w:type="pct"/>
          </w:tcPr>
          <w:p w14:paraId="1A67E788" w14:textId="58A9B5D3"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80.31</w:t>
            </w:r>
          </w:p>
        </w:tc>
        <w:tc>
          <w:tcPr>
            <w:tcW w:w="614" w:type="pct"/>
          </w:tcPr>
          <w:p w14:paraId="1F2A17DD" w14:textId="34667103"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13.33</w:t>
            </w:r>
          </w:p>
        </w:tc>
        <w:tc>
          <w:tcPr>
            <w:tcW w:w="2731" w:type="pct"/>
          </w:tcPr>
          <w:p w14:paraId="469654AC" w14:textId="120BC65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Notary Fees</w:t>
            </w:r>
          </w:p>
        </w:tc>
      </w:tr>
      <w:tr w:rsidR="00E21151" w:rsidRPr="005619B0" w14:paraId="4979D7A0" w14:textId="103B3689"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1F030856" w14:textId="7B633DB6"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58.84</w:t>
            </w:r>
          </w:p>
        </w:tc>
        <w:tc>
          <w:tcPr>
            <w:tcW w:w="602" w:type="pct"/>
          </w:tcPr>
          <w:p w14:paraId="5263889C" w14:textId="4D389C52"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55.25</w:t>
            </w:r>
          </w:p>
        </w:tc>
        <w:tc>
          <w:tcPr>
            <w:tcW w:w="520" w:type="pct"/>
          </w:tcPr>
          <w:p w14:paraId="4F7C9972" w14:textId="01B13E4A"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11.37</w:t>
            </w:r>
          </w:p>
        </w:tc>
        <w:tc>
          <w:tcPr>
            <w:tcW w:w="614" w:type="pct"/>
          </w:tcPr>
          <w:p w14:paraId="7A177CE8" w14:textId="590A40AD"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5.27</w:t>
            </w:r>
          </w:p>
        </w:tc>
        <w:tc>
          <w:tcPr>
            <w:tcW w:w="2731" w:type="pct"/>
          </w:tcPr>
          <w:p w14:paraId="4AA7D666" w14:textId="68C50598"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Collateral Evaluation Fees</w:t>
            </w:r>
          </w:p>
        </w:tc>
      </w:tr>
      <w:tr w:rsidR="00E21151" w:rsidRPr="005619B0" w14:paraId="4B217DEA" w14:textId="23D8DC7A" w:rsidTr="00C04258">
        <w:tc>
          <w:tcPr>
            <w:cnfStyle w:val="001000000000" w:firstRow="0" w:lastRow="0" w:firstColumn="1" w:lastColumn="0" w:oddVBand="0" w:evenVBand="0" w:oddHBand="0" w:evenHBand="0" w:firstRowFirstColumn="0" w:firstRowLastColumn="0" w:lastRowFirstColumn="0" w:lastRowLastColumn="0"/>
            <w:tcW w:w="532" w:type="pct"/>
          </w:tcPr>
          <w:p w14:paraId="6251E512" w14:textId="29436EB9"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25.18</w:t>
            </w:r>
          </w:p>
        </w:tc>
        <w:tc>
          <w:tcPr>
            <w:tcW w:w="602" w:type="pct"/>
          </w:tcPr>
          <w:p w14:paraId="7ACDDC78" w14:textId="0FD1C2F8"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9.85</w:t>
            </w:r>
          </w:p>
        </w:tc>
        <w:tc>
          <w:tcPr>
            <w:tcW w:w="520" w:type="pct"/>
          </w:tcPr>
          <w:p w14:paraId="468FEE3D" w14:textId="07AF602C"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1.21</w:t>
            </w:r>
          </w:p>
        </w:tc>
        <w:tc>
          <w:tcPr>
            <w:tcW w:w="614" w:type="pct"/>
          </w:tcPr>
          <w:p w14:paraId="1AB383BD" w14:textId="79601CB6"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1.34</w:t>
            </w:r>
          </w:p>
        </w:tc>
        <w:tc>
          <w:tcPr>
            <w:tcW w:w="2731" w:type="pct"/>
          </w:tcPr>
          <w:p w14:paraId="518EEA7E" w14:textId="69747A13"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Promissory Note Fees</w:t>
            </w:r>
          </w:p>
        </w:tc>
      </w:tr>
      <w:tr w:rsidR="00E21151" w:rsidRPr="005619B0" w14:paraId="3B617CE0" w14:textId="72C6CA1F"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5EE84A41" w14:textId="1AFB6F93"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36.52</w:t>
            </w:r>
          </w:p>
        </w:tc>
        <w:tc>
          <w:tcPr>
            <w:tcW w:w="602" w:type="pct"/>
          </w:tcPr>
          <w:p w14:paraId="10758E10" w14:textId="7D315B0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25.22</w:t>
            </w:r>
          </w:p>
        </w:tc>
        <w:tc>
          <w:tcPr>
            <w:tcW w:w="520" w:type="pct"/>
          </w:tcPr>
          <w:p w14:paraId="08D7A540" w14:textId="6E092FC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6.61</w:t>
            </w:r>
          </w:p>
        </w:tc>
        <w:tc>
          <w:tcPr>
            <w:tcW w:w="614" w:type="pct"/>
          </w:tcPr>
          <w:p w14:paraId="53EB4CE2" w14:textId="773A7996"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6.20</w:t>
            </w:r>
          </w:p>
        </w:tc>
        <w:tc>
          <w:tcPr>
            <w:tcW w:w="2731" w:type="pct"/>
          </w:tcPr>
          <w:p w14:paraId="4F450C1C" w14:textId="347C0D49"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Collateral Inquiry Fees</w:t>
            </w:r>
          </w:p>
        </w:tc>
      </w:tr>
      <w:tr w:rsidR="00E21151" w:rsidRPr="005619B0" w14:paraId="326A3DFF" w14:textId="26EE69F6" w:rsidTr="00C04258">
        <w:tc>
          <w:tcPr>
            <w:cnfStyle w:val="001000000000" w:firstRow="0" w:lastRow="0" w:firstColumn="1" w:lastColumn="0" w:oddVBand="0" w:evenVBand="0" w:oddHBand="0" w:evenHBand="0" w:firstRowFirstColumn="0" w:firstRowLastColumn="0" w:lastRowFirstColumn="0" w:lastRowLastColumn="0"/>
            <w:tcW w:w="532" w:type="pct"/>
          </w:tcPr>
          <w:p w14:paraId="260074AB" w14:textId="3AF40F01"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5.17</w:t>
            </w:r>
          </w:p>
        </w:tc>
        <w:tc>
          <w:tcPr>
            <w:tcW w:w="602" w:type="pct"/>
          </w:tcPr>
          <w:p w14:paraId="7A888F0C" w14:textId="697D87C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4.41</w:t>
            </w:r>
          </w:p>
        </w:tc>
        <w:tc>
          <w:tcPr>
            <w:tcW w:w="520" w:type="pct"/>
          </w:tcPr>
          <w:p w14:paraId="63E4B1C6" w14:textId="717BEF07"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3.54</w:t>
            </w:r>
          </w:p>
        </w:tc>
        <w:tc>
          <w:tcPr>
            <w:tcW w:w="614" w:type="pct"/>
          </w:tcPr>
          <w:p w14:paraId="5784E0DB" w14:textId="195758EB"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6.47</w:t>
            </w:r>
          </w:p>
        </w:tc>
        <w:tc>
          <w:tcPr>
            <w:tcW w:w="2731" w:type="pct"/>
          </w:tcPr>
          <w:p w14:paraId="2363C967" w14:textId="16166FF4"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Travel Costs to Fund</w:t>
            </w:r>
          </w:p>
        </w:tc>
      </w:tr>
      <w:tr w:rsidR="00E21151" w:rsidRPr="005619B0" w14:paraId="101F4C51" w14:textId="46322F63"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0D92792" w14:textId="3FF0607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119.00</w:t>
            </w:r>
          </w:p>
        </w:tc>
        <w:tc>
          <w:tcPr>
            <w:tcW w:w="602" w:type="pct"/>
          </w:tcPr>
          <w:p w14:paraId="15CFCDE7" w14:textId="0FCE1F7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118.125</w:t>
            </w:r>
          </w:p>
        </w:tc>
        <w:tc>
          <w:tcPr>
            <w:tcW w:w="520" w:type="pct"/>
          </w:tcPr>
          <w:p w14:paraId="601AE3CB" w14:textId="3A8DE48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25.00</w:t>
            </w:r>
          </w:p>
        </w:tc>
        <w:tc>
          <w:tcPr>
            <w:tcW w:w="614" w:type="pct"/>
          </w:tcPr>
          <w:p w14:paraId="02A1CA87" w14:textId="46FAF8BA"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13.75</w:t>
            </w:r>
          </w:p>
        </w:tc>
        <w:tc>
          <w:tcPr>
            <w:tcW w:w="2731" w:type="pct"/>
          </w:tcPr>
          <w:p w14:paraId="0E50C0EF" w14:textId="75D1B396"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Other Costs</w:t>
            </w:r>
          </w:p>
        </w:tc>
      </w:tr>
      <w:bookmarkEnd w:id="0"/>
      <w:bookmarkEnd w:id="1"/>
      <w:bookmarkEnd w:id="2"/>
      <w:bookmarkEnd w:id="3"/>
      <w:bookmarkEnd w:id="4"/>
    </w:tbl>
    <w:p w14:paraId="5B374F97" w14:textId="77777777" w:rsidR="005619B0" w:rsidRDefault="005619B0" w:rsidP="005757C8">
      <w:pPr>
        <w:spacing w:after="0" w:line="240" w:lineRule="auto"/>
        <w:ind w:firstLine="454"/>
        <w:jc w:val="both"/>
        <w:rPr>
          <w:rFonts w:cs="B Mitra"/>
          <w:sz w:val="28"/>
          <w:szCs w:val="28"/>
          <w:lang w:bidi="ar-SA"/>
        </w:rPr>
      </w:pPr>
    </w:p>
    <w:p w14:paraId="0C8B37AF" w14:textId="77777777" w:rsidR="00E331D6" w:rsidRPr="00E331D6" w:rsidRDefault="00E331D6" w:rsidP="005757C8">
      <w:pPr>
        <w:bidi w:val="0"/>
        <w:spacing w:after="0" w:line="240" w:lineRule="auto"/>
        <w:jc w:val="both"/>
        <w:rPr>
          <w:rFonts w:asciiTheme="majorBidi" w:hAnsiTheme="majorBidi" w:cstheme="majorBidi"/>
          <w:sz w:val="24"/>
          <w:szCs w:val="24"/>
        </w:rPr>
      </w:pPr>
      <w:bookmarkStart w:id="5" w:name="_Toc100418606"/>
      <w:bookmarkStart w:id="6" w:name="_Toc100420224"/>
      <w:bookmarkStart w:id="7" w:name="_Toc100421132"/>
      <w:bookmarkStart w:id="8" w:name="_Toc101453457"/>
      <w:r w:rsidRPr="00E331D6">
        <w:rPr>
          <w:rFonts w:asciiTheme="majorBidi" w:hAnsiTheme="majorBidi" w:cstheme="majorBidi"/>
          <w:sz w:val="24"/>
          <w:szCs w:val="24"/>
        </w:rPr>
        <w:t>In the following, by measuring the transaction costs of different stages and breaking down the results by loan amount groups, Table 3 reports the average loans, interest rates, transaction costs of the loans, and their ratio by loan size group</w:t>
      </w:r>
      <w:r w:rsidRPr="00E331D6">
        <w:rPr>
          <w:rFonts w:asciiTheme="majorBidi" w:hAnsiTheme="majorBidi" w:cstheme="majorBidi"/>
          <w:sz w:val="24"/>
          <w:szCs w:val="24"/>
          <w:rtl/>
        </w:rPr>
        <w:t>.</w:t>
      </w:r>
    </w:p>
    <w:p w14:paraId="504113F1" w14:textId="308B97D4" w:rsidR="00E331D6" w:rsidRDefault="00E331D6" w:rsidP="005757C8">
      <w:pPr>
        <w:bidi w:val="0"/>
        <w:spacing w:after="0" w:line="240" w:lineRule="auto"/>
        <w:jc w:val="both"/>
        <w:rPr>
          <w:rFonts w:asciiTheme="majorBidi" w:hAnsiTheme="majorBidi" w:cstheme="majorBidi"/>
          <w:sz w:val="24"/>
          <w:szCs w:val="24"/>
        </w:rPr>
      </w:pPr>
      <w:r w:rsidRPr="00E331D6">
        <w:rPr>
          <w:rFonts w:asciiTheme="majorBidi" w:hAnsiTheme="majorBidi" w:cstheme="majorBidi"/>
          <w:sz w:val="24"/>
          <w:szCs w:val="24"/>
        </w:rPr>
        <w:t xml:space="preserve">As seen, while the transaction cost for loans less than 280 million </w:t>
      </w:r>
      <w:proofErr w:type="spellStart"/>
      <w:r w:rsidRPr="00E331D6">
        <w:rPr>
          <w:rFonts w:asciiTheme="majorBidi" w:hAnsiTheme="majorBidi" w:cstheme="majorBidi"/>
          <w:sz w:val="24"/>
          <w:szCs w:val="24"/>
        </w:rPr>
        <w:t>Rials</w:t>
      </w:r>
      <w:proofErr w:type="spellEnd"/>
      <w:r w:rsidRPr="00E331D6">
        <w:rPr>
          <w:rFonts w:asciiTheme="majorBidi" w:hAnsiTheme="majorBidi" w:cstheme="majorBidi"/>
          <w:sz w:val="24"/>
          <w:szCs w:val="24"/>
        </w:rPr>
        <w:t xml:space="preserve"> is 78.38 million </w:t>
      </w:r>
      <w:proofErr w:type="spellStart"/>
      <w:r w:rsidRPr="00E331D6">
        <w:rPr>
          <w:rFonts w:asciiTheme="majorBidi" w:hAnsiTheme="majorBidi" w:cstheme="majorBidi"/>
          <w:sz w:val="24"/>
          <w:szCs w:val="24"/>
        </w:rPr>
        <w:t>Rials</w:t>
      </w:r>
      <w:proofErr w:type="spellEnd"/>
      <w:r w:rsidRPr="00E331D6">
        <w:rPr>
          <w:rFonts w:asciiTheme="majorBidi" w:hAnsiTheme="majorBidi" w:cstheme="majorBidi"/>
          <w:sz w:val="24"/>
          <w:szCs w:val="24"/>
        </w:rPr>
        <w:t xml:space="preserve">, this amount for loans greater than 2.7 billion </w:t>
      </w:r>
      <w:proofErr w:type="spellStart"/>
      <w:r w:rsidRPr="00E331D6">
        <w:rPr>
          <w:rFonts w:asciiTheme="majorBidi" w:hAnsiTheme="majorBidi" w:cstheme="majorBidi"/>
          <w:sz w:val="24"/>
          <w:szCs w:val="24"/>
        </w:rPr>
        <w:t>Rials</w:t>
      </w:r>
      <w:proofErr w:type="spellEnd"/>
      <w:r w:rsidRPr="00E331D6">
        <w:rPr>
          <w:rFonts w:asciiTheme="majorBidi" w:hAnsiTheme="majorBidi" w:cstheme="majorBidi"/>
          <w:sz w:val="24"/>
          <w:szCs w:val="24"/>
        </w:rPr>
        <w:t xml:space="preserve"> reaches an average of 46,411.84 million </w:t>
      </w:r>
      <w:proofErr w:type="spellStart"/>
      <w:r w:rsidRPr="00E331D6">
        <w:rPr>
          <w:rFonts w:asciiTheme="majorBidi" w:hAnsiTheme="majorBidi" w:cstheme="majorBidi"/>
          <w:sz w:val="24"/>
          <w:szCs w:val="24"/>
        </w:rPr>
        <w:t>Rials</w:t>
      </w:r>
      <w:proofErr w:type="spellEnd"/>
      <w:r w:rsidRPr="00E331D6">
        <w:rPr>
          <w:rFonts w:asciiTheme="majorBidi" w:hAnsiTheme="majorBidi" w:cstheme="majorBidi"/>
          <w:sz w:val="24"/>
          <w:szCs w:val="24"/>
        </w:rPr>
        <w:t xml:space="preserve">. Despite this direct relationship between transaction cost and loan amount, the ratio of transaction cost to loan amount has an inverse relationship. Specifically, the highest ratio of transaction cost to loan amount, 5.68%, is observed in the Group 1 loans (less than 280 million </w:t>
      </w:r>
      <w:proofErr w:type="spellStart"/>
      <w:r w:rsidRPr="00E331D6">
        <w:rPr>
          <w:rFonts w:asciiTheme="majorBidi" w:hAnsiTheme="majorBidi" w:cstheme="majorBidi"/>
          <w:sz w:val="24"/>
          <w:szCs w:val="24"/>
        </w:rPr>
        <w:t>Rials</w:t>
      </w:r>
      <w:proofErr w:type="spellEnd"/>
      <w:r w:rsidRPr="00E331D6">
        <w:rPr>
          <w:rFonts w:asciiTheme="majorBidi" w:hAnsiTheme="majorBidi" w:cstheme="majorBidi"/>
          <w:sz w:val="24"/>
          <w:szCs w:val="24"/>
        </w:rPr>
        <w:t xml:space="preserve">), while the lowest ratio, 1.31%, is found in very large loans (more than 2.7 billion </w:t>
      </w:r>
      <w:proofErr w:type="spellStart"/>
      <w:r w:rsidRPr="00E331D6">
        <w:rPr>
          <w:rFonts w:asciiTheme="majorBidi" w:hAnsiTheme="majorBidi" w:cstheme="majorBidi"/>
          <w:sz w:val="24"/>
          <w:szCs w:val="24"/>
        </w:rPr>
        <w:t>Rials</w:t>
      </w:r>
      <w:proofErr w:type="spellEnd"/>
      <w:r w:rsidRPr="00E331D6">
        <w:rPr>
          <w:rFonts w:asciiTheme="majorBidi" w:hAnsiTheme="majorBidi" w:cstheme="majorBidi"/>
          <w:sz w:val="24"/>
          <w:szCs w:val="24"/>
        </w:rPr>
        <w:t xml:space="preserve">). According to the results obtained, the transaction cost rate for Group 1 is also higher than for the other groups, with the lowest transaction cost rate in Group 4. As seen in column eight of Table 4, the total loan cost rate for Group 3 is the highest, at 19.14%, while this rate is lowest for Group 2 loans at 12%. The ratio of transaction cost rate to interest rate, which indicates the importance of the transaction cost relative to the nominal loan cost, is highest for Group 1 loans (less than 280 million </w:t>
      </w:r>
      <w:proofErr w:type="spellStart"/>
      <w:r w:rsidRPr="00E331D6">
        <w:rPr>
          <w:rFonts w:asciiTheme="majorBidi" w:hAnsiTheme="majorBidi" w:cstheme="majorBidi"/>
          <w:sz w:val="24"/>
          <w:szCs w:val="24"/>
        </w:rPr>
        <w:t>Rials</w:t>
      </w:r>
      <w:proofErr w:type="spellEnd"/>
      <w:r w:rsidRPr="00E331D6">
        <w:rPr>
          <w:rFonts w:asciiTheme="majorBidi" w:hAnsiTheme="majorBidi" w:cstheme="majorBidi"/>
          <w:sz w:val="24"/>
          <w:szCs w:val="24"/>
        </w:rPr>
        <w:t>), showing that the transaction cost for these loans is, on average, 154% higher than the loan interest cost</w:t>
      </w:r>
      <w:r w:rsidRPr="00E331D6">
        <w:rPr>
          <w:rFonts w:asciiTheme="majorBidi" w:hAnsiTheme="majorBidi" w:cstheme="majorBidi"/>
          <w:sz w:val="24"/>
          <w:szCs w:val="24"/>
          <w:rtl/>
        </w:rPr>
        <w:t>.</w:t>
      </w:r>
    </w:p>
    <w:bookmarkEnd w:id="5"/>
    <w:bookmarkEnd w:id="6"/>
    <w:bookmarkEnd w:id="7"/>
    <w:bookmarkEnd w:id="8"/>
    <w:p w14:paraId="0EE98906" w14:textId="6CB93C05" w:rsidR="00E331D6" w:rsidRPr="00B67BE7" w:rsidRDefault="00E331D6"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Table 3- Average facility, interest rate and transaction cost estimated by facility group</w:t>
      </w:r>
      <w:r w:rsidR="00FA3DDA">
        <w:rPr>
          <w:rFonts w:asciiTheme="majorBidi" w:hAnsiTheme="majorBidi" w:cstheme="majorBidi"/>
          <w:b/>
          <w:bCs/>
          <w:sz w:val="20"/>
          <w:szCs w:val="20"/>
        </w:rPr>
        <w:t xml:space="preserve"> </w:t>
      </w:r>
      <w:r w:rsidR="00FA3DDA" w:rsidRPr="00FA3DDA">
        <w:rPr>
          <w:rFonts w:asciiTheme="majorBidi" w:hAnsiTheme="majorBidi" w:cstheme="majorBidi"/>
          <w:b/>
          <w:bCs/>
          <w:sz w:val="20"/>
          <w:szCs w:val="20"/>
        </w:rPr>
        <w:t>(Hosseini et al., 2023)</w:t>
      </w:r>
    </w:p>
    <w:tbl>
      <w:tblPr>
        <w:tblStyle w:val="PlainTable51"/>
        <w:tblW w:w="0" w:type="auto"/>
        <w:tblLook w:val="04A0" w:firstRow="1" w:lastRow="0" w:firstColumn="1" w:lastColumn="0" w:noHBand="0" w:noVBand="1"/>
      </w:tblPr>
      <w:tblGrid>
        <w:gridCol w:w="1027"/>
        <w:gridCol w:w="911"/>
        <w:gridCol w:w="973"/>
        <w:gridCol w:w="881"/>
        <w:gridCol w:w="1138"/>
        <w:gridCol w:w="1141"/>
        <w:gridCol w:w="1135"/>
        <w:gridCol w:w="673"/>
        <w:gridCol w:w="1147"/>
      </w:tblGrid>
      <w:tr w:rsidR="00B92B81" w:rsidRPr="00642F77" w14:paraId="15771CC3" w14:textId="77777777" w:rsidTr="00B92B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7" w:type="dxa"/>
            <w:vAlign w:val="bottom"/>
          </w:tcPr>
          <w:p w14:paraId="303A567D" w14:textId="77777777" w:rsidR="00E331D6" w:rsidRPr="00642F77" w:rsidRDefault="00E331D6" w:rsidP="005757C8">
            <w:pPr>
              <w:bidi w:val="0"/>
              <w:jc w:val="center"/>
              <w:rPr>
                <w:rFonts w:asciiTheme="majorBidi" w:hAnsiTheme="majorBidi"/>
                <w:sz w:val="20"/>
                <w:szCs w:val="20"/>
              </w:rPr>
            </w:pPr>
          </w:p>
        </w:tc>
        <w:tc>
          <w:tcPr>
            <w:tcW w:w="0" w:type="auto"/>
            <w:vAlign w:val="bottom"/>
          </w:tcPr>
          <w:p w14:paraId="4914D2CD"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Number of facilities</w:t>
            </w:r>
          </w:p>
        </w:tc>
        <w:tc>
          <w:tcPr>
            <w:tcW w:w="0" w:type="auto"/>
            <w:vAlign w:val="bottom"/>
          </w:tcPr>
          <w:p w14:paraId="3EE7D0B3"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 xml:space="preserve">facilities (million </w:t>
            </w:r>
            <w:proofErr w:type="spellStart"/>
            <w:r w:rsidRPr="00642F77">
              <w:rPr>
                <w:rFonts w:asciiTheme="majorBidi" w:hAnsiTheme="majorBidi"/>
                <w:sz w:val="20"/>
                <w:szCs w:val="20"/>
              </w:rPr>
              <w:t>rials</w:t>
            </w:r>
            <w:proofErr w:type="spellEnd"/>
            <w:r w:rsidRPr="00642F77">
              <w:rPr>
                <w:rFonts w:asciiTheme="majorBidi" w:hAnsiTheme="majorBidi"/>
                <w:sz w:val="20"/>
                <w:szCs w:val="20"/>
              </w:rPr>
              <w:t>)</w:t>
            </w:r>
          </w:p>
        </w:tc>
        <w:tc>
          <w:tcPr>
            <w:tcW w:w="0" w:type="auto"/>
            <w:vAlign w:val="bottom"/>
          </w:tcPr>
          <w:p w14:paraId="5E3E2EC7"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nominal interest rate (%)</w:t>
            </w:r>
          </w:p>
        </w:tc>
        <w:tc>
          <w:tcPr>
            <w:tcW w:w="0" w:type="auto"/>
            <w:vAlign w:val="bottom"/>
          </w:tcPr>
          <w:p w14:paraId="12957AA3"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 xml:space="preserve">transaction cost (million </w:t>
            </w:r>
            <w:proofErr w:type="spellStart"/>
            <w:r w:rsidRPr="00642F77">
              <w:rPr>
                <w:rFonts w:asciiTheme="majorBidi" w:hAnsiTheme="majorBidi"/>
                <w:sz w:val="20"/>
                <w:szCs w:val="20"/>
              </w:rPr>
              <w:t>Rials</w:t>
            </w:r>
            <w:proofErr w:type="spellEnd"/>
            <w:r w:rsidRPr="00642F77">
              <w:rPr>
                <w:rFonts w:asciiTheme="majorBidi" w:hAnsiTheme="majorBidi"/>
                <w:sz w:val="20"/>
                <w:szCs w:val="20"/>
              </w:rPr>
              <w:t>)</w:t>
            </w:r>
          </w:p>
        </w:tc>
        <w:tc>
          <w:tcPr>
            <w:tcW w:w="0" w:type="auto"/>
            <w:vAlign w:val="bottom"/>
          </w:tcPr>
          <w:p w14:paraId="0B8E79BD"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transaction cost to facility ratio (%)</w:t>
            </w:r>
          </w:p>
        </w:tc>
        <w:tc>
          <w:tcPr>
            <w:tcW w:w="0" w:type="auto"/>
            <w:vAlign w:val="bottom"/>
          </w:tcPr>
          <w:p w14:paraId="73E0F5D0"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transaction cost rate (%)</w:t>
            </w:r>
          </w:p>
        </w:tc>
        <w:tc>
          <w:tcPr>
            <w:tcW w:w="0" w:type="auto"/>
            <w:vAlign w:val="bottom"/>
          </w:tcPr>
          <w:p w14:paraId="18432892"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Total cost rate (%)</w:t>
            </w:r>
          </w:p>
        </w:tc>
        <w:tc>
          <w:tcPr>
            <w:tcW w:w="0" w:type="auto"/>
            <w:vAlign w:val="bottom"/>
          </w:tcPr>
          <w:p w14:paraId="63783431"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ratio of the transaction rate to the interest rate</w:t>
            </w:r>
          </w:p>
        </w:tc>
      </w:tr>
      <w:tr w:rsidR="00B92B81" w:rsidRPr="00642F77" w14:paraId="5C14B60E"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vAlign w:val="bottom"/>
          </w:tcPr>
          <w:p w14:paraId="159719F8"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1</w:t>
            </w:r>
          </w:p>
        </w:tc>
        <w:tc>
          <w:tcPr>
            <w:tcW w:w="0" w:type="auto"/>
            <w:vAlign w:val="bottom"/>
          </w:tcPr>
          <w:p w14:paraId="60CBEA40"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31</w:t>
            </w:r>
          </w:p>
        </w:tc>
        <w:tc>
          <w:tcPr>
            <w:tcW w:w="0" w:type="auto"/>
            <w:vAlign w:val="bottom"/>
          </w:tcPr>
          <w:p w14:paraId="09E68B12"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1471.48</w:t>
            </w:r>
          </w:p>
        </w:tc>
        <w:tc>
          <w:tcPr>
            <w:tcW w:w="0" w:type="auto"/>
            <w:vAlign w:val="bottom"/>
          </w:tcPr>
          <w:p w14:paraId="6C71E1A4"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6</w:t>
            </w:r>
          </w:p>
        </w:tc>
        <w:tc>
          <w:tcPr>
            <w:tcW w:w="0" w:type="auto"/>
            <w:vAlign w:val="bottom"/>
          </w:tcPr>
          <w:p w14:paraId="67EA41F1"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78.38</w:t>
            </w:r>
          </w:p>
        </w:tc>
        <w:tc>
          <w:tcPr>
            <w:tcW w:w="0" w:type="auto"/>
            <w:vAlign w:val="bottom"/>
          </w:tcPr>
          <w:p w14:paraId="20F0B403"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5.68</w:t>
            </w:r>
          </w:p>
        </w:tc>
        <w:tc>
          <w:tcPr>
            <w:tcW w:w="0" w:type="auto"/>
            <w:vAlign w:val="bottom"/>
          </w:tcPr>
          <w:p w14:paraId="4D369B6D"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9.29</w:t>
            </w:r>
          </w:p>
        </w:tc>
        <w:tc>
          <w:tcPr>
            <w:tcW w:w="0" w:type="auto"/>
            <w:vAlign w:val="bottom"/>
          </w:tcPr>
          <w:p w14:paraId="42F57140"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15.29</w:t>
            </w:r>
          </w:p>
        </w:tc>
        <w:tc>
          <w:tcPr>
            <w:tcW w:w="0" w:type="auto"/>
            <w:vAlign w:val="bottom"/>
          </w:tcPr>
          <w:p w14:paraId="5D06771F"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1.54</w:t>
            </w:r>
          </w:p>
        </w:tc>
      </w:tr>
      <w:tr w:rsidR="00E331D6" w:rsidRPr="00642F77" w14:paraId="7AF25AF2" w14:textId="77777777" w:rsidTr="00B92B81">
        <w:tc>
          <w:tcPr>
            <w:cnfStyle w:val="001000000000" w:firstRow="0" w:lastRow="0" w:firstColumn="1" w:lastColumn="0" w:oddVBand="0" w:evenVBand="0" w:oddHBand="0" w:evenHBand="0" w:firstRowFirstColumn="0" w:firstRowLastColumn="0" w:lastRowFirstColumn="0" w:lastRowLastColumn="0"/>
            <w:tcW w:w="1027" w:type="dxa"/>
            <w:vAlign w:val="bottom"/>
          </w:tcPr>
          <w:p w14:paraId="2199101A"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2</w:t>
            </w:r>
          </w:p>
        </w:tc>
        <w:tc>
          <w:tcPr>
            <w:tcW w:w="0" w:type="auto"/>
            <w:vAlign w:val="bottom"/>
          </w:tcPr>
          <w:p w14:paraId="080B8732"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33</w:t>
            </w:r>
          </w:p>
        </w:tc>
        <w:tc>
          <w:tcPr>
            <w:tcW w:w="0" w:type="auto"/>
            <w:vAlign w:val="bottom"/>
          </w:tcPr>
          <w:p w14:paraId="3D4E4329"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4498</w:t>
            </w:r>
          </w:p>
        </w:tc>
        <w:tc>
          <w:tcPr>
            <w:tcW w:w="0" w:type="auto"/>
            <w:vAlign w:val="bottom"/>
          </w:tcPr>
          <w:p w14:paraId="7E7345FF"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6.68</w:t>
            </w:r>
          </w:p>
        </w:tc>
        <w:tc>
          <w:tcPr>
            <w:tcW w:w="0" w:type="auto"/>
            <w:vAlign w:val="bottom"/>
          </w:tcPr>
          <w:p w14:paraId="27513A2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120.36</w:t>
            </w:r>
          </w:p>
        </w:tc>
        <w:tc>
          <w:tcPr>
            <w:tcW w:w="0" w:type="auto"/>
            <w:vAlign w:val="bottom"/>
          </w:tcPr>
          <w:p w14:paraId="722FCC7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3.64</w:t>
            </w:r>
          </w:p>
        </w:tc>
        <w:tc>
          <w:tcPr>
            <w:tcW w:w="0" w:type="auto"/>
            <w:vAlign w:val="bottom"/>
          </w:tcPr>
          <w:p w14:paraId="2EC2FDB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5.32</w:t>
            </w:r>
          </w:p>
        </w:tc>
        <w:tc>
          <w:tcPr>
            <w:tcW w:w="0" w:type="auto"/>
            <w:vAlign w:val="bottom"/>
          </w:tcPr>
          <w:p w14:paraId="098B45D9"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12</w:t>
            </w:r>
          </w:p>
        </w:tc>
        <w:tc>
          <w:tcPr>
            <w:tcW w:w="0" w:type="auto"/>
            <w:vAlign w:val="bottom"/>
          </w:tcPr>
          <w:p w14:paraId="3F03417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0.79</w:t>
            </w:r>
          </w:p>
        </w:tc>
      </w:tr>
      <w:tr w:rsidR="00B92B81" w:rsidRPr="00642F77" w14:paraId="00DDBE76"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vAlign w:val="bottom"/>
          </w:tcPr>
          <w:p w14:paraId="3E980062"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3</w:t>
            </w:r>
          </w:p>
        </w:tc>
        <w:tc>
          <w:tcPr>
            <w:tcW w:w="0" w:type="auto"/>
            <w:vAlign w:val="bottom"/>
          </w:tcPr>
          <w:p w14:paraId="68537CDA"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29</w:t>
            </w:r>
          </w:p>
        </w:tc>
        <w:tc>
          <w:tcPr>
            <w:tcW w:w="0" w:type="auto"/>
            <w:vAlign w:val="bottom"/>
          </w:tcPr>
          <w:p w14:paraId="65E99B73"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16085.31</w:t>
            </w:r>
          </w:p>
        </w:tc>
        <w:tc>
          <w:tcPr>
            <w:tcW w:w="0" w:type="auto"/>
            <w:vAlign w:val="bottom"/>
          </w:tcPr>
          <w:p w14:paraId="4DFD65F7"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10.20</w:t>
            </w:r>
          </w:p>
        </w:tc>
        <w:tc>
          <w:tcPr>
            <w:tcW w:w="0" w:type="auto"/>
            <w:vAlign w:val="bottom"/>
          </w:tcPr>
          <w:p w14:paraId="0D3D90BF"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496.79</w:t>
            </w:r>
          </w:p>
        </w:tc>
        <w:tc>
          <w:tcPr>
            <w:tcW w:w="0" w:type="auto"/>
            <w:vAlign w:val="bottom"/>
          </w:tcPr>
          <w:p w14:paraId="0DE6A4F7"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3.24</w:t>
            </w:r>
          </w:p>
        </w:tc>
        <w:tc>
          <w:tcPr>
            <w:tcW w:w="0" w:type="auto"/>
            <w:vAlign w:val="bottom"/>
          </w:tcPr>
          <w:p w14:paraId="64534655"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8.94</w:t>
            </w:r>
          </w:p>
        </w:tc>
        <w:tc>
          <w:tcPr>
            <w:tcW w:w="0" w:type="auto"/>
            <w:vAlign w:val="bottom"/>
          </w:tcPr>
          <w:p w14:paraId="69BE2A54"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19.14</w:t>
            </w:r>
          </w:p>
        </w:tc>
        <w:tc>
          <w:tcPr>
            <w:tcW w:w="0" w:type="auto"/>
            <w:vAlign w:val="bottom"/>
          </w:tcPr>
          <w:p w14:paraId="3F6AD798"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0.87</w:t>
            </w:r>
          </w:p>
        </w:tc>
      </w:tr>
      <w:tr w:rsidR="00E331D6" w:rsidRPr="00642F77" w14:paraId="440F8D50" w14:textId="77777777" w:rsidTr="00B92B81">
        <w:tc>
          <w:tcPr>
            <w:cnfStyle w:val="001000000000" w:firstRow="0" w:lastRow="0" w:firstColumn="1" w:lastColumn="0" w:oddVBand="0" w:evenVBand="0" w:oddHBand="0" w:evenHBand="0" w:firstRowFirstColumn="0" w:firstRowLastColumn="0" w:lastRowFirstColumn="0" w:lastRowLastColumn="0"/>
            <w:tcW w:w="1027" w:type="dxa"/>
            <w:vAlign w:val="bottom"/>
          </w:tcPr>
          <w:p w14:paraId="55E058FB"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4</w:t>
            </w:r>
          </w:p>
        </w:tc>
        <w:tc>
          <w:tcPr>
            <w:tcW w:w="0" w:type="auto"/>
            <w:vAlign w:val="bottom"/>
          </w:tcPr>
          <w:p w14:paraId="1AC28428"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30</w:t>
            </w:r>
          </w:p>
        </w:tc>
        <w:tc>
          <w:tcPr>
            <w:tcW w:w="0" w:type="auto"/>
            <w:vAlign w:val="bottom"/>
          </w:tcPr>
          <w:p w14:paraId="3354B1D9"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84822.33</w:t>
            </w:r>
          </w:p>
        </w:tc>
        <w:tc>
          <w:tcPr>
            <w:tcW w:w="0" w:type="auto"/>
            <w:vAlign w:val="bottom"/>
          </w:tcPr>
          <w:p w14:paraId="533797F7"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10.8</w:t>
            </w:r>
          </w:p>
        </w:tc>
        <w:tc>
          <w:tcPr>
            <w:tcW w:w="0" w:type="auto"/>
            <w:vAlign w:val="bottom"/>
          </w:tcPr>
          <w:p w14:paraId="16CDB92C"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787.62</w:t>
            </w:r>
          </w:p>
        </w:tc>
        <w:tc>
          <w:tcPr>
            <w:tcW w:w="0" w:type="auto"/>
            <w:vAlign w:val="bottom"/>
          </w:tcPr>
          <w:p w14:paraId="6D4589AD"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1.31</w:t>
            </w:r>
          </w:p>
        </w:tc>
        <w:tc>
          <w:tcPr>
            <w:tcW w:w="0" w:type="auto"/>
            <w:vAlign w:val="bottom"/>
          </w:tcPr>
          <w:p w14:paraId="1FBF90A2"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4.90</w:t>
            </w:r>
          </w:p>
        </w:tc>
        <w:tc>
          <w:tcPr>
            <w:tcW w:w="0" w:type="auto"/>
            <w:vAlign w:val="bottom"/>
          </w:tcPr>
          <w:p w14:paraId="131C6827"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15.7</w:t>
            </w:r>
          </w:p>
        </w:tc>
        <w:tc>
          <w:tcPr>
            <w:tcW w:w="0" w:type="auto"/>
            <w:vAlign w:val="bottom"/>
          </w:tcPr>
          <w:p w14:paraId="43D456B7"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0.45</w:t>
            </w:r>
          </w:p>
        </w:tc>
      </w:tr>
      <w:tr w:rsidR="00B92B81" w:rsidRPr="00642F77" w14:paraId="20EA1E26"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vAlign w:val="bottom"/>
          </w:tcPr>
          <w:p w14:paraId="23ACFFF2" w14:textId="77777777" w:rsidR="00E331D6" w:rsidRPr="00642F77" w:rsidRDefault="00E331D6" w:rsidP="005757C8">
            <w:pPr>
              <w:jc w:val="center"/>
              <w:rPr>
                <w:rFonts w:asciiTheme="majorBidi" w:hAnsiTheme="majorBidi"/>
                <w:sz w:val="20"/>
                <w:szCs w:val="20"/>
              </w:rPr>
            </w:pPr>
            <w:r w:rsidRPr="00642F77">
              <w:rPr>
                <w:rFonts w:asciiTheme="majorBidi" w:hAnsiTheme="majorBidi"/>
                <w:sz w:val="20"/>
                <w:szCs w:val="20"/>
              </w:rPr>
              <w:t>Total</w:t>
            </w:r>
          </w:p>
        </w:tc>
        <w:tc>
          <w:tcPr>
            <w:tcW w:w="0" w:type="auto"/>
            <w:vAlign w:val="bottom"/>
          </w:tcPr>
          <w:p w14:paraId="3EE39E23"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123</w:t>
            </w:r>
          </w:p>
        </w:tc>
        <w:tc>
          <w:tcPr>
            <w:tcW w:w="0" w:type="auto"/>
            <w:vAlign w:val="bottom"/>
          </w:tcPr>
          <w:p w14:paraId="3D367989"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3266190</w:t>
            </w:r>
          </w:p>
        </w:tc>
        <w:tc>
          <w:tcPr>
            <w:tcW w:w="0" w:type="auto"/>
            <w:vAlign w:val="bottom"/>
          </w:tcPr>
          <w:p w14:paraId="6DE147EC"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8.62</w:t>
            </w:r>
          </w:p>
        </w:tc>
        <w:tc>
          <w:tcPr>
            <w:tcW w:w="0" w:type="auto"/>
            <w:vAlign w:val="bottom"/>
          </w:tcPr>
          <w:p w14:paraId="769109B0"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46411.84</w:t>
            </w:r>
          </w:p>
        </w:tc>
        <w:tc>
          <w:tcPr>
            <w:tcW w:w="0" w:type="auto"/>
            <w:vAlign w:val="bottom"/>
          </w:tcPr>
          <w:p w14:paraId="352DA6F0"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3.33</w:t>
            </w:r>
          </w:p>
        </w:tc>
        <w:tc>
          <w:tcPr>
            <w:tcW w:w="0" w:type="auto"/>
            <w:vAlign w:val="bottom"/>
          </w:tcPr>
          <w:p w14:paraId="336A24B9"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7.04</w:t>
            </w:r>
          </w:p>
        </w:tc>
        <w:tc>
          <w:tcPr>
            <w:tcW w:w="0" w:type="auto"/>
            <w:vAlign w:val="bottom"/>
          </w:tcPr>
          <w:p w14:paraId="0A0F9764"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15.66</w:t>
            </w:r>
          </w:p>
        </w:tc>
        <w:tc>
          <w:tcPr>
            <w:tcW w:w="0" w:type="auto"/>
            <w:vAlign w:val="bottom"/>
          </w:tcPr>
          <w:p w14:paraId="132F8410"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0.81</w:t>
            </w:r>
          </w:p>
        </w:tc>
      </w:tr>
    </w:tbl>
    <w:p w14:paraId="50936475" w14:textId="77777777" w:rsidR="00E331D6" w:rsidRPr="001D47D7" w:rsidRDefault="00E331D6"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Source: research findings</w:t>
      </w:r>
    </w:p>
    <w:p w14:paraId="1F879884" w14:textId="6C52F5CA" w:rsidR="00855923" w:rsidRDefault="00855923" w:rsidP="00855923">
      <w:pPr>
        <w:pStyle w:val="NormalWeb"/>
        <w:jc w:val="both"/>
      </w:pPr>
      <w:bookmarkStart w:id="9" w:name="_Toc100413149"/>
      <w:bookmarkStart w:id="10" w:name="_Toc100418607"/>
      <w:bookmarkStart w:id="11" w:name="_Toc100420226"/>
      <w:bookmarkStart w:id="12" w:name="_Toc100421134"/>
      <w:bookmarkStart w:id="13" w:name="_Toc101453458"/>
      <w:r>
        <w:lastRenderedPageBreak/>
        <w:t xml:space="preserve">This </w:t>
      </w:r>
      <w:r w:rsidRPr="006451BF">
        <w:rPr>
          <w:highlight w:val="yellow"/>
        </w:rPr>
        <w:t xml:space="preserve">section </w:t>
      </w:r>
      <w:r w:rsidR="0055672A" w:rsidRPr="006451BF">
        <w:rPr>
          <w:highlight w:val="yellow"/>
        </w:rPr>
        <w:t xml:space="preserve">analyses </w:t>
      </w:r>
      <w:r w:rsidRPr="006451BF">
        <w:rPr>
          <w:highlight w:val="yellow"/>
        </w:rPr>
        <w:t>the transacti</w:t>
      </w:r>
      <w:r>
        <w:t xml:space="preserve">on costs of companies based on loan types, focusing on both direct and indirect costs at each stage of the loan process. Indirect costs were relatively consistent across loan types, with minor variations in the application acceptance stage. For example, the average indirect cost for the application acceptance stage was 29.51 million </w:t>
      </w:r>
      <w:proofErr w:type="spellStart"/>
      <w:r>
        <w:t>Rials</w:t>
      </w:r>
      <w:proofErr w:type="spellEnd"/>
      <w:r>
        <w:t xml:space="preserve"> for working capital loans, 21.07 million </w:t>
      </w:r>
      <w:proofErr w:type="spellStart"/>
      <w:r>
        <w:t>Rials</w:t>
      </w:r>
      <w:proofErr w:type="spellEnd"/>
      <w:r>
        <w:t xml:space="preserve"> for prototyping, 28.51 million </w:t>
      </w:r>
      <w:proofErr w:type="spellStart"/>
      <w:r>
        <w:t>Rials</w:t>
      </w:r>
      <w:proofErr w:type="spellEnd"/>
      <w:r>
        <w:t xml:space="preserve"> for industrial production activities, and 21.86 million </w:t>
      </w:r>
      <w:proofErr w:type="spellStart"/>
      <w:r>
        <w:t>Rials</w:t>
      </w:r>
      <w:proofErr w:type="spellEnd"/>
      <w:r>
        <w:t xml:space="preserve"> for leasing loans. The highest cost drivers across all loan types were the application acceptance stage, payment and monitoring stage, and information acquisition.</w:t>
      </w:r>
    </w:p>
    <w:p w14:paraId="54C07483" w14:textId="5CD77419" w:rsidR="00B92B81" w:rsidRPr="00855923" w:rsidRDefault="00855923" w:rsidP="00855923">
      <w:pPr>
        <w:pStyle w:val="NormalWeb"/>
        <w:jc w:val="both"/>
      </w:pPr>
      <w:r>
        <w:t xml:space="preserve">Leasing loans showed the lowest direct costs, with most direct costs recorded as zero, as companies did not incur expenses for notary, bank, or government office visits due to collateral guarantees. Among direct costs, notary fees were the highest, with working capital loans, industrial production activities, and prototyping loans incurring fees of 438.109 million </w:t>
      </w:r>
      <w:proofErr w:type="spellStart"/>
      <w:r>
        <w:t>Rials</w:t>
      </w:r>
      <w:proofErr w:type="spellEnd"/>
      <w:r>
        <w:t xml:space="preserve">, 421.125 million </w:t>
      </w:r>
      <w:proofErr w:type="spellStart"/>
      <w:r>
        <w:t>Rials</w:t>
      </w:r>
      <w:proofErr w:type="spellEnd"/>
      <w:r>
        <w:t xml:space="preserve">, and 99.5 million </w:t>
      </w:r>
      <w:proofErr w:type="spellStart"/>
      <w:r>
        <w:t>Rials</w:t>
      </w:r>
      <w:proofErr w:type="spellEnd"/>
      <w:r>
        <w:t>, respectively. Additionally, industrial production activities incurred higher "other costs," driven by the need for detailed business plans when applying for loans.</w:t>
      </w:r>
    </w:p>
    <w:p w14:paraId="4DE4C356" w14:textId="77777777" w:rsidR="00855923" w:rsidRDefault="00855923" w:rsidP="00855923">
      <w:pPr>
        <w:bidi w:val="0"/>
        <w:spacing w:after="0" w:line="240" w:lineRule="auto"/>
        <w:jc w:val="both"/>
        <w:rPr>
          <w:rFonts w:asciiTheme="majorBidi" w:hAnsiTheme="majorBidi" w:cstheme="majorBidi"/>
          <w:sz w:val="24"/>
          <w:szCs w:val="24"/>
        </w:rPr>
      </w:pPr>
    </w:p>
    <w:bookmarkEnd w:id="9"/>
    <w:bookmarkEnd w:id="10"/>
    <w:bookmarkEnd w:id="11"/>
    <w:bookmarkEnd w:id="12"/>
    <w:bookmarkEnd w:id="13"/>
    <w:p w14:paraId="6C177A17" w14:textId="28960CC6" w:rsidR="00925FED" w:rsidRPr="00B67BE7" w:rsidRDefault="00925FED"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 xml:space="preserve">Table 4 - Average Direct and Indirect Loan Acquisition Costs by Cost Components and Loan Type (Unit: Million </w:t>
      </w:r>
      <w:proofErr w:type="spellStart"/>
      <w:r w:rsidRPr="00B67BE7">
        <w:rPr>
          <w:rFonts w:asciiTheme="majorBidi" w:hAnsiTheme="majorBidi" w:cstheme="majorBidi"/>
          <w:b/>
          <w:bCs/>
          <w:sz w:val="20"/>
          <w:szCs w:val="20"/>
        </w:rPr>
        <w:t>Rials</w:t>
      </w:r>
      <w:proofErr w:type="spellEnd"/>
      <w:r w:rsidRPr="00B67BE7">
        <w:rPr>
          <w:rFonts w:asciiTheme="majorBidi" w:hAnsiTheme="majorBidi" w:cstheme="majorBidi"/>
          <w:b/>
          <w:bCs/>
          <w:sz w:val="20"/>
          <w:szCs w:val="20"/>
        </w:rPr>
        <w:t>)</w:t>
      </w:r>
    </w:p>
    <w:tbl>
      <w:tblPr>
        <w:tblStyle w:val="PlainTable51"/>
        <w:tblW w:w="5000" w:type="pct"/>
        <w:tblLook w:val="04A0" w:firstRow="1" w:lastRow="0" w:firstColumn="1" w:lastColumn="0" w:noHBand="0" w:noVBand="1"/>
      </w:tblPr>
      <w:tblGrid>
        <w:gridCol w:w="3222"/>
        <w:gridCol w:w="1381"/>
        <w:gridCol w:w="1273"/>
        <w:gridCol w:w="2271"/>
        <w:gridCol w:w="879"/>
      </w:tblGrid>
      <w:tr w:rsidR="00D538F4" w:rsidRPr="00D538F4" w14:paraId="44D42CC7" w14:textId="77777777" w:rsidTr="00B92B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vAlign w:val="center"/>
          </w:tcPr>
          <w:p w14:paraId="5B3D4705" w14:textId="0070B9E7"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Cost Components</w:t>
            </w:r>
          </w:p>
        </w:tc>
        <w:tc>
          <w:tcPr>
            <w:tcW w:w="765" w:type="pct"/>
            <w:vAlign w:val="center"/>
          </w:tcPr>
          <w:p w14:paraId="58DA6EFF" w14:textId="7F988424"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Working Capital</w:t>
            </w:r>
          </w:p>
        </w:tc>
        <w:tc>
          <w:tcPr>
            <w:tcW w:w="705" w:type="pct"/>
            <w:vAlign w:val="center"/>
          </w:tcPr>
          <w:p w14:paraId="4EE100DB" w14:textId="1912663F"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Prototyping</w:t>
            </w:r>
          </w:p>
        </w:tc>
        <w:tc>
          <w:tcPr>
            <w:tcW w:w="1258" w:type="pct"/>
            <w:vAlign w:val="center"/>
          </w:tcPr>
          <w:p w14:paraId="28EAB1B1" w14:textId="71E945FE"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Industrial Production Activities</w:t>
            </w:r>
          </w:p>
        </w:tc>
        <w:tc>
          <w:tcPr>
            <w:tcW w:w="488" w:type="pct"/>
            <w:vAlign w:val="center"/>
          </w:tcPr>
          <w:p w14:paraId="4EAFAEDD" w14:textId="1D2F0993"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Leasing</w:t>
            </w:r>
          </w:p>
        </w:tc>
      </w:tr>
      <w:tr w:rsidR="00D538F4" w:rsidRPr="00D538F4" w14:paraId="19300698"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1AC695A1" w14:textId="308F2040"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Indirect Costs</w:t>
            </w:r>
          </w:p>
        </w:tc>
        <w:tc>
          <w:tcPr>
            <w:tcW w:w="765" w:type="pct"/>
            <w:vAlign w:val="center"/>
          </w:tcPr>
          <w:p w14:paraId="4F66F1F7"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c>
          <w:tcPr>
            <w:tcW w:w="705" w:type="pct"/>
            <w:vAlign w:val="center"/>
          </w:tcPr>
          <w:p w14:paraId="3B5D7E93"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c>
          <w:tcPr>
            <w:tcW w:w="1258" w:type="pct"/>
            <w:vAlign w:val="center"/>
          </w:tcPr>
          <w:p w14:paraId="0CCDB22F"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c>
          <w:tcPr>
            <w:tcW w:w="488" w:type="pct"/>
            <w:vAlign w:val="center"/>
          </w:tcPr>
          <w:p w14:paraId="4A397450"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r>
      <w:tr w:rsidR="00D538F4" w:rsidRPr="00D538F4" w14:paraId="0C0930C6"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6279AD6A" w14:textId="7DD4F48A"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Information Gathering</w:t>
            </w:r>
          </w:p>
        </w:tc>
        <w:tc>
          <w:tcPr>
            <w:tcW w:w="765" w:type="pct"/>
            <w:vAlign w:val="center"/>
          </w:tcPr>
          <w:p w14:paraId="70FE9E30" w14:textId="6DB6424C"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7.83</w:t>
            </w:r>
          </w:p>
        </w:tc>
        <w:tc>
          <w:tcPr>
            <w:tcW w:w="705" w:type="pct"/>
            <w:vAlign w:val="center"/>
          </w:tcPr>
          <w:p w14:paraId="730779BE" w14:textId="041A5AAB"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5.92</w:t>
            </w:r>
          </w:p>
        </w:tc>
        <w:tc>
          <w:tcPr>
            <w:tcW w:w="1258" w:type="pct"/>
            <w:vAlign w:val="center"/>
          </w:tcPr>
          <w:p w14:paraId="00D653DB" w14:textId="02150BBF"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9.89</w:t>
            </w:r>
          </w:p>
        </w:tc>
        <w:tc>
          <w:tcPr>
            <w:tcW w:w="488" w:type="pct"/>
            <w:vAlign w:val="center"/>
          </w:tcPr>
          <w:p w14:paraId="395BA657" w14:textId="7C7045A5"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7.52</w:t>
            </w:r>
          </w:p>
        </w:tc>
      </w:tr>
      <w:tr w:rsidR="00D538F4" w:rsidRPr="00D538F4" w14:paraId="4A82B7D3"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57A0E0B6" w14:textId="7A2CD209"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Application Acceptance</w:t>
            </w:r>
          </w:p>
        </w:tc>
        <w:tc>
          <w:tcPr>
            <w:tcW w:w="765" w:type="pct"/>
            <w:vAlign w:val="center"/>
          </w:tcPr>
          <w:p w14:paraId="51D99C94" w14:textId="2482A738"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29.51</w:t>
            </w:r>
          </w:p>
        </w:tc>
        <w:tc>
          <w:tcPr>
            <w:tcW w:w="705" w:type="pct"/>
            <w:vAlign w:val="center"/>
          </w:tcPr>
          <w:p w14:paraId="2458BA46" w14:textId="4355E43D"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21.07</w:t>
            </w:r>
          </w:p>
        </w:tc>
        <w:tc>
          <w:tcPr>
            <w:tcW w:w="1258" w:type="pct"/>
            <w:vAlign w:val="center"/>
          </w:tcPr>
          <w:p w14:paraId="7AEEE778" w14:textId="5121CA48"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28.51</w:t>
            </w:r>
          </w:p>
        </w:tc>
        <w:tc>
          <w:tcPr>
            <w:tcW w:w="488" w:type="pct"/>
            <w:vAlign w:val="center"/>
          </w:tcPr>
          <w:p w14:paraId="3A32D0D8" w14:textId="185A08F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21.86</w:t>
            </w:r>
          </w:p>
        </w:tc>
      </w:tr>
      <w:tr w:rsidR="00D538F4" w:rsidRPr="00D538F4" w14:paraId="749185EC"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3D2ECD3" w14:textId="5117D423"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Application Evaluation</w:t>
            </w:r>
          </w:p>
        </w:tc>
        <w:tc>
          <w:tcPr>
            <w:tcW w:w="765" w:type="pct"/>
            <w:vAlign w:val="center"/>
          </w:tcPr>
          <w:p w14:paraId="1DD425F5" w14:textId="1A3210B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9.12</w:t>
            </w:r>
          </w:p>
        </w:tc>
        <w:tc>
          <w:tcPr>
            <w:tcW w:w="705" w:type="pct"/>
            <w:vAlign w:val="center"/>
          </w:tcPr>
          <w:p w14:paraId="6EC0F088" w14:textId="0DB819B2"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4.31</w:t>
            </w:r>
          </w:p>
        </w:tc>
        <w:tc>
          <w:tcPr>
            <w:tcW w:w="1258" w:type="pct"/>
            <w:vAlign w:val="center"/>
          </w:tcPr>
          <w:p w14:paraId="7AD88B03" w14:textId="6ABE73A4"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6.55</w:t>
            </w:r>
          </w:p>
        </w:tc>
        <w:tc>
          <w:tcPr>
            <w:tcW w:w="488" w:type="pct"/>
            <w:vAlign w:val="center"/>
          </w:tcPr>
          <w:p w14:paraId="6059EACC" w14:textId="27673A5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3.99</w:t>
            </w:r>
          </w:p>
        </w:tc>
      </w:tr>
      <w:tr w:rsidR="00D538F4" w:rsidRPr="00D538F4" w14:paraId="61CD1523"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DCBAB91" w14:textId="3E35D454"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Approval Process</w:t>
            </w:r>
          </w:p>
        </w:tc>
        <w:tc>
          <w:tcPr>
            <w:tcW w:w="765" w:type="pct"/>
            <w:vAlign w:val="center"/>
          </w:tcPr>
          <w:p w14:paraId="5981A4D4" w14:textId="321F6140"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1.63</w:t>
            </w:r>
          </w:p>
        </w:tc>
        <w:tc>
          <w:tcPr>
            <w:tcW w:w="705" w:type="pct"/>
            <w:vAlign w:val="center"/>
          </w:tcPr>
          <w:p w14:paraId="5D9D39F9" w14:textId="78E299B5"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0.81</w:t>
            </w:r>
          </w:p>
        </w:tc>
        <w:tc>
          <w:tcPr>
            <w:tcW w:w="1258" w:type="pct"/>
            <w:vAlign w:val="center"/>
          </w:tcPr>
          <w:p w14:paraId="73C5E0F1" w14:textId="282F9D35"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0.24</w:t>
            </w:r>
          </w:p>
        </w:tc>
        <w:tc>
          <w:tcPr>
            <w:tcW w:w="488" w:type="pct"/>
            <w:vAlign w:val="center"/>
          </w:tcPr>
          <w:p w14:paraId="09537571" w14:textId="45AEB5D2"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0.34</w:t>
            </w:r>
          </w:p>
        </w:tc>
      </w:tr>
      <w:tr w:rsidR="00D538F4" w:rsidRPr="00D538F4" w14:paraId="22BE8B13"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3B0DC8C" w14:textId="5A8222A3"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Contract Signing</w:t>
            </w:r>
          </w:p>
        </w:tc>
        <w:tc>
          <w:tcPr>
            <w:tcW w:w="765" w:type="pct"/>
            <w:vAlign w:val="center"/>
          </w:tcPr>
          <w:p w14:paraId="0309B1DE" w14:textId="4D77AFE4"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6.27</w:t>
            </w:r>
          </w:p>
        </w:tc>
        <w:tc>
          <w:tcPr>
            <w:tcW w:w="705" w:type="pct"/>
            <w:vAlign w:val="center"/>
          </w:tcPr>
          <w:p w14:paraId="25F93E4F" w14:textId="03A38E2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4.74</w:t>
            </w:r>
          </w:p>
        </w:tc>
        <w:tc>
          <w:tcPr>
            <w:tcW w:w="1258" w:type="pct"/>
            <w:vAlign w:val="center"/>
          </w:tcPr>
          <w:p w14:paraId="65D81A11" w14:textId="34913D3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5.12</w:t>
            </w:r>
          </w:p>
        </w:tc>
        <w:tc>
          <w:tcPr>
            <w:tcW w:w="488" w:type="pct"/>
            <w:vAlign w:val="center"/>
          </w:tcPr>
          <w:p w14:paraId="2E6CE5F4" w14:textId="42E65905"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4.19</w:t>
            </w:r>
          </w:p>
        </w:tc>
      </w:tr>
      <w:tr w:rsidR="00D538F4" w:rsidRPr="00D538F4" w14:paraId="2D5BC1DE"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2EA0BAF" w14:textId="19F20031"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Payment and Monitoring</w:t>
            </w:r>
          </w:p>
        </w:tc>
        <w:tc>
          <w:tcPr>
            <w:tcW w:w="765" w:type="pct"/>
            <w:vAlign w:val="center"/>
          </w:tcPr>
          <w:p w14:paraId="67CED964" w14:textId="73FE1670"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10.22</w:t>
            </w:r>
          </w:p>
        </w:tc>
        <w:tc>
          <w:tcPr>
            <w:tcW w:w="705" w:type="pct"/>
            <w:vAlign w:val="center"/>
          </w:tcPr>
          <w:p w14:paraId="0576C09A" w14:textId="75AFC131"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7.99</w:t>
            </w:r>
          </w:p>
        </w:tc>
        <w:tc>
          <w:tcPr>
            <w:tcW w:w="1258" w:type="pct"/>
            <w:vAlign w:val="center"/>
          </w:tcPr>
          <w:p w14:paraId="37C7944F" w14:textId="7293746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8.48</w:t>
            </w:r>
          </w:p>
        </w:tc>
        <w:tc>
          <w:tcPr>
            <w:tcW w:w="488" w:type="pct"/>
            <w:vAlign w:val="center"/>
          </w:tcPr>
          <w:p w14:paraId="7E9175A9" w14:textId="1DE57A26"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5.76</w:t>
            </w:r>
          </w:p>
        </w:tc>
      </w:tr>
      <w:tr w:rsidR="00D538F4" w:rsidRPr="00D538F4" w14:paraId="2C26B77B"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342923A9" w14:textId="078BB87C"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Phone Calls</w:t>
            </w:r>
          </w:p>
        </w:tc>
        <w:tc>
          <w:tcPr>
            <w:tcW w:w="765" w:type="pct"/>
            <w:vAlign w:val="center"/>
          </w:tcPr>
          <w:p w14:paraId="2949E536" w14:textId="163114C3"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4.35</w:t>
            </w:r>
          </w:p>
        </w:tc>
        <w:tc>
          <w:tcPr>
            <w:tcW w:w="705" w:type="pct"/>
            <w:vAlign w:val="center"/>
          </w:tcPr>
          <w:p w14:paraId="12EB01CA" w14:textId="73F63AA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2.27</w:t>
            </w:r>
          </w:p>
        </w:tc>
        <w:tc>
          <w:tcPr>
            <w:tcW w:w="1258" w:type="pct"/>
            <w:vAlign w:val="center"/>
          </w:tcPr>
          <w:p w14:paraId="5CB06C8F" w14:textId="48351340"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3.13</w:t>
            </w:r>
          </w:p>
        </w:tc>
        <w:tc>
          <w:tcPr>
            <w:tcW w:w="488" w:type="pct"/>
            <w:vAlign w:val="center"/>
          </w:tcPr>
          <w:p w14:paraId="7741A368" w14:textId="37305E62"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1.91</w:t>
            </w:r>
          </w:p>
        </w:tc>
      </w:tr>
      <w:tr w:rsidR="00D538F4" w:rsidRPr="00D538F4" w14:paraId="54D26086"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6459B655" w14:textId="55A1B12A"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In-Person Visits</w:t>
            </w:r>
          </w:p>
        </w:tc>
        <w:tc>
          <w:tcPr>
            <w:tcW w:w="765" w:type="pct"/>
            <w:vAlign w:val="center"/>
          </w:tcPr>
          <w:p w14:paraId="60B4D41C" w14:textId="371670C0"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2.67</w:t>
            </w:r>
          </w:p>
        </w:tc>
        <w:tc>
          <w:tcPr>
            <w:tcW w:w="705" w:type="pct"/>
            <w:vAlign w:val="center"/>
          </w:tcPr>
          <w:p w14:paraId="143A3255" w14:textId="72F03D14"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2.08</w:t>
            </w:r>
          </w:p>
        </w:tc>
        <w:tc>
          <w:tcPr>
            <w:tcW w:w="1258" w:type="pct"/>
            <w:vAlign w:val="center"/>
          </w:tcPr>
          <w:p w14:paraId="17A99989" w14:textId="0564257A"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6.38</w:t>
            </w:r>
          </w:p>
        </w:tc>
        <w:tc>
          <w:tcPr>
            <w:tcW w:w="488" w:type="pct"/>
            <w:vAlign w:val="center"/>
          </w:tcPr>
          <w:p w14:paraId="6073C827" w14:textId="6DFE5A8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2.59</w:t>
            </w:r>
          </w:p>
        </w:tc>
      </w:tr>
      <w:tr w:rsidR="00D538F4" w:rsidRPr="00D538F4" w14:paraId="0C96BFE2"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25CDE526" w14:textId="51E33F56"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Documents Submitted to the Fund</w:t>
            </w:r>
          </w:p>
        </w:tc>
        <w:tc>
          <w:tcPr>
            <w:tcW w:w="765" w:type="pct"/>
            <w:vAlign w:val="center"/>
          </w:tcPr>
          <w:p w14:paraId="66DCAEEE" w14:textId="1601A7E0"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0.16</w:t>
            </w:r>
          </w:p>
        </w:tc>
        <w:tc>
          <w:tcPr>
            <w:tcW w:w="705" w:type="pct"/>
            <w:vAlign w:val="center"/>
          </w:tcPr>
          <w:p w14:paraId="3B2FCF48" w14:textId="589209DA"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0.27</w:t>
            </w:r>
          </w:p>
        </w:tc>
        <w:tc>
          <w:tcPr>
            <w:tcW w:w="1258" w:type="pct"/>
            <w:vAlign w:val="center"/>
          </w:tcPr>
          <w:p w14:paraId="342FC96F" w14:textId="7590C2FD"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c>
          <w:tcPr>
            <w:tcW w:w="488" w:type="pct"/>
            <w:vAlign w:val="center"/>
          </w:tcPr>
          <w:p w14:paraId="284F7DB8" w14:textId="4D955919"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0.17</w:t>
            </w:r>
          </w:p>
        </w:tc>
      </w:tr>
      <w:tr w:rsidR="00D538F4" w:rsidRPr="00D538F4" w14:paraId="0380A964"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E4BF1E2" w14:textId="7587F137"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Repetition of Document Completion</w:t>
            </w:r>
          </w:p>
        </w:tc>
        <w:tc>
          <w:tcPr>
            <w:tcW w:w="765" w:type="pct"/>
            <w:vAlign w:val="center"/>
          </w:tcPr>
          <w:p w14:paraId="128B2819" w14:textId="7B3DC2B6"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0.44</w:t>
            </w:r>
          </w:p>
        </w:tc>
        <w:tc>
          <w:tcPr>
            <w:tcW w:w="705" w:type="pct"/>
            <w:vAlign w:val="center"/>
          </w:tcPr>
          <w:p w14:paraId="7F8DF502" w14:textId="0B63CA8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0.36</w:t>
            </w:r>
          </w:p>
        </w:tc>
        <w:tc>
          <w:tcPr>
            <w:tcW w:w="1258" w:type="pct"/>
            <w:vAlign w:val="center"/>
          </w:tcPr>
          <w:p w14:paraId="03FD5B32" w14:textId="0E5CC9F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0.33</w:t>
            </w:r>
          </w:p>
        </w:tc>
        <w:tc>
          <w:tcPr>
            <w:tcW w:w="488" w:type="pct"/>
            <w:vAlign w:val="center"/>
          </w:tcPr>
          <w:p w14:paraId="29A03E3E" w14:textId="18BC384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0.89</w:t>
            </w:r>
          </w:p>
        </w:tc>
      </w:tr>
      <w:tr w:rsidR="00D538F4" w:rsidRPr="00D538F4" w14:paraId="6C127951"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79EF2523" w14:textId="07C712AC"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Visits to Notary, Bank, and Government Offices</w:t>
            </w:r>
          </w:p>
        </w:tc>
        <w:tc>
          <w:tcPr>
            <w:tcW w:w="765" w:type="pct"/>
            <w:vAlign w:val="center"/>
          </w:tcPr>
          <w:p w14:paraId="66709850" w14:textId="7B240A0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16.53</w:t>
            </w:r>
          </w:p>
        </w:tc>
        <w:tc>
          <w:tcPr>
            <w:tcW w:w="705" w:type="pct"/>
            <w:vAlign w:val="center"/>
          </w:tcPr>
          <w:p w14:paraId="089024C9" w14:textId="30A19B91"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2.72</w:t>
            </w:r>
          </w:p>
        </w:tc>
        <w:tc>
          <w:tcPr>
            <w:tcW w:w="1258" w:type="pct"/>
            <w:vAlign w:val="center"/>
          </w:tcPr>
          <w:p w14:paraId="1CDFDFD4" w14:textId="42D9C83E"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c>
          <w:tcPr>
            <w:tcW w:w="488" w:type="pct"/>
            <w:vAlign w:val="center"/>
          </w:tcPr>
          <w:p w14:paraId="539A9351" w14:textId="37E3BFB3"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6F5EA970"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1BC51209" w14:textId="373E1350"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Other Actions</w:t>
            </w:r>
          </w:p>
        </w:tc>
        <w:tc>
          <w:tcPr>
            <w:tcW w:w="765" w:type="pct"/>
            <w:vAlign w:val="center"/>
          </w:tcPr>
          <w:p w14:paraId="7251B59D" w14:textId="6377C35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1.02</w:t>
            </w:r>
          </w:p>
        </w:tc>
        <w:tc>
          <w:tcPr>
            <w:tcW w:w="705" w:type="pct"/>
            <w:vAlign w:val="center"/>
          </w:tcPr>
          <w:p w14:paraId="43B139C7" w14:textId="048EEF2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2.58</w:t>
            </w:r>
          </w:p>
        </w:tc>
        <w:tc>
          <w:tcPr>
            <w:tcW w:w="1258" w:type="pct"/>
            <w:vAlign w:val="center"/>
          </w:tcPr>
          <w:p w14:paraId="010256F2" w14:textId="7A79644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2.61</w:t>
            </w:r>
          </w:p>
        </w:tc>
        <w:tc>
          <w:tcPr>
            <w:tcW w:w="488" w:type="pct"/>
            <w:vAlign w:val="center"/>
          </w:tcPr>
          <w:p w14:paraId="51CE389C" w14:textId="1E0847EB"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1.66</w:t>
            </w:r>
          </w:p>
        </w:tc>
      </w:tr>
      <w:tr w:rsidR="00D538F4" w:rsidRPr="00D538F4" w14:paraId="4FB54A5B"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D972128" w14:textId="3EBBB34D"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Direct Costs</w:t>
            </w:r>
          </w:p>
        </w:tc>
        <w:tc>
          <w:tcPr>
            <w:tcW w:w="765" w:type="pct"/>
            <w:vAlign w:val="center"/>
          </w:tcPr>
          <w:p w14:paraId="49DFAB8F"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c>
          <w:tcPr>
            <w:tcW w:w="705" w:type="pct"/>
            <w:vAlign w:val="center"/>
          </w:tcPr>
          <w:p w14:paraId="24C57759"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c>
          <w:tcPr>
            <w:tcW w:w="1258" w:type="pct"/>
            <w:vAlign w:val="center"/>
          </w:tcPr>
          <w:p w14:paraId="46806879"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c>
          <w:tcPr>
            <w:tcW w:w="488" w:type="pct"/>
            <w:vAlign w:val="center"/>
          </w:tcPr>
          <w:p w14:paraId="4734CD50"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r>
      <w:tr w:rsidR="00D538F4" w:rsidRPr="00D538F4" w14:paraId="4BC34A94"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78F26C28" w14:textId="41DA5BE7"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Notary Fees</w:t>
            </w:r>
          </w:p>
        </w:tc>
        <w:tc>
          <w:tcPr>
            <w:tcW w:w="765" w:type="pct"/>
            <w:vAlign w:val="center"/>
          </w:tcPr>
          <w:p w14:paraId="072C3857" w14:textId="710478F8"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438.109</w:t>
            </w:r>
          </w:p>
        </w:tc>
        <w:tc>
          <w:tcPr>
            <w:tcW w:w="705" w:type="pct"/>
            <w:vAlign w:val="center"/>
          </w:tcPr>
          <w:p w14:paraId="467A142F" w14:textId="53A1A9F2"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99.5</w:t>
            </w:r>
          </w:p>
        </w:tc>
        <w:tc>
          <w:tcPr>
            <w:tcW w:w="1258" w:type="pct"/>
            <w:vAlign w:val="center"/>
          </w:tcPr>
          <w:p w14:paraId="546519DA" w14:textId="7C017975"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421.125</w:t>
            </w:r>
          </w:p>
        </w:tc>
        <w:tc>
          <w:tcPr>
            <w:tcW w:w="488" w:type="pct"/>
            <w:vAlign w:val="center"/>
          </w:tcPr>
          <w:p w14:paraId="459DA4AD" w14:textId="5F9D87D2"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4A988239"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E10DF6B" w14:textId="3970691E"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Collateral Evaluation Fee</w:t>
            </w:r>
          </w:p>
        </w:tc>
        <w:tc>
          <w:tcPr>
            <w:tcW w:w="765" w:type="pct"/>
            <w:vAlign w:val="center"/>
          </w:tcPr>
          <w:p w14:paraId="0857C293" w14:textId="287D77F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46.17</w:t>
            </w:r>
          </w:p>
        </w:tc>
        <w:tc>
          <w:tcPr>
            <w:tcW w:w="705" w:type="pct"/>
            <w:vAlign w:val="center"/>
          </w:tcPr>
          <w:p w14:paraId="29D02572" w14:textId="7070374A"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15.89</w:t>
            </w:r>
          </w:p>
        </w:tc>
        <w:tc>
          <w:tcPr>
            <w:tcW w:w="1258" w:type="pct"/>
            <w:vAlign w:val="center"/>
          </w:tcPr>
          <w:p w14:paraId="3139480D" w14:textId="1C05F5B1"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64.37</w:t>
            </w:r>
          </w:p>
        </w:tc>
        <w:tc>
          <w:tcPr>
            <w:tcW w:w="488" w:type="pct"/>
            <w:vAlign w:val="center"/>
          </w:tcPr>
          <w:p w14:paraId="7D8DF90E" w14:textId="2BAF38AE"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7586D16B"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57C8B386" w14:textId="7C1E3995"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Promissory Note Fee</w:t>
            </w:r>
          </w:p>
        </w:tc>
        <w:tc>
          <w:tcPr>
            <w:tcW w:w="765" w:type="pct"/>
            <w:vAlign w:val="center"/>
          </w:tcPr>
          <w:p w14:paraId="499C0E52" w14:textId="2E94092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8.92</w:t>
            </w:r>
          </w:p>
        </w:tc>
        <w:tc>
          <w:tcPr>
            <w:tcW w:w="705" w:type="pct"/>
            <w:vAlign w:val="center"/>
          </w:tcPr>
          <w:p w14:paraId="02DE362F" w14:textId="003113E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1.28</w:t>
            </w:r>
          </w:p>
        </w:tc>
        <w:tc>
          <w:tcPr>
            <w:tcW w:w="1258" w:type="pct"/>
            <w:vAlign w:val="center"/>
          </w:tcPr>
          <w:p w14:paraId="21D16D1C" w14:textId="75D4ADB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0.5</w:t>
            </w:r>
          </w:p>
        </w:tc>
        <w:tc>
          <w:tcPr>
            <w:tcW w:w="488" w:type="pct"/>
            <w:vAlign w:val="center"/>
          </w:tcPr>
          <w:p w14:paraId="7A53A250" w14:textId="7B189BBE"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09EDDC1E"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501CE789" w14:textId="7A1BD004"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Collateral Inquiry Fee</w:t>
            </w:r>
          </w:p>
        </w:tc>
        <w:tc>
          <w:tcPr>
            <w:tcW w:w="765" w:type="pct"/>
            <w:vAlign w:val="center"/>
          </w:tcPr>
          <w:p w14:paraId="7FEB61BC" w14:textId="18081D5F"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32.31</w:t>
            </w:r>
          </w:p>
        </w:tc>
        <w:tc>
          <w:tcPr>
            <w:tcW w:w="705" w:type="pct"/>
            <w:vAlign w:val="center"/>
          </w:tcPr>
          <w:p w14:paraId="041169E1" w14:textId="0A5B78FE"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5.11</w:t>
            </w:r>
          </w:p>
        </w:tc>
        <w:tc>
          <w:tcPr>
            <w:tcW w:w="1258" w:type="pct"/>
            <w:vAlign w:val="center"/>
          </w:tcPr>
          <w:p w14:paraId="2B178487" w14:textId="723D5394"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24.44</w:t>
            </w:r>
          </w:p>
        </w:tc>
        <w:tc>
          <w:tcPr>
            <w:tcW w:w="488" w:type="pct"/>
            <w:vAlign w:val="center"/>
          </w:tcPr>
          <w:p w14:paraId="4043F3D4" w14:textId="35BC5485"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5D10B66C"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522250C" w14:textId="1503409F"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Fund Travel Costs</w:t>
            </w:r>
          </w:p>
        </w:tc>
        <w:tc>
          <w:tcPr>
            <w:tcW w:w="765" w:type="pct"/>
            <w:vAlign w:val="center"/>
          </w:tcPr>
          <w:p w14:paraId="09F3EF0A" w14:textId="38D2C01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6.87</w:t>
            </w:r>
          </w:p>
        </w:tc>
        <w:tc>
          <w:tcPr>
            <w:tcW w:w="705" w:type="pct"/>
            <w:vAlign w:val="center"/>
          </w:tcPr>
          <w:p w14:paraId="6E261684" w14:textId="08212D1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3.66</w:t>
            </w:r>
          </w:p>
        </w:tc>
        <w:tc>
          <w:tcPr>
            <w:tcW w:w="1258" w:type="pct"/>
            <w:vAlign w:val="center"/>
          </w:tcPr>
          <w:p w14:paraId="463AB585" w14:textId="7BCCB92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5.55</w:t>
            </w:r>
          </w:p>
        </w:tc>
        <w:tc>
          <w:tcPr>
            <w:tcW w:w="488" w:type="pct"/>
            <w:vAlign w:val="center"/>
          </w:tcPr>
          <w:p w14:paraId="55529AFD" w14:textId="77E8048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5.03</w:t>
            </w:r>
          </w:p>
        </w:tc>
      </w:tr>
      <w:tr w:rsidR="00D538F4" w:rsidRPr="00D538F4" w14:paraId="04E1F348"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65333742" w14:textId="1B029686"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Other Costs</w:t>
            </w:r>
          </w:p>
        </w:tc>
        <w:tc>
          <w:tcPr>
            <w:tcW w:w="765" w:type="pct"/>
            <w:vAlign w:val="center"/>
          </w:tcPr>
          <w:p w14:paraId="78DBB9A3" w14:textId="4D55404F"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44.09</w:t>
            </w:r>
          </w:p>
        </w:tc>
        <w:tc>
          <w:tcPr>
            <w:tcW w:w="705" w:type="pct"/>
            <w:vAlign w:val="center"/>
          </w:tcPr>
          <w:p w14:paraId="206D9A2D" w14:textId="5A91084A"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49.37</w:t>
            </w:r>
          </w:p>
        </w:tc>
        <w:tc>
          <w:tcPr>
            <w:tcW w:w="1258" w:type="pct"/>
            <w:vAlign w:val="center"/>
          </w:tcPr>
          <w:p w14:paraId="27C082D8" w14:textId="08F7E6D0"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275.0</w:t>
            </w:r>
          </w:p>
        </w:tc>
        <w:tc>
          <w:tcPr>
            <w:tcW w:w="488" w:type="pct"/>
            <w:vAlign w:val="center"/>
          </w:tcPr>
          <w:p w14:paraId="1F6871C9" w14:textId="295E6A91"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10.0</w:t>
            </w:r>
          </w:p>
        </w:tc>
      </w:tr>
    </w:tbl>
    <w:p w14:paraId="1BED9D4C" w14:textId="05B82017" w:rsidR="00D538F4" w:rsidRDefault="00D538F4" w:rsidP="005757C8">
      <w:pPr>
        <w:bidi w:val="0"/>
        <w:spacing w:after="0" w:line="240" w:lineRule="auto"/>
        <w:jc w:val="both"/>
        <w:rPr>
          <w:rFonts w:cs="B Mitra"/>
          <w:szCs w:val="28"/>
          <w:lang w:bidi="ar-SA"/>
        </w:rPr>
      </w:pPr>
    </w:p>
    <w:p w14:paraId="66E21DDC" w14:textId="67015879" w:rsidR="00435F77" w:rsidRDefault="00D80265" w:rsidP="005757C8">
      <w:pPr>
        <w:bidi w:val="0"/>
        <w:spacing w:after="0" w:line="240" w:lineRule="auto"/>
        <w:jc w:val="both"/>
        <w:rPr>
          <w:rFonts w:asciiTheme="majorBidi" w:hAnsiTheme="majorBidi" w:cstheme="majorBidi"/>
          <w:sz w:val="24"/>
          <w:szCs w:val="24"/>
          <w:rtl/>
        </w:rPr>
      </w:pPr>
      <w:bookmarkStart w:id="14" w:name="_Toc100418609"/>
      <w:bookmarkStart w:id="15" w:name="_Toc100420228"/>
      <w:bookmarkStart w:id="16" w:name="_Toc100421136"/>
      <w:bookmarkStart w:id="17" w:name="_Toc101453460"/>
      <w:r w:rsidRPr="0085287E">
        <w:rPr>
          <w:rFonts w:asciiTheme="majorBidi" w:hAnsiTheme="majorBidi" w:cstheme="majorBidi"/>
          <w:sz w:val="24"/>
          <w:szCs w:val="24"/>
        </w:rPr>
        <w:t xml:space="preserve">Next, by measuring the transaction costs of different stages and breaking down the results by loan type, Table 5 reports the average loan amounts, interest rates, and transaction costs of loans, along with their ratios by loan type. As seen, the highest average loan amount corresponds to industrial production loans, and consequently, the average transaction cost for this type of loan is also higher than for other loans. According to the results, the ratio of transaction cost to loan amount is higher for prototyping loans compared to other loans, while leasing loans rank last in this regard. The results for the transaction cost rate in the eighth column of Table 5 show that the highest transaction cost rate and total cost are related to working capital loans. The lowest transaction cost rate and total cost, respectively, correspond to industrial production loans and prototyping loans. The results for the ratio of transaction cost </w:t>
      </w:r>
      <w:r w:rsidRPr="0085287E">
        <w:rPr>
          <w:rFonts w:asciiTheme="majorBidi" w:hAnsiTheme="majorBidi" w:cstheme="majorBidi"/>
          <w:sz w:val="24"/>
          <w:szCs w:val="24"/>
        </w:rPr>
        <w:lastRenderedPageBreak/>
        <w:t>rate to nominal interest rate indicate that the transaction cost rate for prototyping loans is approximately twice the nominal interest rate of the loans, whereas for other loans, this ratio is less than one.</w:t>
      </w:r>
      <w:bookmarkEnd w:id="14"/>
      <w:bookmarkEnd w:id="15"/>
      <w:bookmarkEnd w:id="16"/>
      <w:bookmarkEnd w:id="17"/>
    </w:p>
    <w:p w14:paraId="61529996" w14:textId="5C5C958D" w:rsidR="00AC04D1" w:rsidRPr="00B67BE7" w:rsidRDefault="00AC04D1"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Table 5 - Average Loans, Interest Rates, and Estimated Transaction Costs by Loan Type</w:t>
      </w:r>
    </w:p>
    <w:tbl>
      <w:tblPr>
        <w:tblStyle w:val="PlainTable51"/>
        <w:tblW w:w="5000" w:type="pct"/>
        <w:tblLook w:val="04A0" w:firstRow="1" w:lastRow="0" w:firstColumn="1" w:lastColumn="0" w:noHBand="0" w:noVBand="1"/>
      </w:tblPr>
      <w:tblGrid>
        <w:gridCol w:w="1079"/>
        <w:gridCol w:w="828"/>
        <w:gridCol w:w="1163"/>
        <w:gridCol w:w="867"/>
        <w:gridCol w:w="1117"/>
        <w:gridCol w:w="621"/>
        <w:gridCol w:w="1117"/>
        <w:gridCol w:w="1117"/>
        <w:gridCol w:w="1117"/>
      </w:tblGrid>
      <w:tr w:rsidR="00BE122B" w:rsidRPr="00EC1502" w14:paraId="34797A53" w14:textId="77777777" w:rsidTr="00BE12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7" w:type="pct"/>
            <w:vAlign w:val="center"/>
            <w:hideMark/>
          </w:tcPr>
          <w:p w14:paraId="4114312D" w14:textId="77777777" w:rsidR="00BE122B" w:rsidRPr="00BE122B" w:rsidRDefault="00BE122B" w:rsidP="005757C8">
            <w:pPr>
              <w:bidi w:val="0"/>
              <w:jc w:val="center"/>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Loan Type</w:t>
            </w:r>
          </w:p>
        </w:tc>
        <w:tc>
          <w:tcPr>
            <w:tcW w:w="458" w:type="pct"/>
            <w:vAlign w:val="center"/>
            <w:hideMark/>
          </w:tcPr>
          <w:p w14:paraId="3EAF5620"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Number of Loans</w:t>
            </w:r>
          </w:p>
        </w:tc>
        <w:tc>
          <w:tcPr>
            <w:tcW w:w="644" w:type="pct"/>
            <w:vAlign w:val="center"/>
            <w:hideMark/>
          </w:tcPr>
          <w:p w14:paraId="6787EE1A"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 xml:space="preserve">Loan Amount (Million </w:t>
            </w:r>
            <w:proofErr w:type="spellStart"/>
            <w:r w:rsidRPr="00BE122B">
              <w:rPr>
                <w:rFonts w:asciiTheme="majorBidi" w:eastAsia="Times New Roman" w:hAnsiTheme="majorBidi"/>
                <w:b/>
                <w:bCs/>
                <w:sz w:val="18"/>
                <w:szCs w:val="18"/>
                <w:lang w:bidi="ar-SA"/>
              </w:rPr>
              <w:t>Rials</w:t>
            </w:r>
            <w:proofErr w:type="spellEnd"/>
            <w:r w:rsidRPr="00BE122B">
              <w:rPr>
                <w:rFonts w:asciiTheme="majorBidi" w:eastAsia="Times New Roman" w:hAnsiTheme="majorBidi"/>
                <w:b/>
                <w:bCs/>
                <w:sz w:val="18"/>
                <w:szCs w:val="18"/>
                <w:lang w:bidi="ar-SA"/>
              </w:rPr>
              <w:t>)</w:t>
            </w:r>
          </w:p>
        </w:tc>
        <w:tc>
          <w:tcPr>
            <w:tcW w:w="480" w:type="pct"/>
            <w:vAlign w:val="center"/>
            <w:hideMark/>
          </w:tcPr>
          <w:p w14:paraId="64C64B89"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Nominal Interest Rate (%)</w:t>
            </w:r>
          </w:p>
        </w:tc>
        <w:tc>
          <w:tcPr>
            <w:tcW w:w="619" w:type="pct"/>
            <w:vAlign w:val="center"/>
            <w:hideMark/>
          </w:tcPr>
          <w:p w14:paraId="264CBCC9"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Transaction Cost Rate (%)</w:t>
            </w:r>
          </w:p>
        </w:tc>
        <w:tc>
          <w:tcPr>
            <w:tcW w:w="344" w:type="pct"/>
            <w:vAlign w:val="center"/>
            <w:hideMark/>
          </w:tcPr>
          <w:p w14:paraId="68F321B7"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Total Cost Rate (%)</w:t>
            </w:r>
          </w:p>
        </w:tc>
        <w:tc>
          <w:tcPr>
            <w:tcW w:w="619" w:type="pct"/>
            <w:vAlign w:val="center"/>
            <w:hideMark/>
          </w:tcPr>
          <w:p w14:paraId="52615A3F"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Ratio of Transaction Cost to Loan (%)</w:t>
            </w:r>
          </w:p>
        </w:tc>
        <w:tc>
          <w:tcPr>
            <w:tcW w:w="619" w:type="pct"/>
            <w:vAlign w:val="center"/>
            <w:hideMark/>
          </w:tcPr>
          <w:p w14:paraId="7BD00AE2"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 xml:space="preserve">Transaction Cost (Million </w:t>
            </w:r>
            <w:proofErr w:type="spellStart"/>
            <w:r w:rsidRPr="00BE122B">
              <w:rPr>
                <w:rFonts w:asciiTheme="majorBidi" w:eastAsia="Times New Roman" w:hAnsiTheme="majorBidi"/>
                <w:b/>
                <w:bCs/>
                <w:sz w:val="18"/>
                <w:szCs w:val="18"/>
                <w:lang w:bidi="ar-SA"/>
              </w:rPr>
              <w:t>Rials</w:t>
            </w:r>
            <w:proofErr w:type="spellEnd"/>
            <w:r w:rsidRPr="00BE122B">
              <w:rPr>
                <w:rFonts w:asciiTheme="majorBidi" w:eastAsia="Times New Roman" w:hAnsiTheme="majorBidi"/>
                <w:b/>
                <w:bCs/>
                <w:sz w:val="18"/>
                <w:szCs w:val="18"/>
                <w:lang w:bidi="ar-SA"/>
              </w:rPr>
              <w:t>)</w:t>
            </w:r>
          </w:p>
        </w:tc>
        <w:tc>
          <w:tcPr>
            <w:tcW w:w="619" w:type="pct"/>
            <w:vAlign w:val="center"/>
            <w:hideMark/>
          </w:tcPr>
          <w:p w14:paraId="773E84CC"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Ratio of Transaction Cost Rate to Interest Rate</w:t>
            </w:r>
          </w:p>
        </w:tc>
      </w:tr>
      <w:tr w:rsidR="00BE122B" w:rsidRPr="00EC1502" w14:paraId="3E83E708" w14:textId="77777777" w:rsidTr="00BE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33569181"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Working Capital</w:t>
            </w:r>
          </w:p>
        </w:tc>
        <w:tc>
          <w:tcPr>
            <w:tcW w:w="458" w:type="pct"/>
            <w:vAlign w:val="center"/>
            <w:hideMark/>
          </w:tcPr>
          <w:p w14:paraId="1B18C30E"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49</w:t>
            </w:r>
          </w:p>
        </w:tc>
        <w:tc>
          <w:tcPr>
            <w:tcW w:w="644" w:type="pct"/>
            <w:vAlign w:val="center"/>
            <w:hideMark/>
          </w:tcPr>
          <w:p w14:paraId="1FFFA49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34,348.45</w:t>
            </w:r>
          </w:p>
        </w:tc>
        <w:tc>
          <w:tcPr>
            <w:tcW w:w="480" w:type="pct"/>
            <w:vAlign w:val="center"/>
            <w:hideMark/>
          </w:tcPr>
          <w:p w14:paraId="2D5ADB2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11</w:t>
            </w:r>
          </w:p>
        </w:tc>
        <w:tc>
          <w:tcPr>
            <w:tcW w:w="619" w:type="pct"/>
            <w:vAlign w:val="center"/>
            <w:hideMark/>
          </w:tcPr>
          <w:p w14:paraId="11971369"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9.09</w:t>
            </w:r>
          </w:p>
        </w:tc>
        <w:tc>
          <w:tcPr>
            <w:tcW w:w="344" w:type="pct"/>
            <w:vAlign w:val="center"/>
            <w:hideMark/>
          </w:tcPr>
          <w:p w14:paraId="6BD05040"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20.09</w:t>
            </w:r>
          </w:p>
        </w:tc>
        <w:tc>
          <w:tcPr>
            <w:tcW w:w="619" w:type="pct"/>
            <w:vAlign w:val="center"/>
            <w:hideMark/>
          </w:tcPr>
          <w:p w14:paraId="31A38E6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2.85</w:t>
            </w:r>
          </w:p>
        </w:tc>
        <w:tc>
          <w:tcPr>
            <w:tcW w:w="619" w:type="pct"/>
            <w:vAlign w:val="center"/>
            <w:hideMark/>
          </w:tcPr>
          <w:p w14:paraId="6A9BCA14"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597.56</w:t>
            </w:r>
          </w:p>
        </w:tc>
        <w:tc>
          <w:tcPr>
            <w:tcW w:w="619" w:type="pct"/>
            <w:vAlign w:val="center"/>
            <w:hideMark/>
          </w:tcPr>
          <w:p w14:paraId="75A46357"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0.82</w:t>
            </w:r>
          </w:p>
        </w:tc>
      </w:tr>
      <w:tr w:rsidR="00BE122B" w:rsidRPr="00EC1502" w14:paraId="38504F1A" w14:textId="77777777" w:rsidTr="00BE122B">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6543036F"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Prototyping</w:t>
            </w:r>
          </w:p>
        </w:tc>
        <w:tc>
          <w:tcPr>
            <w:tcW w:w="458" w:type="pct"/>
            <w:vAlign w:val="center"/>
            <w:hideMark/>
          </w:tcPr>
          <w:p w14:paraId="56E797E2"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38</w:t>
            </w:r>
          </w:p>
        </w:tc>
        <w:tc>
          <w:tcPr>
            <w:tcW w:w="644" w:type="pct"/>
            <w:vAlign w:val="center"/>
            <w:hideMark/>
          </w:tcPr>
          <w:p w14:paraId="0DBA9BC9"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3,703.95</w:t>
            </w:r>
          </w:p>
        </w:tc>
        <w:tc>
          <w:tcPr>
            <w:tcW w:w="480" w:type="pct"/>
            <w:vAlign w:val="center"/>
            <w:hideMark/>
          </w:tcPr>
          <w:p w14:paraId="4AF729F6"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w:t>
            </w:r>
          </w:p>
        </w:tc>
        <w:tc>
          <w:tcPr>
            <w:tcW w:w="619" w:type="pct"/>
            <w:vAlign w:val="center"/>
            <w:hideMark/>
          </w:tcPr>
          <w:p w14:paraId="0711A833"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8.06</w:t>
            </w:r>
          </w:p>
        </w:tc>
        <w:tc>
          <w:tcPr>
            <w:tcW w:w="344" w:type="pct"/>
            <w:vAlign w:val="center"/>
            <w:hideMark/>
          </w:tcPr>
          <w:p w14:paraId="4B6E5A3C"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12.06</w:t>
            </w:r>
          </w:p>
        </w:tc>
        <w:tc>
          <w:tcPr>
            <w:tcW w:w="619" w:type="pct"/>
            <w:vAlign w:val="center"/>
            <w:hideMark/>
          </w:tcPr>
          <w:p w14:paraId="638881FE"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4.64</w:t>
            </w:r>
          </w:p>
        </w:tc>
        <w:tc>
          <w:tcPr>
            <w:tcW w:w="619" w:type="pct"/>
            <w:vAlign w:val="center"/>
            <w:hideMark/>
          </w:tcPr>
          <w:p w14:paraId="06EFD115"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138.81</w:t>
            </w:r>
          </w:p>
        </w:tc>
        <w:tc>
          <w:tcPr>
            <w:tcW w:w="619" w:type="pct"/>
            <w:vAlign w:val="center"/>
            <w:hideMark/>
          </w:tcPr>
          <w:p w14:paraId="3934C402"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2.01</w:t>
            </w:r>
          </w:p>
        </w:tc>
      </w:tr>
      <w:tr w:rsidR="00BE122B" w:rsidRPr="00EC1502" w14:paraId="293E4B43" w14:textId="77777777" w:rsidTr="00BE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7BF77222"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Industrial Production Activities</w:t>
            </w:r>
          </w:p>
        </w:tc>
        <w:tc>
          <w:tcPr>
            <w:tcW w:w="458" w:type="pct"/>
            <w:vAlign w:val="center"/>
            <w:hideMark/>
          </w:tcPr>
          <w:p w14:paraId="5EE26C73"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17</w:t>
            </w:r>
          </w:p>
        </w:tc>
        <w:tc>
          <w:tcPr>
            <w:tcW w:w="644" w:type="pct"/>
            <w:vAlign w:val="center"/>
            <w:hideMark/>
          </w:tcPr>
          <w:p w14:paraId="2F675969"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67,438.00</w:t>
            </w:r>
          </w:p>
        </w:tc>
        <w:tc>
          <w:tcPr>
            <w:tcW w:w="480" w:type="pct"/>
            <w:vAlign w:val="center"/>
            <w:hideMark/>
          </w:tcPr>
          <w:p w14:paraId="2ADDDE9F"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11</w:t>
            </w:r>
          </w:p>
        </w:tc>
        <w:tc>
          <w:tcPr>
            <w:tcW w:w="619" w:type="pct"/>
            <w:vAlign w:val="center"/>
            <w:hideMark/>
          </w:tcPr>
          <w:p w14:paraId="1CB24C8F"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4.46</w:t>
            </w:r>
          </w:p>
        </w:tc>
        <w:tc>
          <w:tcPr>
            <w:tcW w:w="344" w:type="pct"/>
            <w:vAlign w:val="center"/>
            <w:hideMark/>
          </w:tcPr>
          <w:p w14:paraId="7F2FD8C5"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15.46</w:t>
            </w:r>
          </w:p>
        </w:tc>
        <w:tc>
          <w:tcPr>
            <w:tcW w:w="619" w:type="pct"/>
            <w:vAlign w:val="center"/>
            <w:hideMark/>
          </w:tcPr>
          <w:p w14:paraId="699C0110"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3.36</w:t>
            </w:r>
          </w:p>
        </w:tc>
        <w:tc>
          <w:tcPr>
            <w:tcW w:w="619" w:type="pct"/>
            <w:vAlign w:val="center"/>
            <w:hideMark/>
          </w:tcPr>
          <w:p w14:paraId="20E1BAA0"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652.08</w:t>
            </w:r>
          </w:p>
        </w:tc>
        <w:tc>
          <w:tcPr>
            <w:tcW w:w="619" w:type="pct"/>
            <w:vAlign w:val="center"/>
            <w:hideMark/>
          </w:tcPr>
          <w:p w14:paraId="0EC1509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0.40</w:t>
            </w:r>
          </w:p>
        </w:tc>
      </w:tr>
      <w:tr w:rsidR="00BE122B" w:rsidRPr="00EC1502" w14:paraId="21BAC7E8" w14:textId="77777777" w:rsidTr="00BE122B">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55DA13F8"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Leasing</w:t>
            </w:r>
          </w:p>
        </w:tc>
        <w:tc>
          <w:tcPr>
            <w:tcW w:w="458" w:type="pct"/>
            <w:vAlign w:val="center"/>
            <w:hideMark/>
          </w:tcPr>
          <w:p w14:paraId="2A3CE7A3"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19</w:t>
            </w:r>
          </w:p>
        </w:tc>
        <w:tc>
          <w:tcPr>
            <w:tcW w:w="644" w:type="pct"/>
            <w:vAlign w:val="center"/>
            <w:hideMark/>
          </w:tcPr>
          <w:p w14:paraId="7D8F2A2F"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15,574.73</w:t>
            </w:r>
          </w:p>
        </w:tc>
        <w:tc>
          <w:tcPr>
            <w:tcW w:w="480" w:type="pct"/>
            <w:vAlign w:val="center"/>
            <w:hideMark/>
          </w:tcPr>
          <w:p w14:paraId="78524255"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9.57</w:t>
            </w:r>
          </w:p>
        </w:tc>
        <w:tc>
          <w:tcPr>
            <w:tcW w:w="619" w:type="pct"/>
            <w:vAlign w:val="center"/>
            <w:hideMark/>
          </w:tcPr>
          <w:p w14:paraId="06C7C16D"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7.04</w:t>
            </w:r>
          </w:p>
        </w:tc>
        <w:tc>
          <w:tcPr>
            <w:tcW w:w="344" w:type="pct"/>
            <w:vAlign w:val="center"/>
            <w:hideMark/>
          </w:tcPr>
          <w:p w14:paraId="38542088"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16.61</w:t>
            </w:r>
          </w:p>
        </w:tc>
        <w:tc>
          <w:tcPr>
            <w:tcW w:w="619" w:type="pct"/>
            <w:vAlign w:val="center"/>
            <w:hideMark/>
          </w:tcPr>
          <w:p w14:paraId="0E70C226"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1.91</w:t>
            </w:r>
          </w:p>
        </w:tc>
        <w:tc>
          <w:tcPr>
            <w:tcW w:w="619" w:type="pct"/>
            <w:vAlign w:val="center"/>
            <w:hideMark/>
          </w:tcPr>
          <w:p w14:paraId="16D4DCE3"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55.72</w:t>
            </w:r>
          </w:p>
        </w:tc>
        <w:tc>
          <w:tcPr>
            <w:tcW w:w="619" w:type="pct"/>
            <w:vAlign w:val="center"/>
            <w:hideMark/>
          </w:tcPr>
          <w:p w14:paraId="7F2AA2F7"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0.73</w:t>
            </w:r>
          </w:p>
        </w:tc>
      </w:tr>
      <w:tr w:rsidR="00BE122B" w:rsidRPr="00EC1502" w14:paraId="3F042D6D" w14:textId="77777777" w:rsidTr="00BE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1593D199"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Total</w:t>
            </w:r>
          </w:p>
        </w:tc>
        <w:tc>
          <w:tcPr>
            <w:tcW w:w="458" w:type="pct"/>
            <w:vAlign w:val="center"/>
            <w:hideMark/>
          </w:tcPr>
          <w:p w14:paraId="62DC848A"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123</w:t>
            </w:r>
          </w:p>
        </w:tc>
        <w:tc>
          <w:tcPr>
            <w:tcW w:w="644" w:type="pct"/>
            <w:vAlign w:val="center"/>
            <w:hideMark/>
          </w:tcPr>
          <w:p w14:paraId="40D5978C"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3,266,190.00</w:t>
            </w:r>
          </w:p>
        </w:tc>
        <w:tc>
          <w:tcPr>
            <w:tcW w:w="480" w:type="pct"/>
            <w:vAlign w:val="center"/>
            <w:hideMark/>
          </w:tcPr>
          <w:p w14:paraId="5D23A189"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8.62</w:t>
            </w:r>
          </w:p>
        </w:tc>
        <w:tc>
          <w:tcPr>
            <w:tcW w:w="619" w:type="pct"/>
            <w:vAlign w:val="center"/>
            <w:hideMark/>
          </w:tcPr>
          <w:p w14:paraId="3AF8F024"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7.04</w:t>
            </w:r>
          </w:p>
        </w:tc>
        <w:tc>
          <w:tcPr>
            <w:tcW w:w="344" w:type="pct"/>
            <w:vAlign w:val="center"/>
            <w:hideMark/>
          </w:tcPr>
          <w:p w14:paraId="7B217A14"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15.66</w:t>
            </w:r>
          </w:p>
        </w:tc>
        <w:tc>
          <w:tcPr>
            <w:tcW w:w="619" w:type="pct"/>
            <w:vAlign w:val="center"/>
            <w:hideMark/>
          </w:tcPr>
          <w:p w14:paraId="4E554BC6"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3.33</w:t>
            </w:r>
          </w:p>
        </w:tc>
        <w:tc>
          <w:tcPr>
            <w:tcW w:w="619" w:type="pct"/>
            <w:vAlign w:val="center"/>
            <w:hideMark/>
          </w:tcPr>
          <w:p w14:paraId="3948C42C"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46,411.84</w:t>
            </w:r>
          </w:p>
        </w:tc>
        <w:tc>
          <w:tcPr>
            <w:tcW w:w="619" w:type="pct"/>
            <w:vAlign w:val="center"/>
            <w:hideMark/>
          </w:tcPr>
          <w:p w14:paraId="379A8C46"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0.81</w:t>
            </w:r>
          </w:p>
        </w:tc>
      </w:tr>
    </w:tbl>
    <w:p w14:paraId="68797F71" w14:textId="77777777" w:rsidR="00435F77" w:rsidRDefault="00435F77" w:rsidP="005757C8">
      <w:pPr>
        <w:keepNext/>
        <w:keepLines/>
        <w:spacing w:after="0" w:line="240" w:lineRule="auto"/>
        <w:outlineLvl w:val="1"/>
        <w:rPr>
          <w:rFonts w:ascii="Cambria" w:eastAsia="Calibri" w:hAnsi="Cambria" w:cs="B Mitra"/>
          <w:b/>
          <w:bCs/>
          <w:sz w:val="26"/>
          <w:szCs w:val="32"/>
        </w:rPr>
      </w:pPr>
    </w:p>
    <w:p w14:paraId="2BA6BB14" w14:textId="77777777" w:rsidR="00E96701" w:rsidRPr="00E96701" w:rsidRDefault="00E96701" w:rsidP="005757C8">
      <w:pPr>
        <w:bidi w:val="0"/>
        <w:spacing w:after="0" w:line="240" w:lineRule="auto"/>
        <w:jc w:val="both"/>
        <w:rPr>
          <w:rFonts w:asciiTheme="majorBidi" w:hAnsiTheme="majorBidi" w:cstheme="majorBidi"/>
          <w:sz w:val="24"/>
          <w:szCs w:val="24"/>
        </w:rPr>
      </w:pPr>
      <w:bookmarkStart w:id="18" w:name="_Toc100418613"/>
      <w:bookmarkStart w:id="19" w:name="_Toc100420235"/>
      <w:bookmarkStart w:id="20" w:name="_Toc100421143"/>
      <w:bookmarkStart w:id="21" w:name="_Toc101453465"/>
      <w:r w:rsidRPr="00E96701">
        <w:rPr>
          <w:rFonts w:asciiTheme="majorBidi" w:hAnsiTheme="majorBidi" w:cstheme="majorBidi"/>
          <w:sz w:val="24"/>
          <w:szCs w:val="24"/>
        </w:rPr>
        <w:t>Determining the Factors Affecting Transaction Costs for Knowledge-Based Companies</w:t>
      </w:r>
    </w:p>
    <w:bookmarkEnd w:id="18"/>
    <w:bookmarkEnd w:id="19"/>
    <w:bookmarkEnd w:id="20"/>
    <w:bookmarkEnd w:id="21"/>
    <w:p w14:paraId="574EC0E2" w14:textId="77777777" w:rsidR="007B7495" w:rsidRDefault="007B7495" w:rsidP="007B7495">
      <w:pPr>
        <w:pStyle w:val="NormalWeb"/>
        <w:jc w:val="both"/>
      </w:pPr>
      <w:r>
        <w:t>This section examines the factors affecting transaction costs for knowledge-based companies using econometric models. Two models are used: one estimates the monetary value of transaction costs, while the other assesses the transaction cost ratio (transaction costs relative to the loan amount). The models are applied to different loan types, and a general model for the entire sample is presented. The Cobb-Douglas model, with logarithmic transformations, was found to be the most suitable, ensuring robust results through tests for multicollinearity, heteroscedasticity, autocorrelation, normality, and model specification.</w:t>
      </w:r>
    </w:p>
    <w:p w14:paraId="034A8056" w14:textId="77777777" w:rsidR="007B7495" w:rsidRDefault="007B7495" w:rsidP="007B7495">
      <w:pPr>
        <w:pStyle w:val="NormalWeb"/>
        <w:jc w:val="both"/>
      </w:pPr>
      <w:r>
        <w:t>For working capital loans, the model shows a high explanatory power with an R-squared of 87%, and the F-statistic is significant at the 1% level. Key factors influencing transaction costs include the loan amount, number of payment stages, and the time gap between application and contract signing, all significant at the 1% level. The loan amount's impact is positive, as a 1% increase leads to a 0.46% rise in transaction costs due to collateral and guarantee costs. Additionally, more payment stages and longer time gaps increase opportunity costs, driving up transaction costs. Company type and experience with multiple loan applications, however, were not significant in the model. This suggests that the main drivers of transaction costs are related to the loan process itself rather than the type of company or repeated loan experience.</w:t>
      </w:r>
    </w:p>
    <w:p w14:paraId="5D631F5F" w14:textId="77777777" w:rsidR="009511CC" w:rsidRPr="009511CC" w:rsidRDefault="009511CC" w:rsidP="005757C8">
      <w:pPr>
        <w:bidi w:val="0"/>
        <w:spacing w:after="0" w:line="240" w:lineRule="auto"/>
        <w:jc w:val="center"/>
        <w:rPr>
          <w:rFonts w:ascii="Times New Roman Bold" w:eastAsia="Calibri" w:hAnsi="Times New Roman Bold" w:cs="B Mitra"/>
          <w:b/>
          <w:bCs/>
          <w:sz w:val="28"/>
          <w:szCs w:val="24"/>
        </w:rPr>
      </w:pPr>
      <w:r w:rsidRPr="009511CC">
        <w:rPr>
          <w:rFonts w:asciiTheme="majorBidi" w:hAnsiTheme="majorBidi" w:cstheme="majorBidi"/>
          <w:b/>
          <w:bCs/>
          <w:sz w:val="20"/>
          <w:szCs w:val="20"/>
        </w:rPr>
        <w:t>Table 6 - Estimation Results of the Model for Factors Affecting the Transaction Cost Amount in Working Capital Loans</w:t>
      </w:r>
    </w:p>
    <w:tbl>
      <w:tblPr>
        <w:tblStyle w:val="PlainTable51"/>
        <w:bidiVisual/>
        <w:tblW w:w="5000" w:type="pct"/>
        <w:tblLook w:val="04A0" w:firstRow="1" w:lastRow="0" w:firstColumn="1" w:lastColumn="0" w:noHBand="0" w:noVBand="1"/>
      </w:tblPr>
      <w:tblGrid>
        <w:gridCol w:w="1797"/>
        <w:gridCol w:w="1087"/>
        <w:gridCol w:w="1460"/>
        <w:gridCol w:w="1164"/>
        <w:gridCol w:w="3518"/>
      </w:tblGrid>
      <w:tr w:rsidR="00160032" w:rsidRPr="00160032" w14:paraId="7CBE54C0" w14:textId="77777777" w:rsidTr="008E66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5" w:type="pct"/>
          </w:tcPr>
          <w:p w14:paraId="10A19FE0" w14:textId="730BA74A"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Significance Level</w:t>
            </w:r>
          </w:p>
        </w:tc>
        <w:tc>
          <w:tcPr>
            <w:tcW w:w="602" w:type="pct"/>
          </w:tcPr>
          <w:p w14:paraId="237EFD83" w14:textId="211DA637"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160032">
              <w:rPr>
                <w:rFonts w:asciiTheme="majorBidi" w:hAnsiTheme="majorBidi"/>
                <w:sz w:val="20"/>
                <w:szCs w:val="20"/>
              </w:rPr>
              <w:t>t-Statistic</w:t>
            </w:r>
          </w:p>
        </w:tc>
        <w:tc>
          <w:tcPr>
            <w:tcW w:w="809" w:type="pct"/>
          </w:tcPr>
          <w:p w14:paraId="59D059B6" w14:textId="097E47DA"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sz w:val="20"/>
                <w:szCs w:val="20"/>
                <w:rtl/>
              </w:rPr>
            </w:pPr>
            <w:r w:rsidRPr="00160032">
              <w:rPr>
                <w:rFonts w:asciiTheme="majorBidi" w:hAnsiTheme="majorBidi"/>
                <w:sz w:val="20"/>
                <w:szCs w:val="20"/>
              </w:rPr>
              <w:t>Standard Error</w:t>
            </w:r>
          </w:p>
        </w:tc>
        <w:tc>
          <w:tcPr>
            <w:tcW w:w="645" w:type="pct"/>
          </w:tcPr>
          <w:p w14:paraId="290E9421" w14:textId="4C972EB1"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sz w:val="20"/>
                <w:szCs w:val="20"/>
                <w:rtl/>
              </w:rPr>
            </w:pPr>
            <w:r w:rsidRPr="00160032">
              <w:rPr>
                <w:rFonts w:asciiTheme="majorBidi" w:hAnsiTheme="majorBidi"/>
                <w:sz w:val="20"/>
                <w:szCs w:val="20"/>
              </w:rPr>
              <w:t>Coefficient</w:t>
            </w:r>
          </w:p>
        </w:tc>
        <w:tc>
          <w:tcPr>
            <w:tcW w:w="1949" w:type="pct"/>
          </w:tcPr>
          <w:p w14:paraId="2F5576E1" w14:textId="5EE7147D"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sz w:val="20"/>
                <w:szCs w:val="20"/>
                <w:rtl/>
              </w:rPr>
            </w:pPr>
            <w:r w:rsidRPr="00160032">
              <w:rPr>
                <w:rFonts w:asciiTheme="majorBidi" w:hAnsiTheme="majorBidi"/>
                <w:sz w:val="20"/>
                <w:szCs w:val="20"/>
              </w:rPr>
              <w:t>Variable</w:t>
            </w:r>
          </w:p>
        </w:tc>
      </w:tr>
      <w:tr w:rsidR="00160032" w:rsidRPr="00160032" w14:paraId="5DF37667"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2CC640BD" w14:textId="6209F798"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4CAE5738" w14:textId="336C698C"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4.94</w:t>
            </w:r>
          </w:p>
        </w:tc>
        <w:tc>
          <w:tcPr>
            <w:tcW w:w="809" w:type="pct"/>
          </w:tcPr>
          <w:p w14:paraId="5754E0E6" w14:textId="6119E5D7"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0.09</w:t>
            </w:r>
          </w:p>
        </w:tc>
        <w:tc>
          <w:tcPr>
            <w:tcW w:w="645" w:type="pct"/>
          </w:tcPr>
          <w:p w14:paraId="6E44C46C" w14:textId="39935BF9"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0.46</w:t>
            </w:r>
          </w:p>
        </w:tc>
        <w:tc>
          <w:tcPr>
            <w:tcW w:w="1949" w:type="pct"/>
          </w:tcPr>
          <w:p w14:paraId="5F306083" w14:textId="653C2464"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Loan Amount</w:t>
            </w:r>
          </w:p>
        </w:tc>
      </w:tr>
      <w:tr w:rsidR="00160032" w:rsidRPr="00160032" w14:paraId="50376D76"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60122E13" w14:textId="4F4CEE5D"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347E74E1" w14:textId="55613E0D"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3.25</w:t>
            </w:r>
          </w:p>
        </w:tc>
        <w:tc>
          <w:tcPr>
            <w:tcW w:w="809" w:type="pct"/>
          </w:tcPr>
          <w:p w14:paraId="7256BDBE" w14:textId="0E96518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0.09</w:t>
            </w:r>
          </w:p>
        </w:tc>
        <w:tc>
          <w:tcPr>
            <w:tcW w:w="645" w:type="pct"/>
          </w:tcPr>
          <w:p w14:paraId="04BA1258" w14:textId="37C1F1CC"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0.30</w:t>
            </w:r>
          </w:p>
        </w:tc>
        <w:tc>
          <w:tcPr>
            <w:tcW w:w="1949" w:type="pct"/>
          </w:tcPr>
          <w:p w14:paraId="715E783B" w14:textId="2665E578"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Number of Payment Stages</w:t>
            </w:r>
          </w:p>
        </w:tc>
      </w:tr>
      <w:tr w:rsidR="00160032" w:rsidRPr="00160032" w14:paraId="15ABC0E8"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796F35C9" w14:textId="2E20F593"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0.08</w:t>
            </w:r>
          </w:p>
        </w:tc>
        <w:tc>
          <w:tcPr>
            <w:tcW w:w="602" w:type="pct"/>
          </w:tcPr>
          <w:p w14:paraId="3A6F4BC4" w14:textId="4179DF18"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0.04</w:t>
            </w:r>
          </w:p>
        </w:tc>
        <w:tc>
          <w:tcPr>
            <w:tcW w:w="809" w:type="pct"/>
          </w:tcPr>
          <w:p w14:paraId="5ABA7FD5" w14:textId="7B707BA0"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1.79</w:t>
            </w:r>
          </w:p>
        </w:tc>
        <w:tc>
          <w:tcPr>
            <w:tcW w:w="645" w:type="pct"/>
          </w:tcPr>
          <w:p w14:paraId="3FC70238" w14:textId="25439626"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0.08</w:t>
            </w:r>
          </w:p>
        </w:tc>
        <w:tc>
          <w:tcPr>
            <w:tcW w:w="1949" w:type="pct"/>
          </w:tcPr>
          <w:p w14:paraId="50ACF124" w14:textId="2CE3EE5F"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Company Capital</w:t>
            </w:r>
          </w:p>
        </w:tc>
      </w:tr>
      <w:tr w:rsidR="00160032" w:rsidRPr="00160032" w14:paraId="6E0E2BE5"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79143B0D" w14:textId="3F3C7FB0"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182A5976" w14:textId="0EFB603A"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3.18</w:t>
            </w:r>
          </w:p>
        </w:tc>
        <w:tc>
          <w:tcPr>
            <w:tcW w:w="809" w:type="pct"/>
          </w:tcPr>
          <w:p w14:paraId="2BB6C189" w14:textId="5CA74A0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0.05</w:t>
            </w:r>
          </w:p>
        </w:tc>
        <w:tc>
          <w:tcPr>
            <w:tcW w:w="645" w:type="pct"/>
          </w:tcPr>
          <w:p w14:paraId="1D2B6B0E" w14:textId="18CF5718"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0.18</w:t>
            </w:r>
          </w:p>
        </w:tc>
        <w:tc>
          <w:tcPr>
            <w:tcW w:w="1949" w:type="pct"/>
          </w:tcPr>
          <w:p w14:paraId="25B6BA1A" w14:textId="654CECD0"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Request to Contract Distance</w:t>
            </w:r>
          </w:p>
        </w:tc>
      </w:tr>
      <w:tr w:rsidR="00160032" w:rsidRPr="00160032" w14:paraId="6DEC6673"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30B6CFBA" w14:textId="5325D123"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0.69</w:t>
            </w:r>
          </w:p>
        </w:tc>
        <w:tc>
          <w:tcPr>
            <w:tcW w:w="602" w:type="pct"/>
          </w:tcPr>
          <w:p w14:paraId="704BDCD2" w14:textId="6CD502EE"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0.39</w:t>
            </w:r>
          </w:p>
        </w:tc>
        <w:tc>
          <w:tcPr>
            <w:tcW w:w="809" w:type="pct"/>
          </w:tcPr>
          <w:p w14:paraId="296364B8" w14:textId="42DE4EC9"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0.13</w:t>
            </w:r>
          </w:p>
        </w:tc>
        <w:tc>
          <w:tcPr>
            <w:tcW w:w="645" w:type="pct"/>
          </w:tcPr>
          <w:p w14:paraId="651BA735" w14:textId="65814544"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0.05</w:t>
            </w:r>
          </w:p>
        </w:tc>
        <w:tc>
          <w:tcPr>
            <w:tcW w:w="1949" w:type="pct"/>
          </w:tcPr>
          <w:p w14:paraId="70EA7737" w14:textId="2B4B3026"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Number of Loans Taken from the Fund</w:t>
            </w:r>
          </w:p>
        </w:tc>
      </w:tr>
      <w:tr w:rsidR="00160032" w:rsidRPr="00160032" w14:paraId="108F8180"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21233228" w14:textId="7E82F19A"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0.92</w:t>
            </w:r>
          </w:p>
        </w:tc>
        <w:tc>
          <w:tcPr>
            <w:tcW w:w="602" w:type="pct"/>
          </w:tcPr>
          <w:p w14:paraId="5E47DD0E" w14:textId="007B8BF2"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0.10</w:t>
            </w:r>
          </w:p>
        </w:tc>
        <w:tc>
          <w:tcPr>
            <w:tcW w:w="809" w:type="pct"/>
          </w:tcPr>
          <w:p w14:paraId="05F84897" w14:textId="1EB4851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0.19</w:t>
            </w:r>
          </w:p>
        </w:tc>
        <w:tc>
          <w:tcPr>
            <w:tcW w:w="645" w:type="pct"/>
          </w:tcPr>
          <w:p w14:paraId="21058EEA" w14:textId="0E6212A8"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0.01</w:t>
            </w:r>
          </w:p>
        </w:tc>
        <w:tc>
          <w:tcPr>
            <w:tcW w:w="1949" w:type="pct"/>
          </w:tcPr>
          <w:p w14:paraId="6D487A7A" w14:textId="63727376"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Manufacturing Type 2</w:t>
            </w:r>
          </w:p>
        </w:tc>
      </w:tr>
      <w:tr w:rsidR="00160032" w:rsidRPr="00160032" w14:paraId="3A578EBA"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6C67C39E" w14:textId="38C44F72"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0.37</w:t>
            </w:r>
          </w:p>
        </w:tc>
        <w:tc>
          <w:tcPr>
            <w:tcW w:w="602" w:type="pct"/>
          </w:tcPr>
          <w:p w14:paraId="63C88679" w14:textId="5E2894D7"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0.90</w:t>
            </w:r>
          </w:p>
        </w:tc>
        <w:tc>
          <w:tcPr>
            <w:tcW w:w="809" w:type="pct"/>
          </w:tcPr>
          <w:p w14:paraId="1EDBB663" w14:textId="55E2E06F"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0.66</w:t>
            </w:r>
          </w:p>
        </w:tc>
        <w:tc>
          <w:tcPr>
            <w:tcW w:w="645" w:type="pct"/>
          </w:tcPr>
          <w:p w14:paraId="6DF0B30D" w14:textId="7BC8E47A"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0.59</w:t>
            </w:r>
          </w:p>
        </w:tc>
        <w:tc>
          <w:tcPr>
            <w:tcW w:w="1949" w:type="pct"/>
          </w:tcPr>
          <w:p w14:paraId="4611F7AD" w14:textId="64F21A93"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Manufacturing Type 3</w:t>
            </w:r>
          </w:p>
        </w:tc>
      </w:tr>
      <w:tr w:rsidR="00160032" w:rsidRPr="00160032" w14:paraId="40484D4F"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4C0B381B" w14:textId="36F255CA"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0.36</w:t>
            </w:r>
          </w:p>
        </w:tc>
        <w:tc>
          <w:tcPr>
            <w:tcW w:w="602" w:type="pct"/>
          </w:tcPr>
          <w:p w14:paraId="65744909" w14:textId="09D1FECD"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0.92</w:t>
            </w:r>
          </w:p>
        </w:tc>
        <w:tc>
          <w:tcPr>
            <w:tcW w:w="809" w:type="pct"/>
          </w:tcPr>
          <w:p w14:paraId="3922C752" w14:textId="5828BED6"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0.44</w:t>
            </w:r>
          </w:p>
        </w:tc>
        <w:tc>
          <w:tcPr>
            <w:tcW w:w="645" w:type="pct"/>
          </w:tcPr>
          <w:p w14:paraId="06456198" w14:textId="2E2DF2B5"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0.40</w:t>
            </w:r>
          </w:p>
        </w:tc>
        <w:tc>
          <w:tcPr>
            <w:tcW w:w="1949" w:type="pct"/>
          </w:tcPr>
          <w:p w14:paraId="2EBDBEAA" w14:textId="33C4D0DD"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Startup Type 1</w:t>
            </w:r>
          </w:p>
        </w:tc>
      </w:tr>
      <w:tr w:rsidR="00160032" w:rsidRPr="00160032" w14:paraId="5AE1FEDB"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30CAA977" w14:textId="208D7039"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0.92</w:t>
            </w:r>
          </w:p>
        </w:tc>
        <w:tc>
          <w:tcPr>
            <w:tcW w:w="602" w:type="pct"/>
          </w:tcPr>
          <w:p w14:paraId="69D404EF" w14:textId="6D170E8D"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0.10</w:t>
            </w:r>
          </w:p>
        </w:tc>
        <w:tc>
          <w:tcPr>
            <w:tcW w:w="809" w:type="pct"/>
          </w:tcPr>
          <w:p w14:paraId="05CE2257" w14:textId="28961AE1"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0.45</w:t>
            </w:r>
          </w:p>
        </w:tc>
        <w:tc>
          <w:tcPr>
            <w:tcW w:w="645" w:type="pct"/>
          </w:tcPr>
          <w:p w14:paraId="50080B18" w14:textId="2191F3B2"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0.04</w:t>
            </w:r>
          </w:p>
        </w:tc>
        <w:tc>
          <w:tcPr>
            <w:tcW w:w="1949" w:type="pct"/>
          </w:tcPr>
          <w:p w14:paraId="5F9E66FE" w14:textId="773EB1DA"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Startup Type 2</w:t>
            </w:r>
          </w:p>
        </w:tc>
      </w:tr>
      <w:tr w:rsidR="00160032" w:rsidRPr="00160032" w14:paraId="4A6534C2"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2AFAF692" w14:textId="3B39EF42"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78D1FECD" w14:textId="389C829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3.23</w:t>
            </w:r>
          </w:p>
        </w:tc>
        <w:tc>
          <w:tcPr>
            <w:tcW w:w="809" w:type="pct"/>
          </w:tcPr>
          <w:p w14:paraId="2B28EE6B" w14:textId="674A4C2B"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2.09</w:t>
            </w:r>
          </w:p>
        </w:tc>
        <w:tc>
          <w:tcPr>
            <w:tcW w:w="645" w:type="pct"/>
          </w:tcPr>
          <w:p w14:paraId="5C4F40BB" w14:textId="2858F6BF"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6.75</w:t>
            </w:r>
          </w:p>
        </w:tc>
        <w:tc>
          <w:tcPr>
            <w:tcW w:w="1949" w:type="pct"/>
          </w:tcPr>
          <w:p w14:paraId="6773392C" w14:textId="77FED127"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Intercept</w:t>
            </w:r>
          </w:p>
        </w:tc>
      </w:tr>
      <w:tr w:rsidR="008E66E7" w:rsidRPr="00160032" w14:paraId="13CC3405"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691B1D69" w14:textId="727236E7" w:rsidR="008E66E7" w:rsidRPr="00160032" w:rsidRDefault="008E66E7" w:rsidP="005757C8">
            <w:pPr>
              <w:keepNext/>
              <w:numPr>
                <w:ilvl w:val="1"/>
                <w:numId w:val="0"/>
              </w:numPr>
              <w:jc w:val="center"/>
              <w:outlineLvl w:val="1"/>
              <w:rPr>
                <w:rFonts w:asciiTheme="majorBidi" w:hAnsiTheme="majorBidi"/>
                <w:sz w:val="20"/>
                <w:szCs w:val="20"/>
              </w:rPr>
            </w:pPr>
          </w:p>
        </w:tc>
        <w:tc>
          <w:tcPr>
            <w:tcW w:w="602" w:type="pct"/>
          </w:tcPr>
          <w:p w14:paraId="50442D85" w14:textId="51EC747F"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F-Statistic</w:t>
            </w:r>
          </w:p>
        </w:tc>
        <w:tc>
          <w:tcPr>
            <w:tcW w:w="809" w:type="pct"/>
          </w:tcPr>
          <w:p w14:paraId="62932221" w14:textId="77777777"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45" w:type="pct"/>
          </w:tcPr>
          <w:p w14:paraId="41912B86" w14:textId="3B000EA1"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0.87</w:t>
            </w:r>
          </w:p>
        </w:tc>
        <w:tc>
          <w:tcPr>
            <w:tcW w:w="1949" w:type="pct"/>
          </w:tcPr>
          <w:p w14:paraId="793F7DDB" w14:textId="10D202FF"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R-Squared</w:t>
            </w:r>
          </w:p>
        </w:tc>
      </w:tr>
      <w:tr w:rsidR="008E66E7" w:rsidRPr="00160032" w14:paraId="78ECEA4A"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1BF4683A" w14:textId="699CA00D" w:rsidR="008E66E7" w:rsidRPr="00160032" w:rsidRDefault="008E66E7"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0A4F4CB2" w14:textId="13C68914"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13.38</w:t>
            </w:r>
          </w:p>
        </w:tc>
        <w:tc>
          <w:tcPr>
            <w:tcW w:w="809" w:type="pct"/>
          </w:tcPr>
          <w:p w14:paraId="1F3DF10E" w14:textId="77777777"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45" w:type="pct"/>
          </w:tcPr>
          <w:p w14:paraId="265555E4" w14:textId="190080EB"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1949" w:type="pct"/>
          </w:tcPr>
          <w:p w14:paraId="32CCE153" w14:textId="140A346C"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bl>
    <w:p w14:paraId="01E579F3" w14:textId="77777777" w:rsidR="003351C5" w:rsidRDefault="003351C5" w:rsidP="005757C8">
      <w:pPr>
        <w:bidi w:val="0"/>
        <w:spacing w:after="0" w:line="240" w:lineRule="auto"/>
        <w:jc w:val="both"/>
        <w:rPr>
          <w:rFonts w:asciiTheme="majorBidi" w:hAnsiTheme="majorBidi" w:cstheme="majorBidi"/>
          <w:sz w:val="24"/>
          <w:szCs w:val="24"/>
        </w:rPr>
      </w:pPr>
      <w:bookmarkStart w:id="22" w:name="_Toc100418614"/>
      <w:bookmarkStart w:id="23" w:name="_Toc100420236"/>
      <w:bookmarkStart w:id="24" w:name="_Toc100421144"/>
      <w:bookmarkStart w:id="25" w:name="_Toc101453466"/>
    </w:p>
    <w:p w14:paraId="46AA7A40" w14:textId="6403D3E9" w:rsidR="003351C5" w:rsidRPr="003351C5" w:rsidRDefault="003351C5" w:rsidP="005757C8">
      <w:pPr>
        <w:bidi w:val="0"/>
        <w:spacing w:after="0" w:line="240" w:lineRule="auto"/>
        <w:jc w:val="both"/>
        <w:rPr>
          <w:rFonts w:asciiTheme="majorBidi" w:hAnsiTheme="majorBidi" w:cstheme="majorBidi"/>
          <w:sz w:val="24"/>
          <w:szCs w:val="24"/>
          <w:rtl/>
        </w:rPr>
      </w:pPr>
      <w:r w:rsidRPr="003351C5">
        <w:rPr>
          <w:rFonts w:asciiTheme="majorBidi" w:hAnsiTheme="majorBidi" w:cstheme="majorBidi"/>
          <w:sz w:val="24"/>
          <w:szCs w:val="24"/>
        </w:rPr>
        <w:t xml:space="preserve">Table 7 presents the results of the econometric model estimation for the exchange cost ratio in working capital loans. It is observed that the variables in the estimated model explain about </w:t>
      </w:r>
      <w:r w:rsidRPr="003351C5">
        <w:rPr>
          <w:rFonts w:asciiTheme="majorBidi" w:hAnsiTheme="majorBidi" w:cstheme="majorBidi"/>
          <w:sz w:val="24"/>
          <w:szCs w:val="24"/>
        </w:rPr>
        <w:lastRenderedPageBreak/>
        <w:t>88% of the changes in the dependent variable (exchange cost ratio), and the overall model (based on the F-statistic) is statistically significant at the 1% level. In this model, loan amount and request-to-contract distance are significant at the 1% level, number of payment stages at the 5% level, and company capital at the 10% level. The coefficient of the loan amount is negative and equals -0.53. In other words, with a 1% increase in the loan amount, the exchange cost ratio decreases by 0.53%</w:t>
      </w:r>
      <w:r w:rsidRPr="003351C5">
        <w:rPr>
          <w:rFonts w:asciiTheme="majorBidi" w:hAnsiTheme="majorBidi" w:cstheme="majorBidi"/>
          <w:sz w:val="24"/>
          <w:szCs w:val="24"/>
          <w:rtl/>
        </w:rPr>
        <w:t>.</w:t>
      </w:r>
    </w:p>
    <w:p w14:paraId="311E1865" w14:textId="39838C39" w:rsidR="003351C5" w:rsidRPr="003351C5" w:rsidRDefault="003351C5" w:rsidP="005757C8">
      <w:pPr>
        <w:bidi w:val="0"/>
        <w:spacing w:after="0" w:line="240" w:lineRule="auto"/>
        <w:jc w:val="both"/>
        <w:rPr>
          <w:rFonts w:asciiTheme="majorBidi" w:hAnsiTheme="majorBidi" w:cstheme="majorBidi"/>
          <w:sz w:val="24"/>
          <w:szCs w:val="24"/>
        </w:rPr>
      </w:pPr>
      <w:r w:rsidRPr="003351C5">
        <w:rPr>
          <w:rFonts w:asciiTheme="majorBidi" w:hAnsiTheme="majorBidi" w:cstheme="majorBidi"/>
          <w:sz w:val="24"/>
          <w:szCs w:val="24"/>
        </w:rPr>
        <w:t>Considering that in the previous model, the effect of the loan amount on the monetary exchange cost was found to be positive, it can be concluded that generally, the larger the loan amount, the lower the exchange cost ratio relative to the loan amount. In other words, as the loan size increases, the exchange cost increases</w:t>
      </w:r>
      <w:r w:rsidR="0055672A">
        <w:rPr>
          <w:rFonts w:asciiTheme="majorBidi" w:hAnsiTheme="majorBidi" w:cstheme="majorBidi"/>
          <w:sz w:val="24"/>
          <w:szCs w:val="24"/>
        </w:rPr>
        <w:t>,</w:t>
      </w:r>
      <w:r w:rsidRPr="003351C5">
        <w:rPr>
          <w:rFonts w:asciiTheme="majorBidi" w:hAnsiTheme="majorBidi" w:cstheme="majorBidi"/>
          <w:sz w:val="24"/>
          <w:szCs w:val="24"/>
        </w:rPr>
        <w:t xml:space="preserve"> but the exchange cost per unit of the loan decreases. Therefore, companies that receive smaller loans incur higher exchange costs per unit of the loan</w:t>
      </w:r>
      <w:r w:rsidRPr="003351C5">
        <w:rPr>
          <w:rFonts w:asciiTheme="majorBidi" w:hAnsiTheme="majorBidi" w:cstheme="majorBidi" w:hint="cs"/>
          <w:sz w:val="24"/>
          <w:szCs w:val="24"/>
          <w:rtl/>
        </w:rPr>
        <w:t>.</w:t>
      </w:r>
      <w:r w:rsidRPr="003351C5">
        <w:rPr>
          <w:rFonts w:asciiTheme="majorBidi" w:hAnsiTheme="majorBidi" w:cstheme="majorBidi"/>
          <w:sz w:val="24"/>
          <w:szCs w:val="24"/>
        </w:rPr>
        <w:t xml:space="preserve"> Additionally, as the number of payment stages and the request-to-contract distance increase, the opportunity cost for companies increases, leading to a higher exchange cost ratio. As with the previous model, it is observed that there is no significant difference in the exchange cost ratio between different types of knowledge-based companies</w:t>
      </w:r>
      <w:r w:rsidRPr="003351C5">
        <w:rPr>
          <w:rFonts w:asciiTheme="majorBidi" w:hAnsiTheme="majorBidi" w:cstheme="majorBidi"/>
          <w:sz w:val="24"/>
          <w:szCs w:val="24"/>
          <w:rtl/>
        </w:rPr>
        <w:t>.</w:t>
      </w:r>
    </w:p>
    <w:p w14:paraId="0A43BA41" w14:textId="23FDB99D" w:rsidR="003351C5" w:rsidRPr="003351C5" w:rsidRDefault="003351C5" w:rsidP="005757C8">
      <w:pPr>
        <w:keepNext/>
        <w:numPr>
          <w:ilvl w:val="1"/>
          <w:numId w:val="0"/>
        </w:numPr>
        <w:spacing w:after="0" w:line="240" w:lineRule="auto"/>
        <w:ind w:left="792" w:hanging="792"/>
        <w:jc w:val="center"/>
        <w:outlineLvl w:val="1"/>
        <w:rPr>
          <w:rFonts w:ascii="Times New Roman Bold" w:eastAsia="Calibri" w:hAnsi="Times New Roman Bold" w:cs="B Mitra"/>
          <w:b/>
          <w:bCs/>
          <w:iCs/>
          <w:sz w:val="20"/>
          <w:szCs w:val="16"/>
        </w:rPr>
      </w:pPr>
      <w:r w:rsidRPr="003351C5">
        <w:rPr>
          <w:rFonts w:ascii="Times New Roman Bold" w:eastAsia="Calibri" w:hAnsi="Times New Roman Bold" w:cs="B Mitra"/>
          <w:b/>
          <w:bCs/>
          <w:iCs/>
          <w:sz w:val="20"/>
          <w:szCs w:val="16"/>
        </w:rPr>
        <w:t>Table 7 - Results of Estimating the Model of Factors Affecting the Exchange Cost Ratio to Loan Amount in Working Capital Loans</w:t>
      </w:r>
    </w:p>
    <w:tbl>
      <w:tblPr>
        <w:tblStyle w:val="PlainTable4"/>
        <w:bidiVisual/>
        <w:tblW w:w="0" w:type="auto"/>
        <w:tblLook w:val="04A0" w:firstRow="1" w:lastRow="0" w:firstColumn="1" w:lastColumn="0" w:noHBand="0" w:noVBand="1"/>
      </w:tblPr>
      <w:tblGrid>
        <w:gridCol w:w="1750"/>
        <w:gridCol w:w="1067"/>
        <w:gridCol w:w="1549"/>
        <w:gridCol w:w="1149"/>
        <w:gridCol w:w="3511"/>
      </w:tblGrid>
      <w:tr w:rsidR="00F26ACA" w:rsidRPr="00F26ACA" w14:paraId="4EF902FD" w14:textId="77777777" w:rsidTr="008E6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bookmarkEnd w:id="22"/>
          <w:bookmarkEnd w:id="23"/>
          <w:bookmarkEnd w:id="24"/>
          <w:bookmarkEnd w:id="25"/>
          <w:p w14:paraId="30A46BAA" w14:textId="1434F16C" w:rsidR="00F26ACA" w:rsidRPr="00F26ACA" w:rsidRDefault="00F26ACA" w:rsidP="005757C8">
            <w:pPr>
              <w:keepNext/>
              <w:numPr>
                <w:ilvl w:val="1"/>
                <w:numId w:val="0"/>
              </w:numPr>
              <w:jc w:val="center"/>
              <w:outlineLvl w:val="1"/>
              <w:rPr>
                <w:rFonts w:asciiTheme="majorBidi" w:hAnsiTheme="majorBidi"/>
                <w:sz w:val="20"/>
                <w:szCs w:val="20"/>
              </w:rPr>
            </w:pPr>
            <w:r w:rsidRPr="00F26ACA">
              <w:rPr>
                <w:rFonts w:asciiTheme="majorBidi" w:hAnsiTheme="majorBidi"/>
                <w:sz w:val="20"/>
                <w:szCs w:val="20"/>
              </w:rPr>
              <w:t>Significance Level</w:t>
            </w:r>
          </w:p>
        </w:tc>
        <w:tc>
          <w:tcPr>
            <w:tcW w:w="0" w:type="auto"/>
          </w:tcPr>
          <w:p w14:paraId="2EC31FCB" w14:textId="4E1E770D"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F26ACA">
              <w:rPr>
                <w:rFonts w:asciiTheme="majorBidi" w:hAnsiTheme="majorBidi"/>
                <w:sz w:val="20"/>
                <w:szCs w:val="20"/>
              </w:rPr>
              <w:t>t-Statistic</w:t>
            </w:r>
          </w:p>
        </w:tc>
        <w:tc>
          <w:tcPr>
            <w:tcW w:w="0" w:type="auto"/>
          </w:tcPr>
          <w:p w14:paraId="0EA769B8" w14:textId="01CA1E1F"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val="0"/>
                <w:bCs w:val="0"/>
                <w:sz w:val="20"/>
                <w:szCs w:val="20"/>
                <w:rtl/>
              </w:rPr>
            </w:pPr>
            <w:r w:rsidRPr="00F26ACA">
              <w:rPr>
                <w:rFonts w:asciiTheme="majorBidi" w:hAnsiTheme="majorBidi"/>
                <w:sz w:val="20"/>
                <w:szCs w:val="20"/>
              </w:rPr>
              <w:t>Standard Error</w:t>
            </w:r>
          </w:p>
        </w:tc>
        <w:tc>
          <w:tcPr>
            <w:tcW w:w="0" w:type="auto"/>
          </w:tcPr>
          <w:p w14:paraId="478F6972" w14:textId="41F22A0F"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val="0"/>
                <w:bCs w:val="0"/>
                <w:sz w:val="20"/>
                <w:szCs w:val="20"/>
                <w:rtl/>
              </w:rPr>
            </w:pPr>
            <w:r w:rsidRPr="00F26ACA">
              <w:rPr>
                <w:rFonts w:asciiTheme="majorBidi" w:hAnsiTheme="majorBidi"/>
                <w:sz w:val="20"/>
                <w:szCs w:val="20"/>
              </w:rPr>
              <w:t>Coefficient</w:t>
            </w:r>
          </w:p>
        </w:tc>
        <w:tc>
          <w:tcPr>
            <w:tcW w:w="0" w:type="auto"/>
          </w:tcPr>
          <w:p w14:paraId="63CD1DB1" w14:textId="02444E08"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F26ACA">
              <w:rPr>
                <w:rFonts w:asciiTheme="majorBidi" w:hAnsiTheme="majorBidi"/>
                <w:sz w:val="20"/>
                <w:szCs w:val="20"/>
              </w:rPr>
              <w:t>Variable</w:t>
            </w:r>
          </w:p>
        </w:tc>
      </w:tr>
      <w:tr w:rsidR="00F26ACA" w:rsidRPr="00F26ACA" w14:paraId="4E3A020C"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F48F22" w14:textId="11724574"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5E23E26B" w14:textId="67DF1DA0"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-5.59</w:t>
            </w:r>
          </w:p>
        </w:tc>
        <w:tc>
          <w:tcPr>
            <w:tcW w:w="0" w:type="auto"/>
          </w:tcPr>
          <w:p w14:paraId="21B1FF43" w14:textId="7580739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0.09</w:t>
            </w:r>
          </w:p>
        </w:tc>
        <w:tc>
          <w:tcPr>
            <w:tcW w:w="0" w:type="auto"/>
          </w:tcPr>
          <w:p w14:paraId="449A5F64" w14:textId="5BDF5A5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-0.53</w:t>
            </w:r>
          </w:p>
        </w:tc>
        <w:tc>
          <w:tcPr>
            <w:tcW w:w="0" w:type="auto"/>
          </w:tcPr>
          <w:p w14:paraId="714A660D" w14:textId="2299D0CA"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Loan Amount</w:t>
            </w:r>
          </w:p>
        </w:tc>
      </w:tr>
      <w:tr w:rsidR="00F26ACA" w:rsidRPr="00F26ACA" w14:paraId="0E627786"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226D73FB" w14:textId="01EBA1AA"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0.01</w:t>
            </w:r>
          </w:p>
        </w:tc>
        <w:tc>
          <w:tcPr>
            <w:tcW w:w="0" w:type="auto"/>
          </w:tcPr>
          <w:p w14:paraId="5C07340E" w14:textId="47A5A6C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2.15</w:t>
            </w:r>
          </w:p>
        </w:tc>
        <w:tc>
          <w:tcPr>
            <w:tcW w:w="0" w:type="auto"/>
          </w:tcPr>
          <w:p w14:paraId="1B64EF0E" w14:textId="38FC576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0.13</w:t>
            </w:r>
          </w:p>
        </w:tc>
        <w:tc>
          <w:tcPr>
            <w:tcW w:w="0" w:type="auto"/>
          </w:tcPr>
          <w:p w14:paraId="0A33AA21" w14:textId="43B29204"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0.30</w:t>
            </w:r>
          </w:p>
        </w:tc>
        <w:tc>
          <w:tcPr>
            <w:tcW w:w="0" w:type="auto"/>
          </w:tcPr>
          <w:p w14:paraId="7B1276BF" w14:textId="34987DBE"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Number of Payment Stages</w:t>
            </w:r>
          </w:p>
        </w:tc>
      </w:tr>
      <w:tr w:rsidR="00F26ACA" w:rsidRPr="00F26ACA" w14:paraId="52C91571"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900626" w14:textId="591CB724"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0.08</w:t>
            </w:r>
          </w:p>
        </w:tc>
        <w:tc>
          <w:tcPr>
            <w:tcW w:w="0" w:type="auto"/>
          </w:tcPr>
          <w:p w14:paraId="1A48E208" w14:textId="3DAAC71B"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0.79</w:t>
            </w:r>
          </w:p>
        </w:tc>
        <w:tc>
          <w:tcPr>
            <w:tcW w:w="0" w:type="auto"/>
          </w:tcPr>
          <w:p w14:paraId="79141B0E" w14:textId="5BA5274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0.04</w:t>
            </w:r>
          </w:p>
        </w:tc>
        <w:tc>
          <w:tcPr>
            <w:tcW w:w="0" w:type="auto"/>
          </w:tcPr>
          <w:p w14:paraId="135ED33D" w14:textId="69E0D224"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0.08</w:t>
            </w:r>
          </w:p>
        </w:tc>
        <w:tc>
          <w:tcPr>
            <w:tcW w:w="0" w:type="auto"/>
          </w:tcPr>
          <w:p w14:paraId="37DA750C" w14:textId="70EA98E0"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Company Capital</w:t>
            </w:r>
          </w:p>
        </w:tc>
      </w:tr>
      <w:tr w:rsidR="00F26ACA" w:rsidRPr="00F26ACA" w14:paraId="2EE0D183"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07485FDA" w14:textId="72F7B57E"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7E91F2D3" w14:textId="23FAA72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2.72</w:t>
            </w:r>
          </w:p>
        </w:tc>
        <w:tc>
          <w:tcPr>
            <w:tcW w:w="0" w:type="auto"/>
          </w:tcPr>
          <w:p w14:paraId="401D978A" w14:textId="61EC1B53"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0.06</w:t>
            </w:r>
          </w:p>
        </w:tc>
        <w:tc>
          <w:tcPr>
            <w:tcW w:w="0" w:type="auto"/>
          </w:tcPr>
          <w:p w14:paraId="4A4B71F5" w14:textId="39E11EE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0.18</w:t>
            </w:r>
          </w:p>
        </w:tc>
        <w:tc>
          <w:tcPr>
            <w:tcW w:w="0" w:type="auto"/>
          </w:tcPr>
          <w:p w14:paraId="4B5FA243" w14:textId="0C6BAFBB"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Time from Request to Contract</w:t>
            </w:r>
          </w:p>
        </w:tc>
      </w:tr>
      <w:tr w:rsidR="00F26ACA" w:rsidRPr="00F26ACA" w14:paraId="07D208EA"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D25B05" w14:textId="1A415FAB"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0.69</w:t>
            </w:r>
          </w:p>
        </w:tc>
        <w:tc>
          <w:tcPr>
            <w:tcW w:w="0" w:type="auto"/>
          </w:tcPr>
          <w:p w14:paraId="7DFA8CC7" w14:textId="58FFE894"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0.39</w:t>
            </w:r>
          </w:p>
        </w:tc>
        <w:tc>
          <w:tcPr>
            <w:tcW w:w="0" w:type="auto"/>
          </w:tcPr>
          <w:p w14:paraId="0FF7B6D1" w14:textId="6C8A5E3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0.13</w:t>
            </w:r>
          </w:p>
        </w:tc>
        <w:tc>
          <w:tcPr>
            <w:tcW w:w="0" w:type="auto"/>
          </w:tcPr>
          <w:p w14:paraId="2D2D3888" w14:textId="134D45C4"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0.05</w:t>
            </w:r>
          </w:p>
        </w:tc>
        <w:tc>
          <w:tcPr>
            <w:tcW w:w="0" w:type="auto"/>
          </w:tcPr>
          <w:p w14:paraId="3ADE939F" w14:textId="167A2555"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 xml:space="preserve">Number of Loan </w:t>
            </w:r>
            <w:proofErr w:type="spellStart"/>
            <w:r w:rsidRPr="00F26ACA">
              <w:rPr>
                <w:rFonts w:asciiTheme="majorBidi" w:hAnsiTheme="majorBidi" w:cstheme="majorBidi"/>
                <w:sz w:val="20"/>
                <w:szCs w:val="20"/>
              </w:rPr>
              <w:t>Receivings</w:t>
            </w:r>
            <w:proofErr w:type="spellEnd"/>
            <w:r w:rsidRPr="00F26ACA">
              <w:rPr>
                <w:rFonts w:asciiTheme="majorBidi" w:hAnsiTheme="majorBidi" w:cstheme="majorBidi"/>
                <w:sz w:val="20"/>
                <w:szCs w:val="20"/>
              </w:rPr>
              <w:t xml:space="preserve"> from Fund</w:t>
            </w:r>
          </w:p>
        </w:tc>
      </w:tr>
      <w:tr w:rsidR="00F26ACA" w:rsidRPr="00F26ACA" w14:paraId="0B711331"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1FACBDCB" w14:textId="66F6D909"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0.92</w:t>
            </w:r>
          </w:p>
        </w:tc>
        <w:tc>
          <w:tcPr>
            <w:tcW w:w="0" w:type="auto"/>
          </w:tcPr>
          <w:p w14:paraId="40F9E4D8" w14:textId="26F12016"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0.10</w:t>
            </w:r>
          </w:p>
        </w:tc>
        <w:tc>
          <w:tcPr>
            <w:tcW w:w="0" w:type="auto"/>
          </w:tcPr>
          <w:p w14:paraId="4DCD12FA" w14:textId="0B68C2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0.19</w:t>
            </w:r>
          </w:p>
        </w:tc>
        <w:tc>
          <w:tcPr>
            <w:tcW w:w="0" w:type="auto"/>
          </w:tcPr>
          <w:p w14:paraId="4F5DD8DC" w14:textId="4CF8F3DF"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0.01</w:t>
            </w:r>
          </w:p>
        </w:tc>
        <w:tc>
          <w:tcPr>
            <w:tcW w:w="0" w:type="auto"/>
          </w:tcPr>
          <w:p w14:paraId="5E555A2B" w14:textId="05B0850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Manufacturing Type 2</w:t>
            </w:r>
          </w:p>
        </w:tc>
      </w:tr>
      <w:tr w:rsidR="00F26ACA" w:rsidRPr="00F26ACA" w14:paraId="3B9B6C91"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FA040A" w14:textId="5FEC67A2"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0.37</w:t>
            </w:r>
          </w:p>
        </w:tc>
        <w:tc>
          <w:tcPr>
            <w:tcW w:w="0" w:type="auto"/>
          </w:tcPr>
          <w:p w14:paraId="1179A0D1" w14:textId="0B50A8FE"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0.90</w:t>
            </w:r>
          </w:p>
        </w:tc>
        <w:tc>
          <w:tcPr>
            <w:tcW w:w="0" w:type="auto"/>
          </w:tcPr>
          <w:p w14:paraId="021B39B6" w14:textId="306FC46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0.66</w:t>
            </w:r>
          </w:p>
        </w:tc>
        <w:tc>
          <w:tcPr>
            <w:tcW w:w="0" w:type="auto"/>
          </w:tcPr>
          <w:p w14:paraId="6981AF0A" w14:textId="4ACEA31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0.59</w:t>
            </w:r>
          </w:p>
        </w:tc>
        <w:tc>
          <w:tcPr>
            <w:tcW w:w="0" w:type="auto"/>
          </w:tcPr>
          <w:p w14:paraId="2F250E1E" w14:textId="7453BD56"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Manufacturing Type 3</w:t>
            </w:r>
          </w:p>
        </w:tc>
      </w:tr>
      <w:tr w:rsidR="00F26ACA" w:rsidRPr="00F26ACA" w14:paraId="7AD1A439"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54A0BE15" w14:textId="4B93827B"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0.36</w:t>
            </w:r>
          </w:p>
        </w:tc>
        <w:tc>
          <w:tcPr>
            <w:tcW w:w="0" w:type="auto"/>
          </w:tcPr>
          <w:p w14:paraId="35A90971" w14:textId="7501746F"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0.92</w:t>
            </w:r>
          </w:p>
        </w:tc>
        <w:tc>
          <w:tcPr>
            <w:tcW w:w="0" w:type="auto"/>
          </w:tcPr>
          <w:p w14:paraId="30DBF76A" w14:textId="53DCB8AA"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0.44</w:t>
            </w:r>
          </w:p>
        </w:tc>
        <w:tc>
          <w:tcPr>
            <w:tcW w:w="0" w:type="auto"/>
          </w:tcPr>
          <w:p w14:paraId="01AF5C4D" w14:textId="55A532CA"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0.40</w:t>
            </w:r>
          </w:p>
        </w:tc>
        <w:tc>
          <w:tcPr>
            <w:tcW w:w="0" w:type="auto"/>
          </w:tcPr>
          <w:p w14:paraId="3F74B1B1" w14:textId="3D9A51D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Startup Type 1</w:t>
            </w:r>
          </w:p>
        </w:tc>
      </w:tr>
      <w:tr w:rsidR="00F26ACA" w:rsidRPr="00F26ACA" w14:paraId="53ECC965"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961624" w14:textId="64427281"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0.92</w:t>
            </w:r>
          </w:p>
        </w:tc>
        <w:tc>
          <w:tcPr>
            <w:tcW w:w="0" w:type="auto"/>
          </w:tcPr>
          <w:p w14:paraId="33DC5199" w14:textId="642FB10D"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0.10</w:t>
            </w:r>
          </w:p>
        </w:tc>
        <w:tc>
          <w:tcPr>
            <w:tcW w:w="0" w:type="auto"/>
          </w:tcPr>
          <w:p w14:paraId="2633315A" w14:textId="14A83909"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0.45</w:t>
            </w:r>
          </w:p>
        </w:tc>
        <w:tc>
          <w:tcPr>
            <w:tcW w:w="0" w:type="auto"/>
          </w:tcPr>
          <w:p w14:paraId="14F90A36" w14:textId="14A0C4AC"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0.04</w:t>
            </w:r>
          </w:p>
        </w:tc>
        <w:tc>
          <w:tcPr>
            <w:tcW w:w="0" w:type="auto"/>
          </w:tcPr>
          <w:p w14:paraId="31097C28" w14:textId="76A5A903"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Startup Type 2</w:t>
            </w:r>
          </w:p>
        </w:tc>
      </w:tr>
      <w:tr w:rsidR="00F26ACA" w:rsidRPr="00F26ACA" w14:paraId="1BAF4DEC"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DF710BE" w14:textId="4C51D093"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4A4A15D3" w14:textId="79BB743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5.43</w:t>
            </w:r>
          </w:p>
        </w:tc>
        <w:tc>
          <w:tcPr>
            <w:tcW w:w="0" w:type="auto"/>
          </w:tcPr>
          <w:p w14:paraId="17342076" w14:textId="27672406"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2.09</w:t>
            </w:r>
          </w:p>
        </w:tc>
        <w:tc>
          <w:tcPr>
            <w:tcW w:w="0" w:type="auto"/>
          </w:tcPr>
          <w:p w14:paraId="45CE1C6B" w14:textId="3ADDC855"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11.36</w:t>
            </w:r>
          </w:p>
        </w:tc>
        <w:tc>
          <w:tcPr>
            <w:tcW w:w="0" w:type="auto"/>
          </w:tcPr>
          <w:p w14:paraId="0F250EA3" w14:textId="695B29A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Intercept</w:t>
            </w:r>
          </w:p>
        </w:tc>
      </w:tr>
      <w:tr w:rsidR="00F26ACA" w:rsidRPr="00F26ACA" w14:paraId="3D74DF6A"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4D0DE2" w14:textId="695A2EDB"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0.88</w:t>
            </w:r>
          </w:p>
        </w:tc>
        <w:tc>
          <w:tcPr>
            <w:tcW w:w="0" w:type="auto"/>
          </w:tcPr>
          <w:p w14:paraId="3A1A64F4" w14:textId="43C46811"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R-Squared</w:t>
            </w:r>
          </w:p>
        </w:tc>
        <w:tc>
          <w:tcPr>
            <w:tcW w:w="0" w:type="auto"/>
          </w:tcPr>
          <w:p w14:paraId="219FB3EB"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06C5F898"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73DE97DD"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26ACA" w:rsidRPr="00F26ACA" w14:paraId="6917029B"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47ABAF2A" w14:textId="60D92C37"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14.11</w:t>
            </w:r>
          </w:p>
        </w:tc>
        <w:tc>
          <w:tcPr>
            <w:tcW w:w="0" w:type="auto"/>
          </w:tcPr>
          <w:p w14:paraId="206BA6F1" w14:textId="0682243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F-Statistic</w:t>
            </w:r>
          </w:p>
        </w:tc>
        <w:tc>
          <w:tcPr>
            <w:tcW w:w="0" w:type="auto"/>
          </w:tcPr>
          <w:p w14:paraId="5CF0265E" w14:textId="777777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03FCD48B" w14:textId="777777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15729DA8" w14:textId="777777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26ACA" w:rsidRPr="00F26ACA" w14:paraId="057AE9C3"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CBE693" w14:textId="49B4B4A3"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53596F51"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tcPr>
          <w:p w14:paraId="29104F11"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71B61471" w14:textId="3482BCD0"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0.85</w:t>
            </w:r>
          </w:p>
        </w:tc>
        <w:tc>
          <w:tcPr>
            <w:tcW w:w="0" w:type="auto"/>
          </w:tcPr>
          <w:p w14:paraId="713B2803" w14:textId="16924B1C"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Adjusted R-Squared</w:t>
            </w:r>
          </w:p>
        </w:tc>
      </w:tr>
    </w:tbl>
    <w:p w14:paraId="1D91A5DC" w14:textId="2C51D460" w:rsidR="00693826" w:rsidRPr="00693826" w:rsidRDefault="00693826" w:rsidP="005757C8">
      <w:pPr>
        <w:bidi w:val="0"/>
        <w:spacing w:after="0" w:line="240" w:lineRule="auto"/>
        <w:jc w:val="both"/>
        <w:rPr>
          <w:rFonts w:asciiTheme="majorBidi" w:hAnsiTheme="majorBidi" w:cstheme="majorBidi"/>
          <w:sz w:val="24"/>
          <w:szCs w:val="24"/>
          <w:rtl/>
        </w:rPr>
      </w:pPr>
      <w:bookmarkStart w:id="26" w:name="_Toc100418615"/>
      <w:bookmarkStart w:id="27" w:name="_Toc100420237"/>
      <w:bookmarkStart w:id="28" w:name="_Toc100421145"/>
      <w:bookmarkStart w:id="29" w:name="_Toc101453467"/>
      <w:r w:rsidRPr="00693826">
        <w:rPr>
          <w:rFonts w:asciiTheme="majorBidi" w:hAnsiTheme="majorBidi" w:cstheme="majorBidi"/>
          <w:sz w:val="24"/>
          <w:szCs w:val="24"/>
        </w:rPr>
        <w:t>The results of estimating the factors influencing the exchange cost for sample-based loans are reported in Table 8. The R-squared value of 84% and the significant F-statistic at the 1% level indicate the overall significance of the model and the high explanatory power of the explanatory variables</w:t>
      </w:r>
      <w:r w:rsidRPr="00693826">
        <w:rPr>
          <w:rFonts w:asciiTheme="majorBidi" w:hAnsiTheme="majorBidi" w:cstheme="majorBidi"/>
          <w:sz w:val="24"/>
          <w:szCs w:val="24"/>
          <w:rtl/>
        </w:rPr>
        <w:t>.</w:t>
      </w:r>
    </w:p>
    <w:p w14:paraId="362F3EDD" w14:textId="10C958CA" w:rsidR="00693826" w:rsidRDefault="00693826" w:rsidP="005757C8">
      <w:pPr>
        <w:bidi w:val="0"/>
        <w:spacing w:after="0" w:line="240" w:lineRule="auto"/>
        <w:jc w:val="both"/>
        <w:rPr>
          <w:rFonts w:ascii="Times New Roman" w:eastAsia="Times New Roman" w:hAnsi="Times New Roman" w:cs="B Mitra"/>
          <w:sz w:val="24"/>
          <w:szCs w:val="28"/>
        </w:rPr>
      </w:pPr>
      <w:r w:rsidRPr="00693826">
        <w:rPr>
          <w:rFonts w:asciiTheme="majorBidi" w:hAnsiTheme="majorBidi" w:cstheme="majorBidi"/>
          <w:sz w:val="24"/>
          <w:szCs w:val="24"/>
        </w:rPr>
        <w:t>It is observed that the variables of loan amount and the time from request to contract signing are significant at the 1% level. The coefficients of these two variables are positive, indicating a direct relationship between these variables and the exchange cost. In other words, larger loans and loans that are deposited later into applicants' accounts result in higher exchange costs. Specifically, with a 1% increase in the loan amount, the exchange cost for companies increases by 0.66%. Similarly, the time from loan request to contract signing with the fund increases the opportunity cost for companies, thus raising the exchange cost for knowledge-based companies. A 1% increase in the time from request to contract signing leads to a 0.14% increase in the exchange cost</w:t>
      </w:r>
      <w:r w:rsidRPr="00693826">
        <w:rPr>
          <w:rFonts w:asciiTheme="majorBidi" w:hAnsiTheme="majorBidi" w:cstheme="majorBidi"/>
          <w:sz w:val="24"/>
          <w:szCs w:val="24"/>
          <w:rtl/>
        </w:rPr>
        <w:t>.</w:t>
      </w:r>
      <w:r w:rsidRPr="00693826">
        <w:rPr>
          <w:rFonts w:asciiTheme="majorBidi" w:hAnsiTheme="majorBidi" w:cstheme="majorBidi"/>
          <w:sz w:val="24"/>
          <w:szCs w:val="24"/>
        </w:rPr>
        <w:t xml:space="preserve"> Since none of the dummy variables for the knowledge-based company types are significant, it can be concluded that there is no significant difference in the exchange cost between different types of knowledge-based companies in sample-based loans. Similar to working capital loans, the relationship between the number of loan disbursements and</w:t>
      </w:r>
      <w:r w:rsidRPr="00693826">
        <w:rPr>
          <w:rFonts w:ascii="Times New Roman" w:eastAsia="Times New Roman" w:hAnsi="Times New Roman" w:cs="B Mitra"/>
          <w:sz w:val="24"/>
          <w:szCs w:val="28"/>
        </w:rPr>
        <w:t xml:space="preserve"> the exchange cost in sample-based loans is also not significant</w:t>
      </w:r>
      <w:r w:rsidR="0055672A">
        <w:rPr>
          <w:rFonts w:ascii="Times New Roman" w:eastAsia="Times New Roman" w:hAnsi="Times New Roman" w:cs="B Mitra"/>
          <w:sz w:val="24"/>
          <w:szCs w:val="28"/>
        </w:rPr>
        <w:t>.</w:t>
      </w:r>
    </w:p>
    <w:bookmarkEnd w:id="26"/>
    <w:bookmarkEnd w:id="27"/>
    <w:bookmarkEnd w:id="28"/>
    <w:bookmarkEnd w:id="29"/>
    <w:p w14:paraId="3C642E9B" w14:textId="7A88F953" w:rsidR="006D2C94" w:rsidRDefault="00CE1BEA" w:rsidP="005757C8">
      <w:pPr>
        <w:spacing w:after="0" w:line="240" w:lineRule="auto"/>
        <w:jc w:val="center"/>
        <w:rPr>
          <w:rFonts w:ascii="Times New Roman" w:eastAsia="Times New Roman" w:hAnsi="Times New Roman" w:cs="B Mitra"/>
          <w:b/>
          <w:bCs/>
          <w:sz w:val="20"/>
          <w:rtl/>
        </w:rPr>
      </w:pPr>
      <w:r w:rsidRPr="001E7C12">
        <w:rPr>
          <w:rFonts w:ascii="Times New Roman" w:eastAsia="Times New Roman" w:hAnsi="Times New Roman" w:cs="B Mitra"/>
          <w:b/>
          <w:bCs/>
          <w:sz w:val="20"/>
        </w:rPr>
        <w:t>Table 8: Results of Estimating the Model of Factors Affecting the Exchange Cost for Sample-Based Loans</w:t>
      </w:r>
    </w:p>
    <w:tbl>
      <w:tblPr>
        <w:tblStyle w:val="PlainTable4"/>
        <w:bidiVisual/>
        <w:tblW w:w="0" w:type="auto"/>
        <w:tblLook w:val="04A0" w:firstRow="1" w:lastRow="0" w:firstColumn="1" w:lastColumn="0" w:noHBand="0" w:noVBand="1"/>
      </w:tblPr>
      <w:tblGrid>
        <w:gridCol w:w="1766"/>
        <w:gridCol w:w="1072"/>
        <w:gridCol w:w="1566"/>
        <w:gridCol w:w="1149"/>
        <w:gridCol w:w="3371"/>
      </w:tblGrid>
      <w:tr w:rsidR="00497B7D" w:rsidRPr="00EA4589" w14:paraId="2BEBB1AD" w14:textId="77777777" w:rsidTr="008E6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05BE09" w14:textId="6A167AB8" w:rsidR="00497B7D" w:rsidRPr="00EA4589" w:rsidRDefault="00497B7D" w:rsidP="005757C8">
            <w:pPr>
              <w:jc w:val="center"/>
              <w:rPr>
                <w:rFonts w:asciiTheme="majorBidi" w:hAnsiTheme="majorBidi"/>
                <w:sz w:val="20"/>
                <w:szCs w:val="20"/>
              </w:rPr>
            </w:pPr>
            <w:r w:rsidRPr="00EA4589">
              <w:rPr>
                <w:rFonts w:asciiTheme="majorBidi" w:hAnsiTheme="majorBidi"/>
                <w:sz w:val="20"/>
                <w:szCs w:val="20"/>
              </w:rPr>
              <w:t>Significance Level</w:t>
            </w:r>
          </w:p>
        </w:tc>
        <w:tc>
          <w:tcPr>
            <w:tcW w:w="0" w:type="auto"/>
          </w:tcPr>
          <w:p w14:paraId="4D584F10" w14:textId="7B6ED17D"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EA4589">
              <w:rPr>
                <w:rFonts w:asciiTheme="majorBidi" w:hAnsiTheme="majorBidi"/>
                <w:sz w:val="20"/>
                <w:szCs w:val="20"/>
              </w:rPr>
              <w:t>t-Statistic</w:t>
            </w:r>
          </w:p>
        </w:tc>
        <w:tc>
          <w:tcPr>
            <w:tcW w:w="0" w:type="auto"/>
          </w:tcPr>
          <w:p w14:paraId="4FDDF2F3" w14:textId="656790C9"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EA4589">
              <w:rPr>
                <w:rFonts w:asciiTheme="majorBidi" w:hAnsiTheme="majorBidi"/>
                <w:sz w:val="20"/>
                <w:szCs w:val="20"/>
              </w:rPr>
              <w:t>Standard Error</w:t>
            </w:r>
          </w:p>
        </w:tc>
        <w:tc>
          <w:tcPr>
            <w:tcW w:w="0" w:type="auto"/>
          </w:tcPr>
          <w:p w14:paraId="10BE41D3" w14:textId="512A49E8"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EA4589">
              <w:rPr>
                <w:rFonts w:asciiTheme="majorBidi" w:hAnsiTheme="majorBidi"/>
                <w:sz w:val="20"/>
                <w:szCs w:val="20"/>
              </w:rPr>
              <w:t>Coefficient</w:t>
            </w:r>
          </w:p>
        </w:tc>
        <w:tc>
          <w:tcPr>
            <w:tcW w:w="0" w:type="auto"/>
          </w:tcPr>
          <w:p w14:paraId="6DF0048E" w14:textId="5E622FC8"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val="0"/>
                <w:bCs w:val="0"/>
                <w:sz w:val="20"/>
                <w:szCs w:val="20"/>
                <w:rtl/>
              </w:rPr>
            </w:pPr>
            <w:r w:rsidRPr="00EA4589">
              <w:rPr>
                <w:rFonts w:asciiTheme="majorBidi" w:hAnsiTheme="majorBidi"/>
                <w:sz w:val="20"/>
                <w:szCs w:val="20"/>
              </w:rPr>
              <w:t>Variable</w:t>
            </w:r>
          </w:p>
        </w:tc>
      </w:tr>
      <w:tr w:rsidR="00497B7D" w:rsidRPr="00EA4589" w14:paraId="1E6D2A1F"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0BF784" w14:textId="77CFF813"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lastRenderedPageBreak/>
              <w:t>0.00</w:t>
            </w:r>
          </w:p>
        </w:tc>
        <w:tc>
          <w:tcPr>
            <w:tcW w:w="0" w:type="auto"/>
          </w:tcPr>
          <w:p w14:paraId="4223493C" w14:textId="006CEABD"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4.73</w:t>
            </w:r>
          </w:p>
        </w:tc>
        <w:tc>
          <w:tcPr>
            <w:tcW w:w="0" w:type="auto"/>
          </w:tcPr>
          <w:p w14:paraId="5EBD6B2C" w14:textId="6D76159F"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0.14</w:t>
            </w:r>
          </w:p>
        </w:tc>
        <w:tc>
          <w:tcPr>
            <w:tcW w:w="0" w:type="auto"/>
          </w:tcPr>
          <w:p w14:paraId="23C551CD" w14:textId="6628611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0.66</w:t>
            </w:r>
          </w:p>
        </w:tc>
        <w:tc>
          <w:tcPr>
            <w:tcW w:w="0" w:type="auto"/>
          </w:tcPr>
          <w:p w14:paraId="63DFDEA4" w14:textId="3622473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Loan Amount</w:t>
            </w:r>
          </w:p>
        </w:tc>
      </w:tr>
      <w:tr w:rsidR="00497B7D" w:rsidRPr="00EA4589" w14:paraId="4C674C7F"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5CF5BA5B" w14:textId="5C12CCDD"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0.23</w:t>
            </w:r>
          </w:p>
        </w:tc>
        <w:tc>
          <w:tcPr>
            <w:tcW w:w="0" w:type="auto"/>
          </w:tcPr>
          <w:p w14:paraId="59FB1FC1" w14:textId="584A29DA"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1.22</w:t>
            </w:r>
          </w:p>
        </w:tc>
        <w:tc>
          <w:tcPr>
            <w:tcW w:w="0" w:type="auto"/>
          </w:tcPr>
          <w:p w14:paraId="11FE2222" w14:textId="30347BCB"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0.47</w:t>
            </w:r>
          </w:p>
        </w:tc>
        <w:tc>
          <w:tcPr>
            <w:tcW w:w="0" w:type="auto"/>
          </w:tcPr>
          <w:p w14:paraId="5D701EDC" w14:textId="687DEE4A"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0.58</w:t>
            </w:r>
          </w:p>
        </w:tc>
        <w:tc>
          <w:tcPr>
            <w:tcW w:w="0" w:type="auto"/>
          </w:tcPr>
          <w:p w14:paraId="315CB3B7" w14:textId="422B7B0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Number of Payment Stages</w:t>
            </w:r>
          </w:p>
        </w:tc>
      </w:tr>
      <w:tr w:rsidR="00497B7D" w:rsidRPr="00EA4589" w14:paraId="4A71F38E"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EE75E2" w14:textId="191B95D6"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0" w:type="auto"/>
          </w:tcPr>
          <w:p w14:paraId="242D3F76" w14:textId="524FE17F"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0.26</w:t>
            </w:r>
          </w:p>
        </w:tc>
        <w:tc>
          <w:tcPr>
            <w:tcW w:w="0" w:type="auto"/>
          </w:tcPr>
          <w:p w14:paraId="76E85BF8" w14:textId="5D8AAC29"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0.04</w:t>
            </w:r>
          </w:p>
        </w:tc>
        <w:tc>
          <w:tcPr>
            <w:tcW w:w="0" w:type="auto"/>
          </w:tcPr>
          <w:p w14:paraId="4B1D2B95" w14:textId="2BFB97B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0.01</w:t>
            </w:r>
          </w:p>
        </w:tc>
        <w:tc>
          <w:tcPr>
            <w:tcW w:w="0" w:type="auto"/>
          </w:tcPr>
          <w:p w14:paraId="391DE1F3" w14:textId="6DF8BDE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Company Capital</w:t>
            </w:r>
          </w:p>
        </w:tc>
      </w:tr>
      <w:tr w:rsidR="00497B7D" w:rsidRPr="00EA4589" w14:paraId="08C7A839"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109964FB" w14:textId="7A9ACA2B"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67C3B537" w14:textId="1F4ABFBF"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2.35</w:t>
            </w:r>
          </w:p>
        </w:tc>
        <w:tc>
          <w:tcPr>
            <w:tcW w:w="0" w:type="auto"/>
          </w:tcPr>
          <w:p w14:paraId="5A0BFC7C" w14:textId="11AABA10"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0.05</w:t>
            </w:r>
          </w:p>
        </w:tc>
        <w:tc>
          <w:tcPr>
            <w:tcW w:w="0" w:type="auto"/>
          </w:tcPr>
          <w:p w14:paraId="18E20468" w14:textId="5DB0A9B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0.14</w:t>
            </w:r>
          </w:p>
        </w:tc>
        <w:tc>
          <w:tcPr>
            <w:tcW w:w="0" w:type="auto"/>
          </w:tcPr>
          <w:p w14:paraId="31CFB7B7" w14:textId="5D6BAA45"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Time Between Request and Contract</w:t>
            </w:r>
          </w:p>
        </w:tc>
      </w:tr>
      <w:tr w:rsidR="00497B7D" w:rsidRPr="00EA4589" w14:paraId="127875A9"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8D43C8" w14:textId="066FFC46"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0.84</w:t>
            </w:r>
          </w:p>
        </w:tc>
        <w:tc>
          <w:tcPr>
            <w:tcW w:w="0" w:type="auto"/>
          </w:tcPr>
          <w:p w14:paraId="3C6E4EE3" w14:textId="112DCFCA"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-0.07</w:t>
            </w:r>
          </w:p>
        </w:tc>
        <w:tc>
          <w:tcPr>
            <w:tcW w:w="0" w:type="auto"/>
          </w:tcPr>
          <w:p w14:paraId="6ED51E6C" w14:textId="2589415D"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0.21</w:t>
            </w:r>
          </w:p>
        </w:tc>
        <w:tc>
          <w:tcPr>
            <w:tcW w:w="0" w:type="auto"/>
          </w:tcPr>
          <w:p w14:paraId="00FD0BC6" w14:textId="1D9D637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-0.01</w:t>
            </w:r>
          </w:p>
        </w:tc>
        <w:tc>
          <w:tcPr>
            <w:tcW w:w="0" w:type="auto"/>
          </w:tcPr>
          <w:p w14:paraId="06B96C32" w14:textId="39FE1F3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Number of Loans Taken from the Fund</w:t>
            </w:r>
          </w:p>
        </w:tc>
      </w:tr>
      <w:tr w:rsidR="00497B7D" w:rsidRPr="00EA4589" w14:paraId="0AFFA0E0"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2469BEA" w14:textId="6500E117"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0" w:type="auto"/>
          </w:tcPr>
          <w:p w14:paraId="59D83516" w14:textId="6DC81435"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-0.26</w:t>
            </w:r>
          </w:p>
        </w:tc>
        <w:tc>
          <w:tcPr>
            <w:tcW w:w="0" w:type="auto"/>
          </w:tcPr>
          <w:p w14:paraId="567983B7" w14:textId="2FBC21D4"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0.30</w:t>
            </w:r>
          </w:p>
        </w:tc>
        <w:tc>
          <w:tcPr>
            <w:tcW w:w="0" w:type="auto"/>
          </w:tcPr>
          <w:p w14:paraId="0EBEE93D" w14:textId="5F6A7D22"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-0.07</w:t>
            </w:r>
          </w:p>
        </w:tc>
        <w:tc>
          <w:tcPr>
            <w:tcW w:w="0" w:type="auto"/>
          </w:tcPr>
          <w:p w14:paraId="4D066FE6" w14:textId="134F6742"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Virtual Production Type 2</w:t>
            </w:r>
          </w:p>
        </w:tc>
      </w:tr>
      <w:tr w:rsidR="00497B7D" w:rsidRPr="00EA4589" w14:paraId="4005DEED"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CB6E72" w14:textId="683903A6"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0.69</w:t>
            </w:r>
          </w:p>
        </w:tc>
        <w:tc>
          <w:tcPr>
            <w:tcW w:w="0" w:type="auto"/>
          </w:tcPr>
          <w:p w14:paraId="1658C051" w14:textId="6E4DEBBE"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0.40</w:t>
            </w:r>
          </w:p>
        </w:tc>
        <w:tc>
          <w:tcPr>
            <w:tcW w:w="0" w:type="auto"/>
          </w:tcPr>
          <w:p w14:paraId="65D6A00A" w14:textId="3E59BC34"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0.68</w:t>
            </w:r>
          </w:p>
        </w:tc>
        <w:tc>
          <w:tcPr>
            <w:tcW w:w="0" w:type="auto"/>
          </w:tcPr>
          <w:p w14:paraId="75C69DCF" w14:textId="1395EB30"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0.27</w:t>
            </w:r>
          </w:p>
        </w:tc>
        <w:tc>
          <w:tcPr>
            <w:tcW w:w="0" w:type="auto"/>
          </w:tcPr>
          <w:p w14:paraId="5FA109E7" w14:textId="796C512C"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Startup Virtual Type 1</w:t>
            </w:r>
          </w:p>
        </w:tc>
      </w:tr>
      <w:tr w:rsidR="00497B7D" w:rsidRPr="00EA4589" w14:paraId="7B805D9F"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C45F52D" w14:textId="4B7302CA"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0.43</w:t>
            </w:r>
          </w:p>
        </w:tc>
        <w:tc>
          <w:tcPr>
            <w:tcW w:w="0" w:type="auto"/>
          </w:tcPr>
          <w:p w14:paraId="62DB9956" w14:textId="163ED853"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0.80</w:t>
            </w:r>
          </w:p>
        </w:tc>
        <w:tc>
          <w:tcPr>
            <w:tcW w:w="0" w:type="auto"/>
          </w:tcPr>
          <w:p w14:paraId="1D9657DA" w14:textId="03FDB2EF"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0.38</w:t>
            </w:r>
          </w:p>
        </w:tc>
        <w:tc>
          <w:tcPr>
            <w:tcW w:w="0" w:type="auto"/>
          </w:tcPr>
          <w:p w14:paraId="2BB51758" w14:textId="36C638F1"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0.30</w:t>
            </w:r>
          </w:p>
        </w:tc>
        <w:tc>
          <w:tcPr>
            <w:tcW w:w="0" w:type="auto"/>
          </w:tcPr>
          <w:p w14:paraId="5D4D59F1" w14:textId="6D833F4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Virtual Type 2</w:t>
            </w:r>
          </w:p>
        </w:tc>
      </w:tr>
      <w:tr w:rsidR="00497B7D" w:rsidRPr="00EA4589" w14:paraId="6E046189"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948C42" w14:textId="5F1F7CCE"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0BD57E3F" w14:textId="5603C7F9"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2.85</w:t>
            </w:r>
          </w:p>
        </w:tc>
        <w:tc>
          <w:tcPr>
            <w:tcW w:w="0" w:type="auto"/>
          </w:tcPr>
          <w:p w14:paraId="1858E831" w14:textId="6A1B6CD4"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0.99</w:t>
            </w:r>
          </w:p>
        </w:tc>
        <w:tc>
          <w:tcPr>
            <w:tcW w:w="0" w:type="auto"/>
          </w:tcPr>
          <w:p w14:paraId="25D06736" w14:textId="392AE4E5"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2.83</w:t>
            </w:r>
          </w:p>
        </w:tc>
        <w:tc>
          <w:tcPr>
            <w:tcW w:w="0" w:type="auto"/>
          </w:tcPr>
          <w:p w14:paraId="47143A10" w14:textId="3D9C03E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Intercept</w:t>
            </w:r>
          </w:p>
        </w:tc>
      </w:tr>
      <w:tr w:rsidR="00497B7D" w:rsidRPr="00EA4589" w14:paraId="66CA8109"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91EA9EC" w14:textId="254E7F2D"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0.84</w:t>
            </w:r>
          </w:p>
        </w:tc>
        <w:tc>
          <w:tcPr>
            <w:tcW w:w="0" w:type="auto"/>
          </w:tcPr>
          <w:p w14:paraId="6869A4F7" w14:textId="4F71950C"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R-Squared</w:t>
            </w:r>
          </w:p>
        </w:tc>
        <w:tc>
          <w:tcPr>
            <w:tcW w:w="0" w:type="auto"/>
          </w:tcPr>
          <w:p w14:paraId="37EA7697" w14:textId="7777777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tcPr>
          <w:p w14:paraId="38D4570C" w14:textId="7777777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tcPr>
          <w:p w14:paraId="451C392E" w14:textId="7777777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r w:rsidR="00497B7D" w:rsidRPr="00EA4589" w14:paraId="59DF08A8"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C5229F" w14:textId="536FD3EF"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10.5</w:t>
            </w:r>
          </w:p>
        </w:tc>
        <w:tc>
          <w:tcPr>
            <w:tcW w:w="0" w:type="auto"/>
          </w:tcPr>
          <w:p w14:paraId="02CDD3E7" w14:textId="04226B38"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F-statistic</w:t>
            </w:r>
          </w:p>
        </w:tc>
        <w:tc>
          <w:tcPr>
            <w:tcW w:w="0" w:type="auto"/>
          </w:tcPr>
          <w:p w14:paraId="2D4709DB" w14:textId="7777777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tcPr>
          <w:p w14:paraId="1951E53B" w14:textId="7777777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tcPr>
          <w:p w14:paraId="75D3CFFD" w14:textId="7777777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r>
    </w:tbl>
    <w:p w14:paraId="25AB000C" w14:textId="2C2D86E2" w:rsidR="00CE1BEA" w:rsidRDefault="00CE1BEA" w:rsidP="005757C8">
      <w:pPr>
        <w:spacing w:after="0" w:line="240" w:lineRule="auto"/>
        <w:jc w:val="both"/>
        <w:rPr>
          <w:rFonts w:ascii="Times New Roman Bold" w:eastAsia="Calibri" w:hAnsi="Times New Roman Bold" w:cs="B Mitra"/>
          <w:b/>
          <w:bCs/>
          <w:sz w:val="28"/>
          <w:szCs w:val="24"/>
        </w:rPr>
      </w:pPr>
    </w:p>
    <w:p w14:paraId="5CBA027D" w14:textId="6703DC68" w:rsidR="00E632CF" w:rsidRDefault="00E632CF" w:rsidP="00E632CF">
      <w:pPr>
        <w:pStyle w:val="NormalWeb"/>
        <w:jc w:val="both"/>
      </w:pPr>
      <w:r>
        <w:t>Table 9 presents the results of the econometric estimation model for the exchange cost ratio in sample-based loans. The model demonstrates a high explanatory power, as approximately 79% of the variation in the exchange cost ratio is explained by the included variables. Additionally, the overall model is statistically significant at the 1% level, as indicated by the F-statistic. In this model, two variables—loan amount and the time between request and contract signing—are found to be significant at the 5% and 1% levels, respectively. The coefficient for the loan amount is negative, with a value of -0.33. This implies that a 1% increase in the loan amount results in a 0.33% decrease in the exchange cost ratio. Comparing this result to the previous model, where the loan amount had a positive impact on exchange costs, it can be concluded that as the loan amount increases, while the total exchange cost rises, the exchange cost per unit decreases. Therefore, companies receiving smaller loans tend to incur higher exchange costs relative to the loan amount. Furthermore, the model shows that as the time between the loan request and contract signing increases, the opportunity costs for the companies also rise, leading to an increase in the exchange cost ratio. Similar to earlier findings, there is no significant difference in the exchange cost ratio between different types of knowledge-based companies, suggesting that company type does not influence the exchange cost ratio in sample-based loans.</w:t>
      </w:r>
    </w:p>
    <w:p w14:paraId="771A3651" w14:textId="77777777" w:rsidR="00E632CF" w:rsidRDefault="00E632CF" w:rsidP="005757C8">
      <w:pPr>
        <w:bidi w:val="0"/>
        <w:spacing w:after="0" w:line="240" w:lineRule="auto"/>
        <w:jc w:val="center"/>
        <w:rPr>
          <w:rFonts w:asciiTheme="majorBidi" w:hAnsiTheme="majorBidi" w:cstheme="majorBidi"/>
          <w:b/>
          <w:bCs/>
          <w:sz w:val="20"/>
          <w:szCs w:val="20"/>
        </w:rPr>
      </w:pPr>
    </w:p>
    <w:p w14:paraId="7A447D8A" w14:textId="0055D006" w:rsidR="003A2F59" w:rsidRPr="003A2F59" w:rsidRDefault="003A2F59" w:rsidP="00E632CF">
      <w:pPr>
        <w:bidi w:val="0"/>
        <w:spacing w:after="0" w:line="240" w:lineRule="auto"/>
        <w:jc w:val="center"/>
        <w:rPr>
          <w:rFonts w:asciiTheme="majorBidi" w:hAnsiTheme="majorBidi" w:cstheme="majorBidi"/>
          <w:b/>
          <w:bCs/>
          <w:sz w:val="20"/>
          <w:szCs w:val="20"/>
        </w:rPr>
      </w:pPr>
      <w:r w:rsidRPr="003A2F59">
        <w:rPr>
          <w:rFonts w:asciiTheme="majorBidi" w:hAnsiTheme="majorBidi" w:cstheme="majorBidi"/>
          <w:b/>
          <w:bCs/>
          <w:sz w:val="20"/>
          <w:szCs w:val="20"/>
        </w:rPr>
        <w:t>Table 9: Results of the Estimation Model for the Factors Affecting the Exchange Cost Ratio to Loan Amount in Sample-Based Loans</w:t>
      </w:r>
      <w:r w:rsidRPr="003A2F59">
        <w:rPr>
          <w:rFonts w:asciiTheme="majorBidi" w:hAnsiTheme="majorBidi" w:cstheme="majorBidi"/>
          <w:b/>
          <w:bCs/>
          <w:sz w:val="20"/>
          <w:szCs w:val="20"/>
          <w:rtl/>
        </w:rPr>
        <w:t>.</w:t>
      </w:r>
    </w:p>
    <w:tbl>
      <w:tblPr>
        <w:tblStyle w:val="PlainTable4"/>
        <w:bidiVisual/>
        <w:tblW w:w="5000" w:type="pct"/>
        <w:tblLook w:val="04A0" w:firstRow="1" w:lastRow="0" w:firstColumn="1" w:lastColumn="0" w:noHBand="0" w:noVBand="1"/>
      </w:tblPr>
      <w:tblGrid>
        <w:gridCol w:w="1732"/>
        <w:gridCol w:w="1108"/>
        <w:gridCol w:w="1478"/>
        <w:gridCol w:w="1188"/>
        <w:gridCol w:w="3520"/>
      </w:tblGrid>
      <w:tr w:rsidR="0071799B" w:rsidRPr="0071799B" w14:paraId="244EF0C2" w14:textId="77777777" w:rsidTr="008E6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E453D97" w14:textId="7036A012" w:rsidR="0071799B" w:rsidRPr="0071799B" w:rsidRDefault="0071799B" w:rsidP="005757C8">
            <w:pPr>
              <w:jc w:val="center"/>
              <w:rPr>
                <w:rFonts w:asciiTheme="majorBidi" w:hAnsiTheme="majorBidi"/>
                <w:sz w:val="20"/>
                <w:szCs w:val="20"/>
              </w:rPr>
            </w:pPr>
            <w:r w:rsidRPr="0071799B">
              <w:rPr>
                <w:rFonts w:asciiTheme="majorBidi" w:hAnsiTheme="majorBidi"/>
                <w:sz w:val="20"/>
                <w:szCs w:val="20"/>
              </w:rPr>
              <w:t>Significance Level</w:t>
            </w:r>
          </w:p>
        </w:tc>
        <w:tc>
          <w:tcPr>
            <w:tcW w:w="614" w:type="pct"/>
          </w:tcPr>
          <w:p w14:paraId="11588188" w14:textId="7AA7B96A"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t-Statistic</w:t>
            </w:r>
          </w:p>
        </w:tc>
        <w:tc>
          <w:tcPr>
            <w:tcW w:w="819" w:type="pct"/>
          </w:tcPr>
          <w:p w14:paraId="0B6DF050" w14:textId="0F81007C"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Standard Error</w:t>
            </w:r>
          </w:p>
        </w:tc>
        <w:tc>
          <w:tcPr>
            <w:tcW w:w="658" w:type="pct"/>
          </w:tcPr>
          <w:p w14:paraId="13A8DF7E" w14:textId="62FC5AF4"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Coefficient</w:t>
            </w:r>
          </w:p>
        </w:tc>
        <w:tc>
          <w:tcPr>
            <w:tcW w:w="1950" w:type="pct"/>
          </w:tcPr>
          <w:p w14:paraId="5092A19D" w14:textId="063A2E8B"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Variable</w:t>
            </w:r>
          </w:p>
        </w:tc>
      </w:tr>
      <w:tr w:rsidR="0071799B" w:rsidRPr="0071799B" w14:paraId="3999DA0B"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3770B76" w14:textId="01182D31"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0.02</w:t>
            </w:r>
          </w:p>
        </w:tc>
        <w:tc>
          <w:tcPr>
            <w:tcW w:w="614" w:type="pct"/>
          </w:tcPr>
          <w:p w14:paraId="08FF5E33" w14:textId="178A681A"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-2.39</w:t>
            </w:r>
          </w:p>
        </w:tc>
        <w:tc>
          <w:tcPr>
            <w:tcW w:w="819" w:type="pct"/>
          </w:tcPr>
          <w:p w14:paraId="47CD8412" w14:textId="33C862DF"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0.14</w:t>
            </w:r>
          </w:p>
        </w:tc>
        <w:tc>
          <w:tcPr>
            <w:tcW w:w="658" w:type="pct"/>
          </w:tcPr>
          <w:p w14:paraId="32509390" w14:textId="2985D78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-0.33</w:t>
            </w:r>
          </w:p>
        </w:tc>
        <w:tc>
          <w:tcPr>
            <w:tcW w:w="1950" w:type="pct"/>
          </w:tcPr>
          <w:p w14:paraId="5839B9CD" w14:textId="0EAADF7B"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Loan Amount</w:t>
            </w:r>
          </w:p>
        </w:tc>
      </w:tr>
      <w:tr w:rsidR="0071799B" w:rsidRPr="0071799B" w14:paraId="3C9C25AC"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5E4EB967" w14:textId="4C4C23B3"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0.23</w:t>
            </w:r>
          </w:p>
        </w:tc>
        <w:tc>
          <w:tcPr>
            <w:tcW w:w="614" w:type="pct"/>
          </w:tcPr>
          <w:p w14:paraId="0D2B835B" w14:textId="20025A1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1.22</w:t>
            </w:r>
          </w:p>
        </w:tc>
        <w:tc>
          <w:tcPr>
            <w:tcW w:w="819" w:type="pct"/>
          </w:tcPr>
          <w:p w14:paraId="595AF2DA" w14:textId="1546EE3D"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0.47</w:t>
            </w:r>
          </w:p>
        </w:tc>
        <w:tc>
          <w:tcPr>
            <w:tcW w:w="658" w:type="pct"/>
          </w:tcPr>
          <w:p w14:paraId="11238943" w14:textId="5D2E5161"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0.58</w:t>
            </w:r>
          </w:p>
        </w:tc>
        <w:tc>
          <w:tcPr>
            <w:tcW w:w="1950" w:type="pct"/>
          </w:tcPr>
          <w:p w14:paraId="1B5590AE" w14:textId="54F4F16B"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Number of Payment Stages</w:t>
            </w:r>
          </w:p>
        </w:tc>
      </w:tr>
      <w:tr w:rsidR="0071799B" w:rsidRPr="0071799B" w14:paraId="1B293E33"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D5E15BE" w14:textId="53DE8763"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614" w:type="pct"/>
          </w:tcPr>
          <w:p w14:paraId="2D750732" w14:textId="1AFCC1ED"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0.26</w:t>
            </w:r>
          </w:p>
        </w:tc>
        <w:tc>
          <w:tcPr>
            <w:tcW w:w="819" w:type="pct"/>
          </w:tcPr>
          <w:p w14:paraId="7DA1D596" w14:textId="6DA85638"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0.04</w:t>
            </w:r>
          </w:p>
        </w:tc>
        <w:tc>
          <w:tcPr>
            <w:tcW w:w="658" w:type="pct"/>
          </w:tcPr>
          <w:p w14:paraId="448BE62F" w14:textId="6E009A3A"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0.01</w:t>
            </w:r>
          </w:p>
        </w:tc>
        <w:tc>
          <w:tcPr>
            <w:tcW w:w="1950" w:type="pct"/>
          </w:tcPr>
          <w:p w14:paraId="460A7B4E" w14:textId="282994E3"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Company Capital</w:t>
            </w:r>
          </w:p>
        </w:tc>
      </w:tr>
      <w:tr w:rsidR="0071799B" w:rsidRPr="0071799B" w14:paraId="0663E1E2"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1843DC5B" w14:textId="5E419F01"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0.00</w:t>
            </w:r>
          </w:p>
        </w:tc>
        <w:tc>
          <w:tcPr>
            <w:tcW w:w="614" w:type="pct"/>
          </w:tcPr>
          <w:p w14:paraId="7E6960E0" w14:textId="167DE1B3"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2.73</w:t>
            </w:r>
          </w:p>
        </w:tc>
        <w:tc>
          <w:tcPr>
            <w:tcW w:w="819" w:type="pct"/>
          </w:tcPr>
          <w:p w14:paraId="2BB67F11" w14:textId="76485EED"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0.05</w:t>
            </w:r>
          </w:p>
        </w:tc>
        <w:tc>
          <w:tcPr>
            <w:tcW w:w="658" w:type="pct"/>
          </w:tcPr>
          <w:p w14:paraId="1335753D" w14:textId="516E8E33"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0.14</w:t>
            </w:r>
          </w:p>
        </w:tc>
        <w:tc>
          <w:tcPr>
            <w:tcW w:w="1950" w:type="pct"/>
          </w:tcPr>
          <w:p w14:paraId="04DF5245" w14:textId="19522E25"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Time Between Request and Contract</w:t>
            </w:r>
          </w:p>
        </w:tc>
      </w:tr>
      <w:tr w:rsidR="0071799B" w:rsidRPr="0071799B" w14:paraId="2CEB3543"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0DD5326" w14:textId="00C0FF56"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0.94</w:t>
            </w:r>
          </w:p>
        </w:tc>
        <w:tc>
          <w:tcPr>
            <w:tcW w:w="614" w:type="pct"/>
          </w:tcPr>
          <w:p w14:paraId="05CBAD8D" w14:textId="07103B12"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-0.07</w:t>
            </w:r>
          </w:p>
        </w:tc>
        <w:tc>
          <w:tcPr>
            <w:tcW w:w="819" w:type="pct"/>
          </w:tcPr>
          <w:p w14:paraId="71CDBE68" w14:textId="14B6D731"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0.21</w:t>
            </w:r>
          </w:p>
        </w:tc>
        <w:tc>
          <w:tcPr>
            <w:tcW w:w="658" w:type="pct"/>
          </w:tcPr>
          <w:p w14:paraId="7D0E80DB" w14:textId="456A33E0"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-0.01</w:t>
            </w:r>
          </w:p>
        </w:tc>
        <w:tc>
          <w:tcPr>
            <w:tcW w:w="1950" w:type="pct"/>
          </w:tcPr>
          <w:p w14:paraId="3072531C" w14:textId="1654FBFF"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Number of Loan Acquisitions from Fund</w:t>
            </w:r>
          </w:p>
        </w:tc>
      </w:tr>
      <w:tr w:rsidR="0071799B" w:rsidRPr="0071799B" w14:paraId="793AF82B"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566707E2" w14:textId="555418BD"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614" w:type="pct"/>
          </w:tcPr>
          <w:p w14:paraId="49A639F3" w14:textId="1645DFDB"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-0.26</w:t>
            </w:r>
          </w:p>
        </w:tc>
        <w:tc>
          <w:tcPr>
            <w:tcW w:w="819" w:type="pct"/>
          </w:tcPr>
          <w:p w14:paraId="0909F8BF" w14:textId="11A99C31"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0.30</w:t>
            </w:r>
          </w:p>
        </w:tc>
        <w:tc>
          <w:tcPr>
            <w:tcW w:w="658" w:type="pct"/>
          </w:tcPr>
          <w:p w14:paraId="5E986637" w14:textId="32D9D02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-0.07</w:t>
            </w:r>
          </w:p>
        </w:tc>
        <w:tc>
          <w:tcPr>
            <w:tcW w:w="1950" w:type="pct"/>
          </w:tcPr>
          <w:p w14:paraId="179639FA" w14:textId="6913458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Dummy Variable for Type 2 Production</w:t>
            </w:r>
          </w:p>
        </w:tc>
      </w:tr>
      <w:tr w:rsidR="0071799B" w:rsidRPr="0071799B" w14:paraId="16A778B0"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664F8D58" w14:textId="235F3252"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0.69</w:t>
            </w:r>
          </w:p>
        </w:tc>
        <w:tc>
          <w:tcPr>
            <w:tcW w:w="614" w:type="pct"/>
          </w:tcPr>
          <w:p w14:paraId="14EE4F66" w14:textId="161A4B4F"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0.40</w:t>
            </w:r>
          </w:p>
        </w:tc>
        <w:tc>
          <w:tcPr>
            <w:tcW w:w="819" w:type="pct"/>
          </w:tcPr>
          <w:p w14:paraId="1568BB26" w14:textId="09C7CF2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0.68</w:t>
            </w:r>
          </w:p>
        </w:tc>
        <w:tc>
          <w:tcPr>
            <w:tcW w:w="658" w:type="pct"/>
          </w:tcPr>
          <w:p w14:paraId="6DE05208" w14:textId="51638AA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0.27</w:t>
            </w:r>
          </w:p>
        </w:tc>
        <w:tc>
          <w:tcPr>
            <w:tcW w:w="1950" w:type="pct"/>
          </w:tcPr>
          <w:p w14:paraId="51B7E3B5" w14:textId="72CBD175"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Dummy Variable for Type 1 Startup</w:t>
            </w:r>
          </w:p>
        </w:tc>
      </w:tr>
      <w:tr w:rsidR="0071799B" w:rsidRPr="0071799B" w14:paraId="796197C4"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31CDBAED" w14:textId="102F61B4"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0.43</w:t>
            </w:r>
          </w:p>
        </w:tc>
        <w:tc>
          <w:tcPr>
            <w:tcW w:w="614" w:type="pct"/>
          </w:tcPr>
          <w:p w14:paraId="3C88D869" w14:textId="04C3F4F6"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0.80</w:t>
            </w:r>
          </w:p>
        </w:tc>
        <w:tc>
          <w:tcPr>
            <w:tcW w:w="819" w:type="pct"/>
          </w:tcPr>
          <w:p w14:paraId="68E30477" w14:textId="6C99282D"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0.38</w:t>
            </w:r>
          </w:p>
        </w:tc>
        <w:tc>
          <w:tcPr>
            <w:tcW w:w="658" w:type="pct"/>
          </w:tcPr>
          <w:p w14:paraId="682F3EA4" w14:textId="4AA749FF"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0.30</w:t>
            </w:r>
          </w:p>
        </w:tc>
        <w:tc>
          <w:tcPr>
            <w:tcW w:w="1950" w:type="pct"/>
          </w:tcPr>
          <w:p w14:paraId="77830B9E" w14:textId="0ECE9B06"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Dummy Variable for Type 2 Startup</w:t>
            </w:r>
          </w:p>
        </w:tc>
      </w:tr>
      <w:tr w:rsidR="0071799B" w:rsidRPr="0071799B" w14:paraId="6D1A729E"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300845A5" w14:textId="271DF16D"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0.01</w:t>
            </w:r>
          </w:p>
        </w:tc>
        <w:tc>
          <w:tcPr>
            <w:tcW w:w="614" w:type="pct"/>
          </w:tcPr>
          <w:p w14:paraId="4864A621" w14:textId="42C39792"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2.68</w:t>
            </w:r>
          </w:p>
        </w:tc>
        <w:tc>
          <w:tcPr>
            <w:tcW w:w="819" w:type="pct"/>
          </w:tcPr>
          <w:p w14:paraId="58461C00" w14:textId="649AA5F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2.77</w:t>
            </w:r>
          </w:p>
        </w:tc>
        <w:tc>
          <w:tcPr>
            <w:tcW w:w="658" w:type="pct"/>
          </w:tcPr>
          <w:p w14:paraId="14AD07F1" w14:textId="1BDEAE9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7.43</w:t>
            </w:r>
          </w:p>
        </w:tc>
        <w:tc>
          <w:tcPr>
            <w:tcW w:w="1950" w:type="pct"/>
          </w:tcPr>
          <w:p w14:paraId="4D165728" w14:textId="48DD4607"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Intercept</w:t>
            </w:r>
          </w:p>
        </w:tc>
      </w:tr>
      <w:tr w:rsidR="0071799B" w:rsidRPr="0071799B" w14:paraId="26B0FAFB"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2AAC167A" w14:textId="6BD44C96"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614" w:type="pct"/>
          </w:tcPr>
          <w:p w14:paraId="26E7228F" w14:textId="4A8B12B9"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R-squared</w:t>
            </w:r>
          </w:p>
        </w:tc>
        <w:tc>
          <w:tcPr>
            <w:tcW w:w="819" w:type="pct"/>
          </w:tcPr>
          <w:p w14:paraId="0C25926E" w14:textId="7777777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58" w:type="pct"/>
          </w:tcPr>
          <w:p w14:paraId="186F4E92" w14:textId="7777777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950" w:type="pct"/>
          </w:tcPr>
          <w:p w14:paraId="0125EAE5" w14:textId="7777777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2D75BA7B" w14:textId="77777777" w:rsidR="007B7495" w:rsidRDefault="007B7495" w:rsidP="007B7495">
      <w:pPr>
        <w:pStyle w:val="NormalWeb"/>
        <w:jc w:val="both"/>
      </w:pPr>
      <w:bookmarkStart w:id="30" w:name="_Toc100418617"/>
      <w:bookmarkStart w:id="31" w:name="_Toc100420239"/>
      <w:bookmarkStart w:id="32" w:name="_Toc100421147"/>
      <w:bookmarkStart w:id="33" w:name="_Toc101453469"/>
      <w:r>
        <w:t xml:space="preserve">The estimation model for factors affecting exchange costs in industrial production loans reveals that the loan amount, number of payment stages, time between loan request and contract signing, and the number of loan acquisitions are all significant contributors. The model demonstrates strong explanatory power with an R-squared value of 84% and a significant F-statistic at the 1% level. Larger loan amounts, more payment stages, and longer time gaps between the request and contract signing increase exchange costs due to higher opportunity costs. Specifically, a 1% increase in loan amount raises exchange costs by 0.20%, a 1% increase </w:t>
      </w:r>
      <w:r>
        <w:lastRenderedPageBreak/>
        <w:t>in time between request and contract results in a 1.48% increase, and a 1% increase in the number of payment stages leads to a 0.11% rise in costs. The type of knowledge-based company did not significantly influence exchange costs, indicating no substantial differences among company types in sample-based loans. Additionally, the model found that repeated loan acquisitions reduced exchange costs, suggesting that familiarity with the loan process can improve efficiency and reduce transaction costs for industrial production loans.</w:t>
      </w:r>
    </w:p>
    <w:p w14:paraId="7FCB3CA6" w14:textId="77777777" w:rsidR="007B7495" w:rsidRDefault="007B7495" w:rsidP="005757C8">
      <w:pPr>
        <w:spacing w:after="0" w:line="240" w:lineRule="auto"/>
        <w:jc w:val="center"/>
        <w:rPr>
          <w:rFonts w:asciiTheme="majorBidi" w:hAnsiTheme="majorBidi" w:cstheme="majorBidi"/>
          <w:b/>
          <w:bCs/>
          <w:sz w:val="20"/>
          <w:szCs w:val="20"/>
        </w:rPr>
      </w:pPr>
    </w:p>
    <w:p w14:paraId="2102253B" w14:textId="66B9C519" w:rsidR="004A36A7" w:rsidRPr="004A36A7" w:rsidRDefault="004A36A7" w:rsidP="005757C8">
      <w:pPr>
        <w:spacing w:after="0" w:line="240" w:lineRule="auto"/>
        <w:jc w:val="center"/>
        <w:rPr>
          <w:rFonts w:asciiTheme="majorBidi" w:hAnsiTheme="majorBidi" w:cstheme="majorBidi"/>
          <w:b/>
          <w:bCs/>
          <w:sz w:val="20"/>
          <w:szCs w:val="20"/>
        </w:rPr>
      </w:pPr>
      <w:r w:rsidRPr="004A36A7">
        <w:rPr>
          <w:rFonts w:asciiTheme="majorBidi" w:hAnsiTheme="majorBidi" w:cstheme="majorBidi"/>
          <w:b/>
          <w:bCs/>
          <w:sz w:val="20"/>
          <w:szCs w:val="20"/>
        </w:rPr>
        <w:t>Table 10 - Results of the Estimation Model for the Factors Affecting the Exchange Cost in Industrial Production Activities Loans</w:t>
      </w:r>
    </w:p>
    <w:tbl>
      <w:tblPr>
        <w:tblStyle w:val="PlainTable51"/>
        <w:tblW w:w="5000" w:type="pct"/>
        <w:tblLook w:val="04A0" w:firstRow="1" w:lastRow="0" w:firstColumn="1" w:lastColumn="0" w:noHBand="0" w:noVBand="1"/>
      </w:tblPr>
      <w:tblGrid>
        <w:gridCol w:w="3348"/>
        <w:gridCol w:w="1215"/>
        <w:gridCol w:w="1522"/>
        <w:gridCol w:w="1069"/>
        <w:gridCol w:w="1872"/>
      </w:tblGrid>
      <w:tr w:rsidR="004A36A7" w:rsidRPr="00675882" w14:paraId="3E4171D1" w14:textId="77777777" w:rsidTr="0067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5" w:type="pct"/>
            <w:vAlign w:val="center"/>
          </w:tcPr>
          <w:p w14:paraId="113A9F30" w14:textId="57172D63"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Variable</w:t>
            </w:r>
          </w:p>
        </w:tc>
        <w:tc>
          <w:tcPr>
            <w:tcW w:w="673" w:type="pct"/>
            <w:vAlign w:val="center"/>
          </w:tcPr>
          <w:p w14:paraId="10F99D94" w14:textId="2F35237B"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Coefficient</w:t>
            </w:r>
          </w:p>
        </w:tc>
        <w:tc>
          <w:tcPr>
            <w:tcW w:w="843" w:type="pct"/>
            <w:vAlign w:val="center"/>
          </w:tcPr>
          <w:p w14:paraId="531EDF87" w14:textId="249EEA78"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Standard Error</w:t>
            </w:r>
          </w:p>
        </w:tc>
        <w:tc>
          <w:tcPr>
            <w:tcW w:w="592" w:type="pct"/>
            <w:vAlign w:val="center"/>
          </w:tcPr>
          <w:p w14:paraId="627210B0" w14:textId="7F95CDB0"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t-Statistic</w:t>
            </w:r>
          </w:p>
        </w:tc>
        <w:tc>
          <w:tcPr>
            <w:tcW w:w="1037" w:type="pct"/>
            <w:vAlign w:val="center"/>
          </w:tcPr>
          <w:p w14:paraId="4CF71730" w14:textId="3100DFCF"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Significance Level</w:t>
            </w:r>
          </w:p>
        </w:tc>
      </w:tr>
      <w:tr w:rsidR="004A36A7" w:rsidRPr="00675882" w14:paraId="27FA9D2C"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6FB82F8C" w14:textId="0996E03E"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Loan Amount</w:t>
            </w:r>
          </w:p>
        </w:tc>
        <w:tc>
          <w:tcPr>
            <w:tcW w:w="673" w:type="pct"/>
            <w:vAlign w:val="center"/>
          </w:tcPr>
          <w:p w14:paraId="0804F8C9" w14:textId="7C256E68"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0.20</w:t>
            </w:r>
          </w:p>
        </w:tc>
        <w:tc>
          <w:tcPr>
            <w:tcW w:w="843" w:type="pct"/>
            <w:vAlign w:val="center"/>
          </w:tcPr>
          <w:p w14:paraId="41C8F24A" w14:textId="43097B5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0.03</w:t>
            </w:r>
          </w:p>
        </w:tc>
        <w:tc>
          <w:tcPr>
            <w:tcW w:w="592" w:type="pct"/>
            <w:vAlign w:val="center"/>
          </w:tcPr>
          <w:p w14:paraId="5503CE5C" w14:textId="5DCDF101"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6.15</w:t>
            </w:r>
          </w:p>
        </w:tc>
        <w:tc>
          <w:tcPr>
            <w:tcW w:w="1037" w:type="pct"/>
            <w:vAlign w:val="center"/>
          </w:tcPr>
          <w:p w14:paraId="0E107239" w14:textId="40A38DE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r>
      <w:tr w:rsidR="004A36A7" w:rsidRPr="00675882" w14:paraId="63744E21"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546C57C2" w14:textId="5D86B466"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Number of Payment Stages</w:t>
            </w:r>
          </w:p>
        </w:tc>
        <w:tc>
          <w:tcPr>
            <w:tcW w:w="673" w:type="pct"/>
            <w:vAlign w:val="center"/>
          </w:tcPr>
          <w:p w14:paraId="5B6F7ED9" w14:textId="13C387B9"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0.11</w:t>
            </w:r>
          </w:p>
        </w:tc>
        <w:tc>
          <w:tcPr>
            <w:tcW w:w="843" w:type="pct"/>
            <w:vAlign w:val="center"/>
          </w:tcPr>
          <w:p w14:paraId="5F622EB6" w14:textId="4F3A6F71"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0.01</w:t>
            </w:r>
          </w:p>
        </w:tc>
        <w:tc>
          <w:tcPr>
            <w:tcW w:w="592" w:type="pct"/>
            <w:vAlign w:val="center"/>
          </w:tcPr>
          <w:p w14:paraId="54A6DAD3" w14:textId="0FD2147A"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7.25</w:t>
            </w:r>
          </w:p>
        </w:tc>
        <w:tc>
          <w:tcPr>
            <w:tcW w:w="1037" w:type="pct"/>
            <w:vAlign w:val="center"/>
          </w:tcPr>
          <w:p w14:paraId="2025C146" w14:textId="0968384F"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r>
      <w:tr w:rsidR="004A36A7" w:rsidRPr="00675882" w14:paraId="2C41645E"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7FE62E90" w14:textId="7E44D3B6"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Company Capital</w:t>
            </w:r>
          </w:p>
        </w:tc>
        <w:tc>
          <w:tcPr>
            <w:tcW w:w="673" w:type="pct"/>
            <w:vAlign w:val="center"/>
          </w:tcPr>
          <w:p w14:paraId="3C953DB4" w14:textId="317AE2FB"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0.10</w:t>
            </w:r>
          </w:p>
        </w:tc>
        <w:tc>
          <w:tcPr>
            <w:tcW w:w="843" w:type="pct"/>
            <w:vAlign w:val="center"/>
          </w:tcPr>
          <w:p w14:paraId="446CF1BD" w14:textId="52628662"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0.17</w:t>
            </w:r>
          </w:p>
        </w:tc>
        <w:tc>
          <w:tcPr>
            <w:tcW w:w="592" w:type="pct"/>
            <w:vAlign w:val="center"/>
          </w:tcPr>
          <w:p w14:paraId="2282C737" w14:textId="28CA3738"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0.59</w:t>
            </w:r>
          </w:p>
        </w:tc>
        <w:tc>
          <w:tcPr>
            <w:tcW w:w="1037" w:type="pct"/>
            <w:vAlign w:val="center"/>
          </w:tcPr>
          <w:p w14:paraId="0E213D82" w14:textId="70B51C1C"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0.57</w:t>
            </w:r>
          </w:p>
        </w:tc>
      </w:tr>
      <w:tr w:rsidR="004A36A7" w:rsidRPr="00675882" w14:paraId="56ADB2ED"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63B43034" w14:textId="6F0443EC"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Time from Application to Contract</w:t>
            </w:r>
          </w:p>
        </w:tc>
        <w:tc>
          <w:tcPr>
            <w:tcW w:w="673" w:type="pct"/>
            <w:vAlign w:val="center"/>
          </w:tcPr>
          <w:p w14:paraId="12AA34BA" w14:textId="11AEA85A"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1.48</w:t>
            </w:r>
          </w:p>
        </w:tc>
        <w:tc>
          <w:tcPr>
            <w:tcW w:w="843" w:type="pct"/>
            <w:vAlign w:val="center"/>
          </w:tcPr>
          <w:p w14:paraId="26B58463" w14:textId="747D42A8"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0.49</w:t>
            </w:r>
          </w:p>
        </w:tc>
        <w:tc>
          <w:tcPr>
            <w:tcW w:w="592" w:type="pct"/>
            <w:vAlign w:val="center"/>
          </w:tcPr>
          <w:p w14:paraId="1CA48204" w14:textId="04732F8E"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3.01</w:t>
            </w:r>
          </w:p>
        </w:tc>
        <w:tc>
          <w:tcPr>
            <w:tcW w:w="1037" w:type="pct"/>
            <w:vAlign w:val="center"/>
          </w:tcPr>
          <w:p w14:paraId="6E1C81D5" w14:textId="51F40C43"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0.02</w:t>
            </w:r>
          </w:p>
        </w:tc>
      </w:tr>
      <w:tr w:rsidR="004A36A7" w:rsidRPr="00675882" w14:paraId="658D47F8"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60B61353" w14:textId="1A875097"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Number of Loans Taken from Fund</w:t>
            </w:r>
          </w:p>
        </w:tc>
        <w:tc>
          <w:tcPr>
            <w:tcW w:w="673" w:type="pct"/>
            <w:vAlign w:val="center"/>
          </w:tcPr>
          <w:p w14:paraId="44104034" w14:textId="542B7A0F"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-0.86</w:t>
            </w:r>
          </w:p>
        </w:tc>
        <w:tc>
          <w:tcPr>
            <w:tcW w:w="843" w:type="pct"/>
            <w:vAlign w:val="center"/>
          </w:tcPr>
          <w:p w14:paraId="3E7BD7B1" w14:textId="22F67D0C"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0.39</w:t>
            </w:r>
          </w:p>
        </w:tc>
        <w:tc>
          <w:tcPr>
            <w:tcW w:w="592" w:type="pct"/>
            <w:vAlign w:val="center"/>
          </w:tcPr>
          <w:p w14:paraId="300E821C" w14:textId="652808E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-2.17</w:t>
            </w:r>
          </w:p>
        </w:tc>
        <w:tc>
          <w:tcPr>
            <w:tcW w:w="1037" w:type="pct"/>
            <w:vAlign w:val="center"/>
          </w:tcPr>
          <w:p w14:paraId="37A239B9" w14:textId="4BEA741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0.06</w:t>
            </w:r>
          </w:p>
        </w:tc>
      </w:tr>
      <w:tr w:rsidR="004A36A7" w:rsidRPr="00675882" w14:paraId="52967B27"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780EE628" w14:textId="7C736419"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Virtual Type 2 Production</w:t>
            </w:r>
          </w:p>
        </w:tc>
        <w:tc>
          <w:tcPr>
            <w:tcW w:w="673" w:type="pct"/>
            <w:vAlign w:val="center"/>
          </w:tcPr>
          <w:p w14:paraId="6EA09067" w14:textId="71D40E90"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-0.07</w:t>
            </w:r>
          </w:p>
        </w:tc>
        <w:tc>
          <w:tcPr>
            <w:tcW w:w="843" w:type="pct"/>
            <w:vAlign w:val="center"/>
          </w:tcPr>
          <w:p w14:paraId="20D0B3A2" w14:textId="6F3F9156"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0.52</w:t>
            </w:r>
          </w:p>
        </w:tc>
        <w:tc>
          <w:tcPr>
            <w:tcW w:w="592" w:type="pct"/>
            <w:vAlign w:val="center"/>
          </w:tcPr>
          <w:p w14:paraId="01881D34" w14:textId="74B7872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-0.15</w:t>
            </w:r>
          </w:p>
        </w:tc>
        <w:tc>
          <w:tcPr>
            <w:tcW w:w="1037" w:type="pct"/>
            <w:vAlign w:val="center"/>
          </w:tcPr>
          <w:p w14:paraId="5DD51514" w14:textId="3FC8C733"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0.88</w:t>
            </w:r>
          </w:p>
        </w:tc>
      </w:tr>
      <w:tr w:rsidR="004A36A7" w:rsidRPr="00675882" w14:paraId="6248D915"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71FF7922" w14:textId="148EB5E3"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Virtual Type 1 Startup</w:t>
            </w:r>
          </w:p>
        </w:tc>
        <w:tc>
          <w:tcPr>
            <w:tcW w:w="673" w:type="pct"/>
            <w:vAlign w:val="center"/>
          </w:tcPr>
          <w:p w14:paraId="70D6F1C1" w14:textId="41E48E72"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0.66</w:t>
            </w:r>
          </w:p>
        </w:tc>
        <w:tc>
          <w:tcPr>
            <w:tcW w:w="843" w:type="pct"/>
            <w:vAlign w:val="center"/>
          </w:tcPr>
          <w:p w14:paraId="0105623E" w14:textId="7839821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0.62</w:t>
            </w:r>
          </w:p>
        </w:tc>
        <w:tc>
          <w:tcPr>
            <w:tcW w:w="592" w:type="pct"/>
            <w:vAlign w:val="center"/>
          </w:tcPr>
          <w:p w14:paraId="46969201" w14:textId="514125B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1.06</w:t>
            </w:r>
          </w:p>
        </w:tc>
        <w:tc>
          <w:tcPr>
            <w:tcW w:w="1037" w:type="pct"/>
            <w:vAlign w:val="center"/>
          </w:tcPr>
          <w:p w14:paraId="196C1406" w14:textId="4B50CA8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0.32</w:t>
            </w:r>
          </w:p>
        </w:tc>
      </w:tr>
      <w:tr w:rsidR="004A36A7" w:rsidRPr="00675882" w14:paraId="2D6523F9"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1FBCEF98" w14:textId="7575755A"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Virtual Type 2 Foot</w:t>
            </w:r>
          </w:p>
        </w:tc>
        <w:tc>
          <w:tcPr>
            <w:tcW w:w="673" w:type="pct"/>
            <w:vAlign w:val="center"/>
          </w:tcPr>
          <w:p w14:paraId="2E406273" w14:textId="3623EA44"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-0.26</w:t>
            </w:r>
          </w:p>
        </w:tc>
        <w:tc>
          <w:tcPr>
            <w:tcW w:w="843" w:type="pct"/>
            <w:vAlign w:val="center"/>
          </w:tcPr>
          <w:p w14:paraId="770DB382" w14:textId="1ADF1430"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0.77</w:t>
            </w:r>
          </w:p>
        </w:tc>
        <w:tc>
          <w:tcPr>
            <w:tcW w:w="592" w:type="pct"/>
            <w:vAlign w:val="center"/>
          </w:tcPr>
          <w:p w14:paraId="63AC8B58" w14:textId="7B1634F9"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-0.33</w:t>
            </w:r>
          </w:p>
        </w:tc>
        <w:tc>
          <w:tcPr>
            <w:tcW w:w="1037" w:type="pct"/>
            <w:vAlign w:val="center"/>
          </w:tcPr>
          <w:p w14:paraId="6D6A9864" w14:textId="1DFB35DC"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0.74</w:t>
            </w:r>
          </w:p>
        </w:tc>
      </w:tr>
      <w:tr w:rsidR="004A36A7" w:rsidRPr="00675882" w14:paraId="4FEE4D34"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1C21D3D0" w14:textId="494E0712"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Intercept</w:t>
            </w:r>
          </w:p>
        </w:tc>
        <w:tc>
          <w:tcPr>
            <w:tcW w:w="673" w:type="pct"/>
            <w:vAlign w:val="center"/>
          </w:tcPr>
          <w:p w14:paraId="58C7898F" w14:textId="517228B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26.18</w:t>
            </w:r>
          </w:p>
        </w:tc>
        <w:tc>
          <w:tcPr>
            <w:tcW w:w="843" w:type="pct"/>
            <w:vAlign w:val="center"/>
          </w:tcPr>
          <w:p w14:paraId="79F51939" w14:textId="238FB80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4.99</w:t>
            </w:r>
          </w:p>
        </w:tc>
        <w:tc>
          <w:tcPr>
            <w:tcW w:w="592" w:type="pct"/>
            <w:vAlign w:val="center"/>
          </w:tcPr>
          <w:p w14:paraId="4AD59D96" w14:textId="5B9411C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5.24</w:t>
            </w:r>
          </w:p>
        </w:tc>
        <w:tc>
          <w:tcPr>
            <w:tcW w:w="1037" w:type="pct"/>
            <w:vAlign w:val="center"/>
          </w:tcPr>
          <w:p w14:paraId="000B6354" w14:textId="5A7AD755"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r>
      <w:tr w:rsidR="004A36A7" w:rsidRPr="00675882" w14:paraId="4F6B3762"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0414ACDF" w14:textId="35A3C221"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R-Squared</w:t>
            </w:r>
          </w:p>
        </w:tc>
        <w:tc>
          <w:tcPr>
            <w:tcW w:w="673" w:type="pct"/>
            <w:vAlign w:val="center"/>
          </w:tcPr>
          <w:p w14:paraId="2838941F" w14:textId="665B3531"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0.84</w:t>
            </w:r>
          </w:p>
        </w:tc>
        <w:tc>
          <w:tcPr>
            <w:tcW w:w="843" w:type="pct"/>
            <w:vAlign w:val="center"/>
          </w:tcPr>
          <w:p w14:paraId="1D972A14"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92" w:type="pct"/>
            <w:vAlign w:val="center"/>
          </w:tcPr>
          <w:p w14:paraId="4B35F950"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37" w:type="pct"/>
            <w:vAlign w:val="center"/>
          </w:tcPr>
          <w:p w14:paraId="70AA46CE"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4A36A7" w:rsidRPr="00675882" w14:paraId="38774766"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5F388FD4" w14:textId="54148466"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F-Statistic</w:t>
            </w:r>
          </w:p>
        </w:tc>
        <w:tc>
          <w:tcPr>
            <w:tcW w:w="673" w:type="pct"/>
            <w:vAlign w:val="center"/>
          </w:tcPr>
          <w:p w14:paraId="17F2A111" w14:textId="3228109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7.87</w:t>
            </w:r>
          </w:p>
        </w:tc>
        <w:tc>
          <w:tcPr>
            <w:tcW w:w="843" w:type="pct"/>
            <w:vAlign w:val="center"/>
          </w:tcPr>
          <w:p w14:paraId="5219D5FA"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592" w:type="pct"/>
            <w:vAlign w:val="center"/>
          </w:tcPr>
          <w:p w14:paraId="4432B8A1"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37" w:type="pct"/>
            <w:vAlign w:val="center"/>
          </w:tcPr>
          <w:p w14:paraId="68E1C609"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A36A7" w:rsidRPr="00675882" w14:paraId="1A99FCCD"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52FADEC2" w14:textId="4611ABBA"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Adjusted R-Squared</w:t>
            </w:r>
          </w:p>
        </w:tc>
        <w:tc>
          <w:tcPr>
            <w:tcW w:w="673" w:type="pct"/>
            <w:vAlign w:val="center"/>
          </w:tcPr>
          <w:p w14:paraId="7D4095FC" w14:textId="2EF5D8DC"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0.75</w:t>
            </w:r>
          </w:p>
        </w:tc>
        <w:tc>
          <w:tcPr>
            <w:tcW w:w="843" w:type="pct"/>
            <w:vAlign w:val="center"/>
          </w:tcPr>
          <w:p w14:paraId="31C6D8C3"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92" w:type="pct"/>
            <w:vAlign w:val="center"/>
          </w:tcPr>
          <w:p w14:paraId="34768031"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37" w:type="pct"/>
            <w:vAlign w:val="center"/>
          </w:tcPr>
          <w:p w14:paraId="412098FD"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4A36A7" w:rsidRPr="00675882" w14:paraId="674B2028"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2084049D" w14:textId="288D450B"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Significance</w:t>
            </w:r>
          </w:p>
        </w:tc>
        <w:tc>
          <w:tcPr>
            <w:tcW w:w="673" w:type="pct"/>
            <w:vAlign w:val="center"/>
          </w:tcPr>
          <w:p w14:paraId="03B1C119" w14:textId="4E9E77A9"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c>
          <w:tcPr>
            <w:tcW w:w="843" w:type="pct"/>
            <w:vAlign w:val="center"/>
          </w:tcPr>
          <w:p w14:paraId="55498930"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592" w:type="pct"/>
            <w:vAlign w:val="center"/>
          </w:tcPr>
          <w:p w14:paraId="0120DD9E"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37" w:type="pct"/>
            <w:vAlign w:val="center"/>
          </w:tcPr>
          <w:p w14:paraId="64E2AE71"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61164D2B" w14:textId="77777777" w:rsidR="004A36A7" w:rsidRPr="00450B91" w:rsidRDefault="004A36A7" w:rsidP="005757C8">
      <w:pPr>
        <w:bidi w:val="0"/>
        <w:spacing w:after="0" w:line="240" w:lineRule="auto"/>
        <w:jc w:val="both"/>
        <w:rPr>
          <w:rFonts w:asciiTheme="majorBidi" w:hAnsiTheme="majorBidi" w:cstheme="majorBidi"/>
          <w:sz w:val="24"/>
          <w:szCs w:val="24"/>
        </w:rPr>
      </w:pPr>
    </w:p>
    <w:bookmarkEnd w:id="30"/>
    <w:bookmarkEnd w:id="31"/>
    <w:bookmarkEnd w:id="32"/>
    <w:bookmarkEnd w:id="33"/>
    <w:p w14:paraId="550D8236" w14:textId="77777777" w:rsidR="00B81506" w:rsidRDefault="00B81506" w:rsidP="00B81506">
      <w:pPr>
        <w:pStyle w:val="NormalWeb"/>
        <w:jc w:val="both"/>
      </w:pPr>
      <w:r>
        <w:t>Table 11 presents the results of the econometric model for the exchange cost ratio in industrial production loans, explaining 92% of the variation in the dependent variable, with statistical significance at the 1% level. The loan amount is significant at the 1% level, the number of payment stages and the time between application and contract are significant at the 5% level, and the number of loan acquisitions is significant at the 10% level. A 1% increase in the loan amount leads to a 1.20% decrease in the exchange cost ratio. This indicates that, while the total exchange cost rises with larger loans, the exchange cost per unit decreases. Smaller loans incur higher exchange costs per unit. Additionally, increased time between application and contract signing, and more payment stages, raise the exchange cost ratio due to higher opportunity costs. The number of loan acquisitions has a negative effect, suggesting that repeated borrowing reduces the exchange cost ratio, as companies become more familiar with the loan process. No significant differences in exchange cost ratios are observed between different types of knowledge-based companies.</w:t>
      </w:r>
    </w:p>
    <w:p w14:paraId="551E9E09" w14:textId="77777777" w:rsidR="00B81506" w:rsidRDefault="00B81506" w:rsidP="005757C8">
      <w:pPr>
        <w:keepNext/>
        <w:numPr>
          <w:ilvl w:val="1"/>
          <w:numId w:val="0"/>
        </w:numPr>
        <w:bidi w:val="0"/>
        <w:spacing w:after="0" w:line="240" w:lineRule="auto"/>
        <w:ind w:left="792" w:hanging="792"/>
        <w:jc w:val="center"/>
        <w:outlineLvl w:val="1"/>
        <w:rPr>
          <w:rFonts w:asciiTheme="majorBidi" w:eastAsia="Calibri" w:hAnsiTheme="majorBidi" w:cstheme="majorBidi"/>
          <w:b/>
          <w:bCs/>
          <w:sz w:val="20"/>
          <w:szCs w:val="20"/>
        </w:rPr>
      </w:pPr>
    </w:p>
    <w:p w14:paraId="5501F86B" w14:textId="067517CC" w:rsidR="009A48C6" w:rsidRPr="009A48C6" w:rsidRDefault="009A48C6" w:rsidP="00B81506">
      <w:pPr>
        <w:keepNext/>
        <w:numPr>
          <w:ilvl w:val="1"/>
          <w:numId w:val="0"/>
        </w:numPr>
        <w:bidi w:val="0"/>
        <w:spacing w:after="0" w:line="240" w:lineRule="auto"/>
        <w:ind w:left="792" w:hanging="792"/>
        <w:jc w:val="center"/>
        <w:outlineLvl w:val="1"/>
        <w:rPr>
          <w:rFonts w:asciiTheme="majorBidi" w:eastAsia="Calibri" w:hAnsiTheme="majorBidi" w:cstheme="majorBidi"/>
          <w:b/>
          <w:bCs/>
          <w:sz w:val="20"/>
          <w:szCs w:val="20"/>
        </w:rPr>
      </w:pPr>
      <w:r w:rsidRPr="009A48C6">
        <w:rPr>
          <w:rFonts w:asciiTheme="majorBidi" w:eastAsia="Calibri" w:hAnsiTheme="majorBidi" w:cstheme="majorBidi"/>
          <w:b/>
          <w:bCs/>
          <w:sz w:val="20"/>
          <w:szCs w:val="20"/>
        </w:rPr>
        <w:t>Table 11 - Results of the Estimation Model for the Factors Affecting the Exchange Cost Ratio to Loan Amount in Industrial Production Loans</w:t>
      </w:r>
      <w:r w:rsidRPr="009A48C6">
        <w:rPr>
          <w:rFonts w:asciiTheme="majorBidi" w:eastAsia="Calibri" w:hAnsiTheme="majorBidi" w:cstheme="majorBidi"/>
          <w:b/>
          <w:bCs/>
          <w:sz w:val="20"/>
          <w:szCs w:val="20"/>
          <w:rtl/>
        </w:rPr>
        <w:t>.</w:t>
      </w:r>
    </w:p>
    <w:tbl>
      <w:tblPr>
        <w:tblStyle w:val="PlainTable4"/>
        <w:bidiVisual/>
        <w:tblW w:w="5000" w:type="pct"/>
        <w:tblLook w:val="04A0" w:firstRow="1" w:lastRow="0" w:firstColumn="1" w:lastColumn="0" w:noHBand="0" w:noVBand="1"/>
      </w:tblPr>
      <w:tblGrid>
        <w:gridCol w:w="3532"/>
        <w:gridCol w:w="1273"/>
        <w:gridCol w:w="1392"/>
        <w:gridCol w:w="1188"/>
        <w:gridCol w:w="1641"/>
      </w:tblGrid>
      <w:tr w:rsidR="00F9674C" w:rsidRPr="00275FC2" w14:paraId="398B40FE" w14:textId="77777777" w:rsidTr="00F96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22BABC1C" w14:textId="701254E4" w:rsidR="00275FC2" w:rsidRPr="00275FC2" w:rsidRDefault="00275FC2" w:rsidP="005757C8">
            <w:pPr>
              <w:keepNext/>
              <w:numPr>
                <w:ilvl w:val="1"/>
                <w:numId w:val="0"/>
              </w:numPr>
              <w:jc w:val="center"/>
              <w:outlineLvl w:val="1"/>
              <w:rPr>
                <w:rFonts w:asciiTheme="majorBidi" w:hAnsiTheme="majorBidi" w:cstheme="majorBidi"/>
                <w:sz w:val="20"/>
                <w:szCs w:val="20"/>
              </w:rPr>
            </w:pPr>
            <w:r w:rsidRPr="00275FC2">
              <w:rPr>
                <w:rFonts w:asciiTheme="majorBidi" w:hAnsiTheme="majorBidi" w:cstheme="majorBidi"/>
                <w:sz w:val="20"/>
                <w:szCs w:val="20"/>
              </w:rPr>
              <w:t>Significance Level</w:t>
            </w:r>
          </w:p>
        </w:tc>
        <w:tc>
          <w:tcPr>
            <w:tcW w:w="705" w:type="pct"/>
          </w:tcPr>
          <w:p w14:paraId="70CF4A5F" w14:textId="0A4FB1F5"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t-Statistic</w:t>
            </w:r>
          </w:p>
        </w:tc>
        <w:tc>
          <w:tcPr>
            <w:tcW w:w="771" w:type="pct"/>
          </w:tcPr>
          <w:p w14:paraId="5B65144C" w14:textId="2E6AB2B0"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275FC2">
              <w:rPr>
                <w:rFonts w:asciiTheme="majorBidi" w:hAnsiTheme="majorBidi" w:cstheme="majorBidi"/>
                <w:sz w:val="20"/>
                <w:szCs w:val="20"/>
              </w:rPr>
              <w:t>Standard Error</w:t>
            </w:r>
          </w:p>
        </w:tc>
        <w:tc>
          <w:tcPr>
            <w:tcW w:w="658" w:type="pct"/>
          </w:tcPr>
          <w:p w14:paraId="4FC89621" w14:textId="4E55C3A2"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275FC2">
              <w:rPr>
                <w:rFonts w:asciiTheme="majorBidi" w:hAnsiTheme="majorBidi" w:cstheme="majorBidi"/>
                <w:sz w:val="20"/>
                <w:szCs w:val="20"/>
              </w:rPr>
              <w:t>Coefficient</w:t>
            </w:r>
          </w:p>
        </w:tc>
        <w:tc>
          <w:tcPr>
            <w:tcW w:w="909" w:type="pct"/>
          </w:tcPr>
          <w:p w14:paraId="5D3446C1" w14:textId="4B3EF272"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275FC2">
              <w:rPr>
                <w:rFonts w:asciiTheme="majorBidi" w:hAnsiTheme="majorBidi" w:cstheme="majorBidi"/>
                <w:sz w:val="20"/>
                <w:szCs w:val="20"/>
              </w:rPr>
              <w:t>Variable</w:t>
            </w:r>
          </w:p>
        </w:tc>
      </w:tr>
      <w:tr w:rsidR="00F9674C" w:rsidRPr="00275FC2" w14:paraId="7A7FF5F2"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2E4912D0" w14:textId="48E7DC06"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0.00</w:t>
            </w:r>
          </w:p>
        </w:tc>
        <w:tc>
          <w:tcPr>
            <w:tcW w:w="705" w:type="pct"/>
          </w:tcPr>
          <w:p w14:paraId="4463746D" w14:textId="01F0BF81"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-6.75</w:t>
            </w:r>
          </w:p>
        </w:tc>
        <w:tc>
          <w:tcPr>
            <w:tcW w:w="771" w:type="pct"/>
          </w:tcPr>
          <w:p w14:paraId="367662A6" w14:textId="0BEF6BDE"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0.17</w:t>
            </w:r>
          </w:p>
        </w:tc>
        <w:tc>
          <w:tcPr>
            <w:tcW w:w="658" w:type="pct"/>
          </w:tcPr>
          <w:p w14:paraId="76B3471A" w14:textId="7B09D95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-1.20</w:t>
            </w:r>
          </w:p>
        </w:tc>
        <w:tc>
          <w:tcPr>
            <w:tcW w:w="909" w:type="pct"/>
          </w:tcPr>
          <w:p w14:paraId="56BBB79D" w14:textId="43E50B69"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Loan Amount</w:t>
            </w:r>
          </w:p>
        </w:tc>
      </w:tr>
      <w:tr w:rsidR="00F9674C" w:rsidRPr="00275FC2" w14:paraId="1DCC659D"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1A0B450B" w14:textId="44F39A14"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0.02</w:t>
            </w:r>
          </w:p>
        </w:tc>
        <w:tc>
          <w:tcPr>
            <w:tcW w:w="705" w:type="pct"/>
          </w:tcPr>
          <w:p w14:paraId="3D6481DA" w14:textId="506AD06D"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3.21</w:t>
            </w:r>
          </w:p>
        </w:tc>
        <w:tc>
          <w:tcPr>
            <w:tcW w:w="771" w:type="pct"/>
          </w:tcPr>
          <w:p w14:paraId="53D64D47" w14:textId="2CCAB34D"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0.09</w:t>
            </w:r>
          </w:p>
        </w:tc>
        <w:tc>
          <w:tcPr>
            <w:tcW w:w="658" w:type="pct"/>
          </w:tcPr>
          <w:p w14:paraId="5F5F88C3" w14:textId="774D524F"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0.30</w:t>
            </w:r>
          </w:p>
        </w:tc>
        <w:tc>
          <w:tcPr>
            <w:tcW w:w="909" w:type="pct"/>
          </w:tcPr>
          <w:p w14:paraId="6F0E9739" w14:textId="6C5B8986"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Number of Payment Stages</w:t>
            </w:r>
          </w:p>
        </w:tc>
      </w:tr>
      <w:tr w:rsidR="00F9674C" w:rsidRPr="00275FC2" w14:paraId="0FFCF82F"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4562EDE9" w14:textId="0EB7B805"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0.57</w:t>
            </w:r>
          </w:p>
        </w:tc>
        <w:tc>
          <w:tcPr>
            <w:tcW w:w="705" w:type="pct"/>
          </w:tcPr>
          <w:p w14:paraId="7F4DCE1F" w14:textId="391B3F4E"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0.59</w:t>
            </w:r>
          </w:p>
        </w:tc>
        <w:tc>
          <w:tcPr>
            <w:tcW w:w="771" w:type="pct"/>
          </w:tcPr>
          <w:p w14:paraId="66E96A3A" w14:textId="6558629C"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0.17</w:t>
            </w:r>
          </w:p>
        </w:tc>
        <w:tc>
          <w:tcPr>
            <w:tcW w:w="658" w:type="pct"/>
          </w:tcPr>
          <w:p w14:paraId="239D33B9" w14:textId="0ACBDB42"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0.10</w:t>
            </w:r>
          </w:p>
        </w:tc>
        <w:tc>
          <w:tcPr>
            <w:tcW w:w="909" w:type="pct"/>
          </w:tcPr>
          <w:p w14:paraId="60D61553" w14:textId="49A72B9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Company Capital</w:t>
            </w:r>
          </w:p>
        </w:tc>
      </w:tr>
      <w:tr w:rsidR="00F9674C" w:rsidRPr="00275FC2" w14:paraId="59FAC670"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76C9CD2E" w14:textId="2D4158E4"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0.02</w:t>
            </w:r>
          </w:p>
        </w:tc>
        <w:tc>
          <w:tcPr>
            <w:tcW w:w="705" w:type="pct"/>
          </w:tcPr>
          <w:p w14:paraId="36D16110" w14:textId="3EFBEC68"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3.01</w:t>
            </w:r>
          </w:p>
        </w:tc>
        <w:tc>
          <w:tcPr>
            <w:tcW w:w="771" w:type="pct"/>
          </w:tcPr>
          <w:p w14:paraId="19856653" w14:textId="61A939DB"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0.49</w:t>
            </w:r>
          </w:p>
        </w:tc>
        <w:tc>
          <w:tcPr>
            <w:tcW w:w="658" w:type="pct"/>
          </w:tcPr>
          <w:p w14:paraId="2DB34AE1" w14:textId="341D6BDD"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1.48</w:t>
            </w:r>
          </w:p>
        </w:tc>
        <w:tc>
          <w:tcPr>
            <w:tcW w:w="909" w:type="pct"/>
          </w:tcPr>
          <w:p w14:paraId="524C7394" w14:textId="67BFC6F0"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Request-to-Contract Distance</w:t>
            </w:r>
          </w:p>
        </w:tc>
      </w:tr>
      <w:tr w:rsidR="00F9674C" w:rsidRPr="00275FC2" w14:paraId="2FE0548C"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049B9015" w14:textId="433FD43B"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0.06</w:t>
            </w:r>
          </w:p>
        </w:tc>
        <w:tc>
          <w:tcPr>
            <w:tcW w:w="705" w:type="pct"/>
          </w:tcPr>
          <w:p w14:paraId="5EF31D7D" w14:textId="02BDBC9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-2.17</w:t>
            </w:r>
          </w:p>
        </w:tc>
        <w:tc>
          <w:tcPr>
            <w:tcW w:w="771" w:type="pct"/>
          </w:tcPr>
          <w:p w14:paraId="2FBF3687" w14:textId="43F9C36D"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0.39</w:t>
            </w:r>
          </w:p>
        </w:tc>
        <w:tc>
          <w:tcPr>
            <w:tcW w:w="658" w:type="pct"/>
          </w:tcPr>
          <w:p w14:paraId="559BA505" w14:textId="5FCB181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-0.86</w:t>
            </w:r>
          </w:p>
        </w:tc>
        <w:tc>
          <w:tcPr>
            <w:tcW w:w="909" w:type="pct"/>
          </w:tcPr>
          <w:p w14:paraId="4F1691B3" w14:textId="0D6940D8"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Number of Loan Disbursements from Fund</w:t>
            </w:r>
          </w:p>
        </w:tc>
      </w:tr>
      <w:tr w:rsidR="00F9674C" w:rsidRPr="00275FC2" w14:paraId="1754E3F6"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4C185481" w14:textId="19E9614F"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0.88</w:t>
            </w:r>
          </w:p>
        </w:tc>
        <w:tc>
          <w:tcPr>
            <w:tcW w:w="705" w:type="pct"/>
          </w:tcPr>
          <w:p w14:paraId="5C6EA3F1" w14:textId="2946C813"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-0.15</w:t>
            </w:r>
          </w:p>
        </w:tc>
        <w:tc>
          <w:tcPr>
            <w:tcW w:w="771" w:type="pct"/>
          </w:tcPr>
          <w:p w14:paraId="1B942E8B" w14:textId="1B765978"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0.52</w:t>
            </w:r>
          </w:p>
        </w:tc>
        <w:tc>
          <w:tcPr>
            <w:tcW w:w="658" w:type="pct"/>
          </w:tcPr>
          <w:p w14:paraId="1ECA43BE" w14:textId="26531EE5"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-0.07</w:t>
            </w:r>
          </w:p>
        </w:tc>
        <w:tc>
          <w:tcPr>
            <w:tcW w:w="909" w:type="pct"/>
          </w:tcPr>
          <w:p w14:paraId="5095A12C" w14:textId="5DD509E9"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Virtual Manufacturing Type 2</w:t>
            </w:r>
          </w:p>
        </w:tc>
      </w:tr>
      <w:tr w:rsidR="00F9674C" w:rsidRPr="00275FC2" w14:paraId="76080B74"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2EBA1914" w14:textId="50EA1DDD"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0.32</w:t>
            </w:r>
          </w:p>
        </w:tc>
        <w:tc>
          <w:tcPr>
            <w:tcW w:w="705" w:type="pct"/>
          </w:tcPr>
          <w:p w14:paraId="3460DD66" w14:textId="4088888B"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1.06</w:t>
            </w:r>
          </w:p>
        </w:tc>
        <w:tc>
          <w:tcPr>
            <w:tcW w:w="771" w:type="pct"/>
          </w:tcPr>
          <w:p w14:paraId="031A5053" w14:textId="50EB0D7E"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0.62</w:t>
            </w:r>
          </w:p>
        </w:tc>
        <w:tc>
          <w:tcPr>
            <w:tcW w:w="658" w:type="pct"/>
          </w:tcPr>
          <w:p w14:paraId="23883175" w14:textId="6471822C"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0.66</w:t>
            </w:r>
          </w:p>
        </w:tc>
        <w:tc>
          <w:tcPr>
            <w:tcW w:w="909" w:type="pct"/>
          </w:tcPr>
          <w:p w14:paraId="3ADE1CEA" w14:textId="719BC54C"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Virtual Startup Type 1</w:t>
            </w:r>
          </w:p>
        </w:tc>
      </w:tr>
      <w:tr w:rsidR="00F9674C" w:rsidRPr="00275FC2" w14:paraId="08DA41B4"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2DAC682A" w14:textId="7FECE35A"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0.74</w:t>
            </w:r>
          </w:p>
        </w:tc>
        <w:tc>
          <w:tcPr>
            <w:tcW w:w="705" w:type="pct"/>
          </w:tcPr>
          <w:p w14:paraId="4A24D306" w14:textId="3DDADF85"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-0.33</w:t>
            </w:r>
          </w:p>
        </w:tc>
        <w:tc>
          <w:tcPr>
            <w:tcW w:w="771" w:type="pct"/>
          </w:tcPr>
          <w:p w14:paraId="01C056C3" w14:textId="10BDB37B"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0.77</w:t>
            </w:r>
          </w:p>
        </w:tc>
        <w:tc>
          <w:tcPr>
            <w:tcW w:w="658" w:type="pct"/>
          </w:tcPr>
          <w:p w14:paraId="4ACD388D" w14:textId="589B3812"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-0.26</w:t>
            </w:r>
          </w:p>
        </w:tc>
        <w:tc>
          <w:tcPr>
            <w:tcW w:w="909" w:type="pct"/>
          </w:tcPr>
          <w:p w14:paraId="3DFF5E87" w14:textId="55C2E1D4"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Virtual Type 2</w:t>
            </w:r>
          </w:p>
        </w:tc>
      </w:tr>
      <w:tr w:rsidR="00F9674C" w:rsidRPr="00275FC2" w14:paraId="370B2044"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38175601" w14:textId="305E734F"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0.00</w:t>
            </w:r>
          </w:p>
        </w:tc>
        <w:tc>
          <w:tcPr>
            <w:tcW w:w="705" w:type="pct"/>
          </w:tcPr>
          <w:p w14:paraId="724B465E" w14:textId="327A69C1"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6.16</w:t>
            </w:r>
          </w:p>
        </w:tc>
        <w:tc>
          <w:tcPr>
            <w:tcW w:w="771" w:type="pct"/>
          </w:tcPr>
          <w:p w14:paraId="4CD77477" w14:textId="1D37D29A"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4.99</w:t>
            </w:r>
          </w:p>
        </w:tc>
        <w:tc>
          <w:tcPr>
            <w:tcW w:w="658" w:type="pct"/>
          </w:tcPr>
          <w:p w14:paraId="009BDDDD" w14:textId="01972E59"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30.79</w:t>
            </w:r>
          </w:p>
        </w:tc>
        <w:tc>
          <w:tcPr>
            <w:tcW w:w="909" w:type="pct"/>
          </w:tcPr>
          <w:p w14:paraId="769B1896" w14:textId="1FD9BBFD"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Intercept</w:t>
            </w:r>
          </w:p>
        </w:tc>
      </w:tr>
      <w:tr w:rsidR="00F9674C" w:rsidRPr="00275FC2" w14:paraId="638F7821"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40E193C4" w14:textId="7F0DA077"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0.92</w:t>
            </w:r>
          </w:p>
        </w:tc>
        <w:tc>
          <w:tcPr>
            <w:tcW w:w="705" w:type="pct"/>
          </w:tcPr>
          <w:p w14:paraId="28EE8F7C" w14:textId="678AA9FD"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771" w:type="pct"/>
          </w:tcPr>
          <w:p w14:paraId="6303543F"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11C3EAAD"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240EB701" w14:textId="445EA48B"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R-squared</w:t>
            </w:r>
          </w:p>
        </w:tc>
      </w:tr>
      <w:tr w:rsidR="00F9674C" w:rsidRPr="00275FC2" w14:paraId="34A18A11"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120070DE" w14:textId="3869F47D"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10.21</w:t>
            </w:r>
          </w:p>
        </w:tc>
        <w:tc>
          <w:tcPr>
            <w:tcW w:w="705" w:type="pct"/>
          </w:tcPr>
          <w:p w14:paraId="35F6B730" w14:textId="4DA8302B"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771" w:type="pct"/>
          </w:tcPr>
          <w:p w14:paraId="54DE6B4D"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73C75205"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40A27CFB" w14:textId="7DDB4328"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F-statistic</w:t>
            </w:r>
          </w:p>
        </w:tc>
      </w:tr>
      <w:tr w:rsidR="00F9674C" w:rsidRPr="00275FC2" w14:paraId="15CA425A"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343A82B2" w14:textId="3586837C"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0.83</w:t>
            </w:r>
          </w:p>
        </w:tc>
        <w:tc>
          <w:tcPr>
            <w:tcW w:w="705" w:type="pct"/>
          </w:tcPr>
          <w:p w14:paraId="43B4BC4F" w14:textId="484CB29E"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771" w:type="pct"/>
          </w:tcPr>
          <w:p w14:paraId="07A8EDC8"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76B6C547"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5CBB3AC3" w14:textId="5FAC4D7D"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Adjusted R-squared</w:t>
            </w:r>
          </w:p>
        </w:tc>
      </w:tr>
      <w:tr w:rsidR="00F9674C" w:rsidRPr="00275FC2" w14:paraId="24DD3A68"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0B6045AC" w14:textId="2FFFE122"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0.00</w:t>
            </w:r>
          </w:p>
        </w:tc>
        <w:tc>
          <w:tcPr>
            <w:tcW w:w="705" w:type="pct"/>
          </w:tcPr>
          <w:p w14:paraId="075D9C33" w14:textId="416D3ECD"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771" w:type="pct"/>
          </w:tcPr>
          <w:p w14:paraId="2D3DF34C"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3CAB68E0"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16E3310B" w14:textId="7025AD44"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Significance</w:t>
            </w:r>
          </w:p>
        </w:tc>
      </w:tr>
    </w:tbl>
    <w:p w14:paraId="79E13DC2" w14:textId="77777777" w:rsidR="009A48C6" w:rsidRPr="009A48C6" w:rsidRDefault="009A48C6" w:rsidP="005757C8">
      <w:pPr>
        <w:keepNext/>
        <w:numPr>
          <w:ilvl w:val="1"/>
          <w:numId w:val="0"/>
        </w:numPr>
        <w:spacing w:after="0" w:line="240" w:lineRule="auto"/>
        <w:ind w:left="792" w:hanging="792"/>
        <w:outlineLvl w:val="1"/>
        <w:rPr>
          <w:rFonts w:ascii="Times New Roman Bold" w:eastAsia="Calibri" w:hAnsi="Times New Roman Bold" w:cs="B Mitra"/>
          <w:b/>
          <w:bCs/>
          <w:sz w:val="28"/>
          <w:szCs w:val="24"/>
          <w:rtl/>
        </w:rPr>
      </w:pPr>
    </w:p>
    <w:p w14:paraId="5F2F0D3E" w14:textId="13AC7E52" w:rsidR="00B81506" w:rsidRDefault="00B81506" w:rsidP="00B81506">
      <w:pPr>
        <w:pStyle w:val="NormalWeb"/>
        <w:jc w:val="both"/>
      </w:pPr>
      <w:r>
        <w:t>The estimation results for the factors affecting transaction costs in leasing (instalment sales) financing are shown in Table 12. The model explains 72% of the variation, with the overall model being statistically significant at the 1% level. The number of payment stages and the request-to-contract distance are significant at the 5% level, with positive coefficients indicating a direct relationship with transaction costs. Specifically, a 1% increase in the request-to-contract distance and the number of payment stages leads to a 0.39% and 0.02% increase in transaction costs, respectively, due to higher opportunity costs for companies. Unlike previous models, the loan amount does not significantly affect transaction costs in leasing financing, as higher guarantee and collateral costs are borne by the contracting party, not the companies. Additionally, the virtual variable for Type 1 startup companies is significant and positive, indicating that transaction costs are higher for these companies compared to Type 1 manufacturing companies.</w:t>
      </w:r>
    </w:p>
    <w:p w14:paraId="5A3E2F19" w14:textId="5B76C31D" w:rsidR="003E67A3" w:rsidRPr="003E67A3" w:rsidRDefault="003E67A3" w:rsidP="005757C8">
      <w:pPr>
        <w:keepNext/>
        <w:numPr>
          <w:ilvl w:val="1"/>
          <w:numId w:val="0"/>
        </w:numPr>
        <w:spacing w:after="0" w:line="240" w:lineRule="auto"/>
        <w:ind w:left="792" w:hanging="792"/>
        <w:jc w:val="center"/>
        <w:outlineLvl w:val="1"/>
        <w:rPr>
          <w:rFonts w:ascii="Times New Roman Bold" w:eastAsia="Calibri" w:hAnsi="Times New Roman Bold" w:cs="B Mitra"/>
          <w:b/>
          <w:bCs/>
          <w:sz w:val="20"/>
          <w:szCs w:val="16"/>
        </w:rPr>
      </w:pPr>
      <w:r w:rsidRPr="003E67A3">
        <w:rPr>
          <w:rFonts w:ascii="Times New Roman Bold" w:eastAsia="Calibri" w:hAnsi="Times New Roman Bold" w:cs="B Mitra"/>
          <w:b/>
          <w:bCs/>
          <w:sz w:val="20"/>
          <w:szCs w:val="16"/>
        </w:rPr>
        <w:lastRenderedPageBreak/>
        <w:t>Table 12 - Results of Estimating the Model of Factors Affecting the Transaction Cost Amount in Leasing Facilities (Instalment Sales)</w:t>
      </w:r>
    </w:p>
    <w:tbl>
      <w:tblPr>
        <w:tblStyle w:val="PlainTable4"/>
        <w:bidiVisual/>
        <w:tblW w:w="5000" w:type="pct"/>
        <w:tblLook w:val="04A0" w:firstRow="1" w:lastRow="0" w:firstColumn="1" w:lastColumn="0" w:noHBand="0" w:noVBand="1"/>
      </w:tblPr>
      <w:tblGrid>
        <w:gridCol w:w="1665"/>
        <w:gridCol w:w="1013"/>
        <w:gridCol w:w="1460"/>
        <w:gridCol w:w="1149"/>
        <w:gridCol w:w="3739"/>
      </w:tblGrid>
      <w:tr w:rsidR="00555712" w:rsidRPr="00555712" w14:paraId="2BEF5196" w14:textId="77777777" w:rsidTr="00B81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9AA7B57" w14:textId="46D33880" w:rsidR="00555712" w:rsidRPr="00555712" w:rsidRDefault="00555712" w:rsidP="005757C8">
            <w:pPr>
              <w:keepNext/>
              <w:numPr>
                <w:ilvl w:val="1"/>
                <w:numId w:val="0"/>
              </w:numPr>
              <w:jc w:val="center"/>
              <w:outlineLvl w:val="1"/>
              <w:rPr>
                <w:rFonts w:asciiTheme="majorBidi" w:hAnsiTheme="majorBidi" w:cstheme="majorBidi"/>
                <w:sz w:val="20"/>
                <w:szCs w:val="20"/>
              </w:rPr>
            </w:pPr>
            <w:r w:rsidRPr="00555712">
              <w:rPr>
                <w:rFonts w:asciiTheme="majorBidi" w:hAnsiTheme="majorBidi" w:cstheme="majorBidi"/>
                <w:sz w:val="20"/>
                <w:szCs w:val="20"/>
              </w:rPr>
              <w:t>Significance Level</w:t>
            </w:r>
          </w:p>
        </w:tc>
        <w:tc>
          <w:tcPr>
            <w:tcW w:w="561" w:type="pct"/>
          </w:tcPr>
          <w:p w14:paraId="5C4A8841" w14:textId="302B6CEC"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t-Statistic</w:t>
            </w:r>
          </w:p>
        </w:tc>
        <w:tc>
          <w:tcPr>
            <w:tcW w:w="809" w:type="pct"/>
          </w:tcPr>
          <w:p w14:paraId="325A02AD" w14:textId="0CFE778C"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Standard Error</w:t>
            </w:r>
          </w:p>
        </w:tc>
        <w:tc>
          <w:tcPr>
            <w:tcW w:w="636" w:type="pct"/>
          </w:tcPr>
          <w:p w14:paraId="42257140" w14:textId="193CF939"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Coefficient</w:t>
            </w:r>
          </w:p>
        </w:tc>
        <w:tc>
          <w:tcPr>
            <w:tcW w:w="2071" w:type="pct"/>
          </w:tcPr>
          <w:p w14:paraId="31768C40" w14:textId="5331BE7F"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555712">
              <w:rPr>
                <w:rFonts w:asciiTheme="majorBidi" w:hAnsiTheme="majorBidi" w:cstheme="majorBidi"/>
                <w:sz w:val="20"/>
                <w:szCs w:val="20"/>
              </w:rPr>
              <w:t>Variable</w:t>
            </w:r>
          </w:p>
        </w:tc>
      </w:tr>
      <w:tr w:rsidR="00555712" w:rsidRPr="00555712" w14:paraId="1EA448C3"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1719B545" w14:textId="3665F038"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0.67</w:t>
            </w:r>
          </w:p>
        </w:tc>
        <w:tc>
          <w:tcPr>
            <w:tcW w:w="561" w:type="pct"/>
          </w:tcPr>
          <w:p w14:paraId="504BE05F" w14:textId="7FBD6543"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0.44</w:t>
            </w:r>
          </w:p>
        </w:tc>
        <w:tc>
          <w:tcPr>
            <w:tcW w:w="809" w:type="pct"/>
          </w:tcPr>
          <w:p w14:paraId="09EB8138" w14:textId="1FE2C223"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0.16</w:t>
            </w:r>
          </w:p>
        </w:tc>
        <w:tc>
          <w:tcPr>
            <w:tcW w:w="636" w:type="pct"/>
          </w:tcPr>
          <w:p w14:paraId="2AC8F99E" w14:textId="593E89DC"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0.07</w:t>
            </w:r>
          </w:p>
        </w:tc>
        <w:tc>
          <w:tcPr>
            <w:tcW w:w="2071" w:type="pct"/>
          </w:tcPr>
          <w:p w14:paraId="7B1CE5AE" w14:textId="4F3BB242"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Amount of facilities</w:t>
            </w:r>
          </w:p>
        </w:tc>
      </w:tr>
      <w:tr w:rsidR="00555712" w:rsidRPr="00555712" w14:paraId="4F9FA289"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1F8820C2" w14:textId="4032790D"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0.02</w:t>
            </w:r>
          </w:p>
        </w:tc>
        <w:tc>
          <w:tcPr>
            <w:tcW w:w="561" w:type="pct"/>
          </w:tcPr>
          <w:p w14:paraId="445D63A1" w14:textId="6B5AB0DA"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2.48</w:t>
            </w:r>
          </w:p>
        </w:tc>
        <w:tc>
          <w:tcPr>
            <w:tcW w:w="809" w:type="pct"/>
          </w:tcPr>
          <w:p w14:paraId="4DC3F752" w14:textId="113F7FD4"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0.15</w:t>
            </w:r>
          </w:p>
        </w:tc>
        <w:tc>
          <w:tcPr>
            <w:tcW w:w="636" w:type="pct"/>
          </w:tcPr>
          <w:p w14:paraId="71F3EAD7" w14:textId="4C179965"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0.39</w:t>
            </w:r>
          </w:p>
        </w:tc>
        <w:tc>
          <w:tcPr>
            <w:tcW w:w="2071" w:type="pct"/>
          </w:tcPr>
          <w:p w14:paraId="35852315" w14:textId="40648611"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Number of payment stages</w:t>
            </w:r>
          </w:p>
        </w:tc>
      </w:tr>
      <w:tr w:rsidR="00555712" w:rsidRPr="00555712" w14:paraId="3F75B0E1"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A2B4DAB" w14:textId="6B7813DD"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0.12</w:t>
            </w:r>
          </w:p>
        </w:tc>
        <w:tc>
          <w:tcPr>
            <w:tcW w:w="561" w:type="pct"/>
          </w:tcPr>
          <w:p w14:paraId="2A4F622E" w14:textId="789EEF61"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1.67</w:t>
            </w:r>
          </w:p>
        </w:tc>
        <w:tc>
          <w:tcPr>
            <w:tcW w:w="809" w:type="pct"/>
          </w:tcPr>
          <w:p w14:paraId="42763602" w14:textId="0452643D"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0.06</w:t>
            </w:r>
          </w:p>
        </w:tc>
        <w:tc>
          <w:tcPr>
            <w:tcW w:w="636" w:type="pct"/>
          </w:tcPr>
          <w:p w14:paraId="4C02C683" w14:textId="67DC1F58"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0.11</w:t>
            </w:r>
          </w:p>
        </w:tc>
        <w:tc>
          <w:tcPr>
            <w:tcW w:w="2071" w:type="pct"/>
          </w:tcPr>
          <w:p w14:paraId="21867CFD" w14:textId="02AB731A"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Company capital</w:t>
            </w:r>
          </w:p>
        </w:tc>
      </w:tr>
      <w:tr w:rsidR="00555712" w:rsidRPr="00555712" w14:paraId="707B125C"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210F7FB5" w14:textId="066B50CA"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0.02</w:t>
            </w:r>
          </w:p>
        </w:tc>
        <w:tc>
          <w:tcPr>
            <w:tcW w:w="561" w:type="pct"/>
          </w:tcPr>
          <w:p w14:paraId="6AA2FFAB" w14:textId="5E070C88"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2.52</w:t>
            </w:r>
          </w:p>
        </w:tc>
        <w:tc>
          <w:tcPr>
            <w:tcW w:w="809" w:type="pct"/>
          </w:tcPr>
          <w:p w14:paraId="0A3736D0" w14:textId="4F78A240"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0.007</w:t>
            </w:r>
          </w:p>
        </w:tc>
        <w:tc>
          <w:tcPr>
            <w:tcW w:w="636" w:type="pct"/>
          </w:tcPr>
          <w:p w14:paraId="033E8E6D" w14:textId="61F54E89"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0.02</w:t>
            </w:r>
          </w:p>
        </w:tc>
        <w:tc>
          <w:tcPr>
            <w:tcW w:w="2071" w:type="pct"/>
          </w:tcPr>
          <w:p w14:paraId="11EA9C4E" w14:textId="1AD2BD15"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Time from application to contract signing</w:t>
            </w:r>
          </w:p>
        </w:tc>
      </w:tr>
      <w:tr w:rsidR="00555712" w:rsidRPr="00555712" w14:paraId="4DC52C75"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C7C42D7" w14:textId="21AC83E8"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0.92</w:t>
            </w:r>
          </w:p>
        </w:tc>
        <w:tc>
          <w:tcPr>
            <w:tcW w:w="561" w:type="pct"/>
          </w:tcPr>
          <w:p w14:paraId="061D0FD8" w14:textId="724D1460"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0.10</w:t>
            </w:r>
          </w:p>
        </w:tc>
        <w:tc>
          <w:tcPr>
            <w:tcW w:w="809" w:type="pct"/>
          </w:tcPr>
          <w:p w14:paraId="23F58DDD" w14:textId="12139074"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0.26</w:t>
            </w:r>
          </w:p>
        </w:tc>
        <w:tc>
          <w:tcPr>
            <w:tcW w:w="636" w:type="pct"/>
          </w:tcPr>
          <w:p w14:paraId="1E501A33" w14:textId="13996312"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0.02</w:t>
            </w:r>
          </w:p>
        </w:tc>
        <w:tc>
          <w:tcPr>
            <w:tcW w:w="2071" w:type="pct"/>
          </w:tcPr>
          <w:p w14:paraId="0209D1E0" w14:textId="7E7A74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Number of times loans were obtained from the fund</w:t>
            </w:r>
          </w:p>
        </w:tc>
      </w:tr>
      <w:tr w:rsidR="00555712" w:rsidRPr="00555712" w14:paraId="5E2AABBC"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2047532F" w14:textId="3AD2EBA6"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0.60</w:t>
            </w:r>
          </w:p>
        </w:tc>
        <w:tc>
          <w:tcPr>
            <w:tcW w:w="561" w:type="pct"/>
          </w:tcPr>
          <w:p w14:paraId="6B4EF1E9" w14:textId="48A700DE"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0.54</w:t>
            </w:r>
          </w:p>
        </w:tc>
        <w:tc>
          <w:tcPr>
            <w:tcW w:w="809" w:type="pct"/>
          </w:tcPr>
          <w:p w14:paraId="4EA36E8E" w14:textId="49D91C04"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0.32</w:t>
            </w:r>
          </w:p>
        </w:tc>
        <w:tc>
          <w:tcPr>
            <w:tcW w:w="636" w:type="pct"/>
          </w:tcPr>
          <w:p w14:paraId="6ED5219D" w14:textId="2914975A"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0.17</w:t>
            </w:r>
          </w:p>
        </w:tc>
        <w:tc>
          <w:tcPr>
            <w:tcW w:w="2071" w:type="pct"/>
          </w:tcPr>
          <w:p w14:paraId="017770AF" w14:textId="15FF1FA1"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Virtual production type 2</w:t>
            </w:r>
          </w:p>
        </w:tc>
      </w:tr>
      <w:tr w:rsidR="00555712" w:rsidRPr="00555712" w14:paraId="235BC440"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60B340D" w14:textId="776D2559"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0.06</w:t>
            </w:r>
          </w:p>
        </w:tc>
        <w:tc>
          <w:tcPr>
            <w:tcW w:w="561" w:type="pct"/>
          </w:tcPr>
          <w:p w14:paraId="16D8931E" w14:textId="313EBA93"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2.06</w:t>
            </w:r>
          </w:p>
        </w:tc>
        <w:tc>
          <w:tcPr>
            <w:tcW w:w="809" w:type="pct"/>
          </w:tcPr>
          <w:p w14:paraId="0D90A8D0" w14:textId="4E885AF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0.8</w:t>
            </w:r>
          </w:p>
        </w:tc>
        <w:tc>
          <w:tcPr>
            <w:tcW w:w="636" w:type="pct"/>
          </w:tcPr>
          <w:p w14:paraId="01A8EEE9" w14:textId="60168D18"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1.65</w:t>
            </w:r>
          </w:p>
        </w:tc>
        <w:tc>
          <w:tcPr>
            <w:tcW w:w="2071" w:type="pct"/>
          </w:tcPr>
          <w:p w14:paraId="48E20EBA" w14:textId="5C2FC9FA"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Virtual startup type 1</w:t>
            </w:r>
          </w:p>
        </w:tc>
      </w:tr>
      <w:tr w:rsidR="00555712" w:rsidRPr="00555712" w14:paraId="4A0EA657"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12847F8E" w14:textId="30646A1E"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0.18</w:t>
            </w:r>
          </w:p>
        </w:tc>
        <w:tc>
          <w:tcPr>
            <w:tcW w:w="561" w:type="pct"/>
          </w:tcPr>
          <w:p w14:paraId="001E15D3" w14:textId="1747C2C3"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1.77</w:t>
            </w:r>
          </w:p>
        </w:tc>
        <w:tc>
          <w:tcPr>
            <w:tcW w:w="809" w:type="pct"/>
          </w:tcPr>
          <w:p w14:paraId="1D37EBB6" w14:textId="37077FB8"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0.63</w:t>
            </w:r>
          </w:p>
        </w:tc>
        <w:tc>
          <w:tcPr>
            <w:tcW w:w="636" w:type="pct"/>
          </w:tcPr>
          <w:p w14:paraId="055A7778" w14:textId="35BB7742"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1.12</w:t>
            </w:r>
          </w:p>
        </w:tc>
        <w:tc>
          <w:tcPr>
            <w:tcW w:w="2071" w:type="pct"/>
          </w:tcPr>
          <w:p w14:paraId="7AA5E9FE" w14:textId="73DAE86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Virtual startup type 2</w:t>
            </w:r>
          </w:p>
        </w:tc>
      </w:tr>
      <w:tr w:rsidR="00555712" w:rsidRPr="00555712" w14:paraId="051E84DF"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F103531" w14:textId="3012B7EC"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0.00</w:t>
            </w:r>
          </w:p>
        </w:tc>
        <w:tc>
          <w:tcPr>
            <w:tcW w:w="561" w:type="pct"/>
          </w:tcPr>
          <w:p w14:paraId="1BD56D9F" w14:textId="59269FFD"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4.10</w:t>
            </w:r>
          </w:p>
        </w:tc>
        <w:tc>
          <w:tcPr>
            <w:tcW w:w="809" w:type="pct"/>
          </w:tcPr>
          <w:p w14:paraId="65DB37EA" w14:textId="39D4A326"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3.23</w:t>
            </w:r>
          </w:p>
        </w:tc>
        <w:tc>
          <w:tcPr>
            <w:tcW w:w="636" w:type="pct"/>
          </w:tcPr>
          <w:p w14:paraId="25FCECF8" w14:textId="2D83B469"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13.26</w:t>
            </w:r>
          </w:p>
        </w:tc>
        <w:tc>
          <w:tcPr>
            <w:tcW w:w="2071" w:type="pct"/>
          </w:tcPr>
          <w:p w14:paraId="731B9B37" w14:textId="30ACDE30"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Intercept</w:t>
            </w:r>
          </w:p>
        </w:tc>
      </w:tr>
      <w:tr w:rsidR="00555712" w:rsidRPr="00555712" w14:paraId="748F10D6"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7EDC0419" w14:textId="72D49A32"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0.72</w:t>
            </w:r>
          </w:p>
        </w:tc>
        <w:tc>
          <w:tcPr>
            <w:tcW w:w="561" w:type="pct"/>
          </w:tcPr>
          <w:p w14:paraId="59962FE9" w14:textId="612C6A4C"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R-squared</w:t>
            </w:r>
          </w:p>
        </w:tc>
        <w:tc>
          <w:tcPr>
            <w:tcW w:w="809" w:type="pct"/>
          </w:tcPr>
          <w:p w14:paraId="71B8EF28" w14:textId="7777777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36" w:type="pct"/>
          </w:tcPr>
          <w:p w14:paraId="5EBBD8DA" w14:textId="7777777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71" w:type="pct"/>
          </w:tcPr>
          <w:p w14:paraId="677AFED5" w14:textId="7777777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r w:rsidR="00555712" w:rsidRPr="00555712" w14:paraId="50B5C3D1"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F85CB51" w14:textId="7FF6C271"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6.25</w:t>
            </w:r>
          </w:p>
        </w:tc>
        <w:tc>
          <w:tcPr>
            <w:tcW w:w="561" w:type="pct"/>
          </w:tcPr>
          <w:p w14:paraId="3AD5B9B8" w14:textId="388E6B4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F-statistic</w:t>
            </w:r>
          </w:p>
        </w:tc>
        <w:tc>
          <w:tcPr>
            <w:tcW w:w="809" w:type="pct"/>
          </w:tcPr>
          <w:p w14:paraId="344292C6" w14:textId="777777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636" w:type="pct"/>
          </w:tcPr>
          <w:p w14:paraId="790581FB" w14:textId="777777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2071" w:type="pct"/>
          </w:tcPr>
          <w:p w14:paraId="63586208" w14:textId="777777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r>
    </w:tbl>
    <w:p w14:paraId="51CFCBF4" w14:textId="1ED1934C" w:rsidR="00B81506" w:rsidRDefault="00B81506" w:rsidP="00B81506">
      <w:pPr>
        <w:pStyle w:val="NormalWeb"/>
        <w:jc w:val="both"/>
      </w:pPr>
      <w:r>
        <w:t xml:space="preserve">The econometric model for the exchange cost ratio in leasing facilities, as shown in Table 13, explains 91% of the variation in the exchange cost ratio, with statistical significance at the 1% level. The model reveals </w:t>
      </w:r>
      <w:r w:rsidRPr="006451BF">
        <w:rPr>
          <w:highlight w:val="yellow"/>
        </w:rPr>
        <w:t xml:space="preserve">that both </w:t>
      </w:r>
      <w:r w:rsidR="0055672A" w:rsidRPr="006451BF">
        <w:rPr>
          <w:highlight w:val="yellow"/>
        </w:rPr>
        <w:t xml:space="preserve">the </w:t>
      </w:r>
      <w:r w:rsidRPr="006451BF">
        <w:rPr>
          <w:highlight w:val="yellow"/>
        </w:rPr>
        <w:t>loan amount</w:t>
      </w:r>
      <w:r>
        <w:t xml:space="preserve"> and the time gap between the loan application and contract signing significantly affect the exchange cost ratio. Specifically, a 1% increase in the loan amount leads to a 0.92% decrease in the exchange cost ratio. This suggests that larger loan amounts reduce the cost per unit of loan due to lower per-unit costs for companies familiar with the loan process. However, an increase in the time gap between the loan application and the contract results in higher opportunity costs, which raises the exchange cost ratio. Furthermore, similar to prior models, the exchange cost ratio is higher for Type 1 manufacturing companies compared to Type 2 manufacturing companies.</w:t>
      </w:r>
    </w:p>
    <w:p w14:paraId="19E0EA2B" w14:textId="77777777" w:rsidR="00442507" w:rsidRPr="00442507" w:rsidRDefault="00442507" w:rsidP="005757C8">
      <w:pPr>
        <w:keepNext/>
        <w:numPr>
          <w:ilvl w:val="1"/>
          <w:numId w:val="0"/>
        </w:numPr>
        <w:spacing w:after="0" w:line="240" w:lineRule="auto"/>
        <w:ind w:left="792" w:hanging="792"/>
        <w:jc w:val="center"/>
        <w:outlineLvl w:val="1"/>
        <w:rPr>
          <w:rFonts w:ascii="Times New Roman Bold" w:eastAsia="Calibri" w:hAnsi="Times New Roman Bold" w:cs="B Mitra"/>
          <w:b/>
          <w:bCs/>
          <w:sz w:val="20"/>
          <w:szCs w:val="16"/>
        </w:rPr>
      </w:pPr>
      <w:r w:rsidRPr="00442507">
        <w:rPr>
          <w:rFonts w:ascii="Times New Roman Bold" w:eastAsia="Calibri" w:hAnsi="Times New Roman Bold" w:cs="B Mitra"/>
          <w:b/>
          <w:bCs/>
          <w:sz w:val="20"/>
          <w:szCs w:val="16"/>
        </w:rPr>
        <w:t>Table 13 - Results of Estimating the Model for Factors Affecting the Exchange Cost Ratio to Loan Amount in Leasing Facilities</w:t>
      </w:r>
    </w:p>
    <w:tbl>
      <w:tblPr>
        <w:tblStyle w:val="PlainTable4"/>
        <w:bidiVisual/>
        <w:tblW w:w="5000" w:type="pct"/>
        <w:tblLook w:val="04A0" w:firstRow="1" w:lastRow="0" w:firstColumn="1" w:lastColumn="0" w:noHBand="0" w:noVBand="1"/>
      </w:tblPr>
      <w:tblGrid>
        <w:gridCol w:w="1694"/>
        <w:gridCol w:w="1688"/>
        <w:gridCol w:w="1769"/>
        <w:gridCol w:w="1149"/>
        <w:gridCol w:w="2726"/>
      </w:tblGrid>
      <w:tr w:rsidR="001A1B70" w:rsidRPr="001A1B70" w14:paraId="6EDCDDCC" w14:textId="77777777" w:rsidTr="001A1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58ADFB4A" w14:textId="798A4127" w:rsidR="001A1B70" w:rsidRPr="001A1B70" w:rsidRDefault="001A1B70" w:rsidP="005757C8">
            <w:pPr>
              <w:keepNext/>
              <w:numPr>
                <w:ilvl w:val="1"/>
                <w:numId w:val="0"/>
              </w:numPr>
              <w:jc w:val="center"/>
              <w:outlineLvl w:val="1"/>
              <w:rPr>
                <w:rFonts w:asciiTheme="majorBidi" w:hAnsiTheme="majorBidi" w:cstheme="majorBidi"/>
                <w:sz w:val="20"/>
                <w:szCs w:val="20"/>
              </w:rPr>
            </w:pPr>
            <w:r w:rsidRPr="001A1B70">
              <w:rPr>
                <w:rFonts w:asciiTheme="majorBidi" w:hAnsiTheme="majorBidi" w:cstheme="majorBidi"/>
                <w:sz w:val="20"/>
                <w:szCs w:val="20"/>
              </w:rPr>
              <w:t>Significance Level</w:t>
            </w:r>
          </w:p>
        </w:tc>
        <w:tc>
          <w:tcPr>
            <w:tcW w:w="935" w:type="pct"/>
          </w:tcPr>
          <w:p w14:paraId="258E3647" w14:textId="47F26051"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t-Statistic</w:t>
            </w:r>
          </w:p>
        </w:tc>
        <w:tc>
          <w:tcPr>
            <w:tcW w:w="980" w:type="pct"/>
          </w:tcPr>
          <w:p w14:paraId="5BC506F3" w14:textId="3865D3AD"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1A1B70">
              <w:rPr>
                <w:rFonts w:asciiTheme="majorBidi" w:hAnsiTheme="majorBidi" w:cstheme="majorBidi"/>
                <w:sz w:val="20"/>
                <w:szCs w:val="20"/>
              </w:rPr>
              <w:t>Standard Deviation</w:t>
            </w:r>
          </w:p>
        </w:tc>
        <w:tc>
          <w:tcPr>
            <w:tcW w:w="636" w:type="pct"/>
          </w:tcPr>
          <w:p w14:paraId="30A88B38" w14:textId="35765BEE"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1A1B70">
              <w:rPr>
                <w:rFonts w:asciiTheme="majorBidi" w:hAnsiTheme="majorBidi" w:cstheme="majorBidi"/>
                <w:sz w:val="20"/>
                <w:szCs w:val="20"/>
              </w:rPr>
              <w:t>Coefficient</w:t>
            </w:r>
          </w:p>
        </w:tc>
        <w:tc>
          <w:tcPr>
            <w:tcW w:w="1510" w:type="pct"/>
          </w:tcPr>
          <w:p w14:paraId="4CF1AF3F" w14:textId="18B18943"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1A1B70">
              <w:rPr>
                <w:rFonts w:asciiTheme="majorBidi" w:hAnsiTheme="majorBidi" w:cstheme="majorBidi"/>
                <w:sz w:val="20"/>
                <w:szCs w:val="20"/>
              </w:rPr>
              <w:t>Variable</w:t>
            </w:r>
          </w:p>
        </w:tc>
      </w:tr>
      <w:tr w:rsidR="001A1B70" w:rsidRPr="001A1B70" w14:paraId="3B703ADD"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2A35DA1D" w14:textId="6DEB93F9"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0.00</w:t>
            </w:r>
          </w:p>
        </w:tc>
        <w:tc>
          <w:tcPr>
            <w:tcW w:w="935" w:type="pct"/>
          </w:tcPr>
          <w:p w14:paraId="6EFD5FE0" w14:textId="01989FFC"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-5.53</w:t>
            </w:r>
          </w:p>
        </w:tc>
        <w:tc>
          <w:tcPr>
            <w:tcW w:w="980" w:type="pct"/>
          </w:tcPr>
          <w:p w14:paraId="0954104F" w14:textId="573E4902"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0.16</w:t>
            </w:r>
          </w:p>
        </w:tc>
        <w:tc>
          <w:tcPr>
            <w:tcW w:w="636" w:type="pct"/>
          </w:tcPr>
          <w:p w14:paraId="79026AF5" w14:textId="0B83AFFE"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-0.92</w:t>
            </w:r>
          </w:p>
        </w:tc>
        <w:tc>
          <w:tcPr>
            <w:tcW w:w="1510" w:type="pct"/>
          </w:tcPr>
          <w:p w14:paraId="6CCE250C" w14:textId="56034F2E"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Loan Amount</w:t>
            </w:r>
          </w:p>
        </w:tc>
      </w:tr>
      <w:tr w:rsidR="001A1B70" w:rsidRPr="001A1B70" w14:paraId="611948A7"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5B8F13B7" w14:textId="5801827C"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0.39</w:t>
            </w:r>
          </w:p>
        </w:tc>
        <w:tc>
          <w:tcPr>
            <w:tcW w:w="935" w:type="pct"/>
          </w:tcPr>
          <w:p w14:paraId="1AF42EBF" w14:textId="4CF7A2AB"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-0.90</w:t>
            </w:r>
          </w:p>
        </w:tc>
        <w:tc>
          <w:tcPr>
            <w:tcW w:w="980" w:type="pct"/>
          </w:tcPr>
          <w:p w14:paraId="24B21201" w14:textId="532848DF"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0.43</w:t>
            </w:r>
          </w:p>
        </w:tc>
        <w:tc>
          <w:tcPr>
            <w:tcW w:w="636" w:type="pct"/>
          </w:tcPr>
          <w:p w14:paraId="5E69882D" w14:textId="4B80692E"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-0.39</w:t>
            </w:r>
          </w:p>
        </w:tc>
        <w:tc>
          <w:tcPr>
            <w:tcW w:w="1510" w:type="pct"/>
          </w:tcPr>
          <w:p w14:paraId="119A220F" w14:textId="184FDF35"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Number of Payment Stages</w:t>
            </w:r>
          </w:p>
        </w:tc>
      </w:tr>
      <w:tr w:rsidR="001A1B70" w:rsidRPr="001A1B70" w14:paraId="214E5297"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22051925" w14:textId="4B32B165"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0.12</w:t>
            </w:r>
          </w:p>
        </w:tc>
        <w:tc>
          <w:tcPr>
            <w:tcW w:w="935" w:type="pct"/>
          </w:tcPr>
          <w:p w14:paraId="38A25830" w14:textId="72CC51EB"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1.67</w:t>
            </w:r>
          </w:p>
        </w:tc>
        <w:tc>
          <w:tcPr>
            <w:tcW w:w="980" w:type="pct"/>
          </w:tcPr>
          <w:p w14:paraId="471E08AC" w14:textId="236FA998"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0.06</w:t>
            </w:r>
          </w:p>
        </w:tc>
        <w:tc>
          <w:tcPr>
            <w:tcW w:w="636" w:type="pct"/>
          </w:tcPr>
          <w:p w14:paraId="663F8327" w14:textId="0DCA0490"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0.11</w:t>
            </w:r>
          </w:p>
        </w:tc>
        <w:tc>
          <w:tcPr>
            <w:tcW w:w="1510" w:type="pct"/>
          </w:tcPr>
          <w:p w14:paraId="2D9752C0" w14:textId="1A1DC1B6"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Company Capital</w:t>
            </w:r>
          </w:p>
        </w:tc>
      </w:tr>
      <w:tr w:rsidR="001A1B70" w:rsidRPr="001A1B70" w14:paraId="37D69893"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54C31F3B" w14:textId="029D1BD8"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0.00</w:t>
            </w:r>
          </w:p>
        </w:tc>
        <w:tc>
          <w:tcPr>
            <w:tcW w:w="935" w:type="pct"/>
          </w:tcPr>
          <w:p w14:paraId="5C91F2FF" w14:textId="6041CDD6"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3.43</w:t>
            </w:r>
          </w:p>
        </w:tc>
        <w:tc>
          <w:tcPr>
            <w:tcW w:w="980" w:type="pct"/>
          </w:tcPr>
          <w:p w14:paraId="6624154C" w14:textId="57827691"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0.005</w:t>
            </w:r>
          </w:p>
        </w:tc>
        <w:tc>
          <w:tcPr>
            <w:tcW w:w="636" w:type="pct"/>
          </w:tcPr>
          <w:p w14:paraId="1151FDB2" w14:textId="430B71C4"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0.02</w:t>
            </w:r>
          </w:p>
        </w:tc>
        <w:tc>
          <w:tcPr>
            <w:tcW w:w="1510" w:type="pct"/>
          </w:tcPr>
          <w:p w14:paraId="117E5D86" w14:textId="291844EC"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Distance from Request to Contract</w:t>
            </w:r>
          </w:p>
        </w:tc>
      </w:tr>
      <w:tr w:rsidR="001A1B70" w:rsidRPr="001A1B70" w14:paraId="58860471"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3EA81066" w14:textId="2318C79C"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0.92</w:t>
            </w:r>
          </w:p>
        </w:tc>
        <w:tc>
          <w:tcPr>
            <w:tcW w:w="935" w:type="pct"/>
          </w:tcPr>
          <w:p w14:paraId="508A0074" w14:textId="08AE7628"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0.10</w:t>
            </w:r>
          </w:p>
        </w:tc>
        <w:tc>
          <w:tcPr>
            <w:tcW w:w="980" w:type="pct"/>
          </w:tcPr>
          <w:p w14:paraId="59405574" w14:textId="27F77EC6"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0.26</w:t>
            </w:r>
          </w:p>
        </w:tc>
        <w:tc>
          <w:tcPr>
            <w:tcW w:w="636" w:type="pct"/>
          </w:tcPr>
          <w:p w14:paraId="141B31E3" w14:textId="5CC74C24"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0.02</w:t>
            </w:r>
          </w:p>
        </w:tc>
        <w:tc>
          <w:tcPr>
            <w:tcW w:w="1510" w:type="pct"/>
          </w:tcPr>
          <w:p w14:paraId="725596C5" w14:textId="64C0F59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Number of Loans from the Fund</w:t>
            </w:r>
          </w:p>
        </w:tc>
      </w:tr>
      <w:tr w:rsidR="001A1B70" w:rsidRPr="001A1B70" w14:paraId="790D37DF"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28654D13" w14:textId="599A8D00"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0.60</w:t>
            </w:r>
          </w:p>
        </w:tc>
        <w:tc>
          <w:tcPr>
            <w:tcW w:w="935" w:type="pct"/>
          </w:tcPr>
          <w:p w14:paraId="514AAC91" w14:textId="19202F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0.54</w:t>
            </w:r>
          </w:p>
        </w:tc>
        <w:tc>
          <w:tcPr>
            <w:tcW w:w="980" w:type="pct"/>
          </w:tcPr>
          <w:p w14:paraId="38CB0846" w14:textId="02C9A261"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0.32</w:t>
            </w:r>
          </w:p>
        </w:tc>
        <w:tc>
          <w:tcPr>
            <w:tcW w:w="636" w:type="pct"/>
          </w:tcPr>
          <w:p w14:paraId="600937D9" w14:textId="0C6714EB"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0.17</w:t>
            </w:r>
          </w:p>
        </w:tc>
        <w:tc>
          <w:tcPr>
            <w:tcW w:w="1510" w:type="pct"/>
          </w:tcPr>
          <w:p w14:paraId="5CB0788A" w14:textId="699A3F42"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Dummy for Production Type 2</w:t>
            </w:r>
          </w:p>
        </w:tc>
      </w:tr>
      <w:tr w:rsidR="001A1B70" w:rsidRPr="001A1B70" w14:paraId="15EEC035"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0B255BE1" w14:textId="5D79A72C"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0.06</w:t>
            </w:r>
          </w:p>
        </w:tc>
        <w:tc>
          <w:tcPr>
            <w:tcW w:w="935" w:type="pct"/>
          </w:tcPr>
          <w:p w14:paraId="33426F93" w14:textId="1F0F3C98"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2.06</w:t>
            </w:r>
          </w:p>
        </w:tc>
        <w:tc>
          <w:tcPr>
            <w:tcW w:w="980" w:type="pct"/>
          </w:tcPr>
          <w:p w14:paraId="16BF3405" w14:textId="2694657E"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0.80</w:t>
            </w:r>
          </w:p>
        </w:tc>
        <w:tc>
          <w:tcPr>
            <w:tcW w:w="636" w:type="pct"/>
          </w:tcPr>
          <w:p w14:paraId="403B6095" w14:textId="2606572F"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1.65</w:t>
            </w:r>
          </w:p>
        </w:tc>
        <w:tc>
          <w:tcPr>
            <w:tcW w:w="1510" w:type="pct"/>
          </w:tcPr>
          <w:p w14:paraId="40F519E2" w14:textId="5C4B79B1"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Dummy for Startup Type 1</w:t>
            </w:r>
          </w:p>
        </w:tc>
      </w:tr>
      <w:tr w:rsidR="001A1B70" w:rsidRPr="001A1B70" w14:paraId="5E873DF4"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03506136" w14:textId="5688706A"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0.10</w:t>
            </w:r>
          </w:p>
        </w:tc>
        <w:tc>
          <w:tcPr>
            <w:tcW w:w="935" w:type="pct"/>
          </w:tcPr>
          <w:p w14:paraId="3DAE11AF" w14:textId="4B4D68AD"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1.77</w:t>
            </w:r>
          </w:p>
        </w:tc>
        <w:tc>
          <w:tcPr>
            <w:tcW w:w="980" w:type="pct"/>
          </w:tcPr>
          <w:p w14:paraId="59E941D7" w14:textId="73B58A5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0.63</w:t>
            </w:r>
          </w:p>
        </w:tc>
        <w:tc>
          <w:tcPr>
            <w:tcW w:w="636" w:type="pct"/>
          </w:tcPr>
          <w:p w14:paraId="648FA8B9" w14:textId="16890F1D"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1.12</w:t>
            </w:r>
          </w:p>
        </w:tc>
        <w:tc>
          <w:tcPr>
            <w:tcW w:w="1510" w:type="pct"/>
          </w:tcPr>
          <w:p w14:paraId="7648B651" w14:textId="23158768"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Dummy for Type 2 Startups</w:t>
            </w:r>
          </w:p>
        </w:tc>
      </w:tr>
      <w:tr w:rsidR="001A1B70" w:rsidRPr="001A1B70" w14:paraId="32D3FF37"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0560B5A7" w14:textId="0BF85948"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0.00</w:t>
            </w:r>
          </w:p>
        </w:tc>
        <w:tc>
          <w:tcPr>
            <w:tcW w:w="935" w:type="pct"/>
          </w:tcPr>
          <w:p w14:paraId="6A256C61" w14:textId="5185D0FC"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5.52</w:t>
            </w:r>
          </w:p>
        </w:tc>
        <w:tc>
          <w:tcPr>
            <w:tcW w:w="980" w:type="pct"/>
          </w:tcPr>
          <w:p w14:paraId="38BBC597" w14:textId="15AF255F"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3.23</w:t>
            </w:r>
          </w:p>
        </w:tc>
        <w:tc>
          <w:tcPr>
            <w:tcW w:w="636" w:type="pct"/>
          </w:tcPr>
          <w:p w14:paraId="16981178" w14:textId="7B396E79"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17.87</w:t>
            </w:r>
          </w:p>
        </w:tc>
        <w:tc>
          <w:tcPr>
            <w:tcW w:w="1510" w:type="pct"/>
          </w:tcPr>
          <w:p w14:paraId="62E2D360" w14:textId="6550044D"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Intercept</w:t>
            </w:r>
          </w:p>
        </w:tc>
      </w:tr>
      <w:tr w:rsidR="001A1B70" w:rsidRPr="001A1B70" w14:paraId="605B6DCD"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09F2A5B1" w14:textId="49C1F0FD"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0.91</w:t>
            </w:r>
          </w:p>
        </w:tc>
        <w:tc>
          <w:tcPr>
            <w:tcW w:w="935" w:type="pct"/>
          </w:tcPr>
          <w:p w14:paraId="3CCB406E" w14:textId="3046ECC8"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R-squared</w:t>
            </w:r>
          </w:p>
        </w:tc>
        <w:tc>
          <w:tcPr>
            <w:tcW w:w="980" w:type="pct"/>
          </w:tcPr>
          <w:p w14:paraId="5C73A09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36" w:type="pct"/>
          </w:tcPr>
          <w:p w14:paraId="5AE49885"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1510" w:type="pct"/>
          </w:tcPr>
          <w:p w14:paraId="0EBC141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r w:rsidR="001A1B70" w:rsidRPr="001A1B70" w14:paraId="7BF8A01F" w14:textId="77777777" w:rsidTr="001A1B70">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38" w:type="pct"/>
          </w:tcPr>
          <w:p w14:paraId="2E903B33" w14:textId="2BF68A73"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14.19</w:t>
            </w:r>
          </w:p>
        </w:tc>
        <w:tc>
          <w:tcPr>
            <w:tcW w:w="935" w:type="pct"/>
          </w:tcPr>
          <w:p w14:paraId="6E3BD251" w14:textId="2C2A36CB"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F-statistic</w:t>
            </w:r>
          </w:p>
        </w:tc>
        <w:tc>
          <w:tcPr>
            <w:tcW w:w="980" w:type="pct"/>
          </w:tcPr>
          <w:p w14:paraId="08004F83" w14:textId="7777777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36" w:type="pct"/>
          </w:tcPr>
          <w:p w14:paraId="0EF6FF3A" w14:textId="7777777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1510" w:type="pct"/>
          </w:tcPr>
          <w:p w14:paraId="34AA151C" w14:textId="7777777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r>
      <w:tr w:rsidR="001A1B70" w:rsidRPr="001A1B70" w14:paraId="758DF1B5"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0C23B402" w14:textId="6A84DB7E"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0.85</w:t>
            </w:r>
          </w:p>
        </w:tc>
        <w:tc>
          <w:tcPr>
            <w:tcW w:w="935" w:type="pct"/>
          </w:tcPr>
          <w:p w14:paraId="50BD762F" w14:textId="05E55123"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Adjusted R-squared</w:t>
            </w:r>
          </w:p>
        </w:tc>
        <w:tc>
          <w:tcPr>
            <w:tcW w:w="980" w:type="pct"/>
          </w:tcPr>
          <w:p w14:paraId="0F6BD18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36" w:type="pct"/>
          </w:tcPr>
          <w:p w14:paraId="3651E376"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1510" w:type="pct"/>
          </w:tcPr>
          <w:p w14:paraId="7E90014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bl>
    <w:p w14:paraId="12C57A03" w14:textId="77777777" w:rsidR="00671A10" w:rsidRDefault="00671A10" w:rsidP="00671A10">
      <w:pPr>
        <w:pStyle w:val="NormalWeb"/>
        <w:jc w:val="both"/>
      </w:pPr>
      <w:r>
        <w:t xml:space="preserve">Table 14 presents the results of estimating the factors that influence the transaction costs of the studied companies. The analysis shows that variables such as the loan amount, the number of payment steps, the time between the application and contract, the interest rate, and dummy variables for working capital, prototyping, and industrial production activity loans have a positive and significant impact on transaction costs. Specifically, the transaction cost increases by 0.35% for every increase in the loan amount, by 0.11% for each additional payment step, and by 0.13% for the greater distance between the application and the contract. Additionally, </w:t>
      </w:r>
      <w:r>
        <w:lastRenderedPageBreak/>
        <w:t>loans with higher interest rates, such as working capital and industrial production activities, result in higher transaction costs. Dummy variables for working capital, prototyping, and industrial production loans indicate that these types of loans have higher transaction costs compared to leasing loans. However, the analysis found no significant difference in transaction costs based on the type of knowledge base of the companies, suggesting that the company's knowledge base type does not influence transaction costs.</w:t>
      </w:r>
    </w:p>
    <w:p w14:paraId="0D939327" w14:textId="0A18B8F9" w:rsidR="002F35AC" w:rsidRPr="00903EBC" w:rsidRDefault="002F35AC" w:rsidP="005757C8">
      <w:pPr>
        <w:bidi w:val="0"/>
        <w:spacing w:after="0" w:line="240" w:lineRule="auto"/>
        <w:jc w:val="center"/>
        <w:rPr>
          <w:rFonts w:asciiTheme="majorBidi" w:hAnsiTheme="majorBidi" w:cstheme="majorBidi"/>
          <w:b/>
          <w:bCs/>
          <w:sz w:val="20"/>
          <w:szCs w:val="20"/>
        </w:rPr>
      </w:pPr>
      <w:r w:rsidRPr="00903EBC">
        <w:rPr>
          <w:rFonts w:asciiTheme="majorBidi" w:hAnsiTheme="majorBidi" w:cstheme="majorBidi"/>
          <w:b/>
          <w:bCs/>
          <w:sz w:val="20"/>
          <w:szCs w:val="20"/>
        </w:rPr>
        <w:t xml:space="preserve">Table </w:t>
      </w:r>
      <w:r w:rsidR="000B403D" w:rsidRPr="00903EBC">
        <w:rPr>
          <w:rFonts w:asciiTheme="majorBidi" w:hAnsiTheme="majorBidi" w:cstheme="majorBidi"/>
          <w:b/>
          <w:bCs/>
          <w:sz w:val="20"/>
          <w:szCs w:val="20"/>
        </w:rPr>
        <w:t>14</w:t>
      </w:r>
      <w:r w:rsidRPr="00903EBC">
        <w:rPr>
          <w:rFonts w:asciiTheme="majorBidi" w:hAnsiTheme="majorBidi" w:cstheme="majorBidi"/>
          <w:b/>
          <w:bCs/>
          <w:sz w:val="20"/>
          <w:szCs w:val="20"/>
        </w:rPr>
        <w:t>-Results of estimating the Model of factors affecting the amount of transaction cost</w:t>
      </w:r>
      <w:r w:rsidR="00FA3DDA">
        <w:rPr>
          <w:rFonts w:asciiTheme="majorBidi" w:hAnsiTheme="majorBidi" w:cstheme="majorBidi"/>
          <w:b/>
          <w:bCs/>
          <w:sz w:val="20"/>
          <w:szCs w:val="20"/>
        </w:rPr>
        <w:t xml:space="preserve"> </w:t>
      </w:r>
      <w:r w:rsidR="00FA3DDA" w:rsidRPr="00FA3DDA">
        <w:rPr>
          <w:rFonts w:asciiTheme="majorBidi" w:hAnsiTheme="majorBidi" w:cstheme="majorBidi"/>
          <w:b/>
          <w:bCs/>
          <w:sz w:val="20"/>
          <w:szCs w:val="20"/>
        </w:rPr>
        <w:t>(Hosseini et al., 2023)</w:t>
      </w:r>
    </w:p>
    <w:tbl>
      <w:tblPr>
        <w:tblStyle w:val="PlainTable51"/>
        <w:tblW w:w="5000" w:type="pct"/>
        <w:tblLook w:val="04A0" w:firstRow="1" w:lastRow="0" w:firstColumn="1" w:lastColumn="0" w:noHBand="0" w:noVBand="1"/>
      </w:tblPr>
      <w:tblGrid>
        <w:gridCol w:w="4767"/>
        <w:gridCol w:w="1094"/>
        <w:gridCol w:w="1652"/>
        <w:gridCol w:w="708"/>
        <w:gridCol w:w="805"/>
      </w:tblGrid>
      <w:tr w:rsidR="00675882" w:rsidRPr="00675882" w14:paraId="6BAE4B91" w14:textId="77777777" w:rsidTr="0067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pct"/>
            <w:shd w:val="clear" w:color="auto" w:fill="auto"/>
            <w:vAlign w:val="center"/>
          </w:tcPr>
          <w:p w14:paraId="71810A18"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Variable</w:t>
            </w:r>
          </w:p>
        </w:tc>
        <w:tc>
          <w:tcPr>
            <w:tcW w:w="606" w:type="pct"/>
            <w:shd w:val="clear" w:color="auto" w:fill="auto"/>
            <w:vAlign w:val="center"/>
          </w:tcPr>
          <w:p w14:paraId="7E6D2D21"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Coefficient</w:t>
            </w:r>
          </w:p>
        </w:tc>
        <w:tc>
          <w:tcPr>
            <w:tcW w:w="915" w:type="pct"/>
            <w:shd w:val="clear" w:color="auto" w:fill="auto"/>
            <w:vAlign w:val="center"/>
          </w:tcPr>
          <w:p w14:paraId="3D695947"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standard deviation</w:t>
            </w:r>
          </w:p>
        </w:tc>
        <w:tc>
          <w:tcPr>
            <w:tcW w:w="392" w:type="pct"/>
            <w:shd w:val="clear" w:color="auto" w:fill="auto"/>
            <w:vAlign w:val="center"/>
          </w:tcPr>
          <w:p w14:paraId="0D92D03D"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t ratio</w:t>
            </w:r>
          </w:p>
        </w:tc>
        <w:tc>
          <w:tcPr>
            <w:tcW w:w="446" w:type="pct"/>
            <w:shd w:val="clear" w:color="auto" w:fill="auto"/>
            <w:vAlign w:val="center"/>
          </w:tcPr>
          <w:p w14:paraId="544B66A9"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P value</w:t>
            </w:r>
          </w:p>
        </w:tc>
      </w:tr>
      <w:tr w:rsidR="00675882" w:rsidRPr="00675882" w14:paraId="25CF412A"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895E24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Facility amount</w:t>
            </w:r>
          </w:p>
        </w:tc>
        <w:tc>
          <w:tcPr>
            <w:tcW w:w="606" w:type="pct"/>
            <w:shd w:val="clear" w:color="auto" w:fill="auto"/>
            <w:vAlign w:val="center"/>
          </w:tcPr>
          <w:p w14:paraId="49168726"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c>
          <w:tcPr>
            <w:tcW w:w="915" w:type="pct"/>
            <w:shd w:val="clear" w:color="auto" w:fill="auto"/>
            <w:vAlign w:val="center"/>
          </w:tcPr>
          <w:p w14:paraId="004B8FF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0.07</w:t>
            </w:r>
          </w:p>
        </w:tc>
        <w:tc>
          <w:tcPr>
            <w:tcW w:w="392" w:type="pct"/>
            <w:shd w:val="clear" w:color="auto" w:fill="auto"/>
            <w:vAlign w:val="center"/>
          </w:tcPr>
          <w:p w14:paraId="6DDF351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4.89</w:t>
            </w:r>
          </w:p>
        </w:tc>
        <w:tc>
          <w:tcPr>
            <w:tcW w:w="446" w:type="pct"/>
            <w:shd w:val="clear" w:color="auto" w:fill="auto"/>
            <w:vAlign w:val="center"/>
          </w:tcPr>
          <w:p w14:paraId="2705D52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3E75E296"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B03B5BC"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payment steps</w:t>
            </w:r>
          </w:p>
        </w:tc>
        <w:tc>
          <w:tcPr>
            <w:tcW w:w="606" w:type="pct"/>
            <w:vAlign w:val="center"/>
          </w:tcPr>
          <w:p w14:paraId="785FC017"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915" w:type="pct"/>
            <w:vAlign w:val="center"/>
          </w:tcPr>
          <w:p w14:paraId="0C59278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0.03</w:t>
            </w:r>
          </w:p>
        </w:tc>
        <w:tc>
          <w:tcPr>
            <w:tcW w:w="392" w:type="pct"/>
            <w:vAlign w:val="center"/>
          </w:tcPr>
          <w:p w14:paraId="534EDCA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3.19</w:t>
            </w:r>
          </w:p>
        </w:tc>
        <w:tc>
          <w:tcPr>
            <w:tcW w:w="446" w:type="pct"/>
            <w:vAlign w:val="center"/>
          </w:tcPr>
          <w:p w14:paraId="1373043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02DF829E"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4B827333"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Company capital</w:t>
            </w:r>
          </w:p>
        </w:tc>
        <w:tc>
          <w:tcPr>
            <w:tcW w:w="606" w:type="pct"/>
            <w:shd w:val="clear" w:color="auto" w:fill="auto"/>
            <w:vAlign w:val="center"/>
          </w:tcPr>
          <w:p w14:paraId="668A5C2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915" w:type="pct"/>
            <w:shd w:val="clear" w:color="auto" w:fill="auto"/>
            <w:vAlign w:val="center"/>
          </w:tcPr>
          <w:p w14:paraId="64FDD181"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392" w:type="pct"/>
            <w:shd w:val="clear" w:color="auto" w:fill="auto"/>
            <w:vAlign w:val="center"/>
          </w:tcPr>
          <w:p w14:paraId="785B2870"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0.83</w:t>
            </w:r>
          </w:p>
        </w:tc>
        <w:tc>
          <w:tcPr>
            <w:tcW w:w="446" w:type="pct"/>
            <w:shd w:val="clear" w:color="auto" w:fill="auto"/>
            <w:vAlign w:val="center"/>
          </w:tcPr>
          <w:p w14:paraId="5C2B441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0.40</w:t>
            </w:r>
          </w:p>
        </w:tc>
      </w:tr>
      <w:tr w:rsidR="00675882" w:rsidRPr="00675882" w14:paraId="0E7FD883"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53A2A896"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distance between the application and contract</w:t>
            </w:r>
          </w:p>
        </w:tc>
        <w:tc>
          <w:tcPr>
            <w:tcW w:w="606" w:type="pct"/>
            <w:vAlign w:val="center"/>
          </w:tcPr>
          <w:p w14:paraId="222A5D6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0.13</w:t>
            </w:r>
          </w:p>
        </w:tc>
        <w:tc>
          <w:tcPr>
            <w:tcW w:w="915" w:type="pct"/>
            <w:vAlign w:val="center"/>
          </w:tcPr>
          <w:p w14:paraId="4E4D4FB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0.04</w:t>
            </w:r>
          </w:p>
        </w:tc>
        <w:tc>
          <w:tcPr>
            <w:tcW w:w="392" w:type="pct"/>
            <w:vAlign w:val="center"/>
          </w:tcPr>
          <w:p w14:paraId="06F90F6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2.93</w:t>
            </w:r>
          </w:p>
        </w:tc>
        <w:tc>
          <w:tcPr>
            <w:tcW w:w="446" w:type="pct"/>
            <w:vAlign w:val="center"/>
          </w:tcPr>
          <w:p w14:paraId="1BCFD08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5084ECBC"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59A1CAAB"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receiving facilities from the fund</w:t>
            </w:r>
          </w:p>
        </w:tc>
        <w:tc>
          <w:tcPr>
            <w:tcW w:w="606" w:type="pct"/>
            <w:shd w:val="clear" w:color="auto" w:fill="auto"/>
            <w:vAlign w:val="center"/>
          </w:tcPr>
          <w:p w14:paraId="2EE8DAF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0.10</w:t>
            </w:r>
          </w:p>
        </w:tc>
        <w:tc>
          <w:tcPr>
            <w:tcW w:w="915" w:type="pct"/>
            <w:shd w:val="clear" w:color="auto" w:fill="auto"/>
            <w:vAlign w:val="center"/>
          </w:tcPr>
          <w:p w14:paraId="3625DFB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392" w:type="pct"/>
            <w:shd w:val="clear" w:color="auto" w:fill="auto"/>
            <w:vAlign w:val="center"/>
          </w:tcPr>
          <w:p w14:paraId="66047E71"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0.92</w:t>
            </w:r>
          </w:p>
        </w:tc>
        <w:tc>
          <w:tcPr>
            <w:tcW w:w="446" w:type="pct"/>
            <w:shd w:val="clear" w:color="auto" w:fill="auto"/>
            <w:vAlign w:val="center"/>
          </w:tcPr>
          <w:p w14:paraId="5573A4C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r>
      <w:tr w:rsidR="00675882" w:rsidRPr="00675882" w14:paraId="1CD6F7F4"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67AD9F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Interest rate</w:t>
            </w:r>
          </w:p>
        </w:tc>
        <w:tc>
          <w:tcPr>
            <w:tcW w:w="606" w:type="pct"/>
            <w:vAlign w:val="center"/>
          </w:tcPr>
          <w:p w14:paraId="0208A144"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1.11</w:t>
            </w:r>
          </w:p>
        </w:tc>
        <w:tc>
          <w:tcPr>
            <w:tcW w:w="915" w:type="pct"/>
            <w:vAlign w:val="center"/>
          </w:tcPr>
          <w:p w14:paraId="201F5A9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0.52</w:t>
            </w:r>
          </w:p>
        </w:tc>
        <w:tc>
          <w:tcPr>
            <w:tcW w:w="392" w:type="pct"/>
            <w:vAlign w:val="center"/>
          </w:tcPr>
          <w:p w14:paraId="6DE2FEC3"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F35AC">
              <w:rPr>
                <w:rFonts w:asciiTheme="majorBidi" w:hAnsiTheme="majorBidi" w:cstheme="majorBidi"/>
                <w:sz w:val="20"/>
                <w:szCs w:val="20"/>
              </w:rPr>
              <w:t>2.13</w:t>
            </w:r>
          </w:p>
        </w:tc>
        <w:tc>
          <w:tcPr>
            <w:tcW w:w="446" w:type="pct"/>
            <w:vAlign w:val="center"/>
          </w:tcPr>
          <w:p w14:paraId="3854809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r>
      <w:tr w:rsidR="00675882" w:rsidRPr="00675882" w14:paraId="6E6EE7C9"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7DF31B36"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(production type 2)</w:t>
            </w:r>
          </w:p>
        </w:tc>
        <w:tc>
          <w:tcPr>
            <w:tcW w:w="606" w:type="pct"/>
            <w:shd w:val="clear" w:color="auto" w:fill="auto"/>
            <w:vAlign w:val="center"/>
          </w:tcPr>
          <w:p w14:paraId="7267E31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915" w:type="pct"/>
            <w:shd w:val="clear" w:color="auto" w:fill="auto"/>
            <w:vAlign w:val="center"/>
          </w:tcPr>
          <w:p w14:paraId="167F1E81"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0.16</w:t>
            </w:r>
          </w:p>
        </w:tc>
        <w:tc>
          <w:tcPr>
            <w:tcW w:w="392" w:type="pct"/>
            <w:shd w:val="clear" w:color="auto" w:fill="auto"/>
            <w:vAlign w:val="center"/>
          </w:tcPr>
          <w:p w14:paraId="25C2032C"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-0.69</w:t>
            </w:r>
          </w:p>
        </w:tc>
        <w:tc>
          <w:tcPr>
            <w:tcW w:w="446" w:type="pct"/>
            <w:shd w:val="clear" w:color="auto" w:fill="auto"/>
            <w:vAlign w:val="center"/>
          </w:tcPr>
          <w:p w14:paraId="1F006D5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0.49</w:t>
            </w:r>
          </w:p>
        </w:tc>
      </w:tr>
      <w:tr w:rsidR="00675882" w:rsidRPr="00675882" w14:paraId="35802B8C"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2FBEF3AB"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(production type 3)</w:t>
            </w:r>
          </w:p>
        </w:tc>
        <w:tc>
          <w:tcPr>
            <w:tcW w:w="606" w:type="pct"/>
            <w:vAlign w:val="center"/>
          </w:tcPr>
          <w:p w14:paraId="4B96C57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0.34</w:t>
            </w:r>
          </w:p>
        </w:tc>
        <w:tc>
          <w:tcPr>
            <w:tcW w:w="915" w:type="pct"/>
            <w:vAlign w:val="center"/>
          </w:tcPr>
          <w:p w14:paraId="7221E747"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0.73</w:t>
            </w:r>
          </w:p>
        </w:tc>
        <w:tc>
          <w:tcPr>
            <w:tcW w:w="392" w:type="pct"/>
            <w:vAlign w:val="center"/>
          </w:tcPr>
          <w:p w14:paraId="19B27D77"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0.48</w:t>
            </w:r>
          </w:p>
        </w:tc>
        <w:tc>
          <w:tcPr>
            <w:tcW w:w="446" w:type="pct"/>
            <w:vAlign w:val="center"/>
          </w:tcPr>
          <w:p w14:paraId="6F83FCA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0.63</w:t>
            </w:r>
          </w:p>
        </w:tc>
      </w:tr>
      <w:tr w:rsidR="00675882" w:rsidRPr="00675882" w14:paraId="5DCA7B06"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113590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1)</w:t>
            </w:r>
          </w:p>
        </w:tc>
        <w:tc>
          <w:tcPr>
            <w:tcW w:w="606" w:type="pct"/>
            <w:shd w:val="clear" w:color="auto" w:fill="auto"/>
            <w:vAlign w:val="center"/>
          </w:tcPr>
          <w:p w14:paraId="2E4B19B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915" w:type="pct"/>
            <w:shd w:val="clear" w:color="auto" w:fill="auto"/>
            <w:vAlign w:val="center"/>
          </w:tcPr>
          <w:p w14:paraId="12274A5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0.31</w:t>
            </w:r>
          </w:p>
        </w:tc>
        <w:tc>
          <w:tcPr>
            <w:tcW w:w="392" w:type="pct"/>
            <w:shd w:val="clear" w:color="auto" w:fill="auto"/>
            <w:vAlign w:val="center"/>
          </w:tcPr>
          <w:p w14:paraId="085BCDE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1.04</w:t>
            </w:r>
          </w:p>
        </w:tc>
        <w:tc>
          <w:tcPr>
            <w:tcW w:w="446" w:type="pct"/>
            <w:shd w:val="clear" w:color="auto" w:fill="auto"/>
            <w:vAlign w:val="center"/>
          </w:tcPr>
          <w:p w14:paraId="44F7497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0.30</w:t>
            </w:r>
          </w:p>
        </w:tc>
      </w:tr>
      <w:tr w:rsidR="00675882" w:rsidRPr="00675882" w14:paraId="51FD9046"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3BDE8DBD"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2)</w:t>
            </w:r>
          </w:p>
        </w:tc>
        <w:tc>
          <w:tcPr>
            <w:tcW w:w="606" w:type="pct"/>
            <w:vAlign w:val="center"/>
          </w:tcPr>
          <w:p w14:paraId="63F06F7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-0.13</w:t>
            </w:r>
          </w:p>
        </w:tc>
        <w:tc>
          <w:tcPr>
            <w:tcW w:w="915" w:type="pct"/>
            <w:vAlign w:val="center"/>
          </w:tcPr>
          <w:p w14:paraId="19F0FFF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0.24</w:t>
            </w:r>
          </w:p>
        </w:tc>
        <w:tc>
          <w:tcPr>
            <w:tcW w:w="392" w:type="pct"/>
            <w:vAlign w:val="center"/>
          </w:tcPr>
          <w:p w14:paraId="4D98C1D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-0.56</w:t>
            </w:r>
          </w:p>
        </w:tc>
        <w:tc>
          <w:tcPr>
            <w:tcW w:w="446" w:type="pct"/>
            <w:vAlign w:val="center"/>
          </w:tcPr>
          <w:p w14:paraId="7850E211"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0.57</w:t>
            </w:r>
          </w:p>
        </w:tc>
      </w:tr>
      <w:tr w:rsidR="00675882" w:rsidRPr="00675882" w14:paraId="1A8BF3EB"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0794AF11"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working capital facility</w:t>
            </w:r>
          </w:p>
        </w:tc>
        <w:tc>
          <w:tcPr>
            <w:tcW w:w="606" w:type="pct"/>
            <w:shd w:val="clear" w:color="auto" w:fill="auto"/>
            <w:vAlign w:val="center"/>
          </w:tcPr>
          <w:p w14:paraId="6E0CC64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1.65</w:t>
            </w:r>
          </w:p>
        </w:tc>
        <w:tc>
          <w:tcPr>
            <w:tcW w:w="915" w:type="pct"/>
            <w:shd w:val="clear" w:color="auto" w:fill="auto"/>
            <w:vAlign w:val="center"/>
          </w:tcPr>
          <w:p w14:paraId="7B1FD7A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392" w:type="pct"/>
            <w:shd w:val="clear" w:color="auto" w:fill="auto"/>
            <w:vAlign w:val="center"/>
          </w:tcPr>
          <w:p w14:paraId="0FA1FD1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5.03</w:t>
            </w:r>
          </w:p>
        </w:tc>
        <w:tc>
          <w:tcPr>
            <w:tcW w:w="446" w:type="pct"/>
            <w:shd w:val="clear" w:color="auto" w:fill="auto"/>
            <w:vAlign w:val="center"/>
          </w:tcPr>
          <w:p w14:paraId="5477FF5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3F566B1E"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0619382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prototyping facility</w:t>
            </w:r>
          </w:p>
        </w:tc>
        <w:tc>
          <w:tcPr>
            <w:tcW w:w="606" w:type="pct"/>
            <w:vAlign w:val="center"/>
          </w:tcPr>
          <w:p w14:paraId="108B98A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2.06</w:t>
            </w:r>
          </w:p>
        </w:tc>
        <w:tc>
          <w:tcPr>
            <w:tcW w:w="915" w:type="pct"/>
            <w:vAlign w:val="center"/>
          </w:tcPr>
          <w:p w14:paraId="566BA411"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1.07</w:t>
            </w:r>
          </w:p>
        </w:tc>
        <w:tc>
          <w:tcPr>
            <w:tcW w:w="392" w:type="pct"/>
            <w:vAlign w:val="center"/>
          </w:tcPr>
          <w:p w14:paraId="7A820DD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1.92</w:t>
            </w:r>
          </w:p>
        </w:tc>
        <w:tc>
          <w:tcPr>
            <w:tcW w:w="446" w:type="pct"/>
            <w:vAlign w:val="center"/>
          </w:tcPr>
          <w:p w14:paraId="6A5AFAD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0.04</w:t>
            </w:r>
          </w:p>
        </w:tc>
      </w:tr>
      <w:tr w:rsidR="00675882" w:rsidRPr="00675882" w14:paraId="42AB51B9"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71582348"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industrial production activities facility</w:t>
            </w:r>
          </w:p>
        </w:tc>
        <w:tc>
          <w:tcPr>
            <w:tcW w:w="606" w:type="pct"/>
            <w:shd w:val="clear" w:color="auto" w:fill="auto"/>
            <w:vAlign w:val="center"/>
          </w:tcPr>
          <w:p w14:paraId="5D4E62A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1.62</w:t>
            </w:r>
          </w:p>
        </w:tc>
        <w:tc>
          <w:tcPr>
            <w:tcW w:w="915" w:type="pct"/>
            <w:shd w:val="clear" w:color="auto" w:fill="auto"/>
            <w:vAlign w:val="center"/>
          </w:tcPr>
          <w:p w14:paraId="232AED3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c>
          <w:tcPr>
            <w:tcW w:w="392" w:type="pct"/>
            <w:shd w:val="clear" w:color="auto" w:fill="auto"/>
            <w:vAlign w:val="center"/>
          </w:tcPr>
          <w:p w14:paraId="40DA52C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4.54</w:t>
            </w:r>
          </w:p>
        </w:tc>
        <w:tc>
          <w:tcPr>
            <w:tcW w:w="446" w:type="pct"/>
            <w:shd w:val="clear" w:color="auto" w:fill="auto"/>
            <w:vAlign w:val="center"/>
          </w:tcPr>
          <w:p w14:paraId="12A7992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14DFED88" w14:textId="77777777" w:rsidTr="00675882">
        <w:tc>
          <w:tcPr>
            <w:cnfStyle w:val="001000000000" w:firstRow="0" w:lastRow="0" w:firstColumn="1" w:lastColumn="0" w:oddVBand="0" w:evenVBand="0" w:oddHBand="0" w:evenHBand="0" w:firstRowFirstColumn="0" w:firstRowLastColumn="0" w:lastRowFirstColumn="0" w:lastRowLastColumn="0"/>
            <w:tcW w:w="2641" w:type="pct"/>
            <w:tcBorders>
              <w:bottom w:val="single" w:sz="4" w:space="0" w:color="auto"/>
            </w:tcBorders>
            <w:shd w:val="clear" w:color="auto" w:fill="auto"/>
            <w:vAlign w:val="center"/>
          </w:tcPr>
          <w:p w14:paraId="416AF6E8"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Intercept</w:t>
            </w:r>
          </w:p>
        </w:tc>
        <w:tc>
          <w:tcPr>
            <w:tcW w:w="606" w:type="pct"/>
            <w:tcBorders>
              <w:bottom w:val="single" w:sz="4" w:space="0" w:color="auto"/>
            </w:tcBorders>
            <w:vAlign w:val="center"/>
          </w:tcPr>
          <w:p w14:paraId="3F8EEDC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6.83</w:t>
            </w:r>
          </w:p>
        </w:tc>
        <w:tc>
          <w:tcPr>
            <w:tcW w:w="915" w:type="pct"/>
            <w:tcBorders>
              <w:bottom w:val="single" w:sz="4" w:space="0" w:color="auto"/>
            </w:tcBorders>
            <w:vAlign w:val="center"/>
          </w:tcPr>
          <w:p w14:paraId="6945FBA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3.12</w:t>
            </w:r>
          </w:p>
        </w:tc>
        <w:tc>
          <w:tcPr>
            <w:tcW w:w="392" w:type="pct"/>
            <w:tcBorders>
              <w:bottom w:val="single" w:sz="4" w:space="0" w:color="auto"/>
            </w:tcBorders>
            <w:vAlign w:val="center"/>
          </w:tcPr>
          <w:p w14:paraId="3CD3631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2.19</w:t>
            </w:r>
          </w:p>
        </w:tc>
        <w:tc>
          <w:tcPr>
            <w:tcW w:w="446" w:type="pct"/>
            <w:tcBorders>
              <w:bottom w:val="single" w:sz="4" w:space="0" w:color="auto"/>
            </w:tcBorders>
            <w:vAlign w:val="center"/>
          </w:tcPr>
          <w:p w14:paraId="148D897B"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r>
      <w:tr w:rsidR="00675882" w:rsidRPr="00675882" w14:paraId="4A4B58C9"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tcBorders>
              <w:top w:val="single" w:sz="4" w:space="0" w:color="auto"/>
            </w:tcBorders>
            <w:shd w:val="clear" w:color="auto" w:fill="auto"/>
            <w:vAlign w:val="center"/>
          </w:tcPr>
          <w:p w14:paraId="6DA83692"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R</w:t>
            </w:r>
            <w:r w:rsidRPr="002F35AC">
              <w:rPr>
                <w:rFonts w:asciiTheme="majorBidi" w:hAnsiTheme="majorBidi"/>
                <w:sz w:val="20"/>
                <w:szCs w:val="20"/>
                <w:vertAlign w:val="superscript"/>
              </w:rPr>
              <w:t>2</w:t>
            </w:r>
          </w:p>
        </w:tc>
        <w:tc>
          <w:tcPr>
            <w:tcW w:w="606" w:type="pct"/>
            <w:tcBorders>
              <w:top w:val="single" w:sz="4" w:space="0" w:color="auto"/>
            </w:tcBorders>
            <w:shd w:val="clear" w:color="auto" w:fill="auto"/>
            <w:vAlign w:val="center"/>
          </w:tcPr>
          <w:p w14:paraId="694279C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0.72</w:t>
            </w:r>
          </w:p>
        </w:tc>
        <w:tc>
          <w:tcPr>
            <w:tcW w:w="915" w:type="pct"/>
            <w:tcBorders>
              <w:top w:val="single" w:sz="4" w:space="0" w:color="auto"/>
            </w:tcBorders>
            <w:shd w:val="clear" w:color="auto" w:fill="auto"/>
            <w:vAlign w:val="center"/>
          </w:tcPr>
          <w:p w14:paraId="364668C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F statistic</w:t>
            </w:r>
          </w:p>
        </w:tc>
        <w:tc>
          <w:tcPr>
            <w:tcW w:w="392" w:type="pct"/>
            <w:tcBorders>
              <w:top w:val="single" w:sz="4" w:space="0" w:color="auto"/>
            </w:tcBorders>
            <w:shd w:val="clear" w:color="auto" w:fill="auto"/>
            <w:vAlign w:val="center"/>
          </w:tcPr>
          <w:p w14:paraId="462EC847"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20.64</w:t>
            </w:r>
          </w:p>
        </w:tc>
        <w:tc>
          <w:tcPr>
            <w:tcW w:w="446" w:type="pct"/>
            <w:tcBorders>
              <w:top w:val="single" w:sz="4" w:space="0" w:color="auto"/>
            </w:tcBorders>
            <w:shd w:val="clear" w:color="auto" w:fill="auto"/>
            <w:vAlign w:val="center"/>
          </w:tcPr>
          <w:p w14:paraId="0BC61CC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675882" w:rsidRPr="00675882" w14:paraId="0EDAF6AA" w14:textId="77777777" w:rsidTr="00675882">
        <w:tc>
          <w:tcPr>
            <w:cnfStyle w:val="001000000000" w:firstRow="0" w:lastRow="0" w:firstColumn="1" w:lastColumn="0" w:oddVBand="0" w:evenVBand="0" w:oddHBand="0" w:evenHBand="0" w:firstRowFirstColumn="0" w:firstRowLastColumn="0" w:lastRowFirstColumn="0" w:lastRowLastColumn="0"/>
            <w:tcW w:w="2641" w:type="pct"/>
            <w:tcBorders>
              <w:bottom w:val="single" w:sz="4" w:space="0" w:color="auto"/>
            </w:tcBorders>
            <w:shd w:val="clear" w:color="auto" w:fill="auto"/>
            <w:vAlign w:val="center"/>
          </w:tcPr>
          <w:p w14:paraId="4799E3F9" w14:textId="77777777" w:rsidR="002F35AC" w:rsidRPr="002F35AC" w:rsidRDefault="002F35AC" w:rsidP="005757C8">
            <w:pPr>
              <w:jc w:val="center"/>
              <w:rPr>
                <w:rFonts w:asciiTheme="majorBidi" w:hAnsiTheme="majorBidi"/>
                <w:sz w:val="20"/>
                <w:szCs w:val="20"/>
                <w:rtl/>
              </w:rPr>
            </w:pPr>
            <w:r w:rsidRPr="002F35AC">
              <w:rPr>
                <w:rFonts w:asciiTheme="majorBidi" w:hAnsiTheme="majorBidi"/>
                <w:sz w:val="20"/>
                <w:szCs w:val="20"/>
              </w:rPr>
              <w:t>Adjusted R</w:t>
            </w:r>
            <w:r w:rsidRPr="002F35AC">
              <w:rPr>
                <w:rFonts w:asciiTheme="majorBidi" w:hAnsiTheme="majorBidi"/>
                <w:sz w:val="20"/>
                <w:szCs w:val="20"/>
                <w:vertAlign w:val="superscript"/>
              </w:rPr>
              <w:t>2</w:t>
            </w:r>
          </w:p>
        </w:tc>
        <w:tc>
          <w:tcPr>
            <w:tcW w:w="606" w:type="pct"/>
            <w:tcBorders>
              <w:bottom w:val="single" w:sz="4" w:space="0" w:color="auto"/>
            </w:tcBorders>
            <w:vAlign w:val="center"/>
          </w:tcPr>
          <w:p w14:paraId="75CB8FD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0.68</w:t>
            </w:r>
          </w:p>
        </w:tc>
        <w:tc>
          <w:tcPr>
            <w:tcW w:w="915" w:type="pct"/>
            <w:tcBorders>
              <w:bottom w:val="single" w:sz="4" w:space="0" w:color="auto"/>
            </w:tcBorders>
            <w:vAlign w:val="center"/>
          </w:tcPr>
          <w:p w14:paraId="1D59F06B"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P value</w:t>
            </w:r>
          </w:p>
        </w:tc>
        <w:tc>
          <w:tcPr>
            <w:tcW w:w="392" w:type="pct"/>
            <w:tcBorders>
              <w:bottom w:val="single" w:sz="4" w:space="0" w:color="auto"/>
            </w:tcBorders>
            <w:vAlign w:val="center"/>
          </w:tcPr>
          <w:p w14:paraId="1E68ED1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c>
          <w:tcPr>
            <w:tcW w:w="446" w:type="pct"/>
            <w:tcBorders>
              <w:bottom w:val="single" w:sz="4" w:space="0" w:color="auto"/>
            </w:tcBorders>
            <w:vAlign w:val="center"/>
          </w:tcPr>
          <w:p w14:paraId="3A5CA2B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0135835F" w14:textId="77777777" w:rsidR="002F35AC" w:rsidRPr="002F35AC" w:rsidRDefault="002F35AC" w:rsidP="005757C8">
      <w:pPr>
        <w:bidi w:val="0"/>
        <w:spacing w:after="0" w:line="240" w:lineRule="auto"/>
        <w:jc w:val="both"/>
        <w:rPr>
          <w:rFonts w:asciiTheme="majorBidi" w:hAnsiTheme="majorBidi" w:cstheme="majorBidi"/>
          <w:sz w:val="24"/>
          <w:szCs w:val="24"/>
        </w:rPr>
      </w:pPr>
      <w:r w:rsidRPr="002F35AC">
        <w:rPr>
          <w:rFonts w:asciiTheme="majorBidi" w:hAnsiTheme="majorBidi" w:cstheme="majorBidi"/>
          <w:sz w:val="24"/>
          <w:szCs w:val="24"/>
        </w:rPr>
        <w:t>Source: research findings</w:t>
      </w:r>
    </w:p>
    <w:p w14:paraId="7CFD7C0B" w14:textId="326886DC" w:rsidR="002F35AC" w:rsidRPr="002F35AC" w:rsidRDefault="00A23298" w:rsidP="005757C8">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2F35AC" w:rsidRPr="002F35AC">
        <w:rPr>
          <w:rFonts w:asciiTheme="majorBidi" w:hAnsiTheme="majorBidi" w:cstheme="majorBidi"/>
          <w:sz w:val="24"/>
          <w:szCs w:val="24"/>
        </w:rPr>
        <w:t xml:space="preserve">Table </w:t>
      </w:r>
      <w:r w:rsidR="000B403D">
        <w:rPr>
          <w:rFonts w:asciiTheme="majorBidi" w:hAnsiTheme="majorBidi" w:cstheme="majorBidi"/>
          <w:sz w:val="24"/>
          <w:szCs w:val="24"/>
        </w:rPr>
        <w:t>15</w:t>
      </w:r>
      <w:r w:rsidR="002F35AC" w:rsidRPr="002F35AC">
        <w:rPr>
          <w:rFonts w:asciiTheme="majorBidi" w:hAnsiTheme="majorBidi" w:cstheme="majorBidi"/>
          <w:sz w:val="24"/>
          <w:szCs w:val="24"/>
        </w:rPr>
        <w:t xml:space="preserve"> shows the results of estimating the Model of factors affecting the ratio of transaction cost to facility amount. As can be seen in this table, the amount of the facility, the number of payment steps, the interval between the application and contract, </w:t>
      </w:r>
      <w:r w:rsidR="0055672A" w:rsidRPr="006451BF">
        <w:rPr>
          <w:rFonts w:asciiTheme="majorBidi" w:hAnsiTheme="majorBidi" w:cstheme="majorBidi"/>
          <w:sz w:val="24"/>
          <w:szCs w:val="24"/>
          <w:highlight w:val="yellow"/>
        </w:rPr>
        <w:t xml:space="preserve">the </w:t>
      </w:r>
      <w:r w:rsidR="002F35AC" w:rsidRPr="006451BF">
        <w:rPr>
          <w:rFonts w:asciiTheme="majorBidi" w:hAnsiTheme="majorBidi" w:cstheme="majorBidi"/>
          <w:sz w:val="24"/>
          <w:szCs w:val="24"/>
          <w:highlight w:val="yellow"/>
        </w:rPr>
        <w:t>interest rate and the dummy variables of the type of facility have a significant effect on the ratio of the tra</w:t>
      </w:r>
      <w:r w:rsidR="002F35AC" w:rsidRPr="002F35AC">
        <w:rPr>
          <w:rFonts w:asciiTheme="majorBidi" w:hAnsiTheme="majorBidi" w:cstheme="majorBidi"/>
          <w:sz w:val="24"/>
          <w:szCs w:val="24"/>
        </w:rPr>
        <w:t>nsaction cost to the amount of the facility. The coefficient of the facility amount is negative and equal to -0.64. In other words, with a one per</w:t>
      </w:r>
      <w:r w:rsidR="0055672A">
        <w:rPr>
          <w:rFonts w:asciiTheme="majorBidi" w:hAnsiTheme="majorBidi" w:cstheme="majorBidi"/>
          <w:sz w:val="24"/>
          <w:szCs w:val="24"/>
        </w:rPr>
        <w:t xml:space="preserve"> </w:t>
      </w:r>
      <w:r w:rsidR="002F35AC" w:rsidRPr="002F35AC">
        <w:rPr>
          <w:rFonts w:asciiTheme="majorBidi" w:hAnsiTheme="majorBidi" w:cstheme="majorBidi"/>
          <w:sz w:val="24"/>
          <w:szCs w:val="24"/>
        </w:rPr>
        <w:t>cent increase in the facility amount, the transaction cost of each facility unit decreases by 0.64 per</w:t>
      </w:r>
      <w:r w:rsidR="0055672A">
        <w:rPr>
          <w:rFonts w:asciiTheme="majorBidi" w:hAnsiTheme="majorBidi" w:cstheme="majorBidi"/>
          <w:sz w:val="24"/>
          <w:szCs w:val="24"/>
        </w:rPr>
        <w:t xml:space="preserve"> </w:t>
      </w:r>
      <w:r w:rsidR="002F35AC" w:rsidRPr="002F35AC">
        <w:rPr>
          <w:rFonts w:asciiTheme="majorBidi" w:hAnsiTheme="majorBidi" w:cstheme="majorBidi"/>
          <w:sz w:val="24"/>
          <w:szCs w:val="24"/>
        </w:rPr>
        <w:t>cent. The coefficient of the number of payment steps, the distance between the application and contract is positive and equal to 0.16, 0.05 and 1.10</w:t>
      </w:r>
      <w:r w:rsidR="0055672A">
        <w:rPr>
          <w:rFonts w:asciiTheme="majorBidi" w:hAnsiTheme="majorBidi" w:cstheme="majorBidi"/>
          <w:sz w:val="24"/>
          <w:szCs w:val="24"/>
        </w:rPr>
        <w:t>,</w:t>
      </w:r>
      <w:r w:rsidR="002F35AC" w:rsidRPr="002F35AC">
        <w:rPr>
          <w:rFonts w:asciiTheme="majorBidi" w:hAnsiTheme="majorBidi" w:cstheme="majorBidi"/>
          <w:sz w:val="24"/>
          <w:szCs w:val="24"/>
        </w:rPr>
        <w:t xml:space="preserve"> respectively. In other words, with a one per</w:t>
      </w:r>
      <w:r w:rsidR="0055672A">
        <w:rPr>
          <w:rFonts w:asciiTheme="majorBidi" w:hAnsiTheme="majorBidi" w:cstheme="majorBidi"/>
          <w:sz w:val="24"/>
          <w:szCs w:val="24"/>
        </w:rPr>
        <w:t xml:space="preserve"> </w:t>
      </w:r>
      <w:r w:rsidR="002F35AC" w:rsidRPr="002F35AC">
        <w:rPr>
          <w:rFonts w:asciiTheme="majorBidi" w:hAnsiTheme="majorBidi" w:cstheme="majorBidi"/>
          <w:sz w:val="24"/>
          <w:szCs w:val="24"/>
        </w:rPr>
        <w:t>cent increase in each of the mentioned variables, the transaction cost per facility unit increases by 0.16, 0.05, and 1.10 per</w:t>
      </w:r>
      <w:r w:rsidR="0055672A">
        <w:rPr>
          <w:rFonts w:asciiTheme="majorBidi" w:hAnsiTheme="majorBidi" w:cstheme="majorBidi"/>
          <w:sz w:val="24"/>
          <w:szCs w:val="24"/>
        </w:rPr>
        <w:t xml:space="preserve"> </w:t>
      </w:r>
      <w:r w:rsidR="002F35AC" w:rsidRPr="002F35AC">
        <w:rPr>
          <w:rFonts w:asciiTheme="majorBidi" w:hAnsiTheme="majorBidi" w:cstheme="majorBidi"/>
          <w:sz w:val="24"/>
          <w:szCs w:val="24"/>
        </w:rPr>
        <w:t>cent, respectively. Like the previous model, the coefficients of the dummy variables of the types of facilities also indicate that the transaction cost of each facility unit is higher in working capital facilities, industrial production activities and prototyping compared to leasing facilities</w:t>
      </w:r>
      <w:r>
        <w:rPr>
          <w:rFonts w:asciiTheme="majorBidi" w:hAnsiTheme="majorBidi" w:cstheme="majorBidi"/>
          <w:sz w:val="24"/>
          <w:szCs w:val="24"/>
        </w:rPr>
        <w:t xml:space="preserve">” </w:t>
      </w:r>
      <w:r w:rsidR="00FA3DDA" w:rsidRPr="00FA3DDA">
        <w:rPr>
          <w:rFonts w:asciiTheme="majorBidi" w:hAnsiTheme="majorBidi" w:cstheme="majorBidi"/>
          <w:sz w:val="24"/>
          <w:szCs w:val="24"/>
        </w:rPr>
        <w:t>(Hosseini et al., 202</w:t>
      </w:r>
      <w:r w:rsidR="00FA3DDA" w:rsidRPr="00C6625F">
        <w:rPr>
          <w:rFonts w:asciiTheme="majorBidi" w:hAnsiTheme="majorBidi" w:cstheme="majorBidi"/>
          <w:sz w:val="24"/>
          <w:szCs w:val="24"/>
          <w:highlight w:val="yellow"/>
        </w:rPr>
        <w:t>3)</w:t>
      </w:r>
      <w:r w:rsidR="002F35AC" w:rsidRPr="00C6625F">
        <w:rPr>
          <w:rFonts w:asciiTheme="majorBidi" w:hAnsiTheme="majorBidi" w:cstheme="majorBidi"/>
          <w:sz w:val="24"/>
          <w:szCs w:val="24"/>
          <w:highlight w:val="yellow"/>
        </w:rPr>
        <w:t>.</w:t>
      </w:r>
    </w:p>
    <w:p w14:paraId="238CBC78" w14:textId="40C80760" w:rsidR="002F35AC" w:rsidRPr="00903EBC" w:rsidRDefault="002F35AC" w:rsidP="005757C8">
      <w:pPr>
        <w:bidi w:val="0"/>
        <w:spacing w:after="0" w:line="240" w:lineRule="auto"/>
        <w:jc w:val="center"/>
        <w:rPr>
          <w:rFonts w:asciiTheme="majorBidi" w:hAnsiTheme="majorBidi" w:cstheme="majorBidi"/>
          <w:b/>
          <w:bCs/>
          <w:sz w:val="20"/>
          <w:szCs w:val="20"/>
        </w:rPr>
      </w:pPr>
      <w:r w:rsidRPr="00903EBC">
        <w:rPr>
          <w:rFonts w:asciiTheme="majorBidi" w:hAnsiTheme="majorBidi" w:cstheme="majorBidi"/>
          <w:b/>
          <w:bCs/>
          <w:sz w:val="20"/>
          <w:szCs w:val="20"/>
        </w:rPr>
        <w:t xml:space="preserve">Table </w:t>
      </w:r>
      <w:r w:rsidR="000B403D" w:rsidRPr="00903EBC">
        <w:rPr>
          <w:rFonts w:asciiTheme="majorBidi" w:hAnsiTheme="majorBidi" w:cstheme="majorBidi"/>
          <w:b/>
          <w:bCs/>
          <w:sz w:val="20"/>
          <w:szCs w:val="20"/>
        </w:rPr>
        <w:t>15-</w:t>
      </w:r>
      <w:r w:rsidRPr="00903EBC">
        <w:rPr>
          <w:rFonts w:asciiTheme="majorBidi" w:hAnsiTheme="majorBidi" w:cstheme="majorBidi"/>
          <w:b/>
          <w:bCs/>
          <w:sz w:val="20"/>
          <w:szCs w:val="20"/>
        </w:rPr>
        <w:t>Results of estimating the Model of factors affectin</w:t>
      </w:r>
      <w:r w:rsidRPr="00D96DCC">
        <w:rPr>
          <w:rFonts w:asciiTheme="majorBidi" w:hAnsiTheme="majorBidi" w:cstheme="majorBidi"/>
          <w:b/>
          <w:bCs/>
          <w:sz w:val="20"/>
          <w:szCs w:val="20"/>
          <w:highlight w:val="yellow"/>
        </w:rPr>
        <w:t xml:space="preserve">g </w:t>
      </w:r>
      <w:r w:rsidR="0055672A">
        <w:rPr>
          <w:rFonts w:asciiTheme="majorBidi" w:hAnsiTheme="majorBidi" w:cstheme="majorBidi"/>
          <w:b/>
          <w:bCs/>
          <w:sz w:val="20"/>
          <w:szCs w:val="20"/>
          <w:highlight w:val="yellow"/>
        </w:rPr>
        <w:t xml:space="preserve">the </w:t>
      </w:r>
      <w:r w:rsidRPr="00D96DCC">
        <w:rPr>
          <w:rFonts w:asciiTheme="majorBidi" w:hAnsiTheme="majorBidi" w:cstheme="majorBidi"/>
          <w:b/>
          <w:bCs/>
          <w:sz w:val="20"/>
          <w:szCs w:val="20"/>
          <w:highlight w:val="yellow"/>
        </w:rPr>
        <w:t>ratio of transaction cost to facility</w:t>
      </w:r>
      <w:r w:rsidR="00FA3DDA" w:rsidRPr="00D96DCC">
        <w:rPr>
          <w:rFonts w:asciiTheme="majorBidi" w:hAnsiTheme="majorBidi" w:cstheme="majorBidi"/>
          <w:b/>
          <w:bCs/>
          <w:sz w:val="20"/>
          <w:szCs w:val="20"/>
          <w:highlight w:val="yellow"/>
        </w:rPr>
        <w:t xml:space="preserve"> (Hosseini et al., 2023)</w:t>
      </w:r>
    </w:p>
    <w:tbl>
      <w:tblPr>
        <w:tblStyle w:val="PlainTable51"/>
        <w:tblW w:w="0" w:type="auto"/>
        <w:tblLayout w:type="fixed"/>
        <w:tblLook w:val="04A0" w:firstRow="1" w:lastRow="0" w:firstColumn="1" w:lastColumn="0" w:noHBand="0" w:noVBand="1"/>
      </w:tblPr>
      <w:tblGrid>
        <w:gridCol w:w="4767"/>
        <w:gridCol w:w="1094"/>
        <w:gridCol w:w="1652"/>
        <w:gridCol w:w="707"/>
        <w:gridCol w:w="806"/>
      </w:tblGrid>
      <w:tr w:rsidR="002F35AC" w:rsidRPr="002F35AC" w14:paraId="1977F40E" w14:textId="77777777" w:rsidTr="0067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67" w:type="dxa"/>
            <w:shd w:val="clear" w:color="auto" w:fill="auto"/>
            <w:vAlign w:val="center"/>
          </w:tcPr>
          <w:p w14:paraId="6926FA0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Variable</w:t>
            </w:r>
          </w:p>
        </w:tc>
        <w:tc>
          <w:tcPr>
            <w:tcW w:w="1094" w:type="dxa"/>
            <w:shd w:val="clear" w:color="auto" w:fill="auto"/>
            <w:vAlign w:val="center"/>
          </w:tcPr>
          <w:p w14:paraId="17527506"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Coefficient</w:t>
            </w:r>
          </w:p>
        </w:tc>
        <w:tc>
          <w:tcPr>
            <w:tcW w:w="1652" w:type="dxa"/>
            <w:shd w:val="clear" w:color="auto" w:fill="auto"/>
            <w:vAlign w:val="center"/>
          </w:tcPr>
          <w:p w14:paraId="51602D89"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standard deviation</w:t>
            </w:r>
          </w:p>
        </w:tc>
        <w:tc>
          <w:tcPr>
            <w:tcW w:w="707" w:type="dxa"/>
            <w:shd w:val="clear" w:color="auto" w:fill="auto"/>
            <w:vAlign w:val="center"/>
          </w:tcPr>
          <w:p w14:paraId="71BFD01C"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t ratio</w:t>
            </w:r>
          </w:p>
        </w:tc>
        <w:tc>
          <w:tcPr>
            <w:tcW w:w="806" w:type="dxa"/>
            <w:shd w:val="clear" w:color="auto" w:fill="auto"/>
            <w:vAlign w:val="center"/>
          </w:tcPr>
          <w:p w14:paraId="669FBF3A"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P value</w:t>
            </w:r>
          </w:p>
        </w:tc>
      </w:tr>
      <w:tr w:rsidR="002F35AC" w:rsidRPr="002F35AC" w14:paraId="4C8920AA"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29DA8AB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Facility amount</w:t>
            </w:r>
          </w:p>
        </w:tc>
        <w:tc>
          <w:tcPr>
            <w:tcW w:w="1094" w:type="dxa"/>
            <w:shd w:val="clear" w:color="auto" w:fill="auto"/>
            <w:vAlign w:val="center"/>
          </w:tcPr>
          <w:p w14:paraId="400848D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-0.64</w:t>
            </w:r>
          </w:p>
        </w:tc>
        <w:tc>
          <w:tcPr>
            <w:tcW w:w="1652" w:type="dxa"/>
            <w:shd w:val="clear" w:color="auto" w:fill="auto"/>
            <w:vAlign w:val="center"/>
          </w:tcPr>
          <w:p w14:paraId="18DF99C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0.07</w:t>
            </w:r>
          </w:p>
        </w:tc>
        <w:tc>
          <w:tcPr>
            <w:tcW w:w="707" w:type="dxa"/>
            <w:shd w:val="clear" w:color="auto" w:fill="auto"/>
            <w:vAlign w:val="center"/>
          </w:tcPr>
          <w:p w14:paraId="551B452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-8.92</w:t>
            </w:r>
          </w:p>
        </w:tc>
        <w:tc>
          <w:tcPr>
            <w:tcW w:w="806" w:type="dxa"/>
            <w:shd w:val="clear" w:color="auto" w:fill="auto"/>
            <w:vAlign w:val="center"/>
          </w:tcPr>
          <w:p w14:paraId="1239C00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598DE3E3"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43B6FC3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payment steps</w:t>
            </w:r>
          </w:p>
        </w:tc>
        <w:tc>
          <w:tcPr>
            <w:tcW w:w="1094" w:type="dxa"/>
            <w:vAlign w:val="center"/>
          </w:tcPr>
          <w:p w14:paraId="5DF69761"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0.16</w:t>
            </w:r>
          </w:p>
        </w:tc>
        <w:tc>
          <w:tcPr>
            <w:tcW w:w="1652" w:type="dxa"/>
            <w:vAlign w:val="center"/>
          </w:tcPr>
          <w:p w14:paraId="581A566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0.05</w:t>
            </w:r>
          </w:p>
        </w:tc>
        <w:tc>
          <w:tcPr>
            <w:tcW w:w="707" w:type="dxa"/>
            <w:vAlign w:val="center"/>
          </w:tcPr>
          <w:p w14:paraId="05728CE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3.15</w:t>
            </w:r>
          </w:p>
        </w:tc>
        <w:tc>
          <w:tcPr>
            <w:tcW w:w="806" w:type="dxa"/>
            <w:vAlign w:val="center"/>
          </w:tcPr>
          <w:p w14:paraId="16947D0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7BB11AF2"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336C73F3"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Company capital</w:t>
            </w:r>
          </w:p>
        </w:tc>
        <w:tc>
          <w:tcPr>
            <w:tcW w:w="1094" w:type="dxa"/>
            <w:shd w:val="clear" w:color="auto" w:fill="auto"/>
            <w:vAlign w:val="center"/>
          </w:tcPr>
          <w:p w14:paraId="62A90E1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1652" w:type="dxa"/>
            <w:shd w:val="clear" w:color="auto" w:fill="auto"/>
            <w:vAlign w:val="center"/>
          </w:tcPr>
          <w:p w14:paraId="0A8F4A67"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707" w:type="dxa"/>
            <w:shd w:val="clear" w:color="auto" w:fill="auto"/>
            <w:vAlign w:val="center"/>
          </w:tcPr>
          <w:p w14:paraId="3625F90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0.83</w:t>
            </w:r>
          </w:p>
        </w:tc>
        <w:tc>
          <w:tcPr>
            <w:tcW w:w="806" w:type="dxa"/>
            <w:shd w:val="clear" w:color="auto" w:fill="auto"/>
            <w:vAlign w:val="center"/>
          </w:tcPr>
          <w:p w14:paraId="69D06B4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0.40</w:t>
            </w:r>
          </w:p>
        </w:tc>
      </w:tr>
      <w:tr w:rsidR="002F35AC" w:rsidRPr="002F35AC" w14:paraId="029DEB21"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5463BC09"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distance between the application and contract</w:t>
            </w:r>
          </w:p>
        </w:tc>
        <w:tc>
          <w:tcPr>
            <w:tcW w:w="1094" w:type="dxa"/>
            <w:vAlign w:val="center"/>
          </w:tcPr>
          <w:p w14:paraId="1131848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0.05</w:t>
            </w:r>
          </w:p>
        </w:tc>
        <w:tc>
          <w:tcPr>
            <w:tcW w:w="1652" w:type="dxa"/>
            <w:vAlign w:val="center"/>
          </w:tcPr>
          <w:p w14:paraId="33B51D8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0.01</w:t>
            </w:r>
          </w:p>
        </w:tc>
        <w:tc>
          <w:tcPr>
            <w:tcW w:w="707" w:type="dxa"/>
            <w:vAlign w:val="center"/>
          </w:tcPr>
          <w:p w14:paraId="463ACDF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2.92</w:t>
            </w:r>
          </w:p>
        </w:tc>
        <w:tc>
          <w:tcPr>
            <w:tcW w:w="806" w:type="dxa"/>
            <w:vAlign w:val="center"/>
          </w:tcPr>
          <w:p w14:paraId="58FD25B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5D2D3816"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7F520330"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receiving facilities from the fund</w:t>
            </w:r>
          </w:p>
        </w:tc>
        <w:tc>
          <w:tcPr>
            <w:tcW w:w="1094" w:type="dxa"/>
            <w:shd w:val="clear" w:color="auto" w:fill="auto"/>
            <w:vAlign w:val="center"/>
          </w:tcPr>
          <w:p w14:paraId="08513D1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0.10</w:t>
            </w:r>
          </w:p>
        </w:tc>
        <w:tc>
          <w:tcPr>
            <w:tcW w:w="1652" w:type="dxa"/>
            <w:shd w:val="clear" w:color="auto" w:fill="auto"/>
            <w:vAlign w:val="center"/>
          </w:tcPr>
          <w:p w14:paraId="2FA1F82C"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707" w:type="dxa"/>
            <w:shd w:val="clear" w:color="auto" w:fill="auto"/>
            <w:vAlign w:val="center"/>
          </w:tcPr>
          <w:p w14:paraId="73BA6EC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0.92</w:t>
            </w:r>
          </w:p>
        </w:tc>
        <w:tc>
          <w:tcPr>
            <w:tcW w:w="806" w:type="dxa"/>
            <w:shd w:val="clear" w:color="auto" w:fill="auto"/>
            <w:vAlign w:val="center"/>
          </w:tcPr>
          <w:p w14:paraId="5238840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r>
      <w:tr w:rsidR="002F35AC" w:rsidRPr="002F35AC" w14:paraId="32152D43"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2ACD8B6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Interest rate</w:t>
            </w:r>
          </w:p>
        </w:tc>
        <w:tc>
          <w:tcPr>
            <w:tcW w:w="1094" w:type="dxa"/>
            <w:vAlign w:val="center"/>
          </w:tcPr>
          <w:p w14:paraId="2A696EA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1.10</w:t>
            </w:r>
          </w:p>
        </w:tc>
        <w:tc>
          <w:tcPr>
            <w:tcW w:w="1652" w:type="dxa"/>
            <w:vAlign w:val="center"/>
          </w:tcPr>
          <w:p w14:paraId="29C67853"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0.44</w:t>
            </w:r>
          </w:p>
        </w:tc>
        <w:tc>
          <w:tcPr>
            <w:tcW w:w="707" w:type="dxa"/>
            <w:vAlign w:val="center"/>
          </w:tcPr>
          <w:p w14:paraId="3E02CD7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F35AC">
              <w:rPr>
                <w:rFonts w:asciiTheme="majorBidi" w:hAnsiTheme="majorBidi" w:cstheme="majorBidi"/>
                <w:sz w:val="20"/>
                <w:szCs w:val="20"/>
              </w:rPr>
              <w:t>2.43</w:t>
            </w:r>
          </w:p>
        </w:tc>
        <w:tc>
          <w:tcPr>
            <w:tcW w:w="806" w:type="dxa"/>
            <w:vAlign w:val="center"/>
          </w:tcPr>
          <w:p w14:paraId="0C91026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0.01</w:t>
            </w:r>
          </w:p>
        </w:tc>
      </w:tr>
      <w:tr w:rsidR="002F35AC" w:rsidRPr="002F35AC" w14:paraId="1FB590C4"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71763E00"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lastRenderedPageBreak/>
              <w:t>dummy variable of knowledge-based type (production type 2)</w:t>
            </w:r>
          </w:p>
        </w:tc>
        <w:tc>
          <w:tcPr>
            <w:tcW w:w="1094" w:type="dxa"/>
            <w:shd w:val="clear" w:color="auto" w:fill="auto"/>
            <w:vAlign w:val="center"/>
          </w:tcPr>
          <w:p w14:paraId="60357DF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1652" w:type="dxa"/>
            <w:shd w:val="clear" w:color="auto" w:fill="auto"/>
            <w:vAlign w:val="center"/>
          </w:tcPr>
          <w:p w14:paraId="7F2E18DC"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0.16</w:t>
            </w:r>
          </w:p>
        </w:tc>
        <w:tc>
          <w:tcPr>
            <w:tcW w:w="707" w:type="dxa"/>
            <w:shd w:val="clear" w:color="auto" w:fill="auto"/>
            <w:vAlign w:val="center"/>
          </w:tcPr>
          <w:p w14:paraId="267CAF9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-0.69</w:t>
            </w:r>
          </w:p>
        </w:tc>
        <w:tc>
          <w:tcPr>
            <w:tcW w:w="806" w:type="dxa"/>
            <w:shd w:val="clear" w:color="auto" w:fill="auto"/>
            <w:vAlign w:val="center"/>
          </w:tcPr>
          <w:p w14:paraId="18696E3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0.49</w:t>
            </w:r>
          </w:p>
        </w:tc>
      </w:tr>
      <w:tr w:rsidR="002F35AC" w:rsidRPr="002F35AC" w14:paraId="47ABFFB5"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137F7ACF"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(production type 3)</w:t>
            </w:r>
          </w:p>
        </w:tc>
        <w:tc>
          <w:tcPr>
            <w:tcW w:w="1094" w:type="dxa"/>
            <w:vAlign w:val="center"/>
          </w:tcPr>
          <w:p w14:paraId="1C97153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0.34</w:t>
            </w:r>
          </w:p>
        </w:tc>
        <w:tc>
          <w:tcPr>
            <w:tcW w:w="1652" w:type="dxa"/>
            <w:vAlign w:val="center"/>
          </w:tcPr>
          <w:p w14:paraId="6B16AE48"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0.73</w:t>
            </w:r>
          </w:p>
        </w:tc>
        <w:tc>
          <w:tcPr>
            <w:tcW w:w="707" w:type="dxa"/>
            <w:vAlign w:val="center"/>
          </w:tcPr>
          <w:p w14:paraId="6028FA4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0.48</w:t>
            </w:r>
          </w:p>
        </w:tc>
        <w:tc>
          <w:tcPr>
            <w:tcW w:w="806" w:type="dxa"/>
            <w:vAlign w:val="center"/>
          </w:tcPr>
          <w:p w14:paraId="1F16C5B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0.63</w:t>
            </w:r>
          </w:p>
        </w:tc>
      </w:tr>
      <w:tr w:rsidR="002F35AC" w:rsidRPr="002F35AC" w14:paraId="24D84295"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2C7D90C1"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1)</w:t>
            </w:r>
          </w:p>
        </w:tc>
        <w:tc>
          <w:tcPr>
            <w:tcW w:w="1094" w:type="dxa"/>
            <w:shd w:val="clear" w:color="auto" w:fill="auto"/>
            <w:vAlign w:val="center"/>
          </w:tcPr>
          <w:p w14:paraId="6827195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1652" w:type="dxa"/>
            <w:shd w:val="clear" w:color="auto" w:fill="auto"/>
            <w:vAlign w:val="center"/>
          </w:tcPr>
          <w:p w14:paraId="3F035D7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0.31</w:t>
            </w:r>
          </w:p>
        </w:tc>
        <w:tc>
          <w:tcPr>
            <w:tcW w:w="707" w:type="dxa"/>
            <w:shd w:val="clear" w:color="auto" w:fill="auto"/>
            <w:vAlign w:val="center"/>
          </w:tcPr>
          <w:p w14:paraId="7F268A87"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1.04</w:t>
            </w:r>
          </w:p>
        </w:tc>
        <w:tc>
          <w:tcPr>
            <w:tcW w:w="806" w:type="dxa"/>
            <w:shd w:val="clear" w:color="auto" w:fill="auto"/>
            <w:vAlign w:val="center"/>
          </w:tcPr>
          <w:p w14:paraId="049D627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0.30</w:t>
            </w:r>
          </w:p>
        </w:tc>
      </w:tr>
      <w:tr w:rsidR="002F35AC" w:rsidRPr="002F35AC" w14:paraId="05EFC5A5"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177F1A8F"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2)</w:t>
            </w:r>
          </w:p>
        </w:tc>
        <w:tc>
          <w:tcPr>
            <w:tcW w:w="1094" w:type="dxa"/>
            <w:vAlign w:val="center"/>
          </w:tcPr>
          <w:p w14:paraId="022A9DEB"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-0.13</w:t>
            </w:r>
          </w:p>
        </w:tc>
        <w:tc>
          <w:tcPr>
            <w:tcW w:w="1652" w:type="dxa"/>
            <w:vAlign w:val="center"/>
          </w:tcPr>
          <w:p w14:paraId="37F8FC2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0.24</w:t>
            </w:r>
          </w:p>
        </w:tc>
        <w:tc>
          <w:tcPr>
            <w:tcW w:w="707" w:type="dxa"/>
            <w:vAlign w:val="center"/>
          </w:tcPr>
          <w:p w14:paraId="65EEAF2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-0.56</w:t>
            </w:r>
          </w:p>
        </w:tc>
        <w:tc>
          <w:tcPr>
            <w:tcW w:w="806" w:type="dxa"/>
            <w:vAlign w:val="center"/>
          </w:tcPr>
          <w:p w14:paraId="10C2381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0.57</w:t>
            </w:r>
          </w:p>
        </w:tc>
      </w:tr>
      <w:tr w:rsidR="002F35AC" w:rsidRPr="002F35AC" w14:paraId="11A345CD"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5A7E1040"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working capital facility</w:t>
            </w:r>
          </w:p>
        </w:tc>
        <w:tc>
          <w:tcPr>
            <w:tcW w:w="1094" w:type="dxa"/>
            <w:shd w:val="clear" w:color="auto" w:fill="auto"/>
            <w:vAlign w:val="center"/>
          </w:tcPr>
          <w:p w14:paraId="314241C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1.65</w:t>
            </w:r>
          </w:p>
        </w:tc>
        <w:tc>
          <w:tcPr>
            <w:tcW w:w="1652" w:type="dxa"/>
            <w:shd w:val="clear" w:color="auto" w:fill="auto"/>
            <w:vAlign w:val="center"/>
          </w:tcPr>
          <w:p w14:paraId="55E1BFD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707" w:type="dxa"/>
            <w:shd w:val="clear" w:color="auto" w:fill="auto"/>
            <w:vAlign w:val="center"/>
          </w:tcPr>
          <w:p w14:paraId="508A5BF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5.03</w:t>
            </w:r>
          </w:p>
        </w:tc>
        <w:tc>
          <w:tcPr>
            <w:tcW w:w="806" w:type="dxa"/>
            <w:shd w:val="clear" w:color="auto" w:fill="auto"/>
            <w:vAlign w:val="center"/>
          </w:tcPr>
          <w:p w14:paraId="66F64AD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6C0EF353"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3FB9757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prototyping facility</w:t>
            </w:r>
          </w:p>
        </w:tc>
        <w:tc>
          <w:tcPr>
            <w:tcW w:w="1094" w:type="dxa"/>
            <w:vAlign w:val="center"/>
          </w:tcPr>
          <w:p w14:paraId="48DBD4E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2.06</w:t>
            </w:r>
          </w:p>
        </w:tc>
        <w:tc>
          <w:tcPr>
            <w:tcW w:w="1652" w:type="dxa"/>
            <w:vAlign w:val="center"/>
          </w:tcPr>
          <w:p w14:paraId="3482B19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1.07</w:t>
            </w:r>
          </w:p>
        </w:tc>
        <w:tc>
          <w:tcPr>
            <w:tcW w:w="707" w:type="dxa"/>
            <w:vAlign w:val="center"/>
          </w:tcPr>
          <w:p w14:paraId="14E43013"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1.92</w:t>
            </w:r>
          </w:p>
        </w:tc>
        <w:tc>
          <w:tcPr>
            <w:tcW w:w="806" w:type="dxa"/>
            <w:vAlign w:val="center"/>
          </w:tcPr>
          <w:p w14:paraId="1114F530"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0.04</w:t>
            </w:r>
          </w:p>
        </w:tc>
      </w:tr>
      <w:tr w:rsidR="002F35AC" w:rsidRPr="002F35AC" w14:paraId="54CACF1D"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14999C89"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industrial production activities facility</w:t>
            </w:r>
          </w:p>
        </w:tc>
        <w:tc>
          <w:tcPr>
            <w:tcW w:w="1094" w:type="dxa"/>
            <w:shd w:val="clear" w:color="auto" w:fill="auto"/>
            <w:vAlign w:val="center"/>
          </w:tcPr>
          <w:p w14:paraId="6416DE1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1.62</w:t>
            </w:r>
          </w:p>
        </w:tc>
        <w:tc>
          <w:tcPr>
            <w:tcW w:w="1652" w:type="dxa"/>
            <w:shd w:val="clear" w:color="auto" w:fill="auto"/>
            <w:vAlign w:val="center"/>
          </w:tcPr>
          <w:p w14:paraId="5C537D56"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c>
          <w:tcPr>
            <w:tcW w:w="707" w:type="dxa"/>
            <w:shd w:val="clear" w:color="auto" w:fill="auto"/>
            <w:vAlign w:val="center"/>
          </w:tcPr>
          <w:p w14:paraId="09FC29A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4.54</w:t>
            </w:r>
          </w:p>
        </w:tc>
        <w:tc>
          <w:tcPr>
            <w:tcW w:w="806" w:type="dxa"/>
            <w:shd w:val="clear" w:color="auto" w:fill="auto"/>
            <w:vAlign w:val="center"/>
          </w:tcPr>
          <w:p w14:paraId="29D7BF1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4F7885ED" w14:textId="77777777" w:rsidTr="00675882">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auto"/>
            </w:tcBorders>
            <w:shd w:val="clear" w:color="auto" w:fill="auto"/>
            <w:vAlign w:val="center"/>
          </w:tcPr>
          <w:p w14:paraId="03786BBF"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Intercept</w:t>
            </w:r>
          </w:p>
        </w:tc>
        <w:tc>
          <w:tcPr>
            <w:tcW w:w="1094" w:type="dxa"/>
            <w:tcBorders>
              <w:bottom w:val="single" w:sz="4" w:space="0" w:color="auto"/>
            </w:tcBorders>
            <w:vAlign w:val="center"/>
          </w:tcPr>
          <w:p w14:paraId="3DCA3A8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11.43</w:t>
            </w:r>
          </w:p>
        </w:tc>
        <w:tc>
          <w:tcPr>
            <w:tcW w:w="1652" w:type="dxa"/>
            <w:tcBorders>
              <w:bottom w:val="single" w:sz="4" w:space="0" w:color="auto"/>
            </w:tcBorders>
            <w:vAlign w:val="center"/>
          </w:tcPr>
          <w:p w14:paraId="12352DF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3.12</w:t>
            </w:r>
          </w:p>
        </w:tc>
        <w:tc>
          <w:tcPr>
            <w:tcW w:w="707" w:type="dxa"/>
            <w:tcBorders>
              <w:bottom w:val="single" w:sz="4" w:space="0" w:color="auto"/>
            </w:tcBorders>
            <w:vAlign w:val="center"/>
          </w:tcPr>
          <w:p w14:paraId="1D30D7B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3.67</w:t>
            </w:r>
          </w:p>
        </w:tc>
        <w:tc>
          <w:tcPr>
            <w:tcW w:w="806" w:type="dxa"/>
            <w:tcBorders>
              <w:bottom w:val="single" w:sz="4" w:space="0" w:color="auto"/>
            </w:tcBorders>
            <w:vAlign w:val="center"/>
          </w:tcPr>
          <w:p w14:paraId="75D0346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43C91D1A"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tcBorders>
              <w:top w:val="single" w:sz="4" w:space="0" w:color="auto"/>
            </w:tcBorders>
            <w:shd w:val="clear" w:color="auto" w:fill="auto"/>
            <w:vAlign w:val="center"/>
          </w:tcPr>
          <w:p w14:paraId="5DB6BBD3"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R</w:t>
            </w:r>
            <w:r w:rsidRPr="002F35AC">
              <w:rPr>
                <w:rFonts w:asciiTheme="majorBidi" w:hAnsiTheme="majorBidi"/>
                <w:sz w:val="20"/>
                <w:szCs w:val="20"/>
                <w:vertAlign w:val="superscript"/>
              </w:rPr>
              <w:t>2</w:t>
            </w:r>
          </w:p>
        </w:tc>
        <w:tc>
          <w:tcPr>
            <w:tcW w:w="1094" w:type="dxa"/>
            <w:tcBorders>
              <w:top w:val="single" w:sz="4" w:space="0" w:color="auto"/>
            </w:tcBorders>
            <w:shd w:val="clear" w:color="auto" w:fill="auto"/>
            <w:vAlign w:val="center"/>
          </w:tcPr>
          <w:p w14:paraId="4650689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0.82</w:t>
            </w:r>
          </w:p>
        </w:tc>
        <w:tc>
          <w:tcPr>
            <w:tcW w:w="1652" w:type="dxa"/>
            <w:tcBorders>
              <w:top w:val="single" w:sz="4" w:space="0" w:color="auto"/>
            </w:tcBorders>
            <w:shd w:val="clear" w:color="auto" w:fill="auto"/>
            <w:vAlign w:val="center"/>
          </w:tcPr>
          <w:p w14:paraId="15CA3C8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F statistic</w:t>
            </w:r>
          </w:p>
        </w:tc>
        <w:tc>
          <w:tcPr>
            <w:tcW w:w="707" w:type="dxa"/>
            <w:tcBorders>
              <w:top w:val="single" w:sz="4" w:space="0" w:color="auto"/>
            </w:tcBorders>
            <w:shd w:val="clear" w:color="auto" w:fill="auto"/>
            <w:vAlign w:val="center"/>
          </w:tcPr>
          <w:p w14:paraId="0A80092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26.43</w:t>
            </w:r>
          </w:p>
        </w:tc>
        <w:tc>
          <w:tcPr>
            <w:tcW w:w="806" w:type="dxa"/>
            <w:tcBorders>
              <w:top w:val="single" w:sz="4" w:space="0" w:color="auto"/>
            </w:tcBorders>
            <w:shd w:val="clear" w:color="auto" w:fill="auto"/>
            <w:vAlign w:val="center"/>
          </w:tcPr>
          <w:p w14:paraId="6CEC641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2F35AC" w:rsidRPr="002F35AC" w14:paraId="6779146B" w14:textId="77777777" w:rsidTr="00675882">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auto"/>
            </w:tcBorders>
            <w:shd w:val="clear" w:color="auto" w:fill="auto"/>
            <w:vAlign w:val="center"/>
          </w:tcPr>
          <w:p w14:paraId="156E3867" w14:textId="77777777" w:rsidR="002F35AC" w:rsidRPr="002F35AC" w:rsidRDefault="002F35AC" w:rsidP="005757C8">
            <w:pPr>
              <w:jc w:val="center"/>
              <w:rPr>
                <w:rFonts w:asciiTheme="majorBidi" w:hAnsiTheme="majorBidi"/>
                <w:sz w:val="20"/>
                <w:szCs w:val="20"/>
                <w:rtl/>
              </w:rPr>
            </w:pPr>
            <w:r w:rsidRPr="002F35AC">
              <w:rPr>
                <w:rFonts w:asciiTheme="majorBidi" w:hAnsiTheme="majorBidi"/>
                <w:sz w:val="20"/>
                <w:szCs w:val="20"/>
              </w:rPr>
              <w:t>Adjusted R</w:t>
            </w:r>
            <w:r w:rsidRPr="002F35AC">
              <w:rPr>
                <w:rFonts w:asciiTheme="majorBidi" w:hAnsiTheme="majorBidi"/>
                <w:sz w:val="20"/>
                <w:szCs w:val="20"/>
                <w:vertAlign w:val="superscript"/>
              </w:rPr>
              <w:t>2</w:t>
            </w:r>
          </w:p>
        </w:tc>
        <w:tc>
          <w:tcPr>
            <w:tcW w:w="1094" w:type="dxa"/>
            <w:tcBorders>
              <w:bottom w:val="single" w:sz="4" w:space="0" w:color="auto"/>
            </w:tcBorders>
            <w:vAlign w:val="center"/>
          </w:tcPr>
          <w:p w14:paraId="4076859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0.76</w:t>
            </w:r>
          </w:p>
        </w:tc>
        <w:tc>
          <w:tcPr>
            <w:tcW w:w="1652" w:type="dxa"/>
            <w:tcBorders>
              <w:bottom w:val="single" w:sz="4" w:space="0" w:color="auto"/>
            </w:tcBorders>
            <w:vAlign w:val="center"/>
          </w:tcPr>
          <w:p w14:paraId="1DF0825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P value</w:t>
            </w:r>
          </w:p>
        </w:tc>
        <w:tc>
          <w:tcPr>
            <w:tcW w:w="707" w:type="dxa"/>
            <w:tcBorders>
              <w:bottom w:val="single" w:sz="4" w:space="0" w:color="auto"/>
            </w:tcBorders>
            <w:vAlign w:val="center"/>
          </w:tcPr>
          <w:p w14:paraId="2EC6420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c>
          <w:tcPr>
            <w:tcW w:w="806" w:type="dxa"/>
            <w:tcBorders>
              <w:bottom w:val="single" w:sz="4" w:space="0" w:color="auto"/>
            </w:tcBorders>
            <w:vAlign w:val="center"/>
          </w:tcPr>
          <w:p w14:paraId="06E0571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50E1AC2E" w14:textId="2B1146A2" w:rsidR="00C50D5E" w:rsidRDefault="002F35AC" w:rsidP="005757C8">
      <w:pPr>
        <w:keepNext/>
        <w:numPr>
          <w:ilvl w:val="1"/>
          <w:numId w:val="0"/>
        </w:numPr>
        <w:bidi w:val="0"/>
        <w:spacing w:after="0" w:line="240" w:lineRule="auto"/>
        <w:ind w:left="792" w:hanging="792"/>
        <w:outlineLvl w:val="1"/>
        <w:rPr>
          <w:rFonts w:ascii="Times New Roman Bold" w:eastAsia="Calibri" w:hAnsi="Times New Roman Bold" w:cs="B Mitra"/>
          <w:b/>
          <w:bCs/>
          <w:sz w:val="28"/>
          <w:szCs w:val="24"/>
        </w:rPr>
      </w:pPr>
      <w:r w:rsidRPr="002F35AC">
        <w:rPr>
          <w:rFonts w:asciiTheme="majorBidi" w:hAnsiTheme="majorBidi" w:cstheme="majorBidi"/>
          <w:sz w:val="24"/>
          <w:szCs w:val="24"/>
        </w:rPr>
        <w:t>Source: research findings</w:t>
      </w:r>
    </w:p>
    <w:p w14:paraId="765C0927" w14:textId="77777777" w:rsidR="00F203FC" w:rsidRPr="00F203FC" w:rsidRDefault="00F203FC" w:rsidP="00F203FC">
      <w:pPr>
        <w:bidi w:val="0"/>
        <w:spacing w:before="100" w:beforeAutospacing="1" w:after="100" w:afterAutospacing="1" w:line="240" w:lineRule="auto"/>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Conclusion</w:t>
      </w:r>
    </w:p>
    <w:p w14:paraId="43D81833" w14:textId="762819A1" w:rsidR="00F203FC" w:rsidRPr="00F203FC" w:rsidRDefault="00F203FC" w:rsidP="00CA1455">
      <w:p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sz w:val="24"/>
          <w:szCs w:val="24"/>
          <w:lang w:bidi="ar-SA"/>
        </w:rPr>
        <w:t xml:space="preserve">This study investigates the transaction costs associated with financing knowledge-based companies through the Innovation and Prosperity Fund, based on data from 123 companies. The analysis identifies factors influencing these costs and suggests improvements to </w:t>
      </w:r>
      <w:proofErr w:type="spellStart"/>
      <w:r w:rsidR="0055672A" w:rsidRPr="006451BF">
        <w:rPr>
          <w:rFonts w:ascii="Times New Roman" w:eastAsia="Times New Roman" w:hAnsi="Times New Roman" w:cs="Times New Roman"/>
          <w:sz w:val="24"/>
          <w:szCs w:val="24"/>
          <w:highlight w:val="yellow"/>
          <w:lang w:bidi="ar-SA"/>
        </w:rPr>
        <w:t>optimise</w:t>
      </w:r>
      <w:proofErr w:type="spellEnd"/>
      <w:r w:rsidR="0055672A" w:rsidRPr="006451BF">
        <w:rPr>
          <w:rFonts w:ascii="Times New Roman" w:eastAsia="Times New Roman" w:hAnsi="Times New Roman" w:cs="Times New Roman"/>
          <w:sz w:val="24"/>
          <w:szCs w:val="24"/>
          <w:highlight w:val="yellow"/>
          <w:lang w:bidi="ar-SA"/>
        </w:rPr>
        <w:t xml:space="preserve"> </w:t>
      </w:r>
      <w:r w:rsidRPr="006451BF">
        <w:rPr>
          <w:rFonts w:ascii="Times New Roman" w:eastAsia="Times New Roman" w:hAnsi="Times New Roman" w:cs="Times New Roman"/>
          <w:sz w:val="24"/>
          <w:szCs w:val="24"/>
          <w:highlight w:val="yellow"/>
          <w:lang w:bidi="ar-SA"/>
        </w:rPr>
        <w:t>the financing process for these companies.</w:t>
      </w:r>
    </w:p>
    <w:p w14:paraId="54254042" w14:textId="77777777" w:rsidR="00F203FC" w:rsidRPr="00F203FC" w:rsidRDefault="00F203FC" w:rsidP="00CA1455">
      <w:p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Key Findings and Suggestions</w:t>
      </w:r>
    </w:p>
    <w:p w14:paraId="341EF4C0"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Reduction of Document Requirements:</w:t>
      </w:r>
    </w:p>
    <w:p w14:paraId="22A03C40"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Companies expressed dissatisfaction with the number of documents required during the acceptance stage, which significantly impacts time and costs.</w:t>
      </w:r>
    </w:p>
    <w:p w14:paraId="78341633"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Streamline documentation to reduce the time and costs involved in the financing process.</w:t>
      </w:r>
    </w:p>
    <w:p w14:paraId="01449027"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Reducing Payment Stages and Monitoring:</w:t>
      </w:r>
    </w:p>
    <w:p w14:paraId="3E5AD1C1"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Multiple payment and evaluation stages are time-consuming, contributing to higher transaction costs.</w:t>
      </w:r>
    </w:p>
    <w:p w14:paraId="3D2DABB0" w14:textId="7B6C3D7B" w:rsidR="00F203FC" w:rsidRPr="006451BF"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highlight w:val="yellow"/>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w:t>
      </w:r>
      <w:proofErr w:type="spellStart"/>
      <w:r w:rsidR="00A9567C" w:rsidRPr="006451BF">
        <w:rPr>
          <w:rFonts w:ascii="Times New Roman" w:eastAsia="Times New Roman" w:hAnsi="Times New Roman" w:cs="Times New Roman"/>
          <w:sz w:val="24"/>
          <w:szCs w:val="24"/>
          <w:highlight w:val="yellow"/>
          <w:lang w:bidi="ar-SA"/>
        </w:rPr>
        <w:t>Minimise</w:t>
      </w:r>
      <w:proofErr w:type="spellEnd"/>
      <w:r w:rsidR="00A9567C" w:rsidRPr="006451BF">
        <w:rPr>
          <w:rFonts w:ascii="Times New Roman" w:eastAsia="Times New Roman" w:hAnsi="Times New Roman" w:cs="Times New Roman"/>
          <w:sz w:val="24"/>
          <w:szCs w:val="24"/>
          <w:highlight w:val="yellow"/>
          <w:lang w:bidi="ar-SA"/>
        </w:rPr>
        <w:t xml:space="preserve"> </w:t>
      </w:r>
      <w:r w:rsidRPr="006451BF">
        <w:rPr>
          <w:rFonts w:ascii="Times New Roman" w:eastAsia="Times New Roman" w:hAnsi="Times New Roman" w:cs="Times New Roman"/>
          <w:sz w:val="24"/>
          <w:szCs w:val="24"/>
          <w:highlight w:val="yellow"/>
          <w:lang w:bidi="ar-SA"/>
        </w:rPr>
        <w:t>the number of payment and evaluation stages to improve efficiency and lower costs.</w:t>
      </w:r>
    </w:p>
    <w:p w14:paraId="1C204453"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Collateral and Guarantee Costs:</w:t>
      </w:r>
    </w:p>
    <w:p w14:paraId="1CE9DF46" w14:textId="721B466B"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w:t>
      </w:r>
      <w:proofErr w:type="spellStart"/>
      <w:r w:rsidR="00A9567C" w:rsidRPr="006451BF">
        <w:rPr>
          <w:rFonts w:ascii="Times New Roman" w:eastAsia="Times New Roman" w:hAnsi="Times New Roman" w:cs="Times New Roman"/>
          <w:sz w:val="24"/>
          <w:szCs w:val="24"/>
          <w:highlight w:val="yellow"/>
          <w:lang w:bidi="ar-SA"/>
        </w:rPr>
        <w:t>Notarising</w:t>
      </w:r>
      <w:proofErr w:type="spellEnd"/>
      <w:r w:rsidR="00A9567C" w:rsidRPr="006451BF">
        <w:rPr>
          <w:rFonts w:ascii="Times New Roman" w:eastAsia="Times New Roman" w:hAnsi="Times New Roman" w:cs="Times New Roman"/>
          <w:sz w:val="24"/>
          <w:szCs w:val="24"/>
          <w:highlight w:val="yellow"/>
          <w:lang w:bidi="ar-SA"/>
        </w:rPr>
        <w:t xml:space="preserve"> </w:t>
      </w:r>
      <w:r w:rsidRPr="006451BF">
        <w:rPr>
          <w:rFonts w:ascii="Times New Roman" w:eastAsia="Times New Roman" w:hAnsi="Times New Roman" w:cs="Times New Roman"/>
          <w:sz w:val="24"/>
          <w:szCs w:val="24"/>
          <w:highlight w:val="yellow"/>
          <w:lang w:bidi="ar-SA"/>
        </w:rPr>
        <w:t>and securing c</w:t>
      </w:r>
      <w:r w:rsidRPr="00F203FC">
        <w:rPr>
          <w:rFonts w:ascii="Times New Roman" w:eastAsia="Times New Roman" w:hAnsi="Times New Roman" w:cs="Times New Roman"/>
          <w:sz w:val="24"/>
          <w:szCs w:val="24"/>
          <w:lang w:bidi="ar-SA"/>
        </w:rPr>
        <w:t>ollateral, especially real estate, are major contributors to transaction costs, which burden startups with fewer assets.</w:t>
      </w:r>
    </w:p>
    <w:p w14:paraId="53273FF8"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Implement credit rating systems and explore alternative collateral options to reduce these costs.</w:t>
      </w:r>
    </w:p>
    <w:p w14:paraId="23CDE822"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Transaction Costs as a Percentage of Financing:</w:t>
      </w:r>
    </w:p>
    <w:p w14:paraId="2D4F2E6E"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Transaction costs represent 3.33% of the loan amount, adding to the overall financial burden.</w:t>
      </w:r>
    </w:p>
    <w:p w14:paraId="51B4EFC7"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Revise the financing process to lower transaction costs and improve the fund’s efficiency.</w:t>
      </w:r>
    </w:p>
    <w:p w14:paraId="255F7984"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Impact of Loan Size on Transaction Costs:</w:t>
      </w:r>
    </w:p>
    <w:p w14:paraId="5AC576B9" w14:textId="6FAB98FB"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Larger loans incur higher absolute transaction costs, but the cost as a percentage </w:t>
      </w:r>
      <w:proofErr w:type="gramStart"/>
      <w:r w:rsidR="00CA1455" w:rsidRPr="006451BF">
        <w:rPr>
          <w:rFonts w:ascii="Times New Roman" w:eastAsia="Times New Roman" w:hAnsi="Times New Roman" w:cs="Times New Roman"/>
          <w:sz w:val="24"/>
          <w:szCs w:val="24"/>
          <w:highlight w:val="yellow"/>
          <w:lang w:bidi="ar-SA"/>
        </w:rPr>
        <w:t>decrease</w:t>
      </w:r>
      <w:r w:rsidR="00A9567C" w:rsidRPr="006451BF">
        <w:rPr>
          <w:rFonts w:ascii="Times New Roman" w:eastAsia="Times New Roman" w:hAnsi="Times New Roman" w:cs="Times New Roman"/>
          <w:sz w:val="24"/>
          <w:szCs w:val="24"/>
          <w:highlight w:val="yellow"/>
          <w:lang w:bidi="ar-SA"/>
        </w:rPr>
        <w:t>s</w:t>
      </w:r>
      <w:proofErr w:type="gramEnd"/>
      <w:r w:rsidRPr="006451BF">
        <w:rPr>
          <w:rFonts w:ascii="Times New Roman" w:eastAsia="Times New Roman" w:hAnsi="Times New Roman" w:cs="Times New Roman"/>
          <w:sz w:val="24"/>
          <w:szCs w:val="24"/>
          <w:highlight w:val="yellow"/>
          <w:lang w:bidi="ar-SA"/>
        </w:rPr>
        <w:t>. Smaller loans</w:t>
      </w:r>
      <w:r w:rsidRPr="00F203FC">
        <w:rPr>
          <w:rFonts w:ascii="Times New Roman" w:eastAsia="Times New Roman" w:hAnsi="Times New Roman" w:cs="Times New Roman"/>
          <w:sz w:val="24"/>
          <w:szCs w:val="24"/>
          <w:lang w:bidi="ar-SA"/>
        </w:rPr>
        <w:t xml:space="preserve"> face disproportionately high transaction costs.</w:t>
      </w:r>
    </w:p>
    <w:p w14:paraId="646872C4" w14:textId="1B696EE9"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6451BF">
        <w:rPr>
          <w:rFonts w:ascii="Times New Roman" w:eastAsia="Times New Roman" w:hAnsi="Times New Roman" w:cs="Times New Roman"/>
          <w:b/>
          <w:bCs/>
          <w:sz w:val="24"/>
          <w:szCs w:val="24"/>
          <w:highlight w:val="yellow"/>
          <w:lang w:bidi="ar-SA"/>
        </w:rPr>
        <w:t>:</w:t>
      </w:r>
      <w:r w:rsidRPr="006451BF">
        <w:rPr>
          <w:rFonts w:ascii="Times New Roman" w:eastAsia="Times New Roman" w:hAnsi="Times New Roman" w:cs="Times New Roman"/>
          <w:sz w:val="24"/>
          <w:szCs w:val="24"/>
          <w:highlight w:val="yellow"/>
          <w:lang w:bidi="ar-SA"/>
        </w:rPr>
        <w:t xml:space="preserve"> </w:t>
      </w:r>
      <w:proofErr w:type="spellStart"/>
      <w:r w:rsidR="00A9567C" w:rsidRPr="006451BF">
        <w:rPr>
          <w:rFonts w:ascii="Times New Roman" w:eastAsia="Times New Roman" w:hAnsi="Times New Roman" w:cs="Times New Roman"/>
          <w:sz w:val="24"/>
          <w:szCs w:val="24"/>
          <w:highlight w:val="yellow"/>
          <w:lang w:bidi="ar-SA"/>
        </w:rPr>
        <w:t>Optimise</w:t>
      </w:r>
      <w:proofErr w:type="spellEnd"/>
      <w:r w:rsidR="00A9567C" w:rsidRPr="006451BF">
        <w:rPr>
          <w:rFonts w:ascii="Times New Roman" w:eastAsia="Times New Roman" w:hAnsi="Times New Roman" w:cs="Times New Roman"/>
          <w:sz w:val="24"/>
          <w:szCs w:val="24"/>
          <w:highlight w:val="yellow"/>
          <w:lang w:bidi="ar-SA"/>
        </w:rPr>
        <w:t xml:space="preserve"> </w:t>
      </w:r>
      <w:r w:rsidRPr="006451BF">
        <w:rPr>
          <w:rFonts w:ascii="Times New Roman" w:eastAsia="Times New Roman" w:hAnsi="Times New Roman" w:cs="Times New Roman"/>
          <w:sz w:val="24"/>
          <w:szCs w:val="24"/>
          <w:highlight w:val="yellow"/>
          <w:lang w:bidi="ar-SA"/>
        </w:rPr>
        <w:t>pr</w:t>
      </w:r>
      <w:r w:rsidRPr="00F203FC">
        <w:rPr>
          <w:rFonts w:ascii="Times New Roman" w:eastAsia="Times New Roman" w:hAnsi="Times New Roman" w:cs="Times New Roman"/>
          <w:sz w:val="24"/>
          <w:szCs w:val="24"/>
          <w:lang w:bidi="ar-SA"/>
        </w:rPr>
        <w:t>ocesses for smaller loans to reduce file creation, acceptance, and collateral-related expenses.</w:t>
      </w:r>
    </w:p>
    <w:p w14:paraId="1607C80F"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lastRenderedPageBreak/>
        <w:t>Indirect Costs and Cost Distribution:</w:t>
      </w:r>
    </w:p>
    <w:p w14:paraId="4392AEC8"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Indirect costs, like document submission and evaluation, account for a large share of transaction costs, especially for leasing loans.</w:t>
      </w:r>
    </w:p>
    <w:p w14:paraId="6D48057F"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Simplify approval processes and guidelines to reduce indirect costs.</w:t>
      </w:r>
    </w:p>
    <w:p w14:paraId="7F07C6FA"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Variation in Transaction Costs by Company Type:</w:t>
      </w:r>
    </w:p>
    <w:p w14:paraId="6869701C"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Transaction costs are similar across most knowledge-based company types, with the exception of manufacturing companies.</w:t>
      </w:r>
    </w:p>
    <w:p w14:paraId="2FFED5CA"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Focus on general improvements that benefit all company types rather than sector-specific changes.</w:t>
      </w:r>
    </w:p>
    <w:p w14:paraId="5E5C6446"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Comparison of Transaction Costs with Other Financing Sources:</w:t>
      </w:r>
    </w:p>
    <w:p w14:paraId="197FAC9F"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The Innovation Fund’s financing process is more time-consuming and expensive compared to other financing options.</w:t>
      </w:r>
    </w:p>
    <w:p w14:paraId="520E0569"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Align the fund’s processes with best practices from other sources to stay competitive.</w:t>
      </w:r>
    </w:p>
    <w:p w14:paraId="7EF26914" w14:textId="64E39F7F"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 xml:space="preserve">Econometric </w:t>
      </w:r>
      <w:r w:rsidRPr="006451BF">
        <w:rPr>
          <w:rFonts w:ascii="Times New Roman" w:eastAsia="Times New Roman" w:hAnsi="Times New Roman" w:cs="Times New Roman"/>
          <w:b/>
          <w:bCs/>
          <w:sz w:val="24"/>
          <w:szCs w:val="24"/>
          <w:highlight w:val="yellow"/>
          <w:lang w:bidi="ar-SA"/>
        </w:rPr>
        <w:t>Mode</w:t>
      </w:r>
      <w:r w:rsidR="00A9567C" w:rsidRPr="006451BF">
        <w:rPr>
          <w:rFonts w:ascii="Times New Roman" w:eastAsia="Times New Roman" w:hAnsi="Times New Roman" w:cs="Times New Roman"/>
          <w:b/>
          <w:bCs/>
          <w:sz w:val="24"/>
          <w:szCs w:val="24"/>
          <w:highlight w:val="yellow"/>
          <w:lang w:bidi="ar-SA"/>
        </w:rPr>
        <w:t>l</w:t>
      </w:r>
      <w:r w:rsidRPr="006451BF">
        <w:rPr>
          <w:rFonts w:ascii="Times New Roman" w:eastAsia="Times New Roman" w:hAnsi="Times New Roman" w:cs="Times New Roman"/>
          <w:b/>
          <w:bCs/>
          <w:sz w:val="24"/>
          <w:szCs w:val="24"/>
          <w:highlight w:val="yellow"/>
          <w:lang w:bidi="ar-SA"/>
        </w:rPr>
        <w:t>ling of Transa</w:t>
      </w:r>
      <w:r w:rsidRPr="00F203FC">
        <w:rPr>
          <w:rFonts w:ascii="Times New Roman" w:eastAsia="Times New Roman" w:hAnsi="Times New Roman" w:cs="Times New Roman"/>
          <w:b/>
          <w:bCs/>
          <w:sz w:val="24"/>
          <w:szCs w:val="24"/>
          <w:lang w:bidi="ar-SA"/>
        </w:rPr>
        <w:t>ction Costs:</w:t>
      </w:r>
    </w:p>
    <w:p w14:paraId="34B61F99"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Larger loans lead to higher absolute transaction costs, but the transaction cost ratio decreases as loan size increases.</w:t>
      </w:r>
    </w:p>
    <w:p w14:paraId="49E709D2"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Policies that encourage larger loans for certain companies could reduce the relative burden of transaction costs.</w:t>
      </w:r>
    </w:p>
    <w:p w14:paraId="3F70A3F1"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Impact of Delays on Transaction Costs:</w:t>
      </w:r>
    </w:p>
    <w:p w14:paraId="5F4E288B"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Delays between application and contract signing increase transaction costs due to opportunity costs.</w:t>
      </w:r>
    </w:p>
    <w:p w14:paraId="54764E16"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Focus on reducing waiting times in the application process to improve efficiency.</w:t>
      </w:r>
    </w:p>
    <w:p w14:paraId="599E89EB"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Payment Stages and Opportunity Costs:</w:t>
      </w:r>
    </w:p>
    <w:p w14:paraId="321DD3BD"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Increasing the number of payment stages raises transaction costs and opportunity costs for companies.</w:t>
      </w:r>
    </w:p>
    <w:p w14:paraId="3D50CB8F"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Streamline payment and evaluation stages to lower transaction costs and opportunity costs.</w:t>
      </w:r>
    </w:p>
    <w:p w14:paraId="5F9DF4E1"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Collateral Costs and Suggestions from Companies:</w:t>
      </w:r>
    </w:p>
    <w:p w14:paraId="49C843F7"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Collateral, particularly real estate, is a heavy burden for knowledge-based companies reliant on intellectual property.</w:t>
      </w:r>
    </w:p>
    <w:p w14:paraId="22E4279C"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Consider alternative collateral options, such as intellectual property or partial guarantees, to make funding more accessible.</w:t>
      </w:r>
    </w:p>
    <w:p w14:paraId="13F2BCA0" w14:textId="2BB9C49D" w:rsidR="00C70284" w:rsidRDefault="00C70284" w:rsidP="005757C8">
      <w:pPr>
        <w:bidi w:val="0"/>
        <w:spacing w:after="0" w:line="240" w:lineRule="auto"/>
        <w:rPr>
          <w:rFonts w:ascii="Times New Roman" w:eastAsia="Times New Roman" w:hAnsi="Times New Roman" w:cs="Times New Roman"/>
          <w:sz w:val="24"/>
          <w:szCs w:val="24"/>
          <w:lang w:bidi="ar-SA"/>
        </w:rPr>
      </w:pPr>
    </w:p>
    <w:p w14:paraId="10B87B40" w14:textId="77777777" w:rsidR="00C70284" w:rsidRDefault="00C70284" w:rsidP="005757C8">
      <w:pPr>
        <w:bidi w:val="0"/>
        <w:spacing w:after="0" w:line="240" w:lineRule="auto"/>
        <w:rPr>
          <w:rFonts w:ascii="Times New Roman" w:eastAsia="Times New Roman" w:hAnsi="Times New Roman" w:cs="Times New Roman"/>
          <w:sz w:val="24"/>
          <w:szCs w:val="24"/>
          <w:lang w:bidi="ar-SA"/>
        </w:rPr>
      </w:pPr>
    </w:p>
    <w:p w14:paraId="2F0564CF" w14:textId="105D1348" w:rsidR="00C70284" w:rsidRDefault="00C70284" w:rsidP="005757C8">
      <w:pPr>
        <w:bidi w:val="0"/>
        <w:spacing w:after="0" w:line="240" w:lineRule="auto"/>
        <w:rPr>
          <w:rFonts w:ascii="Times New Roman" w:eastAsia="Times New Roman" w:hAnsi="Times New Roman" w:cs="Times New Roman"/>
          <w:b/>
          <w:bCs/>
          <w:sz w:val="24"/>
          <w:szCs w:val="24"/>
          <w:lang w:bidi="ar-SA"/>
        </w:rPr>
      </w:pPr>
      <w:r w:rsidRPr="00C70284">
        <w:rPr>
          <w:rFonts w:ascii="Times New Roman" w:eastAsia="Times New Roman" w:hAnsi="Times New Roman" w:cs="Times New Roman"/>
          <w:b/>
          <w:bCs/>
          <w:sz w:val="24"/>
          <w:szCs w:val="24"/>
          <w:lang w:bidi="ar-SA"/>
        </w:rPr>
        <w:t>Conflicts of Interest and Informed Consent Declarations</w:t>
      </w:r>
    </w:p>
    <w:p w14:paraId="5DB95A24" w14:textId="0B6AA8CD" w:rsidR="00C70284" w:rsidRDefault="00C70284" w:rsidP="005757C8">
      <w:pPr>
        <w:bidi w:val="0"/>
        <w:spacing w:after="0" w:line="240" w:lineRule="auto"/>
        <w:rPr>
          <w:rFonts w:ascii="Times New Roman" w:eastAsia="Times New Roman" w:hAnsi="Times New Roman" w:cs="Times New Roman"/>
          <w:b/>
          <w:bCs/>
          <w:sz w:val="24"/>
          <w:szCs w:val="24"/>
          <w:lang w:bidi="ar-SA"/>
        </w:rPr>
      </w:pPr>
      <w:r>
        <w:rPr>
          <w:rFonts w:ascii="Segoe UI" w:hAnsi="Segoe UI" w:cs="Segoe UI"/>
          <w:b/>
          <w:bCs/>
          <w:i/>
          <w:iCs/>
          <w:color w:val="212529"/>
          <w:sz w:val="21"/>
          <w:szCs w:val="21"/>
          <w:shd w:val="clear" w:color="auto" w:fill="FFFFFF"/>
        </w:rPr>
        <w:t>All authors declare that they have no conflicts of interest</w:t>
      </w:r>
      <w:r w:rsidR="00A9567C">
        <w:rPr>
          <w:rFonts w:ascii="Segoe UI" w:hAnsi="Segoe UI" w:cs="Segoe UI"/>
          <w:b/>
          <w:bCs/>
          <w:i/>
          <w:iCs/>
          <w:color w:val="212529"/>
          <w:sz w:val="21"/>
          <w:szCs w:val="21"/>
          <w:shd w:val="clear" w:color="auto" w:fill="FFFFFF"/>
        </w:rPr>
        <w:t>.</w:t>
      </w:r>
    </w:p>
    <w:p w14:paraId="3C0C4160" w14:textId="77777777" w:rsidR="00C70284" w:rsidRPr="00C70284" w:rsidRDefault="00C70284" w:rsidP="005757C8">
      <w:pPr>
        <w:bidi w:val="0"/>
        <w:spacing w:after="0" w:line="240" w:lineRule="auto"/>
        <w:rPr>
          <w:rFonts w:ascii="Times New Roman" w:eastAsia="Times New Roman" w:hAnsi="Times New Roman" w:cs="Times New Roman"/>
          <w:b/>
          <w:bCs/>
          <w:sz w:val="24"/>
          <w:szCs w:val="24"/>
          <w:lang w:bidi="ar-SA"/>
        </w:rPr>
      </w:pPr>
    </w:p>
    <w:p w14:paraId="1EFB5433" w14:textId="12C7B00A" w:rsidR="00C70284" w:rsidRDefault="00C70284" w:rsidP="005757C8">
      <w:pPr>
        <w:bidi w:val="0"/>
        <w:spacing w:after="0" w:line="240" w:lineRule="auto"/>
        <w:rPr>
          <w:rFonts w:ascii="Times New Roman" w:eastAsia="Times New Roman" w:hAnsi="Times New Roman" w:cs="Times New Roman"/>
          <w:sz w:val="24"/>
          <w:szCs w:val="24"/>
          <w:lang w:bidi="ar-SA"/>
        </w:rPr>
      </w:pPr>
    </w:p>
    <w:p w14:paraId="0722D3BC" w14:textId="77777777" w:rsidR="00A87C27" w:rsidRPr="00270720" w:rsidRDefault="00A87C27" w:rsidP="00A87C27">
      <w:pPr>
        <w:jc w:val="right"/>
        <w:rPr>
          <w:highlight w:val="yellow"/>
        </w:rPr>
      </w:pPr>
      <w:r w:rsidRPr="00270720">
        <w:rPr>
          <w:highlight w:val="yellow"/>
        </w:rPr>
        <w:t>Disclaimer (Artificial intelligence)</w:t>
      </w:r>
    </w:p>
    <w:p w14:paraId="5E2189D8" w14:textId="77777777" w:rsidR="00A87C27" w:rsidRPr="00270720" w:rsidRDefault="00A87C27" w:rsidP="00A87C27">
      <w:pPr>
        <w:jc w:val="right"/>
        <w:rPr>
          <w:highlight w:val="yellow"/>
        </w:rPr>
      </w:pPr>
    </w:p>
    <w:p w14:paraId="47B2064D" w14:textId="77777777" w:rsidR="00A87C27" w:rsidRPr="00270720" w:rsidRDefault="00A87C27" w:rsidP="00A87C27">
      <w:pPr>
        <w:jc w:val="right"/>
        <w:rPr>
          <w:highlight w:val="yellow"/>
        </w:rPr>
      </w:pPr>
      <w:r w:rsidRPr="00270720">
        <w:rPr>
          <w:highlight w:val="yellow"/>
        </w:rPr>
        <w:t xml:space="preserve">Option 1: </w:t>
      </w:r>
    </w:p>
    <w:p w14:paraId="13A881DB" w14:textId="77777777" w:rsidR="00A87C27" w:rsidRPr="00270720" w:rsidRDefault="00A87C27" w:rsidP="00A87C27">
      <w:pPr>
        <w:jc w:val="right"/>
        <w:rPr>
          <w:highlight w:val="yellow"/>
        </w:rPr>
      </w:pPr>
    </w:p>
    <w:p w14:paraId="428A65C8" w14:textId="77777777" w:rsidR="00A87C27" w:rsidRPr="00270720" w:rsidRDefault="00A87C27" w:rsidP="00A87C27">
      <w:pPr>
        <w:jc w:val="right"/>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26F7E79" w14:textId="77777777" w:rsidR="00A87C27" w:rsidRPr="00270720" w:rsidRDefault="00A87C27" w:rsidP="00A87C27">
      <w:pPr>
        <w:jc w:val="right"/>
        <w:rPr>
          <w:highlight w:val="yellow"/>
        </w:rPr>
      </w:pPr>
    </w:p>
    <w:p w14:paraId="1A53D97A" w14:textId="77777777" w:rsidR="00A87C27" w:rsidRPr="00270720" w:rsidRDefault="00A87C27" w:rsidP="00A87C27">
      <w:pPr>
        <w:jc w:val="right"/>
        <w:rPr>
          <w:highlight w:val="yellow"/>
        </w:rPr>
      </w:pPr>
      <w:r w:rsidRPr="00270720">
        <w:rPr>
          <w:highlight w:val="yellow"/>
        </w:rPr>
        <w:t xml:space="preserve">Option 2: </w:t>
      </w:r>
    </w:p>
    <w:p w14:paraId="1DCAD7EB" w14:textId="77777777" w:rsidR="00A87C27" w:rsidRPr="00270720" w:rsidRDefault="00A87C27" w:rsidP="00A87C27">
      <w:pPr>
        <w:jc w:val="right"/>
        <w:rPr>
          <w:highlight w:val="yellow"/>
        </w:rPr>
      </w:pPr>
    </w:p>
    <w:p w14:paraId="09CA0780" w14:textId="77777777" w:rsidR="00A87C27" w:rsidRPr="00270720" w:rsidRDefault="00A87C27" w:rsidP="00A87C27">
      <w:pPr>
        <w:jc w:val="right"/>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8E64A9" w14:textId="77777777" w:rsidR="00A87C27" w:rsidRPr="00270720" w:rsidRDefault="00A87C27" w:rsidP="00A87C27">
      <w:pPr>
        <w:jc w:val="right"/>
        <w:rPr>
          <w:highlight w:val="yellow"/>
        </w:rPr>
      </w:pPr>
    </w:p>
    <w:p w14:paraId="3FB872D9" w14:textId="77777777" w:rsidR="00A87C27" w:rsidRPr="00270720" w:rsidRDefault="00A87C27" w:rsidP="00A87C27">
      <w:pPr>
        <w:jc w:val="right"/>
        <w:rPr>
          <w:highlight w:val="yellow"/>
        </w:rPr>
      </w:pPr>
      <w:r w:rsidRPr="00270720">
        <w:rPr>
          <w:highlight w:val="yellow"/>
        </w:rPr>
        <w:t>Details of the AI usage are given below:</w:t>
      </w:r>
    </w:p>
    <w:p w14:paraId="221AC54D" w14:textId="77777777" w:rsidR="00A87C27" w:rsidRPr="00270720" w:rsidRDefault="00A87C27" w:rsidP="00A87C27">
      <w:pPr>
        <w:jc w:val="right"/>
        <w:rPr>
          <w:highlight w:val="yellow"/>
        </w:rPr>
      </w:pPr>
      <w:r w:rsidRPr="00270720">
        <w:rPr>
          <w:highlight w:val="yellow"/>
        </w:rPr>
        <w:t>1.</w:t>
      </w:r>
    </w:p>
    <w:p w14:paraId="780FE5F9" w14:textId="77777777" w:rsidR="00A87C27" w:rsidRPr="00270720" w:rsidRDefault="00A87C27" w:rsidP="00A87C27">
      <w:pPr>
        <w:jc w:val="right"/>
        <w:rPr>
          <w:highlight w:val="yellow"/>
        </w:rPr>
      </w:pPr>
      <w:r w:rsidRPr="00270720">
        <w:rPr>
          <w:highlight w:val="yellow"/>
        </w:rPr>
        <w:t>2.</w:t>
      </w:r>
    </w:p>
    <w:p w14:paraId="14F67AD8" w14:textId="77777777" w:rsidR="00A87C27" w:rsidRPr="00270720" w:rsidRDefault="00A87C27" w:rsidP="00A87C27">
      <w:pPr>
        <w:jc w:val="right"/>
      </w:pPr>
      <w:r w:rsidRPr="00270720">
        <w:rPr>
          <w:highlight w:val="yellow"/>
        </w:rPr>
        <w:t>3.</w:t>
      </w:r>
    </w:p>
    <w:p w14:paraId="11B9273C" w14:textId="77777777" w:rsidR="00A87C27" w:rsidRPr="002105DC" w:rsidRDefault="00A87C27" w:rsidP="00A87C27">
      <w:pPr>
        <w:bidi w:val="0"/>
        <w:spacing w:after="0" w:line="240" w:lineRule="auto"/>
        <w:rPr>
          <w:rFonts w:ascii="Times New Roman" w:eastAsia="Times New Roman" w:hAnsi="Times New Roman" w:cs="Times New Roman"/>
          <w:sz w:val="24"/>
          <w:szCs w:val="24"/>
          <w:lang w:bidi="ar-SA"/>
        </w:rPr>
      </w:pPr>
    </w:p>
    <w:p w14:paraId="3258D060" w14:textId="77777777" w:rsidR="00DF2B14" w:rsidRPr="001D47D7" w:rsidRDefault="00DF2B14" w:rsidP="005757C8">
      <w:pPr>
        <w:bidi w:val="0"/>
        <w:spacing w:after="0" w:line="240" w:lineRule="auto"/>
        <w:jc w:val="both"/>
        <w:rPr>
          <w:rFonts w:ascii="Times New Roman" w:eastAsia="Times New Roman" w:hAnsi="Times New Roman" w:cs="B Mitra"/>
          <w:b/>
          <w:bCs/>
          <w:sz w:val="24"/>
          <w:szCs w:val="24"/>
        </w:rPr>
      </w:pPr>
      <w:r w:rsidRPr="001D47D7">
        <w:rPr>
          <w:rFonts w:asciiTheme="majorBidi" w:hAnsiTheme="majorBidi" w:cstheme="majorBidi"/>
          <w:b/>
          <w:bCs/>
          <w:sz w:val="24"/>
          <w:szCs w:val="24"/>
        </w:rPr>
        <w:t>References</w:t>
      </w:r>
    </w:p>
    <w:p w14:paraId="143EB929" w14:textId="77777777" w:rsidR="003C5583" w:rsidRPr="0061672F" w:rsidRDefault="003C5583" w:rsidP="0061672F">
      <w:pPr>
        <w:pStyle w:val="ListParagraph"/>
        <w:numPr>
          <w:ilvl w:val="0"/>
          <w:numId w:val="37"/>
        </w:numPr>
        <w:bidi w:val="0"/>
        <w:spacing w:after="0" w:line="240" w:lineRule="auto"/>
        <w:jc w:val="both"/>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 xml:space="preserve">Adams, D. W., &amp; </w:t>
      </w:r>
      <w:proofErr w:type="spellStart"/>
      <w:r w:rsidRPr="0061672F">
        <w:rPr>
          <w:rFonts w:ascii="Times New Roman" w:eastAsia="Times New Roman" w:hAnsi="Times New Roman" w:cs="Times New Roman"/>
          <w:sz w:val="24"/>
          <w:szCs w:val="24"/>
        </w:rPr>
        <w:t>Nehman</w:t>
      </w:r>
      <w:proofErr w:type="spellEnd"/>
      <w:r w:rsidRPr="0061672F">
        <w:rPr>
          <w:rFonts w:ascii="Times New Roman" w:eastAsia="Times New Roman" w:hAnsi="Times New Roman" w:cs="Times New Roman"/>
          <w:sz w:val="24"/>
          <w:szCs w:val="24"/>
        </w:rPr>
        <w:t xml:space="preserve">, G. I. (1979). Borrowing costs and the demand for rural credit. </w:t>
      </w:r>
      <w:r w:rsidRPr="0061672F">
        <w:rPr>
          <w:rFonts w:ascii="Times New Roman" w:eastAsia="Times New Roman" w:hAnsi="Times New Roman" w:cs="Times New Roman"/>
          <w:i/>
          <w:iCs/>
          <w:sz w:val="24"/>
          <w:szCs w:val="24"/>
        </w:rPr>
        <w:t>The Journal of Development Studies</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15</w:t>
      </w:r>
      <w:r w:rsidRPr="0061672F">
        <w:rPr>
          <w:rFonts w:ascii="Times New Roman" w:eastAsia="Times New Roman" w:hAnsi="Times New Roman" w:cs="Times New Roman"/>
          <w:sz w:val="24"/>
          <w:szCs w:val="24"/>
        </w:rPr>
        <w:t>(2), 165-176.</w:t>
      </w:r>
    </w:p>
    <w:p w14:paraId="45521BE8" w14:textId="77777777" w:rsidR="004A3F78" w:rsidRPr="0061672F" w:rsidRDefault="004A3F78" w:rsidP="0061672F">
      <w:pPr>
        <w:pStyle w:val="ListParagraph"/>
        <w:numPr>
          <w:ilvl w:val="0"/>
          <w:numId w:val="37"/>
        </w:numPr>
        <w:bidi w:val="0"/>
        <w:spacing w:after="0" w:line="240" w:lineRule="auto"/>
        <w:jc w:val="both"/>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 xml:space="preserve">Ahluwalia, S., </w:t>
      </w:r>
      <w:proofErr w:type="spellStart"/>
      <w:r w:rsidRPr="0061672F">
        <w:rPr>
          <w:rFonts w:ascii="Times New Roman" w:eastAsia="Times New Roman" w:hAnsi="Times New Roman" w:cs="Times New Roman"/>
          <w:sz w:val="24"/>
          <w:szCs w:val="24"/>
        </w:rPr>
        <w:t>Mahto</w:t>
      </w:r>
      <w:proofErr w:type="spellEnd"/>
      <w:r w:rsidRPr="0061672F">
        <w:rPr>
          <w:rFonts w:ascii="Times New Roman" w:eastAsia="Times New Roman" w:hAnsi="Times New Roman" w:cs="Times New Roman"/>
          <w:sz w:val="24"/>
          <w:szCs w:val="24"/>
        </w:rPr>
        <w:t xml:space="preserve">, R. V., &amp; Guerrero, M. (2020). Blockchain technology and startup financing: A transaction cost economics perspective. </w:t>
      </w:r>
      <w:r w:rsidRPr="0061672F">
        <w:rPr>
          <w:rFonts w:ascii="Times New Roman" w:eastAsia="Times New Roman" w:hAnsi="Times New Roman" w:cs="Times New Roman"/>
          <w:i/>
          <w:iCs/>
          <w:sz w:val="24"/>
          <w:szCs w:val="24"/>
        </w:rPr>
        <w:t>Technological Forecasting and Social Change</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151</w:t>
      </w:r>
      <w:r w:rsidRPr="0061672F">
        <w:rPr>
          <w:rFonts w:ascii="Times New Roman" w:eastAsia="Times New Roman" w:hAnsi="Times New Roman" w:cs="Times New Roman"/>
          <w:sz w:val="24"/>
          <w:szCs w:val="24"/>
        </w:rPr>
        <w:t>, 119854.</w:t>
      </w:r>
    </w:p>
    <w:p w14:paraId="445B7DDE" w14:textId="77777777" w:rsidR="00817F9D" w:rsidRPr="0061672F" w:rsidRDefault="00817F9D" w:rsidP="0061672F">
      <w:pPr>
        <w:pStyle w:val="ListParagraph"/>
        <w:numPr>
          <w:ilvl w:val="0"/>
          <w:numId w:val="37"/>
        </w:numPr>
        <w:bidi w:val="0"/>
        <w:spacing w:after="0" w:line="240" w:lineRule="auto"/>
        <w:rPr>
          <w:rFonts w:ascii="Times New Roman" w:eastAsia="Times New Roman" w:hAnsi="Times New Roman" w:cs="Times New Roman"/>
          <w:sz w:val="24"/>
          <w:szCs w:val="24"/>
        </w:rPr>
      </w:pPr>
      <w:bookmarkStart w:id="34" w:name="_GoBack"/>
      <w:bookmarkEnd w:id="34"/>
      <w:r w:rsidRPr="0061672F">
        <w:rPr>
          <w:rFonts w:ascii="Times New Roman" w:eastAsia="Times New Roman" w:hAnsi="Times New Roman" w:cs="Times New Roman"/>
          <w:sz w:val="24"/>
          <w:szCs w:val="24"/>
        </w:rPr>
        <w:t xml:space="preserve">Arrow, K. (1970). The Organization of Market Activity: Issues Pertinent to the Choice of Market versus Non-market Allocations. </w:t>
      </w:r>
      <w:proofErr w:type="spellStart"/>
      <w:r w:rsidRPr="0061672F">
        <w:rPr>
          <w:rFonts w:ascii="Times New Roman" w:eastAsia="Times New Roman" w:hAnsi="Times New Roman" w:cs="Times New Roman"/>
          <w:i/>
          <w:iCs/>
          <w:sz w:val="24"/>
          <w:szCs w:val="24"/>
        </w:rPr>
        <w:t>Haveman</w:t>
      </w:r>
      <w:proofErr w:type="spellEnd"/>
      <w:r w:rsidRPr="0061672F">
        <w:rPr>
          <w:rFonts w:ascii="Times New Roman" w:eastAsia="Times New Roman" w:hAnsi="Times New Roman" w:cs="Times New Roman"/>
          <w:i/>
          <w:iCs/>
          <w:sz w:val="24"/>
          <w:szCs w:val="24"/>
        </w:rPr>
        <w:t xml:space="preserve"> and Margolis, eds., Public Expenditure and Policy Analysis, Markham</w:t>
      </w:r>
      <w:r w:rsidRPr="0061672F">
        <w:rPr>
          <w:rFonts w:ascii="Times New Roman" w:eastAsia="Times New Roman" w:hAnsi="Times New Roman" w:cs="Times New Roman"/>
          <w:sz w:val="24"/>
          <w:szCs w:val="24"/>
        </w:rPr>
        <w:t>.</w:t>
      </w:r>
    </w:p>
    <w:p w14:paraId="04F887B7"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proofErr w:type="spellStart"/>
      <w:r w:rsidRPr="0061672F">
        <w:rPr>
          <w:rFonts w:ascii="Times New Roman" w:eastAsia="Times New Roman" w:hAnsi="Times New Roman" w:cs="B Mitra"/>
          <w:sz w:val="24"/>
          <w:szCs w:val="24"/>
        </w:rPr>
        <w:t>Boulahbel</w:t>
      </w:r>
      <w:proofErr w:type="spellEnd"/>
      <w:r w:rsidRPr="0061672F">
        <w:rPr>
          <w:rFonts w:ascii="Times New Roman" w:eastAsia="Times New Roman" w:hAnsi="Times New Roman" w:cs="B Mitra"/>
          <w:sz w:val="24"/>
          <w:szCs w:val="24"/>
        </w:rPr>
        <w:t xml:space="preserve">, Z. (2021). </w:t>
      </w:r>
      <w:r w:rsidR="004542B9" w:rsidRPr="0061672F">
        <w:rPr>
          <w:rFonts w:ascii="Times New Roman" w:eastAsia="Times New Roman" w:hAnsi="Times New Roman" w:cs="B Mitra"/>
          <w:sz w:val="24"/>
          <w:szCs w:val="24"/>
        </w:rPr>
        <w:t xml:space="preserve">Crowdfunding as an Alternative Form </w:t>
      </w:r>
      <w:proofErr w:type="gramStart"/>
      <w:r w:rsidR="004542B9" w:rsidRPr="0061672F">
        <w:rPr>
          <w:rFonts w:ascii="Times New Roman" w:eastAsia="Times New Roman" w:hAnsi="Times New Roman" w:cs="B Mitra"/>
          <w:sz w:val="24"/>
          <w:szCs w:val="24"/>
        </w:rPr>
        <w:t>Of</w:t>
      </w:r>
      <w:proofErr w:type="gramEnd"/>
      <w:r w:rsidR="004542B9" w:rsidRPr="0061672F">
        <w:rPr>
          <w:rFonts w:ascii="Times New Roman" w:eastAsia="Times New Roman" w:hAnsi="Times New Roman" w:cs="B Mitra"/>
          <w:sz w:val="24"/>
          <w:szCs w:val="24"/>
        </w:rPr>
        <w:t xml:space="preserve"> Islamic Financing for Startups and Small Enterprise. </w:t>
      </w:r>
      <w:r w:rsidR="00817F9D" w:rsidRPr="0061672F">
        <w:rPr>
          <w:rFonts w:ascii="Times New Roman" w:eastAsia="Times New Roman" w:hAnsi="Times New Roman" w:cs="B Mitra"/>
          <w:i/>
          <w:iCs/>
          <w:sz w:val="24"/>
          <w:szCs w:val="24"/>
        </w:rPr>
        <w:t xml:space="preserve">South East Asia Journal of Contemporary Business, Economics and Law, </w:t>
      </w:r>
      <w:r w:rsidR="004542B9" w:rsidRPr="0061672F">
        <w:rPr>
          <w:rFonts w:ascii="Times New Roman" w:eastAsia="Times New Roman" w:hAnsi="Times New Roman" w:cs="B Mitra"/>
          <w:i/>
          <w:iCs/>
          <w:sz w:val="24"/>
          <w:szCs w:val="24"/>
        </w:rPr>
        <w:t>24(1),</w:t>
      </w:r>
      <w:r w:rsidR="004542B9" w:rsidRPr="0061672F">
        <w:rPr>
          <w:rFonts w:ascii="Times New Roman" w:eastAsia="Times New Roman" w:hAnsi="Times New Roman" w:cs="B Mitra"/>
          <w:sz w:val="24"/>
          <w:szCs w:val="24"/>
        </w:rPr>
        <w:t xml:space="preserve"> </w:t>
      </w:r>
      <w:r w:rsidR="002F27A9" w:rsidRPr="0061672F">
        <w:rPr>
          <w:rFonts w:ascii="Times New Roman" w:eastAsia="Times New Roman" w:hAnsi="Times New Roman" w:cs="B Mitra"/>
          <w:sz w:val="24"/>
          <w:szCs w:val="24"/>
        </w:rPr>
        <w:t>99-107.</w:t>
      </w:r>
    </w:p>
    <w:p w14:paraId="4D7B37B2" w14:textId="77777777" w:rsidR="002F27A9" w:rsidRPr="0061672F" w:rsidRDefault="002F27A9" w:rsidP="0061672F">
      <w:pPr>
        <w:pStyle w:val="ListParagraph"/>
        <w:numPr>
          <w:ilvl w:val="0"/>
          <w:numId w:val="37"/>
        </w:numPr>
        <w:bidi w:val="0"/>
        <w:spacing w:after="0" w:line="240" w:lineRule="auto"/>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 xml:space="preserve">Burgess, R., &amp; </w:t>
      </w:r>
      <w:proofErr w:type="spellStart"/>
      <w:r w:rsidRPr="0061672F">
        <w:rPr>
          <w:rFonts w:ascii="Times New Roman" w:eastAsia="Times New Roman" w:hAnsi="Times New Roman" w:cs="Times New Roman"/>
          <w:sz w:val="24"/>
          <w:szCs w:val="24"/>
        </w:rPr>
        <w:t>Pande</w:t>
      </w:r>
      <w:proofErr w:type="spellEnd"/>
      <w:r w:rsidRPr="0061672F">
        <w:rPr>
          <w:rFonts w:ascii="Times New Roman" w:eastAsia="Times New Roman" w:hAnsi="Times New Roman" w:cs="Times New Roman"/>
          <w:sz w:val="24"/>
          <w:szCs w:val="24"/>
        </w:rPr>
        <w:t xml:space="preserve">, R. (2005). Do rural banks matter? Evidence from the Indian social banking experiment. </w:t>
      </w:r>
      <w:r w:rsidRPr="0061672F">
        <w:rPr>
          <w:rFonts w:ascii="Times New Roman" w:eastAsia="Times New Roman" w:hAnsi="Times New Roman" w:cs="Times New Roman"/>
          <w:i/>
          <w:iCs/>
          <w:sz w:val="24"/>
          <w:szCs w:val="24"/>
        </w:rPr>
        <w:t>American Economic Review</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95</w:t>
      </w:r>
      <w:r w:rsidRPr="0061672F">
        <w:rPr>
          <w:rFonts w:ascii="Times New Roman" w:eastAsia="Times New Roman" w:hAnsi="Times New Roman" w:cs="Times New Roman"/>
          <w:sz w:val="24"/>
          <w:szCs w:val="24"/>
        </w:rPr>
        <w:t>(3), 780-795.</w:t>
      </w:r>
    </w:p>
    <w:p w14:paraId="0B1474B2" w14:textId="77777777" w:rsidR="008D4607" w:rsidRPr="00A23298" w:rsidRDefault="00C91F0F" w:rsidP="0061672F">
      <w:pPr>
        <w:pStyle w:val="ListParagraph"/>
        <w:numPr>
          <w:ilvl w:val="0"/>
          <w:numId w:val="37"/>
        </w:numPr>
        <w:bidi w:val="0"/>
        <w:spacing w:after="0" w:line="240" w:lineRule="auto"/>
        <w:jc w:val="both"/>
        <w:rPr>
          <w:rFonts w:ascii="Times New Roman" w:eastAsia="Times New Roman" w:hAnsi="Times New Roman" w:cs="Times New Roman"/>
          <w:sz w:val="24"/>
          <w:szCs w:val="24"/>
        </w:rPr>
      </w:pPr>
      <w:r w:rsidRPr="00A23298">
        <w:rPr>
          <w:rFonts w:ascii="Times New Roman" w:eastAsia="Times New Roman" w:hAnsi="Times New Roman" w:cs="Times New Roman"/>
          <w:sz w:val="24"/>
          <w:szCs w:val="24"/>
        </w:rPr>
        <w:t>Burke, P.</w:t>
      </w:r>
      <w:r w:rsidR="002F27A9" w:rsidRPr="00A23298">
        <w:rPr>
          <w:rFonts w:ascii="Times New Roman" w:eastAsia="Times New Roman" w:hAnsi="Times New Roman" w:cs="Times New Roman"/>
          <w:sz w:val="24"/>
          <w:szCs w:val="24"/>
        </w:rPr>
        <w:t xml:space="preserve"> (2000), A Social History of Knowledge</w:t>
      </w:r>
      <w:r w:rsidR="008D4607" w:rsidRPr="00A23298">
        <w:rPr>
          <w:rFonts w:ascii="Times New Roman" w:eastAsia="Times New Roman" w:hAnsi="Times New Roman" w:cs="Times New Roman"/>
          <w:sz w:val="24"/>
          <w:szCs w:val="24"/>
        </w:rPr>
        <w:t xml:space="preserve">, </w:t>
      </w:r>
      <w:r w:rsidR="008D4607" w:rsidRPr="00A23298">
        <w:rPr>
          <w:rFonts w:ascii="Times New Roman" w:eastAsia="Times New Roman" w:hAnsi="Times New Roman" w:cs="Times New Roman"/>
          <w:i/>
          <w:iCs/>
          <w:sz w:val="24"/>
          <w:szCs w:val="24"/>
        </w:rPr>
        <w:t xml:space="preserve">Journal of Political Economy, </w:t>
      </w:r>
      <w:r w:rsidRPr="00A23298">
        <w:rPr>
          <w:rFonts w:ascii="Times New Roman" w:eastAsia="Times New Roman" w:hAnsi="Times New Roman" w:cs="Times New Roman"/>
          <w:i/>
          <w:iCs/>
          <w:sz w:val="24"/>
          <w:szCs w:val="24"/>
        </w:rPr>
        <w:t>65(1),</w:t>
      </w:r>
      <w:r w:rsidR="008D4607" w:rsidRPr="00A23298">
        <w:rPr>
          <w:rFonts w:ascii="Times New Roman" w:eastAsia="Times New Roman" w:hAnsi="Times New Roman" w:cs="Times New Roman"/>
          <w:sz w:val="24"/>
          <w:szCs w:val="24"/>
        </w:rPr>
        <w:t xml:space="preserve"> 71-112.</w:t>
      </w:r>
    </w:p>
    <w:p w14:paraId="2ACD79A7" w14:textId="77777777" w:rsidR="00C91F0F" w:rsidRPr="0061672F" w:rsidRDefault="00C91F0F" w:rsidP="0061672F">
      <w:pPr>
        <w:pStyle w:val="ListParagraph"/>
        <w:numPr>
          <w:ilvl w:val="0"/>
          <w:numId w:val="37"/>
        </w:numPr>
        <w:bidi w:val="0"/>
        <w:spacing w:after="0" w:line="240" w:lineRule="auto"/>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t>Chulangani</w:t>
      </w:r>
      <w:proofErr w:type="spellEnd"/>
      <w:r w:rsidRPr="0061672F">
        <w:rPr>
          <w:rFonts w:ascii="Times New Roman" w:eastAsia="Times New Roman" w:hAnsi="Times New Roman" w:cs="Times New Roman"/>
          <w:sz w:val="24"/>
          <w:szCs w:val="24"/>
        </w:rPr>
        <w:t xml:space="preserve">, H. M. A., &amp; </w:t>
      </w:r>
      <w:proofErr w:type="spellStart"/>
      <w:r w:rsidRPr="0061672F">
        <w:rPr>
          <w:rFonts w:ascii="Times New Roman" w:eastAsia="Times New Roman" w:hAnsi="Times New Roman" w:cs="Times New Roman"/>
          <w:sz w:val="24"/>
          <w:szCs w:val="24"/>
        </w:rPr>
        <w:t>Ariyawardana</w:t>
      </w:r>
      <w:proofErr w:type="spellEnd"/>
      <w:r w:rsidRPr="0061672F">
        <w:rPr>
          <w:rFonts w:ascii="Times New Roman" w:eastAsia="Times New Roman" w:hAnsi="Times New Roman" w:cs="Times New Roman"/>
          <w:sz w:val="24"/>
          <w:szCs w:val="24"/>
        </w:rPr>
        <w:t xml:space="preserve">, A. (2007). Analysis of Lending by Public and Private Micro-Financial Institutions to Microenterprises in Nuwara </w:t>
      </w:r>
      <w:proofErr w:type="spellStart"/>
      <w:r w:rsidRPr="0061672F">
        <w:rPr>
          <w:rFonts w:ascii="Times New Roman" w:eastAsia="Times New Roman" w:hAnsi="Times New Roman" w:cs="Times New Roman"/>
          <w:sz w:val="24"/>
          <w:szCs w:val="24"/>
        </w:rPr>
        <w:t>Eliya</w:t>
      </w:r>
      <w:proofErr w:type="spellEnd"/>
      <w:r w:rsidRPr="0061672F">
        <w:rPr>
          <w:rFonts w:ascii="Times New Roman" w:eastAsia="Times New Roman" w:hAnsi="Times New Roman" w:cs="Times New Roman"/>
          <w:sz w:val="24"/>
          <w:szCs w:val="24"/>
        </w:rPr>
        <w:t>.</w:t>
      </w:r>
    </w:p>
    <w:p w14:paraId="27C0BCDB" w14:textId="77777777" w:rsidR="00650DE3" w:rsidRPr="0061672F" w:rsidRDefault="00650DE3" w:rsidP="0061672F">
      <w:pPr>
        <w:pStyle w:val="ListParagraph"/>
        <w:numPr>
          <w:ilvl w:val="0"/>
          <w:numId w:val="37"/>
        </w:numPr>
        <w:bidi w:val="0"/>
        <w:spacing w:after="0" w:line="240" w:lineRule="auto"/>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 xml:space="preserve">Coase, R. H. (1960). The Problem of Social Cost. </w:t>
      </w:r>
      <w:r w:rsidRPr="0061672F">
        <w:rPr>
          <w:rFonts w:ascii="Times New Roman" w:eastAsia="Times New Roman" w:hAnsi="Times New Roman" w:cs="Times New Roman"/>
          <w:i/>
          <w:iCs/>
          <w:sz w:val="24"/>
          <w:szCs w:val="24"/>
        </w:rPr>
        <w:t>Journal of Law and Economics</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3</w:t>
      </w:r>
      <w:r w:rsidRPr="0061672F">
        <w:rPr>
          <w:rFonts w:ascii="Times New Roman" w:eastAsia="Times New Roman" w:hAnsi="Times New Roman" w:cs="Times New Roman"/>
          <w:sz w:val="24"/>
          <w:szCs w:val="24"/>
        </w:rPr>
        <w:t>, 1.</w:t>
      </w:r>
    </w:p>
    <w:p w14:paraId="2819F873"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 xml:space="preserve">Coase, R. H. (1992), The Institutional Structure of Production. </w:t>
      </w:r>
      <w:r w:rsidRPr="0061672F">
        <w:rPr>
          <w:rFonts w:ascii="Times New Roman" w:eastAsia="Times New Roman" w:hAnsi="Times New Roman" w:cs="B Mitra"/>
          <w:i/>
          <w:iCs/>
          <w:sz w:val="24"/>
          <w:szCs w:val="24"/>
        </w:rPr>
        <w:t>American Economic Review, 82(4)</w:t>
      </w:r>
      <w:r w:rsidR="00650DE3" w:rsidRPr="0061672F">
        <w:rPr>
          <w:rFonts w:ascii="Times New Roman" w:eastAsia="Times New Roman" w:hAnsi="Times New Roman" w:cs="B Mitra"/>
          <w:sz w:val="24"/>
          <w:szCs w:val="24"/>
        </w:rPr>
        <w:t>,</w:t>
      </w:r>
      <w:r w:rsidRPr="0061672F">
        <w:rPr>
          <w:rFonts w:ascii="Times New Roman" w:eastAsia="Times New Roman" w:hAnsi="Times New Roman" w:cs="B Mitra"/>
          <w:sz w:val="24"/>
          <w:szCs w:val="24"/>
        </w:rPr>
        <w:t xml:space="preserve"> 713-719.</w:t>
      </w:r>
    </w:p>
    <w:p w14:paraId="075D13EB" w14:textId="77777777" w:rsidR="008D4607" w:rsidRPr="0061672F" w:rsidRDefault="007C218C"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proofErr w:type="spellStart"/>
      <w:proofErr w:type="gramStart"/>
      <w:r w:rsidRPr="0061672F">
        <w:rPr>
          <w:rFonts w:ascii="Times New Roman" w:eastAsia="Times New Roman" w:hAnsi="Times New Roman" w:cs="B Mitra"/>
          <w:sz w:val="24"/>
          <w:szCs w:val="24"/>
        </w:rPr>
        <w:t>Coase,Ronald</w:t>
      </w:r>
      <w:proofErr w:type="spellEnd"/>
      <w:proofErr w:type="gramEnd"/>
      <w:r w:rsidRPr="0061672F">
        <w:rPr>
          <w:rFonts w:ascii="Times New Roman" w:eastAsia="Times New Roman" w:hAnsi="Times New Roman" w:cs="B Mitra"/>
          <w:sz w:val="24"/>
          <w:szCs w:val="24"/>
        </w:rPr>
        <w:t xml:space="preserve"> H,(1937). The Nature of the Firm. </w:t>
      </w:r>
      <w:proofErr w:type="spellStart"/>
      <w:r w:rsidRPr="0061672F">
        <w:rPr>
          <w:rFonts w:ascii="Times New Roman" w:eastAsia="Times New Roman" w:hAnsi="Times New Roman" w:cs="B Mitra"/>
          <w:i/>
          <w:iCs/>
          <w:sz w:val="24"/>
          <w:szCs w:val="24"/>
        </w:rPr>
        <w:t>Economica</w:t>
      </w:r>
      <w:proofErr w:type="spellEnd"/>
      <w:r w:rsidRPr="0061672F">
        <w:rPr>
          <w:rFonts w:ascii="Times New Roman" w:eastAsia="Times New Roman" w:hAnsi="Times New Roman" w:cs="B Mitra"/>
          <w:i/>
          <w:iCs/>
          <w:sz w:val="24"/>
          <w:szCs w:val="24"/>
        </w:rPr>
        <w:t>. 4</w:t>
      </w:r>
      <w:r w:rsidRPr="0061672F">
        <w:rPr>
          <w:rFonts w:ascii="Times New Roman" w:eastAsia="Times New Roman" w:hAnsi="Times New Roman" w:cs="B Mitra"/>
          <w:sz w:val="24"/>
          <w:szCs w:val="24"/>
        </w:rPr>
        <w:t xml:space="preserve">, </w:t>
      </w:r>
      <w:r w:rsidR="008D4607" w:rsidRPr="0061672F">
        <w:rPr>
          <w:rFonts w:ascii="Times New Roman" w:eastAsia="Times New Roman" w:hAnsi="Times New Roman" w:cs="B Mitra"/>
          <w:sz w:val="24"/>
          <w:szCs w:val="24"/>
        </w:rPr>
        <w:t>386-405.</w:t>
      </w:r>
    </w:p>
    <w:p w14:paraId="18D1E46F" w14:textId="77777777" w:rsidR="007C218C" w:rsidRPr="0061672F" w:rsidRDefault="007C218C" w:rsidP="0061672F">
      <w:pPr>
        <w:pStyle w:val="ListParagraph"/>
        <w:numPr>
          <w:ilvl w:val="0"/>
          <w:numId w:val="37"/>
        </w:numPr>
        <w:bidi w:val="0"/>
        <w:spacing w:after="0" w:line="240" w:lineRule="auto"/>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t>Dahlman</w:t>
      </w:r>
      <w:proofErr w:type="spellEnd"/>
      <w:r w:rsidRPr="0061672F">
        <w:rPr>
          <w:rFonts w:ascii="Times New Roman" w:eastAsia="Times New Roman" w:hAnsi="Times New Roman" w:cs="Times New Roman"/>
          <w:sz w:val="24"/>
          <w:szCs w:val="24"/>
        </w:rPr>
        <w:t xml:space="preserve">, C. J. (1979). The problem of externality. </w:t>
      </w:r>
      <w:r w:rsidRPr="0061672F">
        <w:rPr>
          <w:rFonts w:ascii="Times New Roman" w:eastAsia="Times New Roman" w:hAnsi="Times New Roman" w:cs="Times New Roman"/>
          <w:i/>
          <w:iCs/>
          <w:sz w:val="24"/>
          <w:szCs w:val="24"/>
        </w:rPr>
        <w:t>The journal of law and economics</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22</w:t>
      </w:r>
      <w:r w:rsidRPr="0061672F">
        <w:rPr>
          <w:rFonts w:ascii="Times New Roman" w:eastAsia="Times New Roman" w:hAnsi="Times New Roman" w:cs="Times New Roman"/>
          <w:sz w:val="24"/>
          <w:szCs w:val="24"/>
        </w:rPr>
        <w:t>(1), 141-162.</w:t>
      </w:r>
    </w:p>
    <w:p w14:paraId="4735236E" w14:textId="77777777" w:rsidR="007C218C" w:rsidRPr="0061672F" w:rsidRDefault="007C218C" w:rsidP="0061672F">
      <w:pPr>
        <w:pStyle w:val="ListParagraph"/>
        <w:numPr>
          <w:ilvl w:val="0"/>
          <w:numId w:val="37"/>
        </w:numPr>
        <w:bidi w:val="0"/>
        <w:spacing w:after="0" w:line="240" w:lineRule="auto"/>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t>Eggertsson</w:t>
      </w:r>
      <w:proofErr w:type="spellEnd"/>
      <w:r w:rsidRPr="0061672F">
        <w:rPr>
          <w:rFonts w:ascii="Times New Roman" w:eastAsia="Times New Roman" w:hAnsi="Times New Roman" w:cs="Times New Roman"/>
          <w:sz w:val="24"/>
          <w:szCs w:val="24"/>
        </w:rPr>
        <w:t xml:space="preserve">, T. (1990). </w:t>
      </w:r>
      <w:r w:rsidRPr="0061672F">
        <w:rPr>
          <w:rFonts w:ascii="Times New Roman" w:eastAsia="Times New Roman" w:hAnsi="Times New Roman" w:cs="Times New Roman"/>
          <w:i/>
          <w:iCs/>
          <w:sz w:val="24"/>
          <w:szCs w:val="24"/>
        </w:rPr>
        <w:t xml:space="preserve">Economic behavior and institutions: Principles of </w:t>
      </w:r>
      <w:proofErr w:type="spellStart"/>
      <w:r w:rsidRPr="0061672F">
        <w:rPr>
          <w:rFonts w:ascii="Times New Roman" w:eastAsia="Times New Roman" w:hAnsi="Times New Roman" w:cs="Times New Roman"/>
          <w:i/>
          <w:iCs/>
          <w:sz w:val="24"/>
          <w:szCs w:val="24"/>
        </w:rPr>
        <w:t>Neoinstitutional</w:t>
      </w:r>
      <w:proofErr w:type="spellEnd"/>
      <w:r w:rsidRPr="0061672F">
        <w:rPr>
          <w:rFonts w:ascii="Times New Roman" w:eastAsia="Times New Roman" w:hAnsi="Times New Roman" w:cs="Times New Roman"/>
          <w:i/>
          <w:iCs/>
          <w:sz w:val="24"/>
          <w:szCs w:val="24"/>
        </w:rPr>
        <w:t xml:space="preserve"> Economics</w:t>
      </w:r>
      <w:r w:rsidRPr="0061672F">
        <w:rPr>
          <w:rFonts w:ascii="Times New Roman" w:eastAsia="Times New Roman" w:hAnsi="Times New Roman" w:cs="Times New Roman"/>
          <w:sz w:val="24"/>
          <w:szCs w:val="24"/>
        </w:rPr>
        <w:t>. Cambridge University Press.</w:t>
      </w:r>
    </w:p>
    <w:p w14:paraId="12008F21" w14:textId="77777777" w:rsidR="00077FC0" w:rsidRPr="0061672F" w:rsidRDefault="00077FC0" w:rsidP="0061672F">
      <w:pPr>
        <w:pStyle w:val="ListParagraph"/>
        <w:numPr>
          <w:ilvl w:val="0"/>
          <w:numId w:val="37"/>
        </w:numPr>
        <w:bidi w:val="0"/>
        <w:spacing w:after="0" w:line="240" w:lineRule="auto"/>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lastRenderedPageBreak/>
        <w:t>Gabre-Madhin</w:t>
      </w:r>
      <w:proofErr w:type="spellEnd"/>
      <w:r w:rsidRPr="0061672F">
        <w:rPr>
          <w:rFonts w:ascii="Times New Roman" w:eastAsia="Times New Roman" w:hAnsi="Times New Roman" w:cs="Times New Roman"/>
          <w:sz w:val="24"/>
          <w:szCs w:val="24"/>
        </w:rPr>
        <w:t xml:space="preserve">, E. Z. (2001). </w:t>
      </w:r>
      <w:r w:rsidRPr="0061672F">
        <w:rPr>
          <w:rFonts w:ascii="Times New Roman" w:eastAsia="Times New Roman" w:hAnsi="Times New Roman" w:cs="Times New Roman"/>
          <w:i/>
          <w:iCs/>
          <w:sz w:val="24"/>
          <w:szCs w:val="24"/>
        </w:rPr>
        <w:t>Market institutions, transaction costs, and social capital in the Ethiopian grain market</w:t>
      </w:r>
      <w:r w:rsidRPr="0061672F">
        <w:rPr>
          <w:rFonts w:ascii="Times New Roman" w:eastAsia="Times New Roman" w:hAnsi="Times New Roman" w:cs="Times New Roman"/>
          <w:sz w:val="24"/>
          <w:szCs w:val="24"/>
        </w:rPr>
        <w:t xml:space="preserve"> (Vol. 124). Intl Food Policy Res Inst.</w:t>
      </w:r>
    </w:p>
    <w:p w14:paraId="4B4567B2" w14:textId="77777777" w:rsidR="00B8117A" w:rsidRPr="0061672F" w:rsidRDefault="00B8117A" w:rsidP="0061672F">
      <w:pPr>
        <w:pStyle w:val="ListParagraph"/>
        <w:numPr>
          <w:ilvl w:val="0"/>
          <w:numId w:val="37"/>
        </w:numPr>
        <w:bidi w:val="0"/>
        <w:spacing w:after="0" w:line="240" w:lineRule="auto"/>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Gorman, G. G. (2002). Lending to knowledge-based businesses in Newfoundland and Labrador.</w:t>
      </w:r>
    </w:p>
    <w:p w14:paraId="40A7FCBE" w14:textId="77777777" w:rsidR="00B8117A" w:rsidRPr="0061672F" w:rsidRDefault="00B8117A" w:rsidP="0061672F">
      <w:pPr>
        <w:pStyle w:val="ListParagraph"/>
        <w:numPr>
          <w:ilvl w:val="0"/>
          <w:numId w:val="37"/>
        </w:numPr>
        <w:bidi w:val="0"/>
        <w:spacing w:after="0" w:line="240" w:lineRule="auto"/>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 xml:space="preserve">Harder, E. F. H. (2017). </w:t>
      </w:r>
      <w:r w:rsidRPr="0061672F">
        <w:rPr>
          <w:rFonts w:ascii="Times New Roman" w:eastAsia="Times New Roman" w:hAnsi="Times New Roman" w:cs="Times New Roman"/>
          <w:i/>
          <w:iCs/>
          <w:sz w:val="24"/>
          <w:szCs w:val="24"/>
        </w:rPr>
        <w:t>The future of contracts in a digital economy: The impact of smart contracts on transaction costs in financial markets</w:t>
      </w:r>
      <w:r w:rsidRPr="0061672F">
        <w:rPr>
          <w:rFonts w:ascii="Times New Roman" w:eastAsia="Times New Roman" w:hAnsi="Times New Roman" w:cs="Times New Roman"/>
          <w:sz w:val="24"/>
          <w:szCs w:val="24"/>
        </w:rPr>
        <w:t xml:space="preserve"> (Master's thesis, University of Twente).</w:t>
      </w:r>
    </w:p>
    <w:p w14:paraId="0797E024" w14:textId="77777777" w:rsidR="00B8117A" w:rsidRPr="0061672F" w:rsidRDefault="00B8117A" w:rsidP="0061672F">
      <w:pPr>
        <w:pStyle w:val="ListParagraph"/>
        <w:numPr>
          <w:ilvl w:val="0"/>
          <w:numId w:val="37"/>
        </w:numPr>
        <w:bidi w:val="0"/>
        <w:spacing w:after="0" w:line="240" w:lineRule="auto"/>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 xml:space="preserve">Hosseini, S., </w:t>
      </w:r>
      <w:proofErr w:type="spellStart"/>
      <w:r w:rsidRPr="0061672F">
        <w:rPr>
          <w:rFonts w:ascii="Times New Roman" w:eastAsia="Times New Roman" w:hAnsi="Times New Roman" w:cs="Times New Roman"/>
          <w:sz w:val="24"/>
          <w:szCs w:val="24"/>
        </w:rPr>
        <w:t>Khaledi</w:t>
      </w:r>
      <w:proofErr w:type="spellEnd"/>
      <w:r w:rsidRPr="0061672F">
        <w:rPr>
          <w:rFonts w:ascii="Times New Roman" w:eastAsia="Times New Roman" w:hAnsi="Times New Roman" w:cs="Times New Roman"/>
          <w:sz w:val="24"/>
          <w:szCs w:val="24"/>
        </w:rPr>
        <w:t xml:space="preserve">, M., </w:t>
      </w:r>
      <w:proofErr w:type="spellStart"/>
      <w:r w:rsidRPr="0061672F">
        <w:rPr>
          <w:rFonts w:ascii="Times New Roman" w:eastAsia="Times New Roman" w:hAnsi="Times New Roman" w:cs="Times New Roman"/>
          <w:sz w:val="24"/>
          <w:szCs w:val="24"/>
        </w:rPr>
        <w:t>Ghorbani</w:t>
      </w:r>
      <w:proofErr w:type="spellEnd"/>
      <w:r w:rsidRPr="0061672F">
        <w:rPr>
          <w:rFonts w:ascii="Times New Roman" w:eastAsia="Times New Roman" w:hAnsi="Times New Roman" w:cs="Times New Roman"/>
          <w:sz w:val="24"/>
          <w:szCs w:val="24"/>
        </w:rPr>
        <w:t xml:space="preserve">, M., &amp; Brewin, D. G. (2012). An analysis of transaction costs of obtaining credits in rural Iran. </w:t>
      </w:r>
      <w:r w:rsidR="004E74D5" w:rsidRPr="0061672F">
        <w:rPr>
          <w:rFonts w:ascii="Times New Roman" w:eastAsia="Times New Roman" w:hAnsi="Times New Roman" w:cs="Times New Roman"/>
          <w:i/>
          <w:iCs/>
          <w:sz w:val="24"/>
          <w:szCs w:val="24"/>
        </w:rPr>
        <w:t xml:space="preserve">Journal of Agricultural Science and Technology (JAST). 14(2), </w:t>
      </w:r>
      <w:r w:rsidR="004E74D5" w:rsidRPr="0061672F">
        <w:rPr>
          <w:rFonts w:ascii="Times New Roman" w:eastAsia="Times New Roman" w:hAnsi="Times New Roman" w:cs="Times New Roman"/>
          <w:sz w:val="24"/>
          <w:szCs w:val="24"/>
        </w:rPr>
        <w:t>243-256.</w:t>
      </w:r>
    </w:p>
    <w:p w14:paraId="687E73C2" w14:textId="77777777" w:rsidR="004E74D5" w:rsidRPr="0061672F" w:rsidRDefault="004E74D5" w:rsidP="0061672F">
      <w:pPr>
        <w:pStyle w:val="ListParagraph"/>
        <w:numPr>
          <w:ilvl w:val="0"/>
          <w:numId w:val="37"/>
        </w:numPr>
        <w:bidi w:val="0"/>
        <w:spacing w:after="0" w:line="240" w:lineRule="auto"/>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t>Kakuru</w:t>
      </w:r>
      <w:proofErr w:type="spellEnd"/>
      <w:r w:rsidRPr="0061672F">
        <w:rPr>
          <w:rFonts w:ascii="Times New Roman" w:eastAsia="Times New Roman" w:hAnsi="Times New Roman" w:cs="Times New Roman"/>
          <w:sz w:val="24"/>
          <w:szCs w:val="24"/>
        </w:rPr>
        <w:t>, J. (2008). The supply-demand factors interface and credit flow to small and micro enterprises (SMEs) in Uganda.</w:t>
      </w:r>
    </w:p>
    <w:p w14:paraId="6FE903AD" w14:textId="77777777" w:rsidR="00A23298" w:rsidRDefault="00A23298"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A23298">
        <w:rPr>
          <w:rFonts w:ascii="Times New Roman" w:eastAsia="Times New Roman" w:hAnsi="Times New Roman" w:cs="B Mitra"/>
          <w:sz w:val="24"/>
          <w:szCs w:val="24"/>
        </w:rPr>
        <w:t xml:space="preserve">Reynolds, P. D. (1992). Sociology and entrepreneurship: Concepts and contributions. Entrepreneurship theory and practice, 16(2), 47-70. </w:t>
      </w:r>
    </w:p>
    <w:p w14:paraId="6679915D" w14:textId="0B023CF4" w:rsidR="008D4607" w:rsidRPr="0061672F" w:rsidRDefault="008D4607" w:rsidP="00A23298">
      <w:pPr>
        <w:pStyle w:val="ListParagraph"/>
        <w:numPr>
          <w:ilvl w:val="0"/>
          <w:numId w:val="37"/>
        </w:numPr>
        <w:bidi w:val="0"/>
        <w:spacing w:after="0" w:line="240" w:lineRule="auto"/>
        <w:jc w:val="both"/>
        <w:rPr>
          <w:rFonts w:ascii="Times New Roman" w:eastAsia="Times New Roman" w:hAnsi="Times New Roman" w:cs="B Mitra"/>
          <w:sz w:val="24"/>
          <w:szCs w:val="24"/>
        </w:rPr>
      </w:pPr>
      <w:proofErr w:type="spellStart"/>
      <w:r w:rsidRPr="0061672F">
        <w:rPr>
          <w:rFonts w:ascii="Times New Roman" w:eastAsia="Times New Roman" w:hAnsi="Times New Roman" w:cs="B Mitra"/>
          <w:sz w:val="24"/>
          <w:szCs w:val="24"/>
        </w:rPr>
        <w:t>Libecap</w:t>
      </w:r>
      <w:proofErr w:type="spellEnd"/>
      <w:r w:rsidRPr="0061672F">
        <w:rPr>
          <w:rFonts w:ascii="Times New Roman" w:eastAsia="Times New Roman" w:hAnsi="Times New Roman" w:cs="B Mitra"/>
          <w:sz w:val="24"/>
          <w:szCs w:val="24"/>
        </w:rPr>
        <w:t xml:space="preserve">, G. D. (2018). </w:t>
      </w:r>
      <w:r w:rsidRPr="0061672F">
        <w:rPr>
          <w:rFonts w:ascii="Times New Roman" w:eastAsia="Times New Roman" w:hAnsi="Times New Roman" w:cs="B Mitra"/>
          <w:i/>
          <w:iCs/>
          <w:sz w:val="24"/>
          <w:szCs w:val="24"/>
        </w:rPr>
        <w:t>Douglass C. North: transaction costs, property rights, and economic outcomes</w:t>
      </w:r>
      <w:r w:rsidRPr="0061672F">
        <w:rPr>
          <w:rFonts w:ascii="Times New Roman" w:eastAsia="Times New Roman" w:hAnsi="Times New Roman" w:cs="B Mitra"/>
          <w:sz w:val="24"/>
          <w:szCs w:val="24"/>
        </w:rPr>
        <w:t xml:space="preserve"> (No. w24585). National Bureau of Economic Research.</w:t>
      </w:r>
    </w:p>
    <w:p w14:paraId="60CA7965"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 xml:space="preserve">Liu, B., Cullinan, C., Zhang, J., &amp; Wang, F. (2016). Loan guarantees and the cost of debt: evidence from China. </w:t>
      </w:r>
      <w:r w:rsidRPr="0061672F">
        <w:rPr>
          <w:rFonts w:ascii="Times New Roman" w:eastAsia="Times New Roman" w:hAnsi="Times New Roman" w:cs="B Mitra"/>
          <w:i/>
          <w:iCs/>
          <w:sz w:val="24"/>
          <w:szCs w:val="24"/>
        </w:rPr>
        <w:t>Applied Economics, 48(38),</w:t>
      </w:r>
      <w:r w:rsidRPr="0061672F">
        <w:rPr>
          <w:rFonts w:ascii="Times New Roman" w:eastAsia="Times New Roman" w:hAnsi="Times New Roman" w:cs="B Mitra"/>
          <w:sz w:val="24"/>
          <w:szCs w:val="24"/>
        </w:rPr>
        <w:t xml:space="preserve"> 3626-3643.</w:t>
      </w:r>
    </w:p>
    <w:p w14:paraId="5FED1E74"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t>Nguvava</w:t>
      </w:r>
      <w:proofErr w:type="spellEnd"/>
      <w:r w:rsidRPr="0061672F">
        <w:rPr>
          <w:rFonts w:ascii="Times New Roman" w:eastAsia="Times New Roman" w:hAnsi="Times New Roman" w:cs="Times New Roman"/>
          <w:sz w:val="24"/>
          <w:szCs w:val="24"/>
        </w:rPr>
        <w:t xml:space="preserve">, H., &amp; </w:t>
      </w:r>
      <w:proofErr w:type="spellStart"/>
      <w:r w:rsidRPr="0061672F">
        <w:rPr>
          <w:rFonts w:ascii="Times New Roman" w:eastAsia="Times New Roman" w:hAnsi="Times New Roman" w:cs="Times New Roman"/>
          <w:sz w:val="24"/>
          <w:szCs w:val="24"/>
        </w:rPr>
        <w:t>Ngaruko</w:t>
      </w:r>
      <w:proofErr w:type="spellEnd"/>
      <w:r w:rsidRPr="0061672F">
        <w:rPr>
          <w:rFonts w:ascii="Times New Roman" w:eastAsia="Times New Roman" w:hAnsi="Times New Roman" w:cs="Times New Roman"/>
          <w:sz w:val="24"/>
          <w:szCs w:val="24"/>
        </w:rPr>
        <w:t xml:space="preserve">, D. (2016). Transaction cost determinants of credit governance structures of commercial banks in Tanzania. </w:t>
      </w:r>
      <w:r w:rsidRPr="0061672F">
        <w:rPr>
          <w:rFonts w:ascii="Times New Roman" w:eastAsia="Times New Roman" w:hAnsi="Times New Roman" w:cs="Times New Roman"/>
          <w:i/>
          <w:iCs/>
          <w:sz w:val="24"/>
          <w:szCs w:val="24"/>
        </w:rPr>
        <w:t>African Journal of Economic Review</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4</w:t>
      </w:r>
      <w:r w:rsidRPr="0061672F">
        <w:rPr>
          <w:rFonts w:ascii="Times New Roman" w:eastAsia="Times New Roman" w:hAnsi="Times New Roman" w:cs="Times New Roman"/>
          <w:sz w:val="24"/>
          <w:szCs w:val="24"/>
        </w:rPr>
        <w:t>(2), 222-247.</w:t>
      </w:r>
    </w:p>
    <w:p w14:paraId="26B6243B"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t>Nissanke</w:t>
      </w:r>
      <w:proofErr w:type="spellEnd"/>
      <w:r w:rsidRPr="0061672F">
        <w:rPr>
          <w:rFonts w:ascii="Times New Roman" w:eastAsia="Times New Roman" w:hAnsi="Times New Roman" w:cs="Times New Roman"/>
          <w:sz w:val="24"/>
          <w:szCs w:val="24"/>
        </w:rPr>
        <w:t xml:space="preserve">, M., &amp; </w:t>
      </w:r>
      <w:proofErr w:type="spellStart"/>
      <w:r w:rsidRPr="0061672F">
        <w:rPr>
          <w:rFonts w:ascii="Times New Roman" w:eastAsia="Times New Roman" w:hAnsi="Times New Roman" w:cs="Times New Roman"/>
          <w:sz w:val="24"/>
          <w:szCs w:val="24"/>
        </w:rPr>
        <w:t>Aryeetey</w:t>
      </w:r>
      <w:proofErr w:type="spellEnd"/>
      <w:r w:rsidRPr="0061672F">
        <w:rPr>
          <w:rFonts w:ascii="Times New Roman" w:eastAsia="Times New Roman" w:hAnsi="Times New Roman" w:cs="Times New Roman"/>
          <w:sz w:val="24"/>
          <w:szCs w:val="24"/>
        </w:rPr>
        <w:t xml:space="preserve">, E. (2008). Institutional analysis of financial market fragmentation in sub-Saharan Africa: a risk-cost configuration approach. In </w:t>
      </w:r>
      <w:r w:rsidRPr="0061672F">
        <w:rPr>
          <w:rFonts w:ascii="Times New Roman" w:eastAsia="Times New Roman" w:hAnsi="Times New Roman" w:cs="Times New Roman"/>
          <w:i/>
          <w:iCs/>
          <w:sz w:val="24"/>
          <w:szCs w:val="24"/>
        </w:rPr>
        <w:t>Domestic Resource Mobilization and Financial Development</w:t>
      </w:r>
      <w:r w:rsidRPr="0061672F">
        <w:rPr>
          <w:rFonts w:ascii="Times New Roman" w:eastAsia="Times New Roman" w:hAnsi="Times New Roman" w:cs="Times New Roman"/>
          <w:sz w:val="24"/>
          <w:szCs w:val="24"/>
        </w:rPr>
        <w:t xml:space="preserve"> (pp. 112-145). Palgrave Macmillan, London.</w:t>
      </w:r>
    </w:p>
    <w:p w14:paraId="3498A7FA"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 xml:space="preserve">Rojas, M. and L. A. Rojas (1997) Transaction Costs in Mexico’s Preferential Credit. </w:t>
      </w:r>
      <w:r w:rsidRPr="0061672F">
        <w:rPr>
          <w:rFonts w:ascii="Times New Roman" w:eastAsia="Times New Roman" w:hAnsi="Times New Roman" w:cs="B Mitra"/>
          <w:i/>
          <w:iCs/>
          <w:sz w:val="24"/>
          <w:szCs w:val="24"/>
        </w:rPr>
        <w:t>Development Policy Review, 15(1):</w:t>
      </w:r>
      <w:r w:rsidRPr="0061672F">
        <w:rPr>
          <w:rFonts w:ascii="Times New Roman" w:eastAsia="Times New Roman" w:hAnsi="Times New Roman" w:cs="B Mitra"/>
          <w:sz w:val="24"/>
          <w:szCs w:val="24"/>
        </w:rPr>
        <w:t xml:space="preserve"> 23-46.</w:t>
      </w:r>
    </w:p>
    <w:p w14:paraId="5F70F2AB"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Times New Roman"/>
          <w:sz w:val="24"/>
          <w:szCs w:val="24"/>
        </w:rPr>
      </w:pPr>
      <w:proofErr w:type="spellStart"/>
      <w:r w:rsidRPr="0061672F">
        <w:rPr>
          <w:rFonts w:ascii="Times New Roman" w:eastAsia="Times New Roman" w:hAnsi="Times New Roman" w:cs="Times New Roman"/>
          <w:sz w:val="24"/>
          <w:szCs w:val="24"/>
        </w:rPr>
        <w:t>Rweyemamu</w:t>
      </w:r>
      <w:proofErr w:type="spellEnd"/>
      <w:r w:rsidRPr="0061672F">
        <w:rPr>
          <w:rFonts w:ascii="Times New Roman" w:eastAsia="Times New Roman" w:hAnsi="Times New Roman" w:cs="Times New Roman"/>
          <w:sz w:val="24"/>
          <w:szCs w:val="24"/>
        </w:rPr>
        <w:t xml:space="preserve">, D. C., </w:t>
      </w:r>
      <w:proofErr w:type="spellStart"/>
      <w:r w:rsidRPr="0061672F">
        <w:rPr>
          <w:rFonts w:ascii="Times New Roman" w:eastAsia="Times New Roman" w:hAnsi="Times New Roman" w:cs="Times New Roman"/>
          <w:sz w:val="24"/>
          <w:szCs w:val="24"/>
        </w:rPr>
        <w:t>Kimaro</w:t>
      </w:r>
      <w:proofErr w:type="spellEnd"/>
      <w:r w:rsidRPr="0061672F">
        <w:rPr>
          <w:rFonts w:ascii="Times New Roman" w:eastAsia="Times New Roman" w:hAnsi="Times New Roman" w:cs="Times New Roman"/>
          <w:sz w:val="24"/>
          <w:szCs w:val="24"/>
        </w:rPr>
        <w:t xml:space="preserve">, M. P., &amp; </w:t>
      </w:r>
      <w:proofErr w:type="spellStart"/>
      <w:r w:rsidRPr="0061672F">
        <w:rPr>
          <w:rFonts w:ascii="Times New Roman" w:eastAsia="Times New Roman" w:hAnsi="Times New Roman" w:cs="Times New Roman"/>
          <w:sz w:val="24"/>
          <w:szCs w:val="24"/>
        </w:rPr>
        <w:t>Urassa</w:t>
      </w:r>
      <w:proofErr w:type="spellEnd"/>
      <w:r w:rsidRPr="0061672F">
        <w:rPr>
          <w:rFonts w:ascii="Times New Roman" w:eastAsia="Times New Roman" w:hAnsi="Times New Roman" w:cs="Times New Roman"/>
          <w:sz w:val="24"/>
          <w:szCs w:val="24"/>
        </w:rPr>
        <w:t xml:space="preserve">, O. M. (2003). Assessing micro-finance services in agricultural sector development: A case study of semi-formal financial institutions in Tanzania. </w:t>
      </w:r>
      <w:r w:rsidRPr="0061672F">
        <w:rPr>
          <w:rFonts w:ascii="Times New Roman" w:eastAsia="Times New Roman" w:hAnsi="Times New Roman" w:cs="Times New Roman"/>
          <w:i/>
          <w:iCs/>
          <w:sz w:val="24"/>
          <w:szCs w:val="24"/>
        </w:rPr>
        <w:t>Economic and Social Research Foundation</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4</w:t>
      </w:r>
      <w:r w:rsidRPr="0061672F">
        <w:rPr>
          <w:rFonts w:ascii="Times New Roman" w:eastAsia="Times New Roman" w:hAnsi="Times New Roman" w:cs="Times New Roman"/>
          <w:sz w:val="24"/>
          <w:szCs w:val="24"/>
        </w:rPr>
        <w:t>(2), 1-46.</w:t>
      </w:r>
    </w:p>
    <w:p w14:paraId="0B1A6397"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 xml:space="preserve">Saito, K. </w:t>
      </w:r>
      <w:r w:rsidR="00CD0EED" w:rsidRPr="0061672F">
        <w:rPr>
          <w:rFonts w:ascii="Times New Roman" w:eastAsia="Times New Roman" w:hAnsi="Times New Roman" w:cs="B Mitra"/>
          <w:sz w:val="24"/>
          <w:szCs w:val="24"/>
        </w:rPr>
        <w:t>&amp;</w:t>
      </w:r>
      <w:r w:rsidRPr="0061672F">
        <w:rPr>
          <w:rFonts w:ascii="Times New Roman" w:eastAsia="Times New Roman" w:hAnsi="Times New Roman" w:cs="B Mitra"/>
          <w:sz w:val="24"/>
          <w:szCs w:val="24"/>
        </w:rPr>
        <w:t xml:space="preserve"> D. Villanueva (1981) Transaction Costs of Credit to Small-Scale Sector in the Philippines. </w:t>
      </w:r>
      <w:r w:rsidRPr="0061672F">
        <w:rPr>
          <w:rFonts w:ascii="Times New Roman" w:eastAsia="Times New Roman" w:hAnsi="Times New Roman" w:cs="B Mitra"/>
          <w:i/>
          <w:iCs/>
          <w:sz w:val="24"/>
          <w:szCs w:val="24"/>
        </w:rPr>
        <w:t>Economic Develop</w:t>
      </w:r>
      <w:r w:rsidR="00CD0EED" w:rsidRPr="0061672F">
        <w:rPr>
          <w:rFonts w:ascii="Times New Roman" w:eastAsia="Times New Roman" w:hAnsi="Times New Roman" w:cs="B Mitra"/>
          <w:i/>
          <w:iCs/>
          <w:sz w:val="24"/>
          <w:szCs w:val="24"/>
        </w:rPr>
        <w:t>ment and Cultural Change, 29(3),</w:t>
      </w:r>
      <w:r w:rsidRPr="0061672F">
        <w:rPr>
          <w:rFonts w:ascii="Times New Roman" w:eastAsia="Times New Roman" w:hAnsi="Times New Roman" w:cs="B Mitra"/>
          <w:sz w:val="24"/>
          <w:szCs w:val="24"/>
        </w:rPr>
        <w:t xml:space="preserve"> 631-640.</w:t>
      </w:r>
    </w:p>
    <w:p w14:paraId="0E6B46B0"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Times New Roman"/>
          <w:sz w:val="24"/>
          <w:szCs w:val="24"/>
        </w:rPr>
      </w:pPr>
      <w:r w:rsidRPr="0061672F">
        <w:rPr>
          <w:rFonts w:ascii="Times New Roman" w:eastAsia="Times New Roman" w:hAnsi="Times New Roman" w:cs="Times New Roman"/>
          <w:sz w:val="24"/>
          <w:szCs w:val="24"/>
        </w:rPr>
        <w:t xml:space="preserve">Suri, T., &amp; Jack, W. (2016). The long-run poverty and gender impacts of mobile money. </w:t>
      </w:r>
      <w:r w:rsidRPr="0061672F">
        <w:rPr>
          <w:rFonts w:ascii="Times New Roman" w:eastAsia="Times New Roman" w:hAnsi="Times New Roman" w:cs="Times New Roman"/>
          <w:i/>
          <w:iCs/>
          <w:sz w:val="24"/>
          <w:szCs w:val="24"/>
        </w:rPr>
        <w:t>Science</w:t>
      </w:r>
      <w:r w:rsidRPr="0061672F">
        <w:rPr>
          <w:rFonts w:ascii="Times New Roman" w:eastAsia="Times New Roman" w:hAnsi="Times New Roman" w:cs="Times New Roman"/>
          <w:sz w:val="24"/>
          <w:szCs w:val="24"/>
        </w:rPr>
        <w:t xml:space="preserve">, </w:t>
      </w:r>
      <w:r w:rsidRPr="0061672F">
        <w:rPr>
          <w:rFonts w:ascii="Times New Roman" w:eastAsia="Times New Roman" w:hAnsi="Times New Roman" w:cs="Times New Roman"/>
          <w:i/>
          <w:iCs/>
          <w:sz w:val="24"/>
          <w:szCs w:val="24"/>
        </w:rPr>
        <w:t>354</w:t>
      </w:r>
      <w:r w:rsidRPr="0061672F">
        <w:rPr>
          <w:rFonts w:ascii="Times New Roman" w:eastAsia="Times New Roman" w:hAnsi="Times New Roman" w:cs="Times New Roman"/>
          <w:sz w:val="24"/>
          <w:szCs w:val="24"/>
        </w:rPr>
        <w:t>(6317), 1288-1292.</w:t>
      </w:r>
    </w:p>
    <w:p w14:paraId="070DCE65" w14:textId="77777777" w:rsidR="005719BD" w:rsidRPr="0061672F" w:rsidRDefault="005719BD"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Williamson, O. E. (1985a). The economic institutions of capitalism. New York: Free Press.</w:t>
      </w:r>
    </w:p>
    <w:p w14:paraId="37B3AFB1"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Williamson, O. E. (1985b) Assessing Contract. Journal of Law, Economics, &amp; Organization, 1(1): 177-208.</w:t>
      </w:r>
    </w:p>
    <w:p w14:paraId="0367D938"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 xml:space="preserve">Williamson, O. E. (1991) Economic Institutions: Spontaneous and Intentional Governance. </w:t>
      </w:r>
      <w:r w:rsidRPr="0061672F">
        <w:rPr>
          <w:rFonts w:ascii="Times New Roman" w:eastAsia="Times New Roman" w:hAnsi="Times New Roman" w:cs="B Mitra"/>
          <w:i/>
          <w:iCs/>
          <w:sz w:val="24"/>
          <w:szCs w:val="24"/>
        </w:rPr>
        <w:t>Journal of Law, Economics, &amp; Organization, 7(Special Issue</w:t>
      </w:r>
      <w:r w:rsidRPr="0061672F">
        <w:rPr>
          <w:rFonts w:ascii="Times New Roman" w:eastAsia="Times New Roman" w:hAnsi="Times New Roman" w:cs="B Mitra"/>
          <w:sz w:val="24"/>
          <w:szCs w:val="24"/>
        </w:rPr>
        <w:t>): 159-187.</w:t>
      </w:r>
    </w:p>
    <w:p w14:paraId="4204EA7F" w14:textId="77777777"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 xml:space="preserve">Williamson, O. E. (1996). Transaction cost economics and the Carnegie connection. </w:t>
      </w:r>
      <w:r w:rsidRPr="0061672F">
        <w:rPr>
          <w:rFonts w:ascii="Times New Roman" w:eastAsia="Times New Roman" w:hAnsi="Times New Roman" w:cs="B Mitra"/>
          <w:i/>
          <w:iCs/>
          <w:sz w:val="24"/>
          <w:szCs w:val="24"/>
        </w:rPr>
        <w:t>Journal of Economic Behavior &amp; Organization, 31(2</w:t>
      </w:r>
      <w:r w:rsidRPr="0061672F">
        <w:rPr>
          <w:rFonts w:ascii="Times New Roman" w:eastAsia="Times New Roman" w:hAnsi="Times New Roman" w:cs="B Mitra"/>
          <w:sz w:val="24"/>
          <w:szCs w:val="24"/>
        </w:rPr>
        <w:t>), 149-155.</w:t>
      </w:r>
    </w:p>
    <w:p w14:paraId="51A4E9F8" w14:textId="4CDFCBDA" w:rsidR="008D4607" w:rsidRPr="0061672F" w:rsidRDefault="008D4607"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proofErr w:type="spellStart"/>
      <w:r w:rsidRPr="0061672F">
        <w:rPr>
          <w:rFonts w:ascii="Times New Roman" w:eastAsia="Times New Roman" w:hAnsi="Times New Roman" w:cs="B Mitra"/>
          <w:sz w:val="24"/>
          <w:szCs w:val="24"/>
        </w:rPr>
        <w:t>Yedra</w:t>
      </w:r>
      <w:proofErr w:type="spellEnd"/>
      <w:r w:rsidRPr="0061672F">
        <w:rPr>
          <w:rFonts w:ascii="Times New Roman" w:eastAsia="Times New Roman" w:hAnsi="Times New Roman" w:cs="B Mitra"/>
          <w:sz w:val="24"/>
          <w:szCs w:val="24"/>
        </w:rPr>
        <w:t>, R. (1996) The Rural Credit System in the Philippines: Current Situation and Policy Measures. In: APO, Transaction Costs of Farm Credit in Asia. Report of an APO Seminar held 30th November-10th December, 1993, Tokyo, Japan. Tokyo: Asian Productivity Organization, 1996.</w:t>
      </w:r>
    </w:p>
    <w:p w14:paraId="409C4DED" w14:textId="71D204A8" w:rsidR="00242A71" w:rsidRPr="0061672F" w:rsidRDefault="00242A71"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 xml:space="preserve">Hosseini, S. F., Mafi, H., &amp; </w:t>
      </w:r>
      <w:proofErr w:type="spellStart"/>
      <w:r w:rsidRPr="0061672F">
        <w:rPr>
          <w:rFonts w:ascii="Times New Roman" w:eastAsia="Times New Roman" w:hAnsi="Times New Roman" w:cs="B Mitra"/>
          <w:sz w:val="24"/>
          <w:szCs w:val="24"/>
        </w:rPr>
        <w:t>Shakeri</w:t>
      </w:r>
      <w:proofErr w:type="spellEnd"/>
      <w:r w:rsidRPr="0061672F">
        <w:rPr>
          <w:rFonts w:ascii="Times New Roman" w:eastAsia="Times New Roman" w:hAnsi="Times New Roman" w:cs="B Mitra"/>
          <w:sz w:val="24"/>
          <w:szCs w:val="24"/>
        </w:rPr>
        <w:t xml:space="preserve"> </w:t>
      </w:r>
      <w:proofErr w:type="spellStart"/>
      <w:r w:rsidRPr="0061672F">
        <w:rPr>
          <w:rFonts w:ascii="Times New Roman" w:eastAsia="Times New Roman" w:hAnsi="Times New Roman" w:cs="B Mitra"/>
          <w:sz w:val="24"/>
          <w:szCs w:val="24"/>
        </w:rPr>
        <w:t>Bostanabad</w:t>
      </w:r>
      <w:proofErr w:type="spellEnd"/>
      <w:r w:rsidRPr="0061672F">
        <w:rPr>
          <w:rFonts w:ascii="Times New Roman" w:eastAsia="Times New Roman" w:hAnsi="Times New Roman" w:cs="B Mitra"/>
          <w:sz w:val="24"/>
          <w:szCs w:val="24"/>
        </w:rPr>
        <w:t>, R. (2023). Transaction Cost of Financing Knowledge-Based Companies in Iran. Iranian Journal of Finance, 7(3), 48-72.</w:t>
      </w:r>
    </w:p>
    <w:p w14:paraId="21099C24" w14:textId="0EA2991A" w:rsidR="00791AF2" w:rsidRPr="0061672F" w:rsidRDefault="00791AF2"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proofErr w:type="spellStart"/>
      <w:r w:rsidRPr="0061672F">
        <w:rPr>
          <w:rFonts w:ascii="Times New Roman" w:eastAsia="Times New Roman" w:hAnsi="Times New Roman" w:cs="B Mitra"/>
          <w:sz w:val="24"/>
          <w:szCs w:val="24"/>
        </w:rPr>
        <w:lastRenderedPageBreak/>
        <w:t>Faedfar</w:t>
      </w:r>
      <w:proofErr w:type="spellEnd"/>
      <w:r w:rsidRPr="0061672F">
        <w:rPr>
          <w:rFonts w:ascii="Times New Roman" w:eastAsia="Times New Roman" w:hAnsi="Times New Roman" w:cs="B Mitra"/>
          <w:sz w:val="24"/>
          <w:szCs w:val="24"/>
        </w:rPr>
        <w:t xml:space="preserve">, S., </w:t>
      </w:r>
      <w:proofErr w:type="spellStart"/>
      <w:r w:rsidRPr="0061672F">
        <w:rPr>
          <w:rFonts w:ascii="Times New Roman" w:eastAsia="Times New Roman" w:hAnsi="Times New Roman" w:cs="B Mitra"/>
          <w:sz w:val="24"/>
          <w:szCs w:val="24"/>
        </w:rPr>
        <w:t>Özyeşil</w:t>
      </w:r>
      <w:proofErr w:type="spellEnd"/>
      <w:r w:rsidRPr="0061672F">
        <w:rPr>
          <w:rFonts w:ascii="Times New Roman" w:eastAsia="Times New Roman" w:hAnsi="Times New Roman" w:cs="B Mitra"/>
          <w:sz w:val="24"/>
          <w:szCs w:val="24"/>
        </w:rPr>
        <w:t xml:space="preserve">, M., </w:t>
      </w:r>
      <w:proofErr w:type="spellStart"/>
      <w:r w:rsidRPr="0061672F">
        <w:rPr>
          <w:rFonts w:ascii="Times New Roman" w:eastAsia="Times New Roman" w:hAnsi="Times New Roman" w:cs="B Mitra"/>
          <w:sz w:val="24"/>
          <w:szCs w:val="24"/>
        </w:rPr>
        <w:t>Çıkrıkçı</w:t>
      </w:r>
      <w:proofErr w:type="spellEnd"/>
      <w:r w:rsidRPr="0061672F">
        <w:rPr>
          <w:rFonts w:ascii="Times New Roman" w:eastAsia="Times New Roman" w:hAnsi="Times New Roman" w:cs="B Mitra"/>
          <w:sz w:val="24"/>
          <w:szCs w:val="24"/>
        </w:rPr>
        <w:t xml:space="preserve">, M., &amp; </w:t>
      </w:r>
      <w:proofErr w:type="spellStart"/>
      <w:r w:rsidRPr="0061672F">
        <w:rPr>
          <w:rFonts w:ascii="Times New Roman" w:eastAsia="Times New Roman" w:hAnsi="Times New Roman" w:cs="B Mitra"/>
          <w:sz w:val="24"/>
          <w:szCs w:val="24"/>
        </w:rPr>
        <w:t>Benhür</w:t>
      </w:r>
      <w:proofErr w:type="spellEnd"/>
      <w:r w:rsidRPr="0061672F">
        <w:rPr>
          <w:rFonts w:ascii="Times New Roman" w:eastAsia="Times New Roman" w:hAnsi="Times New Roman" w:cs="B Mitra"/>
          <w:sz w:val="24"/>
          <w:szCs w:val="24"/>
        </w:rPr>
        <w:t xml:space="preserve"> </w:t>
      </w:r>
      <w:proofErr w:type="spellStart"/>
      <w:r w:rsidRPr="0061672F">
        <w:rPr>
          <w:rFonts w:ascii="Times New Roman" w:eastAsia="Times New Roman" w:hAnsi="Times New Roman" w:cs="B Mitra"/>
          <w:sz w:val="24"/>
          <w:szCs w:val="24"/>
        </w:rPr>
        <w:t>Aktürk</w:t>
      </w:r>
      <w:proofErr w:type="spellEnd"/>
      <w:r w:rsidRPr="0061672F">
        <w:rPr>
          <w:rFonts w:ascii="Times New Roman" w:eastAsia="Times New Roman" w:hAnsi="Times New Roman" w:cs="B Mitra"/>
          <w:sz w:val="24"/>
          <w:szCs w:val="24"/>
        </w:rPr>
        <w:t>, E. (2022). Effective Risk Management and sustainable corporate performance integrating innovation and Intellectual Capital: An application on Istanbul Exchange Market. Sustainability, 14(18), 11532.</w:t>
      </w:r>
    </w:p>
    <w:p w14:paraId="0ED84288" w14:textId="4F3D4275" w:rsidR="00791AF2" w:rsidRPr="0061672F" w:rsidRDefault="00E979EB" w:rsidP="0061672F">
      <w:pPr>
        <w:pStyle w:val="ListParagraph"/>
        <w:numPr>
          <w:ilvl w:val="0"/>
          <w:numId w:val="37"/>
        </w:numPr>
        <w:bidi w:val="0"/>
        <w:spacing w:after="0" w:line="240" w:lineRule="auto"/>
        <w:jc w:val="both"/>
        <w:rPr>
          <w:rFonts w:ascii="Times New Roman" w:eastAsia="Times New Roman" w:hAnsi="Times New Roman" w:cs="B Mitra"/>
          <w:sz w:val="24"/>
          <w:szCs w:val="24"/>
        </w:rPr>
      </w:pPr>
      <w:r w:rsidRPr="0061672F">
        <w:rPr>
          <w:rFonts w:ascii="Times New Roman" w:eastAsia="Times New Roman" w:hAnsi="Times New Roman" w:cs="B Mitra"/>
          <w:sz w:val="24"/>
          <w:szCs w:val="24"/>
        </w:rPr>
        <w:t>Culp, C. L. (2001). The risk management process: Business strategy and tactics. John Wiley &amp; Sons.</w:t>
      </w:r>
    </w:p>
    <w:p w14:paraId="3EB0B526" w14:textId="49396687" w:rsidR="005A6412" w:rsidRPr="0061672F" w:rsidRDefault="00A02978" w:rsidP="0061672F">
      <w:pPr>
        <w:pStyle w:val="ListParagraph"/>
        <w:numPr>
          <w:ilvl w:val="0"/>
          <w:numId w:val="37"/>
        </w:numPr>
        <w:bidi w:val="0"/>
        <w:spacing w:after="0" w:line="240" w:lineRule="auto"/>
        <w:rPr>
          <w:rFonts w:ascii="Times New Roman" w:eastAsia="Times New Roman" w:hAnsi="Times New Roman" w:cs="B Mitra"/>
          <w:sz w:val="24"/>
          <w:szCs w:val="24"/>
        </w:rPr>
      </w:pPr>
      <w:proofErr w:type="spellStart"/>
      <w:r w:rsidRPr="0061672F">
        <w:rPr>
          <w:rFonts w:ascii="Times New Roman" w:eastAsia="Times New Roman" w:hAnsi="Times New Roman" w:cs="B Mitra"/>
          <w:sz w:val="24"/>
          <w:szCs w:val="24"/>
        </w:rPr>
        <w:t>Aidara</w:t>
      </w:r>
      <w:proofErr w:type="spellEnd"/>
      <w:r w:rsidRPr="0061672F">
        <w:rPr>
          <w:rFonts w:ascii="Times New Roman" w:eastAsia="Times New Roman" w:hAnsi="Times New Roman" w:cs="B Mitra"/>
          <w:sz w:val="24"/>
          <w:szCs w:val="24"/>
        </w:rPr>
        <w:t xml:space="preserve">, S., Mamun, A. A., Nasir, N. A. M., Mohiuddin, M., </w:t>
      </w:r>
      <w:proofErr w:type="spellStart"/>
      <w:r w:rsidRPr="0061672F">
        <w:rPr>
          <w:rFonts w:ascii="Times New Roman" w:eastAsia="Times New Roman" w:hAnsi="Times New Roman" w:cs="B Mitra"/>
          <w:sz w:val="24"/>
          <w:szCs w:val="24"/>
        </w:rPr>
        <w:t>Nawi</w:t>
      </w:r>
      <w:proofErr w:type="spellEnd"/>
      <w:r w:rsidRPr="0061672F">
        <w:rPr>
          <w:rFonts w:ascii="Times New Roman" w:eastAsia="Times New Roman" w:hAnsi="Times New Roman" w:cs="B Mitra"/>
          <w:sz w:val="24"/>
          <w:szCs w:val="24"/>
        </w:rPr>
        <w:t xml:space="preserve">, N. C., &amp; </w:t>
      </w:r>
      <w:proofErr w:type="spellStart"/>
      <w:r w:rsidRPr="0061672F">
        <w:rPr>
          <w:rFonts w:ascii="Times New Roman" w:eastAsia="Times New Roman" w:hAnsi="Times New Roman" w:cs="B Mitra"/>
          <w:sz w:val="24"/>
          <w:szCs w:val="24"/>
        </w:rPr>
        <w:t>Zainol</w:t>
      </w:r>
      <w:proofErr w:type="spellEnd"/>
      <w:r w:rsidRPr="0061672F">
        <w:rPr>
          <w:rFonts w:ascii="Times New Roman" w:eastAsia="Times New Roman" w:hAnsi="Times New Roman" w:cs="B Mitra"/>
          <w:sz w:val="24"/>
          <w:szCs w:val="24"/>
        </w:rPr>
        <w:t>, N. R. (2021). Competitive advantages of the relationship between entrepreneurial competencies and economic sustainability performance. Sustainability, 13(2), 864.</w:t>
      </w:r>
    </w:p>
    <w:p w14:paraId="1C22356B" w14:textId="77777777" w:rsidR="005A6412" w:rsidRPr="005C7EC7" w:rsidRDefault="005A6412" w:rsidP="005757C8">
      <w:pPr>
        <w:bidi w:val="0"/>
        <w:spacing w:after="0" w:line="240" w:lineRule="auto"/>
        <w:jc w:val="both"/>
        <w:rPr>
          <w:rFonts w:ascii="Times New Roman" w:eastAsia="Times New Roman" w:hAnsi="Times New Roman" w:cs="B Mitra"/>
          <w:sz w:val="28"/>
          <w:szCs w:val="28"/>
        </w:rPr>
      </w:pPr>
    </w:p>
    <w:p w14:paraId="67680FB4" w14:textId="703FE8D6" w:rsidR="009C5EFF" w:rsidRPr="002848EE" w:rsidRDefault="009C5EFF" w:rsidP="005757C8">
      <w:pPr>
        <w:bidi w:val="0"/>
        <w:spacing w:after="0" w:line="240" w:lineRule="auto"/>
        <w:jc w:val="both"/>
        <w:rPr>
          <w:rFonts w:asciiTheme="majorBidi" w:hAnsiTheme="majorBidi" w:cstheme="majorBidi"/>
        </w:rPr>
      </w:pPr>
    </w:p>
    <w:sectPr w:rsidR="009C5EFF" w:rsidRPr="002848EE" w:rsidSect="0090431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C6E82" w14:textId="77777777" w:rsidR="008D0C95" w:rsidRDefault="008D0C95" w:rsidP="002E1165">
      <w:pPr>
        <w:spacing w:after="0" w:line="240" w:lineRule="auto"/>
      </w:pPr>
      <w:r>
        <w:separator/>
      </w:r>
    </w:p>
  </w:endnote>
  <w:endnote w:type="continuationSeparator" w:id="0">
    <w:p w14:paraId="22D76C2B" w14:textId="77777777" w:rsidR="008D0C95" w:rsidRDefault="008D0C95" w:rsidP="002E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EntezareZohoor 1 **">
    <w:altName w:val="Arial"/>
    <w:charset w:val="B2"/>
    <w:family w:val="auto"/>
    <w:pitch w:val="variable"/>
    <w:sig w:usb0="00002000" w:usb1="80000000" w:usb2="00000008" w:usb3="00000000" w:csb0="00000040" w:csb1="00000000"/>
  </w:font>
  <w:font w:name="B Za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992D" w14:textId="77777777" w:rsidR="00DE18B5" w:rsidRDefault="00DE1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38E1" w14:textId="77777777" w:rsidR="00DE18B5" w:rsidRDefault="00DE1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A30D" w14:textId="77777777" w:rsidR="00DE18B5" w:rsidRDefault="00DE1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A9E69" w14:textId="77777777" w:rsidR="008D0C95" w:rsidRDefault="008D0C95" w:rsidP="002E1165">
      <w:pPr>
        <w:spacing w:after="0" w:line="240" w:lineRule="auto"/>
      </w:pPr>
      <w:r>
        <w:separator/>
      </w:r>
    </w:p>
  </w:footnote>
  <w:footnote w:type="continuationSeparator" w:id="0">
    <w:p w14:paraId="154FECBE" w14:textId="77777777" w:rsidR="008D0C95" w:rsidRDefault="008D0C95" w:rsidP="002E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BA78" w14:textId="168D5D78" w:rsidR="00DE18B5" w:rsidRDefault="00A23298">
    <w:pPr>
      <w:pStyle w:val="Header"/>
    </w:pPr>
    <w:r>
      <w:rPr>
        <w:noProof/>
      </w:rPr>
      <w:pict w14:anchorId="0EA2C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517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9EBE" w14:textId="1DBEF76B" w:rsidR="00DE18B5" w:rsidRDefault="00A23298">
    <w:pPr>
      <w:pStyle w:val="Header"/>
    </w:pPr>
    <w:r>
      <w:rPr>
        <w:noProof/>
      </w:rPr>
      <w:pict w14:anchorId="615BE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517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527A" w14:textId="02B0D5D3" w:rsidR="00DE18B5" w:rsidRDefault="00A23298">
    <w:pPr>
      <w:pStyle w:val="Header"/>
    </w:pPr>
    <w:r>
      <w:rPr>
        <w:noProof/>
      </w:rPr>
      <w:pict w14:anchorId="25BA9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517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
      </v:shape>
    </w:pict>
  </w:numPicBullet>
  <w:abstractNum w:abstractNumId="0" w15:restartNumberingAfterBreak="0">
    <w:nsid w:val="FFFFFF7C"/>
    <w:multiLevelType w:val="singleLevel"/>
    <w:tmpl w:val="A1B883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5EE0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C8C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867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467D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E281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A043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1A45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8495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2A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E242C"/>
    <w:multiLevelType w:val="hybridMultilevel"/>
    <w:tmpl w:val="B7D88BCC"/>
    <w:lvl w:ilvl="0" w:tplc="81008482">
      <w:start w:val="1"/>
      <w:numFmt w:val="decimal"/>
      <w:lvlText w:val="%1."/>
      <w:lvlJc w:val="center"/>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01F65F5E"/>
    <w:multiLevelType w:val="multilevel"/>
    <w:tmpl w:val="B39049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09EF493A"/>
    <w:multiLevelType w:val="multilevel"/>
    <w:tmpl w:val="06D432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9F6409A"/>
    <w:multiLevelType w:val="multilevel"/>
    <w:tmpl w:val="1E6C964E"/>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ECE3627"/>
    <w:multiLevelType w:val="hybridMultilevel"/>
    <w:tmpl w:val="1C9CE9FA"/>
    <w:lvl w:ilvl="0" w:tplc="C7524C6C">
      <w:start w:val="1"/>
      <w:numFmt w:val="bullet"/>
      <w:suff w:val="space"/>
      <w:lvlText w:val=""/>
      <w:lvlJc w:val="left"/>
      <w:pPr>
        <w:ind w:left="1004" w:hanging="360"/>
      </w:pPr>
      <w:rPr>
        <w:rFonts w:ascii="Symbol" w:hAnsi="Symbol" w:hint="default"/>
        <w:color w:val="000000"/>
        <w:vertAlign w:val="baseline"/>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7554F0A"/>
    <w:multiLevelType w:val="hybridMultilevel"/>
    <w:tmpl w:val="963AB854"/>
    <w:lvl w:ilvl="0" w:tplc="3E166762">
      <w:numFmt w:val="bullet"/>
      <w:lvlText w:val="-"/>
      <w:lvlJc w:val="left"/>
      <w:pPr>
        <w:ind w:left="814" w:hanging="360"/>
      </w:pPr>
      <w:rPr>
        <w:rFonts w:ascii="Times New Roman" w:eastAsia="Times New Roman" w:hAnsi="Times New Roman" w:cs="B Lotu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15:restartNumberingAfterBreak="0">
    <w:nsid w:val="20953396"/>
    <w:multiLevelType w:val="multilevel"/>
    <w:tmpl w:val="754676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2C10388"/>
    <w:multiLevelType w:val="multilevel"/>
    <w:tmpl w:val="41A020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25224BA9"/>
    <w:multiLevelType w:val="hybridMultilevel"/>
    <w:tmpl w:val="934C5DFE"/>
    <w:lvl w:ilvl="0" w:tplc="11AC31FE">
      <w:start w:val="1"/>
      <w:numFmt w:val="bullet"/>
      <w:lvlText w:val="-"/>
      <w:lvlJc w:val="left"/>
      <w:pPr>
        <w:tabs>
          <w:tab w:val="num" w:pos="924"/>
        </w:tabs>
        <w:ind w:left="907" w:hanging="34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DB06488"/>
    <w:multiLevelType w:val="multilevel"/>
    <w:tmpl w:val="F32475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F1F88"/>
    <w:multiLevelType w:val="hybridMultilevel"/>
    <w:tmpl w:val="AB66D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04260"/>
    <w:multiLevelType w:val="multilevel"/>
    <w:tmpl w:val="4AFAE2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F236D47"/>
    <w:multiLevelType w:val="multilevel"/>
    <w:tmpl w:val="F92229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B537F"/>
    <w:multiLevelType w:val="hybridMultilevel"/>
    <w:tmpl w:val="7040DFCA"/>
    <w:lvl w:ilvl="0" w:tplc="B4A49B0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5993C77"/>
    <w:multiLevelType w:val="hybridMultilevel"/>
    <w:tmpl w:val="3A24E98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45703A"/>
    <w:multiLevelType w:val="hybridMultilevel"/>
    <w:tmpl w:val="52F4C54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4E9E42C8"/>
    <w:multiLevelType w:val="hybridMultilevel"/>
    <w:tmpl w:val="6942A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94009"/>
    <w:multiLevelType w:val="multilevel"/>
    <w:tmpl w:val="B7CE01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62FD5"/>
    <w:multiLevelType w:val="multilevel"/>
    <w:tmpl w:val="53B23AE8"/>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0876AED"/>
    <w:multiLevelType w:val="multilevel"/>
    <w:tmpl w:val="87DC8C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D4A9E"/>
    <w:multiLevelType w:val="multilevel"/>
    <w:tmpl w:val="178470D0"/>
    <w:lvl w:ilvl="0">
      <w:start w:val="1"/>
      <w:numFmt w:val="decimal"/>
      <w:pStyle w:val="1"/>
      <w:lvlText w:val="%1."/>
      <w:lvlJc w:val="left"/>
      <w:pPr>
        <w:ind w:left="360" w:hanging="72"/>
      </w:pPr>
      <w:rPr>
        <w:rFonts w:hint="default"/>
        <w:color w:val="FFFFFF" w:themeColor="background1"/>
        <w14:shadow w14:blurRad="0" w14:dist="0" w14:dir="0" w14:sx="0" w14:sy="0" w14:kx="0" w14:ky="0" w14:algn="none">
          <w14:srgbClr w14:val="000000"/>
        </w14:shadow>
      </w:rPr>
    </w:lvl>
    <w:lvl w:ilvl="1">
      <w:start w:val="1"/>
      <w:numFmt w:val="decimal"/>
      <w:pStyle w:val="2"/>
      <w:suff w:val="space"/>
      <w:lvlText w:val="%1-%2."/>
      <w:lvlJc w:val="left"/>
      <w:pPr>
        <w:ind w:left="792" w:hanging="792"/>
      </w:pPr>
      <w:rPr>
        <w:rFonts w:cs="B Tit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224" w:hanging="122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6B7645"/>
    <w:multiLevelType w:val="hybridMultilevel"/>
    <w:tmpl w:val="31E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84EA7"/>
    <w:multiLevelType w:val="hybridMultilevel"/>
    <w:tmpl w:val="50203E78"/>
    <w:lvl w:ilvl="0" w:tplc="0409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72561F9D"/>
    <w:multiLevelType w:val="hybridMultilevel"/>
    <w:tmpl w:val="0430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D559D"/>
    <w:multiLevelType w:val="hybridMultilevel"/>
    <w:tmpl w:val="72EA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C4F75"/>
    <w:multiLevelType w:val="multilevel"/>
    <w:tmpl w:val="257A287C"/>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749136E8"/>
    <w:multiLevelType w:val="hybridMultilevel"/>
    <w:tmpl w:val="62DC00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4"/>
  </w:num>
  <w:num w:numId="2">
    <w:abstractNumId w:val="32"/>
  </w:num>
  <w:num w:numId="3">
    <w:abstractNumId w:val="25"/>
  </w:num>
  <w:num w:numId="4">
    <w:abstractNumId w:val="14"/>
  </w:num>
  <w:num w:numId="5">
    <w:abstractNumId w:val="3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23"/>
  </w:num>
  <w:num w:numId="19">
    <w:abstractNumId w:val="20"/>
  </w:num>
  <w:num w:numId="20">
    <w:abstractNumId w:val="10"/>
  </w:num>
  <w:num w:numId="21">
    <w:abstractNumId w:val="18"/>
  </w:num>
  <w:num w:numId="22">
    <w:abstractNumId w:val="26"/>
  </w:num>
  <w:num w:numId="23">
    <w:abstractNumId w:val="33"/>
  </w:num>
  <w:num w:numId="24">
    <w:abstractNumId w:val="31"/>
  </w:num>
  <w:num w:numId="25">
    <w:abstractNumId w:val="13"/>
  </w:num>
  <w:num w:numId="26">
    <w:abstractNumId w:val="19"/>
  </w:num>
  <w:num w:numId="27">
    <w:abstractNumId w:val="17"/>
  </w:num>
  <w:num w:numId="28">
    <w:abstractNumId w:val="22"/>
  </w:num>
  <w:num w:numId="29">
    <w:abstractNumId w:val="16"/>
  </w:num>
  <w:num w:numId="30">
    <w:abstractNumId w:val="29"/>
  </w:num>
  <w:num w:numId="31">
    <w:abstractNumId w:val="11"/>
  </w:num>
  <w:num w:numId="32">
    <w:abstractNumId w:val="12"/>
  </w:num>
  <w:num w:numId="33">
    <w:abstractNumId w:val="27"/>
  </w:num>
  <w:num w:numId="34">
    <w:abstractNumId w:val="21"/>
  </w:num>
  <w:num w:numId="35">
    <w:abstractNumId w:val="28"/>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za1MDUwMTW0NDJU0lEKTi0uzszPAykwqgUAqbRJ9ywAAAA="/>
  </w:docVars>
  <w:rsids>
    <w:rsidRoot w:val="00C16E3E"/>
    <w:rsid w:val="00004833"/>
    <w:rsid w:val="000101B7"/>
    <w:rsid w:val="00015251"/>
    <w:rsid w:val="0002074A"/>
    <w:rsid w:val="00023040"/>
    <w:rsid w:val="00023662"/>
    <w:rsid w:val="00040CF8"/>
    <w:rsid w:val="00071091"/>
    <w:rsid w:val="00077FC0"/>
    <w:rsid w:val="000802EB"/>
    <w:rsid w:val="00086FF1"/>
    <w:rsid w:val="0009313B"/>
    <w:rsid w:val="000A144B"/>
    <w:rsid w:val="000B403D"/>
    <w:rsid w:val="000B5D24"/>
    <w:rsid w:val="000C4939"/>
    <w:rsid w:val="000D76BC"/>
    <w:rsid w:val="000E3090"/>
    <w:rsid w:val="000E7869"/>
    <w:rsid w:val="000F0CB1"/>
    <w:rsid w:val="000F0D94"/>
    <w:rsid w:val="00100C8C"/>
    <w:rsid w:val="00102F12"/>
    <w:rsid w:val="00124771"/>
    <w:rsid w:val="00124CDD"/>
    <w:rsid w:val="00126E8D"/>
    <w:rsid w:val="00130EEF"/>
    <w:rsid w:val="00134218"/>
    <w:rsid w:val="00134C44"/>
    <w:rsid w:val="0015733B"/>
    <w:rsid w:val="0015736C"/>
    <w:rsid w:val="0015749A"/>
    <w:rsid w:val="00160032"/>
    <w:rsid w:val="00162BB1"/>
    <w:rsid w:val="001655C0"/>
    <w:rsid w:val="00183B17"/>
    <w:rsid w:val="001852F3"/>
    <w:rsid w:val="0019128B"/>
    <w:rsid w:val="00197573"/>
    <w:rsid w:val="001A0143"/>
    <w:rsid w:val="001A1B70"/>
    <w:rsid w:val="001A688B"/>
    <w:rsid w:val="001B71D9"/>
    <w:rsid w:val="001C6FC0"/>
    <w:rsid w:val="001D47D7"/>
    <w:rsid w:val="001E7C12"/>
    <w:rsid w:val="00201DB9"/>
    <w:rsid w:val="0020580E"/>
    <w:rsid w:val="002105DC"/>
    <w:rsid w:val="00223117"/>
    <w:rsid w:val="00234C5B"/>
    <w:rsid w:val="00242A71"/>
    <w:rsid w:val="002461D6"/>
    <w:rsid w:val="00250EE7"/>
    <w:rsid w:val="002545A1"/>
    <w:rsid w:val="002759A0"/>
    <w:rsid w:val="00275FC2"/>
    <w:rsid w:val="002848EE"/>
    <w:rsid w:val="00287243"/>
    <w:rsid w:val="00296CF3"/>
    <w:rsid w:val="002A07B9"/>
    <w:rsid w:val="002A3CB2"/>
    <w:rsid w:val="002A77B3"/>
    <w:rsid w:val="002B4080"/>
    <w:rsid w:val="002B4ABB"/>
    <w:rsid w:val="002E1165"/>
    <w:rsid w:val="002E5CFD"/>
    <w:rsid w:val="002E69BB"/>
    <w:rsid w:val="002F27A9"/>
    <w:rsid w:val="002F35AC"/>
    <w:rsid w:val="002F4B05"/>
    <w:rsid w:val="00301C81"/>
    <w:rsid w:val="00307F91"/>
    <w:rsid w:val="00316709"/>
    <w:rsid w:val="00325EB3"/>
    <w:rsid w:val="00331034"/>
    <w:rsid w:val="003351C5"/>
    <w:rsid w:val="00356E78"/>
    <w:rsid w:val="0036409E"/>
    <w:rsid w:val="003718C9"/>
    <w:rsid w:val="0037326E"/>
    <w:rsid w:val="0037519C"/>
    <w:rsid w:val="00397A67"/>
    <w:rsid w:val="003A1B4C"/>
    <w:rsid w:val="003A227E"/>
    <w:rsid w:val="003A2F59"/>
    <w:rsid w:val="003C5583"/>
    <w:rsid w:val="003D6F9E"/>
    <w:rsid w:val="003E25C0"/>
    <w:rsid w:val="003E67A3"/>
    <w:rsid w:val="004003F9"/>
    <w:rsid w:val="004078CF"/>
    <w:rsid w:val="0041538E"/>
    <w:rsid w:val="00423817"/>
    <w:rsid w:val="00424A7E"/>
    <w:rsid w:val="004261D9"/>
    <w:rsid w:val="00430105"/>
    <w:rsid w:val="00433859"/>
    <w:rsid w:val="00435F77"/>
    <w:rsid w:val="00436355"/>
    <w:rsid w:val="00442507"/>
    <w:rsid w:val="00450B91"/>
    <w:rsid w:val="004542B9"/>
    <w:rsid w:val="00462417"/>
    <w:rsid w:val="00496F24"/>
    <w:rsid w:val="00497B7D"/>
    <w:rsid w:val="004A042F"/>
    <w:rsid w:val="004A36A7"/>
    <w:rsid w:val="004A3F78"/>
    <w:rsid w:val="004A55A2"/>
    <w:rsid w:val="004A56A4"/>
    <w:rsid w:val="004C091B"/>
    <w:rsid w:val="004C5B63"/>
    <w:rsid w:val="004D25F3"/>
    <w:rsid w:val="004D2C50"/>
    <w:rsid w:val="004D3B3F"/>
    <w:rsid w:val="004E74D5"/>
    <w:rsid w:val="004E7DCD"/>
    <w:rsid w:val="004F55DC"/>
    <w:rsid w:val="004F7AE6"/>
    <w:rsid w:val="00502A58"/>
    <w:rsid w:val="00505AA5"/>
    <w:rsid w:val="00505B48"/>
    <w:rsid w:val="00521221"/>
    <w:rsid w:val="00531291"/>
    <w:rsid w:val="0053449C"/>
    <w:rsid w:val="005373E9"/>
    <w:rsid w:val="00545F3F"/>
    <w:rsid w:val="00552348"/>
    <w:rsid w:val="00555072"/>
    <w:rsid w:val="00555712"/>
    <w:rsid w:val="0055672A"/>
    <w:rsid w:val="005619B0"/>
    <w:rsid w:val="00562765"/>
    <w:rsid w:val="0056633A"/>
    <w:rsid w:val="00567FB8"/>
    <w:rsid w:val="00570D48"/>
    <w:rsid w:val="005719BD"/>
    <w:rsid w:val="005757C8"/>
    <w:rsid w:val="00576A01"/>
    <w:rsid w:val="005A5369"/>
    <w:rsid w:val="005A6412"/>
    <w:rsid w:val="005B2C23"/>
    <w:rsid w:val="005B511C"/>
    <w:rsid w:val="005C27B1"/>
    <w:rsid w:val="005C4A17"/>
    <w:rsid w:val="005D31BC"/>
    <w:rsid w:val="005D344F"/>
    <w:rsid w:val="005D701A"/>
    <w:rsid w:val="005E5DB0"/>
    <w:rsid w:val="005E5E0A"/>
    <w:rsid w:val="005E7812"/>
    <w:rsid w:val="005E7A74"/>
    <w:rsid w:val="005F47C7"/>
    <w:rsid w:val="00613B38"/>
    <w:rsid w:val="0061672F"/>
    <w:rsid w:val="0062067D"/>
    <w:rsid w:val="00621B55"/>
    <w:rsid w:val="00624CB2"/>
    <w:rsid w:val="0063157B"/>
    <w:rsid w:val="00642F77"/>
    <w:rsid w:val="006451BF"/>
    <w:rsid w:val="006453D6"/>
    <w:rsid w:val="00647AE7"/>
    <w:rsid w:val="00650440"/>
    <w:rsid w:val="00650DE3"/>
    <w:rsid w:val="00671A10"/>
    <w:rsid w:val="006722B4"/>
    <w:rsid w:val="00673B4B"/>
    <w:rsid w:val="00675882"/>
    <w:rsid w:val="00676B59"/>
    <w:rsid w:val="006913E4"/>
    <w:rsid w:val="00693826"/>
    <w:rsid w:val="00695A73"/>
    <w:rsid w:val="006A23A7"/>
    <w:rsid w:val="006A77E3"/>
    <w:rsid w:val="006A7F90"/>
    <w:rsid w:val="006D2C94"/>
    <w:rsid w:val="006D51C6"/>
    <w:rsid w:val="006E00EF"/>
    <w:rsid w:val="006F0711"/>
    <w:rsid w:val="006F2A63"/>
    <w:rsid w:val="006F50CE"/>
    <w:rsid w:val="00716D5F"/>
    <w:rsid w:val="0071799B"/>
    <w:rsid w:val="00724DD4"/>
    <w:rsid w:val="0072752F"/>
    <w:rsid w:val="00732251"/>
    <w:rsid w:val="00734443"/>
    <w:rsid w:val="0075042B"/>
    <w:rsid w:val="00751347"/>
    <w:rsid w:val="0075411F"/>
    <w:rsid w:val="00754CD2"/>
    <w:rsid w:val="0077244D"/>
    <w:rsid w:val="00773A1F"/>
    <w:rsid w:val="00780C17"/>
    <w:rsid w:val="00791AF2"/>
    <w:rsid w:val="00797DA4"/>
    <w:rsid w:val="007B23D5"/>
    <w:rsid w:val="007B5395"/>
    <w:rsid w:val="007B7495"/>
    <w:rsid w:val="007C218C"/>
    <w:rsid w:val="007D1F28"/>
    <w:rsid w:val="0080138B"/>
    <w:rsid w:val="00805664"/>
    <w:rsid w:val="00817F9D"/>
    <w:rsid w:val="00835B7D"/>
    <w:rsid w:val="00837B12"/>
    <w:rsid w:val="00847CA0"/>
    <w:rsid w:val="00850618"/>
    <w:rsid w:val="00852468"/>
    <w:rsid w:val="0085287E"/>
    <w:rsid w:val="00855923"/>
    <w:rsid w:val="00860730"/>
    <w:rsid w:val="00865FBF"/>
    <w:rsid w:val="008679C5"/>
    <w:rsid w:val="00880864"/>
    <w:rsid w:val="00885EBB"/>
    <w:rsid w:val="00885F25"/>
    <w:rsid w:val="008A2BBB"/>
    <w:rsid w:val="008A73CA"/>
    <w:rsid w:val="008B5B3D"/>
    <w:rsid w:val="008B5E5B"/>
    <w:rsid w:val="008B689F"/>
    <w:rsid w:val="008C015F"/>
    <w:rsid w:val="008C1A0D"/>
    <w:rsid w:val="008C1F86"/>
    <w:rsid w:val="008C34D0"/>
    <w:rsid w:val="008D0B81"/>
    <w:rsid w:val="008D0C95"/>
    <w:rsid w:val="008D19DD"/>
    <w:rsid w:val="008D36D9"/>
    <w:rsid w:val="008D4607"/>
    <w:rsid w:val="008E00E1"/>
    <w:rsid w:val="008E11DE"/>
    <w:rsid w:val="008E50EA"/>
    <w:rsid w:val="008E66E7"/>
    <w:rsid w:val="008E6815"/>
    <w:rsid w:val="008F00DF"/>
    <w:rsid w:val="0090063A"/>
    <w:rsid w:val="00901F3F"/>
    <w:rsid w:val="00903EBC"/>
    <w:rsid w:val="00904313"/>
    <w:rsid w:val="009052F2"/>
    <w:rsid w:val="00912C24"/>
    <w:rsid w:val="00912F0F"/>
    <w:rsid w:val="00914683"/>
    <w:rsid w:val="00925FED"/>
    <w:rsid w:val="0093034B"/>
    <w:rsid w:val="009304A2"/>
    <w:rsid w:val="0093526E"/>
    <w:rsid w:val="00944859"/>
    <w:rsid w:val="00946C37"/>
    <w:rsid w:val="009511CC"/>
    <w:rsid w:val="00954004"/>
    <w:rsid w:val="00976EFA"/>
    <w:rsid w:val="0098056C"/>
    <w:rsid w:val="00986B26"/>
    <w:rsid w:val="00993799"/>
    <w:rsid w:val="00993974"/>
    <w:rsid w:val="00994A1F"/>
    <w:rsid w:val="009A14B6"/>
    <w:rsid w:val="009A3605"/>
    <w:rsid w:val="009A48C6"/>
    <w:rsid w:val="009B1DA9"/>
    <w:rsid w:val="009C5EFF"/>
    <w:rsid w:val="009D2284"/>
    <w:rsid w:val="009D3F71"/>
    <w:rsid w:val="009F2A28"/>
    <w:rsid w:val="009F2B31"/>
    <w:rsid w:val="00A019D6"/>
    <w:rsid w:val="00A02978"/>
    <w:rsid w:val="00A06C48"/>
    <w:rsid w:val="00A23298"/>
    <w:rsid w:val="00A27A3D"/>
    <w:rsid w:val="00A336D1"/>
    <w:rsid w:val="00A52C20"/>
    <w:rsid w:val="00A5335D"/>
    <w:rsid w:val="00A557C2"/>
    <w:rsid w:val="00A64204"/>
    <w:rsid w:val="00A64F96"/>
    <w:rsid w:val="00A652ED"/>
    <w:rsid w:val="00A8062D"/>
    <w:rsid w:val="00A82266"/>
    <w:rsid w:val="00A85990"/>
    <w:rsid w:val="00A86D57"/>
    <w:rsid w:val="00A87C27"/>
    <w:rsid w:val="00A91075"/>
    <w:rsid w:val="00A92391"/>
    <w:rsid w:val="00A9567C"/>
    <w:rsid w:val="00A95C62"/>
    <w:rsid w:val="00AA7AD6"/>
    <w:rsid w:val="00AB424F"/>
    <w:rsid w:val="00AB6055"/>
    <w:rsid w:val="00AC04D1"/>
    <w:rsid w:val="00AC4668"/>
    <w:rsid w:val="00AD13D7"/>
    <w:rsid w:val="00AD2E0D"/>
    <w:rsid w:val="00AD6913"/>
    <w:rsid w:val="00B117BB"/>
    <w:rsid w:val="00B11D5A"/>
    <w:rsid w:val="00B13215"/>
    <w:rsid w:val="00B14D9A"/>
    <w:rsid w:val="00B237F2"/>
    <w:rsid w:val="00B26677"/>
    <w:rsid w:val="00B34AE5"/>
    <w:rsid w:val="00B43569"/>
    <w:rsid w:val="00B67BE7"/>
    <w:rsid w:val="00B72ECA"/>
    <w:rsid w:val="00B7357C"/>
    <w:rsid w:val="00B76F73"/>
    <w:rsid w:val="00B8117A"/>
    <w:rsid w:val="00B81506"/>
    <w:rsid w:val="00B8523E"/>
    <w:rsid w:val="00B92B81"/>
    <w:rsid w:val="00B93401"/>
    <w:rsid w:val="00BC03B2"/>
    <w:rsid w:val="00BD54BF"/>
    <w:rsid w:val="00BD6252"/>
    <w:rsid w:val="00BE122B"/>
    <w:rsid w:val="00BF794E"/>
    <w:rsid w:val="00C04258"/>
    <w:rsid w:val="00C04BC2"/>
    <w:rsid w:val="00C16E3E"/>
    <w:rsid w:val="00C17532"/>
    <w:rsid w:val="00C21055"/>
    <w:rsid w:val="00C236B9"/>
    <w:rsid w:val="00C37DE5"/>
    <w:rsid w:val="00C44DB8"/>
    <w:rsid w:val="00C47567"/>
    <w:rsid w:val="00C50D5E"/>
    <w:rsid w:val="00C51CBD"/>
    <w:rsid w:val="00C56BB9"/>
    <w:rsid w:val="00C660B7"/>
    <w:rsid w:val="00C6625F"/>
    <w:rsid w:val="00C70284"/>
    <w:rsid w:val="00C75384"/>
    <w:rsid w:val="00C851BF"/>
    <w:rsid w:val="00C91F0F"/>
    <w:rsid w:val="00C94A58"/>
    <w:rsid w:val="00CA1455"/>
    <w:rsid w:val="00CA2747"/>
    <w:rsid w:val="00CA44FD"/>
    <w:rsid w:val="00CA4A92"/>
    <w:rsid w:val="00CA6F68"/>
    <w:rsid w:val="00CB6694"/>
    <w:rsid w:val="00CC0D77"/>
    <w:rsid w:val="00CC21C7"/>
    <w:rsid w:val="00CC4BC0"/>
    <w:rsid w:val="00CD0EED"/>
    <w:rsid w:val="00CD2132"/>
    <w:rsid w:val="00CE145A"/>
    <w:rsid w:val="00CE1BEA"/>
    <w:rsid w:val="00D02AF7"/>
    <w:rsid w:val="00D07E32"/>
    <w:rsid w:val="00D10FE4"/>
    <w:rsid w:val="00D11360"/>
    <w:rsid w:val="00D113A7"/>
    <w:rsid w:val="00D118E4"/>
    <w:rsid w:val="00D13436"/>
    <w:rsid w:val="00D1646B"/>
    <w:rsid w:val="00D31C47"/>
    <w:rsid w:val="00D327F7"/>
    <w:rsid w:val="00D466FE"/>
    <w:rsid w:val="00D538F4"/>
    <w:rsid w:val="00D56CD8"/>
    <w:rsid w:val="00D63FF6"/>
    <w:rsid w:val="00D6744C"/>
    <w:rsid w:val="00D80265"/>
    <w:rsid w:val="00D824B8"/>
    <w:rsid w:val="00D845AE"/>
    <w:rsid w:val="00D93CB2"/>
    <w:rsid w:val="00D96DCC"/>
    <w:rsid w:val="00DA0984"/>
    <w:rsid w:val="00DA5D2C"/>
    <w:rsid w:val="00DB095C"/>
    <w:rsid w:val="00DB2104"/>
    <w:rsid w:val="00DB6103"/>
    <w:rsid w:val="00DC1C69"/>
    <w:rsid w:val="00DE18B5"/>
    <w:rsid w:val="00DF14E5"/>
    <w:rsid w:val="00DF2B14"/>
    <w:rsid w:val="00E012AE"/>
    <w:rsid w:val="00E07916"/>
    <w:rsid w:val="00E21151"/>
    <w:rsid w:val="00E271FA"/>
    <w:rsid w:val="00E27C7C"/>
    <w:rsid w:val="00E331D6"/>
    <w:rsid w:val="00E43554"/>
    <w:rsid w:val="00E4479D"/>
    <w:rsid w:val="00E471C5"/>
    <w:rsid w:val="00E47DCA"/>
    <w:rsid w:val="00E522D1"/>
    <w:rsid w:val="00E632CF"/>
    <w:rsid w:val="00E66E91"/>
    <w:rsid w:val="00E7487D"/>
    <w:rsid w:val="00E77B32"/>
    <w:rsid w:val="00E825EB"/>
    <w:rsid w:val="00E853A0"/>
    <w:rsid w:val="00E860FA"/>
    <w:rsid w:val="00E9250E"/>
    <w:rsid w:val="00E95961"/>
    <w:rsid w:val="00E96701"/>
    <w:rsid w:val="00E979EB"/>
    <w:rsid w:val="00EA4589"/>
    <w:rsid w:val="00EB3E67"/>
    <w:rsid w:val="00EB699C"/>
    <w:rsid w:val="00EC1502"/>
    <w:rsid w:val="00EC2ABD"/>
    <w:rsid w:val="00EC6D36"/>
    <w:rsid w:val="00EE3662"/>
    <w:rsid w:val="00EE50FF"/>
    <w:rsid w:val="00EF42D3"/>
    <w:rsid w:val="00EF44CA"/>
    <w:rsid w:val="00F01C7A"/>
    <w:rsid w:val="00F03273"/>
    <w:rsid w:val="00F10F1F"/>
    <w:rsid w:val="00F11F47"/>
    <w:rsid w:val="00F130F7"/>
    <w:rsid w:val="00F1781F"/>
    <w:rsid w:val="00F203FC"/>
    <w:rsid w:val="00F22A7D"/>
    <w:rsid w:val="00F26ACA"/>
    <w:rsid w:val="00F30EF0"/>
    <w:rsid w:val="00F46D47"/>
    <w:rsid w:val="00F55CCD"/>
    <w:rsid w:val="00F66DDD"/>
    <w:rsid w:val="00F803DE"/>
    <w:rsid w:val="00F940AE"/>
    <w:rsid w:val="00F9482F"/>
    <w:rsid w:val="00F95B21"/>
    <w:rsid w:val="00F9674C"/>
    <w:rsid w:val="00FA1956"/>
    <w:rsid w:val="00FA3DDA"/>
    <w:rsid w:val="00FA47F3"/>
    <w:rsid w:val="00FB7829"/>
    <w:rsid w:val="00FC03F0"/>
    <w:rsid w:val="00FC0AC2"/>
    <w:rsid w:val="00FC1017"/>
    <w:rsid w:val="00FD18E5"/>
    <w:rsid w:val="00FF529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E794D"/>
  <w15:chartTrackingRefBased/>
  <w15:docId w15:val="{3E19B985-8395-4AF9-9DD2-D57BC995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EFF"/>
    <w:pPr>
      <w:bidi/>
    </w:pPr>
  </w:style>
  <w:style w:type="paragraph" w:styleId="Heading1">
    <w:name w:val="heading 1"/>
    <w:basedOn w:val="Normal"/>
    <w:next w:val="Normal"/>
    <w:link w:val="Heading1Char"/>
    <w:uiPriority w:val="9"/>
    <w:qFormat/>
    <w:rsid w:val="006D2C94"/>
    <w:pPr>
      <w:keepNext/>
      <w:keepLines/>
      <w:spacing w:before="240" w:after="0" w:line="360" w:lineRule="auto"/>
      <w:jc w:val="center"/>
      <w:outlineLvl w:val="0"/>
    </w:pPr>
    <w:rPr>
      <w:rFonts w:ascii="Cambria" w:eastAsia="Times New Roman" w:hAnsi="Cambria" w:cs="B Mitra"/>
      <w:b/>
      <w:bCs/>
      <w:sz w:val="28"/>
      <w:szCs w:val="48"/>
    </w:rPr>
  </w:style>
  <w:style w:type="paragraph" w:styleId="Heading2">
    <w:name w:val="heading 2"/>
    <w:basedOn w:val="Normal"/>
    <w:next w:val="Normal"/>
    <w:link w:val="Heading2Char"/>
    <w:uiPriority w:val="9"/>
    <w:unhideWhenUsed/>
    <w:qFormat/>
    <w:rsid w:val="006D2C94"/>
    <w:pPr>
      <w:keepNext/>
      <w:keepLines/>
      <w:spacing w:before="40" w:after="0"/>
      <w:outlineLvl w:val="1"/>
    </w:pPr>
    <w:rPr>
      <w:rFonts w:ascii="Cambria" w:eastAsia="Times New Roman" w:hAnsi="Cambria" w:cs="B Mitra"/>
      <w:b/>
      <w:bCs/>
      <w:sz w:val="26"/>
      <w:szCs w:val="32"/>
    </w:rPr>
  </w:style>
  <w:style w:type="paragraph" w:styleId="Heading3">
    <w:name w:val="heading 3"/>
    <w:basedOn w:val="Normal"/>
    <w:next w:val="Normal"/>
    <w:link w:val="Heading3Char"/>
    <w:uiPriority w:val="9"/>
    <w:semiHidden/>
    <w:unhideWhenUsed/>
    <w:qFormat/>
    <w:rsid w:val="006D2C94"/>
    <w:pPr>
      <w:keepNext/>
      <w:keepLines/>
      <w:spacing w:before="40" w:after="0"/>
      <w:outlineLvl w:val="2"/>
    </w:pPr>
    <w:rPr>
      <w:rFonts w:ascii="Cambria" w:eastAsia="Times New Roman" w:hAnsi="Cambria" w:cs="Times New Roman"/>
      <w:b/>
      <w:bCs/>
      <w:color w:val="4F81BD"/>
      <w:sz w:val="24"/>
      <w:szCs w:val="24"/>
    </w:rPr>
  </w:style>
  <w:style w:type="paragraph" w:styleId="Heading6">
    <w:name w:val="heading 6"/>
    <w:basedOn w:val="Normal"/>
    <w:next w:val="Normal"/>
    <w:link w:val="Heading6Char"/>
    <w:uiPriority w:val="9"/>
    <w:semiHidden/>
    <w:unhideWhenUsed/>
    <w:qFormat/>
    <w:rsid w:val="006D2C94"/>
    <w:pPr>
      <w:keepNext/>
      <w:keepLines/>
      <w:spacing w:before="40" w:after="0"/>
      <w:outlineLvl w:val="5"/>
    </w:pPr>
    <w:rPr>
      <w:rFonts w:ascii="Cambria" w:eastAsia="Times New Roman" w:hAnsi="Cambria" w:cs="Times New Roman"/>
      <w:i/>
      <w:iCs/>
      <w:color w:val="243F60"/>
      <w:sz w:val="24"/>
      <w:szCs w:val="24"/>
    </w:rPr>
  </w:style>
  <w:style w:type="paragraph" w:styleId="Heading8">
    <w:name w:val="heading 8"/>
    <w:basedOn w:val="Normal"/>
    <w:next w:val="Normal"/>
    <w:link w:val="Heading8Char"/>
    <w:uiPriority w:val="9"/>
    <w:semiHidden/>
    <w:unhideWhenUsed/>
    <w:qFormat/>
    <w:rsid w:val="006D2C94"/>
    <w:pPr>
      <w:keepNext/>
      <w:keepLines/>
      <w:spacing w:before="4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9D3F71"/>
  </w:style>
  <w:style w:type="character" w:customStyle="1" w:styleId="q4iawc">
    <w:name w:val="q4iawc"/>
    <w:basedOn w:val="DefaultParagraphFont"/>
    <w:rsid w:val="009D3F71"/>
  </w:style>
  <w:style w:type="table" w:styleId="PlainTable5">
    <w:name w:val="Plain Table 5"/>
    <w:basedOn w:val="TableNormal"/>
    <w:uiPriority w:val="45"/>
    <w:rsid w:val="001975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nhideWhenUsed/>
    <w:rsid w:val="002E1165"/>
    <w:pPr>
      <w:spacing w:after="0" w:line="240" w:lineRule="auto"/>
    </w:pPr>
    <w:rPr>
      <w:sz w:val="20"/>
      <w:szCs w:val="20"/>
    </w:rPr>
  </w:style>
  <w:style w:type="character" w:customStyle="1" w:styleId="FootnoteTextChar">
    <w:name w:val="Footnote Text Char"/>
    <w:basedOn w:val="DefaultParagraphFont"/>
    <w:link w:val="FootnoteText"/>
    <w:rsid w:val="002E1165"/>
    <w:rPr>
      <w:sz w:val="20"/>
      <w:szCs w:val="20"/>
    </w:rPr>
  </w:style>
  <w:style w:type="character" w:styleId="FootnoteReference">
    <w:name w:val="footnote reference"/>
    <w:basedOn w:val="DefaultParagraphFont"/>
    <w:uiPriority w:val="99"/>
    <w:unhideWhenUsed/>
    <w:rsid w:val="002E1165"/>
    <w:rPr>
      <w:vertAlign w:val="superscript"/>
    </w:rPr>
  </w:style>
  <w:style w:type="table" w:styleId="PlainTable4">
    <w:name w:val="Plain Table 4"/>
    <w:basedOn w:val="TableNormal"/>
    <w:uiPriority w:val="44"/>
    <w:rsid w:val="00F95B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A6412"/>
    <w:pPr>
      <w:ind w:left="720"/>
      <w:contextualSpacing/>
    </w:pPr>
  </w:style>
  <w:style w:type="table" w:styleId="GridTable2-Accent5">
    <w:name w:val="Grid Table 2 Accent 5"/>
    <w:basedOn w:val="TableNormal"/>
    <w:uiPriority w:val="47"/>
    <w:rsid w:val="006D2C9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link w:val="NoSpacingChar"/>
    <w:qFormat/>
    <w:rsid w:val="006D2C94"/>
    <w:pPr>
      <w:spacing w:after="0" w:line="240" w:lineRule="auto"/>
    </w:pPr>
    <w:rPr>
      <w:lang w:bidi="ar-SA"/>
    </w:rPr>
  </w:style>
  <w:style w:type="character" w:customStyle="1" w:styleId="NoSpacingChar">
    <w:name w:val="No Spacing Char"/>
    <w:link w:val="NoSpacing"/>
    <w:rsid w:val="006D2C94"/>
    <w:rPr>
      <w:lang w:bidi="ar-SA"/>
    </w:rPr>
  </w:style>
  <w:style w:type="paragraph" w:customStyle="1" w:styleId="a">
    <w:name w:val="فهرست جداول"/>
    <w:basedOn w:val="Normal"/>
    <w:qFormat/>
    <w:rsid w:val="006D2C94"/>
    <w:pPr>
      <w:keepNext/>
      <w:numPr>
        <w:ilvl w:val="1"/>
      </w:numPr>
      <w:spacing w:before="240" w:after="60" w:line="360" w:lineRule="auto"/>
      <w:ind w:left="792" w:hanging="792"/>
      <w:jc w:val="center"/>
      <w:outlineLvl w:val="1"/>
    </w:pPr>
    <w:rPr>
      <w:rFonts w:ascii="Times New Roman Bold" w:eastAsia="Calibri" w:hAnsi="Times New Roman Bold" w:cs="B Mitra"/>
      <w:b/>
      <w:bCs/>
      <w:sz w:val="28"/>
      <w:szCs w:val="24"/>
    </w:rPr>
  </w:style>
  <w:style w:type="character" w:customStyle="1" w:styleId="Heading1Char">
    <w:name w:val="Heading 1 Char"/>
    <w:basedOn w:val="DefaultParagraphFont"/>
    <w:link w:val="Heading1"/>
    <w:uiPriority w:val="9"/>
    <w:rsid w:val="006D2C94"/>
    <w:rPr>
      <w:rFonts w:ascii="Cambria" w:eastAsia="Times New Roman" w:hAnsi="Cambria" w:cs="B Mitra"/>
      <w:b/>
      <w:bCs/>
      <w:sz w:val="28"/>
      <w:szCs w:val="48"/>
    </w:rPr>
  </w:style>
  <w:style w:type="character" w:customStyle="1" w:styleId="Heading2Char">
    <w:name w:val="Heading 2 Char"/>
    <w:basedOn w:val="DefaultParagraphFont"/>
    <w:link w:val="Heading2"/>
    <w:uiPriority w:val="9"/>
    <w:rsid w:val="006D2C94"/>
    <w:rPr>
      <w:rFonts w:ascii="Cambria" w:eastAsia="Times New Roman" w:hAnsi="Cambria" w:cs="B Mitra"/>
      <w:b/>
      <w:bCs/>
      <w:sz w:val="26"/>
      <w:szCs w:val="32"/>
    </w:rPr>
  </w:style>
  <w:style w:type="character" w:customStyle="1" w:styleId="Heading3Char">
    <w:name w:val="Heading 3 Char"/>
    <w:basedOn w:val="DefaultParagraphFont"/>
    <w:link w:val="Heading3"/>
    <w:uiPriority w:val="9"/>
    <w:semiHidden/>
    <w:rsid w:val="006D2C94"/>
    <w:rPr>
      <w:rFonts w:ascii="Cambria" w:eastAsia="Times New Roman" w:hAnsi="Cambria" w:cs="Times New Roman"/>
      <w:b/>
      <w:bCs/>
      <w:color w:val="4F81BD"/>
      <w:sz w:val="24"/>
      <w:szCs w:val="24"/>
    </w:rPr>
  </w:style>
  <w:style w:type="character" w:customStyle="1" w:styleId="Heading6Char">
    <w:name w:val="Heading 6 Char"/>
    <w:basedOn w:val="DefaultParagraphFont"/>
    <w:link w:val="Heading6"/>
    <w:uiPriority w:val="9"/>
    <w:semiHidden/>
    <w:rsid w:val="006D2C94"/>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uiPriority w:val="9"/>
    <w:semiHidden/>
    <w:rsid w:val="006D2C94"/>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6D2C94"/>
  </w:style>
  <w:style w:type="character" w:customStyle="1" w:styleId="Hyperlink1">
    <w:name w:val="Hyperlink1"/>
    <w:basedOn w:val="DefaultParagraphFont"/>
    <w:uiPriority w:val="99"/>
    <w:unhideWhenUsed/>
    <w:rsid w:val="006D2C94"/>
    <w:rPr>
      <w:color w:val="0000FF"/>
      <w:u w:val="single"/>
    </w:rPr>
  </w:style>
  <w:style w:type="character" w:styleId="Hyperlink">
    <w:name w:val="Hyperlink"/>
    <w:basedOn w:val="DefaultParagraphFont"/>
    <w:uiPriority w:val="99"/>
    <w:unhideWhenUsed/>
    <w:rsid w:val="006D2C94"/>
    <w:rPr>
      <w:color w:val="0563C1" w:themeColor="hyperlink"/>
      <w:u w:val="single"/>
    </w:rPr>
  </w:style>
  <w:style w:type="paragraph" w:customStyle="1" w:styleId="Heading11">
    <w:name w:val="Heading 11"/>
    <w:basedOn w:val="Heading2"/>
    <w:next w:val="Normal"/>
    <w:uiPriority w:val="9"/>
    <w:rsid w:val="006D2C94"/>
    <w:pPr>
      <w:spacing w:before="240"/>
    </w:pPr>
    <w:rPr>
      <w:b w:val="0"/>
      <w:sz w:val="28"/>
    </w:rPr>
  </w:style>
  <w:style w:type="paragraph" w:customStyle="1" w:styleId="Heading21">
    <w:name w:val="Heading 21"/>
    <w:basedOn w:val="Normal"/>
    <w:next w:val="Normal"/>
    <w:uiPriority w:val="9"/>
    <w:semiHidden/>
    <w:unhideWhenUsed/>
    <w:qFormat/>
    <w:rsid w:val="006D2C94"/>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6D2C94"/>
    <w:pPr>
      <w:keepNext/>
      <w:keepLines/>
      <w:spacing w:before="200" w:after="0" w:line="240" w:lineRule="auto"/>
      <w:outlineLvl w:val="2"/>
    </w:pPr>
    <w:rPr>
      <w:rFonts w:ascii="Cambria" w:eastAsia="Times New Roman" w:hAnsi="Cambria" w:cs="Times New Roman"/>
      <w:b/>
      <w:bCs/>
      <w:color w:val="4F81BD"/>
      <w:sz w:val="24"/>
      <w:szCs w:val="24"/>
    </w:rPr>
  </w:style>
  <w:style w:type="paragraph" w:customStyle="1" w:styleId="Heading61">
    <w:name w:val="Heading 61"/>
    <w:basedOn w:val="Normal"/>
    <w:next w:val="Normal"/>
    <w:uiPriority w:val="9"/>
    <w:semiHidden/>
    <w:unhideWhenUsed/>
    <w:qFormat/>
    <w:rsid w:val="006D2C94"/>
    <w:pPr>
      <w:keepNext/>
      <w:keepLines/>
      <w:spacing w:before="200" w:after="0" w:line="240" w:lineRule="auto"/>
      <w:outlineLvl w:val="5"/>
    </w:pPr>
    <w:rPr>
      <w:rFonts w:ascii="Cambria" w:eastAsia="Times New Roman" w:hAnsi="Cambria" w:cs="Times New Roman"/>
      <w:i/>
      <w:iCs/>
      <w:color w:val="243F60"/>
      <w:sz w:val="24"/>
      <w:szCs w:val="24"/>
    </w:rPr>
  </w:style>
  <w:style w:type="paragraph" w:customStyle="1" w:styleId="Heading81">
    <w:name w:val="Heading 81"/>
    <w:basedOn w:val="Normal"/>
    <w:next w:val="Normal"/>
    <w:uiPriority w:val="9"/>
    <w:semiHidden/>
    <w:unhideWhenUsed/>
    <w:qFormat/>
    <w:rsid w:val="006D2C94"/>
    <w:pPr>
      <w:keepNext/>
      <w:keepLines/>
      <w:spacing w:before="200" w:after="0" w:line="240" w:lineRule="auto"/>
      <w:outlineLvl w:val="7"/>
    </w:pPr>
    <w:rPr>
      <w:rFonts w:ascii="Cambria" w:eastAsia="Times New Roman" w:hAnsi="Cambria" w:cs="Times New Roman"/>
      <w:color w:val="404040"/>
      <w:sz w:val="20"/>
      <w:szCs w:val="20"/>
    </w:rPr>
  </w:style>
  <w:style w:type="numbering" w:customStyle="1" w:styleId="NoList11">
    <w:name w:val="No List11"/>
    <w:next w:val="NoList"/>
    <w:uiPriority w:val="99"/>
    <w:semiHidden/>
    <w:unhideWhenUsed/>
    <w:rsid w:val="006D2C94"/>
  </w:style>
  <w:style w:type="paragraph" w:styleId="BodyText2">
    <w:name w:val="Body Text 2"/>
    <w:basedOn w:val="Normal"/>
    <w:link w:val="BodyText2Char"/>
    <w:rsid w:val="006D2C94"/>
    <w:pPr>
      <w:spacing w:after="0" w:line="240" w:lineRule="auto"/>
      <w:jc w:val="lowKashida"/>
    </w:pPr>
    <w:rPr>
      <w:rFonts w:ascii="Times New Roman" w:eastAsia="Times New Roman" w:hAnsi="Times New Roman" w:cs="Times New Roman"/>
      <w:noProof/>
      <w:sz w:val="24"/>
      <w:szCs w:val="20"/>
      <w:lang w:val="x-none" w:eastAsia="x-none" w:bidi="ar-SA"/>
    </w:rPr>
  </w:style>
  <w:style w:type="character" w:customStyle="1" w:styleId="BodyText2Char">
    <w:name w:val="Body Text 2 Char"/>
    <w:basedOn w:val="DefaultParagraphFont"/>
    <w:link w:val="BodyText2"/>
    <w:rsid w:val="006D2C94"/>
    <w:rPr>
      <w:rFonts w:ascii="Times New Roman" w:eastAsia="Times New Roman" w:hAnsi="Times New Roman" w:cs="Times New Roman"/>
      <w:noProof/>
      <w:sz w:val="24"/>
      <w:szCs w:val="20"/>
      <w:lang w:val="x-none" w:eastAsia="x-none" w:bidi="ar-SA"/>
    </w:rPr>
  </w:style>
  <w:style w:type="paragraph" w:customStyle="1" w:styleId="10">
    <w:name w:val="بولت 1"/>
    <w:basedOn w:val="Normal"/>
    <w:locked/>
    <w:rsid w:val="006D2C94"/>
    <w:pPr>
      <w:widowControl w:val="0"/>
      <w:spacing w:after="0" w:line="360" w:lineRule="auto"/>
      <w:ind w:left="1004" w:hanging="360"/>
      <w:jc w:val="lowKashida"/>
    </w:pPr>
    <w:rPr>
      <w:rFonts w:ascii="Times New Roman" w:eastAsia="Calibri" w:hAnsi="Times New Roman" w:cs="B Lotus"/>
      <w:sz w:val="20"/>
      <w:szCs w:val="26"/>
      <w:lang w:bidi="ar-SA"/>
    </w:rPr>
  </w:style>
  <w:style w:type="paragraph" w:customStyle="1" w:styleId="a0">
    <w:name w:val="پاراگراف اول"/>
    <w:basedOn w:val="Normal"/>
    <w:link w:val="Char"/>
    <w:locked/>
    <w:rsid w:val="006D2C94"/>
    <w:pPr>
      <w:widowControl w:val="0"/>
      <w:spacing w:after="0" w:line="360" w:lineRule="auto"/>
      <w:jc w:val="lowKashida"/>
    </w:pPr>
    <w:rPr>
      <w:rFonts w:ascii="Times New Roman" w:eastAsia="Calibri" w:hAnsi="Times New Roman" w:cs="B Lotus"/>
      <w:sz w:val="20"/>
      <w:szCs w:val="26"/>
      <w:lang w:bidi="ar-SA"/>
    </w:rPr>
  </w:style>
  <w:style w:type="character" w:customStyle="1" w:styleId="Char">
    <w:name w:val="پاراگراف اول Char"/>
    <w:link w:val="a0"/>
    <w:rsid w:val="006D2C94"/>
    <w:rPr>
      <w:rFonts w:ascii="Times New Roman" w:eastAsia="Calibri" w:hAnsi="Times New Roman" w:cs="B Lotus"/>
      <w:sz w:val="20"/>
      <w:szCs w:val="26"/>
      <w:lang w:bidi="ar-SA"/>
    </w:rPr>
  </w:style>
  <w:style w:type="paragraph" w:customStyle="1" w:styleId="1">
    <w:name w:val="تيتر 1"/>
    <w:basedOn w:val="Normal"/>
    <w:link w:val="1Char"/>
    <w:locked/>
    <w:rsid w:val="006D2C94"/>
    <w:pPr>
      <w:keepNext/>
      <w:numPr>
        <w:numId w:val="5"/>
      </w:numPr>
      <w:spacing w:before="3600" w:after="120" w:line="240" w:lineRule="auto"/>
      <w:contextualSpacing/>
      <w:jc w:val="center"/>
      <w:outlineLvl w:val="0"/>
    </w:pPr>
    <w:rPr>
      <w:rFonts w:ascii="Times New Roman Bold" w:eastAsia="Calibri" w:hAnsi="Times New Roman Bold" w:cs="EntezareZohoor 1 **"/>
      <w:b/>
      <w:bCs/>
      <w:color w:val="0070C0"/>
      <w:sz w:val="44"/>
      <w:szCs w:val="48"/>
      <w:lang w:bidi="ar-SA"/>
      <w14:shadow w14:blurRad="50800" w14:dist="38100" w14:dir="0" w14:sx="100000" w14:sy="100000" w14:kx="0" w14:ky="0" w14:algn="l">
        <w14:srgbClr w14:val="000000">
          <w14:alpha w14:val="60000"/>
        </w14:srgbClr>
      </w14:shadow>
    </w:rPr>
  </w:style>
  <w:style w:type="character" w:customStyle="1" w:styleId="1Char">
    <w:name w:val="تيتر 1 Char"/>
    <w:link w:val="1"/>
    <w:rsid w:val="006D2C94"/>
    <w:rPr>
      <w:rFonts w:ascii="Times New Roman Bold" w:eastAsia="Calibri" w:hAnsi="Times New Roman Bold" w:cs="EntezareZohoor 1 **"/>
      <w:b/>
      <w:bCs/>
      <w:color w:val="0070C0"/>
      <w:sz w:val="44"/>
      <w:szCs w:val="48"/>
      <w:lang w:bidi="ar-SA"/>
      <w14:shadow w14:blurRad="50800" w14:dist="38100" w14:dir="0" w14:sx="100000" w14:sy="100000" w14:kx="0" w14:ky="0" w14:algn="l">
        <w14:srgbClr w14:val="000000">
          <w14:alpha w14:val="60000"/>
        </w14:srgbClr>
      </w14:shadow>
    </w:rPr>
  </w:style>
  <w:style w:type="paragraph" w:customStyle="1" w:styleId="2">
    <w:name w:val="تيتر 2"/>
    <w:basedOn w:val="a0"/>
    <w:next w:val="a0"/>
    <w:locked/>
    <w:rsid w:val="006D2C94"/>
    <w:pPr>
      <w:keepNext/>
      <w:widowControl/>
      <w:numPr>
        <w:ilvl w:val="1"/>
        <w:numId w:val="5"/>
      </w:numPr>
      <w:spacing w:before="240" w:after="60" w:line="240" w:lineRule="auto"/>
      <w:ind w:left="1894" w:hanging="360"/>
      <w:jc w:val="left"/>
      <w:outlineLvl w:val="1"/>
    </w:pPr>
    <w:rPr>
      <w:rFonts w:ascii="Times New Roman Bold" w:hAnsi="Times New Roman Bold" w:cs="B Titr"/>
      <w:b/>
      <w:bCs/>
      <w:color w:val="0070C0"/>
      <w:sz w:val="28"/>
      <w:szCs w:val="28"/>
    </w:rPr>
  </w:style>
  <w:style w:type="paragraph" w:customStyle="1" w:styleId="3">
    <w:name w:val="تيتر 3"/>
    <w:basedOn w:val="2"/>
    <w:locked/>
    <w:rsid w:val="006D2C94"/>
    <w:pPr>
      <w:numPr>
        <w:ilvl w:val="2"/>
      </w:numPr>
      <w:spacing w:before="120"/>
      <w:ind w:left="2614" w:hanging="360"/>
      <w:outlineLvl w:val="2"/>
    </w:pPr>
    <w:rPr>
      <w:rFonts w:cs="B Zar"/>
    </w:rPr>
  </w:style>
  <w:style w:type="paragraph" w:customStyle="1" w:styleId="4">
    <w:name w:val="تيتر 4"/>
    <w:basedOn w:val="a0"/>
    <w:locked/>
    <w:rsid w:val="006D2C94"/>
    <w:pPr>
      <w:keepNext/>
      <w:widowControl/>
      <w:tabs>
        <w:tab w:val="num" w:pos="360"/>
      </w:tabs>
      <w:spacing w:before="240" w:line="240" w:lineRule="auto"/>
      <w:ind w:left="1134" w:hanging="1134"/>
      <w:outlineLvl w:val="4"/>
    </w:pPr>
    <w:rPr>
      <w:b/>
      <w:bCs/>
      <w:color w:val="0070C0"/>
      <w:sz w:val="24"/>
      <w:szCs w:val="28"/>
    </w:rPr>
  </w:style>
  <w:style w:type="paragraph" w:customStyle="1" w:styleId="5">
    <w:name w:val="تيتر 5"/>
    <w:basedOn w:val="a0"/>
    <w:locked/>
    <w:rsid w:val="006D2C94"/>
    <w:pPr>
      <w:keepNext/>
      <w:widowControl/>
      <w:tabs>
        <w:tab w:val="num" w:pos="360"/>
      </w:tabs>
      <w:spacing w:before="240"/>
      <w:ind w:left="1134" w:hanging="1134"/>
      <w:outlineLvl w:val="5"/>
    </w:pPr>
    <w:rPr>
      <w:b/>
      <w:bCs/>
      <w:color w:val="0070C0"/>
      <w:sz w:val="24"/>
    </w:rPr>
  </w:style>
  <w:style w:type="paragraph" w:styleId="Header">
    <w:name w:val="header"/>
    <w:basedOn w:val="Normal"/>
    <w:link w:val="HeaderChar"/>
    <w:uiPriority w:val="99"/>
    <w:unhideWhenUsed/>
    <w:rsid w:val="006D2C9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2C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2C9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2C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2C9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D2C94"/>
    <w:rPr>
      <w:rFonts w:ascii="Tahoma" w:eastAsia="Times New Roman" w:hAnsi="Tahoma" w:cs="Tahoma"/>
      <w:sz w:val="16"/>
      <w:szCs w:val="16"/>
    </w:rPr>
  </w:style>
  <w:style w:type="character" w:styleId="Strong">
    <w:name w:val="Strong"/>
    <w:basedOn w:val="DefaultParagraphFont"/>
    <w:uiPriority w:val="22"/>
    <w:qFormat/>
    <w:rsid w:val="006D2C94"/>
    <w:rPr>
      <w:b/>
      <w:bCs/>
    </w:rPr>
  </w:style>
  <w:style w:type="character" w:customStyle="1" w:styleId="lblbodydetail">
    <w:name w:val="lblbodydetail"/>
    <w:basedOn w:val="DefaultParagraphFont"/>
    <w:rsid w:val="006D2C94"/>
  </w:style>
  <w:style w:type="table" w:customStyle="1" w:styleId="TableGrid1">
    <w:name w:val="Table Grid1"/>
    <w:basedOn w:val="TableNormal"/>
    <w:next w:val="TableGrid"/>
    <w:uiPriority w:val="39"/>
    <w:rsid w:val="006D2C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n">
    <w:name w:val="matn"/>
    <w:basedOn w:val="BodyText2"/>
    <w:rsid w:val="006D2C94"/>
    <w:pPr>
      <w:spacing w:line="312" w:lineRule="auto"/>
      <w:ind w:firstLine="567"/>
    </w:pPr>
    <w:rPr>
      <w:rFonts w:cs="B Mitra"/>
      <w:color w:val="000000"/>
      <w:sz w:val="28"/>
      <w:szCs w:val="28"/>
      <w:lang w:val="en-US" w:eastAsia="en-US"/>
    </w:rPr>
  </w:style>
  <w:style w:type="paragraph" w:customStyle="1" w:styleId="a1">
    <w:name w:val="متن"/>
    <w:basedOn w:val="Normal"/>
    <w:rsid w:val="006D2C94"/>
    <w:pPr>
      <w:spacing w:after="0" w:line="312" w:lineRule="auto"/>
      <w:ind w:firstLine="454"/>
      <w:jc w:val="both"/>
    </w:pPr>
    <w:rPr>
      <w:rFonts w:ascii="Times New Roman" w:eastAsia="Times New Roman" w:hAnsi="Times New Roman" w:cs="B Lotus"/>
      <w:sz w:val="24"/>
      <w:szCs w:val="28"/>
      <w:lang w:bidi="ar-SA"/>
    </w:rPr>
  </w:style>
  <w:style w:type="paragraph" w:customStyle="1" w:styleId="a2">
    <w:name w:val="فهرست منابع"/>
    <w:basedOn w:val="a1"/>
    <w:rsid w:val="006D2C94"/>
    <w:pPr>
      <w:spacing w:after="60" w:line="276" w:lineRule="auto"/>
      <w:ind w:left="397" w:firstLine="0"/>
    </w:pPr>
    <w:rPr>
      <w:szCs w:val="26"/>
      <w:lang w:bidi="fa-IR"/>
    </w:rPr>
  </w:style>
  <w:style w:type="paragraph" w:styleId="TOC2">
    <w:name w:val="toc 2"/>
    <w:basedOn w:val="Normal"/>
    <w:next w:val="Normal"/>
    <w:autoRedefine/>
    <w:uiPriority w:val="39"/>
    <w:unhideWhenUsed/>
    <w:rsid w:val="006D2C94"/>
    <w:pPr>
      <w:spacing w:after="0"/>
      <w:ind w:left="220"/>
    </w:pPr>
    <w:rPr>
      <w:rFonts w:cstheme="minorHAnsi"/>
      <w:smallCaps/>
      <w:sz w:val="20"/>
      <w:szCs w:val="24"/>
    </w:rPr>
  </w:style>
  <w:style w:type="paragraph" w:styleId="TOC1">
    <w:name w:val="toc 1"/>
    <w:basedOn w:val="Normal"/>
    <w:next w:val="Normal"/>
    <w:autoRedefine/>
    <w:uiPriority w:val="39"/>
    <w:unhideWhenUsed/>
    <w:rsid w:val="006D2C94"/>
    <w:pPr>
      <w:tabs>
        <w:tab w:val="right" w:leader="dot" w:pos="9016"/>
      </w:tabs>
      <w:spacing w:before="120" w:after="120"/>
    </w:pPr>
    <w:rPr>
      <w:rFonts w:eastAsia="Calibri" w:cs="B Mitra"/>
      <w:caps/>
      <w:noProof/>
      <w:sz w:val="24"/>
      <w:szCs w:val="24"/>
    </w:rPr>
  </w:style>
  <w:style w:type="paragraph" w:styleId="TOC3">
    <w:name w:val="toc 3"/>
    <w:basedOn w:val="Normal"/>
    <w:next w:val="Normal"/>
    <w:autoRedefine/>
    <w:uiPriority w:val="39"/>
    <w:unhideWhenUsed/>
    <w:rsid w:val="006D2C94"/>
    <w:pPr>
      <w:spacing w:after="0"/>
      <w:ind w:left="440"/>
    </w:pPr>
    <w:rPr>
      <w:rFonts w:cstheme="minorHAnsi"/>
      <w:i/>
      <w:iCs/>
      <w:sz w:val="20"/>
      <w:szCs w:val="24"/>
    </w:rPr>
  </w:style>
  <w:style w:type="paragraph" w:customStyle="1" w:styleId="a3">
    <w:name w:val="پرسشنامه"/>
    <w:basedOn w:val="Normal"/>
    <w:rsid w:val="006D2C94"/>
    <w:pPr>
      <w:tabs>
        <w:tab w:val="center" w:leader="dot" w:pos="8815"/>
        <w:tab w:val="right" w:pos="9355"/>
      </w:tabs>
      <w:autoSpaceDE w:val="0"/>
      <w:autoSpaceDN w:val="0"/>
      <w:adjustRightInd w:val="0"/>
      <w:spacing w:after="0" w:line="192" w:lineRule="auto"/>
      <w:jc w:val="both"/>
    </w:pPr>
    <w:rPr>
      <w:rFonts w:ascii="Times New Roman" w:eastAsia="Times New Roman" w:hAnsi="Times New Roman" w:cs="B Badr"/>
      <w:szCs w:val="26"/>
      <w:lang w:bidi="ar-SA"/>
    </w:rPr>
  </w:style>
  <w:style w:type="paragraph" w:customStyle="1" w:styleId="a4">
    <w:name w:val="تیتر فرعی"/>
    <w:basedOn w:val="a1"/>
    <w:rsid w:val="006D2C94"/>
    <w:pPr>
      <w:keepNext/>
      <w:spacing w:before="180" w:line="360" w:lineRule="auto"/>
      <w:ind w:firstLine="0"/>
    </w:pPr>
    <w:rPr>
      <w:rFonts w:ascii="Times New Roman Bold" w:hAnsi="Times New Roman Bold"/>
      <w:b/>
      <w:bCs/>
      <w:szCs w:val="26"/>
    </w:rPr>
  </w:style>
  <w:style w:type="paragraph" w:styleId="TOC4">
    <w:name w:val="toc 4"/>
    <w:basedOn w:val="Normal"/>
    <w:next w:val="Normal"/>
    <w:autoRedefine/>
    <w:uiPriority w:val="39"/>
    <w:unhideWhenUsed/>
    <w:rsid w:val="006D2C94"/>
    <w:pPr>
      <w:spacing w:after="0"/>
      <w:ind w:left="660"/>
    </w:pPr>
    <w:rPr>
      <w:rFonts w:cstheme="minorHAnsi"/>
      <w:sz w:val="18"/>
      <w:szCs w:val="21"/>
    </w:rPr>
  </w:style>
  <w:style w:type="paragraph" w:customStyle="1" w:styleId="Caption1">
    <w:name w:val="Caption1"/>
    <w:basedOn w:val="Normal"/>
    <w:next w:val="Normal"/>
    <w:uiPriority w:val="35"/>
    <w:unhideWhenUsed/>
    <w:qFormat/>
    <w:rsid w:val="006D2C94"/>
    <w:pPr>
      <w:spacing w:after="200" w:line="240" w:lineRule="auto"/>
    </w:pPr>
    <w:rPr>
      <w:rFonts w:ascii="Times New Roman" w:eastAsia="Times New Roman" w:hAnsi="Times New Roman" w:cs="Times New Roman"/>
      <w:b/>
      <w:bCs/>
      <w:color w:val="4F81BD"/>
      <w:sz w:val="18"/>
      <w:szCs w:val="18"/>
    </w:rPr>
  </w:style>
  <w:style w:type="paragraph" w:customStyle="1" w:styleId="a5">
    <w:name w:val="عنوان جدول"/>
    <w:basedOn w:val="a1"/>
    <w:rsid w:val="006D2C94"/>
    <w:pPr>
      <w:keepNext/>
      <w:spacing w:before="180"/>
      <w:ind w:firstLine="0"/>
      <w:jc w:val="center"/>
    </w:pPr>
    <w:rPr>
      <w:rFonts w:ascii="Times New Roman Bold" w:hAnsi="Times New Roman Bold"/>
      <w:b/>
      <w:bCs/>
      <w:color w:val="0070C0"/>
      <w:sz w:val="18"/>
      <w:szCs w:val="22"/>
    </w:rPr>
  </w:style>
  <w:style w:type="paragraph" w:customStyle="1" w:styleId="a6">
    <w:name w:val="سطرمأخذوتوضیح"/>
    <w:basedOn w:val="a1"/>
    <w:rsid w:val="006D2C94"/>
    <w:pPr>
      <w:spacing w:after="120"/>
    </w:pPr>
    <w:rPr>
      <w:sz w:val="18"/>
      <w:szCs w:val="20"/>
    </w:rPr>
  </w:style>
  <w:style w:type="paragraph" w:customStyle="1" w:styleId="a7">
    <w:name w:val="متن جدول"/>
    <w:basedOn w:val="Normal"/>
    <w:rsid w:val="006D2C94"/>
    <w:pPr>
      <w:keepNext/>
      <w:spacing w:after="0" w:line="240" w:lineRule="auto"/>
      <w:jc w:val="center"/>
    </w:pPr>
    <w:rPr>
      <w:rFonts w:ascii="Times New Roman" w:eastAsia="Times New Roman" w:hAnsi="Times New Roman" w:cs="B Lotus"/>
      <w:sz w:val="20"/>
    </w:rPr>
  </w:style>
  <w:style w:type="character" w:customStyle="1" w:styleId="FollowedHyperlink1">
    <w:name w:val="FollowedHyperlink1"/>
    <w:basedOn w:val="DefaultParagraphFont"/>
    <w:uiPriority w:val="99"/>
    <w:semiHidden/>
    <w:unhideWhenUsed/>
    <w:rsid w:val="006D2C94"/>
    <w:rPr>
      <w:color w:val="800080"/>
      <w:u w:val="single"/>
    </w:rPr>
  </w:style>
  <w:style w:type="paragraph" w:styleId="BodyTextIndent2">
    <w:name w:val="Body Text Indent 2"/>
    <w:basedOn w:val="Normal"/>
    <w:link w:val="BodyTextIndent2Char"/>
    <w:uiPriority w:val="99"/>
    <w:semiHidden/>
    <w:unhideWhenUsed/>
    <w:rsid w:val="006D2C9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6D2C94"/>
    <w:rPr>
      <w:rFonts w:ascii="Times New Roman" w:eastAsia="Times New Roman" w:hAnsi="Times New Roman" w:cs="Times New Roman"/>
      <w:sz w:val="24"/>
      <w:szCs w:val="24"/>
    </w:rPr>
  </w:style>
  <w:style w:type="paragraph" w:customStyle="1" w:styleId="a8">
    <w:name w:val="متنجد"/>
    <w:basedOn w:val="Normal"/>
    <w:uiPriority w:val="99"/>
    <w:rsid w:val="006D2C94"/>
    <w:pPr>
      <w:spacing w:after="0" w:line="240" w:lineRule="auto"/>
      <w:jc w:val="center"/>
    </w:pPr>
    <w:rPr>
      <w:rFonts w:ascii="Times New Roman" w:eastAsia="Times New Roman" w:hAnsi="Times New Roman" w:cs="B Lotus"/>
      <w:bCs/>
      <w:i/>
      <w:sz w:val="20"/>
      <w:lang w:bidi="ar-SA"/>
    </w:rPr>
  </w:style>
  <w:style w:type="paragraph" w:customStyle="1" w:styleId="50">
    <w:name w:val="متنجد5"/>
    <w:basedOn w:val="Normal"/>
    <w:uiPriority w:val="99"/>
    <w:rsid w:val="006D2C94"/>
    <w:pPr>
      <w:keepNext/>
      <w:spacing w:after="0" w:line="240" w:lineRule="auto"/>
    </w:pPr>
    <w:rPr>
      <w:rFonts w:ascii="Times New Roman" w:eastAsia="Times New Roman" w:hAnsi="Times New Roman" w:cs="B Lotus"/>
      <w:i/>
      <w:sz w:val="16"/>
      <w:szCs w:val="16"/>
      <w:lang w:bidi="ar-SA"/>
    </w:rPr>
  </w:style>
  <w:style w:type="paragraph" w:customStyle="1" w:styleId="6">
    <w:name w:val="متنجد6"/>
    <w:basedOn w:val="Normal"/>
    <w:uiPriority w:val="99"/>
    <w:rsid w:val="006D2C94"/>
    <w:pPr>
      <w:keepNext/>
      <w:spacing w:after="0" w:line="240" w:lineRule="auto"/>
      <w:jc w:val="center"/>
    </w:pPr>
    <w:rPr>
      <w:rFonts w:ascii="Times New Roman" w:eastAsia="Times New Roman" w:hAnsi="Times New Roman" w:cs="B Lotus"/>
      <w:sz w:val="16"/>
      <w:szCs w:val="16"/>
      <w:lang w:bidi="ar-SA"/>
    </w:rPr>
  </w:style>
  <w:style w:type="paragraph" w:customStyle="1" w:styleId="40">
    <w:name w:val="متنجد4"/>
    <w:basedOn w:val="Normal"/>
    <w:uiPriority w:val="99"/>
    <w:rsid w:val="006D2C94"/>
    <w:pPr>
      <w:keepNext/>
      <w:spacing w:after="0" w:line="240" w:lineRule="auto"/>
    </w:pPr>
    <w:rPr>
      <w:rFonts w:ascii="Times New Roman" w:eastAsia="Times New Roman" w:hAnsi="Times New Roman" w:cs="B Lotus"/>
      <w:i/>
      <w:sz w:val="20"/>
      <w:szCs w:val="20"/>
      <w:lang w:bidi="ar-SA"/>
    </w:rPr>
  </w:style>
  <w:style w:type="paragraph" w:customStyle="1" w:styleId="20">
    <w:name w:val="متنجد2"/>
    <w:basedOn w:val="Normal"/>
    <w:uiPriority w:val="99"/>
    <w:rsid w:val="006D2C94"/>
    <w:pPr>
      <w:spacing w:after="0" w:line="240" w:lineRule="auto"/>
      <w:jc w:val="center"/>
    </w:pPr>
    <w:rPr>
      <w:rFonts w:ascii="Times New Roman" w:eastAsia="Times New Roman" w:hAnsi="Times New Roman" w:cs="B Lotus"/>
      <w:lang w:bidi="ar-SA"/>
    </w:rPr>
  </w:style>
  <w:style w:type="paragraph" w:styleId="TableofFigures">
    <w:name w:val="table of figures"/>
    <w:basedOn w:val="Normal"/>
    <w:next w:val="Normal"/>
    <w:uiPriority w:val="99"/>
    <w:unhideWhenUsed/>
    <w:rsid w:val="006D2C94"/>
    <w:pPr>
      <w:spacing w:after="40" w:line="240" w:lineRule="auto"/>
      <w:ind w:left="238"/>
    </w:pPr>
    <w:rPr>
      <w:rFonts w:ascii="Times New Roman" w:eastAsia="Times New Roman" w:hAnsi="Times New Roman" w:cs="B Lotus"/>
      <w:sz w:val="24"/>
      <w:szCs w:val="24"/>
    </w:rPr>
  </w:style>
  <w:style w:type="paragraph" w:customStyle="1" w:styleId="a9">
    <w:name w:val="عنوان نمودار"/>
    <w:basedOn w:val="a5"/>
    <w:rsid w:val="006D2C94"/>
    <w:pPr>
      <w:keepNext w:val="0"/>
      <w:spacing w:before="0" w:after="180"/>
    </w:pPr>
  </w:style>
  <w:style w:type="paragraph" w:customStyle="1" w:styleId="aa">
    <w:name w:val="شکل و نمودار"/>
    <w:basedOn w:val="a1"/>
    <w:rsid w:val="006D2C94"/>
    <w:pPr>
      <w:keepNext/>
      <w:ind w:firstLine="0"/>
      <w:jc w:val="center"/>
    </w:pPr>
    <w:rPr>
      <w:lang w:bidi="fa-IR"/>
    </w:rPr>
  </w:style>
  <w:style w:type="paragraph" w:customStyle="1" w:styleId="ab">
    <w:name w:val="رابطه"/>
    <w:basedOn w:val="a1"/>
    <w:rsid w:val="006D2C94"/>
    <w:pPr>
      <w:tabs>
        <w:tab w:val="right" w:pos="8505"/>
      </w:tabs>
      <w:spacing w:before="60" w:after="60" w:line="240" w:lineRule="auto"/>
      <w:ind w:firstLine="0"/>
    </w:pPr>
    <w:rPr>
      <w:sz w:val="22"/>
      <w:szCs w:val="24"/>
    </w:rPr>
  </w:style>
  <w:style w:type="paragraph" w:customStyle="1" w:styleId="ac">
    <w:name w:val="عدد فارسی"/>
    <w:basedOn w:val="a7"/>
    <w:rsid w:val="006D2C94"/>
    <w:pPr>
      <w:bidi w:val="0"/>
    </w:pPr>
    <w:rPr>
      <w:rFonts w:ascii="B Lotus" w:eastAsia="B Lotus" w:hAnsi="B Lotus"/>
      <w:szCs w:val="20"/>
    </w:rPr>
  </w:style>
  <w:style w:type="character" w:styleId="CommentReference">
    <w:name w:val="annotation reference"/>
    <w:basedOn w:val="DefaultParagraphFont"/>
    <w:uiPriority w:val="99"/>
    <w:semiHidden/>
    <w:unhideWhenUsed/>
    <w:rsid w:val="006D2C94"/>
    <w:rPr>
      <w:sz w:val="16"/>
      <w:szCs w:val="16"/>
    </w:rPr>
  </w:style>
  <w:style w:type="paragraph" w:styleId="CommentText">
    <w:name w:val="annotation text"/>
    <w:basedOn w:val="Normal"/>
    <w:link w:val="CommentTextChar"/>
    <w:uiPriority w:val="99"/>
    <w:semiHidden/>
    <w:unhideWhenUsed/>
    <w:rsid w:val="006D2C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D2C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2C94"/>
    <w:rPr>
      <w:b/>
      <w:bCs/>
    </w:rPr>
  </w:style>
  <w:style w:type="character" w:customStyle="1" w:styleId="CommentSubjectChar">
    <w:name w:val="Comment Subject Char"/>
    <w:basedOn w:val="CommentTextChar"/>
    <w:link w:val="CommentSubject"/>
    <w:uiPriority w:val="99"/>
    <w:semiHidden/>
    <w:rsid w:val="006D2C94"/>
    <w:rPr>
      <w:rFonts w:ascii="Times New Roman" w:eastAsia="Times New Roman" w:hAnsi="Times New Roman" w:cs="Times New Roman"/>
      <w:b/>
      <w:bCs/>
      <w:sz w:val="20"/>
      <w:szCs w:val="20"/>
    </w:rPr>
  </w:style>
  <w:style w:type="paragraph" w:customStyle="1" w:styleId="TOC51">
    <w:name w:val="TOC 51"/>
    <w:basedOn w:val="Normal"/>
    <w:next w:val="Normal"/>
    <w:autoRedefine/>
    <w:uiPriority w:val="39"/>
    <w:unhideWhenUsed/>
    <w:rsid w:val="006D2C94"/>
    <w:pPr>
      <w:spacing w:after="100"/>
      <w:ind w:left="880"/>
    </w:pPr>
    <w:rPr>
      <w:rFonts w:eastAsia="Times New Roman"/>
    </w:rPr>
  </w:style>
  <w:style w:type="paragraph" w:customStyle="1" w:styleId="TOC61">
    <w:name w:val="TOC 61"/>
    <w:basedOn w:val="Normal"/>
    <w:next w:val="Normal"/>
    <w:autoRedefine/>
    <w:uiPriority w:val="39"/>
    <w:unhideWhenUsed/>
    <w:rsid w:val="006D2C94"/>
    <w:pPr>
      <w:spacing w:after="100"/>
      <w:ind w:left="1100"/>
    </w:pPr>
    <w:rPr>
      <w:rFonts w:eastAsia="Times New Roman"/>
    </w:rPr>
  </w:style>
  <w:style w:type="paragraph" w:customStyle="1" w:styleId="TOC71">
    <w:name w:val="TOC 71"/>
    <w:basedOn w:val="Normal"/>
    <w:next w:val="Normal"/>
    <w:autoRedefine/>
    <w:uiPriority w:val="39"/>
    <w:unhideWhenUsed/>
    <w:rsid w:val="006D2C94"/>
    <w:pPr>
      <w:spacing w:after="100"/>
      <w:ind w:left="1320"/>
    </w:pPr>
    <w:rPr>
      <w:rFonts w:eastAsia="Times New Roman"/>
    </w:rPr>
  </w:style>
  <w:style w:type="paragraph" w:customStyle="1" w:styleId="TOC81">
    <w:name w:val="TOC 81"/>
    <w:basedOn w:val="Normal"/>
    <w:next w:val="Normal"/>
    <w:autoRedefine/>
    <w:uiPriority w:val="39"/>
    <w:unhideWhenUsed/>
    <w:rsid w:val="006D2C94"/>
    <w:pPr>
      <w:spacing w:after="100"/>
      <w:ind w:left="1540"/>
    </w:pPr>
    <w:rPr>
      <w:rFonts w:eastAsia="Times New Roman"/>
    </w:rPr>
  </w:style>
  <w:style w:type="paragraph" w:customStyle="1" w:styleId="TOC91">
    <w:name w:val="TOC 91"/>
    <w:basedOn w:val="Normal"/>
    <w:next w:val="Normal"/>
    <w:autoRedefine/>
    <w:uiPriority w:val="39"/>
    <w:unhideWhenUsed/>
    <w:rsid w:val="006D2C94"/>
    <w:pPr>
      <w:spacing w:after="100"/>
      <w:ind w:left="1760"/>
    </w:pPr>
    <w:rPr>
      <w:rFonts w:eastAsia="Times New Roman"/>
    </w:rPr>
  </w:style>
  <w:style w:type="character" w:customStyle="1" w:styleId="Heading1Char1">
    <w:name w:val="Heading 1 Char1"/>
    <w:basedOn w:val="DefaultParagraphFont"/>
    <w:uiPriority w:val="9"/>
    <w:rsid w:val="006D2C9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6D2C9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6D2C94"/>
    <w:rPr>
      <w:rFonts w:asciiTheme="majorHAnsi" w:eastAsiaTheme="majorEastAsia" w:hAnsiTheme="majorHAnsi" w:cstheme="majorBidi"/>
      <w:color w:val="1F4D78" w:themeColor="accent1" w:themeShade="7F"/>
      <w:sz w:val="24"/>
      <w:szCs w:val="24"/>
    </w:rPr>
  </w:style>
  <w:style w:type="character" w:customStyle="1" w:styleId="Heading6Char1">
    <w:name w:val="Heading 6 Char1"/>
    <w:basedOn w:val="DefaultParagraphFont"/>
    <w:uiPriority w:val="9"/>
    <w:semiHidden/>
    <w:rsid w:val="006D2C94"/>
    <w:rPr>
      <w:rFonts w:asciiTheme="majorHAnsi" w:eastAsiaTheme="majorEastAsia" w:hAnsiTheme="majorHAnsi" w:cstheme="majorBidi"/>
      <w:color w:val="1F4D78" w:themeColor="accent1" w:themeShade="7F"/>
    </w:rPr>
  </w:style>
  <w:style w:type="character" w:customStyle="1" w:styleId="Heading8Char1">
    <w:name w:val="Heading 8 Char1"/>
    <w:basedOn w:val="DefaultParagraphFont"/>
    <w:uiPriority w:val="9"/>
    <w:semiHidden/>
    <w:rsid w:val="006D2C94"/>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6D2C94"/>
    <w:rPr>
      <w:color w:val="954F72" w:themeColor="followedHyperlink"/>
      <w:u w:val="single"/>
    </w:rPr>
  </w:style>
  <w:style w:type="table" w:styleId="GridTable2">
    <w:name w:val="Grid Table 2"/>
    <w:basedOn w:val="TableNormal"/>
    <w:uiPriority w:val="47"/>
    <w:rsid w:val="006D2C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6D2C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Char0">
    <w:name w:val="متن 1 Char"/>
    <w:link w:val="11"/>
    <w:locked/>
    <w:rsid w:val="006D2C94"/>
    <w:rPr>
      <w:rFonts w:ascii="Times New Roman" w:hAnsi="Times New Roman" w:cs="B Badr"/>
      <w:i/>
      <w:sz w:val="24"/>
      <w:szCs w:val="28"/>
    </w:rPr>
  </w:style>
  <w:style w:type="paragraph" w:customStyle="1" w:styleId="11">
    <w:name w:val="متن 1"/>
    <w:basedOn w:val="Normal"/>
    <w:link w:val="1Char0"/>
    <w:rsid w:val="006D2C94"/>
    <w:pPr>
      <w:spacing w:before="60" w:after="0" w:line="288" w:lineRule="auto"/>
      <w:ind w:firstLine="425"/>
      <w:jc w:val="both"/>
    </w:pPr>
    <w:rPr>
      <w:rFonts w:ascii="Times New Roman" w:hAnsi="Times New Roman" w:cs="B Badr"/>
      <w:i/>
      <w:sz w:val="24"/>
      <w:szCs w:val="28"/>
    </w:rPr>
  </w:style>
  <w:style w:type="paragraph" w:styleId="TOCHeading">
    <w:name w:val="TOC Heading"/>
    <w:basedOn w:val="Heading1"/>
    <w:next w:val="Normal"/>
    <w:uiPriority w:val="39"/>
    <w:unhideWhenUsed/>
    <w:qFormat/>
    <w:rsid w:val="006D2C94"/>
    <w:pPr>
      <w:bidi w:val="0"/>
      <w:outlineLvl w:val="9"/>
    </w:pPr>
    <w:rPr>
      <w:rFonts w:asciiTheme="majorHAnsi" w:eastAsiaTheme="majorEastAsia" w:hAnsiTheme="majorHAnsi" w:cstheme="majorBidi"/>
      <w:b w:val="0"/>
      <w:bCs w:val="0"/>
      <w:color w:val="2E74B5" w:themeColor="accent1" w:themeShade="BF"/>
      <w:sz w:val="32"/>
      <w:szCs w:val="32"/>
      <w:lang w:bidi="ar-SA"/>
    </w:rPr>
  </w:style>
  <w:style w:type="paragraph" w:styleId="TOC5">
    <w:name w:val="toc 5"/>
    <w:basedOn w:val="Normal"/>
    <w:next w:val="Normal"/>
    <w:autoRedefine/>
    <w:uiPriority w:val="39"/>
    <w:unhideWhenUsed/>
    <w:rsid w:val="006D2C94"/>
    <w:pPr>
      <w:spacing w:after="0"/>
      <w:ind w:left="880"/>
    </w:pPr>
    <w:rPr>
      <w:rFonts w:cstheme="minorHAnsi"/>
      <w:sz w:val="18"/>
      <w:szCs w:val="21"/>
    </w:rPr>
  </w:style>
  <w:style w:type="paragraph" w:styleId="TOC6">
    <w:name w:val="toc 6"/>
    <w:basedOn w:val="Normal"/>
    <w:next w:val="Normal"/>
    <w:autoRedefine/>
    <w:uiPriority w:val="39"/>
    <w:unhideWhenUsed/>
    <w:rsid w:val="006D2C94"/>
    <w:pPr>
      <w:spacing w:after="0"/>
      <w:ind w:left="1100"/>
    </w:pPr>
    <w:rPr>
      <w:rFonts w:cstheme="minorHAnsi"/>
      <w:sz w:val="18"/>
      <w:szCs w:val="21"/>
    </w:rPr>
  </w:style>
  <w:style w:type="paragraph" w:styleId="TOC7">
    <w:name w:val="toc 7"/>
    <w:basedOn w:val="Normal"/>
    <w:next w:val="Normal"/>
    <w:autoRedefine/>
    <w:uiPriority w:val="39"/>
    <w:unhideWhenUsed/>
    <w:rsid w:val="006D2C94"/>
    <w:pPr>
      <w:spacing w:after="0"/>
      <w:ind w:left="1320"/>
    </w:pPr>
    <w:rPr>
      <w:rFonts w:cstheme="minorHAnsi"/>
      <w:sz w:val="18"/>
      <w:szCs w:val="21"/>
    </w:rPr>
  </w:style>
  <w:style w:type="paragraph" w:styleId="TOC8">
    <w:name w:val="toc 8"/>
    <w:basedOn w:val="Normal"/>
    <w:next w:val="Normal"/>
    <w:autoRedefine/>
    <w:uiPriority w:val="39"/>
    <w:unhideWhenUsed/>
    <w:rsid w:val="006D2C94"/>
    <w:pPr>
      <w:spacing w:after="0"/>
      <w:ind w:left="1540"/>
    </w:pPr>
    <w:rPr>
      <w:rFonts w:cstheme="minorHAnsi"/>
      <w:sz w:val="18"/>
      <w:szCs w:val="21"/>
    </w:rPr>
  </w:style>
  <w:style w:type="paragraph" w:styleId="TOC9">
    <w:name w:val="toc 9"/>
    <w:basedOn w:val="Normal"/>
    <w:next w:val="Normal"/>
    <w:autoRedefine/>
    <w:uiPriority w:val="39"/>
    <w:unhideWhenUsed/>
    <w:rsid w:val="006D2C94"/>
    <w:pPr>
      <w:spacing w:after="0"/>
      <w:ind w:left="1760"/>
    </w:pPr>
    <w:rPr>
      <w:rFonts w:cstheme="minorHAnsi"/>
      <w:sz w:val="18"/>
      <w:szCs w:val="21"/>
    </w:rPr>
  </w:style>
  <w:style w:type="paragraph" w:customStyle="1" w:styleId="ad">
    <w:name w:val="نمودارها"/>
    <w:basedOn w:val="TOC1"/>
    <w:qFormat/>
    <w:rsid w:val="006D2C94"/>
    <w:pPr>
      <w:spacing w:line="240" w:lineRule="auto"/>
      <w:jc w:val="center"/>
    </w:pPr>
    <w:rPr>
      <w:bCs/>
    </w:rPr>
  </w:style>
  <w:style w:type="table" w:styleId="GridTable3-Accent5">
    <w:name w:val="Grid Table 3 Accent 5"/>
    <w:basedOn w:val="TableNormal"/>
    <w:uiPriority w:val="48"/>
    <w:rsid w:val="006D2C9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NormalWeb">
    <w:name w:val="Normal (Web)"/>
    <w:basedOn w:val="Normal"/>
    <w:uiPriority w:val="99"/>
    <w:unhideWhenUsed/>
    <w:rsid w:val="00450B9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PlainTable51">
    <w:name w:val="Plain Table 51"/>
    <w:basedOn w:val="TableNormal"/>
    <w:next w:val="PlainTable5"/>
    <w:uiPriority w:val="45"/>
    <w:rsid w:val="002F35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967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557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557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A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6594">
      <w:bodyDiv w:val="1"/>
      <w:marLeft w:val="0"/>
      <w:marRight w:val="0"/>
      <w:marTop w:val="0"/>
      <w:marBottom w:val="0"/>
      <w:divBdr>
        <w:top w:val="none" w:sz="0" w:space="0" w:color="auto"/>
        <w:left w:val="none" w:sz="0" w:space="0" w:color="auto"/>
        <w:bottom w:val="none" w:sz="0" w:space="0" w:color="auto"/>
        <w:right w:val="none" w:sz="0" w:space="0" w:color="auto"/>
      </w:divBdr>
      <w:divsChild>
        <w:div w:id="1469082111">
          <w:marLeft w:val="0"/>
          <w:marRight w:val="0"/>
          <w:marTop w:val="0"/>
          <w:marBottom w:val="0"/>
          <w:divBdr>
            <w:top w:val="none" w:sz="0" w:space="0" w:color="auto"/>
            <w:left w:val="none" w:sz="0" w:space="0" w:color="auto"/>
            <w:bottom w:val="none" w:sz="0" w:space="0" w:color="auto"/>
            <w:right w:val="none" w:sz="0" w:space="0" w:color="auto"/>
          </w:divBdr>
          <w:divsChild>
            <w:div w:id="113838820">
              <w:marLeft w:val="0"/>
              <w:marRight w:val="0"/>
              <w:marTop w:val="0"/>
              <w:marBottom w:val="0"/>
              <w:divBdr>
                <w:top w:val="none" w:sz="0" w:space="0" w:color="auto"/>
                <w:left w:val="none" w:sz="0" w:space="0" w:color="auto"/>
                <w:bottom w:val="none" w:sz="0" w:space="0" w:color="auto"/>
                <w:right w:val="none" w:sz="0" w:space="0" w:color="auto"/>
              </w:divBdr>
              <w:divsChild>
                <w:div w:id="1037706126">
                  <w:marLeft w:val="0"/>
                  <w:marRight w:val="0"/>
                  <w:marTop w:val="0"/>
                  <w:marBottom w:val="0"/>
                  <w:divBdr>
                    <w:top w:val="none" w:sz="0" w:space="0" w:color="auto"/>
                    <w:left w:val="none" w:sz="0" w:space="0" w:color="auto"/>
                    <w:bottom w:val="none" w:sz="0" w:space="0" w:color="auto"/>
                    <w:right w:val="none" w:sz="0" w:space="0" w:color="auto"/>
                  </w:divBdr>
                  <w:divsChild>
                    <w:div w:id="547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08">
      <w:bodyDiv w:val="1"/>
      <w:marLeft w:val="0"/>
      <w:marRight w:val="0"/>
      <w:marTop w:val="0"/>
      <w:marBottom w:val="0"/>
      <w:divBdr>
        <w:top w:val="none" w:sz="0" w:space="0" w:color="auto"/>
        <w:left w:val="none" w:sz="0" w:space="0" w:color="auto"/>
        <w:bottom w:val="none" w:sz="0" w:space="0" w:color="auto"/>
        <w:right w:val="none" w:sz="0" w:space="0" w:color="auto"/>
      </w:divBdr>
    </w:div>
    <w:div w:id="106389762">
      <w:bodyDiv w:val="1"/>
      <w:marLeft w:val="0"/>
      <w:marRight w:val="0"/>
      <w:marTop w:val="0"/>
      <w:marBottom w:val="0"/>
      <w:divBdr>
        <w:top w:val="none" w:sz="0" w:space="0" w:color="auto"/>
        <w:left w:val="none" w:sz="0" w:space="0" w:color="auto"/>
        <w:bottom w:val="none" w:sz="0" w:space="0" w:color="auto"/>
        <w:right w:val="none" w:sz="0" w:space="0" w:color="auto"/>
      </w:divBdr>
      <w:divsChild>
        <w:div w:id="1910730763">
          <w:marLeft w:val="0"/>
          <w:marRight w:val="0"/>
          <w:marTop w:val="0"/>
          <w:marBottom w:val="0"/>
          <w:divBdr>
            <w:top w:val="none" w:sz="0" w:space="0" w:color="auto"/>
            <w:left w:val="none" w:sz="0" w:space="0" w:color="auto"/>
            <w:bottom w:val="none" w:sz="0" w:space="0" w:color="auto"/>
            <w:right w:val="none" w:sz="0" w:space="0" w:color="auto"/>
          </w:divBdr>
        </w:div>
      </w:divsChild>
    </w:div>
    <w:div w:id="177697646">
      <w:bodyDiv w:val="1"/>
      <w:marLeft w:val="0"/>
      <w:marRight w:val="0"/>
      <w:marTop w:val="0"/>
      <w:marBottom w:val="0"/>
      <w:divBdr>
        <w:top w:val="none" w:sz="0" w:space="0" w:color="auto"/>
        <w:left w:val="none" w:sz="0" w:space="0" w:color="auto"/>
        <w:bottom w:val="none" w:sz="0" w:space="0" w:color="auto"/>
        <w:right w:val="none" w:sz="0" w:space="0" w:color="auto"/>
      </w:divBdr>
    </w:div>
    <w:div w:id="224072845">
      <w:bodyDiv w:val="1"/>
      <w:marLeft w:val="0"/>
      <w:marRight w:val="0"/>
      <w:marTop w:val="0"/>
      <w:marBottom w:val="0"/>
      <w:divBdr>
        <w:top w:val="none" w:sz="0" w:space="0" w:color="auto"/>
        <w:left w:val="none" w:sz="0" w:space="0" w:color="auto"/>
        <w:bottom w:val="none" w:sz="0" w:space="0" w:color="auto"/>
        <w:right w:val="none" w:sz="0" w:space="0" w:color="auto"/>
      </w:divBdr>
    </w:div>
    <w:div w:id="286393736">
      <w:bodyDiv w:val="1"/>
      <w:marLeft w:val="0"/>
      <w:marRight w:val="0"/>
      <w:marTop w:val="0"/>
      <w:marBottom w:val="0"/>
      <w:divBdr>
        <w:top w:val="none" w:sz="0" w:space="0" w:color="auto"/>
        <w:left w:val="none" w:sz="0" w:space="0" w:color="auto"/>
        <w:bottom w:val="none" w:sz="0" w:space="0" w:color="auto"/>
        <w:right w:val="none" w:sz="0" w:space="0" w:color="auto"/>
      </w:divBdr>
      <w:divsChild>
        <w:div w:id="1072389667">
          <w:marLeft w:val="0"/>
          <w:marRight w:val="0"/>
          <w:marTop w:val="0"/>
          <w:marBottom w:val="0"/>
          <w:divBdr>
            <w:top w:val="none" w:sz="0" w:space="0" w:color="auto"/>
            <w:left w:val="none" w:sz="0" w:space="0" w:color="auto"/>
            <w:bottom w:val="none" w:sz="0" w:space="0" w:color="auto"/>
            <w:right w:val="none" w:sz="0" w:space="0" w:color="auto"/>
          </w:divBdr>
        </w:div>
      </w:divsChild>
    </w:div>
    <w:div w:id="411392649">
      <w:bodyDiv w:val="1"/>
      <w:marLeft w:val="0"/>
      <w:marRight w:val="0"/>
      <w:marTop w:val="0"/>
      <w:marBottom w:val="0"/>
      <w:divBdr>
        <w:top w:val="none" w:sz="0" w:space="0" w:color="auto"/>
        <w:left w:val="none" w:sz="0" w:space="0" w:color="auto"/>
        <w:bottom w:val="none" w:sz="0" w:space="0" w:color="auto"/>
        <w:right w:val="none" w:sz="0" w:space="0" w:color="auto"/>
      </w:divBdr>
      <w:divsChild>
        <w:div w:id="2008090755">
          <w:marLeft w:val="0"/>
          <w:marRight w:val="0"/>
          <w:marTop w:val="0"/>
          <w:marBottom w:val="0"/>
          <w:divBdr>
            <w:top w:val="none" w:sz="0" w:space="0" w:color="auto"/>
            <w:left w:val="none" w:sz="0" w:space="0" w:color="auto"/>
            <w:bottom w:val="none" w:sz="0" w:space="0" w:color="auto"/>
            <w:right w:val="none" w:sz="0" w:space="0" w:color="auto"/>
          </w:divBdr>
        </w:div>
      </w:divsChild>
    </w:div>
    <w:div w:id="460929078">
      <w:bodyDiv w:val="1"/>
      <w:marLeft w:val="0"/>
      <w:marRight w:val="0"/>
      <w:marTop w:val="0"/>
      <w:marBottom w:val="0"/>
      <w:divBdr>
        <w:top w:val="none" w:sz="0" w:space="0" w:color="auto"/>
        <w:left w:val="none" w:sz="0" w:space="0" w:color="auto"/>
        <w:bottom w:val="none" w:sz="0" w:space="0" w:color="auto"/>
        <w:right w:val="none" w:sz="0" w:space="0" w:color="auto"/>
      </w:divBdr>
      <w:divsChild>
        <w:div w:id="1871062173">
          <w:marLeft w:val="0"/>
          <w:marRight w:val="0"/>
          <w:marTop w:val="0"/>
          <w:marBottom w:val="0"/>
          <w:divBdr>
            <w:top w:val="none" w:sz="0" w:space="0" w:color="auto"/>
            <w:left w:val="none" w:sz="0" w:space="0" w:color="auto"/>
            <w:bottom w:val="none" w:sz="0" w:space="0" w:color="auto"/>
            <w:right w:val="none" w:sz="0" w:space="0" w:color="auto"/>
          </w:divBdr>
          <w:divsChild>
            <w:div w:id="91168790">
              <w:marLeft w:val="0"/>
              <w:marRight w:val="0"/>
              <w:marTop w:val="0"/>
              <w:marBottom w:val="0"/>
              <w:divBdr>
                <w:top w:val="none" w:sz="0" w:space="0" w:color="auto"/>
                <w:left w:val="none" w:sz="0" w:space="0" w:color="auto"/>
                <w:bottom w:val="none" w:sz="0" w:space="0" w:color="auto"/>
                <w:right w:val="none" w:sz="0" w:space="0" w:color="auto"/>
              </w:divBdr>
              <w:divsChild>
                <w:div w:id="1975790849">
                  <w:marLeft w:val="0"/>
                  <w:marRight w:val="0"/>
                  <w:marTop w:val="0"/>
                  <w:marBottom w:val="0"/>
                  <w:divBdr>
                    <w:top w:val="none" w:sz="0" w:space="0" w:color="auto"/>
                    <w:left w:val="none" w:sz="0" w:space="0" w:color="auto"/>
                    <w:bottom w:val="none" w:sz="0" w:space="0" w:color="auto"/>
                    <w:right w:val="none" w:sz="0" w:space="0" w:color="auto"/>
                  </w:divBdr>
                  <w:divsChild>
                    <w:div w:id="1147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5271">
      <w:bodyDiv w:val="1"/>
      <w:marLeft w:val="0"/>
      <w:marRight w:val="0"/>
      <w:marTop w:val="0"/>
      <w:marBottom w:val="0"/>
      <w:divBdr>
        <w:top w:val="none" w:sz="0" w:space="0" w:color="auto"/>
        <w:left w:val="none" w:sz="0" w:space="0" w:color="auto"/>
        <w:bottom w:val="none" w:sz="0" w:space="0" w:color="auto"/>
        <w:right w:val="none" w:sz="0" w:space="0" w:color="auto"/>
      </w:divBdr>
    </w:div>
    <w:div w:id="521632764">
      <w:bodyDiv w:val="1"/>
      <w:marLeft w:val="0"/>
      <w:marRight w:val="0"/>
      <w:marTop w:val="0"/>
      <w:marBottom w:val="0"/>
      <w:divBdr>
        <w:top w:val="none" w:sz="0" w:space="0" w:color="auto"/>
        <w:left w:val="none" w:sz="0" w:space="0" w:color="auto"/>
        <w:bottom w:val="none" w:sz="0" w:space="0" w:color="auto"/>
        <w:right w:val="none" w:sz="0" w:space="0" w:color="auto"/>
      </w:divBdr>
    </w:div>
    <w:div w:id="530653343">
      <w:bodyDiv w:val="1"/>
      <w:marLeft w:val="0"/>
      <w:marRight w:val="0"/>
      <w:marTop w:val="0"/>
      <w:marBottom w:val="0"/>
      <w:divBdr>
        <w:top w:val="none" w:sz="0" w:space="0" w:color="auto"/>
        <w:left w:val="none" w:sz="0" w:space="0" w:color="auto"/>
        <w:bottom w:val="none" w:sz="0" w:space="0" w:color="auto"/>
        <w:right w:val="none" w:sz="0" w:space="0" w:color="auto"/>
      </w:divBdr>
      <w:divsChild>
        <w:div w:id="153497664">
          <w:marLeft w:val="0"/>
          <w:marRight w:val="0"/>
          <w:marTop w:val="0"/>
          <w:marBottom w:val="0"/>
          <w:divBdr>
            <w:top w:val="none" w:sz="0" w:space="0" w:color="auto"/>
            <w:left w:val="none" w:sz="0" w:space="0" w:color="auto"/>
            <w:bottom w:val="none" w:sz="0" w:space="0" w:color="auto"/>
            <w:right w:val="none" w:sz="0" w:space="0" w:color="auto"/>
          </w:divBdr>
          <w:divsChild>
            <w:div w:id="355884619">
              <w:marLeft w:val="0"/>
              <w:marRight w:val="0"/>
              <w:marTop w:val="0"/>
              <w:marBottom w:val="0"/>
              <w:divBdr>
                <w:top w:val="none" w:sz="0" w:space="0" w:color="auto"/>
                <w:left w:val="none" w:sz="0" w:space="0" w:color="auto"/>
                <w:bottom w:val="none" w:sz="0" w:space="0" w:color="auto"/>
                <w:right w:val="none" w:sz="0" w:space="0" w:color="auto"/>
              </w:divBdr>
              <w:divsChild>
                <w:div w:id="517085053">
                  <w:marLeft w:val="0"/>
                  <w:marRight w:val="0"/>
                  <w:marTop w:val="0"/>
                  <w:marBottom w:val="0"/>
                  <w:divBdr>
                    <w:top w:val="none" w:sz="0" w:space="0" w:color="auto"/>
                    <w:left w:val="none" w:sz="0" w:space="0" w:color="auto"/>
                    <w:bottom w:val="none" w:sz="0" w:space="0" w:color="auto"/>
                    <w:right w:val="none" w:sz="0" w:space="0" w:color="auto"/>
                  </w:divBdr>
                  <w:divsChild>
                    <w:div w:id="19158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260435">
      <w:bodyDiv w:val="1"/>
      <w:marLeft w:val="0"/>
      <w:marRight w:val="0"/>
      <w:marTop w:val="0"/>
      <w:marBottom w:val="0"/>
      <w:divBdr>
        <w:top w:val="none" w:sz="0" w:space="0" w:color="auto"/>
        <w:left w:val="none" w:sz="0" w:space="0" w:color="auto"/>
        <w:bottom w:val="none" w:sz="0" w:space="0" w:color="auto"/>
        <w:right w:val="none" w:sz="0" w:space="0" w:color="auto"/>
      </w:divBdr>
      <w:divsChild>
        <w:div w:id="981345323">
          <w:marLeft w:val="0"/>
          <w:marRight w:val="0"/>
          <w:marTop w:val="0"/>
          <w:marBottom w:val="0"/>
          <w:divBdr>
            <w:top w:val="none" w:sz="0" w:space="0" w:color="auto"/>
            <w:left w:val="none" w:sz="0" w:space="0" w:color="auto"/>
            <w:bottom w:val="none" w:sz="0" w:space="0" w:color="auto"/>
            <w:right w:val="none" w:sz="0" w:space="0" w:color="auto"/>
          </w:divBdr>
          <w:divsChild>
            <w:div w:id="706182558">
              <w:marLeft w:val="0"/>
              <w:marRight w:val="0"/>
              <w:marTop w:val="0"/>
              <w:marBottom w:val="0"/>
              <w:divBdr>
                <w:top w:val="none" w:sz="0" w:space="0" w:color="auto"/>
                <w:left w:val="none" w:sz="0" w:space="0" w:color="auto"/>
                <w:bottom w:val="none" w:sz="0" w:space="0" w:color="auto"/>
                <w:right w:val="none" w:sz="0" w:space="0" w:color="auto"/>
              </w:divBdr>
              <w:divsChild>
                <w:div w:id="2113820863">
                  <w:marLeft w:val="0"/>
                  <w:marRight w:val="0"/>
                  <w:marTop w:val="0"/>
                  <w:marBottom w:val="0"/>
                  <w:divBdr>
                    <w:top w:val="none" w:sz="0" w:space="0" w:color="auto"/>
                    <w:left w:val="none" w:sz="0" w:space="0" w:color="auto"/>
                    <w:bottom w:val="none" w:sz="0" w:space="0" w:color="auto"/>
                    <w:right w:val="none" w:sz="0" w:space="0" w:color="auto"/>
                  </w:divBdr>
                  <w:divsChild>
                    <w:div w:id="140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763995">
      <w:bodyDiv w:val="1"/>
      <w:marLeft w:val="0"/>
      <w:marRight w:val="0"/>
      <w:marTop w:val="0"/>
      <w:marBottom w:val="0"/>
      <w:divBdr>
        <w:top w:val="none" w:sz="0" w:space="0" w:color="auto"/>
        <w:left w:val="none" w:sz="0" w:space="0" w:color="auto"/>
        <w:bottom w:val="none" w:sz="0" w:space="0" w:color="auto"/>
        <w:right w:val="none" w:sz="0" w:space="0" w:color="auto"/>
      </w:divBdr>
    </w:div>
    <w:div w:id="598484174">
      <w:bodyDiv w:val="1"/>
      <w:marLeft w:val="0"/>
      <w:marRight w:val="0"/>
      <w:marTop w:val="0"/>
      <w:marBottom w:val="0"/>
      <w:divBdr>
        <w:top w:val="none" w:sz="0" w:space="0" w:color="auto"/>
        <w:left w:val="none" w:sz="0" w:space="0" w:color="auto"/>
        <w:bottom w:val="none" w:sz="0" w:space="0" w:color="auto"/>
        <w:right w:val="none" w:sz="0" w:space="0" w:color="auto"/>
      </w:divBdr>
    </w:div>
    <w:div w:id="678585044">
      <w:bodyDiv w:val="1"/>
      <w:marLeft w:val="0"/>
      <w:marRight w:val="0"/>
      <w:marTop w:val="0"/>
      <w:marBottom w:val="0"/>
      <w:divBdr>
        <w:top w:val="none" w:sz="0" w:space="0" w:color="auto"/>
        <w:left w:val="none" w:sz="0" w:space="0" w:color="auto"/>
        <w:bottom w:val="none" w:sz="0" w:space="0" w:color="auto"/>
        <w:right w:val="none" w:sz="0" w:space="0" w:color="auto"/>
      </w:divBdr>
      <w:divsChild>
        <w:div w:id="1765299013">
          <w:marLeft w:val="0"/>
          <w:marRight w:val="0"/>
          <w:marTop w:val="0"/>
          <w:marBottom w:val="0"/>
          <w:divBdr>
            <w:top w:val="none" w:sz="0" w:space="0" w:color="auto"/>
            <w:left w:val="none" w:sz="0" w:space="0" w:color="auto"/>
            <w:bottom w:val="none" w:sz="0" w:space="0" w:color="auto"/>
            <w:right w:val="none" w:sz="0" w:space="0" w:color="auto"/>
          </w:divBdr>
        </w:div>
      </w:divsChild>
    </w:div>
    <w:div w:id="716397625">
      <w:bodyDiv w:val="1"/>
      <w:marLeft w:val="0"/>
      <w:marRight w:val="0"/>
      <w:marTop w:val="0"/>
      <w:marBottom w:val="0"/>
      <w:divBdr>
        <w:top w:val="none" w:sz="0" w:space="0" w:color="auto"/>
        <w:left w:val="none" w:sz="0" w:space="0" w:color="auto"/>
        <w:bottom w:val="none" w:sz="0" w:space="0" w:color="auto"/>
        <w:right w:val="none" w:sz="0" w:space="0" w:color="auto"/>
      </w:divBdr>
    </w:div>
    <w:div w:id="745300186">
      <w:bodyDiv w:val="1"/>
      <w:marLeft w:val="0"/>
      <w:marRight w:val="0"/>
      <w:marTop w:val="0"/>
      <w:marBottom w:val="0"/>
      <w:divBdr>
        <w:top w:val="none" w:sz="0" w:space="0" w:color="auto"/>
        <w:left w:val="none" w:sz="0" w:space="0" w:color="auto"/>
        <w:bottom w:val="none" w:sz="0" w:space="0" w:color="auto"/>
        <w:right w:val="none" w:sz="0" w:space="0" w:color="auto"/>
      </w:divBdr>
    </w:div>
    <w:div w:id="768739665">
      <w:bodyDiv w:val="1"/>
      <w:marLeft w:val="0"/>
      <w:marRight w:val="0"/>
      <w:marTop w:val="0"/>
      <w:marBottom w:val="0"/>
      <w:divBdr>
        <w:top w:val="none" w:sz="0" w:space="0" w:color="auto"/>
        <w:left w:val="none" w:sz="0" w:space="0" w:color="auto"/>
        <w:bottom w:val="none" w:sz="0" w:space="0" w:color="auto"/>
        <w:right w:val="none" w:sz="0" w:space="0" w:color="auto"/>
      </w:divBdr>
      <w:divsChild>
        <w:div w:id="568883412">
          <w:marLeft w:val="0"/>
          <w:marRight w:val="0"/>
          <w:marTop w:val="0"/>
          <w:marBottom w:val="0"/>
          <w:divBdr>
            <w:top w:val="none" w:sz="0" w:space="0" w:color="auto"/>
            <w:left w:val="none" w:sz="0" w:space="0" w:color="auto"/>
            <w:bottom w:val="none" w:sz="0" w:space="0" w:color="auto"/>
            <w:right w:val="none" w:sz="0" w:space="0" w:color="auto"/>
          </w:divBdr>
          <w:divsChild>
            <w:div w:id="1685551136">
              <w:marLeft w:val="0"/>
              <w:marRight w:val="0"/>
              <w:marTop w:val="0"/>
              <w:marBottom w:val="0"/>
              <w:divBdr>
                <w:top w:val="none" w:sz="0" w:space="0" w:color="auto"/>
                <w:left w:val="none" w:sz="0" w:space="0" w:color="auto"/>
                <w:bottom w:val="none" w:sz="0" w:space="0" w:color="auto"/>
                <w:right w:val="none" w:sz="0" w:space="0" w:color="auto"/>
              </w:divBdr>
              <w:divsChild>
                <w:div w:id="199710462">
                  <w:marLeft w:val="0"/>
                  <w:marRight w:val="0"/>
                  <w:marTop w:val="0"/>
                  <w:marBottom w:val="0"/>
                  <w:divBdr>
                    <w:top w:val="none" w:sz="0" w:space="0" w:color="auto"/>
                    <w:left w:val="none" w:sz="0" w:space="0" w:color="auto"/>
                    <w:bottom w:val="none" w:sz="0" w:space="0" w:color="auto"/>
                    <w:right w:val="none" w:sz="0" w:space="0" w:color="auto"/>
                  </w:divBdr>
                  <w:divsChild>
                    <w:div w:id="6961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6107">
          <w:marLeft w:val="0"/>
          <w:marRight w:val="0"/>
          <w:marTop w:val="0"/>
          <w:marBottom w:val="0"/>
          <w:divBdr>
            <w:top w:val="none" w:sz="0" w:space="0" w:color="auto"/>
            <w:left w:val="none" w:sz="0" w:space="0" w:color="auto"/>
            <w:bottom w:val="none" w:sz="0" w:space="0" w:color="auto"/>
            <w:right w:val="none" w:sz="0" w:space="0" w:color="auto"/>
          </w:divBdr>
          <w:divsChild>
            <w:div w:id="1130711187">
              <w:marLeft w:val="0"/>
              <w:marRight w:val="0"/>
              <w:marTop w:val="0"/>
              <w:marBottom w:val="0"/>
              <w:divBdr>
                <w:top w:val="none" w:sz="0" w:space="0" w:color="auto"/>
                <w:left w:val="none" w:sz="0" w:space="0" w:color="auto"/>
                <w:bottom w:val="none" w:sz="0" w:space="0" w:color="auto"/>
                <w:right w:val="none" w:sz="0" w:space="0" w:color="auto"/>
              </w:divBdr>
              <w:divsChild>
                <w:div w:id="1018388782">
                  <w:marLeft w:val="0"/>
                  <w:marRight w:val="0"/>
                  <w:marTop w:val="0"/>
                  <w:marBottom w:val="0"/>
                  <w:divBdr>
                    <w:top w:val="none" w:sz="0" w:space="0" w:color="auto"/>
                    <w:left w:val="none" w:sz="0" w:space="0" w:color="auto"/>
                    <w:bottom w:val="none" w:sz="0" w:space="0" w:color="auto"/>
                    <w:right w:val="none" w:sz="0" w:space="0" w:color="auto"/>
                  </w:divBdr>
                  <w:divsChild>
                    <w:div w:id="400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9589">
      <w:bodyDiv w:val="1"/>
      <w:marLeft w:val="0"/>
      <w:marRight w:val="0"/>
      <w:marTop w:val="0"/>
      <w:marBottom w:val="0"/>
      <w:divBdr>
        <w:top w:val="none" w:sz="0" w:space="0" w:color="auto"/>
        <w:left w:val="none" w:sz="0" w:space="0" w:color="auto"/>
        <w:bottom w:val="none" w:sz="0" w:space="0" w:color="auto"/>
        <w:right w:val="none" w:sz="0" w:space="0" w:color="auto"/>
      </w:divBdr>
      <w:divsChild>
        <w:div w:id="1972322013">
          <w:marLeft w:val="0"/>
          <w:marRight w:val="0"/>
          <w:marTop w:val="0"/>
          <w:marBottom w:val="0"/>
          <w:divBdr>
            <w:top w:val="none" w:sz="0" w:space="0" w:color="auto"/>
            <w:left w:val="none" w:sz="0" w:space="0" w:color="auto"/>
            <w:bottom w:val="none" w:sz="0" w:space="0" w:color="auto"/>
            <w:right w:val="none" w:sz="0" w:space="0" w:color="auto"/>
          </w:divBdr>
        </w:div>
      </w:divsChild>
    </w:div>
    <w:div w:id="795683799">
      <w:bodyDiv w:val="1"/>
      <w:marLeft w:val="0"/>
      <w:marRight w:val="0"/>
      <w:marTop w:val="0"/>
      <w:marBottom w:val="0"/>
      <w:divBdr>
        <w:top w:val="none" w:sz="0" w:space="0" w:color="auto"/>
        <w:left w:val="none" w:sz="0" w:space="0" w:color="auto"/>
        <w:bottom w:val="none" w:sz="0" w:space="0" w:color="auto"/>
        <w:right w:val="none" w:sz="0" w:space="0" w:color="auto"/>
      </w:divBdr>
      <w:divsChild>
        <w:div w:id="1428422934">
          <w:marLeft w:val="0"/>
          <w:marRight w:val="0"/>
          <w:marTop w:val="0"/>
          <w:marBottom w:val="0"/>
          <w:divBdr>
            <w:top w:val="none" w:sz="0" w:space="0" w:color="auto"/>
            <w:left w:val="none" w:sz="0" w:space="0" w:color="auto"/>
            <w:bottom w:val="none" w:sz="0" w:space="0" w:color="auto"/>
            <w:right w:val="none" w:sz="0" w:space="0" w:color="auto"/>
          </w:divBdr>
        </w:div>
      </w:divsChild>
    </w:div>
    <w:div w:id="813715402">
      <w:bodyDiv w:val="1"/>
      <w:marLeft w:val="0"/>
      <w:marRight w:val="0"/>
      <w:marTop w:val="0"/>
      <w:marBottom w:val="0"/>
      <w:divBdr>
        <w:top w:val="none" w:sz="0" w:space="0" w:color="auto"/>
        <w:left w:val="none" w:sz="0" w:space="0" w:color="auto"/>
        <w:bottom w:val="none" w:sz="0" w:space="0" w:color="auto"/>
        <w:right w:val="none" w:sz="0" w:space="0" w:color="auto"/>
      </w:divBdr>
    </w:div>
    <w:div w:id="823163760">
      <w:bodyDiv w:val="1"/>
      <w:marLeft w:val="0"/>
      <w:marRight w:val="0"/>
      <w:marTop w:val="0"/>
      <w:marBottom w:val="0"/>
      <w:divBdr>
        <w:top w:val="none" w:sz="0" w:space="0" w:color="auto"/>
        <w:left w:val="none" w:sz="0" w:space="0" w:color="auto"/>
        <w:bottom w:val="none" w:sz="0" w:space="0" w:color="auto"/>
        <w:right w:val="none" w:sz="0" w:space="0" w:color="auto"/>
      </w:divBdr>
    </w:div>
    <w:div w:id="863714598">
      <w:bodyDiv w:val="1"/>
      <w:marLeft w:val="0"/>
      <w:marRight w:val="0"/>
      <w:marTop w:val="0"/>
      <w:marBottom w:val="0"/>
      <w:divBdr>
        <w:top w:val="none" w:sz="0" w:space="0" w:color="auto"/>
        <w:left w:val="none" w:sz="0" w:space="0" w:color="auto"/>
        <w:bottom w:val="none" w:sz="0" w:space="0" w:color="auto"/>
        <w:right w:val="none" w:sz="0" w:space="0" w:color="auto"/>
      </w:divBdr>
      <w:divsChild>
        <w:div w:id="1959530398">
          <w:marLeft w:val="0"/>
          <w:marRight w:val="0"/>
          <w:marTop w:val="0"/>
          <w:marBottom w:val="0"/>
          <w:divBdr>
            <w:top w:val="none" w:sz="0" w:space="0" w:color="auto"/>
            <w:left w:val="none" w:sz="0" w:space="0" w:color="auto"/>
            <w:bottom w:val="none" w:sz="0" w:space="0" w:color="auto"/>
            <w:right w:val="none" w:sz="0" w:space="0" w:color="auto"/>
          </w:divBdr>
        </w:div>
      </w:divsChild>
    </w:div>
    <w:div w:id="864366402">
      <w:bodyDiv w:val="1"/>
      <w:marLeft w:val="0"/>
      <w:marRight w:val="0"/>
      <w:marTop w:val="0"/>
      <w:marBottom w:val="0"/>
      <w:divBdr>
        <w:top w:val="none" w:sz="0" w:space="0" w:color="auto"/>
        <w:left w:val="none" w:sz="0" w:space="0" w:color="auto"/>
        <w:bottom w:val="none" w:sz="0" w:space="0" w:color="auto"/>
        <w:right w:val="none" w:sz="0" w:space="0" w:color="auto"/>
      </w:divBdr>
    </w:div>
    <w:div w:id="892352776">
      <w:bodyDiv w:val="1"/>
      <w:marLeft w:val="0"/>
      <w:marRight w:val="0"/>
      <w:marTop w:val="0"/>
      <w:marBottom w:val="0"/>
      <w:divBdr>
        <w:top w:val="none" w:sz="0" w:space="0" w:color="auto"/>
        <w:left w:val="none" w:sz="0" w:space="0" w:color="auto"/>
        <w:bottom w:val="none" w:sz="0" w:space="0" w:color="auto"/>
        <w:right w:val="none" w:sz="0" w:space="0" w:color="auto"/>
      </w:divBdr>
    </w:div>
    <w:div w:id="1037312172">
      <w:bodyDiv w:val="1"/>
      <w:marLeft w:val="0"/>
      <w:marRight w:val="0"/>
      <w:marTop w:val="0"/>
      <w:marBottom w:val="0"/>
      <w:divBdr>
        <w:top w:val="none" w:sz="0" w:space="0" w:color="auto"/>
        <w:left w:val="none" w:sz="0" w:space="0" w:color="auto"/>
        <w:bottom w:val="none" w:sz="0" w:space="0" w:color="auto"/>
        <w:right w:val="none" w:sz="0" w:space="0" w:color="auto"/>
      </w:divBdr>
      <w:divsChild>
        <w:div w:id="1440954737">
          <w:marLeft w:val="0"/>
          <w:marRight w:val="0"/>
          <w:marTop w:val="0"/>
          <w:marBottom w:val="0"/>
          <w:divBdr>
            <w:top w:val="none" w:sz="0" w:space="0" w:color="auto"/>
            <w:left w:val="none" w:sz="0" w:space="0" w:color="auto"/>
            <w:bottom w:val="none" w:sz="0" w:space="0" w:color="auto"/>
            <w:right w:val="none" w:sz="0" w:space="0" w:color="auto"/>
          </w:divBdr>
        </w:div>
      </w:divsChild>
    </w:div>
    <w:div w:id="1091586362">
      <w:bodyDiv w:val="1"/>
      <w:marLeft w:val="0"/>
      <w:marRight w:val="0"/>
      <w:marTop w:val="0"/>
      <w:marBottom w:val="0"/>
      <w:divBdr>
        <w:top w:val="none" w:sz="0" w:space="0" w:color="auto"/>
        <w:left w:val="none" w:sz="0" w:space="0" w:color="auto"/>
        <w:bottom w:val="none" w:sz="0" w:space="0" w:color="auto"/>
        <w:right w:val="none" w:sz="0" w:space="0" w:color="auto"/>
      </w:divBdr>
      <w:divsChild>
        <w:div w:id="1498495655">
          <w:marLeft w:val="0"/>
          <w:marRight w:val="0"/>
          <w:marTop w:val="0"/>
          <w:marBottom w:val="0"/>
          <w:divBdr>
            <w:top w:val="none" w:sz="0" w:space="0" w:color="auto"/>
            <w:left w:val="none" w:sz="0" w:space="0" w:color="auto"/>
            <w:bottom w:val="none" w:sz="0" w:space="0" w:color="auto"/>
            <w:right w:val="none" w:sz="0" w:space="0" w:color="auto"/>
          </w:divBdr>
        </w:div>
      </w:divsChild>
    </w:div>
    <w:div w:id="1223247178">
      <w:bodyDiv w:val="1"/>
      <w:marLeft w:val="0"/>
      <w:marRight w:val="0"/>
      <w:marTop w:val="0"/>
      <w:marBottom w:val="0"/>
      <w:divBdr>
        <w:top w:val="none" w:sz="0" w:space="0" w:color="auto"/>
        <w:left w:val="none" w:sz="0" w:space="0" w:color="auto"/>
        <w:bottom w:val="none" w:sz="0" w:space="0" w:color="auto"/>
        <w:right w:val="none" w:sz="0" w:space="0" w:color="auto"/>
      </w:divBdr>
    </w:div>
    <w:div w:id="1244729594">
      <w:bodyDiv w:val="1"/>
      <w:marLeft w:val="0"/>
      <w:marRight w:val="0"/>
      <w:marTop w:val="0"/>
      <w:marBottom w:val="0"/>
      <w:divBdr>
        <w:top w:val="none" w:sz="0" w:space="0" w:color="auto"/>
        <w:left w:val="none" w:sz="0" w:space="0" w:color="auto"/>
        <w:bottom w:val="none" w:sz="0" w:space="0" w:color="auto"/>
        <w:right w:val="none" w:sz="0" w:space="0" w:color="auto"/>
      </w:divBdr>
    </w:div>
    <w:div w:id="1262563368">
      <w:bodyDiv w:val="1"/>
      <w:marLeft w:val="0"/>
      <w:marRight w:val="0"/>
      <w:marTop w:val="0"/>
      <w:marBottom w:val="0"/>
      <w:divBdr>
        <w:top w:val="none" w:sz="0" w:space="0" w:color="auto"/>
        <w:left w:val="none" w:sz="0" w:space="0" w:color="auto"/>
        <w:bottom w:val="none" w:sz="0" w:space="0" w:color="auto"/>
        <w:right w:val="none" w:sz="0" w:space="0" w:color="auto"/>
      </w:divBdr>
      <w:divsChild>
        <w:div w:id="325862977">
          <w:marLeft w:val="0"/>
          <w:marRight w:val="0"/>
          <w:marTop w:val="0"/>
          <w:marBottom w:val="0"/>
          <w:divBdr>
            <w:top w:val="none" w:sz="0" w:space="0" w:color="auto"/>
            <w:left w:val="none" w:sz="0" w:space="0" w:color="auto"/>
            <w:bottom w:val="none" w:sz="0" w:space="0" w:color="auto"/>
            <w:right w:val="none" w:sz="0" w:space="0" w:color="auto"/>
          </w:divBdr>
          <w:divsChild>
            <w:div w:id="261842738">
              <w:marLeft w:val="0"/>
              <w:marRight w:val="0"/>
              <w:marTop w:val="0"/>
              <w:marBottom w:val="0"/>
              <w:divBdr>
                <w:top w:val="none" w:sz="0" w:space="0" w:color="auto"/>
                <w:left w:val="none" w:sz="0" w:space="0" w:color="auto"/>
                <w:bottom w:val="none" w:sz="0" w:space="0" w:color="auto"/>
                <w:right w:val="none" w:sz="0" w:space="0" w:color="auto"/>
              </w:divBdr>
              <w:divsChild>
                <w:div w:id="2071339501">
                  <w:marLeft w:val="0"/>
                  <w:marRight w:val="0"/>
                  <w:marTop w:val="0"/>
                  <w:marBottom w:val="0"/>
                  <w:divBdr>
                    <w:top w:val="none" w:sz="0" w:space="0" w:color="auto"/>
                    <w:left w:val="none" w:sz="0" w:space="0" w:color="auto"/>
                    <w:bottom w:val="none" w:sz="0" w:space="0" w:color="auto"/>
                    <w:right w:val="none" w:sz="0" w:space="0" w:color="auto"/>
                  </w:divBdr>
                  <w:divsChild>
                    <w:div w:id="21026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42305">
      <w:bodyDiv w:val="1"/>
      <w:marLeft w:val="0"/>
      <w:marRight w:val="0"/>
      <w:marTop w:val="0"/>
      <w:marBottom w:val="0"/>
      <w:divBdr>
        <w:top w:val="none" w:sz="0" w:space="0" w:color="auto"/>
        <w:left w:val="none" w:sz="0" w:space="0" w:color="auto"/>
        <w:bottom w:val="none" w:sz="0" w:space="0" w:color="auto"/>
        <w:right w:val="none" w:sz="0" w:space="0" w:color="auto"/>
      </w:divBdr>
    </w:div>
    <w:div w:id="1327827082">
      <w:bodyDiv w:val="1"/>
      <w:marLeft w:val="0"/>
      <w:marRight w:val="0"/>
      <w:marTop w:val="0"/>
      <w:marBottom w:val="0"/>
      <w:divBdr>
        <w:top w:val="none" w:sz="0" w:space="0" w:color="auto"/>
        <w:left w:val="none" w:sz="0" w:space="0" w:color="auto"/>
        <w:bottom w:val="none" w:sz="0" w:space="0" w:color="auto"/>
        <w:right w:val="none" w:sz="0" w:space="0" w:color="auto"/>
      </w:divBdr>
    </w:div>
    <w:div w:id="1339233511">
      <w:bodyDiv w:val="1"/>
      <w:marLeft w:val="0"/>
      <w:marRight w:val="0"/>
      <w:marTop w:val="0"/>
      <w:marBottom w:val="0"/>
      <w:divBdr>
        <w:top w:val="none" w:sz="0" w:space="0" w:color="auto"/>
        <w:left w:val="none" w:sz="0" w:space="0" w:color="auto"/>
        <w:bottom w:val="none" w:sz="0" w:space="0" w:color="auto"/>
        <w:right w:val="none" w:sz="0" w:space="0" w:color="auto"/>
      </w:divBdr>
      <w:divsChild>
        <w:div w:id="1915050226">
          <w:marLeft w:val="0"/>
          <w:marRight w:val="0"/>
          <w:marTop w:val="0"/>
          <w:marBottom w:val="0"/>
          <w:divBdr>
            <w:top w:val="none" w:sz="0" w:space="0" w:color="auto"/>
            <w:left w:val="none" w:sz="0" w:space="0" w:color="auto"/>
            <w:bottom w:val="none" w:sz="0" w:space="0" w:color="auto"/>
            <w:right w:val="none" w:sz="0" w:space="0" w:color="auto"/>
          </w:divBdr>
          <w:divsChild>
            <w:div w:id="1195727898">
              <w:marLeft w:val="0"/>
              <w:marRight w:val="0"/>
              <w:marTop w:val="0"/>
              <w:marBottom w:val="0"/>
              <w:divBdr>
                <w:top w:val="none" w:sz="0" w:space="0" w:color="auto"/>
                <w:left w:val="none" w:sz="0" w:space="0" w:color="auto"/>
                <w:bottom w:val="none" w:sz="0" w:space="0" w:color="auto"/>
                <w:right w:val="none" w:sz="0" w:space="0" w:color="auto"/>
              </w:divBdr>
              <w:divsChild>
                <w:div w:id="1935552704">
                  <w:marLeft w:val="0"/>
                  <w:marRight w:val="0"/>
                  <w:marTop w:val="0"/>
                  <w:marBottom w:val="0"/>
                  <w:divBdr>
                    <w:top w:val="none" w:sz="0" w:space="0" w:color="auto"/>
                    <w:left w:val="none" w:sz="0" w:space="0" w:color="auto"/>
                    <w:bottom w:val="none" w:sz="0" w:space="0" w:color="auto"/>
                    <w:right w:val="none" w:sz="0" w:space="0" w:color="auto"/>
                  </w:divBdr>
                  <w:divsChild>
                    <w:div w:id="11740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7290">
      <w:bodyDiv w:val="1"/>
      <w:marLeft w:val="0"/>
      <w:marRight w:val="0"/>
      <w:marTop w:val="0"/>
      <w:marBottom w:val="0"/>
      <w:divBdr>
        <w:top w:val="none" w:sz="0" w:space="0" w:color="auto"/>
        <w:left w:val="none" w:sz="0" w:space="0" w:color="auto"/>
        <w:bottom w:val="none" w:sz="0" w:space="0" w:color="auto"/>
        <w:right w:val="none" w:sz="0" w:space="0" w:color="auto"/>
      </w:divBdr>
      <w:divsChild>
        <w:div w:id="1647659185">
          <w:marLeft w:val="0"/>
          <w:marRight w:val="0"/>
          <w:marTop w:val="0"/>
          <w:marBottom w:val="0"/>
          <w:divBdr>
            <w:top w:val="none" w:sz="0" w:space="0" w:color="auto"/>
            <w:left w:val="none" w:sz="0" w:space="0" w:color="auto"/>
            <w:bottom w:val="none" w:sz="0" w:space="0" w:color="auto"/>
            <w:right w:val="none" w:sz="0" w:space="0" w:color="auto"/>
          </w:divBdr>
        </w:div>
      </w:divsChild>
    </w:div>
    <w:div w:id="1445078262">
      <w:bodyDiv w:val="1"/>
      <w:marLeft w:val="0"/>
      <w:marRight w:val="0"/>
      <w:marTop w:val="0"/>
      <w:marBottom w:val="0"/>
      <w:divBdr>
        <w:top w:val="none" w:sz="0" w:space="0" w:color="auto"/>
        <w:left w:val="none" w:sz="0" w:space="0" w:color="auto"/>
        <w:bottom w:val="none" w:sz="0" w:space="0" w:color="auto"/>
        <w:right w:val="none" w:sz="0" w:space="0" w:color="auto"/>
      </w:divBdr>
    </w:div>
    <w:div w:id="1574043874">
      <w:bodyDiv w:val="1"/>
      <w:marLeft w:val="0"/>
      <w:marRight w:val="0"/>
      <w:marTop w:val="0"/>
      <w:marBottom w:val="0"/>
      <w:divBdr>
        <w:top w:val="none" w:sz="0" w:space="0" w:color="auto"/>
        <w:left w:val="none" w:sz="0" w:space="0" w:color="auto"/>
        <w:bottom w:val="none" w:sz="0" w:space="0" w:color="auto"/>
        <w:right w:val="none" w:sz="0" w:space="0" w:color="auto"/>
      </w:divBdr>
      <w:divsChild>
        <w:div w:id="1273439427">
          <w:marLeft w:val="0"/>
          <w:marRight w:val="0"/>
          <w:marTop w:val="0"/>
          <w:marBottom w:val="0"/>
          <w:divBdr>
            <w:top w:val="none" w:sz="0" w:space="0" w:color="auto"/>
            <w:left w:val="none" w:sz="0" w:space="0" w:color="auto"/>
            <w:bottom w:val="none" w:sz="0" w:space="0" w:color="auto"/>
            <w:right w:val="none" w:sz="0" w:space="0" w:color="auto"/>
          </w:divBdr>
          <w:divsChild>
            <w:div w:id="1807163523">
              <w:marLeft w:val="0"/>
              <w:marRight w:val="0"/>
              <w:marTop w:val="0"/>
              <w:marBottom w:val="0"/>
              <w:divBdr>
                <w:top w:val="none" w:sz="0" w:space="0" w:color="auto"/>
                <w:left w:val="none" w:sz="0" w:space="0" w:color="auto"/>
                <w:bottom w:val="none" w:sz="0" w:space="0" w:color="auto"/>
                <w:right w:val="none" w:sz="0" w:space="0" w:color="auto"/>
              </w:divBdr>
              <w:divsChild>
                <w:div w:id="874078741">
                  <w:marLeft w:val="0"/>
                  <w:marRight w:val="0"/>
                  <w:marTop w:val="0"/>
                  <w:marBottom w:val="0"/>
                  <w:divBdr>
                    <w:top w:val="none" w:sz="0" w:space="0" w:color="auto"/>
                    <w:left w:val="none" w:sz="0" w:space="0" w:color="auto"/>
                    <w:bottom w:val="none" w:sz="0" w:space="0" w:color="auto"/>
                    <w:right w:val="none" w:sz="0" w:space="0" w:color="auto"/>
                  </w:divBdr>
                  <w:divsChild>
                    <w:div w:id="14140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7128">
      <w:bodyDiv w:val="1"/>
      <w:marLeft w:val="0"/>
      <w:marRight w:val="0"/>
      <w:marTop w:val="0"/>
      <w:marBottom w:val="0"/>
      <w:divBdr>
        <w:top w:val="none" w:sz="0" w:space="0" w:color="auto"/>
        <w:left w:val="none" w:sz="0" w:space="0" w:color="auto"/>
        <w:bottom w:val="none" w:sz="0" w:space="0" w:color="auto"/>
        <w:right w:val="none" w:sz="0" w:space="0" w:color="auto"/>
      </w:divBdr>
      <w:divsChild>
        <w:div w:id="662242697">
          <w:marLeft w:val="0"/>
          <w:marRight w:val="0"/>
          <w:marTop w:val="0"/>
          <w:marBottom w:val="0"/>
          <w:divBdr>
            <w:top w:val="none" w:sz="0" w:space="0" w:color="auto"/>
            <w:left w:val="none" w:sz="0" w:space="0" w:color="auto"/>
            <w:bottom w:val="none" w:sz="0" w:space="0" w:color="auto"/>
            <w:right w:val="none" w:sz="0" w:space="0" w:color="auto"/>
          </w:divBdr>
          <w:divsChild>
            <w:div w:id="1218785004">
              <w:marLeft w:val="0"/>
              <w:marRight w:val="0"/>
              <w:marTop w:val="0"/>
              <w:marBottom w:val="0"/>
              <w:divBdr>
                <w:top w:val="none" w:sz="0" w:space="0" w:color="auto"/>
                <w:left w:val="none" w:sz="0" w:space="0" w:color="auto"/>
                <w:bottom w:val="none" w:sz="0" w:space="0" w:color="auto"/>
                <w:right w:val="none" w:sz="0" w:space="0" w:color="auto"/>
              </w:divBdr>
              <w:divsChild>
                <w:div w:id="1878158939">
                  <w:marLeft w:val="0"/>
                  <w:marRight w:val="0"/>
                  <w:marTop w:val="0"/>
                  <w:marBottom w:val="0"/>
                  <w:divBdr>
                    <w:top w:val="none" w:sz="0" w:space="0" w:color="auto"/>
                    <w:left w:val="none" w:sz="0" w:space="0" w:color="auto"/>
                    <w:bottom w:val="none" w:sz="0" w:space="0" w:color="auto"/>
                    <w:right w:val="none" w:sz="0" w:space="0" w:color="auto"/>
                  </w:divBdr>
                  <w:divsChild>
                    <w:div w:id="2132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71046">
      <w:bodyDiv w:val="1"/>
      <w:marLeft w:val="0"/>
      <w:marRight w:val="0"/>
      <w:marTop w:val="0"/>
      <w:marBottom w:val="0"/>
      <w:divBdr>
        <w:top w:val="none" w:sz="0" w:space="0" w:color="auto"/>
        <w:left w:val="none" w:sz="0" w:space="0" w:color="auto"/>
        <w:bottom w:val="none" w:sz="0" w:space="0" w:color="auto"/>
        <w:right w:val="none" w:sz="0" w:space="0" w:color="auto"/>
      </w:divBdr>
      <w:divsChild>
        <w:div w:id="1167019576">
          <w:marLeft w:val="0"/>
          <w:marRight w:val="0"/>
          <w:marTop w:val="0"/>
          <w:marBottom w:val="0"/>
          <w:divBdr>
            <w:top w:val="none" w:sz="0" w:space="0" w:color="auto"/>
            <w:left w:val="none" w:sz="0" w:space="0" w:color="auto"/>
            <w:bottom w:val="none" w:sz="0" w:space="0" w:color="auto"/>
            <w:right w:val="none" w:sz="0" w:space="0" w:color="auto"/>
          </w:divBdr>
        </w:div>
      </w:divsChild>
    </w:div>
    <w:div w:id="1821002316">
      <w:bodyDiv w:val="1"/>
      <w:marLeft w:val="0"/>
      <w:marRight w:val="0"/>
      <w:marTop w:val="0"/>
      <w:marBottom w:val="0"/>
      <w:divBdr>
        <w:top w:val="none" w:sz="0" w:space="0" w:color="auto"/>
        <w:left w:val="none" w:sz="0" w:space="0" w:color="auto"/>
        <w:bottom w:val="none" w:sz="0" w:space="0" w:color="auto"/>
        <w:right w:val="none" w:sz="0" w:space="0" w:color="auto"/>
      </w:divBdr>
      <w:divsChild>
        <w:div w:id="544485996">
          <w:marLeft w:val="0"/>
          <w:marRight w:val="0"/>
          <w:marTop w:val="0"/>
          <w:marBottom w:val="0"/>
          <w:divBdr>
            <w:top w:val="none" w:sz="0" w:space="0" w:color="auto"/>
            <w:left w:val="none" w:sz="0" w:space="0" w:color="auto"/>
            <w:bottom w:val="none" w:sz="0" w:space="0" w:color="auto"/>
            <w:right w:val="none" w:sz="0" w:space="0" w:color="auto"/>
          </w:divBdr>
        </w:div>
      </w:divsChild>
    </w:div>
    <w:div w:id="1841507355">
      <w:bodyDiv w:val="1"/>
      <w:marLeft w:val="0"/>
      <w:marRight w:val="0"/>
      <w:marTop w:val="0"/>
      <w:marBottom w:val="0"/>
      <w:divBdr>
        <w:top w:val="none" w:sz="0" w:space="0" w:color="auto"/>
        <w:left w:val="none" w:sz="0" w:space="0" w:color="auto"/>
        <w:bottom w:val="none" w:sz="0" w:space="0" w:color="auto"/>
        <w:right w:val="none" w:sz="0" w:space="0" w:color="auto"/>
      </w:divBdr>
    </w:div>
    <w:div w:id="1882862111">
      <w:bodyDiv w:val="1"/>
      <w:marLeft w:val="0"/>
      <w:marRight w:val="0"/>
      <w:marTop w:val="0"/>
      <w:marBottom w:val="0"/>
      <w:divBdr>
        <w:top w:val="none" w:sz="0" w:space="0" w:color="auto"/>
        <w:left w:val="none" w:sz="0" w:space="0" w:color="auto"/>
        <w:bottom w:val="none" w:sz="0" w:space="0" w:color="auto"/>
        <w:right w:val="none" w:sz="0" w:space="0" w:color="auto"/>
      </w:divBdr>
    </w:div>
    <w:div w:id="1919557244">
      <w:bodyDiv w:val="1"/>
      <w:marLeft w:val="0"/>
      <w:marRight w:val="0"/>
      <w:marTop w:val="0"/>
      <w:marBottom w:val="0"/>
      <w:divBdr>
        <w:top w:val="none" w:sz="0" w:space="0" w:color="auto"/>
        <w:left w:val="none" w:sz="0" w:space="0" w:color="auto"/>
        <w:bottom w:val="none" w:sz="0" w:space="0" w:color="auto"/>
        <w:right w:val="none" w:sz="0" w:space="0" w:color="auto"/>
      </w:divBdr>
    </w:div>
    <w:div w:id="1936089183">
      <w:bodyDiv w:val="1"/>
      <w:marLeft w:val="0"/>
      <w:marRight w:val="0"/>
      <w:marTop w:val="0"/>
      <w:marBottom w:val="0"/>
      <w:divBdr>
        <w:top w:val="none" w:sz="0" w:space="0" w:color="auto"/>
        <w:left w:val="none" w:sz="0" w:space="0" w:color="auto"/>
        <w:bottom w:val="none" w:sz="0" w:space="0" w:color="auto"/>
        <w:right w:val="none" w:sz="0" w:space="0" w:color="auto"/>
      </w:divBdr>
    </w:div>
    <w:div w:id="1941062534">
      <w:bodyDiv w:val="1"/>
      <w:marLeft w:val="0"/>
      <w:marRight w:val="0"/>
      <w:marTop w:val="0"/>
      <w:marBottom w:val="0"/>
      <w:divBdr>
        <w:top w:val="none" w:sz="0" w:space="0" w:color="auto"/>
        <w:left w:val="none" w:sz="0" w:space="0" w:color="auto"/>
        <w:bottom w:val="none" w:sz="0" w:space="0" w:color="auto"/>
        <w:right w:val="none" w:sz="0" w:space="0" w:color="auto"/>
      </w:divBdr>
      <w:divsChild>
        <w:div w:id="519860271">
          <w:marLeft w:val="0"/>
          <w:marRight w:val="0"/>
          <w:marTop w:val="0"/>
          <w:marBottom w:val="0"/>
          <w:divBdr>
            <w:top w:val="none" w:sz="0" w:space="0" w:color="auto"/>
            <w:left w:val="none" w:sz="0" w:space="0" w:color="auto"/>
            <w:bottom w:val="none" w:sz="0" w:space="0" w:color="auto"/>
            <w:right w:val="none" w:sz="0" w:space="0" w:color="auto"/>
          </w:divBdr>
        </w:div>
      </w:divsChild>
    </w:div>
    <w:div w:id="2015455657">
      <w:bodyDiv w:val="1"/>
      <w:marLeft w:val="0"/>
      <w:marRight w:val="0"/>
      <w:marTop w:val="0"/>
      <w:marBottom w:val="0"/>
      <w:divBdr>
        <w:top w:val="none" w:sz="0" w:space="0" w:color="auto"/>
        <w:left w:val="none" w:sz="0" w:space="0" w:color="auto"/>
        <w:bottom w:val="none" w:sz="0" w:space="0" w:color="auto"/>
        <w:right w:val="none" w:sz="0" w:space="0" w:color="auto"/>
      </w:divBdr>
      <w:divsChild>
        <w:div w:id="1589465787">
          <w:marLeft w:val="0"/>
          <w:marRight w:val="0"/>
          <w:marTop w:val="0"/>
          <w:marBottom w:val="0"/>
          <w:divBdr>
            <w:top w:val="none" w:sz="0" w:space="0" w:color="auto"/>
            <w:left w:val="none" w:sz="0" w:space="0" w:color="auto"/>
            <w:bottom w:val="none" w:sz="0" w:space="0" w:color="auto"/>
            <w:right w:val="none" w:sz="0" w:space="0" w:color="auto"/>
          </w:divBdr>
        </w:div>
      </w:divsChild>
    </w:div>
    <w:div w:id="2030526399">
      <w:bodyDiv w:val="1"/>
      <w:marLeft w:val="0"/>
      <w:marRight w:val="0"/>
      <w:marTop w:val="0"/>
      <w:marBottom w:val="0"/>
      <w:divBdr>
        <w:top w:val="none" w:sz="0" w:space="0" w:color="auto"/>
        <w:left w:val="none" w:sz="0" w:space="0" w:color="auto"/>
        <w:bottom w:val="none" w:sz="0" w:space="0" w:color="auto"/>
        <w:right w:val="none" w:sz="0" w:space="0" w:color="auto"/>
      </w:divBdr>
    </w:div>
    <w:div w:id="20659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3652-C1EB-4CF7-B1B3-A51922FE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20</Pages>
  <Words>8590</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Researcher</dc:creator>
  <cp:keywords/>
  <dc:description/>
  <cp:lastModifiedBy>SDI 1183</cp:lastModifiedBy>
  <cp:revision>266</cp:revision>
  <dcterms:created xsi:type="dcterms:W3CDTF">2022-09-22T08:41:00Z</dcterms:created>
  <dcterms:modified xsi:type="dcterms:W3CDTF">2025-08-20T11:47:00Z</dcterms:modified>
</cp:coreProperties>
</file>