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350AA" w14:textId="46FA3DE5" w:rsidR="009C10F7" w:rsidRPr="009C10F7" w:rsidRDefault="009C10F7" w:rsidP="009C10F7">
      <w:pPr>
        <w:spacing w:line="360" w:lineRule="auto"/>
        <w:ind w:left="-284" w:right="-188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en-US"/>
        </w:rPr>
      </w:pPr>
      <w:r w:rsidRPr="009C10F7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en-US"/>
        </w:rPr>
        <w:t>Case report</w:t>
      </w:r>
      <w:r w:rsidR="007412B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en-US"/>
        </w:rPr>
        <w:t>:</w:t>
      </w:r>
      <w:r w:rsidRPr="009C10F7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en-US"/>
        </w:rPr>
        <w:t xml:space="preserve"> </w:t>
      </w:r>
    </w:p>
    <w:p w14:paraId="59F06E21" w14:textId="77777777" w:rsidR="0046233D" w:rsidRDefault="0046233D" w:rsidP="005913B4">
      <w:pPr>
        <w:spacing w:line="360" w:lineRule="auto"/>
        <w:ind w:left="-284" w:right="-188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Title:</w:t>
      </w:r>
    </w:p>
    <w:p w14:paraId="62750EAF" w14:textId="57C5CA58" w:rsidR="00C16804" w:rsidRPr="005913B4" w:rsidRDefault="00C16804" w:rsidP="005913B4">
      <w:pPr>
        <w:spacing w:line="360" w:lineRule="auto"/>
        <w:ind w:left="-284" w:right="-188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5913B4">
        <w:rPr>
          <w:rFonts w:ascii="Times New Roman" w:hAnsi="Times New Roman" w:cs="Times New Roman"/>
          <w:b/>
          <w:bCs/>
          <w:sz w:val="32"/>
          <w:szCs w:val="32"/>
          <w:lang w:val="en-US"/>
        </w:rPr>
        <w:t>Comprehensive Dual-Arch Prosthetic Rehabilitation with a Convertible Mandibular Cast Partial Denture and Maxillary Overdenture: A Case Repor</w:t>
      </w:r>
      <w:bookmarkStart w:id="0" w:name="_GoBack"/>
      <w:bookmarkEnd w:id="0"/>
      <w:r w:rsidRPr="005913B4">
        <w:rPr>
          <w:rFonts w:ascii="Times New Roman" w:hAnsi="Times New Roman" w:cs="Times New Roman"/>
          <w:b/>
          <w:bCs/>
          <w:sz w:val="32"/>
          <w:szCs w:val="32"/>
          <w:lang w:val="en-US"/>
        </w:rPr>
        <w:t>t</w:t>
      </w:r>
    </w:p>
    <w:p w14:paraId="488A7AA6" w14:textId="249AA191" w:rsidR="001F7E64" w:rsidRPr="005913B4" w:rsidRDefault="001F7E64" w:rsidP="005913B4">
      <w:pPr>
        <w:pStyle w:val="ListParagraph"/>
        <w:spacing w:line="480" w:lineRule="auto"/>
        <w:ind w:left="-284" w:right="-1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13B4">
        <w:rPr>
          <w:rFonts w:ascii="Times New Roman" w:hAnsi="Times New Roman" w:cs="Times New Roman"/>
          <w:b/>
          <w:bCs/>
          <w:sz w:val="28"/>
          <w:szCs w:val="28"/>
        </w:rPr>
        <w:t>Abstract</w:t>
      </w:r>
      <w:r w:rsidR="00223CDC" w:rsidRPr="005913B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BF30785" w14:textId="604EFF03" w:rsidR="001F7E64" w:rsidRPr="005913B4" w:rsidRDefault="001F7E64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sz w:val="28"/>
          <w:szCs w:val="28"/>
        </w:rPr>
        <w:t xml:space="preserve">           Preservation of the residual alveolar ridge is a primary goal in prosthodontic rehabilitation. Overdentures represent a proven treatment modality that aids in alveolar bone preservation while maintaining proprioceptive feedback through retained natural teeth.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Hemisectioned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molars can serve as effective abutments for overdenture support.</w:t>
      </w:r>
      <w:r w:rsidR="0000436B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 xml:space="preserve">This case report describes rehabilitation using a maxillary tooth-supported overdenture and a convertible mandibular cast partial overdenture, using a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hemisectioned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molar as an abutment. A 62-year-old male patient reported with multiple missing teeth and difficulty in </w:t>
      </w:r>
      <w:r w:rsidR="003E19B4">
        <w:rPr>
          <w:rFonts w:ascii="Times New Roman" w:hAnsi="Times New Roman" w:cs="Times New Roman"/>
          <w:sz w:val="28"/>
          <w:szCs w:val="28"/>
        </w:rPr>
        <w:t>chewing</w:t>
      </w:r>
      <w:r w:rsidRPr="005913B4">
        <w:rPr>
          <w:rFonts w:ascii="Times New Roman" w:hAnsi="Times New Roman" w:cs="Times New Roman"/>
          <w:sz w:val="28"/>
          <w:szCs w:val="28"/>
        </w:rPr>
        <w:t xml:space="preserve">. As the patient </w:t>
      </w:r>
      <w:r w:rsidR="003E19B4">
        <w:rPr>
          <w:rFonts w:ascii="Times New Roman" w:hAnsi="Times New Roman" w:cs="Times New Roman"/>
          <w:sz w:val="28"/>
          <w:szCs w:val="28"/>
        </w:rPr>
        <w:t>was not willing</w:t>
      </w:r>
      <w:r w:rsidRPr="005913B4">
        <w:rPr>
          <w:rFonts w:ascii="Times New Roman" w:hAnsi="Times New Roman" w:cs="Times New Roman"/>
          <w:sz w:val="28"/>
          <w:szCs w:val="28"/>
        </w:rPr>
        <w:t xml:space="preserve"> for extractions, a preventive prosthodontic approach involving tooth-supported overdentures was planned.</w:t>
      </w:r>
      <w:r w:rsidR="00EF2D17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 xml:space="preserve">The present report highlights use of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hemisectioned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molar as an overdenture abutment. A convertible cast partial overdenture was designed to allow future modification in situation of abutment loss. This approach improves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esthetics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>,</w:t>
      </w:r>
      <w:r w:rsidR="003E19B4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>mastication and overall patient satisfaction.</w:t>
      </w:r>
    </w:p>
    <w:p w14:paraId="257437CF" w14:textId="63FDEF75" w:rsidR="001F7E64" w:rsidRPr="005913B4" w:rsidRDefault="001F7E64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b/>
          <w:bCs/>
          <w:sz w:val="28"/>
          <w:szCs w:val="28"/>
        </w:rPr>
        <w:t>Keywords:</w:t>
      </w:r>
      <w:r w:rsidRPr="005913B4">
        <w:rPr>
          <w:rFonts w:ascii="Times New Roman" w:hAnsi="Times New Roman" w:cs="Times New Roman"/>
          <w:sz w:val="28"/>
          <w:szCs w:val="28"/>
        </w:rPr>
        <w:br/>
        <w:t xml:space="preserve">Alveolar ridge preservation, </w:t>
      </w:r>
      <w:proofErr w:type="gramStart"/>
      <w:r w:rsidRPr="005913B4">
        <w:rPr>
          <w:rFonts w:ascii="Times New Roman" w:hAnsi="Times New Roman" w:cs="Times New Roman"/>
          <w:sz w:val="28"/>
          <w:szCs w:val="28"/>
        </w:rPr>
        <w:t>Cast</w:t>
      </w:r>
      <w:proofErr w:type="gramEnd"/>
      <w:r w:rsidRPr="005913B4">
        <w:rPr>
          <w:rFonts w:ascii="Times New Roman" w:hAnsi="Times New Roman" w:cs="Times New Roman"/>
          <w:sz w:val="28"/>
          <w:szCs w:val="28"/>
        </w:rPr>
        <w:t xml:space="preserve"> partial denture, Convertible denture, Dual-arch </w:t>
      </w:r>
      <w:r w:rsidRPr="005913B4">
        <w:rPr>
          <w:rFonts w:ascii="Times New Roman" w:hAnsi="Times New Roman" w:cs="Times New Roman"/>
          <w:sz w:val="28"/>
          <w:szCs w:val="28"/>
        </w:rPr>
        <w:lastRenderedPageBreak/>
        <w:t xml:space="preserve">rehabilitation,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Hemisectioned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teeth, </w:t>
      </w:r>
      <w:r w:rsidR="00E43FB2">
        <w:rPr>
          <w:rFonts w:ascii="Times New Roman" w:hAnsi="Times New Roman" w:cs="Times New Roman"/>
          <w:sz w:val="28"/>
          <w:szCs w:val="28"/>
        </w:rPr>
        <w:t>Overlay Denture,</w:t>
      </w:r>
      <w:r w:rsidR="00E43FB2" w:rsidRPr="005913B4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 xml:space="preserve">Preventive prosthodontics, Tooth-supported overdenture. </w:t>
      </w:r>
    </w:p>
    <w:p w14:paraId="3F476A00" w14:textId="77777777" w:rsidR="00A87B35" w:rsidRPr="005913B4" w:rsidRDefault="00A87B35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13B4">
        <w:rPr>
          <w:rFonts w:ascii="Times New Roman" w:hAnsi="Times New Roman" w:cs="Times New Roman"/>
          <w:b/>
          <w:bCs/>
          <w:sz w:val="28"/>
          <w:szCs w:val="28"/>
        </w:rPr>
        <w:t>Introduction:</w:t>
      </w:r>
    </w:p>
    <w:p w14:paraId="31BA5625" w14:textId="3344E76F" w:rsidR="00A87B35" w:rsidRPr="005913B4" w:rsidRDefault="00A87B35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E19B4">
        <w:rPr>
          <w:rFonts w:ascii="Times New Roman" w:hAnsi="Times New Roman" w:cs="Times New Roman"/>
          <w:sz w:val="28"/>
          <w:szCs w:val="28"/>
        </w:rPr>
        <w:t>According to</w:t>
      </w:r>
      <w:r w:rsidRPr="005913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DeVan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, “Perpetual preservation of what remains is more important than the meticulous replacement of what is missing” </w:t>
      </w:r>
      <w:r w:rsidR="003E19B4">
        <w:rPr>
          <w:rFonts w:ascii="Times New Roman" w:hAnsi="Times New Roman" w:cs="Times New Roman"/>
          <w:sz w:val="28"/>
          <w:szCs w:val="28"/>
        </w:rPr>
        <w:t xml:space="preserve">which </w:t>
      </w:r>
      <w:r w:rsidRPr="005913B4">
        <w:rPr>
          <w:rFonts w:ascii="Times New Roman" w:hAnsi="Times New Roman" w:cs="Times New Roman"/>
          <w:sz w:val="28"/>
          <w:szCs w:val="28"/>
        </w:rPr>
        <w:t xml:space="preserve">continues to guide modern prosthodontic practice. ¹ Preventive prosthodontics is based on this philosophy, focusing on conservation of remaining oral structures while formulating </w:t>
      </w:r>
      <w:r w:rsidRPr="006A11CC">
        <w:rPr>
          <w:rFonts w:ascii="Times New Roman" w:hAnsi="Times New Roman" w:cs="Times New Roman"/>
          <w:sz w:val="28"/>
          <w:szCs w:val="28"/>
        </w:rPr>
        <w:t>treatment plans</w:t>
      </w:r>
      <w:r w:rsidR="006A11CC" w:rsidRPr="006A11CC">
        <w:rPr>
          <w:rFonts w:ascii="Times New Roman" w:hAnsi="Times New Roman" w:cs="Times New Roman"/>
          <w:sz w:val="28"/>
          <w:szCs w:val="28"/>
        </w:rPr>
        <w:t>,</w:t>
      </w:r>
      <w:r w:rsidRPr="005913B4">
        <w:rPr>
          <w:rFonts w:ascii="Times New Roman" w:hAnsi="Times New Roman" w:cs="Times New Roman"/>
          <w:sz w:val="28"/>
          <w:szCs w:val="28"/>
        </w:rPr>
        <w:t xml:space="preserve"> aimed at improving patient comfort and function. Among the available preventive treatment modalities, overdentures serve as a practical and reliable option and often provide superior outcomes when compared to conventional complete dentures, which are associated with several limitations.</w:t>
      </w:r>
    </w:p>
    <w:p w14:paraId="5487A29B" w14:textId="38EF2165" w:rsidR="00A87B35" w:rsidRPr="005913B4" w:rsidRDefault="00A87B35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sz w:val="28"/>
          <w:szCs w:val="28"/>
        </w:rPr>
        <w:t xml:space="preserve">       </w:t>
      </w:r>
      <w:r w:rsidR="008A5A16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 xml:space="preserve">   According to the Glossary of Prosthodontic Terms (GPT-10), an </w:t>
      </w:r>
      <w:r w:rsidR="0022665B">
        <w:rPr>
          <w:rFonts w:ascii="Times New Roman" w:hAnsi="Times New Roman" w:cs="Times New Roman"/>
          <w:sz w:val="28"/>
          <w:szCs w:val="28"/>
        </w:rPr>
        <w:t>O</w:t>
      </w:r>
      <w:r w:rsidRPr="005913B4">
        <w:rPr>
          <w:rFonts w:ascii="Times New Roman" w:hAnsi="Times New Roman" w:cs="Times New Roman"/>
          <w:sz w:val="28"/>
          <w:szCs w:val="28"/>
        </w:rPr>
        <w:t xml:space="preserve">verdenture is defined as a removable partial or complete denture that covers and is supported by one or more remaining natural teeth, tooth roots, and/or dental implants. Such prostheses are also referred to as overlay dentures, overlay prostheses, or superimposed prostheses. ² </w:t>
      </w:r>
      <w:r w:rsidRPr="006A11CC">
        <w:rPr>
          <w:rFonts w:ascii="Times New Roman" w:hAnsi="Times New Roman" w:cs="Times New Roman"/>
          <w:sz w:val="28"/>
          <w:szCs w:val="28"/>
        </w:rPr>
        <w:t>Subsequent prosthodontic literature</w:t>
      </w:r>
      <w:r w:rsidR="006A11CC" w:rsidRPr="006A11CC">
        <w:rPr>
          <w:rFonts w:ascii="Times New Roman" w:hAnsi="Times New Roman" w:cs="Times New Roman"/>
          <w:sz w:val="28"/>
          <w:szCs w:val="28"/>
        </w:rPr>
        <w:t xml:space="preserve"> </w:t>
      </w:r>
      <w:r w:rsidRPr="006A11CC">
        <w:rPr>
          <w:rFonts w:ascii="Times New Roman" w:hAnsi="Times New Roman" w:cs="Times New Roman"/>
          <w:sz w:val="28"/>
          <w:szCs w:val="28"/>
        </w:rPr>
        <w:t>further elaborated on the principles, indications, and clinical protocols associated with overdenture treatment</w:t>
      </w:r>
      <w:r w:rsidRPr="005913B4">
        <w:rPr>
          <w:rFonts w:ascii="Times New Roman" w:hAnsi="Times New Roman" w:cs="Times New Roman"/>
          <w:sz w:val="28"/>
          <w:szCs w:val="28"/>
        </w:rPr>
        <w:t>. ³ Appropriate treatment planning</w:t>
      </w:r>
      <w:r w:rsidR="000F67F1">
        <w:rPr>
          <w:rFonts w:ascii="Times New Roman" w:hAnsi="Times New Roman" w:cs="Times New Roman"/>
          <w:sz w:val="28"/>
          <w:szCs w:val="28"/>
        </w:rPr>
        <w:t xml:space="preserve"> which includes</w:t>
      </w:r>
      <w:r w:rsidRPr="005913B4">
        <w:rPr>
          <w:rFonts w:ascii="Times New Roman" w:hAnsi="Times New Roman" w:cs="Times New Roman"/>
          <w:sz w:val="28"/>
          <w:szCs w:val="28"/>
        </w:rPr>
        <w:t xml:space="preserve"> careful abutment selection and elective endodontic therapy</w:t>
      </w:r>
      <w:r w:rsidR="008160B4">
        <w:rPr>
          <w:rFonts w:ascii="Times New Roman" w:hAnsi="Times New Roman" w:cs="Times New Roman"/>
          <w:sz w:val="28"/>
          <w:szCs w:val="28"/>
        </w:rPr>
        <w:t xml:space="preserve"> </w:t>
      </w:r>
      <w:r w:rsidR="000F67F1">
        <w:rPr>
          <w:rFonts w:ascii="Times New Roman" w:hAnsi="Times New Roman" w:cs="Times New Roman"/>
          <w:sz w:val="28"/>
          <w:szCs w:val="28"/>
        </w:rPr>
        <w:t>all</w:t>
      </w:r>
      <w:r w:rsidR="008160B4">
        <w:rPr>
          <w:rFonts w:ascii="Times New Roman" w:hAnsi="Times New Roman" w:cs="Times New Roman"/>
          <w:sz w:val="28"/>
          <w:szCs w:val="28"/>
        </w:rPr>
        <w:t xml:space="preserve"> these</w:t>
      </w:r>
      <w:r w:rsidRPr="005913B4">
        <w:rPr>
          <w:rFonts w:ascii="Times New Roman" w:hAnsi="Times New Roman" w:cs="Times New Roman"/>
          <w:sz w:val="28"/>
          <w:szCs w:val="28"/>
        </w:rPr>
        <w:t xml:space="preserve"> plays </w:t>
      </w:r>
      <w:r w:rsidR="003E19B4">
        <w:rPr>
          <w:rFonts w:ascii="Times New Roman" w:hAnsi="Times New Roman" w:cs="Times New Roman"/>
          <w:sz w:val="28"/>
          <w:szCs w:val="28"/>
        </w:rPr>
        <w:t>important</w:t>
      </w:r>
      <w:r w:rsidRPr="005913B4">
        <w:rPr>
          <w:rFonts w:ascii="Times New Roman" w:hAnsi="Times New Roman" w:cs="Times New Roman"/>
          <w:sz w:val="28"/>
          <w:szCs w:val="28"/>
        </w:rPr>
        <w:t xml:space="preserve"> role in long-term success. ³ Miller</w:t>
      </w:r>
      <w:r w:rsidR="00A444DE">
        <w:rPr>
          <w:rFonts w:ascii="Times New Roman" w:hAnsi="Times New Roman" w:cs="Times New Roman"/>
          <w:sz w:val="28"/>
          <w:szCs w:val="28"/>
        </w:rPr>
        <w:t xml:space="preserve"> (1958) </w:t>
      </w:r>
      <w:r w:rsidRPr="005913B4">
        <w:rPr>
          <w:rFonts w:ascii="Times New Roman" w:hAnsi="Times New Roman" w:cs="Times New Roman"/>
          <w:sz w:val="28"/>
          <w:szCs w:val="28"/>
        </w:rPr>
        <w:t>conducted a six-year longitudinal study involving 46 overdenture patients and reported significantly reduced alveolar bone resorption when compared to complete denture wearers.</w:t>
      </w:r>
      <w:r w:rsidR="00166711">
        <w:rPr>
          <w:rFonts w:ascii="Times New Roman" w:hAnsi="Times New Roman" w:cs="Times New Roman"/>
          <w:sz w:val="28"/>
          <w:szCs w:val="28"/>
          <w:vertAlign w:val="superscript"/>
        </w:rPr>
        <w:t>4,5</w:t>
      </w:r>
      <w:r w:rsidRPr="00190F2B">
        <w:rPr>
          <w:rFonts w:ascii="Times New Roman" w:hAnsi="Times New Roman" w:cs="Times New Roman"/>
          <w:sz w:val="28"/>
          <w:szCs w:val="28"/>
        </w:rPr>
        <w:t xml:space="preserve"> </w:t>
      </w:r>
      <w:r w:rsidR="008E2558">
        <w:rPr>
          <w:rFonts w:ascii="Times New Roman" w:hAnsi="Times New Roman" w:cs="Times New Roman"/>
          <w:sz w:val="28"/>
          <w:szCs w:val="28"/>
        </w:rPr>
        <w:t xml:space="preserve">An observational study by </w:t>
      </w:r>
      <w:r w:rsidRPr="005913B4">
        <w:rPr>
          <w:rFonts w:ascii="Times New Roman" w:hAnsi="Times New Roman" w:cs="Times New Roman"/>
          <w:sz w:val="28"/>
          <w:szCs w:val="28"/>
        </w:rPr>
        <w:t xml:space="preserve">Chen et </w:t>
      </w:r>
      <w:r w:rsidRPr="005913B4">
        <w:rPr>
          <w:rFonts w:ascii="Times New Roman" w:hAnsi="Times New Roman" w:cs="Times New Roman"/>
          <w:sz w:val="28"/>
          <w:szCs w:val="28"/>
        </w:rPr>
        <w:lastRenderedPageBreak/>
        <w:t>al</w:t>
      </w:r>
      <w:r w:rsidR="008E2558">
        <w:rPr>
          <w:rFonts w:ascii="Times New Roman" w:hAnsi="Times New Roman" w:cs="Times New Roman"/>
          <w:sz w:val="28"/>
          <w:szCs w:val="28"/>
        </w:rPr>
        <w:t>.</w:t>
      </w:r>
      <w:r w:rsidR="00C30DCF">
        <w:rPr>
          <w:rFonts w:ascii="Times New Roman" w:hAnsi="Times New Roman" w:cs="Times New Roman"/>
          <w:sz w:val="28"/>
          <w:szCs w:val="28"/>
        </w:rPr>
        <w:t xml:space="preserve"> (2002)</w:t>
      </w:r>
      <w:r w:rsidR="008E2558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>demonstrated improved masticatory efficiency in tooth-supported overdenture patients compared with conventional denture wearers, with no statistically significant difference between tooth-supported and implant-supported overdentures.</w:t>
      </w:r>
      <w:r w:rsidR="00447984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5913B4">
        <w:rPr>
          <w:rFonts w:ascii="Times New Roman" w:hAnsi="Times New Roman" w:cs="Times New Roman"/>
          <w:sz w:val="28"/>
          <w:szCs w:val="28"/>
        </w:rPr>
        <w:t xml:space="preserve"> Crown and Rooney (197</w:t>
      </w:r>
      <w:r w:rsidR="00E22981">
        <w:rPr>
          <w:rFonts w:ascii="Times New Roman" w:hAnsi="Times New Roman" w:cs="Times New Roman"/>
          <w:sz w:val="28"/>
          <w:szCs w:val="28"/>
        </w:rPr>
        <w:t>8</w:t>
      </w:r>
      <w:r w:rsidRPr="005913B4">
        <w:rPr>
          <w:rFonts w:ascii="Times New Roman" w:hAnsi="Times New Roman" w:cs="Times New Roman"/>
          <w:sz w:val="28"/>
          <w:szCs w:val="28"/>
        </w:rPr>
        <w:t>) further confirmed that retention of mandibular canines for overdenture support resulted in effective preservation of alveolar bone.</w:t>
      </w:r>
      <w:r w:rsidR="00A21525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5C7105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>Glen et al.</w:t>
      </w:r>
      <w:r w:rsidR="00BF5188">
        <w:rPr>
          <w:rFonts w:ascii="Times New Roman" w:hAnsi="Times New Roman" w:cs="Times New Roman"/>
          <w:sz w:val="28"/>
          <w:szCs w:val="28"/>
        </w:rPr>
        <w:t xml:space="preserve"> (1977) </w:t>
      </w:r>
      <w:r w:rsidRPr="005913B4">
        <w:rPr>
          <w:rFonts w:ascii="Times New Roman" w:hAnsi="Times New Roman" w:cs="Times New Roman"/>
          <w:sz w:val="28"/>
          <w:szCs w:val="28"/>
        </w:rPr>
        <w:t xml:space="preserve">reported that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hemisectioned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teeth can be successfully employed as overdenture abutments.</w:t>
      </w:r>
      <w:r w:rsidR="00A21525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5913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Hemisection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is indicated in</w:t>
      </w:r>
      <w:r w:rsidR="008E2558">
        <w:rPr>
          <w:rFonts w:ascii="Times New Roman" w:hAnsi="Times New Roman" w:cs="Times New Roman"/>
          <w:sz w:val="28"/>
          <w:szCs w:val="28"/>
        </w:rPr>
        <w:t xml:space="preserve"> those </w:t>
      </w:r>
      <w:r w:rsidRPr="005913B4">
        <w:rPr>
          <w:rFonts w:ascii="Times New Roman" w:hAnsi="Times New Roman" w:cs="Times New Roman"/>
          <w:sz w:val="28"/>
          <w:szCs w:val="28"/>
        </w:rPr>
        <w:t xml:space="preserve">situations involving severe vertical bone loss affecting one root while the remaining root demonstrates healthy periodontal support,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interradicular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bone loss where osteotomy is not feasible, or non-restorable caries involving the furcation area.</w:t>
      </w:r>
      <w:r w:rsidR="00104C77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5913B4">
        <w:rPr>
          <w:rFonts w:ascii="Times New Roman" w:hAnsi="Times New Roman" w:cs="Times New Roman"/>
          <w:sz w:val="28"/>
          <w:szCs w:val="28"/>
        </w:rPr>
        <w:t xml:space="preserve"> The primary objective of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hemisection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is to preserve a root with a healthy periodontium, thereby enabling its use as a functional abutment, particularly in mandibular distal extension cases.</w:t>
      </w:r>
      <w:r w:rsidR="00104C77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5913B4">
        <w:rPr>
          <w:rFonts w:ascii="Times New Roman" w:hAnsi="Times New Roman" w:cs="Times New Roman"/>
          <w:sz w:val="28"/>
          <w:szCs w:val="28"/>
        </w:rPr>
        <w:t xml:space="preserve">  The present case report integrates the advantages of both overdentures and cast partial dentures. A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hemisectioned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mandibular molar with a retained mesial root was modified and used as an overdenture abutment. The mandibular prosthesis was termed a</w:t>
      </w:r>
      <w:r w:rsidR="008E2558">
        <w:rPr>
          <w:rFonts w:ascii="Times New Roman" w:hAnsi="Times New Roman" w:cs="Times New Roman"/>
          <w:sz w:val="28"/>
          <w:szCs w:val="28"/>
        </w:rPr>
        <w:t>s</w:t>
      </w:r>
      <w:r w:rsidRPr="005913B4">
        <w:rPr>
          <w:rFonts w:ascii="Times New Roman" w:hAnsi="Times New Roman" w:cs="Times New Roman"/>
          <w:sz w:val="28"/>
          <w:szCs w:val="28"/>
        </w:rPr>
        <w:t xml:space="preserve"> convertible cast partial overdenture due to its adaptability for future modifications in the event of abutment loss.</w:t>
      </w:r>
    </w:p>
    <w:p w14:paraId="43D4CB43" w14:textId="77777777" w:rsidR="00104C77" w:rsidRDefault="00104C77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1E0032" w14:textId="77777777" w:rsidR="00442C9A" w:rsidRDefault="00442C9A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9DFB9B" w14:textId="77777777" w:rsidR="00442C9A" w:rsidRDefault="00442C9A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75F3FD" w14:textId="18477125" w:rsidR="00A87B35" w:rsidRPr="005913B4" w:rsidRDefault="00A87B35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13B4">
        <w:rPr>
          <w:rFonts w:ascii="Times New Roman" w:hAnsi="Times New Roman" w:cs="Times New Roman"/>
          <w:b/>
          <w:bCs/>
          <w:sz w:val="28"/>
          <w:szCs w:val="28"/>
        </w:rPr>
        <w:t>Case Report:</w:t>
      </w:r>
    </w:p>
    <w:p w14:paraId="60946948" w14:textId="48739AB4" w:rsidR="005C7105" w:rsidRDefault="00E200FC" w:rsidP="008E2558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444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62907254" wp14:editId="1D40D6A4">
            <wp:simplePos x="0" y="0"/>
            <wp:positionH relativeFrom="column">
              <wp:posOffset>595239</wp:posOffset>
            </wp:positionH>
            <wp:positionV relativeFrom="paragraph">
              <wp:posOffset>3285099</wp:posOffset>
            </wp:positionV>
            <wp:extent cx="4636135" cy="2358390"/>
            <wp:effectExtent l="19050" t="19050" r="12065" b="22860"/>
            <wp:wrapSquare wrapText="bothSides"/>
            <wp:docPr id="145159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996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358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         A 62-year-old male patient reported with the chief complaint of difficulty in </w:t>
      </w:r>
      <w:r w:rsidR="008E2558">
        <w:rPr>
          <w:rFonts w:ascii="Times New Roman" w:hAnsi="Times New Roman" w:cs="Times New Roman"/>
          <w:sz w:val="28"/>
          <w:szCs w:val="28"/>
        </w:rPr>
        <w:t>chewing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due to multiple missing teeth in both </w:t>
      </w:r>
      <w:r w:rsidR="008E2558">
        <w:rPr>
          <w:rFonts w:ascii="Times New Roman" w:hAnsi="Times New Roman" w:cs="Times New Roman"/>
          <w:sz w:val="28"/>
          <w:szCs w:val="28"/>
        </w:rPr>
        <w:t xml:space="preserve">upper 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and </w:t>
      </w:r>
      <w:r w:rsidR="008E2558">
        <w:rPr>
          <w:rFonts w:ascii="Times New Roman" w:hAnsi="Times New Roman" w:cs="Times New Roman"/>
          <w:sz w:val="28"/>
          <w:szCs w:val="28"/>
        </w:rPr>
        <w:t xml:space="preserve">lower </w:t>
      </w:r>
      <w:r w:rsidR="00A87B35" w:rsidRPr="005913B4">
        <w:rPr>
          <w:rFonts w:ascii="Times New Roman" w:hAnsi="Times New Roman" w:cs="Times New Roman"/>
          <w:sz w:val="28"/>
          <w:szCs w:val="28"/>
        </w:rPr>
        <w:t>arches. Detailed medical and dental histories were recorded, followed by a comprehensive extraoral (Figure 1</w:t>
      </w:r>
      <w:r w:rsidR="003703D5" w:rsidRPr="005913B4">
        <w:rPr>
          <w:rFonts w:ascii="Times New Roman" w:hAnsi="Times New Roman" w:cs="Times New Roman"/>
          <w:sz w:val="28"/>
          <w:szCs w:val="28"/>
        </w:rPr>
        <w:t>A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) and intraoral examination (Figure </w:t>
      </w:r>
      <w:r w:rsidR="001C04E1" w:rsidRPr="005913B4">
        <w:rPr>
          <w:rFonts w:ascii="Times New Roman" w:hAnsi="Times New Roman" w:cs="Times New Roman"/>
          <w:sz w:val="28"/>
          <w:szCs w:val="28"/>
        </w:rPr>
        <w:t>1B</w:t>
      </w:r>
      <w:r w:rsidR="00A87B35" w:rsidRPr="005913B4">
        <w:rPr>
          <w:rFonts w:ascii="Times New Roman" w:hAnsi="Times New Roman" w:cs="Times New Roman"/>
          <w:sz w:val="28"/>
          <w:szCs w:val="28"/>
        </w:rPr>
        <w:t>). An orthopantomogram (OPG) was advised for further evaluation</w:t>
      </w:r>
      <w:r w:rsidR="00D10509">
        <w:rPr>
          <w:rFonts w:ascii="Times New Roman" w:hAnsi="Times New Roman" w:cs="Times New Roman"/>
          <w:sz w:val="28"/>
          <w:szCs w:val="28"/>
        </w:rPr>
        <w:t xml:space="preserve"> </w:t>
      </w:r>
      <w:r w:rsidR="00D10509" w:rsidRPr="005913B4">
        <w:rPr>
          <w:rFonts w:ascii="Times New Roman" w:hAnsi="Times New Roman" w:cs="Times New Roman"/>
          <w:sz w:val="28"/>
          <w:szCs w:val="28"/>
        </w:rPr>
        <w:t>(Figure 1</w:t>
      </w:r>
      <w:r w:rsidR="00D10509">
        <w:rPr>
          <w:rFonts w:ascii="Times New Roman" w:hAnsi="Times New Roman" w:cs="Times New Roman"/>
          <w:sz w:val="28"/>
          <w:szCs w:val="28"/>
        </w:rPr>
        <w:t>C</w:t>
      </w:r>
      <w:r w:rsidR="00D10509" w:rsidRPr="005913B4">
        <w:rPr>
          <w:rFonts w:ascii="Times New Roman" w:hAnsi="Times New Roman" w:cs="Times New Roman"/>
          <w:sz w:val="28"/>
          <w:szCs w:val="28"/>
        </w:rPr>
        <w:t>)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. Radiographic assessment revealed previously underwent root canal treatment with respect to teeth 11, </w:t>
      </w:r>
      <w:r w:rsidR="008E2558">
        <w:rPr>
          <w:rFonts w:ascii="Times New Roman" w:hAnsi="Times New Roman" w:cs="Times New Roman"/>
          <w:sz w:val="28"/>
          <w:szCs w:val="28"/>
        </w:rPr>
        <w:t>12</w:t>
      </w:r>
      <w:r w:rsidR="00A87B35" w:rsidRPr="005913B4">
        <w:rPr>
          <w:rFonts w:ascii="Times New Roman" w:hAnsi="Times New Roman" w:cs="Times New Roman"/>
          <w:sz w:val="28"/>
          <w:szCs w:val="28"/>
        </w:rPr>
        <w:t>, and 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509" w:rsidRPr="005913B4">
        <w:rPr>
          <w:rFonts w:ascii="Times New Roman" w:hAnsi="Times New Roman" w:cs="Times New Roman"/>
          <w:sz w:val="28"/>
          <w:szCs w:val="28"/>
        </w:rPr>
        <w:t>(Figure 1</w:t>
      </w:r>
      <w:r w:rsidR="00D10509">
        <w:rPr>
          <w:rFonts w:ascii="Times New Roman" w:hAnsi="Times New Roman" w:cs="Times New Roman"/>
          <w:sz w:val="28"/>
          <w:szCs w:val="28"/>
        </w:rPr>
        <w:t>C</w:t>
      </w:r>
      <w:r w:rsidR="00D10509" w:rsidRPr="005913B4">
        <w:rPr>
          <w:rFonts w:ascii="Times New Roman" w:hAnsi="Times New Roman" w:cs="Times New Roman"/>
          <w:sz w:val="28"/>
          <w:szCs w:val="28"/>
        </w:rPr>
        <w:t>)</w:t>
      </w:r>
      <w:r w:rsidR="00A87B35" w:rsidRPr="005913B4">
        <w:rPr>
          <w:rFonts w:ascii="Times New Roman" w:hAnsi="Times New Roman" w:cs="Times New Roman"/>
          <w:sz w:val="28"/>
          <w:szCs w:val="28"/>
        </w:rPr>
        <w:t>.</w:t>
      </w:r>
      <w:r w:rsidR="008E2558">
        <w:rPr>
          <w:rFonts w:ascii="Times New Roman" w:hAnsi="Times New Roman" w:cs="Times New Roman"/>
          <w:sz w:val="28"/>
          <w:szCs w:val="28"/>
        </w:rPr>
        <w:t xml:space="preserve"> </w:t>
      </w:r>
      <w:r w:rsidR="00A87B35" w:rsidRPr="005913B4">
        <w:rPr>
          <w:rFonts w:ascii="Times New Roman" w:hAnsi="Times New Roman" w:cs="Times New Roman"/>
          <w:sz w:val="28"/>
          <w:szCs w:val="28"/>
        </w:rPr>
        <w:t>Furcation involvement and a periapical lesion was noted with respect to tooth 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509" w:rsidRPr="005913B4">
        <w:rPr>
          <w:rFonts w:ascii="Times New Roman" w:hAnsi="Times New Roman" w:cs="Times New Roman"/>
          <w:sz w:val="28"/>
          <w:szCs w:val="28"/>
        </w:rPr>
        <w:t>(Figure 1</w:t>
      </w:r>
      <w:r w:rsidR="00D10509">
        <w:rPr>
          <w:rFonts w:ascii="Times New Roman" w:hAnsi="Times New Roman" w:cs="Times New Roman"/>
          <w:sz w:val="28"/>
          <w:szCs w:val="28"/>
        </w:rPr>
        <w:t>C</w:t>
      </w:r>
      <w:r w:rsidR="00D10509" w:rsidRPr="005913B4">
        <w:rPr>
          <w:rFonts w:ascii="Times New Roman" w:hAnsi="Times New Roman" w:cs="Times New Roman"/>
          <w:sz w:val="28"/>
          <w:szCs w:val="28"/>
        </w:rPr>
        <w:t>)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547D8F" w14:textId="7D45AA32" w:rsidR="008E2558" w:rsidRDefault="008E2558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3F14A4E" w14:textId="0ECD7DE3" w:rsidR="008E2558" w:rsidRDefault="008E2558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8AE961B" w14:textId="0659442C" w:rsidR="008E2558" w:rsidRDefault="008E2558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43510AA" w14:textId="1643BB72" w:rsidR="008E2558" w:rsidRDefault="008E2558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61B083B4" w14:textId="5F831BCB" w:rsidR="008E2558" w:rsidRDefault="00E200FC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D18EAE" wp14:editId="29D20255">
                <wp:simplePos x="0" y="0"/>
                <wp:positionH relativeFrom="margin">
                  <wp:posOffset>1366861</wp:posOffset>
                </wp:positionH>
                <wp:positionV relativeFrom="paragraph">
                  <wp:posOffset>345684</wp:posOffset>
                </wp:positionV>
                <wp:extent cx="3069125" cy="334979"/>
                <wp:effectExtent l="0" t="0" r="17145" b="27305"/>
                <wp:wrapNone/>
                <wp:docPr id="896325290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125" cy="334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345EC" w14:textId="77777777" w:rsidR="002A54D6" w:rsidRPr="005C7105" w:rsidRDefault="002A54D6" w:rsidP="002A54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1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Figure 1: </w:t>
                            </w:r>
                            <w:r w:rsidRPr="005C71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Extraoral and Intraoral images</w:t>
                            </w:r>
                          </w:p>
                          <w:p w14:paraId="164E4DF9" w14:textId="77777777" w:rsidR="002A54D6" w:rsidRDefault="002A54D6" w:rsidP="002A54D6"/>
                          <w:p w14:paraId="5511F7C3" w14:textId="77777777" w:rsidR="002A54D6" w:rsidRDefault="002A54D6" w:rsidP="002A54D6"/>
                          <w:p w14:paraId="2D5AD76C" w14:textId="77777777" w:rsidR="002A54D6" w:rsidRDefault="002A54D6" w:rsidP="002A54D6"/>
                          <w:p w14:paraId="11070D13" w14:textId="77777777" w:rsidR="002A54D6" w:rsidRDefault="002A54D6" w:rsidP="002A54D6"/>
                          <w:p w14:paraId="568D4647" w14:textId="77777777" w:rsidR="002A54D6" w:rsidRDefault="002A54D6" w:rsidP="002A54D6"/>
                          <w:p w14:paraId="04CDEA5D" w14:textId="77777777" w:rsidR="002A54D6" w:rsidRDefault="002A54D6" w:rsidP="002A54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18EA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07.65pt;margin-top:27.2pt;width:241.65pt;height:26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" fillcolor="white [3201]" strokeweight=".5pt">
                <v:textbox>
                  <w:txbxContent>
                    <w:p w14:paraId="397345EC" w14:textId="77777777" w:rsidR="002A54D6" w:rsidRPr="005C7105" w:rsidRDefault="002A54D6" w:rsidP="002A54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10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Figure 1: </w:t>
                      </w:r>
                      <w:r w:rsidRPr="005C71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Extraoral and Intraoral images</w:t>
                      </w:r>
                    </w:p>
                    <w:p w14:paraId="164E4DF9" w14:textId="77777777" w:rsidR="002A54D6" w:rsidRDefault="002A54D6" w:rsidP="002A54D6"/>
                    <w:p w14:paraId="5511F7C3" w14:textId="77777777" w:rsidR="002A54D6" w:rsidRDefault="002A54D6" w:rsidP="002A54D6"/>
                    <w:p w14:paraId="2D5AD76C" w14:textId="77777777" w:rsidR="002A54D6" w:rsidRDefault="002A54D6" w:rsidP="002A54D6"/>
                    <w:p w14:paraId="11070D13" w14:textId="77777777" w:rsidR="002A54D6" w:rsidRDefault="002A54D6" w:rsidP="002A54D6"/>
                    <w:p w14:paraId="568D4647" w14:textId="77777777" w:rsidR="002A54D6" w:rsidRDefault="002A54D6" w:rsidP="002A54D6"/>
                    <w:p w14:paraId="04CDEA5D" w14:textId="77777777" w:rsidR="002A54D6" w:rsidRDefault="002A54D6" w:rsidP="002A54D6"/>
                  </w:txbxContent>
                </v:textbox>
                <w10:wrap anchorx="margin"/>
              </v:shape>
            </w:pict>
          </mc:Fallback>
        </mc:AlternateContent>
      </w:r>
    </w:p>
    <w:p w14:paraId="2F675A77" w14:textId="77777777" w:rsidR="008E2558" w:rsidRDefault="008E2558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FBA3642" w14:textId="4E936250" w:rsidR="00002A92" w:rsidRPr="005913B4" w:rsidRDefault="00A87B35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sz w:val="28"/>
          <w:szCs w:val="28"/>
        </w:rPr>
        <w:t xml:space="preserve">As the patient was not willing to undergo extractions, a preventive prosthodontic approach involving tooth-supported overdentures was planned after evaluating the tentative jaw relations. Due to poor prognosis, </w:t>
      </w:r>
      <w:r w:rsidR="00B3315B">
        <w:rPr>
          <w:rFonts w:ascii="Times New Roman" w:hAnsi="Times New Roman" w:cs="Times New Roman"/>
          <w:sz w:val="28"/>
          <w:szCs w:val="28"/>
        </w:rPr>
        <w:t>12 was advised for extraction</w:t>
      </w:r>
      <w:r w:rsidRPr="005913B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909782" w14:textId="67D2A72A" w:rsidR="00714AE3" w:rsidRPr="005913B4" w:rsidRDefault="00C617EC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9892140" wp14:editId="362FEE4B">
            <wp:simplePos x="0" y="0"/>
            <wp:positionH relativeFrom="margin">
              <wp:posOffset>1061355</wp:posOffset>
            </wp:positionH>
            <wp:positionV relativeFrom="paragraph">
              <wp:posOffset>3854450</wp:posOffset>
            </wp:positionV>
            <wp:extent cx="3825875" cy="3581400"/>
            <wp:effectExtent l="19050" t="19050" r="22225" b="19050"/>
            <wp:wrapTopAndBottom/>
            <wp:docPr id="1099797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9725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3581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3D5" w:rsidRPr="005913B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87B35" w:rsidRPr="005913B4">
        <w:rPr>
          <w:rFonts w:ascii="Times New Roman" w:hAnsi="Times New Roman" w:cs="Times New Roman"/>
          <w:sz w:val="28"/>
          <w:szCs w:val="28"/>
        </w:rPr>
        <w:t>Diagnostic impression was made using irreversible hydrocolloid impression material (</w:t>
      </w:r>
      <w:proofErr w:type="spellStart"/>
      <w:r w:rsidR="00A87B35" w:rsidRPr="005913B4">
        <w:rPr>
          <w:rFonts w:ascii="Times New Roman" w:hAnsi="Times New Roman" w:cs="Times New Roman"/>
          <w:sz w:val="28"/>
          <w:szCs w:val="28"/>
        </w:rPr>
        <w:t>Zhermack</w:t>
      </w:r>
      <w:proofErr w:type="spellEnd"/>
      <w:r w:rsidR="00A87B35" w:rsidRPr="005913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B35" w:rsidRPr="005913B4">
        <w:rPr>
          <w:rFonts w:ascii="Times New Roman" w:hAnsi="Times New Roman" w:cs="Times New Roman"/>
          <w:sz w:val="28"/>
          <w:szCs w:val="28"/>
        </w:rPr>
        <w:t>SpA</w:t>
      </w:r>
      <w:proofErr w:type="spellEnd"/>
      <w:r w:rsidR="00A87B35" w:rsidRPr="005913B4">
        <w:rPr>
          <w:rFonts w:ascii="Times New Roman" w:hAnsi="Times New Roman" w:cs="Times New Roman"/>
          <w:sz w:val="28"/>
          <w:szCs w:val="28"/>
        </w:rPr>
        <w:t>, Italy</w:t>
      </w:r>
      <w:r w:rsidR="00A87B35" w:rsidRPr="005913B4">
        <w:rPr>
          <w:rFonts w:ascii="Times New Roman" w:hAnsi="Times New Roman" w:cs="Times New Roman"/>
          <w:b/>
          <w:bCs/>
          <w:sz w:val="28"/>
          <w:szCs w:val="28"/>
        </w:rPr>
        <w:t xml:space="preserve">). 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Endodontic evaluation was done with respect to 11, 21 followed by root canal treatment was </w:t>
      </w:r>
      <w:r w:rsidR="00B3315B">
        <w:rPr>
          <w:rFonts w:ascii="Times New Roman" w:hAnsi="Times New Roman" w:cs="Times New Roman"/>
          <w:sz w:val="28"/>
          <w:szCs w:val="28"/>
        </w:rPr>
        <w:t>advised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with respect to tooth 37. Intentional root canal treatment was p</w:t>
      </w:r>
      <w:r w:rsidR="00B3315B">
        <w:rPr>
          <w:rFonts w:ascii="Times New Roman" w:hAnsi="Times New Roman" w:cs="Times New Roman"/>
          <w:sz w:val="28"/>
          <w:szCs w:val="28"/>
        </w:rPr>
        <w:t>erformed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</w:t>
      </w:r>
      <w:r w:rsidR="00B3315B">
        <w:rPr>
          <w:rFonts w:ascii="Times New Roman" w:hAnsi="Times New Roman" w:cs="Times New Roman"/>
          <w:sz w:val="28"/>
          <w:szCs w:val="28"/>
        </w:rPr>
        <w:t>with respect to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13, 14, and 43(Figure </w:t>
      </w:r>
      <w:r w:rsidR="00714AE3" w:rsidRPr="005913B4">
        <w:rPr>
          <w:rFonts w:ascii="Times New Roman" w:hAnsi="Times New Roman" w:cs="Times New Roman"/>
          <w:sz w:val="28"/>
          <w:szCs w:val="28"/>
        </w:rPr>
        <w:t>2A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A87B35" w:rsidRPr="005913B4">
        <w:rPr>
          <w:rFonts w:ascii="Times New Roman" w:hAnsi="Times New Roman" w:cs="Times New Roman"/>
          <w:sz w:val="28"/>
          <w:szCs w:val="28"/>
        </w:rPr>
        <w:t>Hemisection</w:t>
      </w:r>
      <w:proofErr w:type="spellEnd"/>
      <w:r w:rsidR="00A87B35" w:rsidRPr="005913B4">
        <w:rPr>
          <w:rFonts w:ascii="Times New Roman" w:hAnsi="Times New Roman" w:cs="Times New Roman"/>
          <w:sz w:val="28"/>
          <w:szCs w:val="28"/>
        </w:rPr>
        <w:t xml:space="preserve"> was carried out </w:t>
      </w:r>
      <w:r w:rsidR="00B3315B">
        <w:rPr>
          <w:rFonts w:ascii="Times New Roman" w:hAnsi="Times New Roman" w:cs="Times New Roman"/>
          <w:sz w:val="28"/>
          <w:szCs w:val="28"/>
        </w:rPr>
        <w:t>with respect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to 37 following endodontic therapy, retaining the healthy mesial root (Figure </w:t>
      </w:r>
      <w:r w:rsidR="009D3644">
        <w:rPr>
          <w:rFonts w:ascii="Times New Roman" w:hAnsi="Times New Roman" w:cs="Times New Roman"/>
          <w:sz w:val="28"/>
          <w:szCs w:val="28"/>
        </w:rPr>
        <w:t>2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). </w:t>
      </w:r>
      <w:r w:rsidR="00432B40" w:rsidRPr="00432B40">
        <w:rPr>
          <w:rFonts w:ascii="Times New Roman" w:hAnsi="Times New Roman" w:cs="Times New Roman"/>
          <w:sz w:val="28"/>
          <w:szCs w:val="28"/>
        </w:rPr>
        <w:t>Tooth 47 demonstrated a favourable prognosis and was consequently retained as an abutment for a ring clasp in the mandibular cast partial denture. The observed cervical abrasion was restored with composite resin.</w:t>
      </w:r>
    </w:p>
    <w:p w14:paraId="159BB73B" w14:textId="27F24EBF" w:rsidR="00432B40" w:rsidRDefault="00E200FC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2DCF3D" wp14:editId="76A56DAA">
                <wp:simplePos x="0" y="0"/>
                <wp:positionH relativeFrom="margin">
                  <wp:posOffset>1588770</wp:posOffset>
                </wp:positionH>
                <wp:positionV relativeFrom="paragraph">
                  <wp:posOffset>3801501</wp:posOffset>
                </wp:positionV>
                <wp:extent cx="2735580" cy="330200"/>
                <wp:effectExtent l="0" t="0" r="26670" b="12700"/>
                <wp:wrapNone/>
                <wp:docPr id="26429261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C8338" w14:textId="77777777" w:rsidR="004E7269" w:rsidRPr="005C7105" w:rsidRDefault="004E7269" w:rsidP="004E72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1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Figure 2: </w:t>
                            </w:r>
                            <w:r w:rsidRPr="005C71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Abutment tooth preparation</w:t>
                            </w:r>
                          </w:p>
                          <w:p w14:paraId="7972E0CB" w14:textId="77777777" w:rsidR="004E7269" w:rsidRDefault="004E7269" w:rsidP="004E7269"/>
                          <w:p w14:paraId="4726C9B3" w14:textId="77777777" w:rsidR="004E7269" w:rsidRDefault="004E7269" w:rsidP="004E7269"/>
                          <w:p w14:paraId="3614BEE8" w14:textId="77777777" w:rsidR="004E7269" w:rsidRDefault="004E7269" w:rsidP="004E7269"/>
                          <w:p w14:paraId="54EC8CD1" w14:textId="77777777" w:rsidR="004E7269" w:rsidRDefault="004E7269" w:rsidP="004E7269"/>
                          <w:p w14:paraId="11E31328" w14:textId="77777777" w:rsidR="004E7269" w:rsidRDefault="004E7269" w:rsidP="004E7269"/>
                          <w:p w14:paraId="4F62A838" w14:textId="77777777" w:rsidR="004E7269" w:rsidRDefault="004E7269" w:rsidP="004E72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CF3D" id="_x0000_s1027" type="#_x0000_t202" style="position:absolute;left:0;text-align:left;margin-left:125.1pt;margin-top:299.35pt;width:215.4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" fillcolor="white [3201]" strokeweight=".5pt">
                <v:textbox>
                  <w:txbxContent>
                    <w:p w14:paraId="51EC8338" w14:textId="77777777" w:rsidR="004E7269" w:rsidRPr="005C7105" w:rsidRDefault="004E7269" w:rsidP="004E72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710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Figure 2: </w:t>
                      </w:r>
                      <w:r w:rsidRPr="005C71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Abutment tooth preparation</w:t>
                      </w:r>
                    </w:p>
                    <w:p w14:paraId="7972E0CB" w14:textId="77777777" w:rsidR="004E7269" w:rsidRDefault="004E7269" w:rsidP="004E7269"/>
                    <w:p w14:paraId="4726C9B3" w14:textId="77777777" w:rsidR="004E7269" w:rsidRDefault="004E7269" w:rsidP="004E7269"/>
                    <w:p w14:paraId="3614BEE8" w14:textId="77777777" w:rsidR="004E7269" w:rsidRDefault="004E7269" w:rsidP="004E7269"/>
                    <w:p w14:paraId="54EC8CD1" w14:textId="77777777" w:rsidR="004E7269" w:rsidRDefault="004E7269" w:rsidP="004E7269"/>
                    <w:p w14:paraId="11E31328" w14:textId="77777777" w:rsidR="004E7269" w:rsidRDefault="004E7269" w:rsidP="004E7269"/>
                    <w:p w14:paraId="4F62A838" w14:textId="77777777" w:rsidR="004E7269" w:rsidRDefault="004E7269" w:rsidP="004E7269"/>
                  </w:txbxContent>
                </v:textbox>
                <w10:wrap anchorx="margin"/>
              </v:shape>
            </w:pict>
          </mc:Fallback>
        </mc:AlternateContent>
      </w:r>
      <w:r w:rsidR="00714AE3" w:rsidRPr="005913B4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14:paraId="321E2F64" w14:textId="4BE984D7" w:rsidR="00A87B35" w:rsidRPr="005913B4" w:rsidRDefault="00A87B35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sz w:val="28"/>
          <w:szCs w:val="28"/>
        </w:rPr>
        <w:t xml:space="preserve">A healing period of three months was allowed following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hemisection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. Soft tissue coverage over the retained root was further subjected to crown lengthening. Carious </w:t>
      </w:r>
      <w:r w:rsidRPr="005913B4">
        <w:rPr>
          <w:rFonts w:ascii="Times New Roman" w:hAnsi="Times New Roman" w:cs="Times New Roman"/>
          <w:sz w:val="28"/>
          <w:szCs w:val="28"/>
        </w:rPr>
        <w:lastRenderedPageBreak/>
        <w:t>lesions</w:t>
      </w:r>
      <w:r w:rsidR="00432B40">
        <w:rPr>
          <w:rFonts w:ascii="Times New Roman" w:hAnsi="Times New Roman" w:cs="Times New Roman"/>
          <w:sz w:val="28"/>
          <w:szCs w:val="28"/>
        </w:rPr>
        <w:t xml:space="preserve"> with respect to</w:t>
      </w:r>
      <w:r w:rsidRPr="005913B4">
        <w:rPr>
          <w:rFonts w:ascii="Times New Roman" w:hAnsi="Times New Roman" w:cs="Times New Roman"/>
          <w:sz w:val="28"/>
          <w:szCs w:val="28"/>
        </w:rPr>
        <w:t xml:space="preserve"> 11 and 21 were excavated, followed by crown lengthening to facilitate proper seating of metal copings.                              </w:t>
      </w:r>
    </w:p>
    <w:p w14:paraId="46E5BD83" w14:textId="184E5647" w:rsidR="00AF1B91" w:rsidRPr="005913B4" w:rsidRDefault="00A87B35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A5A16">
        <w:rPr>
          <w:rFonts w:ascii="Times New Roman" w:hAnsi="Times New Roman" w:cs="Times New Roman"/>
          <w:sz w:val="28"/>
          <w:szCs w:val="28"/>
        </w:rPr>
        <w:t xml:space="preserve">  </w:t>
      </w:r>
      <w:r w:rsidRPr="005913B4">
        <w:rPr>
          <w:rFonts w:ascii="Times New Roman" w:hAnsi="Times New Roman" w:cs="Times New Roman"/>
          <w:sz w:val="28"/>
          <w:szCs w:val="28"/>
        </w:rPr>
        <w:t xml:space="preserve">Post space </w:t>
      </w:r>
      <w:r w:rsidR="00432B40">
        <w:rPr>
          <w:rFonts w:ascii="Times New Roman" w:hAnsi="Times New Roman" w:cs="Times New Roman"/>
          <w:sz w:val="28"/>
          <w:szCs w:val="28"/>
        </w:rPr>
        <w:t xml:space="preserve">and abutment </w:t>
      </w:r>
      <w:r w:rsidRPr="005913B4">
        <w:rPr>
          <w:rFonts w:ascii="Times New Roman" w:hAnsi="Times New Roman" w:cs="Times New Roman"/>
          <w:sz w:val="28"/>
          <w:szCs w:val="28"/>
        </w:rPr>
        <w:t>preparation w</w:t>
      </w:r>
      <w:r w:rsidR="00432B40">
        <w:rPr>
          <w:rFonts w:ascii="Times New Roman" w:hAnsi="Times New Roman" w:cs="Times New Roman"/>
          <w:sz w:val="28"/>
          <w:szCs w:val="28"/>
        </w:rPr>
        <w:t>as done</w:t>
      </w:r>
      <w:r w:rsidRPr="005913B4">
        <w:rPr>
          <w:rFonts w:ascii="Times New Roman" w:hAnsi="Times New Roman" w:cs="Times New Roman"/>
          <w:sz w:val="28"/>
          <w:szCs w:val="28"/>
        </w:rPr>
        <w:t xml:space="preserve"> to receive </w:t>
      </w:r>
      <w:r w:rsidR="00432B40">
        <w:rPr>
          <w:rFonts w:ascii="Times New Roman" w:hAnsi="Times New Roman" w:cs="Times New Roman"/>
          <w:sz w:val="28"/>
          <w:szCs w:val="28"/>
        </w:rPr>
        <w:t xml:space="preserve">the </w:t>
      </w:r>
      <w:r w:rsidRPr="005913B4">
        <w:rPr>
          <w:rFonts w:ascii="Times New Roman" w:hAnsi="Times New Roman" w:cs="Times New Roman"/>
          <w:sz w:val="28"/>
          <w:szCs w:val="28"/>
        </w:rPr>
        <w:t xml:space="preserve">copings (Figure </w:t>
      </w:r>
      <w:r w:rsidR="009D3644">
        <w:rPr>
          <w:rFonts w:ascii="Times New Roman" w:hAnsi="Times New Roman" w:cs="Times New Roman"/>
          <w:sz w:val="28"/>
          <w:szCs w:val="28"/>
        </w:rPr>
        <w:t>3</w:t>
      </w:r>
      <w:r w:rsidRPr="005913B4">
        <w:rPr>
          <w:rFonts w:ascii="Times New Roman" w:hAnsi="Times New Roman" w:cs="Times New Roman"/>
          <w:sz w:val="28"/>
          <w:szCs w:val="28"/>
        </w:rPr>
        <w:t>). Impression w</w:t>
      </w:r>
      <w:r w:rsidR="00432B40">
        <w:rPr>
          <w:rFonts w:ascii="Times New Roman" w:hAnsi="Times New Roman" w:cs="Times New Roman"/>
          <w:sz w:val="28"/>
          <w:szCs w:val="28"/>
        </w:rPr>
        <w:t>as</w:t>
      </w:r>
      <w:r w:rsidRPr="005913B4">
        <w:rPr>
          <w:rFonts w:ascii="Times New Roman" w:hAnsi="Times New Roman" w:cs="Times New Roman"/>
          <w:sz w:val="28"/>
          <w:szCs w:val="28"/>
        </w:rPr>
        <w:t xml:space="preserve"> made using Putty and light-body elastomeric </w:t>
      </w:r>
      <w:r w:rsidR="00432B40">
        <w:rPr>
          <w:rFonts w:ascii="Times New Roman" w:hAnsi="Times New Roman" w:cs="Times New Roman"/>
          <w:sz w:val="28"/>
          <w:szCs w:val="28"/>
        </w:rPr>
        <w:t xml:space="preserve">impression </w:t>
      </w:r>
      <w:r w:rsidRPr="005913B4">
        <w:rPr>
          <w:rFonts w:ascii="Times New Roman" w:hAnsi="Times New Roman" w:cs="Times New Roman"/>
          <w:sz w:val="28"/>
          <w:szCs w:val="28"/>
        </w:rPr>
        <w:t xml:space="preserve">material (DPI (Dental Products of India, The Bombay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Burmah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Trading Corporation Ltd, Mumbai, Maharashtra) and </w:t>
      </w:r>
      <w:r w:rsidR="00432B40">
        <w:rPr>
          <w:rFonts w:ascii="Times New Roman" w:hAnsi="Times New Roman" w:cs="Times New Roman"/>
          <w:sz w:val="28"/>
          <w:szCs w:val="28"/>
        </w:rPr>
        <w:t xml:space="preserve">the </w:t>
      </w:r>
      <w:r w:rsidRPr="005913B4">
        <w:rPr>
          <w:rFonts w:ascii="Times New Roman" w:hAnsi="Times New Roman" w:cs="Times New Roman"/>
          <w:sz w:val="28"/>
          <w:szCs w:val="28"/>
        </w:rPr>
        <w:t xml:space="preserve">metal copings were fabricated and cemented using Glass ionomer cement (GC India Dental Pvt Ltd, Medak, India) (Figure </w:t>
      </w:r>
      <w:r w:rsidR="00964BD8" w:rsidRPr="005913B4">
        <w:rPr>
          <w:rFonts w:ascii="Times New Roman" w:hAnsi="Times New Roman" w:cs="Times New Roman"/>
          <w:sz w:val="28"/>
          <w:szCs w:val="28"/>
        </w:rPr>
        <w:t>3</w:t>
      </w:r>
      <w:r w:rsidR="00622FB0" w:rsidRPr="005913B4">
        <w:rPr>
          <w:rFonts w:ascii="Times New Roman" w:hAnsi="Times New Roman" w:cs="Times New Roman"/>
          <w:sz w:val="28"/>
          <w:szCs w:val="28"/>
        </w:rPr>
        <w:t>A</w:t>
      </w:r>
      <w:r w:rsidRPr="005913B4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27E57CF" w14:textId="2E69D39F" w:rsidR="004E7269" w:rsidRPr="005913B4" w:rsidRDefault="00367A90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7E26995" wp14:editId="131BF372">
            <wp:simplePos x="0" y="0"/>
            <wp:positionH relativeFrom="margin">
              <wp:posOffset>540483</wp:posOffset>
            </wp:positionH>
            <wp:positionV relativeFrom="paragraph">
              <wp:posOffset>2384425</wp:posOffset>
            </wp:positionV>
            <wp:extent cx="4363085" cy="2907030"/>
            <wp:effectExtent l="19050" t="19050" r="18415" b="26670"/>
            <wp:wrapTopAndBottom/>
            <wp:docPr id="2431665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907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B91" w:rsidRPr="005913B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87B35" w:rsidRPr="005913B4">
        <w:rPr>
          <w:rFonts w:ascii="Times New Roman" w:hAnsi="Times New Roman" w:cs="Times New Roman"/>
          <w:sz w:val="28"/>
          <w:szCs w:val="28"/>
        </w:rPr>
        <w:t>A mandibular cast partial overdenture was planned with a ring clasp engaging mesial and distal rest</w:t>
      </w:r>
      <w:r w:rsidR="00432B40">
        <w:rPr>
          <w:rFonts w:ascii="Times New Roman" w:hAnsi="Times New Roman" w:cs="Times New Roman"/>
          <w:sz w:val="28"/>
          <w:szCs w:val="28"/>
        </w:rPr>
        <w:t xml:space="preserve"> with respect to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47. After </w:t>
      </w:r>
      <w:r w:rsidR="00432B40">
        <w:rPr>
          <w:rFonts w:ascii="Times New Roman" w:hAnsi="Times New Roman" w:cs="Times New Roman"/>
          <w:sz w:val="28"/>
          <w:szCs w:val="28"/>
        </w:rPr>
        <w:t xml:space="preserve">the </w:t>
      </w:r>
      <w:r w:rsidR="00A87B35" w:rsidRPr="005913B4">
        <w:rPr>
          <w:rFonts w:ascii="Times New Roman" w:hAnsi="Times New Roman" w:cs="Times New Roman"/>
          <w:sz w:val="28"/>
          <w:szCs w:val="28"/>
        </w:rPr>
        <w:t>rest seat</w:t>
      </w:r>
      <w:r w:rsidR="00432B40">
        <w:rPr>
          <w:rFonts w:ascii="Times New Roman" w:hAnsi="Times New Roman" w:cs="Times New Roman"/>
          <w:sz w:val="28"/>
          <w:szCs w:val="28"/>
        </w:rPr>
        <w:t>s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preparation, impression for metal framework fabrication was made using Putty and light body elastomeric impression</w:t>
      </w:r>
      <w:r w:rsidR="00432B40">
        <w:rPr>
          <w:rFonts w:ascii="Times New Roman" w:hAnsi="Times New Roman" w:cs="Times New Roman"/>
          <w:sz w:val="28"/>
          <w:szCs w:val="28"/>
        </w:rPr>
        <w:t xml:space="preserve"> material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(DPI (Dental Products of India, The Bombay </w:t>
      </w:r>
      <w:proofErr w:type="spellStart"/>
      <w:r w:rsidR="00A87B35" w:rsidRPr="005913B4">
        <w:rPr>
          <w:rFonts w:ascii="Times New Roman" w:hAnsi="Times New Roman" w:cs="Times New Roman"/>
          <w:sz w:val="28"/>
          <w:szCs w:val="28"/>
        </w:rPr>
        <w:t>Burmah</w:t>
      </w:r>
      <w:proofErr w:type="spellEnd"/>
      <w:r w:rsidR="00A87B35" w:rsidRPr="005913B4">
        <w:rPr>
          <w:rFonts w:ascii="Times New Roman" w:hAnsi="Times New Roman" w:cs="Times New Roman"/>
          <w:sz w:val="28"/>
          <w:szCs w:val="28"/>
        </w:rPr>
        <w:t xml:space="preserve"> Trading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Corporation Ltd, Mumbai, Maharashtra). The designing of cobalt-chromium framework was made using EXOCAD software followed by milling (Figure </w:t>
      </w:r>
      <w:r w:rsidR="00622FB0" w:rsidRPr="005913B4">
        <w:rPr>
          <w:rFonts w:ascii="Times New Roman" w:hAnsi="Times New Roman" w:cs="Times New Roman"/>
          <w:sz w:val="28"/>
          <w:szCs w:val="28"/>
        </w:rPr>
        <w:t>3B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606CCA1" w14:textId="2CE8361B" w:rsidR="00367A90" w:rsidRDefault="00367A90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B236A6" wp14:editId="6B8C2DBB">
                <wp:simplePos x="0" y="0"/>
                <wp:positionH relativeFrom="margin">
                  <wp:posOffset>2157730</wp:posOffset>
                </wp:positionH>
                <wp:positionV relativeFrom="paragraph">
                  <wp:posOffset>2853641</wp:posOffset>
                </wp:positionV>
                <wp:extent cx="1259058" cy="316523"/>
                <wp:effectExtent l="0" t="0" r="17780" b="26670"/>
                <wp:wrapNone/>
                <wp:docPr id="114800650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058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6861C" w14:textId="77777777" w:rsidR="00964BD8" w:rsidRPr="00E13A73" w:rsidRDefault="00964BD8" w:rsidP="00964B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13A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Figure 3: </w:t>
                            </w:r>
                            <w:r w:rsidRPr="00E13A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Try in</w:t>
                            </w:r>
                          </w:p>
                          <w:p w14:paraId="21A3C5C7" w14:textId="77777777" w:rsidR="00964BD8" w:rsidRDefault="00964BD8" w:rsidP="00964BD8"/>
                          <w:p w14:paraId="22E72276" w14:textId="77777777" w:rsidR="00964BD8" w:rsidRDefault="00964BD8" w:rsidP="00964BD8"/>
                          <w:p w14:paraId="1821C111" w14:textId="77777777" w:rsidR="00964BD8" w:rsidRDefault="00964BD8" w:rsidP="00964BD8"/>
                          <w:p w14:paraId="61F8657E" w14:textId="77777777" w:rsidR="00964BD8" w:rsidRDefault="00964BD8" w:rsidP="00964BD8"/>
                          <w:p w14:paraId="115A7515" w14:textId="77777777" w:rsidR="00964BD8" w:rsidRDefault="00964BD8" w:rsidP="00964BD8"/>
                          <w:p w14:paraId="564A6618" w14:textId="77777777" w:rsidR="00964BD8" w:rsidRDefault="00964BD8" w:rsidP="00964B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36A6" id="_x0000_s1028" type="#_x0000_t202" style="position:absolute;left:0;text-align:left;margin-left:169.9pt;margin-top:224.7pt;width:99.15pt;height:24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" fillcolor="white [3201]" strokeweight=".5pt">
                <v:textbox>
                  <w:txbxContent>
                    <w:p w14:paraId="5896861C" w14:textId="77777777" w:rsidR="00964BD8" w:rsidRPr="00E13A73" w:rsidRDefault="00964BD8" w:rsidP="00964BD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13A7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Figure 3: </w:t>
                      </w:r>
                      <w:r w:rsidRPr="00E13A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Try in</w:t>
                      </w:r>
                    </w:p>
                    <w:p w14:paraId="21A3C5C7" w14:textId="77777777" w:rsidR="00964BD8" w:rsidRDefault="00964BD8" w:rsidP="00964BD8"/>
                    <w:p w14:paraId="22E72276" w14:textId="77777777" w:rsidR="00964BD8" w:rsidRDefault="00964BD8" w:rsidP="00964BD8"/>
                    <w:p w14:paraId="1821C111" w14:textId="77777777" w:rsidR="00964BD8" w:rsidRDefault="00964BD8" w:rsidP="00964BD8"/>
                    <w:p w14:paraId="61F8657E" w14:textId="77777777" w:rsidR="00964BD8" w:rsidRDefault="00964BD8" w:rsidP="00964BD8"/>
                    <w:p w14:paraId="115A7515" w14:textId="77777777" w:rsidR="00964BD8" w:rsidRDefault="00964BD8" w:rsidP="00964BD8"/>
                    <w:p w14:paraId="564A6618" w14:textId="77777777" w:rsidR="00964BD8" w:rsidRDefault="00964BD8" w:rsidP="00964BD8"/>
                  </w:txbxContent>
                </v:textbox>
                <w10:wrap anchorx="margin"/>
              </v:shape>
            </w:pict>
          </mc:Fallback>
        </mc:AlternateContent>
      </w:r>
      <w:r w:rsidR="00FD7BA6" w:rsidRPr="005913B4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28378A75" w14:textId="77777777" w:rsidR="00367A90" w:rsidRDefault="00367A90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4B0CDA2E" w14:textId="551F37F5" w:rsidR="00A87B35" w:rsidRPr="005913B4" w:rsidRDefault="00171AC5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790E8F8B" wp14:editId="356F72E4">
            <wp:simplePos x="0" y="0"/>
            <wp:positionH relativeFrom="margin">
              <wp:posOffset>1601226</wp:posOffset>
            </wp:positionH>
            <wp:positionV relativeFrom="paragraph">
              <wp:posOffset>6442954</wp:posOffset>
            </wp:positionV>
            <wp:extent cx="2838450" cy="2367280"/>
            <wp:effectExtent l="38100" t="38100" r="38100" b="33020"/>
            <wp:wrapSquare wrapText="bothSides"/>
            <wp:docPr id="500715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15493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6728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BA6" w:rsidRPr="005913B4">
        <w:rPr>
          <w:rFonts w:ascii="Times New Roman" w:hAnsi="Times New Roman" w:cs="Times New Roman"/>
          <w:sz w:val="28"/>
          <w:szCs w:val="28"/>
        </w:rPr>
        <w:t xml:space="preserve"> </w:t>
      </w:r>
      <w:r w:rsidR="00A87B35" w:rsidRPr="005913B4">
        <w:rPr>
          <w:rFonts w:ascii="Times New Roman" w:hAnsi="Times New Roman" w:cs="Times New Roman"/>
          <w:sz w:val="28"/>
          <w:szCs w:val="28"/>
        </w:rPr>
        <w:t>The framework try-in confirmed satisfactory fit</w:t>
      </w:r>
      <w:r w:rsidR="00773490">
        <w:rPr>
          <w:rFonts w:ascii="Times New Roman" w:hAnsi="Times New Roman" w:cs="Times New Roman"/>
          <w:sz w:val="28"/>
          <w:szCs w:val="28"/>
        </w:rPr>
        <w:t xml:space="preserve"> (Figure 3B)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. Maxillary primary impression was made, followed by custom tray fabrication, border </w:t>
      </w:r>
      <w:proofErr w:type="spellStart"/>
      <w:r w:rsidR="00A87B35" w:rsidRPr="005913B4">
        <w:rPr>
          <w:rFonts w:ascii="Times New Roman" w:hAnsi="Times New Roman" w:cs="Times New Roman"/>
          <w:sz w:val="28"/>
          <w:szCs w:val="28"/>
        </w:rPr>
        <w:t>molding</w:t>
      </w:r>
      <w:proofErr w:type="spellEnd"/>
      <w:r w:rsidR="00A87B35" w:rsidRPr="005913B4">
        <w:rPr>
          <w:rFonts w:ascii="Times New Roman" w:hAnsi="Times New Roman" w:cs="Times New Roman"/>
          <w:sz w:val="28"/>
          <w:szCs w:val="28"/>
        </w:rPr>
        <w:t>, and final impression procedures. A custom tray was fabricated over the mandibular metal framework and an Altered cast technique was employed to</w:t>
      </w:r>
      <w:r w:rsidR="001250A1">
        <w:rPr>
          <w:rFonts w:ascii="Times New Roman" w:hAnsi="Times New Roman" w:cs="Times New Roman"/>
          <w:sz w:val="28"/>
          <w:szCs w:val="28"/>
        </w:rPr>
        <w:t xml:space="preserve"> 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record the edentulous areas </w:t>
      </w:r>
      <w:r w:rsidR="001250A1">
        <w:rPr>
          <w:rFonts w:ascii="Times New Roman" w:hAnsi="Times New Roman" w:cs="Times New Roman"/>
          <w:sz w:val="28"/>
          <w:szCs w:val="28"/>
        </w:rPr>
        <w:t xml:space="preserve">in functional state 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(Figure </w:t>
      </w:r>
      <w:r w:rsidR="00FD7BA6" w:rsidRPr="005913B4">
        <w:rPr>
          <w:rFonts w:ascii="Times New Roman" w:hAnsi="Times New Roman" w:cs="Times New Roman"/>
          <w:sz w:val="28"/>
          <w:szCs w:val="28"/>
        </w:rPr>
        <w:t>3C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). Occlusion rims were fabricated, followed by jaw relation and </w:t>
      </w:r>
      <w:proofErr w:type="spellStart"/>
      <w:r w:rsidR="00A87B35" w:rsidRPr="005913B4">
        <w:rPr>
          <w:rFonts w:ascii="Times New Roman" w:hAnsi="Times New Roman" w:cs="Times New Roman"/>
          <w:sz w:val="28"/>
          <w:szCs w:val="28"/>
        </w:rPr>
        <w:t>facebow</w:t>
      </w:r>
      <w:proofErr w:type="spellEnd"/>
      <w:r w:rsidR="00A87B35" w:rsidRPr="005913B4">
        <w:rPr>
          <w:rFonts w:ascii="Times New Roman" w:hAnsi="Times New Roman" w:cs="Times New Roman"/>
          <w:sz w:val="28"/>
          <w:szCs w:val="28"/>
        </w:rPr>
        <w:t xml:space="preserve"> transfer</w:t>
      </w:r>
      <w:r w:rsidR="001250A1">
        <w:rPr>
          <w:rFonts w:ascii="Times New Roman" w:hAnsi="Times New Roman" w:cs="Times New Roman"/>
          <w:sz w:val="28"/>
          <w:szCs w:val="28"/>
        </w:rPr>
        <w:t xml:space="preserve"> was done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using Hanau’s spring bow. The casts were mounted on a semi-adjustable articulator</w:t>
      </w:r>
      <w:r w:rsidR="001250A1">
        <w:rPr>
          <w:rFonts w:ascii="Times New Roman" w:hAnsi="Times New Roman" w:cs="Times New Roman"/>
          <w:sz w:val="28"/>
          <w:szCs w:val="28"/>
        </w:rPr>
        <w:t xml:space="preserve"> and teeth arrangement was done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. </w:t>
      </w:r>
      <w:r w:rsidR="001250A1">
        <w:rPr>
          <w:rFonts w:ascii="Times New Roman" w:hAnsi="Times New Roman" w:cs="Times New Roman"/>
          <w:sz w:val="28"/>
          <w:szCs w:val="28"/>
        </w:rPr>
        <w:t>The trial denture was evaluated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</w:t>
      </w:r>
      <w:r w:rsidR="001250A1">
        <w:rPr>
          <w:rFonts w:ascii="Times New Roman" w:hAnsi="Times New Roman" w:cs="Times New Roman"/>
          <w:sz w:val="28"/>
          <w:szCs w:val="28"/>
        </w:rPr>
        <w:t>for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B35" w:rsidRPr="005913B4">
        <w:rPr>
          <w:rFonts w:ascii="Times New Roman" w:hAnsi="Times New Roman" w:cs="Times New Roman"/>
          <w:sz w:val="28"/>
          <w:szCs w:val="28"/>
        </w:rPr>
        <w:t>esthetics</w:t>
      </w:r>
      <w:proofErr w:type="spellEnd"/>
      <w:r w:rsidR="00A87B35" w:rsidRPr="005913B4">
        <w:rPr>
          <w:rFonts w:ascii="Times New Roman" w:hAnsi="Times New Roman" w:cs="Times New Roman"/>
          <w:sz w:val="28"/>
          <w:szCs w:val="28"/>
        </w:rPr>
        <w:t xml:space="preserve"> and phonetics (Figure </w:t>
      </w:r>
      <w:r w:rsidR="00FD7BA6" w:rsidRPr="005913B4">
        <w:rPr>
          <w:rFonts w:ascii="Times New Roman" w:hAnsi="Times New Roman" w:cs="Times New Roman"/>
          <w:sz w:val="28"/>
          <w:szCs w:val="28"/>
        </w:rPr>
        <w:t>3D</w:t>
      </w:r>
      <w:r w:rsidR="00A87B35" w:rsidRPr="005913B4">
        <w:rPr>
          <w:rFonts w:ascii="Times New Roman" w:hAnsi="Times New Roman" w:cs="Times New Roman"/>
          <w:sz w:val="28"/>
          <w:szCs w:val="28"/>
        </w:rPr>
        <w:t>)</w:t>
      </w:r>
      <w:r w:rsidR="001250A1">
        <w:rPr>
          <w:rFonts w:ascii="Times New Roman" w:hAnsi="Times New Roman" w:cs="Times New Roman"/>
          <w:sz w:val="28"/>
          <w:szCs w:val="28"/>
        </w:rPr>
        <w:t>.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B35" w:rsidRPr="005913B4">
        <w:rPr>
          <w:rFonts w:ascii="Times New Roman" w:hAnsi="Times New Roman" w:cs="Times New Roman"/>
          <w:sz w:val="28"/>
          <w:szCs w:val="28"/>
        </w:rPr>
        <w:t>Acrylization</w:t>
      </w:r>
      <w:proofErr w:type="spellEnd"/>
      <w:r w:rsidR="00A87B35" w:rsidRPr="005913B4">
        <w:rPr>
          <w:rFonts w:ascii="Times New Roman" w:hAnsi="Times New Roman" w:cs="Times New Roman"/>
          <w:sz w:val="28"/>
          <w:szCs w:val="28"/>
        </w:rPr>
        <w:t xml:space="preserve"> was completed using heat-cured polymethyl methacrylate. The maxillary denture was reinforced with a titanium mesh (Figure </w:t>
      </w:r>
      <w:r w:rsidR="00FD7BA6" w:rsidRPr="005913B4">
        <w:rPr>
          <w:rFonts w:ascii="Times New Roman" w:hAnsi="Times New Roman" w:cs="Times New Roman"/>
          <w:sz w:val="28"/>
          <w:szCs w:val="28"/>
        </w:rPr>
        <w:t>4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). </w:t>
      </w:r>
      <w:r w:rsidR="0085704F">
        <w:rPr>
          <w:rFonts w:ascii="Times New Roman" w:hAnsi="Times New Roman" w:cs="Times New Roman"/>
          <w:sz w:val="28"/>
          <w:szCs w:val="28"/>
        </w:rPr>
        <w:t>T</w:t>
      </w:r>
      <w:r w:rsidR="001250A1" w:rsidRPr="001250A1">
        <w:rPr>
          <w:rFonts w:ascii="Times New Roman" w:hAnsi="Times New Roman" w:cs="Times New Roman"/>
          <w:sz w:val="28"/>
          <w:szCs w:val="28"/>
        </w:rPr>
        <w:t>he</w:t>
      </w:r>
      <w:r w:rsidR="008570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704F">
        <w:rPr>
          <w:rFonts w:ascii="Times New Roman" w:hAnsi="Times New Roman" w:cs="Times New Roman"/>
          <w:sz w:val="28"/>
          <w:szCs w:val="28"/>
        </w:rPr>
        <w:t xml:space="preserve">final </w:t>
      </w:r>
      <w:r w:rsidR="001250A1" w:rsidRPr="001250A1">
        <w:rPr>
          <w:rFonts w:ascii="Times New Roman" w:hAnsi="Times New Roman" w:cs="Times New Roman"/>
          <w:sz w:val="28"/>
          <w:szCs w:val="28"/>
        </w:rPr>
        <w:t xml:space="preserve"> prostheses</w:t>
      </w:r>
      <w:proofErr w:type="gramEnd"/>
      <w:r w:rsidR="001250A1" w:rsidRPr="001250A1">
        <w:rPr>
          <w:rFonts w:ascii="Times New Roman" w:hAnsi="Times New Roman" w:cs="Times New Roman"/>
          <w:sz w:val="28"/>
          <w:szCs w:val="28"/>
        </w:rPr>
        <w:t xml:space="preserve"> w</w:t>
      </w:r>
      <w:r w:rsidR="0085704F">
        <w:rPr>
          <w:rFonts w:ascii="Times New Roman" w:hAnsi="Times New Roman" w:cs="Times New Roman"/>
          <w:sz w:val="28"/>
          <w:szCs w:val="28"/>
        </w:rPr>
        <w:t>as</w:t>
      </w:r>
      <w:r w:rsidR="001250A1" w:rsidRPr="001250A1">
        <w:rPr>
          <w:rFonts w:ascii="Times New Roman" w:hAnsi="Times New Roman" w:cs="Times New Roman"/>
          <w:sz w:val="28"/>
          <w:szCs w:val="28"/>
        </w:rPr>
        <w:t xml:space="preserve"> delivered, and </w:t>
      </w:r>
      <w:r w:rsidR="0085704F">
        <w:rPr>
          <w:rFonts w:ascii="Times New Roman" w:hAnsi="Times New Roman" w:cs="Times New Roman"/>
          <w:sz w:val="28"/>
          <w:szCs w:val="28"/>
        </w:rPr>
        <w:t>evaluated for</w:t>
      </w:r>
      <w:r w:rsidR="001250A1" w:rsidRPr="001250A1">
        <w:rPr>
          <w:rFonts w:ascii="Times New Roman" w:hAnsi="Times New Roman" w:cs="Times New Roman"/>
          <w:sz w:val="28"/>
          <w:szCs w:val="28"/>
        </w:rPr>
        <w:t xml:space="preserve"> occlusion, retention, stability, and </w:t>
      </w:r>
      <w:proofErr w:type="spellStart"/>
      <w:r w:rsidR="001250A1" w:rsidRPr="001250A1">
        <w:rPr>
          <w:rFonts w:ascii="Times New Roman" w:hAnsi="Times New Roman" w:cs="Times New Roman"/>
          <w:sz w:val="28"/>
          <w:szCs w:val="28"/>
        </w:rPr>
        <w:t>esthetic</w:t>
      </w:r>
      <w:proofErr w:type="spellEnd"/>
      <w:r w:rsidR="001250A1" w:rsidRPr="001250A1">
        <w:rPr>
          <w:rFonts w:ascii="Times New Roman" w:hAnsi="Times New Roman" w:cs="Times New Roman"/>
          <w:sz w:val="28"/>
          <w:szCs w:val="28"/>
        </w:rPr>
        <w:t xml:space="preserve"> outcome</w:t>
      </w:r>
      <w:r w:rsidR="0085704F">
        <w:rPr>
          <w:rFonts w:ascii="Times New Roman" w:hAnsi="Times New Roman" w:cs="Times New Roman"/>
          <w:sz w:val="28"/>
          <w:szCs w:val="28"/>
        </w:rPr>
        <w:t>s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. Necessary adjustments were made, and post-insertion instructions were </w:t>
      </w:r>
      <w:r w:rsidR="0085704F">
        <w:rPr>
          <w:rFonts w:ascii="Times New Roman" w:hAnsi="Times New Roman" w:cs="Times New Roman"/>
          <w:sz w:val="28"/>
          <w:szCs w:val="28"/>
        </w:rPr>
        <w:t>given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. Follow-up visits </w:t>
      </w:r>
      <w:r w:rsidR="0085704F">
        <w:rPr>
          <w:rFonts w:ascii="Times New Roman" w:hAnsi="Times New Roman" w:cs="Times New Roman"/>
          <w:sz w:val="28"/>
          <w:szCs w:val="28"/>
        </w:rPr>
        <w:t xml:space="preserve">were scheduled </w:t>
      </w:r>
      <w:r w:rsidR="00A87B35" w:rsidRPr="005913B4">
        <w:rPr>
          <w:rFonts w:ascii="Times New Roman" w:hAnsi="Times New Roman" w:cs="Times New Roman"/>
          <w:sz w:val="28"/>
          <w:szCs w:val="28"/>
        </w:rPr>
        <w:t>at one week, three months, and six months</w:t>
      </w:r>
      <w:r w:rsidR="0085704F">
        <w:rPr>
          <w:rFonts w:ascii="Times New Roman" w:hAnsi="Times New Roman" w:cs="Times New Roman"/>
          <w:sz w:val="28"/>
          <w:szCs w:val="28"/>
        </w:rPr>
        <w:t>.</w:t>
      </w:r>
      <w:r w:rsidR="00A87B35" w:rsidRPr="005913B4">
        <w:rPr>
          <w:rFonts w:ascii="Times New Roman" w:hAnsi="Times New Roman" w:cs="Times New Roman"/>
          <w:sz w:val="28"/>
          <w:szCs w:val="28"/>
        </w:rPr>
        <w:t xml:space="preserve"> </w:t>
      </w:r>
      <w:r w:rsidR="0085704F" w:rsidRPr="0085704F">
        <w:rPr>
          <w:rFonts w:ascii="Times New Roman" w:hAnsi="Times New Roman" w:cs="Times New Roman"/>
          <w:sz w:val="28"/>
          <w:szCs w:val="28"/>
        </w:rPr>
        <w:t>Clinical evaluation confirmed the integrity of the abutment teeth, with absence of secondary caries or pathological findings</w:t>
      </w:r>
      <w:r w:rsidR="0085704F">
        <w:rPr>
          <w:rFonts w:ascii="Times New Roman" w:hAnsi="Times New Roman" w:cs="Times New Roman"/>
          <w:sz w:val="28"/>
          <w:szCs w:val="28"/>
        </w:rPr>
        <w:t xml:space="preserve">. </w:t>
      </w:r>
      <w:r w:rsidR="00A87B35" w:rsidRPr="005913B4">
        <w:rPr>
          <w:rFonts w:ascii="Times New Roman" w:hAnsi="Times New Roman" w:cs="Times New Roman"/>
          <w:sz w:val="28"/>
          <w:szCs w:val="28"/>
        </w:rPr>
        <w:t>The patient expressed complete satisfaction with the treatment outcome.</w:t>
      </w:r>
      <w:r w:rsidR="0058373B" w:rsidRPr="005913B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09B8FFA" w14:textId="5E649E71" w:rsidR="0058373B" w:rsidRPr="005913B4" w:rsidRDefault="0058373B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9C47D" w14:textId="77777777" w:rsidR="0058373B" w:rsidRPr="005913B4" w:rsidRDefault="0058373B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CBD082" w14:textId="3E8DD43D" w:rsidR="0058373B" w:rsidRPr="005913B4" w:rsidRDefault="0058373B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EAE1D9" w14:textId="78C0C41F" w:rsidR="0058373B" w:rsidRDefault="0058373B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42F972" w14:textId="24B10586" w:rsidR="009D3644" w:rsidRDefault="00171AC5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13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EC69DC" wp14:editId="717AC7C7">
                <wp:simplePos x="0" y="0"/>
                <wp:positionH relativeFrom="margin">
                  <wp:posOffset>2044505</wp:posOffset>
                </wp:positionH>
                <wp:positionV relativeFrom="paragraph">
                  <wp:posOffset>214972</wp:posOffset>
                </wp:positionV>
                <wp:extent cx="1871003" cy="344031"/>
                <wp:effectExtent l="0" t="0" r="15240" b="18415"/>
                <wp:wrapNone/>
                <wp:docPr id="128676555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003" cy="344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57B86" w14:textId="77777777" w:rsidR="0058373B" w:rsidRPr="00F65688" w:rsidRDefault="0058373B" w:rsidP="0058373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56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Figure 4: </w:t>
                            </w:r>
                            <w:r w:rsidRPr="00F656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Final Insertion</w:t>
                            </w:r>
                          </w:p>
                          <w:p w14:paraId="1CA0C6F5" w14:textId="77777777" w:rsidR="0058373B" w:rsidRPr="00F65688" w:rsidRDefault="0058373B" w:rsidP="005837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FD6178" w14:textId="77777777" w:rsidR="0058373B" w:rsidRPr="00F65688" w:rsidRDefault="0058373B" w:rsidP="005837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9128D6" w14:textId="77777777" w:rsidR="0058373B" w:rsidRPr="00F65688" w:rsidRDefault="0058373B" w:rsidP="005837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D87755" w14:textId="77777777" w:rsidR="0058373B" w:rsidRPr="00F65688" w:rsidRDefault="0058373B" w:rsidP="005837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B66A655" w14:textId="77777777" w:rsidR="0058373B" w:rsidRPr="00F65688" w:rsidRDefault="0058373B" w:rsidP="005837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C07FC66" w14:textId="77777777" w:rsidR="0058373B" w:rsidRPr="00F65688" w:rsidRDefault="0058373B" w:rsidP="005837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C69DC" id="_x0000_s1029" type="#_x0000_t202" style="position:absolute;left:0;text-align:left;margin-left:161pt;margin-top:16.95pt;width:147.3pt;height:27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" fillcolor="white [3201]" strokeweight=".5pt">
                <v:textbox>
                  <w:txbxContent>
                    <w:p w14:paraId="78457B86" w14:textId="77777777" w:rsidR="0058373B" w:rsidRPr="00F65688" w:rsidRDefault="0058373B" w:rsidP="0058373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568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Figure 4: </w:t>
                      </w:r>
                      <w:r w:rsidRPr="00F656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Final Insertion</w:t>
                      </w:r>
                    </w:p>
                    <w:p w14:paraId="1CA0C6F5" w14:textId="77777777" w:rsidR="0058373B" w:rsidRPr="00F65688" w:rsidRDefault="0058373B" w:rsidP="0058373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EFD6178" w14:textId="77777777" w:rsidR="0058373B" w:rsidRPr="00F65688" w:rsidRDefault="0058373B" w:rsidP="0058373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99128D6" w14:textId="77777777" w:rsidR="0058373B" w:rsidRPr="00F65688" w:rsidRDefault="0058373B" w:rsidP="0058373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0D87755" w14:textId="77777777" w:rsidR="0058373B" w:rsidRPr="00F65688" w:rsidRDefault="0058373B" w:rsidP="0058373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B66A655" w14:textId="77777777" w:rsidR="0058373B" w:rsidRPr="00F65688" w:rsidRDefault="0058373B" w:rsidP="0058373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C07FC66" w14:textId="77777777" w:rsidR="0058373B" w:rsidRPr="00F65688" w:rsidRDefault="0058373B" w:rsidP="0058373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1B0228" w14:textId="3D46F3F8" w:rsidR="00A87B35" w:rsidRPr="005913B4" w:rsidRDefault="00A87B35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13B4">
        <w:rPr>
          <w:rFonts w:ascii="Times New Roman" w:hAnsi="Times New Roman" w:cs="Times New Roman"/>
          <w:b/>
          <w:bCs/>
          <w:sz w:val="28"/>
          <w:szCs w:val="28"/>
        </w:rPr>
        <w:lastRenderedPageBreak/>
        <w:t>Discussion</w:t>
      </w:r>
      <w:r w:rsidR="00356A6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22EA480" w14:textId="299AACB6" w:rsidR="00A87B35" w:rsidRDefault="00A87B35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sz w:val="28"/>
          <w:szCs w:val="28"/>
        </w:rPr>
        <w:t xml:space="preserve">        </w:t>
      </w:r>
      <w:r w:rsidR="008A5A16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 xml:space="preserve">  Preservation of natural teeth offers several advantages, including maintenance of alveolar bone, preservation of proprioception, enhanced retention and support, and reduced psychological impact associated with tooth loss.</w:t>
      </w:r>
      <w:r w:rsidRPr="005913B4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Pr="005913B4">
        <w:rPr>
          <w:rFonts w:ascii="Times New Roman" w:hAnsi="Times New Roman" w:cs="Times New Roman"/>
          <w:sz w:val="28"/>
          <w:szCs w:val="28"/>
        </w:rPr>
        <w:t xml:space="preserve"> In the present case, </w:t>
      </w:r>
      <w:r w:rsidR="006447D5" w:rsidRPr="006447D5">
        <w:rPr>
          <w:rFonts w:ascii="Times New Roman" w:hAnsi="Times New Roman" w:cs="Times New Roman"/>
          <w:sz w:val="28"/>
          <w:szCs w:val="28"/>
        </w:rPr>
        <w:t xml:space="preserve">patient </w:t>
      </w:r>
      <w:r w:rsidR="006447D5">
        <w:rPr>
          <w:rFonts w:ascii="Times New Roman" w:hAnsi="Times New Roman" w:cs="Times New Roman"/>
          <w:sz w:val="28"/>
          <w:szCs w:val="28"/>
        </w:rPr>
        <w:t>had preferred</w:t>
      </w:r>
      <w:r w:rsidR="006447D5" w:rsidRPr="006447D5">
        <w:rPr>
          <w:rFonts w:ascii="Times New Roman" w:hAnsi="Times New Roman" w:cs="Times New Roman"/>
          <w:sz w:val="28"/>
          <w:szCs w:val="28"/>
        </w:rPr>
        <w:t xml:space="preserve"> for preserving the remaining natural teeth, which supported the choice of a preventive prosthodontic approach</w:t>
      </w:r>
      <w:r w:rsidRPr="005913B4">
        <w:rPr>
          <w:rFonts w:ascii="Times New Roman" w:hAnsi="Times New Roman" w:cs="Times New Roman"/>
          <w:sz w:val="28"/>
          <w:szCs w:val="28"/>
        </w:rPr>
        <w:t>.</w:t>
      </w:r>
      <w:r w:rsidR="006447D5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>Tooth</w:t>
      </w:r>
      <w:r w:rsidR="006447D5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>supported overdentures derive significant support from remaining natural teeth and their distribution and strategic positioning are critical for successful treatment planning.</w:t>
      </w:r>
      <w:r w:rsidR="006447D5">
        <w:rPr>
          <w:rFonts w:ascii="Times New Roman" w:hAnsi="Times New Roman" w:cs="Times New Roman"/>
          <w:sz w:val="28"/>
          <w:szCs w:val="28"/>
          <w:vertAlign w:val="superscript"/>
        </w:rPr>
        <w:t xml:space="preserve">9 </w:t>
      </w:r>
      <w:r w:rsidRPr="005913B4">
        <w:rPr>
          <w:rFonts w:ascii="Times New Roman" w:hAnsi="Times New Roman" w:cs="Times New Roman"/>
          <w:sz w:val="28"/>
          <w:szCs w:val="28"/>
        </w:rPr>
        <w:t>Although overdentures are associated with increased risk of abutment caries and technical complications, meticulous oral hygiene practices and regular use of topical fluorides significantly reduce</w:t>
      </w:r>
      <w:r w:rsidR="006447D5">
        <w:rPr>
          <w:rFonts w:ascii="Times New Roman" w:hAnsi="Times New Roman" w:cs="Times New Roman"/>
          <w:sz w:val="28"/>
          <w:szCs w:val="28"/>
        </w:rPr>
        <w:t>s</w:t>
      </w:r>
      <w:r w:rsidRPr="005913B4">
        <w:rPr>
          <w:rFonts w:ascii="Times New Roman" w:hAnsi="Times New Roman" w:cs="Times New Roman"/>
          <w:sz w:val="28"/>
          <w:szCs w:val="28"/>
        </w:rPr>
        <w:t xml:space="preserve"> these risks.⁹ Retention of natural teeth provides psychological reassurance to </w:t>
      </w:r>
      <w:r w:rsidR="006447D5">
        <w:rPr>
          <w:rFonts w:ascii="Times New Roman" w:hAnsi="Times New Roman" w:cs="Times New Roman"/>
          <w:sz w:val="28"/>
          <w:szCs w:val="28"/>
        </w:rPr>
        <w:t xml:space="preserve">the </w:t>
      </w:r>
      <w:r w:rsidRPr="005913B4">
        <w:rPr>
          <w:rFonts w:ascii="Times New Roman" w:hAnsi="Times New Roman" w:cs="Times New Roman"/>
          <w:sz w:val="28"/>
          <w:szCs w:val="28"/>
        </w:rPr>
        <w:t>patients and contributes to reduced alveolar bone resorption, thereby improving</w:t>
      </w:r>
      <w:r w:rsidR="006447D5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>prosthesis stability and support.⁹  Louis et al.</w:t>
      </w:r>
      <w:r w:rsidR="004E752C">
        <w:rPr>
          <w:rFonts w:ascii="Times New Roman" w:hAnsi="Times New Roman" w:cs="Times New Roman"/>
          <w:sz w:val="28"/>
          <w:szCs w:val="28"/>
        </w:rPr>
        <w:t>(1978)</w:t>
      </w:r>
      <w:r w:rsidR="004E752C" w:rsidRPr="005913B4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 xml:space="preserve">demonstrated superior masticatory efficiency in overdenture wearers compared to complete denture patients, </w:t>
      </w:r>
      <w:r w:rsidR="006447D5" w:rsidRPr="006447D5">
        <w:rPr>
          <w:rFonts w:ascii="Times New Roman" w:hAnsi="Times New Roman" w:cs="Times New Roman"/>
          <w:sz w:val="28"/>
          <w:szCs w:val="28"/>
        </w:rPr>
        <w:t>which substantiates the extra clinical effort and expense</w:t>
      </w:r>
      <w:r w:rsidRPr="005913B4">
        <w:rPr>
          <w:rFonts w:ascii="Times New Roman" w:hAnsi="Times New Roman" w:cs="Times New Roman"/>
          <w:sz w:val="28"/>
          <w:szCs w:val="28"/>
        </w:rPr>
        <w:t>.</w:t>
      </w:r>
      <w:r w:rsidR="004E752C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5913B4">
        <w:rPr>
          <w:rFonts w:ascii="Times New Roman" w:hAnsi="Times New Roman" w:cs="Times New Roman"/>
          <w:sz w:val="28"/>
          <w:szCs w:val="28"/>
        </w:rPr>
        <w:t xml:space="preserve"> Although prefabricated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intraradicular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attachments offer enhanced prosthetic flexibility, clasp-retained abutments, as used in the present case, also provide adequate retention.</w:t>
      </w:r>
      <w:r w:rsidR="00AA238A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5913B4">
        <w:rPr>
          <w:rFonts w:ascii="Times New Roman" w:hAnsi="Times New Roman" w:cs="Times New Roman"/>
          <w:sz w:val="28"/>
          <w:szCs w:val="28"/>
        </w:rPr>
        <w:t xml:space="preserve"> Glen et al.</w:t>
      </w:r>
      <w:r w:rsidR="00A34833" w:rsidRPr="00A34833">
        <w:rPr>
          <w:rFonts w:ascii="Times New Roman" w:hAnsi="Times New Roman" w:cs="Times New Roman"/>
          <w:sz w:val="28"/>
          <w:szCs w:val="28"/>
        </w:rPr>
        <w:t xml:space="preserve"> </w:t>
      </w:r>
      <w:r w:rsidR="00A34833">
        <w:rPr>
          <w:rFonts w:ascii="Times New Roman" w:hAnsi="Times New Roman" w:cs="Times New Roman"/>
          <w:sz w:val="28"/>
          <w:szCs w:val="28"/>
        </w:rPr>
        <w:t xml:space="preserve">(1977) </w:t>
      </w:r>
      <w:r w:rsidRPr="005913B4">
        <w:rPr>
          <w:rFonts w:ascii="Times New Roman" w:hAnsi="Times New Roman" w:cs="Times New Roman"/>
          <w:sz w:val="28"/>
          <w:szCs w:val="28"/>
        </w:rPr>
        <w:t xml:space="preserve">emphasized the successful use of </w:t>
      </w:r>
      <w:proofErr w:type="spellStart"/>
      <w:r w:rsidRPr="005913B4">
        <w:rPr>
          <w:rFonts w:ascii="Times New Roman" w:hAnsi="Times New Roman" w:cs="Times New Roman"/>
          <w:sz w:val="28"/>
          <w:szCs w:val="28"/>
        </w:rPr>
        <w:t>hemisectioned</w:t>
      </w:r>
      <w:proofErr w:type="spellEnd"/>
      <w:r w:rsidRPr="005913B4">
        <w:rPr>
          <w:rFonts w:ascii="Times New Roman" w:hAnsi="Times New Roman" w:cs="Times New Roman"/>
          <w:sz w:val="28"/>
          <w:szCs w:val="28"/>
        </w:rPr>
        <w:t xml:space="preserve"> t</w:t>
      </w:r>
      <w:r w:rsidR="006447D5">
        <w:rPr>
          <w:rFonts w:ascii="Times New Roman" w:hAnsi="Times New Roman" w:cs="Times New Roman"/>
          <w:sz w:val="28"/>
          <w:szCs w:val="28"/>
        </w:rPr>
        <w:t>oo</w:t>
      </w:r>
      <w:r w:rsidRPr="005913B4">
        <w:rPr>
          <w:rFonts w:ascii="Times New Roman" w:hAnsi="Times New Roman" w:cs="Times New Roman"/>
          <w:sz w:val="28"/>
          <w:szCs w:val="28"/>
        </w:rPr>
        <w:t>th as overdenture abutments</w:t>
      </w:r>
      <w:r w:rsidR="006447D5">
        <w:rPr>
          <w:rFonts w:ascii="Times New Roman" w:hAnsi="Times New Roman" w:cs="Times New Roman"/>
          <w:sz w:val="28"/>
          <w:szCs w:val="28"/>
        </w:rPr>
        <w:t xml:space="preserve">, this </w:t>
      </w:r>
      <w:r w:rsidRPr="005913B4">
        <w:rPr>
          <w:rFonts w:ascii="Times New Roman" w:hAnsi="Times New Roman" w:cs="Times New Roman"/>
          <w:sz w:val="28"/>
          <w:szCs w:val="28"/>
        </w:rPr>
        <w:t>concept</w:t>
      </w:r>
      <w:r w:rsidR="006447D5">
        <w:rPr>
          <w:rFonts w:ascii="Times New Roman" w:hAnsi="Times New Roman" w:cs="Times New Roman"/>
          <w:sz w:val="28"/>
          <w:szCs w:val="28"/>
        </w:rPr>
        <w:t xml:space="preserve"> was</w:t>
      </w:r>
      <w:r w:rsidRPr="005913B4">
        <w:rPr>
          <w:rFonts w:ascii="Times New Roman" w:hAnsi="Times New Roman" w:cs="Times New Roman"/>
          <w:sz w:val="28"/>
          <w:szCs w:val="28"/>
        </w:rPr>
        <w:t xml:space="preserve"> effectively applied in this case.</w:t>
      </w:r>
      <w:r w:rsidR="00A34833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5913B4">
        <w:rPr>
          <w:rFonts w:ascii="Times New Roman" w:hAnsi="Times New Roman" w:cs="Times New Roman"/>
          <w:sz w:val="28"/>
          <w:szCs w:val="28"/>
        </w:rPr>
        <w:t xml:space="preserve"> The term convertible denture was used for the mandibular cast partial overdenture due to its adaptability following potential distal abutment loss.</w:t>
      </w:r>
    </w:p>
    <w:p w14:paraId="64DD6BAE" w14:textId="77777777" w:rsidR="00442C9A" w:rsidRDefault="00442C9A" w:rsidP="006A11CC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B2FE32" w14:textId="4D843B22" w:rsidR="006A11CC" w:rsidRPr="006A11CC" w:rsidRDefault="006A11CC" w:rsidP="006A11CC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A11CC">
        <w:rPr>
          <w:rFonts w:ascii="Times New Roman" w:hAnsi="Times New Roman" w:cs="Times New Roman"/>
          <w:b/>
          <w:bCs/>
          <w:sz w:val="28"/>
          <w:szCs w:val="28"/>
        </w:rPr>
        <w:lastRenderedPageBreak/>
        <w:t>Limitation</w:t>
      </w:r>
      <w:r w:rsidR="00C7070B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6A11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C19C4">
        <w:rPr>
          <w:rFonts w:ascii="Times New Roman" w:hAnsi="Times New Roman" w:cs="Times New Roman"/>
          <w:b/>
          <w:bCs/>
          <w:sz w:val="28"/>
          <w:szCs w:val="28"/>
        </w:rPr>
        <w:t>of the case:</w:t>
      </w:r>
    </w:p>
    <w:p w14:paraId="75CE9FCC" w14:textId="77777777" w:rsidR="006A11CC" w:rsidRPr="006A11CC" w:rsidRDefault="006A11CC" w:rsidP="006A11CC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A11CC">
        <w:rPr>
          <w:rFonts w:ascii="Times New Roman" w:hAnsi="Times New Roman" w:cs="Times New Roman"/>
          <w:sz w:val="28"/>
          <w:szCs w:val="28"/>
        </w:rPr>
        <w:t>The primary limitation of this case report is the relatively short follow-up duration, which restricts assessment of long-term clinical performance, prosthesis durability, and potential biological or mechanical complications. Extended observation would be necessary to comprehensively evaluate the longevity and maintenance outcomes of the prosthetic rehabilitation.</w:t>
      </w:r>
    </w:p>
    <w:p w14:paraId="0269B8E4" w14:textId="182F3A9A" w:rsidR="00A87B35" w:rsidRPr="005913B4" w:rsidRDefault="006D0549" w:rsidP="005913B4">
      <w:pPr>
        <w:spacing w:line="480" w:lineRule="auto"/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Conclusion</w:t>
      </w:r>
      <w:r w:rsidR="00A87B35" w:rsidRPr="005913B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CE6B601" w14:textId="3531DBAB" w:rsidR="00A87B35" w:rsidRDefault="00A87B35" w:rsidP="005913B4">
      <w:pPr>
        <w:spacing w:line="48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913B4">
        <w:rPr>
          <w:rFonts w:ascii="Times New Roman" w:hAnsi="Times New Roman" w:cs="Times New Roman"/>
          <w:sz w:val="28"/>
          <w:szCs w:val="28"/>
        </w:rPr>
        <w:t>Tooth-supported</w:t>
      </w:r>
      <w:r w:rsidR="006A11CC">
        <w:rPr>
          <w:rFonts w:ascii="Times New Roman" w:hAnsi="Times New Roman" w:cs="Times New Roman"/>
          <w:sz w:val="28"/>
          <w:szCs w:val="28"/>
        </w:rPr>
        <w:t xml:space="preserve"> </w:t>
      </w:r>
      <w:r w:rsidRPr="005913B4">
        <w:rPr>
          <w:rFonts w:ascii="Times New Roman" w:hAnsi="Times New Roman" w:cs="Times New Roman"/>
          <w:sz w:val="28"/>
          <w:szCs w:val="28"/>
        </w:rPr>
        <w:t>overdenture represent</w:t>
      </w:r>
      <w:r w:rsidR="006A11CC">
        <w:rPr>
          <w:rFonts w:ascii="Times New Roman" w:hAnsi="Times New Roman" w:cs="Times New Roman"/>
          <w:sz w:val="28"/>
          <w:szCs w:val="28"/>
        </w:rPr>
        <w:t>s</w:t>
      </w:r>
      <w:r w:rsidRPr="005913B4">
        <w:rPr>
          <w:rFonts w:ascii="Times New Roman" w:hAnsi="Times New Roman" w:cs="Times New Roman"/>
          <w:sz w:val="28"/>
          <w:szCs w:val="28"/>
        </w:rPr>
        <w:t xml:space="preserve"> the final conservative option before complete edentulism. They provide functional benefits, residual alveolar ridge</w:t>
      </w:r>
      <w:r w:rsidR="000E0AC0">
        <w:rPr>
          <w:rFonts w:ascii="Times New Roman" w:hAnsi="Times New Roman" w:cs="Times New Roman"/>
          <w:sz w:val="28"/>
          <w:szCs w:val="28"/>
        </w:rPr>
        <w:t xml:space="preserve"> preservation</w:t>
      </w:r>
      <w:r w:rsidRPr="005913B4">
        <w:rPr>
          <w:rFonts w:ascii="Times New Roman" w:hAnsi="Times New Roman" w:cs="Times New Roman"/>
          <w:sz w:val="28"/>
          <w:szCs w:val="28"/>
        </w:rPr>
        <w:t>, and maintain proprioception through retained natural teeth. Critical considerations during treatment planning include strategic abutment selection, assessment of undercuts, evaluation of interocclusal space and reinforcement of the denture base. Patient-specific factors, such as oral hygiene, periodontal health, and bone support must be considered during the planning phase. Long-term success depends on careful case selection, precise execution of clinical steps, and regular follow-up visits to monitor abutment health. This article has described about a convertible cast partial denture which has added advantage to overdenture treatment where in the needed for new prosthesis fabrication is eliminated after the loss of abutment teeth.</w:t>
      </w:r>
    </w:p>
    <w:p w14:paraId="692A8614" w14:textId="77777777" w:rsidR="00171AC5" w:rsidRDefault="00171AC5" w:rsidP="005913B4">
      <w:pPr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81FB29" w14:textId="77777777" w:rsidR="00171AC5" w:rsidRDefault="00171AC5" w:rsidP="005913B4">
      <w:pPr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B03C02" w14:textId="77777777" w:rsidR="00171AC5" w:rsidRDefault="00171AC5" w:rsidP="005913B4">
      <w:pPr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E12087" w14:textId="618D2ACF" w:rsidR="00A87B35" w:rsidRPr="005913B4" w:rsidRDefault="00A87B35" w:rsidP="005913B4">
      <w:pPr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13B4">
        <w:rPr>
          <w:rFonts w:ascii="Times New Roman" w:hAnsi="Times New Roman" w:cs="Times New Roman"/>
          <w:b/>
          <w:bCs/>
          <w:sz w:val="28"/>
          <w:szCs w:val="28"/>
        </w:rPr>
        <w:lastRenderedPageBreak/>
        <w:t>References:</w:t>
      </w:r>
    </w:p>
    <w:p w14:paraId="31020685" w14:textId="77777777" w:rsidR="00FE3D79" w:rsidRPr="006D437D" w:rsidRDefault="00FE3D79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437D">
        <w:rPr>
          <w:rFonts w:ascii="Times New Roman" w:hAnsi="Times New Roman" w:cs="Times New Roman"/>
          <w:sz w:val="28"/>
          <w:szCs w:val="28"/>
        </w:rPr>
        <w:t xml:space="preserve">Samra RK, </w:t>
      </w:r>
      <w:proofErr w:type="spellStart"/>
      <w:r w:rsidRPr="006D437D">
        <w:rPr>
          <w:rFonts w:ascii="Times New Roman" w:hAnsi="Times New Roman" w:cs="Times New Roman"/>
          <w:sz w:val="28"/>
          <w:szCs w:val="28"/>
        </w:rPr>
        <w:t>Bhide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SV, Goyal C, Kaur T. Tooth supported overdenture: A concept overshadowed but not yet forgotten. J Oral Res Rev</w:t>
      </w:r>
      <w:r w:rsidRPr="006D437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D437D">
        <w:rPr>
          <w:rFonts w:ascii="Times New Roman" w:hAnsi="Times New Roman" w:cs="Times New Roman"/>
          <w:sz w:val="28"/>
          <w:szCs w:val="28"/>
        </w:rPr>
        <w:t xml:space="preserve"> 2015;7(1):16-21.</w:t>
      </w:r>
    </w:p>
    <w:p w14:paraId="35C0F46F" w14:textId="77777777" w:rsidR="00FE3D79" w:rsidRPr="006D437D" w:rsidRDefault="00FE3D79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437D">
        <w:rPr>
          <w:rFonts w:ascii="Times New Roman" w:hAnsi="Times New Roman" w:cs="Times New Roman"/>
          <w:sz w:val="28"/>
          <w:szCs w:val="28"/>
        </w:rPr>
        <w:t xml:space="preserve">The Glossary of Prosthodontic Terms 2023: Tenth edition. J </w:t>
      </w:r>
      <w:proofErr w:type="spellStart"/>
      <w:r w:rsidRPr="006D437D">
        <w:rPr>
          <w:rFonts w:ascii="Times New Roman" w:hAnsi="Times New Roman" w:cs="Times New Roman"/>
          <w:sz w:val="28"/>
          <w:szCs w:val="28"/>
        </w:rPr>
        <w:t>Prosthet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Dent. 2023;130(4 </w:t>
      </w:r>
      <w:proofErr w:type="spellStart"/>
      <w:r w:rsidRPr="006D437D">
        <w:rPr>
          <w:rFonts w:ascii="Times New Roman" w:hAnsi="Times New Roman" w:cs="Times New Roman"/>
          <w:sz w:val="28"/>
          <w:szCs w:val="28"/>
        </w:rPr>
        <w:t>Suppl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1</w:t>
      </w:r>
      <w:proofErr w:type="gramStart"/>
      <w:r w:rsidRPr="006D437D">
        <w:rPr>
          <w:rFonts w:ascii="Times New Roman" w:hAnsi="Times New Roman" w:cs="Times New Roman"/>
          <w:sz w:val="28"/>
          <w:szCs w:val="28"/>
        </w:rPr>
        <w:t>):e</w:t>
      </w:r>
      <w:proofErr w:type="gramEnd"/>
      <w:r w:rsidRPr="006D437D">
        <w:rPr>
          <w:rFonts w:ascii="Times New Roman" w:hAnsi="Times New Roman" w:cs="Times New Roman"/>
          <w:sz w:val="28"/>
          <w:szCs w:val="28"/>
        </w:rPr>
        <w:t xml:space="preserve">1-e3. </w:t>
      </w:r>
      <w:proofErr w:type="gramStart"/>
      <w:r w:rsidRPr="006D437D">
        <w:rPr>
          <w:rFonts w:ascii="Times New Roman" w:hAnsi="Times New Roman" w:cs="Times New Roman"/>
          <w:sz w:val="28"/>
          <w:szCs w:val="28"/>
        </w:rPr>
        <w:t>doi:10.1016/j.prosdent</w:t>
      </w:r>
      <w:proofErr w:type="gramEnd"/>
      <w:r w:rsidRPr="006D437D">
        <w:rPr>
          <w:rFonts w:ascii="Times New Roman" w:hAnsi="Times New Roman" w:cs="Times New Roman"/>
          <w:sz w:val="28"/>
          <w:szCs w:val="28"/>
        </w:rPr>
        <w:t>.2023.03.003</w:t>
      </w:r>
    </w:p>
    <w:p w14:paraId="466E112D" w14:textId="77777777" w:rsidR="00FE3D79" w:rsidRPr="006D437D" w:rsidRDefault="00FE3D79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437D">
        <w:rPr>
          <w:rFonts w:ascii="Times New Roman" w:hAnsi="Times New Roman" w:cs="Times New Roman"/>
          <w:sz w:val="28"/>
          <w:szCs w:val="28"/>
        </w:rPr>
        <w:t xml:space="preserve">Fenton AH. The decade of overdentures: 1970-1980. J </w:t>
      </w:r>
      <w:proofErr w:type="spellStart"/>
      <w:r w:rsidRPr="006D437D">
        <w:rPr>
          <w:rFonts w:ascii="Times New Roman" w:hAnsi="Times New Roman" w:cs="Times New Roman"/>
          <w:sz w:val="28"/>
          <w:szCs w:val="28"/>
        </w:rPr>
        <w:t>Prosthet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Dent. 1998;79(1):31-36. doi:10.1016/S0022-3913(98)70190-8</w:t>
      </w:r>
    </w:p>
    <w:p w14:paraId="0795D6CC" w14:textId="77777777" w:rsidR="00FE3D79" w:rsidRPr="006D437D" w:rsidRDefault="00FE3D79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437D">
        <w:rPr>
          <w:rFonts w:ascii="Times New Roman" w:hAnsi="Times New Roman" w:cs="Times New Roman"/>
          <w:sz w:val="28"/>
          <w:szCs w:val="28"/>
        </w:rPr>
        <w:t xml:space="preserve">Crum RJ, Rooney GE Jr. Alveolar bone loss in overdentures: A 5-year study. J </w:t>
      </w:r>
      <w:proofErr w:type="spellStart"/>
      <w:r w:rsidRPr="006D437D">
        <w:rPr>
          <w:rFonts w:ascii="Times New Roman" w:hAnsi="Times New Roman" w:cs="Times New Roman"/>
          <w:sz w:val="28"/>
          <w:szCs w:val="28"/>
        </w:rPr>
        <w:t>Prosthet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Dent. 1978;40(6):610-613.</w:t>
      </w:r>
    </w:p>
    <w:p w14:paraId="1A5E15B8" w14:textId="77777777" w:rsidR="00FE3D79" w:rsidRPr="006D437D" w:rsidRDefault="00FE3D79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437D">
        <w:rPr>
          <w:rFonts w:ascii="Times New Roman" w:hAnsi="Times New Roman" w:cs="Times New Roman"/>
          <w:sz w:val="28"/>
          <w:szCs w:val="28"/>
        </w:rPr>
        <w:t xml:space="preserve">Miller PA. Complete dentures supported by natural teeth. J </w:t>
      </w:r>
      <w:proofErr w:type="spellStart"/>
      <w:r w:rsidRPr="006D437D">
        <w:rPr>
          <w:rFonts w:ascii="Times New Roman" w:hAnsi="Times New Roman" w:cs="Times New Roman"/>
          <w:sz w:val="28"/>
          <w:szCs w:val="28"/>
        </w:rPr>
        <w:t>Prosthet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Dent. 1958;8(6):924-928.</w:t>
      </w:r>
    </w:p>
    <w:p w14:paraId="267403DE" w14:textId="77777777" w:rsidR="00FE3D79" w:rsidRPr="006D437D" w:rsidRDefault="00FE3D79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437D">
        <w:rPr>
          <w:rFonts w:ascii="Times New Roman" w:hAnsi="Times New Roman" w:cs="Times New Roman"/>
          <w:sz w:val="28"/>
          <w:szCs w:val="28"/>
        </w:rPr>
        <w:t>Samantaray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RK, Nanda K, Sahoo D. Overdentures and attachments: A review of literature. Indian J Forensic Med </w:t>
      </w:r>
      <w:proofErr w:type="spellStart"/>
      <w:r w:rsidRPr="006D437D">
        <w:rPr>
          <w:rFonts w:ascii="Times New Roman" w:hAnsi="Times New Roman" w:cs="Times New Roman"/>
          <w:sz w:val="28"/>
          <w:szCs w:val="28"/>
        </w:rPr>
        <w:t>Toxicol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>. 2020;14(4):8660-8666.</w:t>
      </w:r>
    </w:p>
    <w:p w14:paraId="4BC53530" w14:textId="77777777" w:rsidR="00FE3D79" w:rsidRPr="006D437D" w:rsidRDefault="00FE3D79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437D">
        <w:rPr>
          <w:rFonts w:ascii="Times New Roman" w:hAnsi="Times New Roman" w:cs="Times New Roman"/>
          <w:sz w:val="28"/>
          <w:szCs w:val="28"/>
        </w:rPr>
        <w:t xml:space="preserve">Richard GE, </w:t>
      </w:r>
      <w:proofErr w:type="spellStart"/>
      <w:r w:rsidRPr="006D437D">
        <w:rPr>
          <w:rFonts w:ascii="Times New Roman" w:hAnsi="Times New Roman" w:cs="Times New Roman"/>
          <w:sz w:val="28"/>
          <w:szCs w:val="28"/>
        </w:rPr>
        <w:t>Sarka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RJ, Arnold RM, Knowles KI. Hemisected molars for additional overdenture support. J </w:t>
      </w:r>
      <w:proofErr w:type="spellStart"/>
      <w:r w:rsidRPr="006D437D">
        <w:rPr>
          <w:rFonts w:ascii="Times New Roman" w:hAnsi="Times New Roman" w:cs="Times New Roman"/>
          <w:sz w:val="28"/>
          <w:szCs w:val="28"/>
        </w:rPr>
        <w:t>Prosthet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Dent. 1977;38(1):16-21.</w:t>
      </w:r>
    </w:p>
    <w:p w14:paraId="67964E99" w14:textId="77777777" w:rsidR="00FE3D79" w:rsidRPr="006D437D" w:rsidRDefault="00FE3D79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437D">
        <w:rPr>
          <w:rFonts w:ascii="Times New Roman" w:hAnsi="Times New Roman" w:cs="Times New Roman"/>
          <w:sz w:val="28"/>
          <w:szCs w:val="28"/>
        </w:rPr>
        <w:t>Prakash VS, Shivaprakash G, Hegde S. Four- and two-tooth supported conventional overdenture: Two case reports. Int J Oral Health Sci. 2013;3(1):61-64.</w:t>
      </w:r>
    </w:p>
    <w:p w14:paraId="0C522D76" w14:textId="77777777" w:rsidR="00FE3D79" w:rsidRPr="006D437D" w:rsidRDefault="00FE3D79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437D">
        <w:rPr>
          <w:rFonts w:ascii="Times New Roman" w:hAnsi="Times New Roman" w:cs="Times New Roman"/>
          <w:sz w:val="28"/>
          <w:szCs w:val="28"/>
        </w:rPr>
        <w:t>Preiskel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HW. </w:t>
      </w:r>
      <w:r w:rsidRPr="006D437D">
        <w:rPr>
          <w:rFonts w:ascii="Times New Roman" w:hAnsi="Times New Roman" w:cs="Times New Roman"/>
          <w:i/>
          <w:iCs/>
          <w:sz w:val="28"/>
          <w:szCs w:val="28"/>
        </w:rPr>
        <w:t>Overdentures Made Easy: A Guide to Implant and Root Supported Prostheses.</w:t>
      </w:r>
      <w:r w:rsidRPr="006D437D">
        <w:rPr>
          <w:rFonts w:ascii="Times New Roman" w:hAnsi="Times New Roman" w:cs="Times New Roman"/>
          <w:sz w:val="28"/>
          <w:szCs w:val="28"/>
        </w:rPr>
        <w:t xml:space="preserve"> London: Quintessence Publishing Co Ltd; 1996.</w:t>
      </w:r>
    </w:p>
    <w:p w14:paraId="47A6AE3B" w14:textId="0B0627DA" w:rsidR="00FE3D79" w:rsidRPr="006D437D" w:rsidRDefault="006021A2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3D79" w:rsidRPr="006D437D">
        <w:rPr>
          <w:rFonts w:ascii="Times New Roman" w:hAnsi="Times New Roman" w:cs="Times New Roman"/>
          <w:sz w:val="28"/>
          <w:szCs w:val="28"/>
        </w:rPr>
        <w:t>Rissin</w:t>
      </w:r>
      <w:proofErr w:type="spellEnd"/>
      <w:r w:rsidR="00FE3D79" w:rsidRPr="006D437D">
        <w:rPr>
          <w:rFonts w:ascii="Times New Roman" w:hAnsi="Times New Roman" w:cs="Times New Roman"/>
          <w:sz w:val="28"/>
          <w:szCs w:val="28"/>
        </w:rPr>
        <w:t xml:space="preserve"> L, House JE, Manly RS, </w:t>
      </w:r>
      <w:proofErr w:type="spellStart"/>
      <w:r w:rsidR="00FE3D79" w:rsidRPr="006D437D">
        <w:rPr>
          <w:rFonts w:ascii="Times New Roman" w:hAnsi="Times New Roman" w:cs="Times New Roman"/>
          <w:sz w:val="28"/>
          <w:szCs w:val="28"/>
        </w:rPr>
        <w:t>Kapur</w:t>
      </w:r>
      <w:proofErr w:type="spellEnd"/>
      <w:r w:rsidR="00FE3D79" w:rsidRPr="006D437D">
        <w:rPr>
          <w:rFonts w:ascii="Times New Roman" w:hAnsi="Times New Roman" w:cs="Times New Roman"/>
          <w:sz w:val="28"/>
          <w:szCs w:val="28"/>
        </w:rPr>
        <w:t xml:space="preserve"> KK. Clinical comparison of masticatory performance and electromyographic activity of patients with complete dentures, overdentures, and natural teeth. J </w:t>
      </w:r>
      <w:proofErr w:type="spellStart"/>
      <w:r w:rsidR="00FE3D79" w:rsidRPr="006D437D">
        <w:rPr>
          <w:rFonts w:ascii="Times New Roman" w:hAnsi="Times New Roman" w:cs="Times New Roman"/>
          <w:sz w:val="28"/>
          <w:szCs w:val="28"/>
        </w:rPr>
        <w:t>Prosthet</w:t>
      </w:r>
      <w:proofErr w:type="spellEnd"/>
      <w:r w:rsidR="00FE3D79" w:rsidRPr="006D437D">
        <w:rPr>
          <w:rFonts w:ascii="Times New Roman" w:hAnsi="Times New Roman" w:cs="Times New Roman"/>
          <w:sz w:val="28"/>
          <w:szCs w:val="28"/>
        </w:rPr>
        <w:t xml:space="preserve"> Dent. 1978;39(5):508-511. doi:10.1016/S0022-3913(78)80181-4</w:t>
      </w:r>
    </w:p>
    <w:p w14:paraId="6076E745" w14:textId="77777777" w:rsidR="00FE3D79" w:rsidRPr="006D437D" w:rsidRDefault="00FE3D79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437D">
        <w:rPr>
          <w:rFonts w:ascii="Times New Roman" w:hAnsi="Times New Roman" w:cs="Times New Roman"/>
          <w:sz w:val="28"/>
          <w:szCs w:val="28"/>
        </w:rPr>
        <w:t>Ahmed T, Mirza AJ. Oral rehabilitation with mandibular cast partial overdenture opposing maxillary cast complete denture: A case report. Ann Abbasi Shaheed Hosp Karachi Med Dent Coll. 2014;19(2).</w:t>
      </w:r>
    </w:p>
    <w:p w14:paraId="4C933A1A" w14:textId="77777777" w:rsidR="00FE3D79" w:rsidRDefault="00FE3D79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437D">
        <w:rPr>
          <w:rFonts w:ascii="Times New Roman" w:hAnsi="Times New Roman" w:cs="Times New Roman"/>
          <w:sz w:val="28"/>
          <w:szCs w:val="28"/>
        </w:rPr>
        <w:t>Mohd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NR, Ahmad SF, </w:t>
      </w:r>
      <w:proofErr w:type="spellStart"/>
      <w:r w:rsidRPr="006D437D">
        <w:rPr>
          <w:rFonts w:ascii="Times New Roman" w:hAnsi="Times New Roman" w:cs="Times New Roman"/>
          <w:sz w:val="28"/>
          <w:szCs w:val="28"/>
        </w:rPr>
        <w:t>Etajuri</w:t>
      </w:r>
      <w:proofErr w:type="spellEnd"/>
      <w:r w:rsidRPr="006D437D">
        <w:rPr>
          <w:rFonts w:ascii="Times New Roman" w:hAnsi="Times New Roman" w:cs="Times New Roman"/>
          <w:sz w:val="28"/>
          <w:szCs w:val="28"/>
        </w:rPr>
        <w:t xml:space="preserve"> EA. An alternative technique for fabrication of a tooth-supported removable partial overdenture: A case report. J Int Oral Health. 2021;13(5):514-518.</w:t>
      </w:r>
    </w:p>
    <w:p w14:paraId="39E49EC5" w14:textId="77395AFA" w:rsidR="00D04798" w:rsidRDefault="00A01952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01952">
        <w:rPr>
          <w:rFonts w:ascii="Times New Roman" w:hAnsi="Times New Roman" w:cs="Times New Roman"/>
          <w:sz w:val="28"/>
          <w:szCs w:val="28"/>
        </w:rPr>
        <w:t>Lord JL, Teel S. The overdenture: patient selection, use of copings, and follow-up evaluation. The Journal of Prosthetic Dentistry. 1974 Jul 1;32(1):41-51.</w:t>
      </w:r>
    </w:p>
    <w:p w14:paraId="77391ECD" w14:textId="5FF9625A" w:rsidR="00300EF5" w:rsidRDefault="00300EF5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EF5">
        <w:rPr>
          <w:rFonts w:ascii="Times New Roman" w:hAnsi="Times New Roman" w:cs="Times New Roman"/>
          <w:sz w:val="28"/>
          <w:szCs w:val="28"/>
        </w:rPr>
        <w:t>Mohd</w:t>
      </w:r>
      <w:proofErr w:type="spellEnd"/>
      <w:r w:rsidRPr="00300EF5">
        <w:rPr>
          <w:rFonts w:ascii="Times New Roman" w:hAnsi="Times New Roman" w:cs="Times New Roman"/>
          <w:sz w:val="28"/>
          <w:szCs w:val="28"/>
        </w:rPr>
        <w:t xml:space="preserve"> NR, Ahmad SF, </w:t>
      </w:r>
      <w:proofErr w:type="spellStart"/>
      <w:r w:rsidRPr="00300EF5">
        <w:rPr>
          <w:rFonts w:ascii="Times New Roman" w:hAnsi="Times New Roman" w:cs="Times New Roman"/>
          <w:sz w:val="28"/>
          <w:szCs w:val="28"/>
        </w:rPr>
        <w:t>Etajuri</w:t>
      </w:r>
      <w:proofErr w:type="spellEnd"/>
      <w:r w:rsidRPr="00300EF5">
        <w:rPr>
          <w:rFonts w:ascii="Times New Roman" w:hAnsi="Times New Roman" w:cs="Times New Roman"/>
          <w:sz w:val="28"/>
          <w:szCs w:val="28"/>
        </w:rPr>
        <w:t xml:space="preserve"> EA. An alternative technique for fabrication of a tooth-supported removable partial overdenture: A case report. Journal of International Oral Health. 2021 Sep 1;13(5):514-8.</w:t>
      </w:r>
    </w:p>
    <w:p w14:paraId="13B15FDA" w14:textId="406A9AAC" w:rsidR="00072542" w:rsidRDefault="00072542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542">
        <w:rPr>
          <w:rFonts w:ascii="Times New Roman" w:hAnsi="Times New Roman" w:cs="Times New Roman"/>
          <w:sz w:val="28"/>
          <w:szCs w:val="28"/>
        </w:rPr>
        <w:t xml:space="preserve">Leong JZ, </w:t>
      </w:r>
      <w:proofErr w:type="spellStart"/>
      <w:r w:rsidRPr="00072542">
        <w:rPr>
          <w:rFonts w:ascii="Times New Roman" w:hAnsi="Times New Roman" w:cs="Times New Roman"/>
          <w:sz w:val="28"/>
          <w:szCs w:val="28"/>
        </w:rPr>
        <w:t>Beh</w:t>
      </w:r>
      <w:proofErr w:type="spellEnd"/>
      <w:r w:rsidRPr="00072542">
        <w:rPr>
          <w:rFonts w:ascii="Times New Roman" w:hAnsi="Times New Roman" w:cs="Times New Roman"/>
          <w:sz w:val="28"/>
          <w:szCs w:val="28"/>
        </w:rPr>
        <w:t xml:space="preserve"> YH, Ho TK. Tooth-supported overdentures revisited. </w:t>
      </w:r>
      <w:proofErr w:type="spellStart"/>
      <w:r w:rsidRPr="00072542">
        <w:rPr>
          <w:rFonts w:ascii="Times New Roman" w:hAnsi="Times New Roman" w:cs="Times New Roman"/>
          <w:sz w:val="28"/>
          <w:szCs w:val="28"/>
        </w:rPr>
        <w:t>Cureus</w:t>
      </w:r>
      <w:proofErr w:type="spellEnd"/>
      <w:r w:rsidRPr="00072542">
        <w:rPr>
          <w:rFonts w:ascii="Times New Roman" w:hAnsi="Times New Roman" w:cs="Times New Roman"/>
          <w:sz w:val="28"/>
          <w:szCs w:val="28"/>
        </w:rPr>
        <w:t>. 2024 Jan 29;16(1).</w:t>
      </w:r>
    </w:p>
    <w:p w14:paraId="0BFAC8CD" w14:textId="080E1A1C" w:rsidR="00692638" w:rsidRDefault="00692638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638">
        <w:rPr>
          <w:rFonts w:ascii="Times New Roman" w:hAnsi="Times New Roman" w:cs="Times New Roman"/>
          <w:sz w:val="28"/>
          <w:szCs w:val="28"/>
        </w:rPr>
        <w:t xml:space="preserve">Sharma S, Shankar R, Pandey V, Kiran SR, Kumar P, Kiran BS. Tooth-Supported Overdenture: Rediscovering What We Thought We Outgrew. </w:t>
      </w:r>
      <w:proofErr w:type="spellStart"/>
      <w:r w:rsidRPr="00692638">
        <w:rPr>
          <w:rFonts w:ascii="Times New Roman" w:hAnsi="Times New Roman" w:cs="Times New Roman"/>
          <w:sz w:val="28"/>
          <w:szCs w:val="28"/>
        </w:rPr>
        <w:t>Cureus</w:t>
      </w:r>
      <w:proofErr w:type="spellEnd"/>
      <w:r w:rsidRPr="00692638">
        <w:rPr>
          <w:rFonts w:ascii="Times New Roman" w:hAnsi="Times New Roman" w:cs="Times New Roman"/>
          <w:sz w:val="28"/>
          <w:szCs w:val="28"/>
        </w:rPr>
        <w:t>. 2026 Jan 16;18(1).</w:t>
      </w:r>
    </w:p>
    <w:p w14:paraId="27F743E7" w14:textId="616D9A7D" w:rsidR="002F4120" w:rsidRDefault="002F4120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EAB" w:rsidRPr="00C81EAB">
        <w:rPr>
          <w:rFonts w:ascii="Times New Roman" w:hAnsi="Times New Roman" w:cs="Times New Roman"/>
          <w:sz w:val="28"/>
          <w:szCs w:val="28"/>
        </w:rPr>
        <w:t>Al-</w:t>
      </w:r>
      <w:proofErr w:type="spellStart"/>
      <w:r w:rsidR="00C81EAB" w:rsidRPr="00C81EAB">
        <w:rPr>
          <w:rFonts w:ascii="Times New Roman" w:hAnsi="Times New Roman" w:cs="Times New Roman"/>
          <w:sz w:val="28"/>
          <w:szCs w:val="28"/>
        </w:rPr>
        <w:t>Kordy</w:t>
      </w:r>
      <w:proofErr w:type="spellEnd"/>
      <w:r w:rsidR="00C81EAB" w:rsidRPr="00C81EAB">
        <w:rPr>
          <w:rFonts w:ascii="Times New Roman" w:hAnsi="Times New Roman" w:cs="Times New Roman"/>
          <w:sz w:val="28"/>
          <w:szCs w:val="28"/>
        </w:rPr>
        <w:t xml:space="preserve"> NM, Al-</w:t>
      </w:r>
      <w:proofErr w:type="spellStart"/>
      <w:r w:rsidR="00C81EAB" w:rsidRPr="00C81EAB">
        <w:rPr>
          <w:rFonts w:ascii="Times New Roman" w:hAnsi="Times New Roman" w:cs="Times New Roman"/>
          <w:sz w:val="28"/>
          <w:szCs w:val="28"/>
        </w:rPr>
        <w:t>Saadi</w:t>
      </w:r>
      <w:proofErr w:type="spellEnd"/>
      <w:r w:rsidR="00C81EAB" w:rsidRPr="00C81EAB">
        <w:rPr>
          <w:rFonts w:ascii="Times New Roman" w:hAnsi="Times New Roman" w:cs="Times New Roman"/>
          <w:sz w:val="28"/>
          <w:szCs w:val="28"/>
        </w:rPr>
        <w:t xml:space="preserve"> MH. Finite element study of stress distribution with tooth-supported mandibular overdenture retained by ball attachments or resilient telescopic crowns. European Journal of Dentistry. 2023 May;17(02):539-47.</w:t>
      </w:r>
    </w:p>
    <w:p w14:paraId="31AFDD9B" w14:textId="79763F38" w:rsidR="005E6C5A" w:rsidRDefault="005E6C5A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6C5A">
        <w:rPr>
          <w:rFonts w:ascii="Times New Roman" w:hAnsi="Times New Roman" w:cs="Times New Roman"/>
          <w:sz w:val="28"/>
          <w:szCs w:val="28"/>
        </w:rPr>
        <w:t>Donos</w:t>
      </w:r>
      <w:proofErr w:type="spellEnd"/>
      <w:r w:rsidRPr="005E6C5A">
        <w:rPr>
          <w:rFonts w:ascii="Times New Roman" w:hAnsi="Times New Roman" w:cs="Times New Roman"/>
          <w:sz w:val="28"/>
          <w:szCs w:val="28"/>
        </w:rPr>
        <w:t xml:space="preserve"> N, André </w:t>
      </w:r>
      <w:proofErr w:type="spellStart"/>
      <w:r w:rsidRPr="005E6C5A">
        <w:rPr>
          <w:rFonts w:ascii="Times New Roman" w:hAnsi="Times New Roman" w:cs="Times New Roman"/>
          <w:sz w:val="28"/>
          <w:szCs w:val="28"/>
        </w:rPr>
        <w:t>Mezzomo</w:t>
      </w:r>
      <w:proofErr w:type="spellEnd"/>
      <w:r w:rsidRPr="005E6C5A">
        <w:rPr>
          <w:rFonts w:ascii="Times New Roman" w:hAnsi="Times New Roman" w:cs="Times New Roman"/>
          <w:sz w:val="28"/>
          <w:szCs w:val="28"/>
        </w:rPr>
        <w:t xml:space="preserve"> L, </w:t>
      </w:r>
      <w:proofErr w:type="spellStart"/>
      <w:r w:rsidRPr="005E6C5A">
        <w:rPr>
          <w:rFonts w:ascii="Times New Roman" w:hAnsi="Times New Roman" w:cs="Times New Roman"/>
          <w:sz w:val="28"/>
          <w:szCs w:val="28"/>
        </w:rPr>
        <w:t>Mardas</w:t>
      </w:r>
      <w:proofErr w:type="spellEnd"/>
      <w:r w:rsidRPr="005E6C5A">
        <w:rPr>
          <w:rFonts w:ascii="Times New Roman" w:hAnsi="Times New Roman" w:cs="Times New Roman"/>
          <w:sz w:val="28"/>
          <w:szCs w:val="28"/>
        </w:rPr>
        <w:t xml:space="preserve"> N, Goldoni M, </w:t>
      </w:r>
      <w:proofErr w:type="spellStart"/>
      <w:r w:rsidRPr="005E6C5A">
        <w:rPr>
          <w:rFonts w:ascii="Times New Roman" w:hAnsi="Times New Roman" w:cs="Times New Roman"/>
          <w:sz w:val="28"/>
          <w:szCs w:val="28"/>
        </w:rPr>
        <w:t>Calciolari</w:t>
      </w:r>
      <w:proofErr w:type="spellEnd"/>
      <w:r w:rsidRPr="005E6C5A">
        <w:rPr>
          <w:rFonts w:ascii="Times New Roman" w:hAnsi="Times New Roman" w:cs="Times New Roman"/>
          <w:sz w:val="28"/>
          <w:szCs w:val="28"/>
        </w:rPr>
        <w:t xml:space="preserve"> E. Efficacy of tooth‐supported compared to implant‐supported full‐arch removable prostheses in patients with terminal dentition. A systematic review. Journal of Clinical Periodontology. 2022 </w:t>
      </w:r>
      <w:proofErr w:type="gramStart"/>
      <w:r w:rsidRPr="005E6C5A">
        <w:rPr>
          <w:rFonts w:ascii="Times New Roman" w:hAnsi="Times New Roman" w:cs="Times New Roman"/>
          <w:sz w:val="28"/>
          <w:szCs w:val="28"/>
        </w:rPr>
        <w:t>Jun;49:224</w:t>
      </w:r>
      <w:proofErr w:type="gramEnd"/>
      <w:r w:rsidRPr="005E6C5A">
        <w:rPr>
          <w:rFonts w:ascii="Times New Roman" w:hAnsi="Times New Roman" w:cs="Times New Roman"/>
          <w:sz w:val="28"/>
          <w:szCs w:val="28"/>
        </w:rPr>
        <w:t>-47.</w:t>
      </w:r>
    </w:p>
    <w:p w14:paraId="7222ADB9" w14:textId="1FD416F2" w:rsidR="003C572F" w:rsidRDefault="00E452D3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72F" w:rsidRPr="003C572F">
        <w:rPr>
          <w:rFonts w:ascii="Times New Roman" w:hAnsi="Times New Roman" w:cs="Times New Roman"/>
          <w:sz w:val="28"/>
          <w:szCs w:val="28"/>
        </w:rPr>
        <w:t>Koul</w:t>
      </w:r>
      <w:proofErr w:type="spellEnd"/>
      <w:r w:rsidR="003C572F" w:rsidRPr="003C572F">
        <w:rPr>
          <w:rFonts w:ascii="Times New Roman" w:hAnsi="Times New Roman" w:cs="Times New Roman"/>
          <w:sz w:val="28"/>
          <w:szCs w:val="28"/>
        </w:rPr>
        <w:t xml:space="preserve"> R, Verma S, Kalia D, Verma K. Tooth-Supported Overdenture–Preventive Prosthodontics to Redeem Ridge Resorption. Journal of Primary Care Dentistry and Oral Health. 2024 May 1;5(2):82-5.</w:t>
      </w:r>
    </w:p>
    <w:p w14:paraId="37E79A79" w14:textId="7CABC779" w:rsidR="00D531A1" w:rsidRDefault="00D531A1" w:rsidP="00426131">
      <w:pPr>
        <w:pStyle w:val="ListParagraph"/>
        <w:numPr>
          <w:ilvl w:val="0"/>
          <w:numId w:val="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1A1">
        <w:rPr>
          <w:rFonts w:ascii="Times New Roman" w:hAnsi="Times New Roman" w:cs="Times New Roman"/>
          <w:sz w:val="28"/>
          <w:szCs w:val="28"/>
        </w:rPr>
        <w:t>Goswami M, MV S, Kumar R, Saxena R, Kumar K. A case report on tooth-supported overdentures: Restoring function and aesthetics. INTERNATIONAL JOURNAL OF APPLIED. 2024;10(4):230-4.</w:t>
      </w:r>
    </w:p>
    <w:p w14:paraId="12E94705" w14:textId="481B08FE" w:rsidR="00F40B3A" w:rsidRPr="00F40B3A" w:rsidRDefault="00701D9E" w:rsidP="00F40B3A">
      <w:pPr>
        <w:spacing w:line="360" w:lineRule="auto"/>
        <w:ind w:left="-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B1B998" wp14:editId="64FD5DAE">
                <wp:simplePos x="0" y="0"/>
                <wp:positionH relativeFrom="column">
                  <wp:posOffset>1997075</wp:posOffset>
                </wp:positionH>
                <wp:positionV relativeFrom="paragraph">
                  <wp:posOffset>286336</wp:posOffset>
                </wp:positionV>
                <wp:extent cx="1687830" cy="309245"/>
                <wp:effectExtent l="0" t="0" r="26670" b="14605"/>
                <wp:wrapNone/>
                <wp:docPr id="88564073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BF3D7" w14:textId="64D1A8D0" w:rsidR="000E57E1" w:rsidRPr="00426131" w:rsidRDefault="004F454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2613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Patient Con</w:t>
                            </w:r>
                            <w:r w:rsidR="006547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</w:t>
                            </w:r>
                            <w:r w:rsidRPr="0042613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ent </w:t>
                            </w:r>
                            <w:r w:rsidR="00426131" w:rsidRPr="0042613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  <w:r w:rsidRPr="0042613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1B998" id="Text Box 10" o:spid="_x0000_s1030" type="#_x0000_t202" style="position:absolute;left:0;text-align:left;margin-left:157.25pt;margin-top:22.55pt;width:132.9pt;height:24.3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" fillcolor="white [3201]" strokeweight=".5pt">
                <v:textbox>
                  <w:txbxContent>
                    <w:p w14:paraId="715BF3D7" w14:textId="64D1A8D0" w:rsidR="000E57E1" w:rsidRPr="00426131" w:rsidRDefault="004F454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26131">
                        <w:rPr>
                          <w:rFonts w:ascii="Arial" w:hAnsi="Arial" w:cs="Arial"/>
                          <w:b/>
                          <w:bCs/>
                        </w:rPr>
                        <w:t>Patient Con</w:t>
                      </w:r>
                      <w:r w:rsidR="006547A5">
                        <w:rPr>
                          <w:rFonts w:ascii="Arial" w:hAnsi="Arial" w:cs="Arial"/>
                          <w:b/>
                          <w:bCs/>
                        </w:rPr>
                        <w:t>s</w:t>
                      </w:r>
                      <w:r w:rsidRPr="00426131">
                        <w:rPr>
                          <w:rFonts w:ascii="Arial" w:hAnsi="Arial" w:cs="Arial"/>
                          <w:b/>
                          <w:bCs/>
                        </w:rPr>
                        <w:t xml:space="preserve">ent </w:t>
                      </w:r>
                      <w:r w:rsidR="00426131" w:rsidRPr="00426131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  <w:r w:rsidRPr="00426131">
                        <w:rPr>
                          <w:rFonts w:ascii="Arial" w:hAnsi="Arial" w:cs="Arial"/>
                          <w:b/>
                          <w:bCs/>
                        </w:rPr>
                        <w:t>orm</w:t>
                      </w:r>
                    </w:p>
                  </w:txbxContent>
                </v:textbox>
              </v:shape>
            </w:pict>
          </mc:Fallback>
        </mc:AlternateContent>
      </w:r>
      <w:r w:rsidR="0042613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4E3844F" wp14:editId="5034CC91">
            <wp:simplePos x="0" y="0"/>
            <wp:positionH relativeFrom="column">
              <wp:posOffset>426231</wp:posOffset>
            </wp:positionH>
            <wp:positionV relativeFrom="paragraph">
              <wp:posOffset>725561</wp:posOffset>
            </wp:positionV>
            <wp:extent cx="4756785" cy="5550535"/>
            <wp:effectExtent l="0" t="0" r="5715" b="0"/>
            <wp:wrapSquare wrapText="bothSides"/>
            <wp:docPr id="10967238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555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0B3A" w:rsidRPr="00F40B3A" w:rsidSect="00367A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A651E" w14:textId="77777777" w:rsidR="004C3712" w:rsidRDefault="004C3712" w:rsidP="00DE378B">
      <w:pPr>
        <w:spacing w:after="0" w:line="240" w:lineRule="auto"/>
      </w:pPr>
      <w:r>
        <w:separator/>
      </w:r>
    </w:p>
  </w:endnote>
  <w:endnote w:type="continuationSeparator" w:id="0">
    <w:p w14:paraId="63B759A4" w14:textId="77777777" w:rsidR="004C3712" w:rsidRDefault="004C3712" w:rsidP="00DE3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C1C02" w14:textId="77777777" w:rsidR="00DE378B" w:rsidRDefault="00DE37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6DA28" w14:textId="77777777" w:rsidR="00DE378B" w:rsidRDefault="00DE37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E8304" w14:textId="77777777" w:rsidR="00DE378B" w:rsidRDefault="00DE37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C6167" w14:textId="77777777" w:rsidR="004C3712" w:rsidRDefault="004C3712" w:rsidP="00DE378B">
      <w:pPr>
        <w:spacing w:after="0" w:line="240" w:lineRule="auto"/>
      </w:pPr>
      <w:r>
        <w:separator/>
      </w:r>
    </w:p>
  </w:footnote>
  <w:footnote w:type="continuationSeparator" w:id="0">
    <w:p w14:paraId="0650DC15" w14:textId="77777777" w:rsidR="004C3712" w:rsidRDefault="004C3712" w:rsidP="00DE3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B02DA" w14:textId="2499CCB1" w:rsidR="00DE378B" w:rsidRDefault="004C3712">
    <w:pPr>
      <w:pStyle w:val="Header"/>
    </w:pPr>
    <w:r>
      <w:rPr>
        <w:noProof/>
      </w:rPr>
      <w:pict w14:anchorId="1B72F7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826E2" w14:textId="2568C3EB" w:rsidR="00DE378B" w:rsidRDefault="004C3712">
    <w:pPr>
      <w:pStyle w:val="Header"/>
    </w:pPr>
    <w:r>
      <w:rPr>
        <w:noProof/>
      </w:rPr>
      <w:pict w14:anchorId="157786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A88D1" w14:textId="3ADACB2B" w:rsidR="00DE378B" w:rsidRDefault="004C3712">
    <w:pPr>
      <w:pStyle w:val="Header"/>
    </w:pPr>
    <w:r>
      <w:rPr>
        <w:noProof/>
      </w:rPr>
      <w:pict w14:anchorId="11E28A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309F4"/>
    <w:multiLevelType w:val="hybridMultilevel"/>
    <w:tmpl w:val="6278FD30"/>
    <w:lvl w:ilvl="0" w:tplc="935E09B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 w:tentative="1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342362BF"/>
    <w:multiLevelType w:val="hybridMultilevel"/>
    <w:tmpl w:val="205E0770"/>
    <w:lvl w:ilvl="0" w:tplc="5AC498F2">
      <w:numFmt w:val="bullet"/>
      <w:lvlText w:val="-"/>
      <w:lvlJc w:val="left"/>
      <w:pPr>
        <w:ind w:left="218" w:hanging="360"/>
      </w:pPr>
      <w:rPr>
        <w:rFonts w:ascii="Times New Roman" w:eastAsiaTheme="minorHAnsi" w:hAnsi="Times New Roman" w:cs="Times New Roman" w:hint="default"/>
        <w:u w:val="single"/>
      </w:rPr>
    </w:lvl>
    <w:lvl w:ilvl="1" w:tplc="40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50C30242"/>
    <w:multiLevelType w:val="hybridMultilevel"/>
    <w:tmpl w:val="31760B5E"/>
    <w:lvl w:ilvl="0" w:tplc="40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89A4652"/>
    <w:multiLevelType w:val="hybridMultilevel"/>
    <w:tmpl w:val="4006A61E"/>
    <w:lvl w:ilvl="0" w:tplc="93B40E3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 w:tentative="1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11F"/>
    <w:rsid w:val="00002A92"/>
    <w:rsid w:val="0000436B"/>
    <w:rsid w:val="00072542"/>
    <w:rsid w:val="00081532"/>
    <w:rsid w:val="000A1CF7"/>
    <w:rsid w:val="000B716D"/>
    <w:rsid w:val="000E0AC0"/>
    <w:rsid w:val="000E57E1"/>
    <w:rsid w:val="000F2CB2"/>
    <w:rsid w:val="000F67F1"/>
    <w:rsid w:val="00100056"/>
    <w:rsid w:val="0010356D"/>
    <w:rsid w:val="00104C77"/>
    <w:rsid w:val="001250A1"/>
    <w:rsid w:val="00163659"/>
    <w:rsid w:val="00166711"/>
    <w:rsid w:val="00166D77"/>
    <w:rsid w:val="00171AC5"/>
    <w:rsid w:val="00190F2B"/>
    <w:rsid w:val="00196D17"/>
    <w:rsid w:val="001C04E1"/>
    <w:rsid w:val="001C096A"/>
    <w:rsid w:val="001D2375"/>
    <w:rsid w:val="001F7E64"/>
    <w:rsid w:val="00223CDC"/>
    <w:rsid w:val="0022665B"/>
    <w:rsid w:val="00236B9A"/>
    <w:rsid w:val="002504D9"/>
    <w:rsid w:val="00261C3F"/>
    <w:rsid w:val="002A54D6"/>
    <w:rsid w:val="002C6E99"/>
    <w:rsid w:val="002E6C91"/>
    <w:rsid w:val="002F4120"/>
    <w:rsid w:val="00300EF5"/>
    <w:rsid w:val="00356A64"/>
    <w:rsid w:val="00367A90"/>
    <w:rsid w:val="003703D5"/>
    <w:rsid w:val="003C572F"/>
    <w:rsid w:val="003D788F"/>
    <w:rsid w:val="003E19B4"/>
    <w:rsid w:val="00426131"/>
    <w:rsid w:val="00432B40"/>
    <w:rsid w:val="00442C9A"/>
    <w:rsid w:val="00447984"/>
    <w:rsid w:val="0046233D"/>
    <w:rsid w:val="004A3F04"/>
    <w:rsid w:val="004B3931"/>
    <w:rsid w:val="004C3712"/>
    <w:rsid w:val="004E7269"/>
    <w:rsid w:val="004E752C"/>
    <w:rsid w:val="004F4545"/>
    <w:rsid w:val="004F7B0F"/>
    <w:rsid w:val="0051194A"/>
    <w:rsid w:val="00555BA4"/>
    <w:rsid w:val="0058373B"/>
    <w:rsid w:val="005913B4"/>
    <w:rsid w:val="005B711D"/>
    <w:rsid w:val="005C4CAD"/>
    <w:rsid w:val="005C7105"/>
    <w:rsid w:val="005E6C5A"/>
    <w:rsid w:val="005E7FD7"/>
    <w:rsid w:val="006021A2"/>
    <w:rsid w:val="00622FB0"/>
    <w:rsid w:val="006447D5"/>
    <w:rsid w:val="00651209"/>
    <w:rsid w:val="006547A5"/>
    <w:rsid w:val="00692638"/>
    <w:rsid w:val="006A11CC"/>
    <w:rsid w:val="006C3421"/>
    <w:rsid w:val="006D0549"/>
    <w:rsid w:val="00701D9E"/>
    <w:rsid w:val="00710076"/>
    <w:rsid w:val="00714AE3"/>
    <w:rsid w:val="007412B1"/>
    <w:rsid w:val="00760227"/>
    <w:rsid w:val="00773490"/>
    <w:rsid w:val="007769D9"/>
    <w:rsid w:val="007A764C"/>
    <w:rsid w:val="00815440"/>
    <w:rsid w:val="008160B4"/>
    <w:rsid w:val="0085704F"/>
    <w:rsid w:val="008A5A16"/>
    <w:rsid w:val="008C1F63"/>
    <w:rsid w:val="008E2558"/>
    <w:rsid w:val="008E424A"/>
    <w:rsid w:val="009005D5"/>
    <w:rsid w:val="00945178"/>
    <w:rsid w:val="00964BD8"/>
    <w:rsid w:val="00971888"/>
    <w:rsid w:val="009C10F7"/>
    <w:rsid w:val="009D3644"/>
    <w:rsid w:val="009D72CC"/>
    <w:rsid w:val="00A01952"/>
    <w:rsid w:val="00A21525"/>
    <w:rsid w:val="00A34833"/>
    <w:rsid w:val="00A444DE"/>
    <w:rsid w:val="00A74DA5"/>
    <w:rsid w:val="00A87B35"/>
    <w:rsid w:val="00AA238A"/>
    <w:rsid w:val="00AB611F"/>
    <w:rsid w:val="00AC0AF5"/>
    <w:rsid w:val="00AC3631"/>
    <w:rsid w:val="00AF1B91"/>
    <w:rsid w:val="00B10194"/>
    <w:rsid w:val="00B3315B"/>
    <w:rsid w:val="00B63267"/>
    <w:rsid w:val="00BB2962"/>
    <w:rsid w:val="00BD5F01"/>
    <w:rsid w:val="00BE6E7B"/>
    <w:rsid w:val="00BF5188"/>
    <w:rsid w:val="00C16804"/>
    <w:rsid w:val="00C30DCF"/>
    <w:rsid w:val="00C61316"/>
    <w:rsid w:val="00C617EC"/>
    <w:rsid w:val="00C66A17"/>
    <w:rsid w:val="00C70411"/>
    <w:rsid w:val="00C7070B"/>
    <w:rsid w:val="00C81EAB"/>
    <w:rsid w:val="00CB4CF9"/>
    <w:rsid w:val="00CB5AAF"/>
    <w:rsid w:val="00CF02A7"/>
    <w:rsid w:val="00D04798"/>
    <w:rsid w:val="00D10509"/>
    <w:rsid w:val="00D23593"/>
    <w:rsid w:val="00D531A1"/>
    <w:rsid w:val="00D53542"/>
    <w:rsid w:val="00D55C25"/>
    <w:rsid w:val="00D60A67"/>
    <w:rsid w:val="00DC19C4"/>
    <w:rsid w:val="00DE378B"/>
    <w:rsid w:val="00E10824"/>
    <w:rsid w:val="00E13A73"/>
    <w:rsid w:val="00E200FC"/>
    <w:rsid w:val="00E22981"/>
    <w:rsid w:val="00E43FB2"/>
    <w:rsid w:val="00E452D3"/>
    <w:rsid w:val="00EC511B"/>
    <w:rsid w:val="00EF073E"/>
    <w:rsid w:val="00EF2D17"/>
    <w:rsid w:val="00F40B3A"/>
    <w:rsid w:val="00F50F77"/>
    <w:rsid w:val="00F65688"/>
    <w:rsid w:val="00FD7BA6"/>
    <w:rsid w:val="00FE0565"/>
    <w:rsid w:val="00FE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AE35419"/>
  <w15:chartTrackingRefBased/>
  <w15:docId w15:val="{C402F141-E969-4909-B9D4-CC6D5ACBF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7E64"/>
  </w:style>
  <w:style w:type="paragraph" w:styleId="Heading1">
    <w:name w:val="heading 1"/>
    <w:basedOn w:val="Normal"/>
    <w:next w:val="Normal"/>
    <w:link w:val="Heading1Char"/>
    <w:uiPriority w:val="9"/>
    <w:qFormat/>
    <w:rsid w:val="00AB61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1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1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61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61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61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61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61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61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1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1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61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61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61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61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61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61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61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61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6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61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61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61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1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B61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61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61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61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611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F7E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0F7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3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78B"/>
  </w:style>
  <w:style w:type="paragraph" w:styleId="Footer">
    <w:name w:val="footer"/>
    <w:basedOn w:val="Normal"/>
    <w:link w:val="FooterChar"/>
    <w:uiPriority w:val="99"/>
    <w:unhideWhenUsed/>
    <w:rsid w:val="00DE3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2174</Words>
  <Characters>12395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Surabhi S</dc:creator>
  <cp:keywords/>
  <dc:description/>
  <cp:lastModifiedBy>Editor-11</cp:lastModifiedBy>
  <cp:revision>13</cp:revision>
  <dcterms:created xsi:type="dcterms:W3CDTF">2026-02-12T16:16:00Z</dcterms:created>
  <dcterms:modified xsi:type="dcterms:W3CDTF">2026-02-13T07:05:00Z</dcterms:modified>
</cp:coreProperties>
</file>